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theme/themeOverride4.xml" ContentType="application/vnd.openxmlformats-officedocument.themeOverride+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drawings/drawing1.xml" ContentType="application/vnd.openxmlformats-officedocument.drawingml.chartshapes+xml"/>
  <Override PartName="/word/charts/chart1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0.xml" ContentType="application/vnd.openxmlformats-officedocument.themeOverride+xml"/>
  <Override PartName="/word/charts/chart1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1.xml" ContentType="application/vnd.openxmlformats-officedocument.themeOverride+xml"/>
  <Override PartName="/word/charts/chart1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2.xml" ContentType="application/vnd.openxmlformats-officedocument.themeOverride+xml"/>
  <Override PartName="/word/charts/chart18.xml" ContentType="application/vnd.openxmlformats-officedocument.drawingml.chart+xml"/>
  <Override PartName="/word/theme/themeOverride13.xml" ContentType="application/vnd.openxmlformats-officedocument.themeOverride+xml"/>
  <Override PartName="/word/charts/chart1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4.xml" ContentType="application/vnd.openxmlformats-officedocument.themeOverride+xml"/>
  <Override PartName="/word/charts/chart2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1.xml" ContentType="application/vnd.openxmlformats-officedocument.drawingml.chart+xml"/>
  <Override PartName="/word/theme/themeOverride15.xml" ContentType="application/vnd.openxmlformats-officedocument.themeOverride+xml"/>
  <Override PartName="/word/charts/chart22.xml" ContentType="application/vnd.openxmlformats-officedocument.drawingml.chart+xml"/>
  <Override PartName="/word/theme/themeOverride16.xml" ContentType="application/vnd.openxmlformats-officedocument.themeOverride+xml"/>
  <Override PartName="/word/charts/chart2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7.xml" ContentType="application/vnd.openxmlformats-officedocument.themeOverride+xml"/>
  <Override PartName="/word/charts/chart24.xml" ContentType="application/vnd.openxmlformats-officedocument.drawingml.chart+xml"/>
  <Override PartName="/word/theme/themeOverride18.xml" ContentType="application/vnd.openxmlformats-officedocument.themeOverride+xml"/>
  <Override PartName="/word/charts/chart2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6.xml" ContentType="application/vnd.openxmlformats-officedocument.drawingml.chart+xml"/>
  <Override PartName="/word/theme/themeOverride19.xml" ContentType="application/vnd.openxmlformats-officedocument.themeOverride+xml"/>
  <Override PartName="/word/charts/chart27.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0.xml" ContentType="application/vnd.openxmlformats-officedocument.themeOverride+xml"/>
  <Override PartName="/word/charts/chart28.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21.xml" ContentType="application/vnd.openxmlformats-officedocument.themeOverride+xml"/>
  <Override PartName="/word/charts/chart29.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30.xml" ContentType="application/vnd.openxmlformats-officedocument.drawingml.chart+xml"/>
  <Override PartName="/word/theme/themeOverride22.xml" ContentType="application/vnd.openxmlformats-officedocument.themeOverride+xml"/>
  <Override PartName="/word/charts/chart31.xml" ContentType="application/vnd.openxmlformats-officedocument.drawingml.chart+xml"/>
  <Override PartName="/word/theme/themeOverride23.xml" ContentType="application/vnd.openxmlformats-officedocument.themeOverride+xml"/>
  <Override PartName="/word/charts/chart32.xml" ContentType="application/vnd.openxmlformats-officedocument.drawingml.chart+xml"/>
  <Override PartName="/word/theme/themeOverride24.xml" ContentType="application/vnd.openxmlformats-officedocument.themeOverride+xml"/>
  <Override PartName="/word/charts/chart33.xml" ContentType="application/vnd.openxmlformats-officedocument.drawingml.chart+xml"/>
  <Override PartName="/word/theme/themeOverride25.xml" ContentType="application/vnd.openxmlformats-officedocument.themeOverride+xml"/>
  <Override PartName="/word/charts/chart34.xml" ContentType="application/vnd.openxmlformats-officedocument.drawingml.chart+xml"/>
  <Override PartName="/word/theme/themeOverride26.xml" ContentType="application/vnd.openxmlformats-officedocument.themeOverride+xml"/>
  <Override PartName="/word/charts/chart35.xml" ContentType="application/vnd.openxmlformats-officedocument.drawingml.chart+xml"/>
  <Override PartName="/word/theme/themeOverride27.xml" ContentType="application/vnd.openxmlformats-officedocument.themeOverride+xml"/>
  <Override PartName="/word/charts/chart3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40.xml" ContentType="application/vnd.openxmlformats-officedocument.drawingml.chart+xml"/>
  <Override PartName="/word/theme/themeOverride28.xml" ContentType="application/vnd.openxmlformats-officedocument.themeOverride+xml"/>
  <Override PartName="/word/charts/chart4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42.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4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44.xml" ContentType="application/vnd.openxmlformats-officedocument.drawingml.chart+xml"/>
  <Override PartName="/word/theme/themeOverride29.xml" ContentType="application/vnd.openxmlformats-officedocument.themeOverride+xml"/>
  <Override PartName="/word/charts/chart4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Ex2.xml" ContentType="application/vnd.ms-office.chartex+xml"/>
  <Override PartName="/word/charts/style23.xml" ContentType="application/vnd.ms-office.chartstyle+xml"/>
  <Override PartName="/word/charts/colors23.xml" ContentType="application/vnd.ms-office.chartcolorstyle+xml"/>
  <Override PartName="/word/charts/chart46.xml" ContentType="application/vnd.openxmlformats-officedocument.drawingml.chart+xml"/>
  <Override PartName="/word/theme/themeOverride30.xml" ContentType="application/vnd.openxmlformats-officedocument.themeOverride+xml"/>
  <Override PartName="/word/charts/chart47.xml" ContentType="application/vnd.openxmlformats-officedocument.drawingml.chart+xml"/>
  <Override PartName="/word/theme/themeOverride31.xml" ContentType="application/vnd.openxmlformats-officedocument.themeOverride+xml"/>
  <Override PartName="/word/charts/chart48.xml" ContentType="application/vnd.openxmlformats-officedocument.drawingml.chart+xml"/>
  <Override PartName="/word/theme/themeOverride32.xml" ContentType="application/vnd.openxmlformats-officedocument.themeOverride+xml"/>
  <Override PartName="/word/charts/chart49.xml" ContentType="application/vnd.openxmlformats-officedocument.drawingml.chart+xml"/>
  <Override PartName="/word/theme/themeOverride33.xml" ContentType="application/vnd.openxmlformats-officedocument.themeOverride+xml"/>
  <Override PartName="/word/charts/chart50.xml" ContentType="application/vnd.openxmlformats-officedocument.drawingml.chart+xml"/>
  <Override PartName="/word/theme/themeOverride34.xml" ContentType="application/vnd.openxmlformats-officedocument.themeOverride+xml"/>
  <Override PartName="/word/charts/chart51.xml" ContentType="application/vnd.openxmlformats-officedocument.drawingml.chart+xml"/>
  <Override PartName="/word/charts/chart52.xml" ContentType="application/vnd.openxmlformats-officedocument.drawingml.chart+xml"/>
  <Override PartName="/word/theme/themeOverride35.xml" ContentType="application/vnd.openxmlformats-officedocument.themeOverride+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drawings/drawing2.xml" ContentType="application/vnd.openxmlformats-officedocument.drawingml.chartshapes+xml"/>
  <Override PartName="/word/charts/chart57.xml" ContentType="application/vnd.openxmlformats-officedocument.drawingml.chart+xml"/>
  <Override PartName="/word/drawings/drawing3.xml" ContentType="application/vnd.openxmlformats-officedocument.drawingml.chartshapes+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36.xml" ContentType="application/vnd.openxmlformats-officedocument.themeOverride+xml"/>
  <Override PartName="/word/charts/chart61.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62.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37.xml" ContentType="application/vnd.openxmlformats-officedocument.themeOverride+xml"/>
  <Override PartName="/word/charts/chart63.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38.xml" ContentType="application/vnd.openxmlformats-officedocument.themeOverride+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theme/themeOverride39.xml" ContentType="application/vnd.openxmlformats-officedocument.themeOverride+xml"/>
  <Override PartName="/word/charts/chart72.xml" ContentType="application/vnd.openxmlformats-officedocument.drawingml.chart+xml"/>
  <Override PartName="/word/theme/themeOverride40.xml" ContentType="application/vnd.openxmlformats-officedocument.themeOverride+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theme/themeOverride41.xml" ContentType="application/vnd.openxmlformats-officedocument.themeOverride+xml"/>
  <Override PartName="/word/charts/chart77.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78.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79.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80.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Ex3.xml" ContentType="application/vnd.ms-office.chartex+xml"/>
  <Override PartName="/word/charts/style32.xml" ContentType="application/vnd.ms-office.chartstyle+xml"/>
  <Override PartName="/word/charts/colors32.xml" ContentType="application/vnd.ms-office.chartcolorstyle+xml"/>
  <Override PartName="/word/charts/chart81.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82.xml" ContentType="application/vnd.openxmlformats-officedocument.drawingml.chart+xml"/>
  <Override PartName="/word/charts/chart83.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84.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85.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42.xml" ContentType="application/vnd.openxmlformats-officedocument.themeOverride+xml"/>
  <Override PartName="/word/charts/chart86.xml" ContentType="application/vnd.openxmlformats-officedocument.drawingml.chart+xml"/>
  <Override PartName="/word/drawings/drawing4.xml" ContentType="application/vnd.openxmlformats-officedocument.drawingml.chartshapes+xml"/>
  <Override PartName="/word/charts/chart8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43.xml" ContentType="application/vnd.openxmlformats-officedocument.themeOverride+xml"/>
  <Override PartName="/word/charts/chart88.xml" ContentType="application/vnd.openxmlformats-officedocument.drawingml.chart+xml"/>
  <Override PartName="/word/theme/themeOverride44.xml" ContentType="application/vnd.openxmlformats-officedocument.themeOverride+xml"/>
  <Override PartName="/word/drawings/drawing5.xml" ContentType="application/vnd.openxmlformats-officedocument.drawingml.chartshapes+xml"/>
  <Override PartName="/word/charts/chart89.xml" ContentType="application/vnd.openxmlformats-officedocument.drawingml.chart+xml"/>
  <Override PartName="/word/theme/themeOverride45.xml" ContentType="application/vnd.openxmlformats-officedocument.themeOverride+xml"/>
  <Override PartName="/word/drawings/drawing6.xml" ContentType="application/vnd.openxmlformats-officedocument.drawingml.chartshapes+xml"/>
  <Override PartName="/word/charts/chart90.xml" ContentType="application/vnd.openxmlformats-officedocument.drawingml.chart+xml"/>
  <Override PartName="/word/theme/themeOverride46.xml" ContentType="application/vnd.openxmlformats-officedocument.themeOverride+xml"/>
  <Override PartName="/word/charts/chart91.xml" ContentType="application/vnd.openxmlformats-officedocument.drawingml.chart+xml"/>
  <Override PartName="/word/theme/themeOverride47.xml" ContentType="application/vnd.openxmlformats-officedocument.themeOverride+xml"/>
  <Override PartName="/word/charts/chart92.xml" ContentType="application/vnd.openxmlformats-officedocument.drawingml.chart+xml"/>
  <Override PartName="/word/theme/themeOverride48.xml" ContentType="application/vnd.openxmlformats-officedocument.themeOverride+xml"/>
  <Override PartName="/word/charts/chart93.xml" ContentType="application/vnd.openxmlformats-officedocument.drawingml.chart+xml"/>
  <Override PartName="/word/theme/themeOverride49.xml" ContentType="application/vnd.openxmlformats-officedocument.themeOverride+xml"/>
  <Override PartName="/word/charts/chart94.xml" ContentType="application/vnd.openxmlformats-officedocument.drawingml.chart+xml"/>
  <Override PartName="/word/theme/themeOverride50.xml" ContentType="application/vnd.openxmlformats-officedocument.themeOverride+xml"/>
  <Override PartName="/word/charts/chart95.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51.xml" ContentType="application/vnd.openxmlformats-officedocument.themeOverride+xml"/>
  <Override PartName="/word/charts/chart96.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97.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98.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99.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100.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52.xml" ContentType="application/vnd.openxmlformats-officedocument.themeOverride+xml"/>
  <Override PartName="/word/charts/chart101.xml" ContentType="application/vnd.openxmlformats-officedocument.drawingml.chart+xml"/>
  <Override PartName="/word/theme/themeOverride53.xml" ContentType="application/vnd.openxmlformats-officedocument.themeOverride+xml"/>
  <Override PartName="/word/charts/chart102.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54.xml" ContentType="application/vnd.openxmlformats-officedocument.themeOverride+xml"/>
  <Override PartName="/word/charts/chart103.xml" ContentType="application/vnd.openxmlformats-officedocument.drawingml.chart+xml"/>
  <Override PartName="/word/theme/themeOverride55.xml" ContentType="application/vnd.openxmlformats-officedocument.themeOverride+xml"/>
  <Override PartName="/word/charts/chart104.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105.xml" ContentType="application/vnd.openxmlformats-officedocument.drawingml.chart+xml"/>
  <Override PartName="/word/drawings/drawing7.xml" ContentType="application/vnd.openxmlformats-officedocument.drawingml.chartshapes+xml"/>
  <Override PartName="/word/charts/chart106.xml" ContentType="application/vnd.openxmlformats-officedocument.drawingml.chart+xml"/>
  <Override PartName="/word/theme/themeOverride56.xml" ContentType="application/vnd.openxmlformats-officedocument.themeOverride+xml"/>
  <Override PartName="/word/charts/chart107.xml" ContentType="application/vnd.openxmlformats-officedocument.drawingml.chart+xml"/>
  <Override PartName="/word/theme/themeOverride57.xml" ContentType="application/vnd.openxmlformats-officedocument.themeOverride+xml"/>
  <Override PartName="/word/charts/chart108.xml" ContentType="application/vnd.openxmlformats-officedocument.drawingml.chart+xml"/>
  <Override PartName="/word/theme/themeOverride58.xml" ContentType="application/vnd.openxmlformats-officedocument.themeOverride+xml"/>
  <Override PartName="/word/charts/chart109.xml" ContentType="application/vnd.openxmlformats-officedocument.drawingml.chart+xml"/>
  <Override PartName="/word/theme/themeOverride59.xml" ContentType="application/vnd.openxmlformats-officedocument.themeOverride+xml"/>
  <Override PartName="/word/charts/chart110.xml" ContentType="application/vnd.openxmlformats-officedocument.drawingml.chart+xml"/>
  <Override PartName="/word/drawings/drawing8.xml" ContentType="application/vnd.openxmlformats-officedocument.drawingml.chartshapes+xml"/>
  <Override PartName="/word/charts/chart111.xml" ContentType="application/vnd.openxmlformats-officedocument.drawingml.chart+xml"/>
  <Override PartName="/word/theme/themeOverride60.xml" ContentType="application/vnd.openxmlformats-officedocument.themeOverride+xml"/>
  <Override PartName="/word/charts/chart112.xml" ContentType="application/vnd.openxmlformats-officedocument.drawingml.chart+xml"/>
  <Override PartName="/word/theme/themeOverride61.xml" ContentType="application/vnd.openxmlformats-officedocument.themeOverride+xml"/>
  <Override PartName="/word/charts/chart113.xml" ContentType="application/vnd.openxmlformats-officedocument.drawingml.chart+xml"/>
  <Override PartName="/word/theme/themeOverride62.xml" ContentType="application/vnd.openxmlformats-officedocument.themeOverride+xml"/>
  <Override PartName="/word/charts/chart114.xml" ContentType="application/vnd.openxmlformats-officedocument.drawingml.chart+xml"/>
  <Override PartName="/word/theme/themeOverride63.xml" ContentType="application/vnd.openxmlformats-officedocument.themeOverride+xml"/>
  <Override PartName="/word/charts/chart115.xml" ContentType="application/vnd.openxmlformats-officedocument.drawingml.chart+xml"/>
  <Override PartName="/word/theme/themeOverride64.xml" ContentType="application/vnd.openxmlformats-officedocument.themeOverride+xml"/>
  <Override PartName="/word/charts/chart116.xml" ContentType="application/vnd.openxmlformats-officedocument.drawingml.chart+xml"/>
  <Override PartName="/word/theme/themeOverride65.xml" ContentType="application/vnd.openxmlformats-officedocument.themeOverride+xml"/>
  <Override PartName="/word/charts/chart117.xml" ContentType="application/vnd.openxmlformats-officedocument.drawingml.chart+xml"/>
  <Override PartName="/word/theme/themeOverride66.xml" ContentType="application/vnd.openxmlformats-officedocument.themeOverride+xml"/>
  <Override PartName="/word/charts/chart118.xml" ContentType="application/vnd.openxmlformats-officedocument.drawingml.chart+xml"/>
  <Override PartName="/word/theme/themeOverride67.xml" ContentType="application/vnd.openxmlformats-officedocument.themeOverride+xml"/>
  <Override PartName="/word/charts/chart119.xml" ContentType="application/vnd.openxmlformats-officedocument.drawingml.chart+xml"/>
  <Override PartName="/word/theme/themeOverride68.xml" ContentType="application/vnd.openxmlformats-officedocument.themeOverride+xml"/>
  <Override PartName="/word/charts/chart120.xml" ContentType="application/vnd.openxmlformats-officedocument.drawingml.chart+xml"/>
  <Override PartName="/word/theme/themeOverride69.xml" ContentType="application/vnd.openxmlformats-officedocument.themeOverride+xml"/>
  <Override PartName="/word/charts/chart121.xml" ContentType="application/vnd.openxmlformats-officedocument.drawingml.chart+xml"/>
  <Override PartName="/word/theme/themeOverride70.xml" ContentType="application/vnd.openxmlformats-officedocument.themeOverride+xml"/>
  <Override PartName="/word/charts/chart122.xml" ContentType="application/vnd.openxmlformats-officedocument.drawingml.chart+xml"/>
  <Override PartName="/word/theme/themeOverride71.xml" ContentType="application/vnd.openxmlformats-officedocument.themeOverride+xml"/>
  <Override PartName="/word/charts/chart123.xml" ContentType="application/vnd.openxmlformats-officedocument.drawingml.chart+xml"/>
  <Override PartName="/word/theme/themeOverride72.xml" ContentType="application/vnd.openxmlformats-officedocument.themeOverride+xml"/>
  <Override PartName="/word/charts/chart124.xml" ContentType="application/vnd.openxmlformats-officedocument.drawingml.chart+xml"/>
  <Override PartName="/word/theme/themeOverride73.xml" ContentType="application/vnd.openxmlformats-officedocument.themeOverride+xml"/>
  <Override PartName="/word/charts/chart125.xml" ContentType="application/vnd.openxmlformats-officedocument.drawingml.chart+xml"/>
  <Override PartName="/word/theme/themeOverride74.xml" ContentType="application/vnd.openxmlformats-officedocument.themeOverride+xml"/>
  <Override PartName="/word/charts/chart126.xml" ContentType="application/vnd.openxmlformats-officedocument.drawingml.chart+xml"/>
  <Override PartName="/word/theme/themeOverride75.xml" ContentType="application/vnd.openxmlformats-officedocument.themeOverride+xml"/>
  <Override PartName="/word/charts/chart127.xml" ContentType="application/vnd.openxmlformats-officedocument.drawingml.chart+xml"/>
  <Override PartName="/word/theme/themeOverride76.xml" ContentType="application/vnd.openxmlformats-officedocument.themeOverride+xml"/>
  <Override PartName="/word/charts/chart128.xml" ContentType="application/vnd.openxmlformats-officedocument.drawingml.chart+xml"/>
  <Override PartName="/word/theme/themeOverride77.xml" ContentType="application/vnd.openxmlformats-officedocument.themeOverride+xml"/>
  <Override PartName="/word/charts/chart129.xml" ContentType="application/vnd.openxmlformats-officedocument.drawingml.chart+xml"/>
  <Override PartName="/word/theme/themeOverride78.xml" ContentType="application/vnd.openxmlformats-officedocument.themeOverride+xml"/>
  <Override PartName="/word/charts/chart130.xml" ContentType="application/vnd.openxmlformats-officedocument.drawingml.chart+xml"/>
  <Override PartName="/word/theme/themeOverride79.xml" ContentType="application/vnd.openxmlformats-officedocument.themeOverride+xml"/>
  <Override PartName="/word/charts/chart131.xml" ContentType="application/vnd.openxmlformats-officedocument.drawingml.chart+xml"/>
  <Override PartName="/word/theme/themeOverride80.xml" ContentType="application/vnd.openxmlformats-officedocument.themeOverride+xml"/>
  <Override PartName="/word/charts/chart132.xml" ContentType="application/vnd.openxmlformats-officedocument.drawingml.chart+xml"/>
  <Override PartName="/word/theme/themeOverride81.xml" ContentType="application/vnd.openxmlformats-officedocument.themeOverride+xml"/>
  <Override PartName="/word/charts/chart133.xml" ContentType="application/vnd.openxmlformats-officedocument.drawingml.chart+xml"/>
  <Override PartName="/word/theme/themeOverride82.xml" ContentType="application/vnd.openxmlformats-officedocument.themeOverride+xml"/>
  <Override PartName="/word/charts/chart134.xml" ContentType="application/vnd.openxmlformats-officedocument.drawingml.chart+xml"/>
  <Override PartName="/word/theme/themeOverride83.xml" ContentType="application/vnd.openxmlformats-officedocument.themeOverride+xml"/>
  <Override PartName="/word/charts/chart135.xml" ContentType="application/vnd.openxmlformats-officedocument.drawingml.chart+xml"/>
  <Override PartName="/word/drawings/drawing9.xml" ContentType="application/vnd.openxmlformats-officedocument.drawingml.chartshapes+xml"/>
  <Override PartName="/word/charts/chart136.xml" ContentType="application/vnd.openxmlformats-officedocument.drawingml.chart+xml"/>
  <Override PartName="/word/theme/themeOverride84.xml" ContentType="application/vnd.openxmlformats-officedocument.themeOverride+xml"/>
  <Override PartName="/word/charts/chart137.xml" ContentType="application/vnd.openxmlformats-officedocument.drawingml.chart+xml"/>
  <Override PartName="/word/theme/themeOverride85.xml" ContentType="application/vnd.openxmlformats-officedocument.themeOverride+xml"/>
  <Override PartName="/word/charts/chart138.xml" ContentType="application/vnd.openxmlformats-officedocument.drawingml.chart+xml"/>
  <Override PartName="/word/theme/themeOverride86.xml" ContentType="application/vnd.openxmlformats-officedocument.themeOverride+xml"/>
  <Override PartName="/word/charts/chart139.xml" ContentType="application/vnd.openxmlformats-officedocument.drawingml.chart+xml"/>
  <Override PartName="/word/theme/themeOverride87.xml" ContentType="application/vnd.openxmlformats-officedocument.themeOverride+xml"/>
  <Override PartName="/word/charts/chart140.xml" ContentType="application/vnd.openxmlformats-officedocument.drawingml.chart+xml"/>
  <Override PartName="/word/theme/themeOverride88.xml" ContentType="application/vnd.openxmlformats-officedocument.themeOverride+xml"/>
  <Override PartName="/word/charts/chart141.xml" ContentType="application/vnd.openxmlformats-officedocument.drawingml.chart+xml"/>
  <Override PartName="/word/theme/themeOverride89.xml" ContentType="application/vnd.openxmlformats-officedocument.themeOverride+xml"/>
  <Override PartName="/word/charts/chart142.xml" ContentType="application/vnd.openxmlformats-officedocument.drawingml.chart+xml"/>
  <Override PartName="/word/theme/themeOverride90.xml" ContentType="application/vnd.openxmlformats-officedocument.themeOverride+xml"/>
  <Override PartName="/word/charts/chart143.xml" ContentType="application/vnd.openxmlformats-officedocument.drawingml.chart+xml"/>
  <Override PartName="/word/theme/themeOverride91.xml" ContentType="application/vnd.openxmlformats-officedocument.themeOverride+xml"/>
  <Override PartName="/word/charts/chart144.xml" ContentType="application/vnd.openxmlformats-officedocument.drawingml.chart+xml"/>
  <Override PartName="/word/theme/themeOverride92.xml" ContentType="application/vnd.openxmlformats-officedocument.themeOverride+xml"/>
  <Override PartName="/word/charts/chart145.xml" ContentType="application/vnd.openxmlformats-officedocument.drawingml.chart+xml"/>
  <Override PartName="/word/theme/themeOverride93.xml" ContentType="application/vnd.openxmlformats-officedocument.themeOverride+xml"/>
  <Override PartName="/word/charts/chart146.xml" ContentType="application/vnd.openxmlformats-officedocument.drawingml.chart+xml"/>
  <Override PartName="/word/theme/themeOverride94.xml" ContentType="application/vnd.openxmlformats-officedocument.themeOverride+xml"/>
  <Override PartName="/word/charts/chart147.xml" ContentType="application/vnd.openxmlformats-officedocument.drawingml.chart+xml"/>
  <Override PartName="/word/theme/themeOverride95.xml" ContentType="application/vnd.openxmlformats-officedocument.themeOverride+xml"/>
  <Override PartName="/word/charts/chart148.xml" ContentType="application/vnd.openxmlformats-officedocument.drawingml.chart+xml"/>
  <Override PartName="/word/theme/themeOverride96.xml" ContentType="application/vnd.openxmlformats-officedocument.themeOverride+xml"/>
  <Override PartName="/word/charts/chart149.xml" ContentType="application/vnd.openxmlformats-officedocument.drawingml.chart+xml"/>
  <Override PartName="/word/theme/themeOverride97.xml" ContentType="application/vnd.openxmlformats-officedocument.themeOverride+xml"/>
  <Override PartName="/word/charts/chart150.xml" ContentType="application/vnd.openxmlformats-officedocument.drawingml.chart+xml"/>
  <Override PartName="/word/theme/themeOverride98.xml" ContentType="application/vnd.openxmlformats-officedocument.themeOverride+xml"/>
  <Override PartName="/word/charts/chart151.xml" ContentType="application/vnd.openxmlformats-officedocument.drawingml.chart+xml"/>
  <Override PartName="/word/theme/themeOverride99.xml" ContentType="application/vnd.openxmlformats-officedocument.themeOverride+xml"/>
  <Override PartName="/word/charts/chart152.xml" ContentType="application/vnd.openxmlformats-officedocument.drawingml.chart+xml"/>
  <Override PartName="/word/theme/themeOverride100.xml" ContentType="application/vnd.openxmlformats-officedocument.themeOverride+xml"/>
  <Override PartName="/word/charts/chart153.xml" ContentType="application/vnd.openxmlformats-officedocument.drawingml.chart+xml"/>
  <Override PartName="/word/theme/themeOverride101.xml" ContentType="application/vnd.openxmlformats-officedocument.themeOverride+xml"/>
  <Override PartName="/word/charts/chart154.xml" ContentType="application/vnd.openxmlformats-officedocument.drawingml.chart+xml"/>
  <Override PartName="/word/theme/themeOverride102.xml" ContentType="application/vnd.openxmlformats-officedocument.themeOverride+xml"/>
  <Override PartName="/word/charts/chart155.xml" ContentType="application/vnd.openxmlformats-officedocument.drawingml.chart+xml"/>
  <Override PartName="/word/theme/themeOverride103.xml" ContentType="application/vnd.openxmlformats-officedocument.themeOverride+xml"/>
  <Override PartName="/word/charts/chart156.xml" ContentType="application/vnd.openxmlformats-officedocument.drawingml.chart+xml"/>
  <Override PartName="/word/theme/themeOverride104.xml" ContentType="application/vnd.openxmlformats-officedocument.themeOverride+xml"/>
  <Override PartName="/word/charts/chart157.xml" ContentType="application/vnd.openxmlformats-officedocument.drawingml.chart+xml"/>
  <Override PartName="/word/theme/themeOverride105.xml" ContentType="application/vnd.openxmlformats-officedocument.themeOverride+xml"/>
  <Override PartName="/word/charts/chart158.xml" ContentType="application/vnd.openxmlformats-officedocument.drawingml.chart+xml"/>
  <Override PartName="/word/theme/themeOverride106.xml" ContentType="application/vnd.openxmlformats-officedocument.themeOverride+xml"/>
  <Override PartName="/word/charts/chart159.xml" ContentType="application/vnd.openxmlformats-officedocument.drawingml.chart+xml"/>
  <Override PartName="/word/theme/themeOverride107.xml" ContentType="application/vnd.openxmlformats-officedocument.themeOverride+xml"/>
  <Override PartName="/word/charts/chart160.xml" ContentType="application/vnd.openxmlformats-officedocument.drawingml.chart+xml"/>
  <Override PartName="/word/theme/themeOverride108.xml" ContentType="application/vnd.openxmlformats-officedocument.themeOverride+xml"/>
  <Override PartName="/word/charts/chart161.xml" ContentType="application/vnd.openxmlformats-officedocument.drawingml.chart+xml"/>
  <Override PartName="/word/theme/themeOverride109.xml" ContentType="application/vnd.openxmlformats-officedocument.themeOverride+xml"/>
  <Override PartName="/word/charts/chart162.xml" ContentType="application/vnd.openxmlformats-officedocument.drawingml.chart+xml"/>
  <Override PartName="/word/theme/themeOverride110.xml" ContentType="application/vnd.openxmlformats-officedocument.themeOverride+xml"/>
  <Override PartName="/word/charts/chart163.xml" ContentType="application/vnd.openxmlformats-officedocument.drawingml.chart+xml"/>
  <Override PartName="/word/theme/themeOverride111.xml" ContentType="application/vnd.openxmlformats-officedocument.themeOverride+xml"/>
  <Override PartName="/word/charts/chart164.xml" ContentType="application/vnd.openxmlformats-officedocument.drawingml.chart+xml"/>
  <Override PartName="/word/theme/themeOverride112.xml" ContentType="application/vnd.openxmlformats-officedocument.themeOverride+xml"/>
  <Override PartName="/word/charts/chart165.xml" ContentType="application/vnd.openxmlformats-officedocument.drawingml.chart+xml"/>
  <Override PartName="/word/theme/themeOverride113.xml" ContentType="application/vnd.openxmlformats-officedocument.themeOverride+xml"/>
  <Override PartName="/word/charts/chart166.xml" ContentType="application/vnd.openxmlformats-officedocument.drawingml.chart+xml"/>
  <Override PartName="/word/theme/themeOverride114.xml" ContentType="application/vnd.openxmlformats-officedocument.themeOverride+xml"/>
  <Override PartName="/word/charts/chart167.xml" ContentType="application/vnd.openxmlformats-officedocument.drawingml.chart+xml"/>
  <Override PartName="/word/theme/themeOverride115.xml" ContentType="application/vnd.openxmlformats-officedocument.themeOverride+xml"/>
  <Override PartName="/word/charts/chart168.xml" ContentType="application/vnd.openxmlformats-officedocument.drawingml.chart+xml"/>
  <Override PartName="/word/theme/themeOverride116.xml" ContentType="application/vnd.openxmlformats-officedocument.themeOverride+xml"/>
  <Override PartName="/word/charts/chart169.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117.xml" ContentType="application/vnd.openxmlformats-officedocument.themeOverride+xml"/>
  <Override PartName="/word/charts/chart170.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171.xml" ContentType="application/vnd.openxmlformats-officedocument.drawingml.chart+xml"/>
  <Override PartName="/word/drawings/drawing10.xml" ContentType="application/vnd.openxmlformats-officedocument.drawingml.chartshapes+xml"/>
  <Override PartName="/word/charts/chart172.xml" ContentType="application/vnd.openxmlformats-officedocument.drawingml.chart+xml"/>
  <Override PartName="/word/drawings/drawing1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A0168" w14:textId="77777777" w:rsidR="007818B0" w:rsidRPr="0080669C" w:rsidRDefault="007818B0" w:rsidP="007818B0">
      <w:pPr>
        <w:pStyle w:val="BodyTextIndent2"/>
        <w:spacing w:after="240" w:line="240" w:lineRule="auto"/>
        <w:ind w:left="0"/>
        <w:jc w:val="center"/>
        <w:rPr>
          <w:rFonts w:ascii="Aptos Narrow" w:hAnsi="Aptos Narrow"/>
        </w:rPr>
      </w:pPr>
      <w:bookmarkStart w:id="0" w:name="_Hlk169629390"/>
      <w:bookmarkStart w:id="1" w:name="_Toc357503109"/>
      <w:bookmarkStart w:id="2" w:name="_Toc388618379"/>
      <w:bookmarkStart w:id="3" w:name="_Toc390350656"/>
      <w:bookmarkStart w:id="4" w:name="_Toc357503117"/>
      <w:bookmarkEnd w:id="0"/>
    </w:p>
    <w:p w14:paraId="1AA49420" w14:textId="77777777" w:rsidR="007818B0" w:rsidRPr="0080669C" w:rsidRDefault="007818B0" w:rsidP="007818B0">
      <w:pPr>
        <w:pStyle w:val="BodyTextIndent2"/>
        <w:spacing w:after="240" w:line="240" w:lineRule="auto"/>
        <w:ind w:left="0"/>
        <w:jc w:val="center"/>
        <w:rPr>
          <w:rFonts w:ascii="Aptos Narrow" w:hAnsi="Aptos Narrow"/>
        </w:rPr>
      </w:pPr>
    </w:p>
    <w:p w14:paraId="36D362F3" w14:textId="77777777" w:rsidR="007818B0" w:rsidRPr="0080669C" w:rsidRDefault="007818B0" w:rsidP="007818B0">
      <w:pPr>
        <w:pStyle w:val="BodyTextIndent2"/>
        <w:spacing w:after="240" w:line="240" w:lineRule="auto"/>
        <w:ind w:left="0"/>
        <w:jc w:val="center"/>
        <w:rPr>
          <w:rFonts w:ascii="Aptos Narrow" w:hAnsi="Aptos Narrow"/>
        </w:rPr>
      </w:pPr>
    </w:p>
    <w:p w14:paraId="6687CE28" w14:textId="77777777" w:rsidR="007818B0" w:rsidRPr="0080669C" w:rsidRDefault="007818B0" w:rsidP="007818B0">
      <w:pPr>
        <w:pStyle w:val="BodyTextIndent2"/>
        <w:spacing w:after="240" w:line="240" w:lineRule="auto"/>
        <w:ind w:left="0"/>
        <w:jc w:val="center"/>
        <w:rPr>
          <w:rFonts w:ascii="Aptos Narrow" w:hAnsi="Aptos Narrow"/>
        </w:rPr>
      </w:pPr>
    </w:p>
    <w:p w14:paraId="02FCB21F" w14:textId="77777777" w:rsidR="007818B0" w:rsidRPr="0080669C" w:rsidRDefault="007818B0" w:rsidP="007818B0">
      <w:pPr>
        <w:pStyle w:val="BodyTextIndent2"/>
        <w:spacing w:after="240" w:line="240" w:lineRule="auto"/>
        <w:ind w:left="0"/>
        <w:jc w:val="center"/>
        <w:rPr>
          <w:rFonts w:ascii="Aptos Narrow" w:hAnsi="Aptos Narrow"/>
        </w:rPr>
      </w:pPr>
    </w:p>
    <w:p w14:paraId="38974700" w14:textId="77777777" w:rsidR="007818B0" w:rsidRPr="0080669C" w:rsidRDefault="007818B0" w:rsidP="007818B0">
      <w:pPr>
        <w:pStyle w:val="BodyTextIndent2"/>
        <w:spacing w:after="240" w:line="240" w:lineRule="auto"/>
        <w:ind w:left="0"/>
        <w:jc w:val="center"/>
        <w:rPr>
          <w:rFonts w:ascii="Aptos Narrow" w:hAnsi="Aptos Narrow"/>
        </w:rPr>
      </w:pPr>
    </w:p>
    <w:p w14:paraId="1E8B9C99" w14:textId="0C7ED5B2" w:rsidR="007818B0" w:rsidRPr="0080669C" w:rsidRDefault="007818B0" w:rsidP="0098249D">
      <w:pPr>
        <w:pStyle w:val="BodyTextIndent2"/>
        <w:spacing w:after="0" w:line="360" w:lineRule="auto"/>
        <w:ind w:left="0"/>
        <w:jc w:val="center"/>
        <w:rPr>
          <w:rFonts w:ascii="Aptos Narrow" w:hAnsi="Aptos Narrow"/>
          <w:bCs/>
          <w:sz w:val="60"/>
          <w:szCs w:val="60"/>
        </w:rPr>
      </w:pPr>
      <w:r w:rsidRPr="0080669C">
        <w:rPr>
          <w:rFonts w:ascii="Aptos Narrow" w:hAnsi="Aptos Narrow"/>
          <w:bCs/>
          <w:sz w:val="60"/>
          <w:szCs w:val="60"/>
        </w:rPr>
        <w:t xml:space="preserve">INFORMATĪVAIS ZIŅOJUMS </w:t>
      </w:r>
      <w:r w:rsidRPr="0080669C">
        <w:rPr>
          <w:rFonts w:ascii="Aptos Narrow" w:hAnsi="Aptos Narrow"/>
          <w:bCs/>
          <w:sz w:val="60"/>
          <w:szCs w:val="60"/>
        </w:rPr>
        <w:br/>
        <w:t>PAR DARBA TIRGUS VIDĒJA UN ILGTERMIŅA PROGNOZĒM</w:t>
      </w:r>
      <w:r w:rsidR="008E6714">
        <w:rPr>
          <w:rFonts w:ascii="Aptos Narrow" w:hAnsi="Aptos Narrow"/>
          <w:bCs/>
          <w:sz w:val="60"/>
          <w:szCs w:val="60"/>
        </w:rPr>
        <w:t xml:space="preserve"> LĪDZ 2040.GADAM</w:t>
      </w:r>
    </w:p>
    <w:p w14:paraId="0E19F593" w14:textId="77777777" w:rsidR="007818B0" w:rsidRPr="0080669C" w:rsidRDefault="007818B0" w:rsidP="007818B0">
      <w:pPr>
        <w:pStyle w:val="BodyTextIndent2"/>
        <w:spacing w:after="240" w:line="240" w:lineRule="auto"/>
        <w:ind w:left="0"/>
        <w:jc w:val="center"/>
        <w:rPr>
          <w:rFonts w:ascii="Aptos Narrow" w:hAnsi="Aptos Narrow"/>
        </w:rPr>
      </w:pPr>
    </w:p>
    <w:p w14:paraId="14EEB882" w14:textId="77777777" w:rsidR="007818B0" w:rsidRPr="0080669C" w:rsidRDefault="007818B0" w:rsidP="007818B0">
      <w:pPr>
        <w:pStyle w:val="BodyTextIndent2"/>
        <w:spacing w:after="240" w:line="240" w:lineRule="auto"/>
        <w:ind w:left="0"/>
        <w:jc w:val="center"/>
        <w:rPr>
          <w:rFonts w:ascii="Aptos Narrow" w:hAnsi="Aptos Narrow"/>
        </w:rPr>
      </w:pPr>
    </w:p>
    <w:p w14:paraId="25291E3B" w14:textId="77777777" w:rsidR="007818B0" w:rsidRPr="0080669C" w:rsidRDefault="007818B0" w:rsidP="007818B0">
      <w:pPr>
        <w:pStyle w:val="BodyTextIndent2"/>
        <w:spacing w:after="240" w:line="240" w:lineRule="auto"/>
        <w:ind w:left="0"/>
        <w:jc w:val="center"/>
        <w:rPr>
          <w:rFonts w:ascii="Aptos Narrow" w:hAnsi="Aptos Narrow"/>
        </w:rPr>
      </w:pPr>
    </w:p>
    <w:p w14:paraId="35799075" w14:textId="77777777" w:rsidR="007818B0" w:rsidRPr="0080669C" w:rsidRDefault="007818B0" w:rsidP="007818B0">
      <w:pPr>
        <w:pStyle w:val="BodyTextIndent2"/>
        <w:spacing w:after="240" w:line="240" w:lineRule="auto"/>
        <w:ind w:left="0"/>
        <w:jc w:val="center"/>
        <w:rPr>
          <w:rFonts w:ascii="Aptos Narrow" w:hAnsi="Aptos Narrow"/>
        </w:rPr>
      </w:pPr>
    </w:p>
    <w:p w14:paraId="13A795E0" w14:textId="77777777" w:rsidR="007818B0" w:rsidRPr="0080669C" w:rsidRDefault="007818B0" w:rsidP="007818B0">
      <w:pPr>
        <w:pStyle w:val="BodyTextIndent2"/>
        <w:spacing w:after="240" w:line="240" w:lineRule="auto"/>
        <w:ind w:left="0"/>
        <w:jc w:val="center"/>
        <w:rPr>
          <w:rFonts w:ascii="Aptos Narrow" w:hAnsi="Aptos Narrow"/>
        </w:rPr>
      </w:pPr>
    </w:p>
    <w:p w14:paraId="1F2D5CC9" w14:textId="77777777" w:rsidR="007818B0" w:rsidRPr="0080669C" w:rsidRDefault="007818B0" w:rsidP="007818B0">
      <w:pPr>
        <w:pStyle w:val="BodyTextIndent2"/>
        <w:spacing w:after="240" w:line="240" w:lineRule="auto"/>
        <w:ind w:left="0"/>
        <w:jc w:val="center"/>
        <w:rPr>
          <w:rFonts w:ascii="Aptos Narrow" w:hAnsi="Aptos Narrow"/>
        </w:rPr>
      </w:pPr>
    </w:p>
    <w:p w14:paraId="2A4D5D84" w14:textId="77777777" w:rsidR="007818B0" w:rsidRPr="0080669C" w:rsidRDefault="007818B0" w:rsidP="007818B0">
      <w:pPr>
        <w:pStyle w:val="BodyTextIndent2"/>
        <w:spacing w:after="240" w:line="240" w:lineRule="auto"/>
        <w:ind w:left="0"/>
        <w:jc w:val="center"/>
        <w:rPr>
          <w:rFonts w:ascii="Aptos Narrow" w:hAnsi="Aptos Narrow"/>
        </w:rPr>
      </w:pPr>
    </w:p>
    <w:p w14:paraId="75096A44" w14:textId="77777777" w:rsidR="007818B0" w:rsidRPr="0080669C" w:rsidRDefault="007818B0" w:rsidP="007818B0">
      <w:pPr>
        <w:pStyle w:val="BodyTextIndent2"/>
        <w:spacing w:after="240" w:line="240" w:lineRule="auto"/>
        <w:ind w:left="0"/>
        <w:jc w:val="center"/>
        <w:rPr>
          <w:rFonts w:ascii="Aptos Narrow" w:hAnsi="Aptos Narrow"/>
        </w:rPr>
      </w:pPr>
    </w:p>
    <w:p w14:paraId="7DBCB1BC" w14:textId="77777777" w:rsidR="007818B0" w:rsidRPr="0080669C" w:rsidRDefault="007818B0" w:rsidP="008E6714">
      <w:pPr>
        <w:pStyle w:val="BodyTextIndent2"/>
        <w:spacing w:after="240" w:line="240" w:lineRule="auto"/>
        <w:ind w:left="0"/>
        <w:rPr>
          <w:rFonts w:ascii="Aptos Narrow" w:hAnsi="Aptos Narrow"/>
        </w:rPr>
      </w:pPr>
    </w:p>
    <w:p w14:paraId="4AFB62DF" w14:textId="77777777" w:rsidR="007818B0" w:rsidRPr="0080669C" w:rsidRDefault="007818B0" w:rsidP="007818B0">
      <w:pPr>
        <w:pStyle w:val="BodyTextIndent2"/>
        <w:spacing w:after="240" w:line="240" w:lineRule="auto"/>
        <w:ind w:left="0"/>
        <w:jc w:val="center"/>
        <w:rPr>
          <w:rFonts w:ascii="Aptos Narrow" w:hAnsi="Aptos Narrow"/>
        </w:rPr>
      </w:pPr>
    </w:p>
    <w:p w14:paraId="290CDC4E" w14:textId="77777777" w:rsidR="007818B0" w:rsidRPr="0080669C" w:rsidRDefault="007818B0" w:rsidP="007818B0">
      <w:pPr>
        <w:pStyle w:val="BodyTextIndent2"/>
        <w:spacing w:after="240" w:line="240" w:lineRule="auto"/>
        <w:ind w:left="0"/>
        <w:jc w:val="center"/>
        <w:rPr>
          <w:rFonts w:ascii="Aptos Narrow" w:hAnsi="Aptos Narrow"/>
        </w:rPr>
      </w:pPr>
    </w:p>
    <w:p w14:paraId="72C267C1" w14:textId="7E8F19CF" w:rsidR="007818B0" w:rsidRPr="0080669C" w:rsidRDefault="007818B0" w:rsidP="007818B0">
      <w:pPr>
        <w:pStyle w:val="BodyTextIndent2"/>
        <w:spacing w:after="240" w:line="240" w:lineRule="auto"/>
        <w:ind w:left="0"/>
        <w:jc w:val="center"/>
        <w:rPr>
          <w:rFonts w:ascii="Aptos Narrow" w:hAnsi="Aptos Narrow"/>
          <w:sz w:val="40"/>
          <w:szCs w:val="40"/>
        </w:rPr>
      </w:pPr>
      <w:r w:rsidRPr="0080669C">
        <w:rPr>
          <w:rFonts w:ascii="Aptos Narrow" w:hAnsi="Aptos Narrow"/>
          <w:sz w:val="40"/>
          <w:szCs w:val="40"/>
        </w:rPr>
        <w:t>202</w:t>
      </w:r>
      <w:r w:rsidR="00B73A48" w:rsidRPr="0080669C">
        <w:rPr>
          <w:rFonts w:ascii="Aptos Narrow" w:hAnsi="Aptos Narrow"/>
          <w:sz w:val="40"/>
          <w:szCs w:val="40"/>
        </w:rPr>
        <w:t>4</w:t>
      </w:r>
      <w:r w:rsidRPr="0080669C">
        <w:rPr>
          <w:rFonts w:ascii="Aptos Narrow" w:hAnsi="Aptos Narrow"/>
          <w:sz w:val="40"/>
          <w:szCs w:val="40"/>
        </w:rPr>
        <w:br w:type="page"/>
      </w:r>
    </w:p>
    <w:p w14:paraId="27133F0A" w14:textId="7BA5CA18" w:rsidR="007818B0" w:rsidRPr="008D586E" w:rsidRDefault="008D586E" w:rsidP="008D586E">
      <w:pPr>
        <w:pStyle w:val="BodyTextIndent2"/>
        <w:spacing w:after="240" w:line="240" w:lineRule="auto"/>
        <w:ind w:left="0"/>
        <w:rPr>
          <w:rFonts w:ascii="Aptos Narrow" w:hAnsi="Aptos Narrow"/>
          <w:b/>
          <w:color w:val="5F497A" w:themeColor="accent4" w:themeShade="BF"/>
          <w:sz w:val="36"/>
          <w:szCs w:val="36"/>
        </w:rPr>
      </w:pPr>
      <w:r w:rsidRPr="008D586E">
        <w:rPr>
          <w:rFonts w:ascii="Aptos Narrow" w:hAnsi="Aptos Narrow"/>
          <w:b/>
          <w:color w:val="5F497A" w:themeColor="accent4" w:themeShade="BF"/>
          <w:sz w:val="36"/>
          <w:szCs w:val="36"/>
        </w:rPr>
        <w:lastRenderedPageBreak/>
        <w:t>IEVADS</w:t>
      </w:r>
    </w:p>
    <w:p w14:paraId="28663A13" w14:textId="77777777" w:rsidR="007818B0" w:rsidRPr="00B73A48" w:rsidRDefault="007818B0" w:rsidP="003677B6">
      <w:pPr>
        <w:pStyle w:val="Taksts11"/>
        <w:spacing w:after="120"/>
        <w:ind w:firstLine="0"/>
        <w:jc w:val="left"/>
        <w:rPr>
          <w:color w:val="000000"/>
          <w:sz w:val="20"/>
          <w:highlight w:val="yellow"/>
          <w:lang w:val="lv-LV"/>
        </w:rPr>
      </w:pPr>
    </w:p>
    <w:p w14:paraId="7D53D3EB" w14:textId="106E75BB" w:rsidR="00485D83" w:rsidRPr="003B4CDA" w:rsidRDefault="00485D83" w:rsidP="003677B6">
      <w:pPr>
        <w:pStyle w:val="BodyTextIndent2"/>
        <w:spacing w:line="240" w:lineRule="auto"/>
        <w:ind w:left="0"/>
        <w:jc w:val="both"/>
        <w:rPr>
          <w:sz w:val="20"/>
          <w:szCs w:val="20"/>
        </w:rPr>
      </w:pPr>
      <w:r w:rsidRPr="003B4CDA">
        <w:rPr>
          <w:sz w:val="20"/>
          <w:szCs w:val="20"/>
        </w:rPr>
        <w:t>Izpildot Ministru kabineta 2009.</w:t>
      </w:r>
      <w:r w:rsidR="00551FB5">
        <w:rPr>
          <w:sz w:val="20"/>
          <w:szCs w:val="20"/>
        </w:rPr>
        <w:t xml:space="preserve"> </w:t>
      </w:r>
      <w:r w:rsidR="0080669C">
        <w:rPr>
          <w:sz w:val="20"/>
          <w:szCs w:val="20"/>
        </w:rPr>
        <w:t>gad</w:t>
      </w:r>
      <w:r w:rsidRPr="003B4CDA">
        <w:rPr>
          <w:sz w:val="20"/>
          <w:szCs w:val="20"/>
        </w:rPr>
        <w:t xml:space="preserve">a 14. jūlija </w:t>
      </w:r>
      <w:proofErr w:type="spellStart"/>
      <w:r w:rsidRPr="003B4CDA">
        <w:rPr>
          <w:sz w:val="20"/>
          <w:szCs w:val="20"/>
        </w:rPr>
        <w:t>protokollēmumu</w:t>
      </w:r>
      <w:proofErr w:type="spellEnd"/>
      <w:r w:rsidRPr="003B4CDA">
        <w:rPr>
          <w:sz w:val="20"/>
          <w:szCs w:val="20"/>
        </w:rPr>
        <w:t xml:space="preserve"> Nr.</w:t>
      </w:r>
      <w:r w:rsidR="00216915">
        <w:rPr>
          <w:sz w:val="20"/>
          <w:szCs w:val="20"/>
        </w:rPr>
        <w:t> </w:t>
      </w:r>
      <w:r w:rsidRPr="003B4CDA">
        <w:rPr>
          <w:sz w:val="20"/>
          <w:szCs w:val="20"/>
        </w:rPr>
        <w:t>48 24.</w:t>
      </w:r>
      <w:r w:rsidR="00216915">
        <w:rPr>
          <w:sz w:val="20"/>
          <w:szCs w:val="20"/>
        </w:rPr>
        <w:t> </w:t>
      </w:r>
      <w:r w:rsidRPr="003B4CDA">
        <w:rPr>
          <w:sz w:val="20"/>
          <w:szCs w:val="20"/>
        </w:rPr>
        <w:t>§ un 2016</w:t>
      </w:r>
      <w:r w:rsidR="00FF63B5">
        <w:rPr>
          <w:sz w:val="20"/>
          <w:szCs w:val="20"/>
        </w:rPr>
        <w:t>. gad</w:t>
      </w:r>
      <w:r w:rsidRPr="003B4CDA">
        <w:rPr>
          <w:sz w:val="20"/>
          <w:szCs w:val="20"/>
        </w:rPr>
        <w:t xml:space="preserve">a 8. novembra </w:t>
      </w:r>
      <w:proofErr w:type="spellStart"/>
      <w:r w:rsidRPr="003B4CDA">
        <w:rPr>
          <w:sz w:val="20"/>
          <w:szCs w:val="20"/>
        </w:rPr>
        <w:t>protokollēmumu</w:t>
      </w:r>
      <w:proofErr w:type="spellEnd"/>
      <w:r>
        <w:rPr>
          <w:sz w:val="20"/>
          <w:szCs w:val="20"/>
        </w:rPr>
        <w:t xml:space="preserve"> </w:t>
      </w:r>
      <w:r w:rsidRPr="003B4CDA">
        <w:rPr>
          <w:sz w:val="20"/>
          <w:szCs w:val="20"/>
        </w:rPr>
        <w:t>Nr.</w:t>
      </w:r>
      <w:r w:rsidR="00216915">
        <w:rPr>
          <w:sz w:val="20"/>
          <w:szCs w:val="20"/>
        </w:rPr>
        <w:t> </w:t>
      </w:r>
      <w:r w:rsidRPr="003B4CDA">
        <w:rPr>
          <w:sz w:val="20"/>
          <w:szCs w:val="20"/>
        </w:rPr>
        <w:t>60 11.</w:t>
      </w:r>
      <w:r w:rsidR="00216915">
        <w:rPr>
          <w:sz w:val="20"/>
          <w:szCs w:val="20"/>
        </w:rPr>
        <w:t> </w:t>
      </w:r>
      <w:r w:rsidRPr="003B4CDA">
        <w:rPr>
          <w:sz w:val="20"/>
          <w:szCs w:val="20"/>
        </w:rPr>
        <w:t xml:space="preserve">§, Ekonomikas ministrija ir sagatavojusi </w:t>
      </w:r>
      <w:r w:rsidRPr="00D331AA">
        <w:rPr>
          <w:i/>
          <w:iCs/>
          <w:sz w:val="20"/>
          <w:szCs w:val="20"/>
        </w:rPr>
        <w:t>Informatīvo z</w:t>
      </w:r>
      <w:r w:rsidRPr="003B4CDA">
        <w:rPr>
          <w:i/>
          <w:sz w:val="20"/>
          <w:szCs w:val="20"/>
        </w:rPr>
        <w:t>iņojumu par darba tirgus vidēja un ilgtermiņa prognozēm</w:t>
      </w:r>
      <w:r w:rsidR="00D331AA">
        <w:rPr>
          <w:i/>
          <w:sz w:val="20"/>
          <w:szCs w:val="20"/>
        </w:rPr>
        <w:t xml:space="preserve"> līdz 2040. gadam</w:t>
      </w:r>
      <w:r w:rsidRPr="003B4CDA">
        <w:rPr>
          <w:sz w:val="20"/>
          <w:szCs w:val="20"/>
        </w:rPr>
        <w:t xml:space="preserve"> (turpmāk – Ziņojums).</w:t>
      </w:r>
    </w:p>
    <w:p w14:paraId="13F5E58B" w14:textId="181F7BE0" w:rsidR="00485D83" w:rsidRPr="00EA43C3" w:rsidRDefault="00485D83" w:rsidP="003677B6">
      <w:pPr>
        <w:pStyle w:val="BodyTextIndent2"/>
        <w:spacing w:line="240" w:lineRule="auto"/>
        <w:ind w:left="0"/>
        <w:jc w:val="both"/>
        <w:rPr>
          <w:sz w:val="20"/>
          <w:szCs w:val="20"/>
        </w:rPr>
      </w:pPr>
      <w:r w:rsidRPr="00EA43C3">
        <w:rPr>
          <w:sz w:val="20"/>
          <w:szCs w:val="20"/>
        </w:rPr>
        <w:t>Ziņojumā ir raksturota esošā situācija darba tirgū, kā arī iekļautas Ekonomikas ministrijas aktualizētās vidēja termiņa darba tirgus prognozes laika periodam līdz 2030</w:t>
      </w:r>
      <w:r w:rsidR="00FF63B5">
        <w:rPr>
          <w:sz w:val="20"/>
          <w:szCs w:val="20"/>
        </w:rPr>
        <w:t>. gad</w:t>
      </w:r>
      <w:r w:rsidRPr="00EA43C3">
        <w:rPr>
          <w:sz w:val="20"/>
          <w:szCs w:val="20"/>
        </w:rPr>
        <w:t>am un ilgtermiņa darba tirgus prognozes līdz 2040</w:t>
      </w:r>
      <w:r w:rsidR="00FF63B5">
        <w:rPr>
          <w:sz w:val="20"/>
          <w:szCs w:val="20"/>
        </w:rPr>
        <w:t>. gad</w:t>
      </w:r>
      <w:r w:rsidRPr="00EA43C3">
        <w:rPr>
          <w:sz w:val="20"/>
          <w:szCs w:val="20"/>
        </w:rPr>
        <w:t>am. Darba tirgus prognozes balstās uz Ekonomikas ministrijas izstrādātajiem tautsaimniecības attīstības un demogrāfijas scenārijiem.</w:t>
      </w:r>
    </w:p>
    <w:p w14:paraId="5B73D30C" w14:textId="77777777" w:rsidR="00485D83" w:rsidRPr="00EA43C3" w:rsidRDefault="00485D83" w:rsidP="003677B6">
      <w:pPr>
        <w:pStyle w:val="BodyTextIndent2"/>
        <w:spacing w:line="240" w:lineRule="auto"/>
        <w:ind w:left="0"/>
        <w:jc w:val="both"/>
        <w:rPr>
          <w:sz w:val="20"/>
          <w:szCs w:val="20"/>
        </w:rPr>
      </w:pPr>
      <w:r w:rsidRPr="00EA43C3">
        <w:rPr>
          <w:sz w:val="20"/>
          <w:szCs w:val="20"/>
        </w:rPr>
        <w:t>Ekonomikas ministrijas darba tirgus prognozes ir viens no instrumentiem, kas ļauj priekšlaicīgi paredzēt darba tirgus neatbilstību veidošanos nākotnē. Tās parāda iespējamās darba tirgus attīstības tendences un iespējamos riskus, saglabājoties esošai izglītības sistēmai un izglītības piedāvājuma struktūrai.</w:t>
      </w:r>
    </w:p>
    <w:p w14:paraId="05744D21" w14:textId="2E25AA00" w:rsidR="00485D83" w:rsidRPr="00EA43C3" w:rsidRDefault="00485D83" w:rsidP="003677B6">
      <w:pPr>
        <w:pStyle w:val="BodyTextIndent2"/>
        <w:spacing w:line="240" w:lineRule="auto"/>
        <w:ind w:left="0"/>
        <w:jc w:val="both"/>
        <w:rPr>
          <w:sz w:val="20"/>
          <w:szCs w:val="20"/>
        </w:rPr>
      </w:pPr>
      <w:r w:rsidRPr="00EA43C3">
        <w:rPr>
          <w:sz w:val="20"/>
          <w:szCs w:val="20"/>
        </w:rPr>
        <w:t>Prognozes ir</w:t>
      </w:r>
      <w:r w:rsidR="00772C80">
        <w:rPr>
          <w:sz w:val="20"/>
          <w:szCs w:val="20"/>
        </w:rPr>
        <w:t xml:space="preserve"> </w:t>
      </w:r>
      <w:r w:rsidRPr="00EA43C3">
        <w:rPr>
          <w:sz w:val="20"/>
          <w:szCs w:val="20"/>
        </w:rPr>
        <w:t>viens no posmiem darbaspēka piedāvājuma pielāgošanas procesā. Tā ir kvantitatīva bāze tālākām diskusijām starp nodarbinātības, izglītības un struktūrpolitikas veidotājiem, sociālajiem partneriem, zinātniekiem un citām iesaistītām pusēm, lai savlaicīgi sagatavotos un pielāgotos sagaidāmajām strukturālajām izmaiņām tautsaimniecībā.</w:t>
      </w:r>
    </w:p>
    <w:p w14:paraId="59BF8F54" w14:textId="00A7BD56" w:rsidR="00485D83" w:rsidRPr="00C075DC" w:rsidRDefault="00485D83" w:rsidP="003677B6">
      <w:pPr>
        <w:pStyle w:val="BodyTextIndent2"/>
        <w:spacing w:line="240" w:lineRule="auto"/>
        <w:ind w:left="0"/>
        <w:jc w:val="both"/>
        <w:rPr>
          <w:sz w:val="20"/>
          <w:szCs w:val="20"/>
        </w:rPr>
      </w:pPr>
      <w:r w:rsidRPr="00C075DC">
        <w:rPr>
          <w:sz w:val="20"/>
          <w:szCs w:val="20"/>
        </w:rPr>
        <w:t>Informācija izklāstīta 5 nodaļās un pielikumā. Ziņojums sastāv no tautsaimniecības un darba tirgus tendenču raksturojuma, tautsaimniecības un demogrāfijas attīstības scenāriju apraksta, darba tirgus vidēja termiņa un ilgtermiņa prognozēm, īstenoto izglītības un nodarbinātības pasākumu pārskata, kā arī kopsavilkuma ar rekomendācijām par darbaspēka pieprasījuma un piedāvājuma uzlabošanas virzieniem un pielikuma.</w:t>
      </w:r>
    </w:p>
    <w:p w14:paraId="24EA6707" w14:textId="434A58F4" w:rsidR="00485D83" w:rsidRPr="00C075DC" w:rsidRDefault="00485D83" w:rsidP="003677B6">
      <w:pPr>
        <w:pStyle w:val="BodyTextIndent2"/>
        <w:spacing w:line="240" w:lineRule="auto"/>
        <w:ind w:left="0"/>
        <w:jc w:val="both"/>
        <w:rPr>
          <w:sz w:val="20"/>
          <w:szCs w:val="20"/>
        </w:rPr>
      </w:pPr>
      <w:r w:rsidRPr="00C075DC">
        <w:rPr>
          <w:sz w:val="20"/>
          <w:szCs w:val="20"/>
        </w:rPr>
        <w:t>Visa statistiskā informācija, izņemot īpaši norādītos</w:t>
      </w:r>
      <w:r w:rsidR="00660525" w:rsidRPr="00C075DC">
        <w:rPr>
          <w:sz w:val="20"/>
          <w:szCs w:val="20"/>
        </w:rPr>
        <w:t xml:space="preserve"> </w:t>
      </w:r>
      <w:r w:rsidR="0080669C" w:rsidRPr="00C075DC">
        <w:rPr>
          <w:sz w:val="20"/>
          <w:szCs w:val="20"/>
        </w:rPr>
        <w:t>gad</w:t>
      </w:r>
      <w:r w:rsidRPr="00C075DC">
        <w:rPr>
          <w:sz w:val="20"/>
          <w:szCs w:val="20"/>
        </w:rPr>
        <w:t>ījumus, ir ņemta no Centrālās statistikas pārvaldes datu bāzes. Ziņojumā ir izmantoti arī Eiropas Savienības statistikas biroja (</w:t>
      </w:r>
      <w:proofErr w:type="spellStart"/>
      <w:r w:rsidRPr="00C075DC">
        <w:rPr>
          <w:i/>
          <w:sz w:val="20"/>
          <w:szCs w:val="20"/>
        </w:rPr>
        <w:t>Eurostat</w:t>
      </w:r>
      <w:proofErr w:type="spellEnd"/>
      <w:r w:rsidRPr="00C075DC">
        <w:rPr>
          <w:sz w:val="20"/>
          <w:szCs w:val="20"/>
        </w:rPr>
        <w:t>), Izglītības un zinātnes ministrijas, Nodarbinātības valsts aģentūras un Eiropas Profesionālās izglītības attīstības centra (</w:t>
      </w:r>
      <w:proofErr w:type="spellStart"/>
      <w:r w:rsidRPr="00C075DC">
        <w:rPr>
          <w:i/>
          <w:sz w:val="20"/>
          <w:szCs w:val="20"/>
        </w:rPr>
        <w:t>Cedefop</w:t>
      </w:r>
      <w:proofErr w:type="spellEnd"/>
      <w:r w:rsidRPr="00C075DC">
        <w:rPr>
          <w:sz w:val="20"/>
          <w:szCs w:val="20"/>
        </w:rPr>
        <w:t>) dati.</w:t>
      </w:r>
    </w:p>
    <w:p w14:paraId="4F7F4565" w14:textId="612B9912" w:rsidR="00485D83" w:rsidRPr="003B4CDA" w:rsidRDefault="00485D83" w:rsidP="003677B6">
      <w:pPr>
        <w:pStyle w:val="BodyTextIndent2"/>
        <w:spacing w:line="240" w:lineRule="auto"/>
        <w:ind w:left="0"/>
        <w:jc w:val="both"/>
        <w:rPr>
          <w:sz w:val="20"/>
          <w:szCs w:val="20"/>
        </w:rPr>
      </w:pPr>
      <w:r w:rsidRPr="00C075DC">
        <w:rPr>
          <w:sz w:val="20"/>
          <w:szCs w:val="20"/>
        </w:rPr>
        <w:t xml:space="preserve">Detalizēti ar EM darba tirgus prognozēm, ekonomikas izaugsmes scenārijiem un demogrāfijas prognozēm iespējams iepazīties vietnē: </w:t>
      </w:r>
      <w:hyperlink r:id="rId8" w:history="1">
        <w:r w:rsidRPr="00C075DC">
          <w:rPr>
            <w:rStyle w:val="Hyperlink"/>
            <w:sz w:val="20"/>
            <w:szCs w:val="20"/>
          </w:rPr>
          <w:t>https://prognozes.em.gov.lv</w:t>
        </w:r>
      </w:hyperlink>
      <w:r w:rsidRPr="00C075DC">
        <w:rPr>
          <w:sz w:val="20"/>
          <w:szCs w:val="20"/>
        </w:rPr>
        <w:t>.</w:t>
      </w:r>
    </w:p>
    <w:p w14:paraId="7927B428" w14:textId="77777777" w:rsidR="007818B0" w:rsidRPr="00B73A48" w:rsidRDefault="007818B0" w:rsidP="007818B0">
      <w:pPr>
        <w:spacing w:after="0"/>
        <w:rPr>
          <w:szCs w:val="20"/>
          <w:highlight w:val="yellow"/>
        </w:rPr>
      </w:pPr>
      <w:r w:rsidRPr="00B73A48">
        <w:rPr>
          <w:szCs w:val="20"/>
          <w:highlight w:val="yellow"/>
        </w:rPr>
        <w:br w:type="page"/>
      </w:r>
    </w:p>
    <w:p w14:paraId="03376DE7" w14:textId="0100FF92" w:rsidR="007818B0" w:rsidRPr="008D586E" w:rsidRDefault="008D586E" w:rsidP="008D586E">
      <w:pPr>
        <w:pStyle w:val="BodyTextIndent2"/>
        <w:spacing w:after="240" w:line="240" w:lineRule="auto"/>
        <w:ind w:left="0"/>
        <w:rPr>
          <w:rFonts w:ascii="Aptos Narrow" w:hAnsi="Aptos Narrow"/>
          <w:b/>
          <w:color w:val="5F497A" w:themeColor="accent4" w:themeShade="BF"/>
          <w:sz w:val="36"/>
          <w:szCs w:val="36"/>
        </w:rPr>
      </w:pPr>
      <w:r w:rsidRPr="008D586E">
        <w:rPr>
          <w:rFonts w:ascii="Aptos Narrow" w:hAnsi="Aptos Narrow"/>
          <w:b/>
          <w:color w:val="5F497A" w:themeColor="accent4" w:themeShade="BF"/>
          <w:sz w:val="36"/>
          <w:szCs w:val="36"/>
        </w:rPr>
        <w:lastRenderedPageBreak/>
        <w:t>SAĪSINĀJUMI</w:t>
      </w:r>
    </w:p>
    <w:p w14:paraId="007FE4B4" w14:textId="77777777" w:rsidR="007818B0" w:rsidRPr="008D586E" w:rsidRDefault="007818B0" w:rsidP="008D586E">
      <w:pPr>
        <w:pStyle w:val="Taksts11"/>
        <w:spacing w:after="120"/>
        <w:ind w:firstLine="0"/>
        <w:jc w:val="left"/>
        <w:rPr>
          <w:color w:val="000000"/>
          <w:sz w:val="20"/>
          <w:highlight w:val="yellow"/>
          <w:lang w:val="lv-LV"/>
        </w:rPr>
      </w:pPr>
    </w:p>
    <w:tbl>
      <w:tblPr>
        <w:tblW w:w="5000" w:type="pct"/>
        <w:tblLayout w:type="fixed"/>
        <w:tblLook w:val="04A0" w:firstRow="1" w:lastRow="0" w:firstColumn="1" w:lastColumn="0" w:noHBand="0" w:noVBand="1"/>
      </w:tblPr>
      <w:tblGrid>
        <w:gridCol w:w="1130"/>
        <w:gridCol w:w="7941"/>
      </w:tblGrid>
      <w:tr w:rsidR="006F1A52" w:rsidRPr="00B73A48" w14:paraId="65A14B23" w14:textId="77777777" w:rsidTr="00106DA0">
        <w:trPr>
          <w:trHeight w:val="330"/>
        </w:trPr>
        <w:tc>
          <w:tcPr>
            <w:tcW w:w="623" w:type="pct"/>
            <w:shd w:val="clear" w:color="auto" w:fill="auto"/>
            <w:noWrap/>
            <w:vAlign w:val="center"/>
            <w:hideMark/>
          </w:tcPr>
          <w:p w14:paraId="1A404A92" w14:textId="77777777" w:rsidR="006F1A52" w:rsidRPr="00C37B45" w:rsidRDefault="006F1A52" w:rsidP="000C591A">
            <w:pPr>
              <w:spacing w:before="40" w:after="40"/>
              <w:rPr>
                <w:rFonts w:eastAsia="Times New Roman" w:cs="Calibri Light"/>
                <w:color w:val="000000"/>
                <w:szCs w:val="20"/>
                <w:lang w:eastAsia="lv-LV"/>
              </w:rPr>
            </w:pPr>
            <w:r w:rsidRPr="00C37B45">
              <w:rPr>
                <w:rFonts w:eastAsia="Times New Roman" w:cs="Calibri Light"/>
                <w:color w:val="000000"/>
                <w:szCs w:val="20"/>
                <w:lang w:eastAsia="lv-LV"/>
              </w:rPr>
              <w:t>ADTP</w:t>
            </w:r>
          </w:p>
        </w:tc>
        <w:tc>
          <w:tcPr>
            <w:tcW w:w="4377" w:type="pct"/>
            <w:shd w:val="clear" w:color="auto" w:fill="auto"/>
            <w:noWrap/>
            <w:vAlign w:val="center"/>
            <w:hideMark/>
          </w:tcPr>
          <w:p w14:paraId="2F79904B" w14:textId="77777777" w:rsidR="006F1A52" w:rsidRPr="00C37B45" w:rsidRDefault="006F1A52" w:rsidP="000C591A">
            <w:pPr>
              <w:spacing w:before="40" w:after="40"/>
              <w:rPr>
                <w:rFonts w:eastAsia="Times New Roman" w:cs="Calibri Light"/>
                <w:color w:val="000000"/>
                <w:szCs w:val="20"/>
                <w:lang w:eastAsia="lv-LV"/>
              </w:rPr>
            </w:pPr>
            <w:r w:rsidRPr="00C37B45">
              <w:rPr>
                <w:rFonts w:eastAsia="Times New Roman" w:cs="Calibri Light"/>
                <w:color w:val="000000"/>
                <w:szCs w:val="20"/>
                <w:lang w:eastAsia="lv-LV"/>
              </w:rPr>
              <w:t>aktīvā darba tirgus politika</w:t>
            </w:r>
          </w:p>
        </w:tc>
      </w:tr>
      <w:tr w:rsidR="006F1A52" w:rsidRPr="00B73A48" w14:paraId="1BCE9367" w14:textId="77777777" w:rsidTr="00106DA0">
        <w:trPr>
          <w:trHeight w:val="330"/>
        </w:trPr>
        <w:tc>
          <w:tcPr>
            <w:tcW w:w="623" w:type="pct"/>
            <w:shd w:val="clear" w:color="auto" w:fill="auto"/>
            <w:noWrap/>
            <w:vAlign w:val="center"/>
            <w:hideMark/>
          </w:tcPr>
          <w:p w14:paraId="77CC58E6" w14:textId="77777777" w:rsidR="006F1A52" w:rsidRPr="0083240D" w:rsidRDefault="006F1A52" w:rsidP="000C591A">
            <w:pPr>
              <w:spacing w:before="40" w:after="40"/>
              <w:rPr>
                <w:rFonts w:eastAsia="Times New Roman" w:cs="Calibri Light"/>
                <w:color w:val="000000"/>
                <w:szCs w:val="20"/>
                <w:lang w:eastAsia="lv-LV"/>
              </w:rPr>
            </w:pPr>
            <w:r w:rsidRPr="0083240D">
              <w:rPr>
                <w:rFonts w:eastAsia="Times New Roman" w:cs="Calibri Light"/>
                <w:color w:val="000000"/>
                <w:szCs w:val="20"/>
                <w:lang w:eastAsia="lv-LV"/>
              </w:rPr>
              <w:t>ANM</w:t>
            </w:r>
          </w:p>
        </w:tc>
        <w:tc>
          <w:tcPr>
            <w:tcW w:w="4377" w:type="pct"/>
            <w:shd w:val="clear" w:color="auto" w:fill="auto"/>
            <w:noWrap/>
            <w:vAlign w:val="center"/>
            <w:hideMark/>
          </w:tcPr>
          <w:p w14:paraId="757B71ED" w14:textId="77777777" w:rsidR="006F1A52" w:rsidRPr="0083240D" w:rsidRDefault="006F1A52" w:rsidP="000C591A">
            <w:pPr>
              <w:spacing w:before="40" w:after="40"/>
              <w:rPr>
                <w:rFonts w:eastAsia="Times New Roman" w:cs="Calibri Light"/>
                <w:color w:val="000000"/>
                <w:szCs w:val="20"/>
                <w:lang w:eastAsia="lv-LV"/>
              </w:rPr>
            </w:pPr>
            <w:r w:rsidRPr="0083240D">
              <w:rPr>
                <w:rFonts w:eastAsia="Times New Roman" w:cs="Calibri Light"/>
                <w:color w:val="000000"/>
                <w:szCs w:val="20"/>
                <w:lang w:eastAsia="lv-LV"/>
              </w:rPr>
              <w:t>Atveseļošanas un noturības mehānisms</w:t>
            </w:r>
          </w:p>
        </w:tc>
      </w:tr>
      <w:tr w:rsidR="006F1A52" w:rsidRPr="00B73A48" w14:paraId="6BD069AB" w14:textId="77777777" w:rsidTr="00106DA0">
        <w:trPr>
          <w:trHeight w:val="330"/>
        </w:trPr>
        <w:tc>
          <w:tcPr>
            <w:tcW w:w="623" w:type="pct"/>
            <w:shd w:val="clear" w:color="auto" w:fill="auto"/>
            <w:noWrap/>
            <w:vAlign w:val="center"/>
            <w:hideMark/>
          </w:tcPr>
          <w:p w14:paraId="5EF98519" w14:textId="77777777" w:rsidR="006F1A52" w:rsidRPr="00106DA0" w:rsidRDefault="006F1A52" w:rsidP="000C591A">
            <w:pPr>
              <w:spacing w:before="40" w:after="40"/>
              <w:jc w:val="both"/>
              <w:rPr>
                <w:rFonts w:eastAsia="Times New Roman" w:cs="Calibri Light"/>
                <w:color w:val="000000"/>
                <w:szCs w:val="20"/>
                <w:lang w:eastAsia="lv-LV"/>
              </w:rPr>
            </w:pPr>
            <w:r w:rsidRPr="00106DA0">
              <w:rPr>
                <w:rFonts w:eastAsia="Times New Roman" w:cs="Calibri Light"/>
                <w:color w:val="000000"/>
                <w:szCs w:val="20"/>
                <w:lang w:eastAsia="lv-LV"/>
              </w:rPr>
              <w:t>CEDEFOP</w:t>
            </w:r>
          </w:p>
        </w:tc>
        <w:tc>
          <w:tcPr>
            <w:tcW w:w="4377" w:type="pct"/>
            <w:shd w:val="clear" w:color="auto" w:fill="auto"/>
            <w:noWrap/>
            <w:vAlign w:val="center"/>
            <w:hideMark/>
          </w:tcPr>
          <w:p w14:paraId="2573F024" w14:textId="77777777" w:rsidR="006F1A52" w:rsidRPr="00106DA0" w:rsidRDefault="006F1A52" w:rsidP="000C591A">
            <w:pPr>
              <w:spacing w:before="40" w:after="40"/>
              <w:jc w:val="both"/>
              <w:rPr>
                <w:rFonts w:eastAsia="Times New Roman" w:cs="Calibri Light"/>
                <w:color w:val="000000"/>
                <w:szCs w:val="20"/>
                <w:lang w:eastAsia="lv-LV"/>
              </w:rPr>
            </w:pPr>
            <w:r w:rsidRPr="00106DA0">
              <w:rPr>
                <w:rFonts w:eastAsia="Times New Roman" w:cs="Calibri Light"/>
                <w:color w:val="000000"/>
                <w:szCs w:val="20"/>
                <w:lang w:eastAsia="lv-LV"/>
              </w:rPr>
              <w:t>Eiropas Profesionālās izglītības attīstības centrs</w:t>
            </w:r>
          </w:p>
        </w:tc>
      </w:tr>
      <w:tr w:rsidR="006E1605" w:rsidRPr="00B73A48" w14:paraId="25554BAF" w14:textId="77777777" w:rsidTr="00106DA0">
        <w:trPr>
          <w:trHeight w:val="330"/>
        </w:trPr>
        <w:tc>
          <w:tcPr>
            <w:tcW w:w="623" w:type="pct"/>
            <w:shd w:val="clear" w:color="auto" w:fill="auto"/>
            <w:noWrap/>
            <w:vAlign w:val="center"/>
          </w:tcPr>
          <w:p w14:paraId="5138A4EE" w14:textId="323C7C60" w:rsidR="006E1605" w:rsidRPr="00106DA0" w:rsidRDefault="006E1605" w:rsidP="000C591A">
            <w:pPr>
              <w:spacing w:before="40" w:after="40"/>
              <w:jc w:val="both"/>
              <w:rPr>
                <w:rFonts w:eastAsia="Times New Roman" w:cs="Calibri Light"/>
                <w:color w:val="000000"/>
                <w:szCs w:val="20"/>
                <w:lang w:eastAsia="lv-LV"/>
              </w:rPr>
            </w:pPr>
            <w:r>
              <w:rPr>
                <w:rFonts w:eastAsia="Times New Roman" w:cs="Calibri Light"/>
                <w:color w:val="000000"/>
                <w:szCs w:val="20"/>
                <w:lang w:eastAsia="lv-LV"/>
              </w:rPr>
              <w:t>COVID-19</w:t>
            </w:r>
          </w:p>
        </w:tc>
        <w:tc>
          <w:tcPr>
            <w:tcW w:w="4377" w:type="pct"/>
            <w:shd w:val="clear" w:color="auto" w:fill="auto"/>
            <w:noWrap/>
            <w:vAlign w:val="center"/>
          </w:tcPr>
          <w:p w14:paraId="051C2F75" w14:textId="2DC92D8D" w:rsidR="006E1605" w:rsidRPr="00106DA0" w:rsidRDefault="006E1605" w:rsidP="000C591A">
            <w:pPr>
              <w:spacing w:before="40" w:after="40"/>
              <w:jc w:val="both"/>
              <w:rPr>
                <w:rFonts w:eastAsia="Times New Roman" w:cs="Calibri Light"/>
                <w:color w:val="000000"/>
                <w:szCs w:val="20"/>
                <w:lang w:eastAsia="lv-LV"/>
              </w:rPr>
            </w:pPr>
            <w:r w:rsidRPr="006E1605">
              <w:rPr>
                <w:rFonts w:eastAsia="Times New Roman" w:cs="Calibri Light"/>
                <w:color w:val="000000"/>
                <w:szCs w:val="20"/>
                <w:lang w:eastAsia="lv-LV"/>
              </w:rPr>
              <w:t>koronavīrusa SARS-CoV-2 izraisīta infekcijas slimība</w:t>
            </w:r>
          </w:p>
        </w:tc>
      </w:tr>
      <w:tr w:rsidR="006F1A52" w:rsidRPr="00B73A48" w14:paraId="50BA0FFF" w14:textId="77777777" w:rsidTr="00106DA0">
        <w:trPr>
          <w:trHeight w:val="330"/>
        </w:trPr>
        <w:tc>
          <w:tcPr>
            <w:tcW w:w="623" w:type="pct"/>
            <w:shd w:val="clear" w:color="auto" w:fill="auto"/>
            <w:noWrap/>
            <w:vAlign w:val="center"/>
            <w:hideMark/>
          </w:tcPr>
          <w:p w14:paraId="3572C819" w14:textId="77777777" w:rsidR="006F1A52" w:rsidRPr="00106DA0" w:rsidRDefault="006F1A52" w:rsidP="000C591A">
            <w:pPr>
              <w:spacing w:before="40" w:after="40"/>
              <w:jc w:val="both"/>
              <w:rPr>
                <w:rFonts w:eastAsia="Times New Roman" w:cs="Calibri Light"/>
                <w:color w:val="000000"/>
                <w:szCs w:val="20"/>
                <w:lang w:eastAsia="lv-LV"/>
              </w:rPr>
            </w:pPr>
            <w:r w:rsidRPr="00106DA0">
              <w:rPr>
                <w:rFonts w:eastAsia="Times New Roman" w:cs="Calibri Light"/>
                <w:color w:val="000000"/>
                <w:szCs w:val="20"/>
                <w:lang w:eastAsia="lv-LV"/>
              </w:rPr>
              <w:t>CSP</w:t>
            </w:r>
          </w:p>
        </w:tc>
        <w:tc>
          <w:tcPr>
            <w:tcW w:w="4377" w:type="pct"/>
            <w:shd w:val="clear" w:color="auto" w:fill="auto"/>
            <w:noWrap/>
            <w:vAlign w:val="center"/>
            <w:hideMark/>
          </w:tcPr>
          <w:p w14:paraId="0F732E0B" w14:textId="77777777" w:rsidR="006F1A52" w:rsidRPr="00106DA0" w:rsidRDefault="006F1A52" w:rsidP="000C591A">
            <w:pPr>
              <w:spacing w:before="40" w:after="40"/>
              <w:jc w:val="both"/>
              <w:rPr>
                <w:rFonts w:eastAsia="Times New Roman" w:cs="Calibri Light"/>
                <w:color w:val="000000"/>
                <w:szCs w:val="20"/>
                <w:lang w:eastAsia="lv-LV"/>
              </w:rPr>
            </w:pPr>
            <w:r w:rsidRPr="00106DA0">
              <w:rPr>
                <w:rFonts w:eastAsia="Times New Roman" w:cs="Calibri Light"/>
                <w:color w:val="000000"/>
                <w:szCs w:val="20"/>
                <w:lang w:eastAsia="lv-LV"/>
              </w:rPr>
              <w:t>Centrālā statistikas pārvalde</w:t>
            </w:r>
          </w:p>
        </w:tc>
      </w:tr>
      <w:tr w:rsidR="006F1A52" w:rsidRPr="00B73A48" w14:paraId="49B74262" w14:textId="77777777" w:rsidTr="00106DA0">
        <w:trPr>
          <w:trHeight w:val="330"/>
        </w:trPr>
        <w:tc>
          <w:tcPr>
            <w:tcW w:w="623" w:type="pct"/>
            <w:shd w:val="clear" w:color="auto" w:fill="auto"/>
            <w:noWrap/>
            <w:vAlign w:val="center"/>
            <w:hideMark/>
          </w:tcPr>
          <w:p w14:paraId="0D0485BA" w14:textId="77777777" w:rsidR="006F1A52" w:rsidRPr="00527A05" w:rsidRDefault="006F1A52" w:rsidP="000C591A">
            <w:pPr>
              <w:spacing w:before="40" w:after="40"/>
              <w:jc w:val="both"/>
              <w:rPr>
                <w:rFonts w:eastAsia="Times New Roman" w:cs="Calibri Light"/>
                <w:color w:val="000000"/>
                <w:szCs w:val="20"/>
                <w:lang w:eastAsia="lv-LV"/>
              </w:rPr>
            </w:pPr>
            <w:r w:rsidRPr="00527A05">
              <w:rPr>
                <w:rFonts w:eastAsia="Times New Roman" w:cs="Calibri Light"/>
                <w:color w:val="000000"/>
                <w:szCs w:val="20"/>
                <w:lang w:eastAsia="lv-LV"/>
              </w:rPr>
              <w:t>DOM</w:t>
            </w:r>
          </w:p>
        </w:tc>
        <w:tc>
          <w:tcPr>
            <w:tcW w:w="4377" w:type="pct"/>
            <w:shd w:val="clear" w:color="auto" w:fill="auto"/>
            <w:noWrap/>
            <w:vAlign w:val="center"/>
            <w:hideMark/>
          </w:tcPr>
          <w:p w14:paraId="018AED1E" w14:textId="77777777" w:rsidR="006F1A52" w:rsidRPr="00527A05" w:rsidRDefault="006F1A52" w:rsidP="000C591A">
            <w:pPr>
              <w:spacing w:before="40" w:after="40"/>
              <w:jc w:val="both"/>
              <w:rPr>
                <w:rFonts w:eastAsia="Times New Roman" w:cs="Calibri Light"/>
                <w:color w:val="000000"/>
                <w:szCs w:val="20"/>
                <w:lang w:eastAsia="lv-LV"/>
              </w:rPr>
            </w:pPr>
            <w:r w:rsidRPr="00527A05">
              <w:rPr>
                <w:rFonts w:eastAsia="Times New Roman" w:cs="Calibri Light"/>
                <w:color w:val="000000"/>
                <w:szCs w:val="20"/>
                <w:lang w:eastAsia="lv-LV"/>
              </w:rPr>
              <w:t>dinamiskais optimizācijas modelis</w:t>
            </w:r>
          </w:p>
        </w:tc>
      </w:tr>
      <w:tr w:rsidR="006F1A52" w:rsidRPr="00B73A48" w14:paraId="0FB6E85C" w14:textId="77777777" w:rsidTr="00106DA0">
        <w:trPr>
          <w:trHeight w:val="330"/>
        </w:trPr>
        <w:tc>
          <w:tcPr>
            <w:tcW w:w="623" w:type="pct"/>
            <w:shd w:val="clear" w:color="auto" w:fill="auto"/>
            <w:noWrap/>
            <w:vAlign w:val="center"/>
            <w:hideMark/>
          </w:tcPr>
          <w:p w14:paraId="167A8312" w14:textId="77777777" w:rsidR="006F1A52" w:rsidRPr="002D79D6" w:rsidRDefault="006F1A52" w:rsidP="000C591A">
            <w:pPr>
              <w:spacing w:before="40" w:after="40"/>
              <w:jc w:val="both"/>
              <w:rPr>
                <w:rFonts w:eastAsia="Times New Roman" w:cs="Calibri Light"/>
                <w:color w:val="000000"/>
                <w:szCs w:val="20"/>
                <w:lang w:eastAsia="lv-LV"/>
              </w:rPr>
            </w:pPr>
            <w:r w:rsidRPr="002D79D6">
              <w:rPr>
                <w:rFonts w:eastAsia="Times New Roman" w:cs="Calibri Light"/>
                <w:color w:val="000000"/>
                <w:szCs w:val="20"/>
                <w:lang w:eastAsia="lv-LV"/>
              </w:rPr>
              <w:t>DSA</w:t>
            </w:r>
          </w:p>
        </w:tc>
        <w:tc>
          <w:tcPr>
            <w:tcW w:w="4377" w:type="pct"/>
            <w:shd w:val="clear" w:color="auto" w:fill="auto"/>
            <w:noWrap/>
            <w:vAlign w:val="center"/>
            <w:hideMark/>
          </w:tcPr>
          <w:p w14:paraId="750303D5" w14:textId="77777777" w:rsidR="006F1A52" w:rsidRPr="002D79D6" w:rsidRDefault="006F1A52" w:rsidP="000C591A">
            <w:pPr>
              <w:spacing w:before="40" w:after="40"/>
              <w:jc w:val="both"/>
              <w:rPr>
                <w:rFonts w:eastAsia="Times New Roman" w:cs="Calibri Light"/>
                <w:color w:val="000000"/>
                <w:szCs w:val="20"/>
                <w:lang w:eastAsia="lv-LV"/>
              </w:rPr>
            </w:pPr>
            <w:r w:rsidRPr="002D79D6">
              <w:rPr>
                <w:rFonts w:eastAsia="Times New Roman" w:cs="Calibri Light"/>
                <w:color w:val="000000"/>
                <w:szCs w:val="20"/>
                <w:lang w:eastAsia="lv-LV"/>
              </w:rPr>
              <w:t xml:space="preserve">Darbaspēka </w:t>
            </w:r>
            <w:proofErr w:type="spellStart"/>
            <w:r w:rsidRPr="002D79D6">
              <w:rPr>
                <w:rFonts w:eastAsia="Times New Roman" w:cs="Calibri Light"/>
                <w:color w:val="000000"/>
                <w:szCs w:val="20"/>
                <w:lang w:eastAsia="lv-LV"/>
              </w:rPr>
              <w:t>izlasveida</w:t>
            </w:r>
            <w:proofErr w:type="spellEnd"/>
            <w:r w:rsidRPr="002D79D6">
              <w:rPr>
                <w:rFonts w:eastAsia="Times New Roman" w:cs="Calibri Light"/>
                <w:color w:val="000000"/>
                <w:szCs w:val="20"/>
                <w:lang w:eastAsia="lv-LV"/>
              </w:rPr>
              <w:t xml:space="preserve"> </w:t>
            </w:r>
            <w:proofErr w:type="spellStart"/>
            <w:r w:rsidRPr="002D79D6">
              <w:rPr>
                <w:rFonts w:eastAsia="Times New Roman" w:cs="Calibri Light"/>
                <w:color w:val="000000"/>
                <w:szCs w:val="20"/>
                <w:lang w:eastAsia="lv-LV"/>
              </w:rPr>
              <w:t>apsekojums</w:t>
            </w:r>
            <w:proofErr w:type="spellEnd"/>
          </w:p>
        </w:tc>
      </w:tr>
      <w:tr w:rsidR="006F1A52" w:rsidRPr="00B73A48" w14:paraId="2784736F" w14:textId="77777777" w:rsidTr="00106DA0">
        <w:trPr>
          <w:trHeight w:val="330"/>
        </w:trPr>
        <w:tc>
          <w:tcPr>
            <w:tcW w:w="623" w:type="pct"/>
            <w:shd w:val="clear" w:color="auto" w:fill="auto"/>
            <w:noWrap/>
            <w:vAlign w:val="center"/>
            <w:hideMark/>
          </w:tcPr>
          <w:p w14:paraId="76FCCD23" w14:textId="77777777" w:rsidR="006F1A52" w:rsidRPr="002D79D6" w:rsidRDefault="006F1A52" w:rsidP="000C591A">
            <w:pPr>
              <w:spacing w:before="40" w:after="40"/>
              <w:rPr>
                <w:rFonts w:eastAsia="Times New Roman" w:cs="Calibri Light"/>
                <w:color w:val="000000"/>
                <w:szCs w:val="20"/>
                <w:lang w:eastAsia="lv-LV"/>
              </w:rPr>
            </w:pPr>
            <w:r w:rsidRPr="002D79D6">
              <w:rPr>
                <w:rFonts w:eastAsia="Times New Roman" w:cs="Calibri Light"/>
                <w:color w:val="000000"/>
                <w:szCs w:val="20"/>
                <w:lang w:eastAsia="lv-LV"/>
              </w:rPr>
              <w:t>DVB</w:t>
            </w:r>
          </w:p>
        </w:tc>
        <w:tc>
          <w:tcPr>
            <w:tcW w:w="4377" w:type="pct"/>
            <w:shd w:val="clear" w:color="auto" w:fill="auto"/>
            <w:noWrap/>
            <w:vAlign w:val="center"/>
            <w:hideMark/>
          </w:tcPr>
          <w:p w14:paraId="5B56AF00" w14:textId="77777777" w:rsidR="006F1A52" w:rsidRPr="002D79D6" w:rsidRDefault="006F1A52" w:rsidP="000C591A">
            <w:pPr>
              <w:spacing w:before="40" w:after="40"/>
              <w:rPr>
                <w:rFonts w:eastAsia="Times New Roman" w:cs="Calibri Light"/>
                <w:color w:val="000000"/>
                <w:szCs w:val="20"/>
                <w:lang w:eastAsia="lv-LV"/>
              </w:rPr>
            </w:pPr>
            <w:r w:rsidRPr="002D79D6">
              <w:rPr>
                <w:rFonts w:eastAsia="Times New Roman" w:cs="Calibri Light"/>
                <w:color w:val="000000"/>
                <w:szCs w:val="20"/>
                <w:lang w:eastAsia="lv-LV"/>
              </w:rPr>
              <w:t>darba vidē balstīts</w:t>
            </w:r>
          </w:p>
        </w:tc>
      </w:tr>
      <w:tr w:rsidR="006F1A52" w:rsidRPr="00B73A48" w14:paraId="7C3BE5A4" w14:textId="77777777" w:rsidTr="00106DA0">
        <w:trPr>
          <w:trHeight w:val="330"/>
        </w:trPr>
        <w:tc>
          <w:tcPr>
            <w:tcW w:w="623" w:type="pct"/>
            <w:shd w:val="clear" w:color="auto" w:fill="auto"/>
            <w:noWrap/>
            <w:vAlign w:val="center"/>
            <w:hideMark/>
          </w:tcPr>
          <w:p w14:paraId="1F4D3A66"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EK</w:t>
            </w:r>
          </w:p>
        </w:tc>
        <w:tc>
          <w:tcPr>
            <w:tcW w:w="4377" w:type="pct"/>
            <w:shd w:val="clear" w:color="auto" w:fill="auto"/>
            <w:noWrap/>
            <w:vAlign w:val="center"/>
            <w:hideMark/>
          </w:tcPr>
          <w:p w14:paraId="70C6230F"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Eiropas Komisija</w:t>
            </w:r>
          </w:p>
        </w:tc>
      </w:tr>
      <w:tr w:rsidR="006F1A52" w:rsidRPr="00B73A48" w14:paraId="4F0846B4" w14:textId="77777777" w:rsidTr="00106DA0">
        <w:trPr>
          <w:trHeight w:val="330"/>
        </w:trPr>
        <w:tc>
          <w:tcPr>
            <w:tcW w:w="623" w:type="pct"/>
            <w:shd w:val="clear" w:color="auto" w:fill="auto"/>
            <w:noWrap/>
            <w:vAlign w:val="center"/>
            <w:hideMark/>
          </w:tcPr>
          <w:p w14:paraId="20E5B3B3"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EM</w:t>
            </w:r>
          </w:p>
        </w:tc>
        <w:tc>
          <w:tcPr>
            <w:tcW w:w="4377" w:type="pct"/>
            <w:shd w:val="clear" w:color="auto" w:fill="auto"/>
            <w:noWrap/>
            <w:vAlign w:val="center"/>
            <w:hideMark/>
          </w:tcPr>
          <w:p w14:paraId="272B9BE4"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Ekonomikas ministrija</w:t>
            </w:r>
          </w:p>
        </w:tc>
      </w:tr>
      <w:tr w:rsidR="006F1A52" w:rsidRPr="00B73A48" w14:paraId="221342DD" w14:textId="77777777" w:rsidTr="00106DA0">
        <w:trPr>
          <w:trHeight w:val="330"/>
        </w:trPr>
        <w:tc>
          <w:tcPr>
            <w:tcW w:w="623" w:type="pct"/>
            <w:shd w:val="clear" w:color="auto" w:fill="auto"/>
            <w:noWrap/>
            <w:vAlign w:val="center"/>
            <w:hideMark/>
          </w:tcPr>
          <w:p w14:paraId="0B8D4F2B"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ERAF</w:t>
            </w:r>
          </w:p>
        </w:tc>
        <w:tc>
          <w:tcPr>
            <w:tcW w:w="4377" w:type="pct"/>
            <w:shd w:val="clear" w:color="auto" w:fill="auto"/>
            <w:noWrap/>
            <w:vAlign w:val="center"/>
            <w:hideMark/>
          </w:tcPr>
          <w:p w14:paraId="4722EE0D"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Eiropas Reģionālās attīstības fonds</w:t>
            </w:r>
          </w:p>
        </w:tc>
      </w:tr>
      <w:tr w:rsidR="006F1A52" w:rsidRPr="00B73A48" w14:paraId="68A45523" w14:textId="77777777" w:rsidTr="00106DA0">
        <w:trPr>
          <w:trHeight w:val="330"/>
        </w:trPr>
        <w:tc>
          <w:tcPr>
            <w:tcW w:w="623" w:type="pct"/>
            <w:shd w:val="clear" w:color="auto" w:fill="auto"/>
            <w:noWrap/>
            <w:vAlign w:val="center"/>
            <w:hideMark/>
          </w:tcPr>
          <w:p w14:paraId="6658F3BC"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ES</w:t>
            </w:r>
          </w:p>
        </w:tc>
        <w:tc>
          <w:tcPr>
            <w:tcW w:w="4377" w:type="pct"/>
            <w:shd w:val="clear" w:color="auto" w:fill="auto"/>
            <w:noWrap/>
            <w:vAlign w:val="center"/>
            <w:hideMark/>
          </w:tcPr>
          <w:p w14:paraId="7D8B6B67"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Eiropas Savienība</w:t>
            </w:r>
          </w:p>
        </w:tc>
      </w:tr>
      <w:tr w:rsidR="006F1A52" w:rsidRPr="00B73A48" w14:paraId="5534B919" w14:textId="77777777" w:rsidTr="00106DA0">
        <w:trPr>
          <w:trHeight w:val="330"/>
        </w:trPr>
        <w:tc>
          <w:tcPr>
            <w:tcW w:w="623" w:type="pct"/>
            <w:shd w:val="clear" w:color="auto" w:fill="auto"/>
            <w:noWrap/>
            <w:vAlign w:val="center"/>
            <w:hideMark/>
          </w:tcPr>
          <w:p w14:paraId="7CBC4903" w14:textId="77777777" w:rsidR="006F1A52" w:rsidRPr="003B6DAE" w:rsidRDefault="006F1A52" w:rsidP="000C591A">
            <w:pPr>
              <w:spacing w:before="40" w:after="40"/>
              <w:rPr>
                <w:rFonts w:eastAsia="Times New Roman" w:cs="Calibri Light"/>
                <w:color w:val="000000"/>
                <w:szCs w:val="20"/>
                <w:lang w:eastAsia="lv-LV"/>
              </w:rPr>
            </w:pPr>
            <w:r w:rsidRPr="003B6DAE">
              <w:rPr>
                <w:rFonts w:eastAsia="Times New Roman" w:cs="Calibri Light"/>
                <w:color w:val="000000"/>
                <w:szCs w:val="20"/>
                <w:lang w:eastAsia="lv-LV"/>
              </w:rPr>
              <w:t>ESF/ ESF+</w:t>
            </w:r>
          </w:p>
        </w:tc>
        <w:tc>
          <w:tcPr>
            <w:tcW w:w="4377" w:type="pct"/>
            <w:shd w:val="clear" w:color="auto" w:fill="auto"/>
            <w:noWrap/>
            <w:vAlign w:val="center"/>
            <w:hideMark/>
          </w:tcPr>
          <w:p w14:paraId="5E49EDCD" w14:textId="77777777" w:rsidR="006F1A52" w:rsidRPr="003B6DAE" w:rsidRDefault="006F1A52" w:rsidP="000C591A">
            <w:pPr>
              <w:spacing w:before="40" w:after="40"/>
              <w:rPr>
                <w:rFonts w:eastAsia="Times New Roman" w:cs="Calibri Light"/>
                <w:color w:val="000000"/>
                <w:szCs w:val="20"/>
                <w:lang w:eastAsia="lv-LV"/>
              </w:rPr>
            </w:pPr>
            <w:r w:rsidRPr="003B6DAE">
              <w:rPr>
                <w:rFonts w:eastAsia="Times New Roman" w:cs="Calibri Light"/>
                <w:color w:val="000000"/>
                <w:szCs w:val="20"/>
                <w:lang w:eastAsia="lv-LV"/>
              </w:rPr>
              <w:t>Eiropas Sociālais fonds (ESF+ 2021.-2027.g. periodā)</w:t>
            </w:r>
          </w:p>
        </w:tc>
      </w:tr>
      <w:tr w:rsidR="006F1A52" w:rsidRPr="00B73A48" w14:paraId="77D4B978" w14:textId="77777777" w:rsidTr="00106DA0">
        <w:trPr>
          <w:trHeight w:val="330"/>
        </w:trPr>
        <w:tc>
          <w:tcPr>
            <w:tcW w:w="623" w:type="pct"/>
            <w:shd w:val="clear" w:color="auto" w:fill="auto"/>
            <w:noWrap/>
            <w:vAlign w:val="center"/>
            <w:hideMark/>
          </w:tcPr>
          <w:p w14:paraId="62ADD5F0"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IKP</w:t>
            </w:r>
          </w:p>
        </w:tc>
        <w:tc>
          <w:tcPr>
            <w:tcW w:w="4377" w:type="pct"/>
            <w:shd w:val="clear" w:color="auto" w:fill="auto"/>
            <w:noWrap/>
            <w:vAlign w:val="center"/>
            <w:hideMark/>
          </w:tcPr>
          <w:p w14:paraId="41F53A92"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iekšzemes kopprodukts</w:t>
            </w:r>
          </w:p>
        </w:tc>
      </w:tr>
      <w:tr w:rsidR="006F1A52" w:rsidRPr="00B73A48" w14:paraId="00A5BF5A" w14:textId="77777777" w:rsidTr="00106DA0">
        <w:trPr>
          <w:trHeight w:val="330"/>
        </w:trPr>
        <w:tc>
          <w:tcPr>
            <w:tcW w:w="623" w:type="pct"/>
            <w:shd w:val="clear" w:color="auto" w:fill="auto"/>
            <w:noWrap/>
            <w:vAlign w:val="center"/>
            <w:hideMark/>
          </w:tcPr>
          <w:p w14:paraId="36DC26E8"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IKT</w:t>
            </w:r>
          </w:p>
        </w:tc>
        <w:tc>
          <w:tcPr>
            <w:tcW w:w="4377" w:type="pct"/>
            <w:shd w:val="clear" w:color="auto" w:fill="auto"/>
            <w:noWrap/>
            <w:vAlign w:val="center"/>
            <w:hideMark/>
          </w:tcPr>
          <w:p w14:paraId="36CD64EE" w14:textId="77777777" w:rsidR="006F1A52" w:rsidRPr="003B6DAE" w:rsidRDefault="006F1A52" w:rsidP="000C591A">
            <w:pPr>
              <w:spacing w:before="40" w:after="40"/>
              <w:jc w:val="both"/>
              <w:rPr>
                <w:rFonts w:eastAsia="Times New Roman" w:cs="Calibri Light"/>
                <w:color w:val="000000"/>
                <w:szCs w:val="20"/>
                <w:lang w:eastAsia="lv-LV"/>
              </w:rPr>
            </w:pPr>
            <w:r w:rsidRPr="003B6DAE">
              <w:rPr>
                <w:rFonts w:eastAsia="Times New Roman" w:cs="Calibri Light"/>
                <w:color w:val="000000"/>
                <w:szCs w:val="20"/>
                <w:lang w:eastAsia="lv-LV"/>
              </w:rPr>
              <w:t>informācijas un komunikācijas tehnoloģijas</w:t>
            </w:r>
          </w:p>
        </w:tc>
      </w:tr>
      <w:tr w:rsidR="006F1A52" w:rsidRPr="00B73A48" w14:paraId="03995520" w14:textId="77777777" w:rsidTr="00106DA0">
        <w:trPr>
          <w:trHeight w:val="330"/>
        </w:trPr>
        <w:tc>
          <w:tcPr>
            <w:tcW w:w="623" w:type="pct"/>
            <w:shd w:val="clear" w:color="auto" w:fill="auto"/>
            <w:noWrap/>
            <w:vAlign w:val="center"/>
            <w:hideMark/>
          </w:tcPr>
          <w:p w14:paraId="71AA9EB5" w14:textId="77777777" w:rsidR="006F1A52" w:rsidRPr="00F25893" w:rsidRDefault="006F1A52" w:rsidP="000C591A">
            <w:pPr>
              <w:spacing w:before="40" w:after="40"/>
              <w:jc w:val="both"/>
              <w:rPr>
                <w:rFonts w:eastAsia="Times New Roman" w:cs="Calibri Light"/>
                <w:color w:val="000000"/>
                <w:szCs w:val="20"/>
                <w:lang w:eastAsia="lv-LV"/>
              </w:rPr>
            </w:pPr>
            <w:r w:rsidRPr="00F25893">
              <w:rPr>
                <w:rFonts w:eastAsia="Times New Roman" w:cs="Calibri Light"/>
                <w:color w:val="000000"/>
                <w:szCs w:val="20"/>
                <w:lang w:eastAsia="lv-LV"/>
              </w:rPr>
              <w:t>ISCED</w:t>
            </w:r>
          </w:p>
        </w:tc>
        <w:tc>
          <w:tcPr>
            <w:tcW w:w="4377" w:type="pct"/>
            <w:shd w:val="clear" w:color="auto" w:fill="auto"/>
            <w:noWrap/>
            <w:vAlign w:val="center"/>
            <w:hideMark/>
          </w:tcPr>
          <w:p w14:paraId="39977CBE" w14:textId="77777777" w:rsidR="006F1A52" w:rsidRPr="00F25893" w:rsidRDefault="006F1A52" w:rsidP="000C591A">
            <w:pPr>
              <w:spacing w:before="40" w:after="40"/>
              <w:jc w:val="both"/>
              <w:rPr>
                <w:rFonts w:eastAsia="Times New Roman" w:cs="Calibri Light"/>
                <w:color w:val="000000"/>
                <w:szCs w:val="20"/>
                <w:lang w:eastAsia="lv-LV"/>
              </w:rPr>
            </w:pPr>
            <w:r w:rsidRPr="00F25893">
              <w:rPr>
                <w:rFonts w:eastAsia="Times New Roman" w:cs="Calibri Light"/>
                <w:color w:val="000000"/>
                <w:szCs w:val="20"/>
                <w:lang w:eastAsia="lv-LV"/>
              </w:rPr>
              <w:t>Starptautiskā standartizētā izglītības klasifikācija</w:t>
            </w:r>
          </w:p>
        </w:tc>
      </w:tr>
      <w:tr w:rsidR="006F1A52" w:rsidRPr="00B73A48" w14:paraId="19AF038F" w14:textId="77777777" w:rsidTr="00106DA0">
        <w:trPr>
          <w:trHeight w:val="330"/>
        </w:trPr>
        <w:tc>
          <w:tcPr>
            <w:tcW w:w="623" w:type="pct"/>
            <w:shd w:val="clear" w:color="auto" w:fill="auto"/>
            <w:noWrap/>
            <w:vAlign w:val="center"/>
            <w:hideMark/>
          </w:tcPr>
          <w:p w14:paraId="2C6366C5" w14:textId="77777777" w:rsidR="006F1A52" w:rsidRPr="00F25893" w:rsidRDefault="006F1A52" w:rsidP="000C591A">
            <w:pPr>
              <w:spacing w:before="40" w:after="40"/>
              <w:jc w:val="both"/>
              <w:rPr>
                <w:rFonts w:eastAsia="Times New Roman" w:cs="Calibri Light"/>
                <w:color w:val="000000"/>
                <w:szCs w:val="20"/>
                <w:lang w:eastAsia="lv-LV"/>
              </w:rPr>
            </w:pPr>
            <w:r w:rsidRPr="00F25893">
              <w:rPr>
                <w:rFonts w:eastAsia="Times New Roman" w:cs="Calibri Light"/>
                <w:color w:val="000000"/>
                <w:szCs w:val="20"/>
                <w:lang w:eastAsia="lv-LV"/>
              </w:rPr>
              <w:t>ISCO</w:t>
            </w:r>
          </w:p>
        </w:tc>
        <w:tc>
          <w:tcPr>
            <w:tcW w:w="4377" w:type="pct"/>
            <w:shd w:val="clear" w:color="auto" w:fill="auto"/>
            <w:noWrap/>
            <w:vAlign w:val="center"/>
            <w:hideMark/>
          </w:tcPr>
          <w:p w14:paraId="7C6A6B9B" w14:textId="77777777" w:rsidR="006F1A52" w:rsidRPr="00F25893" w:rsidRDefault="006F1A52" w:rsidP="000C591A">
            <w:pPr>
              <w:spacing w:before="40" w:after="40"/>
              <w:jc w:val="both"/>
              <w:rPr>
                <w:rFonts w:eastAsia="Times New Roman" w:cs="Calibri Light"/>
                <w:color w:val="000000"/>
                <w:szCs w:val="20"/>
                <w:lang w:eastAsia="lv-LV"/>
              </w:rPr>
            </w:pPr>
            <w:r w:rsidRPr="00F25893">
              <w:rPr>
                <w:rFonts w:eastAsia="Times New Roman" w:cs="Calibri Light"/>
                <w:color w:val="000000"/>
                <w:szCs w:val="20"/>
                <w:lang w:eastAsia="lv-LV"/>
              </w:rPr>
              <w:t>Standartizētais profesiju klasifikators</w:t>
            </w:r>
          </w:p>
        </w:tc>
      </w:tr>
      <w:tr w:rsidR="006F1A52" w:rsidRPr="00B73A48" w14:paraId="63B51B87" w14:textId="77777777" w:rsidTr="00106DA0">
        <w:trPr>
          <w:trHeight w:val="290"/>
        </w:trPr>
        <w:tc>
          <w:tcPr>
            <w:tcW w:w="623" w:type="pct"/>
            <w:shd w:val="clear" w:color="auto" w:fill="auto"/>
            <w:noWrap/>
            <w:vAlign w:val="center"/>
            <w:hideMark/>
          </w:tcPr>
          <w:p w14:paraId="6A284E4D" w14:textId="77777777" w:rsidR="006F1A52" w:rsidRPr="00F25893" w:rsidRDefault="006F1A52" w:rsidP="000C591A">
            <w:pPr>
              <w:spacing w:before="40" w:after="40"/>
              <w:jc w:val="both"/>
              <w:rPr>
                <w:rFonts w:eastAsia="Times New Roman" w:cs="Calibri Light"/>
                <w:color w:val="000000"/>
                <w:szCs w:val="20"/>
                <w:lang w:eastAsia="lv-LV"/>
              </w:rPr>
            </w:pPr>
            <w:r w:rsidRPr="00F25893">
              <w:rPr>
                <w:rFonts w:eastAsia="Times New Roman" w:cs="Calibri Light"/>
                <w:color w:val="000000"/>
                <w:szCs w:val="20"/>
                <w:lang w:eastAsia="lv-LV"/>
              </w:rPr>
              <w:t>IT</w:t>
            </w:r>
          </w:p>
        </w:tc>
        <w:tc>
          <w:tcPr>
            <w:tcW w:w="4377" w:type="pct"/>
            <w:shd w:val="clear" w:color="auto" w:fill="auto"/>
            <w:noWrap/>
            <w:vAlign w:val="center"/>
            <w:hideMark/>
          </w:tcPr>
          <w:p w14:paraId="2750D982" w14:textId="77777777" w:rsidR="006F1A52" w:rsidRPr="00F25893" w:rsidRDefault="006F1A52" w:rsidP="000C591A">
            <w:pPr>
              <w:spacing w:before="40" w:after="40"/>
              <w:jc w:val="both"/>
              <w:rPr>
                <w:rFonts w:eastAsia="Times New Roman" w:cs="Calibri Light"/>
                <w:color w:val="000000"/>
                <w:szCs w:val="20"/>
                <w:lang w:eastAsia="lv-LV"/>
              </w:rPr>
            </w:pPr>
            <w:r w:rsidRPr="00F25893">
              <w:rPr>
                <w:rFonts w:eastAsia="Times New Roman" w:cs="Calibri Light"/>
                <w:color w:val="000000"/>
                <w:szCs w:val="20"/>
                <w:lang w:eastAsia="lv-LV"/>
              </w:rPr>
              <w:t>informācijas tehnoloģijas</w:t>
            </w:r>
          </w:p>
        </w:tc>
      </w:tr>
      <w:tr w:rsidR="006F1A52" w:rsidRPr="00B73A48" w14:paraId="49C28E98" w14:textId="77777777" w:rsidTr="00106DA0">
        <w:trPr>
          <w:trHeight w:val="290"/>
        </w:trPr>
        <w:tc>
          <w:tcPr>
            <w:tcW w:w="623" w:type="pct"/>
            <w:shd w:val="clear" w:color="auto" w:fill="auto"/>
            <w:noWrap/>
            <w:vAlign w:val="center"/>
            <w:hideMark/>
          </w:tcPr>
          <w:p w14:paraId="35EDF8F0" w14:textId="77777777" w:rsidR="006F1A52" w:rsidRPr="00F25893" w:rsidRDefault="006F1A52" w:rsidP="000C591A">
            <w:pPr>
              <w:spacing w:before="40" w:after="40"/>
              <w:jc w:val="both"/>
              <w:rPr>
                <w:rFonts w:eastAsia="Times New Roman" w:cs="Calibri Light"/>
                <w:color w:val="000000"/>
                <w:szCs w:val="20"/>
                <w:lang w:eastAsia="lv-LV"/>
              </w:rPr>
            </w:pPr>
            <w:r w:rsidRPr="00F25893">
              <w:rPr>
                <w:rFonts w:eastAsia="Times New Roman" w:cs="Calibri Light"/>
                <w:color w:val="000000"/>
                <w:szCs w:val="20"/>
                <w:lang w:eastAsia="lv-LV"/>
              </w:rPr>
              <w:t>IZM</w:t>
            </w:r>
          </w:p>
        </w:tc>
        <w:tc>
          <w:tcPr>
            <w:tcW w:w="4377" w:type="pct"/>
            <w:shd w:val="clear" w:color="auto" w:fill="auto"/>
            <w:noWrap/>
            <w:vAlign w:val="center"/>
            <w:hideMark/>
          </w:tcPr>
          <w:p w14:paraId="0573E270" w14:textId="77777777" w:rsidR="006F1A52" w:rsidRPr="00F25893" w:rsidRDefault="006F1A52" w:rsidP="000C591A">
            <w:pPr>
              <w:spacing w:before="40" w:after="40"/>
              <w:jc w:val="both"/>
              <w:rPr>
                <w:rFonts w:eastAsia="Times New Roman" w:cs="Calibri Light"/>
                <w:color w:val="000000"/>
                <w:szCs w:val="20"/>
                <w:lang w:eastAsia="lv-LV"/>
              </w:rPr>
            </w:pPr>
            <w:r w:rsidRPr="00F25893">
              <w:rPr>
                <w:rFonts w:eastAsia="Times New Roman" w:cs="Calibri Light"/>
                <w:color w:val="000000"/>
                <w:szCs w:val="20"/>
                <w:lang w:eastAsia="lv-LV"/>
              </w:rPr>
              <w:t>Izglītības un zinātnes ministrija</w:t>
            </w:r>
          </w:p>
        </w:tc>
      </w:tr>
      <w:tr w:rsidR="00A55DD4" w:rsidRPr="00B73A48" w14:paraId="131E39E5" w14:textId="77777777" w:rsidTr="00106DA0">
        <w:trPr>
          <w:trHeight w:val="290"/>
        </w:trPr>
        <w:tc>
          <w:tcPr>
            <w:tcW w:w="623" w:type="pct"/>
            <w:shd w:val="clear" w:color="auto" w:fill="auto"/>
            <w:noWrap/>
            <w:vAlign w:val="center"/>
          </w:tcPr>
          <w:p w14:paraId="0064C651" w14:textId="5165F27D" w:rsidR="00A55DD4" w:rsidRDefault="00A55DD4" w:rsidP="000C591A">
            <w:pPr>
              <w:spacing w:before="40" w:after="40"/>
              <w:jc w:val="both"/>
              <w:rPr>
                <w:rFonts w:eastAsia="Times New Roman" w:cs="Calibri Light"/>
                <w:color w:val="000000"/>
                <w:szCs w:val="20"/>
                <w:lang w:eastAsia="lv-LV"/>
              </w:rPr>
            </w:pPr>
            <w:r>
              <w:rPr>
                <w:rFonts w:eastAsia="Times New Roman" w:cs="Calibri Light"/>
                <w:color w:val="000000"/>
                <w:szCs w:val="20"/>
                <w:lang w:eastAsia="lv-LV"/>
              </w:rPr>
              <w:t>LM</w:t>
            </w:r>
          </w:p>
        </w:tc>
        <w:tc>
          <w:tcPr>
            <w:tcW w:w="4377" w:type="pct"/>
            <w:shd w:val="clear" w:color="auto" w:fill="auto"/>
            <w:noWrap/>
            <w:vAlign w:val="center"/>
          </w:tcPr>
          <w:p w14:paraId="3518CA86" w14:textId="602962CC" w:rsidR="00A55DD4" w:rsidRDefault="00A55DD4" w:rsidP="000C591A">
            <w:pPr>
              <w:spacing w:before="40" w:after="40"/>
              <w:jc w:val="both"/>
              <w:rPr>
                <w:rFonts w:eastAsia="Times New Roman" w:cs="Calibri Light"/>
                <w:color w:val="000000"/>
                <w:szCs w:val="20"/>
                <w:lang w:eastAsia="lv-LV"/>
              </w:rPr>
            </w:pPr>
            <w:r>
              <w:rPr>
                <w:rFonts w:eastAsia="Times New Roman" w:cs="Calibri Light"/>
                <w:color w:val="000000"/>
                <w:szCs w:val="20"/>
                <w:lang w:eastAsia="lv-LV"/>
              </w:rPr>
              <w:t>Labklājības ministrija</w:t>
            </w:r>
          </w:p>
        </w:tc>
      </w:tr>
      <w:tr w:rsidR="009D2225" w:rsidRPr="00B73A48" w14:paraId="7959B38D" w14:textId="77777777" w:rsidTr="00106DA0">
        <w:trPr>
          <w:trHeight w:val="290"/>
        </w:trPr>
        <w:tc>
          <w:tcPr>
            <w:tcW w:w="623" w:type="pct"/>
            <w:shd w:val="clear" w:color="auto" w:fill="auto"/>
            <w:noWrap/>
            <w:vAlign w:val="center"/>
          </w:tcPr>
          <w:p w14:paraId="4C98A135" w14:textId="14BB923F" w:rsidR="009D2225" w:rsidRPr="00B70CFD" w:rsidRDefault="009D2225" w:rsidP="000C591A">
            <w:pPr>
              <w:spacing w:before="40" w:after="40"/>
              <w:jc w:val="both"/>
              <w:rPr>
                <w:rFonts w:eastAsia="Times New Roman" w:cs="Calibri Light"/>
                <w:color w:val="000000"/>
                <w:szCs w:val="20"/>
                <w:lang w:eastAsia="lv-LV"/>
              </w:rPr>
            </w:pPr>
            <w:r>
              <w:rPr>
                <w:rFonts w:eastAsia="Times New Roman" w:cs="Calibri Light"/>
                <w:color w:val="000000"/>
                <w:szCs w:val="20"/>
                <w:lang w:eastAsia="lv-LV"/>
              </w:rPr>
              <w:t>MI</w:t>
            </w:r>
          </w:p>
        </w:tc>
        <w:tc>
          <w:tcPr>
            <w:tcW w:w="4377" w:type="pct"/>
            <w:shd w:val="clear" w:color="auto" w:fill="auto"/>
            <w:noWrap/>
            <w:vAlign w:val="center"/>
          </w:tcPr>
          <w:p w14:paraId="166D476C" w14:textId="365A9F87" w:rsidR="009D2225" w:rsidRPr="00B70CFD" w:rsidRDefault="009D2225" w:rsidP="000C591A">
            <w:pPr>
              <w:spacing w:before="40" w:after="40"/>
              <w:jc w:val="both"/>
              <w:rPr>
                <w:rFonts w:eastAsia="Times New Roman" w:cs="Calibri Light"/>
                <w:color w:val="000000"/>
                <w:szCs w:val="20"/>
                <w:lang w:eastAsia="lv-LV"/>
              </w:rPr>
            </w:pPr>
            <w:r>
              <w:rPr>
                <w:rFonts w:eastAsia="Times New Roman" w:cs="Calibri Light"/>
                <w:color w:val="000000"/>
                <w:szCs w:val="20"/>
                <w:lang w:eastAsia="lv-LV"/>
              </w:rPr>
              <w:t>mākslīgais intelekts</w:t>
            </w:r>
          </w:p>
        </w:tc>
      </w:tr>
      <w:tr w:rsidR="006F1A52" w:rsidRPr="00B73A48" w14:paraId="1E071BAA" w14:textId="77777777" w:rsidTr="00106DA0">
        <w:trPr>
          <w:trHeight w:val="290"/>
        </w:trPr>
        <w:tc>
          <w:tcPr>
            <w:tcW w:w="623" w:type="pct"/>
            <w:shd w:val="clear" w:color="auto" w:fill="auto"/>
            <w:noWrap/>
            <w:vAlign w:val="center"/>
            <w:hideMark/>
          </w:tcPr>
          <w:p w14:paraId="057D5693" w14:textId="77777777" w:rsidR="006F1A52" w:rsidRPr="00B70CFD" w:rsidRDefault="006F1A52" w:rsidP="000C591A">
            <w:pPr>
              <w:spacing w:before="40" w:after="40"/>
              <w:jc w:val="both"/>
              <w:rPr>
                <w:rFonts w:eastAsia="Times New Roman" w:cs="Calibri Light"/>
                <w:color w:val="000000"/>
                <w:szCs w:val="20"/>
                <w:lang w:eastAsia="lv-LV"/>
              </w:rPr>
            </w:pPr>
            <w:r w:rsidRPr="00B70CFD">
              <w:rPr>
                <w:rFonts w:eastAsia="Times New Roman" w:cs="Calibri Light"/>
                <w:color w:val="000000"/>
                <w:szCs w:val="20"/>
                <w:lang w:eastAsia="lv-LV"/>
              </w:rPr>
              <w:t>MK</w:t>
            </w:r>
          </w:p>
        </w:tc>
        <w:tc>
          <w:tcPr>
            <w:tcW w:w="4377" w:type="pct"/>
            <w:shd w:val="clear" w:color="auto" w:fill="auto"/>
            <w:noWrap/>
            <w:vAlign w:val="center"/>
            <w:hideMark/>
          </w:tcPr>
          <w:p w14:paraId="346EE9AB" w14:textId="77777777" w:rsidR="006F1A52" w:rsidRPr="00B70CFD" w:rsidRDefault="006F1A52" w:rsidP="000C591A">
            <w:pPr>
              <w:spacing w:before="40" w:after="40"/>
              <w:jc w:val="both"/>
              <w:rPr>
                <w:rFonts w:eastAsia="Times New Roman" w:cs="Calibri Light"/>
                <w:color w:val="000000"/>
                <w:szCs w:val="20"/>
                <w:lang w:eastAsia="lv-LV"/>
              </w:rPr>
            </w:pPr>
            <w:r w:rsidRPr="00B70CFD">
              <w:rPr>
                <w:rFonts w:eastAsia="Times New Roman" w:cs="Calibri Light"/>
                <w:color w:val="000000"/>
                <w:szCs w:val="20"/>
                <w:lang w:eastAsia="lv-LV"/>
              </w:rPr>
              <w:t>Ministru kabinets</w:t>
            </w:r>
          </w:p>
        </w:tc>
      </w:tr>
      <w:tr w:rsidR="006F1A52" w:rsidRPr="00B73A48" w14:paraId="78253D7B" w14:textId="77777777" w:rsidTr="00106DA0">
        <w:trPr>
          <w:trHeight w:val="290"/>
        </w:trPr>
        <w:tc>
          <w:tcPr>
            <w:tcW w:w="623" w:type="pct"/>
            <w:shd w:val="clear" w:color="auto" w:fill="auto"/>
            <w:noWrap/>
            <w:vAlign w:val="center"/>
            <w:hideMark/>
          </w:tcPr>
          <w:p w14:paraId="11BD1ABC" w14:textId="77777777" w:rsidR="006F1A52" w:rsidRPr="00B70CFD" w:rsidRDefault="006F1A52" w:rsidP="000C591A">
            <w:pPr>
              <w:spacing w:before="40" w:after="40"/>
              <w:rPr>
                <w:rFonts w:eastAsia="Times New Roman" w:cs="Calibri Light"/>
                <w:color w:val="000000"/>
                <w:szCs w:val="20"/>
                <w:lang w:eastAsia="lv-LV"/>
              </w:rPr>
            </w:pPr>
            <w:r w:rsidRPr="00B70CFD">
              <w:rPr>
                <w:rFonts w:eastAsia="Times New Roman" w:cs="Calibri Light"/>
                <w:color w:val="000000"/>
                <w:szCs w:val="20"/>
                <w:lang w:eastAsia="lv-LV"/>
              </w:rPr>
              <w:t>MVU</w:t>
            </w:r>
          </w:p>
        </w:tc>
        <w:tc>
          <w:tcPr>
            <w:tcW w:w="4377" w:type="pct"/>
            <w:shd w:val="clear" w:color="auto" w:fill="auto"/>
            <w:noWrap/>
            <w:vAlign w:val="center"/>
            <w:hideMark/>
          </w:tcPr>
          <w:p w14:paraId="1EB746D6" w14:textId="77777777" w:rsidR="006F1A52" w:rsidRPr="00B70CFD" w:rsidRDefault="006F1A52" w:rsidP="000C591A">
            <w:pPr>
              <w:spacing w:before="40" w:after="40"/>
              <w:rPr>
                <w:rFonts w:eastAsia="Times New Roman" w:cs="Calibri Light"/>
                <w:color w:val="000000"/>
                <w:szCs w:val="20"/>
                <w:lang w:eastAsia="lv-LV"/>
              </w:rPr>
            </w:pPr>
            <w:r w:rsidRPr="00B70CFD">
              <w:rPr>
                <w:rFonts w:eastAsia="Times New Roman" w:cs="Calibri Light"/>
                <w:color w:val="000000"/>
                <w:szCs w:val="20"/>
                <w:lang w:eastAsia="lv-LV"/>
              </w:rPr>
              <w:t>mazie un vidējie uzņēmumi</w:t>
            </w:r>
          </w:p>
        </w:tc>
      </w:tr>
      <w:tr w:rsidR="006F1A52" w:rsidRPr="00B73A48" w14:paraId="172ED74C" w14:textId="77777777" w:rsidTr="00106DA0">
        <w:trPr>
          <w:trHeight w:val="290"/>
        </w:trPr>
        <w:tc>
          <w:tcPr>
            <w:tcW w:w="623" w:type="pct"/>
            <w:shd w:val="clear" w:color="auto" w:fill="auto"/>
            <w:noWrap/>
            <w:vAlign w:val="center"/>
            <w:hideMark/>
          </w:tcPr>
          <w:p w14:paraId="3E33D685" w14:textId="77777777" w:rsidR="006F1A52" w:rsidRPr="0000626E" w:rsidRDefault="006F1A52" w:rsidP="000C591A">
            <w:pPr>
              <w:spacing w:before="40" w:after="40"/>
              <w:rPr>
                <w:rFonts w:eastAsia="Times New Roman" w:cs="Calibri Light"/>
                <w:color w:val="000000"/>
                <w:szCs w:val="20"/>
                <w:lang w:eastAsia="lv-LV"/>
              </w:rPr>
            </w:pPr>
            <w:r w:rsidRPr="0000626E">
              <w:rPr>
                <w:rFonts w:eastAsia="Times New Roman" w:cs="Calibri Light"/>
                <w:color w:val="000000"/>
                <w:szCs w:val="20"/>
                <w:lang w:eastAsia="lv-LV"/>
              </w:rPr>
              <w:t>NEP</w:t>
            </w:r>
          </w:p>
        </w:tc>
        <w:tc>
          <w:tcPr>
            <w:tcW w:w="4377" w:type="pct"/>
            <w:shd w:val="clear" w:color="auto" w:fill="auto"/>
            <w:noWrap/>
            <w:vAlign w:val="center"/>
            <w:hideMark/>
          </w:tcPr>
          <w:p w14:paraId="65B9779E" w14:textId="77777777" w:rsidR="006F1A52" w:rsidRPr="0000626E" w:rsidRDefault="006F1A52" w:rsidP="000C591A">
            <w:pPr>
              <w:spacing w:before="40" w:after="40"/>
              <w:rPr>
                <w:rFonts w:eastAsia="Times New Roman" w:cs="Calibri Light"/>
                <w:color w:val="000000"/>
                <w:szCs w:val="20"/>
                <w:lang w:eastAsia="lv-LV"/>
              </w:rPr>
            </w:pPr>
            <w:r w:rsidRPr="0000626E">
              <w:rPr>
                <w:rFonts w:eastAsia="Times New Roman" w:cs="Calibri Light"/>
                <w:color w:val="000000"/>
                <w:szCs w:val="20"/>
                <w:lang w:eastAsia="lv-LV"/>
              </w:rPr>
              <w:t>Nozaru ekspertu padome</w:t>
            </w:r>
          </w:p>
        </w:tc>
      </w:tr>
      <w:tr w:rsidR="006F1A52" w:rsidRPr="00B73A48" w14:paraId="64E1B7EB" w14:textId="77777777" w:rsidTr="00106DA0">
        <w:trPr>
          <w:trHeight w:val="290"/>
        </w:trPr>
        <w:tc>
          <w:tcPr>
            <w:tcW w:w="623" w:type="pct"/>
            <w:shd w:val="clear" w:color="auto" w:fill="auto"/>
            <w:noWrap/>
            <w:vAlign w:val="center"/>
            <w:hideMark/>
          </w:tcPr>
          <w:p w14:paraId="7B062B7D" w14:textId="77777777" w:rsidR="006F1A52" w:rsidRPr="00106DA0" w:rsidRDefault="006F1A52" w:rsidP="000C591A">
            <w:pPr>
              <w:spacing w:before="40" w:after="40"/>
              <w:jc w:val="both"/>
              <w:rPr>
                <w:rFonts w:eastAsia="Times New Roman" w:cs="Calibri Light"/>
                <w:color w:val="000000"/>
                <w:szCs w:val="20"/>
                <w:lang w:eastAsia="lv-LV"/>
              </w:rPr>
            </w:pPr>
            <w:r w:rsidRPr="00106DA0">
              <w:rPr>
                <w:rFonts w:eastAsia="Times New Roman" w:cs="Calibri Light"/>
                <w:color w:val="000000"/>
                <w:szCs w:val="20"/>
                <w:lang w:eastAsia="lv-LV"/>
              </w:rPr>
              <w:t>NVA</w:t>
            </w:r>
          </w:p>
        </w:tc>
        <w:tc>
          <w:tcPr>
            <w:tcW w:w="4377" w:type="pct"/>
            <w:shd w:val="clear" w:color="auto" w:fill="auto"/>
            <w:noWrap/>
            <w:vAlign w:val="center"/>
            <w:hideMark/>
          </w:tcPr>
          <w:p w14:paraId="36BF530C" w14:textId="77777777" w:rsidR="006F1A52" w:rsidRPr="00106DA0" w:rsidRDefault="006F1A52" w:rsidP="000C591A">
            <w:pPr>
              <w:spacing w:before="40" w:after="40"/>
              <w:jc w:val="both"/>
              <w:rPr>
                <w:rFonts w:eastAsia="Times New Roman" w:cs="Calibri Light"/>
                <w:color w:val="000000"/>
                <w:szCs w:val="20"/>
                <w:lang w:eastAsia="lv-LV"/>
              </w:rPr>
            </w:pPr>
            <w:r w:rsidRPr="00106DA0">
              <w:rPr>
                <w:rFonts w:eastAsia="Times New Roman" w:cs="Calibri Light"/>
                <w:color w:val="000000"/>
                <w:szCs w:val="20"/>
                <w:lang w:eastAsia="lv-LV"/>
              </w:rPr>
              <w:t>Nodarbinātības valsts aģentūra</w:t>
            </w:r>
          </w:p>
        </w:tc>
      </w:tr>
      <w:tr w:rsidR="006F1A52" w:rsidRPr="00B73A48" w14:paraId="32CC9283" w14:textId="77777777" w:rsidTr="00106DA0">
        <w:trPr>
          <w:trHeight w:val="290"/>
        </w:trPr>
        <w:tc>
          <w:tcPr>
            <w:tcW w:w="623" w:type="pct"/>
            <w:shd w:val="clear" w:color="auto" w:fill="auto"/>
            <w:noWrap/>
            <w:vAlign w:val="center"/>
            <w:hideMark/>
          </w:tcPr>
          <w:p w14:paraId="03AD6D8C" w14:textId="77777777" w:rsidR="006F1A52" w:rsidRPr="0000626E" w:rsidRDefault="006F1A52" w:rsidP="000C591A">
            <w:pPr>
              <w:spacing w:before="40" w:after="40"/>
              <w:jc w:val="both"/>
              <w:rPr>
                <w:rFonts w:eastAsia="Times New Roman" w:cs="Calibri Light"/>
                <w:color w:val="000000"/>
                <w:szCs w:val="20"/>
                <w:lang w:eastAsia="lv-LV"/>
              </w:rPr>
            </w:pPr>
            <w:r w:rsidRPr="0000626E">
              <w:rPr>
                <w:rFonts w:eastAsia="Times New Roman" w:cs="Calibri Light"/>
                <w:color w:val="000000"/>
                <w:szCs w:val="20"/>
                <w:lang w:eastAsia="lv-LV"/>
              </w:rPr>
              <w:t>OECD</w:t>
            </w:r>
          </w:p>
        </w:tc>
        <w:tc>
          <w:tcPr>
            <w:tcW w:w="4377" w:type="pct"/>
            <w:shd w:val="clear" w:color="auto" w:fill="auto"/>
            <w:noWrap/>
            <w:vAlign w:val="center"/>
            <w:hideMark/>
          </w:tcPr>
          <w:p w14:paraId="2F50334B" w14:textId="2D781C8B" w:rsidR="006F1A52" w:rsidRPr="0000626E" w:rsidRDefault="006F1A52" w:rsidP="000C591A">
            <w:pPr>
              <w:spacing w:before="40" w:after="40"/>
              <w:jc w:val="both"/>
              <w:rPr>
                <w:rFonts w:eastAsia="Times New Roman" w:cs="Calibri Light"/>
                <w:color w:val="000000"/>
                <w:szCs w:val="20"/>
                <w:lang w:eastAsia="lv-LV"/>
              </w:rPr>
            </w:pPr>
            <w:r w:rsidRPr="0000626E">
              <w:rPr>
                <w:rFonts w:eastAsia="Times New Roman" w:cs="Calibri Light"/>
                <w:color w:val="000000"/>
                <w:szCs w:val="20"/>
                <w:lang w:eastAsia="lv-LV"/>
              </w:rPr>
              <w:t>Ekonomiskās sadarbības un attīstības organizācija</w:t>
            </w:r>
            <w:r w:rsidR="00F01887">
              <w:rPr>
                <w:rFonts w:eastAsia="Times New Roman" w:cs="Calibri Light"/>
                <w:color w:val="000000"/>
                <w:szCs w:val="20"/>
                <w:lang w:eastAsia="lv-LV"/>
              </w:rPr>
              <w:t xml:space="preserve"> (</w:t>
            </w:r>
            <w:proofErr w:type="spellStart"/>
            <w:r w:rsidR="00F01887" w:rsidRPr="00F01887">
              <w:rPr>
                <w:rFonts w:eastAsia="Times New Roman" w:cs="Calibri Light"/>
                <w:i/>
                <w:iCs/>
                <w:color w:val="000000"/>
                <w:szCs w:val="20"/>
                <w:lang w:eastAsia="lv-LV"/>
              </w:rPr>
              <w:t>The</w:t>
            </w:r>
            <w:proofErr w:type="spellEnd"/>
            <w:r w:rsidR="00F01887" w:rsidRPr="00F01887">
              <w:rPr>
                <w:rFonts w:eastAsia="Times New Roman" w:cs="Calibri Light"/>
                <w:i/>
                <w:iCs/>
                <w:color w:val="000000"/>
                <w:szCs w:val="20"/>
                <w:lang w:eastAsia="lv-LV"/>
              </w:rPr>
              <w:t xml:space="preserve"> </w:t>
            </w:r>
            <w:proofErr w:type="spellStart"/>
            <w:r w:rsidR="00F01887" w:rsidRPr="00F01887">
              <w:rPr>
                <w:rFonts w:eastAsia="Times New Roman" w:cs="Calibri Light"/>
                <w:i/>
                <w:iCs/>
                <w:color w:val="000000"/>
                <w:szCs w:val="20"/>
                <w:lang w:eastAsia="lv-LV"/>
              </w:rPr>
              <w:t>Organisation</w:t>
            </w:r>
            <w:proofErr w:type="spellEnd"/>
            <w:r w:rsidR="00F01887" w:rsidRPr="00F01887">
              <w:rPr>
                <w:rFonts w:eastAsia="Times New Roman" w:cs="Calibri Light"/>
                <w:i/>
                <w:iCs/>
                <w:color w:val="000000"/>
                <w:szCs w:val="20"/>
                <w:lang w:eastAsia="lv-LV"/>
              </w:rPr>
              <w:t xml:space="preserve"> </w:t>
            </w:r>
            <w:proofErr w:type="spellStart"/>
            <w:r w:rsidR="00F01887" w:rsidRPr="00F01887">
              <w:rPr>
                <w:rFonts w:eastAsia="Times New Roman" w:cs="Calibri Light"/>
                <w:i/>
                <w:iCs/>
                <w:color w:val="000000"/>
                <w:szCs w:val="20"/>
                <w:lang w:eastAsia="lv-LV"/>
              </w:rPr>
              <w:t>for</w:t>
            </w:r>
            <w:proofErr w:type="spellEnd"/>
            <w:r w:rsidR="00F01887" w:rsidRPr="00F01887">
              <w:rPr>
                <w:rFonts w:eastAsia="Times New Roman" w:cs="Calibri Light"/>
                <w:i/>
                <w:iCs/>
                <w:color w:val="000000"/>
                <w:szCs w:val="20"/>
                <w:lang w:eastAsia="lv-LV"/>
              </w:rPr>
              <w:t xml:space="preserve"> </w:t>
            </w:r>
            <w:proofErr w:type="spellStart"/>
            <w:r w:rsidR="00F01887" w:rsidRPr="00F01887">
              <w:rPr>
                <w:rFonts w:eastAsia="Times New Roman" w:cs="Calibri Light"/>
                <w:i/>
                <w:iCs/>
                <w:color w:val="000000"/>
                <w:szCs w:val="20"/>
                <w:lang w:eastAsia="lv-LV"/>
              </w:rPr>
              <w:t>Economic</w:t>
            </w:r>
            <w:proofErr w:type="spellEnd"/>
            <w:r w:rsidR="00F01887" w:rsidRPr="00F01887">
              <w:rPr>
                <w:rFonts w:eastAsia="Times New Roman" w:cs="Calibri Light"/>
                <w:i/>
                <w:iCs/>
                <w:color w:val="000000"/>
                <w:szCs w:val="20"/>
                <w:lang w:eastAsia="lv-LV"/>
              </w:rPr>
              <w:t xml:space="preserve"> </w:t>
            </w:r>
            <w:proofErr w:type="spellStart"/>
            <w:r w:rsidR="00F01887" w:rsidRPr="00F01887">
              <w:rPr>
                <w:rFonts w:eastAsia="Times New Roman" w:cs="Calibri Light"/>
                <w:i/>
                <w:iCs/>
                <w:color w:val="000000"/>
                <w:szCs w:val="20"/>
                <w:lang w:eastAsia="lv-LV"/>
              </w:rPr>
              <w:t>Co-operation</w:t>
            </w:r>
            <w:proofErr w:type="spellEnd"/>
            <w:r w:rsidR="00F01887" w:rsidRPr="00F01887">
              <w:rPr>
                <w:rFonts w:eastAsia="Times New Roman" w:cs="Calibri Light"/>
                <w:i/>
                <w:iCs/>
                <w:color w:val="000000"/>
                <w:szCs w:val="20"/>
                <w:lang w:eastAsia="lv-LV"/>
              </w:rPr>
              <w:t xml:space="preserve"> </w:t>
            </w:r>
            <w:proofErr w:type="spellStart"/>
            <w:r w:rsidR="00F01887" w:rsidRPr="00F01887">
              <w:rPr>
                <w:rFonts w:eastAsia="Times New Roman" w:cs="Calibri Light"/>
                <w:i/>
                <w:iCs/>
                <w:color w:val="000000"/>
                <w:szCs w:val="20"/>
                <w:lang w:eastAsia="lv-LV"/>
              </w:rPr>
              <w:t>and</w:t>
            </w:r>
            <w:proofErr w:type="spellEnd"/>
            <w:r w:rsidR="00F01887" w:rsidRPr="00F01887">
              <w:rPr>
                <w:rFonts w:eastAsia="Times New Roman" w:cs="Calibri Light"/>
                <w:i/>
                <w:iCs/>
                <w:color w:val="000000"/>
                <w:szCs w:val="20"/>
                <w:lang w:eastAsia="lv-LV"/>
              </w:rPr>
              <w:t xml:space="preserve"> </w:t>
            </w:r>
            <w:proofErr w:type="spellStart"/>
            <w:r w:rsidR="00F01887" w:rsidRPr="00F01887">
              <w:rPr>
                <w:rFonts w:eastAsia="Times New Roman" w:cs="Calibri Light"/>
                <w:i/>
                <w:iCs/>
                <w:color w:val="000000"/>
                <w:szCs w:val="20"/>
                <w:lang w:eastAsia="lv-LV"/>
              </w:rPr>
              <w:t>Development</w:t>
            </w:r>
            <w:proofErr w:type="spellEnd"/>
            <w:r w:rsidR="00F01887">
              <w:rPr>
                <w:rFonts w:eastAsia="Times New Roman" w:cs="Calibri Light"/>
                <w:color w:val="000000"/>
                <w:szCs w:val="20"/>
                <w:lang w:eastAsia="lv-LV"/>
              </w:rPr>
              <w:t>)</w:t>
            </w:r>
          </w:p>
        </w:tc>
      </w:tr>
      <w:tr w:rsidR="00C271CB" w:rsidRPr="00B73A48" w14:paraId="76EB7C60" w14:textId="77777777" w:rsidTr="00106DA0">
        <w:trPr>
          <w:trHeight w:val="290"/>
        </w:trPr>
        <w:tc>
          <w:tcPr>
            <w:tcW w:w="623" w:type="pct"/>
            <w:shd w:val="clear" w:color="auto" w:fill="auto"/>
            <w:noWrap/>
            <w:vAlign w:val="center"/>
          </w:tcPr>
          <w:p w14:paraId="449F8B38" w14:textId="56FAEFAC" w:rsidR="00C271CB" w:rsidRPr="00C271CB" w:rsidRDefault="00C271CB" w:rsidP="000C591A">
            <w:pPr>
              <w:spacing w:before="40" w:after="40"/>
              <w:jc w:val="both"/>
              <w:rPr>
                <w:rFonts w:eastAsia="Times New Roman" w:cs="Calibri Light"/>
                <w:color w:val="000000"/>
                <w:szCs w:val="20"/>
                <w:lang w:eastAsia="lv-LV"/>
              </w:rPr>
            </w:pPr>
            <w:r w:rsidRPr="00C271CB">
              <w:rPr>
                <w:rFonts w:eastAsia="Times New Roman" w:cs="Calibri Light"/>
                <w:color w:val="000000" w:themeColor="text1"/>
                <w:lang w:eastAsia="lv-LV"/>
              </w:rPr>
              <w:t>P&amp;A</w:t>
            </w:r>
          </w:p>
        </w:tc>
        <w:tc>
          <w:tcPr>
            <w:tcW w:w="4377" w:type="pct"/>
            <w:shd w:val="clear" w:color="auto" w:fill="auto"/>
            <w:noWrap/>
            <w:vAlign w:val="center"/>
          </w:tcPr>
          <w:p w14:paraId="37ACB012" w14:textId="0EB33294" w:rsidR="00C271CB" w:rsidRPr="0000626E" w:rsidRDefault="00C271CB" w:rsidP="000C591A">
            <w:pPr>
              <w:spacing w:before="40" w:after="40"/>
              <w:jc w:val="both"/>
              <w:rPr>
                <w:rFonts w:eastAsia="Times New Roman" w:cs="Calibri Light"/>
                <w:color w:val="000000"/>
                <w:szCs w:val="20"/>
                <w:lang w:eastAsia="lv-LV"/>
              </w:rPr>
            </w:pPr>
            <w:r w:rsidRPr="00C271CB">
              <w:rPr>
                <w:rFonts w:eastAsia="Times New Roman" w:cs="Calibri Light"/>
                <w:color w:val="000000" w:themeColor="text1"/>
                <w:lang w:eastAsia="lv-LV"/>
              </w:rPr>
              <w:t>pētniecība un attīstība</w:t>
            </w:r>
          </w:p>
        </w:tc>
      </w:tr>
      <w:tr w:rsidR="006F1A52" w:rsidRPr="00B73A48" w14:paraId="089AD8D7" w14:textId="77777777" w:rsidTr="00106DA0">
        <w:trPr>
          <w:trHeight w:val="290"/>
        </w:trPr>
        <w:tc>
          <w:tcPr>
            <w:tcW w:w="623" w:type="pct"/>
            <w:shd w:val="clear" w:color="auto" w:fill="auto"/>
            <w:noWrap/>
            <w:vAlign w:val="center"/>
            <w:hideMark/>
          </w:tcPr>
          <w:p w14:paraId="4AAE8DF4" w14:textId="70BF197D" w:rsidR="006F1A52" w:rsidRPr="00DC4D98" w:rsidRDefault="4398C881" w:rsidP="000C591A">
            <w:pPr>
              <w:spacing w:before="40" w:after="40"/>
              <w:rPr>
                <w:color w:val="000000"/>
                <w:szCs w:val="20"/>
                <w:lang w:eastAsia="lv-LV"/>
              </w:rPr>
            </w:pPr>
            <w:r w:rsidRPr="00DC4D98">
              <w:rPr>
                <w:rFonts w:eastAsia="Times New Roman" w:cs="Calibri Light"/>
                <w:color w:val="000000" w:themeColor="text1"/>
                <w:szCs w:val="20"/>
                <w:lang w:eastAsia="lv-LV"/>
              </w:rPr>
              <w:t>PIAAC</w:t>
            </w:r>
          </w:p>
        </w:tc>
        <w:tc>
          <w:tcPr>
            <w:tcW w:w="4377" w:type="pct"/>
            <w:shd w:val="clear" w:color="auto" w:fill="auto"/>
            <w:noWrap/>
            <w:vAlign w:val="center"/>
            <w:hideMark/>
          </w:tcPr>
          <w:p w14:paraId="2588B52A" w14:textId="3BBF186A" w:rsidR="006F1A52" w:rsidRPr="00DC4D98" w:rsidRDefault="4398C881" w:rsidP="000C591A">
            <w:pPr>
              <w:spacing w:before="40" w:after="40"/>
              <w:rPr>
                <w:color w:val="000000"/>
                <w:szCs w:val="20"/>
                <w:lang w:eastAsia="lv-LV"/>
              </w:rPr>
            </w:pPr>
            <w:r w:rsidRPr="00DC4D98">
              <w:rPr>
                <w:color w:val="000000" w:themeColor="text1"/>
                <w:szCs w:val="20"/>
                <w:lang w:eastAsia="lv-LV"/>
              </w:rPr>
              <w:t>OECD Starptautiskā Pieaugušo kompetenču novērtēšanas programma</w:t>
            </w:r>
          </w:p>
        </w:tc>
      </w:tr>
      <w:tr w:rsidR="006F1A52" w:rsidRPr="00B73A48" w14:paraId="0FCECE34" w14:textId="77777777" w:rsidTr="00106DA0">
        <w:trPr>
          <w:trHeight w:val="290"/>
        </w:trPr>
        <w:tc>
          <w:tcPr>
            <w:tcW w:w="623" w:type="pct"/>
            <w:shd w:val="clear" w:color="auto" w:fill="auto"/>
            <w:noWrap/>
            <w:vAlign w:val="center"/>
            <w:hideMark/>
          </w:tcPr>
          <w:p w14:paraId="377D55A5" w14:textId="38AC5454" w:rsidR="006F1A52" w:rsidRPr="00B52B68" w:rsidRDefault="4398C881" w:rsidP="000C591A">
            <w:pPr>
              <w:spacing w:before="40" w:after="40"/>
              <w:rPr>
                <w:color w:val="000000"/>
                <w:szCs w:val="20"/>
                <w:lang w:eastAsia="lv-LV"/>
              </w:rPr>
            </w:pPr>
            <w:r w:rsidRPr="00B52B68">
              <w:rPr>
                <w:rFonts w:eastAsia="Times New Roman" w:cs="Calibri Light"/>
                <w:color w:val="000000" w:themeColor="text1"/>
                <w:szCs w:val="20"/>
                <w:lang w:eastAsia="lv-LV"/>
              </w:rPr>
              <w:t>PPS</w:t>
            </w:r>
          </w:p>
        </w:tc>
        <w:tc>
          <w:tcPr>
            <w:tcW w:w="4377" w:type="pct"/>
            <w:shd w:val="clear" w:color="auto" w:fill="auto"/>
            <w:noWrap/>
            <w:vAlign w:val="center"/>
            <w:hideMark/>
          </w:tcPr>
          <w:p w14:paraId="5E4B74DB" w14:textId="36FE758B" w:rsidR="006F1A52" w:rsidRPr="00B52B68" w:rsidRDefault="4398C881" w:rsidP="000C591A">
            <w:pPr>
              <w:spacing w:before="40" w:after="40"/>
              <w:rPr>
                <w:color w:val="000000"/>
                <w:szCs w:val="20"/>
                <w:lang w:eastAsia="lv-LV"/>
              </w:rPr>
            </w:pPr>
            <w:r w:rsidRPr="00B52B68">
              <w:rPr>
                <w:color w:val="000000" w:themeColor="text1"/>
                <w:szCs w:val="20"/>
                <w:lang w:eastAsia="lv-LV"/>
              </w:rPr>
              <w:t>Pirktspējas paritātes standarts</w:t>
            </w:r>
          </w:p>
        </w:tc>
      </w:tr>
      <w:tr w:rsidR="006F1A52" w:rsidRPr="00B73A48" w14:paraId="3B8BF559" w14:textId="77777777" w:rsidTr="00106DA0">
        <w:trPr>
          <w:trHeight w:val="290"/>
        </w:trPr>
        <w:tc>
          <w:tcPr>
            <w:tcW w:w="623" w:type="pct"/>
            <w:shd w:val="clear" w:color="auto" w:fill="auto"/>
            <w:noWrap/>
            <w:vAlign w:val="center"/>
            <w:hideMark/>
          </w:tcPr>
          <w:p w14:paraId="0BC94FCD" w14:textId="77777777" w:rsidR="006F1A52" w:rsidRPr="00391F58" w:rsidRDefault="006F1A52" w:rsidP="000C591A">
            <w:pPr>
              <w:spacing w:before="40" w:after="40"/>
              <w:rPr>
                <w:rFonts w:eastAsia="Times New Roman" w:cs="Calibri Light"/>
                <w:color w:val="000000"/>
                <w:szCs w:val="20"/>
                <w:lang w:eastAsia="lv-LV"/>
              </w:rPr>
            </w:pPr>
            <w:r w:rsidRPr="00391F58">
              <w:rPr>
                <w:rFonts w:eastAsia="Times New Roman" w:cs="Calibri Light"/>
                <w:color w:val="000000"/>
                <w:szCs w:val="20"/>
                <w:lang w:eastAsia="lv-LV"/>
              </w:rPr>
              <w:t>REACT-EU</w:t>
            </w:r>
          </w:p>
        </w:tc>
        <w:tc>
          <w:tcPr>
            <w:tcW w:w="4377" w:type="pct"/>
            <w:shd w:val="clear" w:color="auto" w:fill="auto"/>
            <w:noWrap/>
            <w:vAlign w:val="center"/>
            <w:hideMark/>
          </w:tcPr>
          <w:p w14:paraId="450713B6" w14:textId="77777777" w:rsidR="006F1A52" w:rsidRPr="00391F58" w:rsidRDefault="006F1A52" w:rsidP="000C591A">
            <w:pPr>
              <w:spacing w:before="40" w:after="40"/>
              <w:rPr>
                <w:rFonts w:eastAsia="Times New Roman" w:cs="Calibri Light"/>
                <w:color w:val="000000"/>
                <w:szCs w:val="20"/>
                <w:lang w:eastAsia="lv-LV"/>
              </w:rPr>
            </w:pPr>
            <w:r w:rsidRPr="00391F58">
              <w:rPr>
                <w:rFonts w:eastAsia="Times New Roman" w:cs="Calibri Light"/>
                <w:color w:val="000000"/>
                <w:szCs w:val="20"/>
                <w:lang w:eastAsia="lv-LV"/>
              </w:rPr>
              <w:t>Atveseļošanas palīdzība kohēzijai un Eiropas teritorijām</w:t>
            </w:r>
          </w:p>
        </w:tc>
      </w:tr>
      <w:tr w:rsidR="006F1A52" w:rsidRPr="00B73A48" w14:paraId="163A26BE" w14:textId="77777777" w:rsidTr="00106DA0">
        <w:trPr>
          <w:trHeight w:val="290"/>
        </w:trPr>
        <w:tc>
          <w:tcPr>
            <w:tcW w:w="623" w:type="pct"/>
            <w:shd w:val="clear" w:color="auto" w:fill="auto"/>
            <w:noWrap/>
            <w:hideMark/>
          </w:tcPr>
          <w:p w14:paraId="03503512" w14:textId="3B15DC8B" w:rsidR="00295827" w:rsidRPr="00391F58" w:rsidRDefault="006F1A52" w:rsidP="000C591A">
            <w:pPr>
              <w:spacing w:before="40" w:after="40"/>
              <w:rPr>
                <w:rFonts w:eastAsia="Times New Roman" w:cs="Calibri Light"/>
                <w:color w:val="000000"/>
                <w:szCs w:val="20"/>
                <w:lang w:eastAsia="lv-LV"/>
              </w:rPr>
            </w:pPr>
            <w:r w:rsidRPr="00391F58">
              <w:rPr>
                <w:rFonts w:eastAsia="Times New Roman" w:cs="Calibri Light"/>
                <w:color w:val="000000"/>
                <w:szCs w:val="20"/>
                <w:lang w:eastAsia="lv-LV"/>
              </w:rPr>
              <w:t>STEM</w:t>
            </w:r>
          </w:p>
        </w:tc>
        <w:tc>
          <w:tcPr>
            <w:tcW w:w="4377" w:type="pct"/>
            <w:shd w:val="clear" w:color="auto" w:fill="auto"/>
            <w:noWrap/>
            <w:hideMark/>
          </w:tcPr>
          <w:p w14:paraId="3710AFEF" w14:textId="6E3EBA1A" w:rsidR="00295827" w:rsidRPr="00391F58" w:rsidRDefault="006F1A52" w:rsidP="00106DA0">
            <w:pPr>
              <w:spacing w:before="40" w:after="40"/>
              <w:ind w:firstLineChars="6" w:firstLine="12"/>
              <w:rPr>
                <w:rFonts w:eastAsia="Times New Roman" w:cs="Calibri Light"/>
                <w:i/>
                <w:color w:val="000000"/>
                <w:szCs w:val="20"/>
                <w:lang w:val="en-GB" w:eastAsia="lv-LV"/>
              </w:rPr>
            </w:pPr>
            <w:r w:rsidRPr="00391F58">
              <w:rPr>
                <w:rFonts w:eastAsia="Times New Roman" w:cs="Calibri Light"/>
                <w:color w:val="000000"/>
                <w:szCs w:val="20"/>
                <w:lang w:eastAsia="lv-LV"/>
              </w:rPr>
              <w:t>Zinātnes, tehnoloģiju, inženierzinātņu un matemātikas virzieni</w:t>
            </w:r>
            <w:r w:rsidR="00295827" w:rsidRPr="00391F58">
              <w:rPr>
                <w:rFonts w:eastAsia="Times New Roman" w:cs="Calibri Light"/>
                <w:color w:val="000000"/>
                <w:szCs w:val="20"/>
                <w:lang w:eastAsia="lv-LV"/>
              </w:rPr>
              <w:t xml:space="preserve"> </w:t>
            </w:r>
            <w:r w:rsidR="006E1605">
              <w:rPr>
                <w:rFonts w:eastAsia="Times New Roman" w:cs="Calibri Light"/>
                <w:color w:val="000000"/>
                <w:szCs w:val="20"/>
                <w:lang w:eastAsia="lv-LV"/>
              </w:rPr>
              <w:t>(</w:t>
            </w:r>
            <w:r w:rsidRPr="00391F58">
              <w:rPr>
                <w:rFonts w:eastAsia="Times New Roman" w:cs="Calibri Light"/>
                <w:i/>
                <w:color w:val="000000"/>
                <w:szCs w:val="20"/>
                <w:lang w:val="en-GB" w:eastAsia="lv-LV"/>
              </w:rPr>
              <w:t>Science, technology, engineering and mathematics</w:t>
            </w:r>
            <w:r w:rsidR="006E1605">
              <w:rPr>
                <w:rFonts w:eastAsia="Times New Roman" w:cs="Calibri Light"/>
                <w:i/>
                <w:color w:val="000000"/>
                <w:szCs w:val="20"/>
                <w:lang w:val="en-GB" w:eastAsia="lv-LV"/>
              </w:rPr>
              <w:t>)</w:t>
            </w:r>
          </w:p>
        </w:tc>
      </w:tr>
      <w:tr w:rsidR="00106DA0" w:rsidRPr="00B73A48" w14:paraId="544575F6" w14:textId="77777777" w:rsidTr="00106DA0">
        <w:trPr>
          <w:trHeight w:val="290"/>
        </w:trPr>
        <w:tc>
          <w:tcPr>
            <w:tcW w:w="623" w:type="pct"/>
            <w:shd w:val="clear" w:color="auto" w:fill="auto"/>
            <w:noWrap/>
            <w:vAlign w:val="center"/>
          </w:tcPr>
          <w:p w14:paraId="4E5CCCEA" w14:textId="419A0CA5" w:rsidR="00106DA0" w:rsidRPr="00391F58" w:rsidRDefault="00106DA0" w:rsidP="000C591A">
            <w:pPr>
              <w:spacing w:before="40" w:after="40"/>
              <w:jc w:val="both"/>
              <w:rPr>
                <w:rFonts w:eastAsia="Times New Roman" w:cs="Calibri Light"/>
                <w:color w:val="000000"/>
                <w:szCs w:val="20"/>
                <w:lang w:eastAsia="lv-LV"/>
              </w:rPr>
            </w:pPr>
            <w:r w:rsidRPr="00391F58">
              <w:rPr>
                <w:rFonts w:eastAsia="Times New Roman" w:cs="Calibri Light"/>
                <w:color w:val="000000"/>
                <w:szCs w:val="20"/>
                <w:lang w:eastAsia="lv-LV"/>
              </w:rPr>
              <w:t>SDO</w:t>
            </w:r>
          </w:p>
        </w:tc>
        <w:tc>
          <w:tcPr>
            <w:tcW w:w="4377" w:type="pct"/>
            <w:shd w:val="clear" w:color="auto" w:fill="auto"/>
            <w:noWrap/>
            <w:vAlign w:val="center"/>
          </w:tcPr>
          <w:p w14:paraId="592DFCBB" w14:textId="690AAE27" w:rsidR="00106DA0" w:rsidRPr="00391F58" w:rsidRDefault="00106DA0" w:rsidP="000C591A">
            <w:pPr>
              <w:spacing w:before="40" w:after="40"/>
              <w:jc w:val="both"/>
              <w:rPr>
                <w:rFonts w:eastAsia="Times New Roman" w:cs="Calibri Light"/>
                <w:color w:val="000000"/>
                <w:szCs w:val="20"/>
                <w:lang w:eastAsia="lv-LV"/>
              </w:rPr>
            </w:pPr>
            <w:r w:rsidRPr="00391F58">
              <w:rPr>
                <w:rFonts w:eastAsia="Times New Roman" w:cs="Calibri Light"/>
                <w:color w:val="000000"/>
                <w:szCs w:val="20"/>
                <w:lang w:eastAsia="lv-LV"/>
              </w:rPr>
              <w:t>Starptautiskā darba organizācija</w:t>
            </w:r>
          </w:p>
        </w:tc>
      </w:tr>
      <w:tr w:rsidR="006F1A52" w:rsidRPr="00B73A48" w14:paraId="5DD45E4E" w14:textId="77777777" w:rsidTr="00106DA0">
        <w:trPr>
          <w:trHeight w:val="290"/>
        </w:trPr>
        <w:tc>
          <w:tcPr>
            <w:tcW w:w="623" w:type="pct"/>
            <w:shd w:val="clear" w:color="auto" w:fill="auto"/>
            <w:noWrap/>
            <w:vAlign w:val="center"/>
            <w:hideMark/>
          </w:tcPr>
          <w:p w14:paraId="4FECF301" w14:textId="77777777" w:rsidR="006F1A52" w:rsidRPr="00B127AE" w:rsidRDefault="006F1A52" w:rsidP="000C591A">
            <w:pPr>
              <w:spacing w:before="40" w:after="40"/>
              <w:jc w:val="both"/>
              <w:rPr>
                <w:rFonts w:eastAsia="Times New Roman" w:cs="Calibri Light"/>
                <w:color w:val="000000"/>
                <w:szCs w:val="20"/>
                <w:lang w:eastAsia="lv-LV"/>
              </w:rPr>
            </w:pPr>
            <w:r w:rsidRPr="00B127AE">
              <w:rPr>
                <w:rFonts w:eastAsia="Times New Roman" w:cs="Calibri Light"/>
                <w:color w:val="000000"/>
                <w:szCs w:val="20"/>
                <w:lang w:eastAsia="lv-LV"/>
              </w:rPr>
              <w:t>ULC</w:t>
            </w:r>
          </w:p>
        </w:tc>
        <w:tc>
          <w:tcPr>
            <w:tcW w:w="4377" w:type="pct"/>
            <w:shd w:val="clear" w:color="auto" w:fill="auto"/>
            <w:noWrap/>
            <w:vAlign w:val="center"/>
            <w:hideMark/>
          </w:tcPr>
          <w:p w14:paraId="50335F1B" w14:textId="77777777" w:rsidR="006F1A52" w:rsidRPr="00B127AE" w:rsidRDefault="006F1A52" w:rsidP="000C591A">
            <w:pPr>
              <w:spacing w:before="40" w:after="40"/>
              <w:jc w:val="both"/>
              <w:rPr>
                <w:rFonts w:eastAsia="Times New Roman" w:cs="Calibri Light"/>
                <w:color w:val="000000"/>
                <w:szCs w:val="20"/>
                <w:lang w:eastAsia="lv-LV"/>
              </w:rPr>
            </w:pPr>
            <w:r w:rsidRPr="00B127AE">
              <w:rPr>
                <w:rFonts w:eastAsia="Times New Roman" w:cs="Calibri Light"/>
                <w:color w:val="000000"/>
                <w:szCs w:val="20"/>
                <w:lang w:eastAsia="lv-LV"/>
              </w:rPr>
              <w:t>produkcijas vienības darbaspēka izmaksas</w:t>
            </w:r>
          </w:p>
        </w:tc>
      </w:tr>
    </w:tbl>
    <w:p w14:paraId="58F71C36" w14:textId="77777777" w:rsidR="007818B0" w:rsidRPr="00B73A48" w:rsidRDefault="007818B0" w:rsidP="007818B0">
      <w:pPr>
        <w:pStyle w:val="BodyTextIndent2"/>
        <w:spacing w:after="240" w:line="240" w:lineRule="auto"/>
        <w:ind w:left="0"/>
        <w:jc w:val="both"/>
        <w:rPr>
          <w:sz w:val="20"/>
          <w:szCs w:val="20"/>
          <w:highlight w:val="yellow"/>
        </w:rPr>
      </w:pPr>
      <w:r w:rsidRPr="00B73A48">
        <w:rPr>
          <w:sz w:val="20"/>
          <w:szCs w:val="20"/>
          <w:highlight w:val="yellow"/>
        </w:rPr>
        <w:br w:type="page"/>
      </w:r>
    </w:p>
    <w:p w14:paraId="1B022D6B" w14:textId="77777777" w:rsidR="007818B0" w:rsidRPr="000A297A" w:rsidRDefault="007818B0" w:rsidP="00102234">
      <w:pPr>
        <w:pStyle w:val="BodyTextIndent2"/>
        <w:spacing w:line="240" w:lineRule="auto"/>
        <w:ind w:left="0"/>
        <w:rPr>
          <w:rFonts w:ascii="Aptos Narrow" w:hAnsi="Aptos Narrow"/>
          <w:b/>
          <w:color w:val="5F497A" w:themeColor="accent4" w:themeShade="BF"/>
          <w:sz w:val="36"/>
          <w:szCs w:val="36"/>
        </w:rPr>
      </w:pPr>
      <w:r w:rsidRPr="000A297A">
        <w:rPr>
          <w:rFonts w:ascii="Aptos Narrow" w:hAnsi="Aptos Narrow"/>
          <w:b/>
          <w:color w:val="5F497A" w:themeColor="accent4" w:themeShade="BF"/>
          <w:sz w:val="36"/>
          <w:szCs w:val="36"/>
        </w:rPr>
        <w:lastRenderedPageBreak/>
        <w:t>SATURS</w:t>
      </w:r>
    </w:p>
    <w:p w14:paraId="20EFD9D8" w14:textId="4BA6C6EB" w:rsidR="00115532" w:rsidRDefault="007818B0">
      <w:pPr>
        <w:pStyle w:val="TOC1"/>
        <w:rPr>
          <w:rFonts w:asciiTheme="minorHAnsi" w:eastAsiaTheme="minorEastAsia" w:hAnsiTheme="minorHAnsi" w:cstheme="minorBidi"/>
          <w:b w:val="0"/>
          <w:bCs w:val="0"/>
          <w:caps w:val="0"/>
          <w:color w:val="auto"/>
          <w:kern w:val="2"/>
          <w:sz w:val="22"/>
          <w:szCs w:val="22"/>
          <w:lang w:val="en-GB" w:eastAsia="en-GB"/>
          <w14:ligatures w14:val="standardContextual"/>
        </w:rPr>
      </w:pPr>
      <w:r w:rsidRPr="00C075DC">
        <w:rPr>
          <w:rFonts w:ascii="Calibri Light" w:hAnsi="Calibri Light"/>
        </w:rPr>
        <w:fldChar w:fldCharType="begin"/>
      </w:r>
      <w:r w:rsidRPr="00C075DC">
        <w:instrText xml:space="preserve"> TOC \o "1-3" \h \z \u </w:instrText>
      </w:r>
      <w:r w:rsidRPr="00C075DC">
        <w:rPr>
          <w:rFonts w:ascii="Calibri Light" w:hAnsi="Calibri Light"/>
        </w:rPr>
        <w:fldChar w:fldCharType="separate"/>
      </w:r>
      <w:hyperlink w:anchor="_Toc183620088" w:history="1">
        <w:r w:rsidR="00115532" w:rsidRPr="000578E9">
          <w:rPr>
            <w:rStyle w:val="Hyperlink"/>
          </w:rPr>
          <w:t>1. TAUTSAIMNIECĪBAS UN DARBA TIRGUS ATTĪSTĪBA</w:t>
        </w:r>
        <w:r w:rsidR="00115532">
          <w:rPr>
            <w:webHidden/>
          </w:rPr>
          <w:tab/>
        </w:r>
        <w:r w:rsidR="00115532">
          <w:rPr>
            <w:webHidden/>
          </w:rPr>
          <w:fldChar w:fldCharType="begin"/>
        </w:r>
        <w:r w:rsidR="00115532">
          <w:rPr>
            <w:webHidden/>
          </w:rPr>
          <w:instrText xml:space="preserve"> PAGEREF _Toc183620088 \h </w:instrText>
        </w:r>
        <w:r w:rsidR="00115532">
          <w:rPr>
            <w:webHidden/>
          </w:rPr>
        </w:r>
        <w:r w:rsidR="00115532">
          <w:rPr>
            <w:webHidden/>
          </w:rPr>
          <w:fldChar w:fldCharType="separate"/>
        </w:r>
        <w:r w:rsidR="00115532">
          <w:rPr>
            <w:webHidden/>
          </w:rPr>
          <w:t>5</w:t>
        </w:r>
        <w:r w:rsidR="00115532">
          <w:rPr>
            <w:webHidden/>
          </w:rPr>
          <w:fldChar w:fldCharType="end"/>
        </w:r>
      </w:hyperlink>
    </w:p>
    <w:p w14:paraId="2C84FC86" w14:textId="6C27A4BC"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089" w:history="1">
        <w:r w:rsidR="00115532" w:rsidRPr="000578E9">
          <w:rPr>
            <w:rStyle w:val="Hyperlink"/>
          </w:rPr>
          <w:t>1.1. Makroekonomiskā situācija un nozaru attīstība</w:t>
        </w:r>
        <w:r w:rsidR="00115532">
          <w:rPr>
            <w:webHidden/>
          </w:rPr>
          <w:tab/>
        </w:r>
        <w:r w:rsidR="00115532">
          <w:rPr>
            <w:webHidden/>
          </w:rPr>
          <w:fldChar w:fldCharType="begin"/>
        </w:r>
        <w:r w:rsidR="00115532">
          <w:rPr>
            <w:webHidden/>
          </w:rPr>
          <w:instrText xml:space="preserve"> PAGEREF _Toc183620089 \h </w:instrText>
        </w:r>
        <w:r w:rsidR="00115532">
          <w:rPr>
            <w:webHidden/>
          </w:rPr>
        </w:r>
        <w:r w:rsidR="00115532">
          <w:rPr>
            <w:webHidden/>
          </w:rPr>
          <w:fldChar w:fldCharType="separate"/>
        </w:r>
        <w:r w:rsidR="00115532">
          <w:rPr>
            <w:webHidden/>
          </w:rPr>
          <w:t>6</w:t>
        </w:r>
        <w:r w:rsidR="00115532">
          <w:rPr>
            <w:webHidden/>
          </w:rPr>
          <w:fldChar w:fldCharType="end"/>
        </w:r>
      </w:hyperlink>
    </w:p>
    <w:p w14:paraId="04D87E58" w14:textId="42D8D667"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090" w:history="1">
        <w:r w:rsidR="00115532" w:rsidRPr="000578E9">
          <w:rPr>
            <w:rStyle w:val="Hyperlink"/>
          </w:rPr>
          <w:t>1.2. Iedzīvotāju nodarbinātība un bezdarbs</w:t>
        </w:r>
        <w:r w:rsidR="00115532">
          <w:rPr>
            <w:webHidden/>
          </w:rPr>
          <w:tab/>
        </w:r>
        <w:r w:rsidR="00115532">
          <w:rPr>
            <w:webHidden/>
          </w:rPr>
          <w:fldChar w:fldCharType="begin"/>
        </w:r>
        <w:r w:rsidR="00115532">
          <w:rPr>
            <w:webHidden/>
          </w:rPr>
          <w:instrText xml:space="preserve"> PAGEREF _Toc183620090 \h </w:instrText>
        </w:r>
        <w:r w:rsidR="00115532">
          <w:rPr>
            <w:webHidden/>
          </w:rPr>
        </w:r>
        <w:r w:rsidR="00115532">
          <w:rPr>
            <w:webHidden/>
          </w:rPr>
          <w:fldChar w:fldCharType="separate"/>
        </w:r>
        <w:r w:rsidR="00115532">
          <w:rPr>
            <w:webHidden/>
          </w:rPr>
          <w:t>10</w:t>
        </w:r>
        <w:r w:rsidR="00115532">
          <w:rPr>
            <w:webHidden/>
          </w:rPr>
          <w:fldChar w:fldCharType="end"/>
        </w:r>
      </w:hyperlink>
    </w:p>
    <w:p w14:paraId="0073AB66" w14:textId="47732F2C"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091" w:history="1">
        <w:r w:rsidR="00115532" w:rsidRPr="000578E9">
          <w:rPr>
            <w:rStyle w:val="Hyperlink"/>
          </w:rPr>
          <w:t>1.3. Darba algas un produktivitāte</w:t>
        </w:r>
        <w:r w:rsidR="00115532">
          <w:rPr>
            <w:webHidden/>
          </w:rPr>
          <w:tab/>
        </w:r>
        <w:r w:rsidR="00115532">
          <w:rPr>
            <w:webHidden/>
          </w:rPr>
          <w:fldChar w:fldCharType="begin"/>
        </w:r>
        <w:r w:rsidR="00115532">
          <w:rPr>
            <w:webHidden/>
          </w:rPr>
          <w:instrText xml:space="preserve"> PAGEREF _Toc183620091 \h </w:instrText>
        </w:r>
        <w:r w:rsidR="00115532">
          <w:rPr>
            <w:webHidden/>
          </w:rPr>
        </w:r>
        <w:r w:rsidR="00115532">
          <w:rPr>
            <w:webHidden/>
          </w:rPr>
          <w:fldChar w:fldCharType="separate"/>
        </w:r>
        <w:r w:rsidR="00115532">
          <w:rPr>
            <w:webHidden/>
          </w:rPr>
          <w:t>15</w:t>
        </w:r>
        <w:r w:rsidR="00115532">
          <w:rPr>
            <w:webHidden/>
          </w:rPr>
          <w:fldChar w:fldCharType="end"/>
        </w:r>
      </w:hyperlink>
    </w:p>
    <w:p w14:paraId="708308B9" w14:textId="6E8AFBD5" w:rsidR="00115532" w:rsidRDefault="00A401AB">
      <w:pPr>
        <w:pStyle w:val="TOC1"/>
        <w:rPr>
          <w:rFonts w:asciiTheme="minorHAnsi" w:eastAsiaTheme="minorEastAsia" w:hAnsiTheme="minorHAnsi" w:cstheme="minorBidi"/>
          <w:b w:val="0"/>
          <w:bCs w:val="0"/>
          <w:caps w:val="0"/>
          <w:color w:val="auto"/>
          <w:kern w:val="2"/>
          <w:sz w:val="22"/>
          <w:szCs w:val="22"/>
          <w:lang w:val="en-GB" w:eastAsia="en-GB"/>
          <w14:ligatures w14:val="standardContextual"/>
        </w:rPr>
      </w:pPr>
      <w:hyperlink w:anchor="_Toc183620092" w:history="1">
        <w:r w:rsidR="00115532" w:rsidRPr="000578E9">
          <w:rPr>
            <w:rStyle w:val="Hyperlink"/>
          </w:rPr>
          <w:t>2. DARBASPĒKA PIEPRASĪJUMS UN PIEDĀVĀJUMS</w:t>
        </w:r>
        <w:r w:rsidR="00115532">
          <w:rPr>
            <w:webHidden/>
          </w:rPr>
          <w:tab/>
        </w:r>
        <w:r w:rsidR="00115532">
          <w:rPr>
            <w:webHidden/>
          </w:rPr>
          <w:fldChar w:fldCharType="begin"/>
        </w:r>
        <w:r w:rsidR="00115532">
          <w:rPr>
            <w:webHidden/>
          </w:rPr>
          <w:instrText xml:space="preserve"> PAGEREF _Toc183620092 \h </w:instrText>
        </w:r>
        <w:r w:rsidR="00115532">
          <w:rPr>
            <w:webHidden/>
          </w:rPr>
        </w:r>
        <w:r w:rsidR="00115532">
          <w:rPr>
            <w:webHidden/>
          </w:rPr>
          <w:fldChar w:fldCharType="separate"/>
        </w:r>
        <w:r w:rsidR="00115532">
          <w:rPr>
            <w:webHidden/>
          </w:rPr>
          <w:t>22</w:t>
        </w:r>
        <w:r w:rsidR="00115532">
          <w:rPr>
            <w:webHidden/>
          </w:rPr>
          <w:fldChar w:fldCharType="end"/>
        </w:r>
      </w:hyperlink>
    </w:p>
    <w:p w14:paraId="6DF2828A" w14:textId="7E4ACF27"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093" w:history="1">
        <w:r w:rsidR="00115532" w:rsidRPr="000578E9">
          <w:rPr>
            <w:rStyle w:val="Hyperlink"/>
          </w:rPr>
          <w:t>2.1. Darbaspēka pieprasījuma izmaiņas un struktūra</w:t>
        </w:r>
        <w:r w:rsidR="00115532">
          <w:rPr>
            <w:webHidden/>
          </w:rPr>
          <w:tab/>
        </w:r>
        <w:r w:rsidR="00115532">
          <w:rPr>
            <w:webHidden/>
          </w:rPr>
          <w:fldChar w:fldCharType="begin"/>
        </w:r>
        <w:r w:rsidR="00115532">
          <w:rPr>
            <w:webHidden/>
          </w:rPr>
          <w:instrText xml:space="preserve"> PAGEREF _Toc183620093 \h </w:instrText>
        </w:r>
        <w:r w:rsidR="00115532">
          <w:rPr>
            <w:webHidden/>
          </w:rPr>
        </w:r>
        <w:r w:rsidR="00115532">
          <w:rPr>
            <w:webHidden/>
          </w:rPr>
          <w:fldChar w:fldCharType="separate"/>
        </w:r>
        <w:r w:rsidR="00115532">
          <w:rPr>
            <w:webHidden/>
          </w:rPr>
          <w:t>23</w:t>
        </w:r>
        <w:r w:rsidR="00115532">
          <w:rPr>
            <w:webHidden/>
          </w:rPr>
          <w:fldChar w:fldCharType="end"/>
        </w:r>
      </w:hyperlink>
    </w:p>
    <w:p w14:paraId="0B86CBB7" w14:textId="61624C7C"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094" w:history="1">
        <w:r w:rsidR="00115532" w:rsidRPr="000578E9">
          <w:rPr>
            <w:rStyle w:val="Hyperlink"/>
          </w:rPr>
          <w:t>2.2. Demogrāfiskā situācija un darbaspēka piedāvājums</w:t>
        </w:r>
        <w:r w:rsidR="00115532">
          <w:rPr>
            <w:webHidden/>
          </w:rPr>
          <w:tab/>
        </w:r>
        <w:r w:rsidR="00115532">
          <w:rPr>
            <w:webHidden/>
          </w:rPr>
          <w:fldChar w:fldCharType="begin"/>
        </w:r>
        <w:r w:rsidR="00115532">
          <w:rPr>
            <w:webHidden/>
          </w:rPr>
          <w:instrText xml:space="preserve"> PAGEREF _Toc183620094 \h </w:instrText>
        </w:r>
        <w:r w:rsidR="00115532">
          <w:rPr>
            <w:webHidden/>
          </w:rPr>
        </w:r>
        <w:r w:rsidR="00115532">
          <w:rPr>
            <w:webHidden/>
          </w:rPr>
          <w:fldChar w:fldCharType="separate"/>
        </w:r>
        <w:r w:rsidR="00115532">
          <w:rPr>
            <w:webHidden/>
          </w:rPr>
          <w:t>30</w:t>
        </w:r>
        <w:r w:rsidR="00115532">
          <w:rPr>
            <w:webHidden/>
          </w:rPr>
          <w:fldChar w:fldCharType="end"/>
        </w:r>
      </w:hyperlink>
    </w:p>
    <w:p w14:paraId="4D41EE64" w14:textId="4AA66EDE"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095" w:history="1">
        <w:r w:rsidR="00115532" w:rsidRPr="000578E9">
          <w:rPr>
            <w:rStyle w:val="Hyperlink"/>
          </w:rPr>
          <w:t>2.2.1. Demogrāfijas tendences</w:t>
        </w:r>
        <w:r w:rsidR="00115532">
          <w:rPr>
            <w:webHidden/>
          </w:rPr>
          <w:tab/>
        </w:r>
        <w:r w:rsidR="00115532">
          <w:rPr>
            <w:webHidden/>
          </w:rPr>
          <w:fldChar w:fldCharType="begin"/>
        </w:r>
        <w:r w:rsidR="00115532">
          <w:rPr>
            <w:webHidden/>
          </w:rPr>
          <w:instrText xml:space="preserve"> PAGEREF _Toc183620095 \h </w:instrText>
        </w:r>
        <w:r w:rsidR="00115532">
          <w:rPr>
            <w:webHidden/>
          </w:rPr>
        </w:r>
        <w:r w:rsidR="00115532">
          <w:rPr>
            <w:webHidden/>
          </w:rPr>
          <w:fldChar w:fldCharType="separate"/>
        </w:r>
        <w:r w:rsidR="00115532">
          <w:rPr>
            <w:webHidden/>
          </w:rPr>
          <w:t>30</w:t>
        </w:r>
        <w:r w:rsidR="00115532">
          <w:rPr>
            <w:webHidden/>
          </w:rPr>
          <w:fldChar w:fldCharType="end"/>
        </w:r>
      </w:hyperlink>
    </w:p>
    <w:p w14:paraId="75635408" w14:textId="65F730CA"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096" w:history="1">
        <w:r w:rsidR="00115532" w:rsidRPr="000578E9">
          <w:rPr>
            <w:rStyle w:val="Hyperlink"/>
          </w:rPr>
          <w:t>2.2.2. Iedzīvotāju līdzdalība darba tirgū un darbaspēka piedāvājums</w:t>
        </w:r>
        <w:r w:rsidR="00115532">
          <w:rPr>
            <w:webHidden/>
          </w:rPr>
          <w:tab/>
        </w:r>
        <w:r w:rsidR="00115532">
          <w:rPr>
            <w:webHidden/>
          </w:rPr>
          <w:fldChar w:fldCharType="begin"/>
        </w:r>
        <w:r w:rsidR="00115532">
          <w:rPr>
            <w:webHidden/>
          </w:rPr>
          <w:instrText xml:space="preserve"> PAGEREF _Toc183620096 \h </w:instrText>
        </w:r>
        <w:r w:rsidR="00115532">
          <w:rPr>
            <w:webHidden/>
          </w:rPr>
        </w:r>
        <w:r w:rsidR="00115532">
          <w:rPr>
            <w:webHidden/>
          </w:rPr>
          <w:fldChar w:fldCharType="separate"/>
        </w:r>
        <w:r w:rsidR="00115532">
          <w:rPr>
            <w:webHidden/>
          </w:rPr>
          <w:t>32</w:t>
        </w:r>
        <w:r w:rsidR="00115532">
          <w:rPr>
            <w:webHidden/>
          </w:rPr>
          <w:fldChar w:fldCharType="end"/>
        </w:r>
      </w:hyperlink>
    </w:p>
    <w:p w14:paraId="7E9BB1B6" w14:textId="2C0657EE"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097" w:history="1">
        <w:r w:rsidR="00115532" w:rsidRPr="000578E9">
          <w:rPr>
            <w:rStyle w:val="Hyperlink"/>
          </w:rPr>
          <w:t>2.3. Darba tirgus pieprasījuma un piedāvājuma atbilstība</w:t>
        </w:r>
        <w:r w:rsidR="00115532">
          <w:rPr>
            <w:webHidden/>
          </w:rPr>
          <w:tab/>
        </w:r>
        <w:r w:rsidR="00115532">
          <w:rPr>
            <w:webHidden/>
          </w:rPr>
          <w:fldChar w:fldCharType="begin"/>
        </w:r>
        <w:r w:rsidR="00115532">
          <w:rPr>
            <w:webHidden/>
          </w:rPr>
          <w:instrText xml:space="preserve"> PAGEREF _Toc183620097 \h </w:instrText>
        </w:r>
        <w:r w:rsidR="00115532">
          <w:rPr>
            <w:webHidden/>
          </w:rPr>
        </w:r>
        <w:r w:rsidR="00115532">
          <w:rPr>
            <w:webHidden/>
          </w:rPr>
          <w:fldChar w:fldCharType="separate"/>
        </w:r>
        <w:r w:rsidR="00115532">
          <w:rPr>
            <w:webHidden/>
          </w:rPr>
          <w:t>36</w:t>
        </w:r>
        <w:r w:rsidR="00115532">
          <w:rPr>
            <w:webHidden/>
          </w:rPr>
          <w:fldChar w:fldCharType="end"/>
        </w:r>
      </w:hyperlink>
    </w:p>
    <w:p w14:paraId="35FD883B" w14:textId="5FD55FC3"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098" w:history="1">
        <w:r w:rsidR="00115532" w:rsidRPr="000578E9">
          <w:rPr>
            <w:rStyle w:val="Hyperlink"/>
          </w:rPr>
          <w:t>2.4. Izglītības piedāvājuma izmaiņas</w:t>
        </w:r>
        <w:r w:rsidR="00115532">
          <w:rPr>
            <w:webHidden/>
          </w:rPr>
          <w:tab/>
        </w:r>
        <w:r w:rsidR="00115532">
          <w:rPr>
            <w:webHidden/>
          </w:rPr>
          <w:fldChar w:fldCharType="begin"/>
        </w:r>
        <w:r w:rsidR="00115532">
          <w:rPr>
            <w:webHidden/>
          </w:rPr>
          <w:instrText xml:space="preserve"> PAGEREF _Toc183620098 \h </w:instrText>
        </w:r>
        <w:r w:rsidR="00115532">
          <w:rPr>
            <w:webHidden/>
          </w:rPr>
        </w:r>
        <w:r w:rsidR="00115532">
          <w:rPr>
            <w:webHidden/>
          </w:rPr>
          <w:fldChar w:fldCharType="separate"/>
        </w:r>
        <w:r w:rsidR="00115532">
          <w:rPr>
            <w:webHidden/>
          </w:rPr>
          <w:t>40</w:t>
        </w:r>
        <w:r w:rsidR="00115532">
          <w:rPr>
            <w:webHidden/>
          </w:rPr>
          <w:fldChar w:fldCharType="end"/>
        </w:r>
      </w:hyperlink>
    </w:p>
    <w:p w14:paraId="5A6015AD" w14:textId="7558FBA3" w:rsidR="00115532" w:rsidRDefault="00A401AB">
      <w:pPr>
        <w:pStyle w:val="TOC1"/>
        <w:rPr>
          <w:rFonts w:asciiTheme="minorHAnsi" w:eastAsiaTheme="minorEastAsia" w:hAnsiTheme="minorHAnsi" w:cstheme="minorBidi"/>
          <w:b w:val="0"/>
          <w:bCs w:val="0"/>
          <w:caps w:val="0"/>
          <w:color w:val="auto"/>
          <w:kern w:val="2"/>
          <w:sz w:val="22"/>
          <w:szCs w:val="22"/>
          <w:lang w:val="en-GB" w:eastAsia="en-GB"/>
          <w14:ligatures w14:val="standardContextual"/>
        </w:rPr>
      </w:pPr>
      <w:hyperlink w:anchor="_Toc183620099" w:history="1">
        <w:r w:rsidR="00115532" w:rsidRPr="000578E9">
          <w:rPr>
            <w:rStyle w:val="Hyperlink"/>
          </w:rPr>
          <w:t>3. DARBA TIRGUS VIDĒJĀ UN ILGTERMIŅA PROGNOZES</w:t>
        </w:r>
        <w:r w:rsidR="00115532">
          <w:rPr>
            <w:webHidden/>
          </w:rPr>
          <w:tab/>
        </w:r>
        <w:r w:rsidR="00115532">
          <w:rPr>
            <w:webHidden/>
          </w:rPr>
          <w:fldChar w:fldCharType="begin"/>
        </w:r>
        <w:r w:rsidR="00115532">
          <w:rPr>
            <w:webHidden/>
          </w:rPr>
          <w:instrText xml:space="preserve"> PAGEREF _Toc183620099 \h </w:instrText>
        </w:r>
        <w:r w:rsidR="00115532">
          <w:rPr>
            <w:webHidden/>
          </w:rPr>
        </w:r>
        <w:r w:rsidR="00115532">
          <w:rPr>
            <w:webHidden/>
          </w:rPr>
          <w:fldChar w:fldCharType="separate"/>
        </w:r>
        <w:r w:rsidR="00115532">
          <w:rPr>
            <w:webHidden/>
          </w:rPr>
          <w:t>48</w:t>
        </w:r>
        <w:r w:rsidR="00115532">
          <w:rPr>
            <w:webHidden/>
          </w:rPr>
          <w:fldChar w:fldCharType="end"/>
        </w:r>
      </w:hyperlink>
    </w:p>
    <w:p w14:paraId="332C6A4F" w14:textId="78D0CE7B"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100" w:history="1">
        <w:r w:rsidR="00115532" w:rsidRPr="000578E9">
          <w:rPr>
            <w:rStyle w:val="Hyperlink"/>
          </w:rPr>
          <w:t>3.1. Ekonomikas ministrijas darba tirgus prognožu izstrādes metodoloģija</w:t>
        </w:r>
        <w:r w:rsidR="00115532">
          <w:rPr>
            <w:webHidden/>
          </w:rPr>
          <w:tab/>
        </w:r>
        <w:r w:rsidR="00115532">
          <w:rPr>
            <w:webHidden/>
          </w:rPr>
          <w:fldChar w:fldCharType="begin"/>
        </w:r>
        <w:r w:rsidR="00115532">
          <w:rPr>
            <w:webHidden/>
          </w:rPr>
          <w:instrText xml:space="preserve"> PAGEREF _Toc183620100 \h </w:instrText>
        </w:r>
        <w:r w:rsidR="00115532">
          <w:rPr>
            <w:webHidden/>
          </w:rPr>
        </w:r>
        <w:r w:rsidR="00115532">
          <w:rPr>
            <w:webHidden/>
          </w:rPr>
          <w:fldChar w:fldCharType="separate"/>
        </w:r>
        <w:r w:rsidR="00115532">
          <w:rPr>
            <w:webHidden/>
          </w:rPr>
          <w:t>49</w:t>
        </w:r>
        <w:r w:rsidR="00115532">
          <w:rPr>
            <w:webHidden/>
          </w:rPr>
          <w:fldChar w:fldCharType="end"/>
        </w:r>
      </w:hyperlink>
    </w:p>
    <w:p w14:paraId="49F73815" w14:textId="521D7A3F"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101" w:history="1">
        <w:r w:rsidR="00115532" w:rsidRPr="000578E9">
          <w:rPr>
            <w:rStyle w:val="Hyperlink"/>
          </w:rPr>
          <w:t>3.2. Ekonomikas izaugsmes pieņēmumi un demogrāfijas prognozes</w:t>
        </w:r>
        <w:r w:rsidR="00115532">
          <w:rPr>
            <w:webHidden/>
          </w:rPr>
          <w:tab/>
        </w:r>
        <w:r w:rsidR="00115532">
          <w:rPr>
            <w:webHidden/>
          </w:rPr>
          <w:fldChar w:fldCharType="begin"/>
        </w:r>
        <w:r w:rsidR="00115532">
          <w:rPr>
            <w:webHidden/>
          </w:rPr>
          <w:instrText xml:space="preserve"> PAGEREF _Toc183620101 \h </w:instrText>
        </w:r>
        <w:r w:rsidR="00115532">
          <w:rPr>
            <w:webHidden/>
          </w:rPr>
        </w:r>
        <w:r w:rsidR="00115532">
          <w:rPr>
            <w:webHidden/>
          </w:rPr>
          <w:fldChar w:fldCharType="separate"/>
        </w:r>
        <w:r w:rsidR="00115532">
          <w:rPr>
            <w:webHidden/>
          </w:rPr>
          <w:t>52</w:t>
        </w:r>
        <w:r w:rsidR="00115532">
          <w:rPr>
            <w:webHidden/>
          </w:rPr>
          <w:fldChar w:fldCharType="end"/>
        </w:r>
      </w:hyperlink>
    </w:p>
    <w:p w14:paraId="2C2F603C" w14:textId="4764E017"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102" w:history="1">
        <w:r w:rsidR="00115532" w:rsidRPr="000578E9">
          <w:rPr>
            <w:rStyle w:val="Hyperlink"/>
          </w:rPr>
          <w:t>3.2.1. Ekonomikas izaugsmes mērķa scenārijs</w:t>
        </w:r>
        <w:r w:rsidR="00115532">
          <w:rPr>
            <w:webHidden/>
          </w:rPr>
          <w:tab/>
        </w:r>
        <w:r w:rsidR="00115532">
          <w:rPr>
            <w:webHidden/>
          </w:rPr>
          <w:fldChar w:fldCharType="begin"/>
        </w:r>
        <w:r w:rsidR="00115532">
          <w:rPr>
            <w:webHidden/>
          </w:rPr>
          <w:instrText xml:space="preserve"> PAGEREF _Toc183620102 \h </w:instrText>
        </w:r>
        <w:r w:rsidR="00115532">
          <w:rPr>
            <w:webHidden/>
          </w:rPr>
        </w:r>
        <w:r w:rsidR="00115532">
          <w:rPr>
            <w:webHidden/>
          </w:rPr>
          <w:fldChar w:fldCharType="separate"/>
        </w:r>
        <w:r w:rsidR="00115532">
          <w:rPr>
            <w:webHidden/>
          </w:rPr>
          <w:t>52</w:t>
        </w:r>
        <w:r w:rsidR="00115532">
          <w:rPr>
            <w:webHidden/>
          </w:rPr>
          <w:fldChar w:fldCharType="end"/>
        </w:r>
      </w:hyperlink>
    </w:p>
    <w:p w14:paraId="308BB923" w14:textId="2DD884F0"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103" w:history="1">
        <w:r w:rsidR="00115532" w:rsidRPr="000578E9">
          <w:rPr>
            <w:rStyle w:val="Hyperlink"/>
          </w:rPr>
          <w:t>3.2.2. Demogrāfijas prognozes</w:t>
        </w:r>
        <w:r w:rsidR="00115532">
          <w:rPr>
            <w:webHidden/>
          </w:rPr>
          <w:tab/>
        </w:r>
        <w:r w:rsidR="00115532">
          <w:rPr>
            <w:webHidden/>
          </w:rPr>
          <w:fldChar w:fldCharType="begin"/>
        </w:r>
        <w:r w:rsidR="00115532">
          <w:rPr>
            <w:webHidden/>
          </w:rPr>
          <w:instrText xml:space="preserve"> PAGEREF _Toc183620103 \h </w:instrText>
        </w:r>
        <w:r w:rsidR="00115532">
          <w:rPr>
            <w:webHidden/>
          </w:rPr>
        </w:r>
        <w:r w:rsidR="00115532">
          <w:rPr>
            <w:webHidden/>
          </w:rPr>
          <w:fldChar w:fldCharType="separate"/>
        </w:r>
        <w:r w:rsidR="00115532">
          <w:rPr>
            <w:webHidden/>
          </w:rPr>
          <w:t>59</w:t>
        </w:r>
        <w:r w:rsidR="00115532">
          <w:rPr>
            <w:webHidden/>
          </w:rPr>
          <w:fldChar w:fldCharType="end"/>
        </w:r>
      </w:hyperlink>
    </w:p>
    <w:p w14:paraId="7B4A374C" w14:textId="0B415F93"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104" w:history="1">
        <w:r w:rsidR="00115532" w:rsidRPr="000578E9">
          <w:rPr>
            <w:rStyle w:val="Hyperlink"/>
          </w:rPr>
          <w:t>3.3. Darbaspēka pieprasījums un piedāvājums</w:t>
        </w:r>
        <w:r w:rsidR="00115532">
          <w:rPr>
            <w:webHidden/>
          </w:rPr>
          <w:tab/>
        </w:r>
        <w:r w:rsidR="00115532">
          <w:rPr>
            <w:webHidden/>
          </w:rPr>
          <w:fldChar w:fldCharType="begin"/>
        </w:r>
        <w:r w:rsidR="00115532">
          <w:rPr>
            <w:webHidden/>
          </w:rPr>
          <w:instrText xml:space="preserve"> PAGEREF _Toc183620104 \h </w:instrText>
        </w:r>
        <w:r w:rsidR="00115532">
          <w:rPr>
            <w:webHidden/>
          </w:rPr>
        </w:r>
        <w:r w:rsidR="00115532">
          <w:rPr>
            <w:webHidden/>
          </w:rPr>
          <w:fldChar w:fldCharType="separate"/>
        </w:r>
        <w:r w:rsidR="00115532">
          <w:rPr>
            <w:webHidden/>
          </w:rPr>
          <w:t>64</w:t>
        </w:r>
        <w:r w:rsidR="00115532">
          <w:rPr>
            <w:webHidden/>
          </w:rPr>
          <w:fldChar w:fldCharType="end"/>
        </w:r>
      </w:hyperlink>
    </w:p>
    <w:p w14:paraId="693858AA" w14:textId="7CE525E2"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105" w:history="1">
        <w:r w:rsidR="00115532" w:rsidRPr="000578E9">
          <w:rPr>
            <w:rStyle w:val="Hyperlink"/>
          </w:rPr>
          <w:t>3.3.1. Darbaspēka pieprasījuma prognozes</w:t>
        </w:r>
        <w:r w:rsidR="00115532">
          <w:rPr>
            <w:webHidden/>
          </w:rPr>
          <w:tab/>
        </w:r>
        <w:r w:rsidR="00115532">
          <w:rPr>
            <w:webHidden/>
          </w:rPr>
          <w:fldChar w:fldCharType="begin"/>
        </w:r>
        <w:r w:rsidR="00115532">
          <w:rPr>
            <w:webHidden/>
          </w:rPr>
          <w:instrText xml:space="preserve"> PAGEREF _Toc183620105 \h </w:instrText>
        </w:r>
        <w:r w:rsidR="00115532">
          <w:rPr>
            <w:webHidden/>
          </w:rPr>
        </w:r>
        <w:r w:rsidR="00115532">
          <w:rPr>
            <w:webHidden/>
          </w:rPr>
          <w:fldChar w:fldCharType="separate"/>
        </w:r>
        <w:r w:rsidR="00115532">
          <w:rPr>
            <w:webHidden/>
          </w:rPr>
          <w:t>64</w:t>
        </w:r>
        <w:r w:rsidR="00115532">
          <w:rPr>
            <w:webHidden/>
          </w:rPr>
          <w:fldChar w:fldCharType="end"/>
        </w:r>
      </w:hyperlink>
    </w:p>
    <w:p w14:paraId="31AE6DEA" w14:textId="345DF999"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106" w:history="1">
        <w:r w:rsidR="00115532" w:rsidRPr="000578E9">
          <w:rPr>
            <w:rStyle w:val="Hyperlink"/>
          </w:rPr>
          <w:t>3.3.2. Darbaspēka piedāvājuma prognozes</w:t>
        </w:r>
        <w:r w:rsidR="00115532">
          <w:rPr>
            <w:webHidden/>
          </w:rPr>
          <w:tab/>
        </w:r>
        <w:r w:rsidR="00115532">
          <w:rPr>
            <w:webHidden/>
          </w:rPr>
          <w:fldChar w:fldCharType="begin"/>
        </w:r>
        <w:r w:rsidR="00115532">
          <w:rPr>
            <w:webHidden/>
          </w:rPr>
          <w:instrText xml:space="preserve"> PAGEREF _Toc183620106 \h </w:instrText>
        </w:r>
        <w:r w:rsidR="00115532">
          <w:rPr>
            <w:webHidden/>
          </w:rPr>
        </w:r>
        <w:r w:rsidR="00115532">
          <w:rPr>
            <w:webHidden/>
          </w:rPr>
          <w:fldChar w:fldCharType="separate"/>
        </w:r>
        <w:r w:rsidR="00115532">
          <w:rPr>
            <w:webHidden/>
          </w:rPr>
          <w:t>73</w:t>
        </w:r>
        <w:r w:rsidR="00115532">
          <w:rPr>
            <w:webHidden/>
          </w:rPr>
          <w:fldChar w:fldCharType="end"/>
        </w:r>
      </w:hyperlink>
    </w:p>
    <w:p w14:paraId="0BBB8307" w14:textId="108441D8"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107" w:history="1">
        <w:r w:rsidR="00115532" w:rsidRPr="000578E9">
          <w:rPr>
            <w:rStyle w:val="Hyperlink"/>
          </w:rPr>
          <w:t>3.3.3. Darbaspēka pieprasījuma un piedāvājuma atbilstība</w:t>
        </w:r>
        <w:r w:rsidR="00115532">
          <w:rPr>
            <w:webHidden/>
          </w:rPr>
          <w:tab/>
        </w:r>
        <w:r w:rsidR="00115532">
          <w:rPr>
            <w:webHidden/>
          </w:rPr>
          <w:fldChar w:fldCharType="begin"/>
        </w:r>
        <w:r w:rsidR="00115532">
          <w:rPr>
            <w:webHidden/>
          </w:rPr>
          <w:instrText xml:space="preserve"> PAGEREF _Toc183620107 \h </w:instrText>
        </w:r>
        <w:r w:rsidR="00115532">
          <w:rPr>
            <w:webHidden/>
          </w:rPr>
        </w:r>
        <w:r w:rsidR="00115532">
          <w:rPr>
            <w:webHidden/>
          </w:rPr>
          <w:fldChar w:fldCharType="separate"/>
        </w:r>
        <w:r w:rsidR="00115532">
          <w:rPr>
            <w:webHidden/>
          </w:rPr>
          <w:t>77</w:t>
        </w:r>
        <w:r w:rsidR="00115532">
          <w:rPr>
            <w:webHidden/>
          </w:rPr>
          <w:fldChar w:fldCharType="end"/>
        </w:r>
      </w:hyperlink>
    </w:p>
    <w:p w14:paraId="339E4EED" w14:textId="6DA8672D" w:rsidR="00115532" w:rsidRDefault="00A401AB">
      <w:pPr>
        <w:pStyle w:val="TOC1"/>
        <w:rPr>
          <w:rFonts w:asciiTheme="minorHAnsi" w:eastAsiaTheme="minorEastAsia" w:hAnsiTheme="minorHAnsi" w:cstheme="minorBidi"/>
          <w:b w:val="0"/>
          <w:bCs w:val="0"/>
          <w:caps w:val="0"/>
          <w:color w:val="auto"/>
          <w:kern w:val="2"/>
          <w:sz w:val="22"/>
          <w:szCs w:val="22"/>
          <w:lang w:val="en-GB" w:eastAsia="en-GB"/>
          <w14:ligatures w14:val="standardContextual"/>
        </w:rPr>
      </w:pPr>
      <w:hyperlink w:anchor="_Toc183620108" w:history="1">
        <w:r w:rsidR="00115532" w:rsidRPr="000578E9">
          <w:rPr>
            <w:rStyle w:val="Hyperlink"/>
          </w:rPr>
          <w:t>4. PĀRSKATS PAR ĪSTENOTAJIEM IZGLĪTĪBAS UN NODARBINĀTĪBAS PASĀKUMIEM</w:t>
        </w:r>
        <w:r w:rsidR="00115532">
          <w:rPr>
            <w:webHidden/>
          </w:rPr>
          <w:tab/>
        </w:r>
        <w:r w:rsidR="00115532">
          <w:rPr>
            <w:webHidden/>
          </w:rPr>
          <w:fldChar w:fldCharType="begin"/>
        </w:r>
        <w:r w:rsidR="00115532">
          <w:rPr>
            <w:webHidden/>
          </w:rPr>
          <w:instrText xml:space="preserve"> PAGEREF _Toc183620108 \h </w:instrText>
        </w:r>
        <w:r w:rsidR="00115532">
          <w:rPr>
            <w:webHidden/>
          </w:rPr>
        </w:r>
        <w:r w:rsidR="00115532">
          <w:rPr>
            <w:webHidden/>
          </w:rPr>
          <w:fldChar w:fldCharType="separate"/>
        </w:r>
        <w:r w:rsidR="00115532">
          <w:rPr>
            <w:webHidden/>
          </w:rPr>
          <w:t>92</w:t>
        </w:r>
        <w:r w:rsidR="00115532">
          <w:rPr>
            <w:webHidden/>
          </w:rPr>
          <w:fldChar w:fldCharType="end"/>
        </w:r>
      </w:hyperlink>
    </w:p>
    <w:p w14:paraId="5B46BA74" w14:textId="0F556927"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109" w:history="1">
        <w:r w:rsidR="00115532" w:rsidRPr="000578E9">
          <w:rPr>
            <w:rStyle w:val="Hyperlink"/>
          </w:rPr>
          <w:t>4.1. Izglītības piedāvājuma uzlabošanas virzieni</w:t>
        </w:r>
        <w:r w:rsidR="00115532">
          <w:rPr>
            <w:webHidden/>
          </w:rPr>
          <w:tab/>
        </w:r>
        <w:r w:rsidR="00115532">
          <w:rPr>
            <w:webHidden/>
          </w:rPr>
          <w:fldChar w:fldCharType="begin"/>
        </w:r>
        <w:r w:rsidR="00115532">
          <w:rPr>
            <w:webHidden/>
          </w:rPr>
          <w:instrText xml:space="preserve"> PAGEREF _Toc183620109 \h </w:instrText>
        </w:r>
        <w:r w:rsidR="00115532">
          <w:rPr>
            <w:webHidden/>
          </w:rPr>
        </w:r>
        <w:r w:rsidR="00115532">
          <w:rPr>
            <w:webHidden/>
          </w:rPr>
          <w:fldChar w:fldCharType="separate"/>
        </w:r>
        <w:r w:rsidR="00115532">
          <w:rPr>
            <w:webHidden/>
          </w:rPr>
          <w:t>93</w:t>
        </w:r>
        <w:r w:rsidR="00115532">
          <w:rPr>
            <w:webHidden/>
          </w:rPr>
          <w:fldChar w:fldCharType="end"/>
        </w:r>
      </w:hyperlink>
    </w:p>
    <w:p w14:paraId="436BE49C" w14:textId="72A40874"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110" w:history="1">
        <w:r w:rsidR="00115532" w:rsidRPr="000578E9">
          <w:rPr>
            <w:rStyle w:val="Hyperlink"/>
          </w:rPr>
          <w:t>4.1.1. Aktuālie pasākumi vispārējā izglītībā</w:t>
        </w:r>
        <w:r w:rsidR="00115532">
          <w:rPr>
            <w:webHidden/>
          </w:rPr>
          <w:tab/>
        </w:r>
        <w:r w:rsidR="00115532">
          <w:rPr>
            <w:webHidden/>
          </w:rPr>
          <w:fldChar w:fldCharType="begin"/>
        </w:r>
        <w:r w:rsidR="00115532">
          <w:rPr>
            <w:webHidden/>
          </w:rPr>
          <w:instrText xml:space="preserve"> PAGEREF _Toc183620110 \h </w:instrText>
        </w:r>
        <w:r w:rsidR="00115532">
          <w:rPr>
            <w:webHidden/>
          </w:rPr>
        </w:r>
        <w:r w:rsidR="00115532">
          <w:rPr>
            <w:webHidden/>
          </w:rPr>
          <w:fldChar w:fldCharType="separate"/>
        </w:r>
        <w:r w:rsidR="00115532">
          <w:rPr>
            <w:webHidden/>
          </w:rPr>
          <w:t>93</w:t>
        </w:r>
        <w:r w:rsidR="00115532">
          <w:rPr>
            <w:webHidden/>
          </w:rPr>
          <w:fldChar w:fldCharType="end"/>
        </w:r>
      </w:hyperlink>
    </w:p>
    <w:p w14:paraId="1D2E00CD" w14:textId="4A8763CE"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111" w:history="1">
        <w:r w:rsidR="00115532" w:rsidRPr="000578E9">
          <w:rPr>
            <w:rStyle w:val="Hyperlink"/>
          </w:rPr>
          <w:t>4.1.2. Aktuālie pasākumi profesionālajā vidējā izglītībā</w:t>
        </w:r>
        <w:r w:rsidR="00115532">
          <w:rPr>
            <w:webHidden/>
          </w:rPr>
          <w:tab/>
        </w:r>
        <w:r w:rsidR="00115532">
          <w:rPr>
            <w:webHidden/>
          </w:rPr>
          <w:fldChar w:fldCharType="begin"/>
        </w:r>
        <w:r w:rsidR="00115532">
          <w:rPr>
            <w:webHidden/>
          </w:rPr>
          <w:instrText xml:space="preserve"> PAGEREF _Toc183620111 \h </w:instrText>
        </w:r>
        <w:r w:rsidR="00115532">
          <w:rPr>
            <w:webHidden/>
          </w:rPr>
        </w:r>
        <w:r w:rsidR="00115532">
          <w:rPr>
            <w:webHidden/>
          </w:rPr>
          <w:fldChar w:fldCharType="separate"/>
        </w:r>
        <w:r w:rsidR="00115532">
          <w:rPr>
            <w:webHidden/>
          </w:rPr>
          <w:t>96</w:t>
        </w:r>
        <w:r w:rsidR="00115532">
          <w:rPr>
            <w:webHidden/>
          </w:rPr>
          <w:fldChar w:fldCharType="end"/>
        </w:r>
      </w:hyperlink>
    </w:p>
    <w:p w14:paraId="08E180EF" w14:textId="4481783B"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112" w:history="1">
        <w:r w:rsidR="00115532" w:rsidRPr="000578E9">
          <w:rPr>
            <w:rStyle w:val="Hyperlink"/>
          </w:rPr>
          <w:t>4.1.3. Aktuālie pasākumi augstākajā izglītībā</w:t>
        </w:r>
        <w:r w:rsidR="00115532">
          <w:rPr>
            <w:webHidden/>
          </w:rPr>
          <w:tab/>
        </w:r>
        <w:r w:rsidR="00115532">
          <w:rPr>
            <w:webHidden/>
          </w:rPr>
          <w:fldChar w:fldCharType="begin"/>
        </w:r>
        <w:r w:rsidR="00115532">
          <w:rPr>
            <w:webHidden/>
          </w:rPr>
          <w:instrText xml:space="preserve"> PAGEREF _Toc183620112 \h </w:instrText>
        </w:r>
        <w:r w:rsidR="00115532">
          <w:rPr>
            <w:webHidden/>
          </w:rPr>
        </w:r>
        <w:r w:rsidR="00115532">
          <w:rPr>
            <w:webHidden/>
          </w:rPr>
          <w:fldChar w:fldCharType="separate"/>
        </w:r>
        <w:r w:rsidR="00115532">
          <w:rPr>
            <w:webHidden/>
          </w:rPr>
          <w:t>96</w:t>
        </w:r>
        <w:r w:rsidR="00115532">
          <w:rPr>
            <w:webHidden/>
          </w:rPr>
          <w:fldChar w:fldCharType="end"/>
        </w:r>
      </w:hyperlink>
    </w:p>
    <w:p w14:paraId="4E1BF6BD" w14:textId="20FA8774" w:rsidR="00115532" w:rsidRDefault="00A401AB">
      <w:pPr>
        <w:pStyle w:val="TOC3"/>
        <w:rPr>
          <w:rFonts w:asciiTheme="minorHAnsi" w:eastAsiaTheme="minorEastAsia" w:hAnsiTheme="minorHAnsi" w:cstheme="minorBidi"/>
          <w:bCs w:val="0"/>
          <w:kern w:val="2"/>
          <w:lang w:val="en-GB" w:eastAsia="en-GB"/>
          <w14:ligatures w14:val="standardContextual"/>
        </w:rPr>
      </w:pPr>
      <w:hyperlink w:anchor="_Toc183620113" w:history="1">
        <w:r w:rsidR="00115532" w:rsidRPr="000578E9">
          <w:rPr>
            <w:rStyle w:val="Hyperlink"/>
          </w:rPr>
          <w:t>4.1.4. Aktuālie pasākumi pieaugušo izglītībā</w:t>
        </w:r>
        <w:r w:rsidR="00115532">
          <w:rPr>
            <w:webHidden/>
          </w:rPr>
          <w:tab/>
        </w:r>
        <w:r w:rsidR="00115532">
          <w:rPr>
            <w:webHidden/>
          </w:rPr>
          <w:fldChar w:fldCharType="begin"/>
        </w:r>
        <w:r w:rsidR="00115532">
          <w:rPr>
            <w:webHidden/>
          </w:rPr>
          <w:instrText xml:space="preserve"> PAGEREF _Toc183620113 \h </w:instrText>
        </w:r>
        <w:r w:rsidR="00115532">
          <w:rPr>
            <w:webHidden/>
          </w:rPr>
        </w:r>
        <w:r w:rsidR="00115532">
          <w:rPr>
            <w:webHidden/>
          </w:rPr>
          <w:fldChar w:fldCharType="separate"/>
        </w:r>
        <w:r w:rsidR="00115532">
          <w:rPr>
            <w:webHidden/>
          </w:rPr>
          <w:t>98</w:t>
        </w:r>
        <w:r w:rsidR="00115532">
          <w:rPr>
            <w:webHidden/>
          </w:rPr>
          <w:fldChar w:fldCharType="end"/>
        </w:r>
      </w:hyperlink>
    </w:p>
    <w:p w14:paraId="21D5870E" w14:textId="53DCC0EF"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114" w:history="1">
        <w:r w:rsidR="00115532" w:rsidRPr="000578E9">
          <w:rPr>
            <w:rStyle w:val="Hyperlink"/>
          </w:rPr>
          <w:t>4.2. Aktīvā darba tirgus politika un iekšējās mobilitātes veicināšana</w:t>
        </w:r>
        <w:r w:rsidR="00115532">
          <w:rPr>
            <w:webHidden/>
          </w:rPr>
          <w:tab/>
        </w:r>
        <w:r w:rsidR="00115532">
          <w:rPr>
            <w:webHidden/>
          </w:rPr>
          <w:fldChar w:fldCharType="begin"/>
        </w:r>
        <w:r w:rsidR="00115532">
          <w:rPr>
            <w:webHidden/>
          </w:rPr>
          <w:instrText xml:space="preserve"> PAGEREF _Toc183620114 \h </w:instrText>
        </w:r>
        <w:r w:rsidR="00115532">
          <w:rPr>
            <w:webHidden/>
          </w:rPr>
        </w:r>
        <w:r w:rsidR="00115532">
          <w:rPr>
            <w:webHidden/>
          </w:rPr>
          <w:fldChar w:fldCharType="separate"/>
        </w:r>
        <w:r w:rsidR="00115532">
          <w:rPr>
            <w:webHidden/>
          </w:rPr>
          <w:t>100</w:t>
        </w:r>
        <w:r w:rsidR="00115532">
          <w:rPr>
            <w:webHidden/>
          </w:rPr>
          <w:fldChar w:fldCharType="end"/>
        </w:r>
      </w:hyperlink>
    </w:p>
    <w:p w14:paraId="17AAE820" w14:textId="7D7A6F83" w:rsidR="00115532" w:rsidRDefault="00A401AB">
      <w:pPr>
        <w:pStyle w:val="TOC2"/>
        <w:rPr>
          <w:rFonts w:asciiTheme="minorHAnsi" w:eastAsiaTheme="minorEastAsia" w:hAnsiTheme="minorHAnsi" w:cstheme="minorBidi"/>
          <w:b w:val="0"/>
          <w:bCs w:val="0"/>
          <w:iCs w:val="0"/>
          <w:caps w:val="0"/>
          <w:kern w:val="2"/>
          <w:lang w:val="en-GB" w:eastAsia="en-GB"/>
          <w14:ligatures w14:val="standardContextual"/>
        </w:rPr>
      </w:pPr>
      <w:hyperlink w:anchor="_Toc183620115" w:history="1">
        <w:r w:rsidR="00115532" w:rsidRPr="000578E9">
          <w:rPr>
            <w:rStyle w:val="Hyperlink"/>
          </w:rPr>
          <w:t>4.3. darbaspēka migrācijas pasākumi</w:t>
        </w:r>
        <w:r w:rsidR="00115532">
          <w:rPr>
            <w:webHidden/>
          </w:rPr>
          <w:tab/>
        </w:r>
        <w:r w:rsidR="00115532">
          <w:rPr>
            <w:webHidden/>
          </w:rPr>
          <w:fldChar w:fldCharType="begin"/>
        </w:r>
        <w:r w:rsidR="00115532">
          <w:rPr>
            <w:webHidden/>
          </w:rPr>
          <w:instrText xml:space="preserve"> PAGEREF _Toc183620115 \h </w:instrText>
        </w:r>
        <w:r w:rsidR="00115532">
          <w:rPr>
            <w:webHidden/>
          </w:rPr>
        </w:r>
        <w:r w:rsidR="00115532">
          <w:rPr>
            <w:webHidden/>
          </w:rPr>
          <w:fldChar w:fldCharType="separate"/>
        </w:r>
        <w:r w:rsidR="00115532">
          <w:rPr>
            <w:webHidden/>
          </w:rPr>
          <w:t>103</w:t>
        </w:r>
        <w:r w:rsidR="00115532">
          <w:rPr>
            <w:webHidden/>
          </w:rPr>
          <w:fldChar w:fldCharType="end"/>
        </w:r>
      </w:hyperlink>
    </w:p>
    <w:p w14:paraId="1297C468" w14:textId="1036F51D" w:rsidR="00115532" w:rsidRDefault="00A401AB">
      <w:pPr>
        <w:pStyle w:val="TOC1"/>
        <w:rPr>
          <w:rFonts w:asciiTheme="minorHAnsi" w:eastAsiaTheme="minorEastAsia" w:hAnsiTheme="minorHAnsi" w:cstheme="minorBidi"/>
          <w:b w:val="0"/>
          <w:bCs w:val="0"/>
          <w:caps w:val="0"/>
          <w:color w:val="auto"/>
          <w:kern w:val="2"/>
          <w:sz w:val="22"/>
          <w:szCs w:val="22"/>
          <w:lang w:val="en-GB" w:eastAsia="en-GB"/>
          <w14:ligatures w14:val="standardContextual"/>
        </w:rPr>
      </w:pPr>
      <w:hyperlink w:anchor="_Toc183620116" w:history="1">
        <w:r w:rsidR="00115532" w:rsidRPr="000578E9">
          <w:rPr>
            <w:rStyle w:val="Hyperlink"/>
          </w:rPr>
          <w:t>5. KOPSAVILKUMS UN PRIEKŠLIKUMI</w:t>
        </w:r>
        <w:r w:rsidR="00115532">
          <w:rPr>
            <w:webHidden/>
          </w:rPr>
          <w:tab/>
        </w:r>
        <w:r w:rsidR="00115532">
          <w:rPr>
            <w:webHidden/>
          </w:rPr>
          <w:fldChar w:fldCharType="begin"/>
        </w:r>
        <w:r w:rsidR="00115532">
          <w:rPr>
            <w:webHidden/>
          </w:rPr>
          <w:instrText xml:space="preserve"> PAGEREF _Toc183620116 \h </w:instrText>
        </w:r>
        <w:r w:rsidR="00115532">
          <w:rPr>
            <w:webHidden/>
          </w:rPr>
        </w:r>
        <w:r w:rsidR="00115532">
          <w:rPr>
            <w:webHidden/>
          </w:rPr>
          <w:fldChar w:fldCharType="separate"/>
        </w:r>
        <w:r w:rsidR="00115532">
          <w:rPr>
            <w:webHidden/>
          </w:rPr>
          <w:t>104</w:t>
        </w:r>
        <w:r w:rsidR="00115532">
          <w:rPr>
            <w:webHidden/>
          </w:rPr>
          <w:fldChar w:fldCharType="end"/>
        </w:r>
      </w:hyperlink>
    </w:p>
    <w:p w14:paraId="273BF0EB" w14:textId="635686C5" w:rsidR="007818B0" w:rsidRPr="008D586E" w:rsidRDefault="007818B0" w:rsidP="008D586E">
      <w:pPr>
        <w:spacing w:before="360" w:after="0" w:line="228" w:lineRule="auto"/>
        <w:rPr>
          <w:rFonts w:ascii="Aptos Narrow" w:hAnsi="Aptos Narrow"/>
          <w:color w:val="000000" w:themeColor="text1"/>
          <w:sz w:val="24"/>
          <w:szCs w:val="24"/>
        </w:rPr>
      </w:pPr>
      <w:r w:rsidRPr="00C075DC">
        <w:rPr>
          <w:rFonts w:ascii="Cambria" w:hAnsi="Cambria"/>
        </w:rPr>
        <w:fldChar w:fldCharType="end"/>
      </w:r>
      <w:r w:rsidRPr="008D586E">
        <w:rPr>
          <w:rFonts w:ascii="Aptos Narrow" w:hAnsi="Aptos Narrow"/>
          <w:b/>
          <w:color w:val="000000" w:themeColor="text1"/>
          <w:sz w:val="24"/>
          <w:szCs w:val="24"/>
        </w:rPr>
        <w:t>PIELIKUMS. DETALIZĒTAS DARBA TIRGUS VIDĒJA UN ILGTERMIŅA PROGNOZES</w:t>
      </w:r>
    </w:p>
    <w:p w14:paraId="419625F0" w14:textId="56A65B9B" w:rsidR="007818B0" w:rsidRPr="00B73A48" w:rsidRDefault="007818B0" w:rsidP="007818B0">
      <w:pPr>
        <w:spacing w:after="0"/>
        <w:rPr>
          <w:b/>
          <w:caps/>
          <w:color w:val="000000" w:themeColor="text1"/>
          <w:sz w:val="6"/>
          <w:szCs w:val="6"/>
          <w:highlight w:val="yellow"/>
        </w:rPr>
      </w:pPr>
      <w:r w:rsidRPr="00B73A48">
        <w:rPr>
          <w:color w:val="000000" w:themeColor="text1"/>
          <w:sz w:val="6"/>
          <w:szCs w:val="6"/>
          <w:highlight w:val="yellow"/>
        </w:rPr>
        <w:br w:type="page"/>
      </w:r>
    </w:p>
    <w:p w14:paraId="13648F76" w14:textId="77777777" w:rsidR="00CD313C" w:rsidRDefault="00CD313C" w:rsidP="00CD313C">
      <w:pPr>
        <w:pStyle w:val="BodyTextIndent2"/>
        <w:spacing w:line="240" w:lineRule="auto"/>
        <w:ind w:left="0"/>
        <w:jc w:val="both"/>
        <w:rPr>
          <w:sz w:val="20"/>
          <w:szCs w:val="20"/>
        </w:rPr>
      </w:pPr>
    </w:p>
    <w:p w14:paraId="6CBF4AC5" w14:textId="77777777" w:rsidR="00CD313C" w:rsidRDefault="00CD313C" w:rsidP="00CD313C">
      <w:pPr>
        <w:pStyle w:val="BodyTextIndent2"/>
        <w:spacing w:line="240" w:lineRule="auto"/>
        <w:ind w:left="0"/>
        <w:jc w:val="both"/>
        <w:rPr>
          <w:sz w:val="20"/>
          <w:szCs w:val="20"/>
        </w:rPr>
      </w:pPr>
    </w:p>
    <w:p w14:paraId="3E0F24A2" w14:textId="77777777" w:rsidR="00CD313C" w:rsidRDefault="00CD313C" w:rsidP="00CD313C">
      <w:pPr>
        <w:pStyle w:val="BodyTextIndent2"/>
        <w:spacing w:line="240" w:lineRule="auto"/>
        <w:ind w:left="0"/>
        <w:jc w:val="both"/>
        <w:rPr>
          <w:sz w:val="20"/>
          <w:szCs w:val="20"/>
        </w:rPr>
      </w:pPr>
    </w:p>
    <w:p w14:paraId="3CE40718" w14:textId="77777777" w:rsidR="00CD313C" w:rsidRDefault="00CD313C" w:rsidP="00CD313C">
      <w:pPr>
        <w:pStyle w:val="BodyTextIndent2"/>
        <w:spacing w:line="240" w:lineRule="auto"/>
        <w:ind w:left="0"/>
        <w:jc w:val="both"/>
        <w:rPr>
          <w:sz w:val="20"/>
          <w:szCs w:val="20"/>
        </w:rPr>
      </w:pPr>
    </w:p>
    <w:p w14:paraId="4389999F" w14:textId="77777777" w:rsidR="00CD313C" w:rsidRDefault="00CD313C" w:rsidP="00CD313C">
      <w:pPr>
        <w:pStyle w:val="BodyTextIndent2"/>
        <w:spacing w:line="240" w:lineRule="auto"/>
        <w:ind w:left="0"/>
        <w:jc w:val="both"/>
        <w:rPr>
          <w:sz w:val="20"/>
          <w:szCs w:val="20"/>
        </w:rPr>
      </w:pPr>
    </w:p>
    <w:p w14:paraId="2A6B3EEA" w14:textId="77777777" w:rsidR="00CD313C" w:rsidRDefault="00CD313C" w:rsidP="00CD313C">
      <w:pPr>
        <w:pStyle w:val="BodyTextIndent2"/>
        <w:spacing w:line="240" w:lineRule="auto"/>
        <w:ind w:left="0"/>
        <w:jc w:val="both"/>
        <w:rPr>
          <w:sz w:val="20"/>
          <w:szCs w:val="20"/>
        </w:rPr>
      </w:pPr>
    </w:p>
    <w:p w14:paraId="5534078A" w14:textId="77777777" w:rsidR="00CD313C" w:rsidRDefault="00CD313C" w:rsidP="00CD313C">
      <w:pPr>
        <w:pStyle w:val="BodyTextIndent2"/>
        <w:spacing w:line="240" w:lineRule="auto"/>
        <w:ind w:left="0"/>
        <w:jc w:val="both"/>
        <w:rPr>
          <w:sz w:val="20"/>
          <w:szCs w:val="20"/>
        </w:rPr>
      </w:pPr>
    </w:p>
    <w:p w14:paraId="779435F4" w14:textId="77777777" w:rsidR="00CD313C" w:rsidRDefault="00CD313C" w:rsidP="00CD313C">
      <w:pPr>
        <w:pStyle w:val="BodyTextIndent2"/>
        <w:spacing w:line="240" w:lineRule="auto"/>
        <w:ind w:left="0"/>
        <w:jc w:val="both"/>
        <w:rPr>
          <w:sz w:val="20"/>
          <w:szCs w:val="20"/>
        </w:rPr>
      </w:pPr>
    </w:p>
    <w:p w14:paraId="31ED5321" w14:textId="77777777" w:rsidR="00CD313C" w:rsidRDefault="00CD313C" w:rsidP="00CD313C">
      <w:pPr>
        <w:pStyle w:val="BodyTextIndent2"/>
        <w:spacing w:line="240" w:lineRule="auto"/>
        <w:ind w:left="0"/>
        <w:jc w:val="both"/>
        <w:rPr>
          <w:sz w:val="20"/>
          <w:szCs w:val="20"/>
        </w:rPr>
      </w:pPr>
    </w:p>
    <w:p w14:paraId="6A2EEE86" w14:textId="77777777" w:rsidR="00CD313C" w:rsidRDefault="00CD313C" w:rsidP="00CD313C">
      <w:pPr>
        <w:pStyle w:val="BodyTextIndent2"/>
        <w:spacing w:line="240" w:lineRule="auto"/>
        <w:ind w:left="0"/>
        <w:jc w:val="both"/>
        <w:rPr>
          <w:sz w:val="20"/>
          <w:szCs w:val="20"/>
        </w:rPr>
      </w:pPr>
    </w:p>
    <w:p w14:paraId="72C2F3EA" w14:textId="77777777" w:rsidR="00CD313C" w:rsidRDefault="00CD313C" w:rsidP="00CD313C">
      <w:pPr>
        <w:pStyle w:val="BodyTextIndent2"/>
        <w:spacing w:line="240" w:lineRule="auto"/>
        <w:ind w:left="0"/>
        <w:jc w:val="both"/>
        <w:rPr>
          <w:sz w:val="20"/>
          <w:szCs w:val="20"/>
        </w:rPr>
      </w:pPr>
    </w:p>
    <w:p w14:paraId="6FC8CC8E" w14:textId="77777777" w:rsidR="00CD313C" w:rsidRDefault="00CD313C" w:rsidP="00CD313C">
      <w:pPr>
        <w:pStyle w:val="BodyTextIndent2"/>
        <w:spacing w:line="240" w:lineRule="auto"/>
        <w:ind w:left="0"/>
        <w:jc w:val="both"/>
        <w:rPr>
          <w:sz w:val="20"/>
          <w:szCs w:val="20"/>
        </w:rPr>
      </w:pPr>
    </w:p>
    <w:p w14:paraId="44B4EAD2" w14:textId="77777777" w:rsidR="00CD313C" w:rsidRDefault="00CD313C" w:rsidP="00CD313C">
      <w:pPr>
        <w:pStyle w:val="BodyTextIndent2"/>
        <w:spacing w:line="240" w:lineRule="auto"/>
        <w:ind w:left="0"/>
        <w:jc w:val="both"/>
        <w:rPr>
          <w:sz w:val="20"/>
          <w:szCs w:val="20"/>
        </w:rPr>
      </w:pPr>
    </w:p>
    <w:p w14:paraId="28E2D39E" w14:textId="77777777" w:rsidR="00CD313C" w:rsidRDefault="00CD313C" w:rsidP="00CD313C">
      <w:pPr>
        <w:pStyle w:val="BodyTextIndent2"/>
        <w:spacing w:line="240" w:lineRule="auto"/>
        <w:ind w:left="0"/>
        <w:jc w:val="both"/>
        <w:rPr>
          <w:sz w:val="20"/>
          <w:szCs w:val="20"/>
        </w:rPr>
      </w:pPr>
    </w:p>
    <w:p w14:paraId="5C78178B" w14:textId="77777777" w:rsidR="00CD313C" w:rsidRDefault="00CD313C" w:rsidP="00CD313C">
      <w:pPr>
        <w:pStyle w:val="BodyTextIndent2"/>
        <w:spacing w:line="240" w:lineRule="auto"/>
        <w:ind w:left="0"/>
        <w:jc w:val="both"/>
        <w:rPr>
          <w:sz w:val="20"/>
          <w:szCs w:val="20"/>
        </w:rPr>
      </w:pPr>
    </w:p>
    <w:p w14:paraId="6423E641" w14:textId="77777777" w:rsidR="00CD313C" w:rsidRDefault="00CD313C" w:rsidP="00CD313C">
      <w:pPr>
        <w:pStyle w:val="BodyTextIndent2"/>
        <w:spacing w:line="240" w:lineRule="auto"/>
        <w:ind w:left="0"/>
        <w:jc w:val="both"/>
        <w:rPr>
          <w:sz w:val="20"/>
          <w:szCs w:val="20"/>
        </w:rPr>
      </w:pPr>
    </w:p>
    <w:p w14:paraId="0B86391B" w14:textId="77777777" w:rsidR="00CD313C" w:rsidRDefault="00CD313C" w:rsidP="00CD313C">
      <w:pPr>
        <w:pStyle w:val="BodyTextIndent2"/>
        <w:spacing w:line="240" w:lineRule="auto"/>
        <w:ind w:left="0"/>
        <w:jc w:val="both"/>
        <w:rPr>
          <w:sz w:val="20"/>
          <w:szCs w:val="20"/>
        </w:rPr>
      </w:pPr>
    </w:p>
    <w:p w14:paraId="16277B67" w14:textId="77777777" w:rsidR="00CD313C" w:rsidRDefault="00CD313C" w:rsidP="00CD313C">
      <w:pPr>
        <w:pStyle w:val="BodyTextIndent2"/>
        <w:spacing w:line="240" w:lineRule="auto"/>
        <w:ind w:left="0"/>
        <w:jc w:val="both"/>
        <w:rPr>
          <w:sz w:val="20"/>
          <w:szCs w:val="20"/>
        </w:rPr>
      </w:pPr>
    </w:p>
    <w:p w14:paraId="74BD27C5" w14:textId="77777777" w:rsidR="00CD313C" w:rsidRDefault="00CD313C" w:rsidP="00CD313C">
      <w:pPr>
        <w:pStyle w:val="BodyTextIndent2"/>
        <w:spacing w:line="240" w:lineRule="auto"/>
        <w:ind w:left="0"/>
        <w:jc w:val="both"/>
        <w:rPr>
          <w:sz w:val="20"/>
          <w:szCs w:val="20"/>
        </w:rPr>
      </w:pPr>
    </w:p>
    <w:p w14:paraId="2EDD5C02" w14:textId="77777777" w:rsidR="00CD313C" w:rsidRDefault="00CD313C" w:rsidP="00CD313C">
      <w:pPr>
        <w:pStyle w:val="BodyTextIndent2"/>
        <w:spacing w:line="240" w:lineRule="auto"/>
        <w:ind w:left="0"/>
        <w:jc w:val="both"/>
        <w:rPr>
          <w:sz w:val="20"/>
          <w:szCs w:val="20"/>
        </w:rPr>
      </w:pPr>
    </w:p>
    <w:p w14:paraId="51342BC4" w14:textId="77777777" w:rsidR="008D586E" w:rsidRDefault="008D586E" w:rsidP="00CD313C">
      <w:pPr>
        <w:pStyle w:val="BodyTextIndent2"/>
        <w:spacing w:line="240" w:lineRule="auto"/>
        <w:ind w:left="0"/>
        <w:jc w:val="both"/>
        <w:rPr>
          <w:sz w:val="20"/>
          <w:szCs w:val="20"/>
        </w:rPr>
      </w:pPr>
    </w:p>
    <w:p w14:paraId="311748DF" w14:textId="77777777" w:rsidR="0077767D" w:rsidRPr="00CD313C" w:rsidRDefault="0077767D" w:rsidP="00CD313C">
      <w:pPr>
        <w:pStyle w:val="BodyTextIndent2"/>
        <w:spacing w:line="240" w:lineRule="auto"/>
        <w:ind w:left="0"/>
        <w:jc w:val="both"/>
        <w:rPr>
          <w:sz w:val="20"/>
          <w:szCs w:val="20"/>
        </w:rPr>
      </w:pPr>
    </w:p>
    <w:p w14:paraId="668292D6" w14:textId="2C996280" w:rsidR="00CD313C" w:rsidRPr="008D586E" w:rsidRDefault="00CD313C" w:rsidP="00CD313C">
      <w:pPr>
        <w:pStyle w:val="Heading1"/>
        <w:keepNext w:val="0"/>
        <w:keepLines/>
        <w:widowControl w:val="0"/>
        <w:rPr>
          <w:szCs w:val="104"/>
        </w:rPr>
      </w:pPr>
      <w:bookmarkStart w:id="5" w:name="_Toc183620088"/>
      <w:r w:rsidRPr="008D586E">
        <w:rPr>
          <w:noProof/>
          <w:szCs w:val="104"/>
        </w:rPr>
        <w:drawing>
          <wp:anchor distT="0" distB="0" distL="114300" distR="114300" simplePos="0" relativeHeight="251818199" behindDoc="1" locked="0" layoutInCell="1" allowOverlap="1" wp14:anchorId="285F7D78" wp14:editId="21915592">
            <wp:simplePos x="0" y="0"/>
            <wp:positionH relativeFrom="page">
              <wp:posOffset>0</wp:posOffset>
            </wp:positionH>
            <wp:positionV relativeFrom="page">
              <wp:posOffset>0</wp:posOffset>
            </wp:positionV>
            <wp:extent cx="7560000" cy="5040000"/>
            <wp:effectExtent l="0" t="0" r="3175" b="8255"/>
            <wp:wrapNone/>
            <wp:docPr id="1396" name="Picture 1396" descr="Metallic spheres connected in m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Picture 1396" descr="Metallic spheres connected in mesh"/>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60000" cy="5040000"/>
                    </a:xfrm>
                    <a:prstGeom prst="rect">
                      <a:avLst/>
                    </a:prstGeom>
                  </pic:spPr>
                </pic:pic>
              </a:graphicData>
            </a:graphic>
            <wp14:sizeRelH relativeFrom="page">
              <wp14:pctWidth>0</wp14:pctWidth>
            </wp14:sizeRelH>
            <wp14:sizeRelV relativeFrom="page">
              <wp14:pctHeight>0</wp14:pctHeight>
            </wp14:sizeRelV>
          </wp:anchor>
        </w:drawing>
      </w:r>
      <w:r w:rsidR="005D7337" w:rsidRPr="008D586E">
        <w:rPr>
          <w:szCs w:val="104"/>
        </w:rPr>
        <w:t xml:space="preserve">1. </w:t>
      </w:r>
      <w:r w:rsidR="00A42DA9" w:rsidRPr="008D586E">
        <w:rPr>
          <w:szCs w:val="104"/>
        </w:rPr>
        <w:t>TAUTSAIMNIECĪBAS UN DARBA TIRGUS ATTĪSTĪBA</w:t>
      </w:r>
      <w:bookmarkEnd w:id="1"/>
      <w:bookmarkEnd w:id="2"/>
      <w:bookmarkEnd w:id="3"/>
      <w:bookmarkEnd w:id="5"/>
      <w:r w:rsidRPr="008D586E">
        <w:rPr>
          <w:szCs w:val="104"/>
        </w:rPr>
        <w:br w:type="page"/>
      </w:r>
    </w:p>
    <w:p w14:paraId="3F11A96A" w14:textId="3A712030" w:rsidR="0053017C" w:rsidRPr="00FC4F6F" w:rsidRDefault="005D423A" w:rsidP="00620421">
      <w:pPr>
        <w:pStyle w:val="Heading2"/>
      </w:pPr>
      <w:bookmarkStart w:id="6" w:name="_Toc293074217"/>
      <w:bookmarkStart w:id="7" w:name="_Toc357503110"/>
      <w:bookmarkStart w:id="8" w:name="_Toc388618380"/>
      <w:bookmarkStart w:id="9" w:name="_Toc390350657"/>
      <w:bookmarkStart w:id="10" w:name="_Toc183620089"/>
      <w:bookmarkStart w:id="11" w:name="_Toc293074218"/>
      <w:bookmarkStart w:id="12" w:name="_Toc357503111"/>
      <w:r w:rsidRPr="00FC4F6F">
        <w:lastRenderedPageBreak/>
        <w:t>1.1. Makroekonomiskā situācija</w:t>
      </w:r>
      <w:bookmarkEnd w:id="6"/>
      <w:bookmarkEnd w:id="7"/>
      <w:bookmarkEnd w:id="8"/>
      <w:bookmarkEnd w:id="9"/>
      <w:r w:rsidR="00D6511B" w:rsidRPr="00FC4F6F">
        <w:t xml:space="preserve"> </w:t>
      </w:r>
      <w:r w:rsidR="007818B0" w:rsidRPr="00FC4F6F">
        <w:t>un nozaru attīstība</w:t>
      </w:r>
      <w:bookmarkEnd w:id="10"/>
    </w:p>
    <w:bookmarkEnd w:id="4"/>
    <w:bookmarkEnd w:id="11"/>
    <w:bookmarkEnd w:id="12"/>
    <w:p w14:paraId="10DC3EEE" w14:textId="0DEDCD87" w:rsidR="00B73A48" w:rsidRPr="003B4CDA" w:rsidRDefault="00B73A48" w:rsidP="003677B6">
      <w:pPr>
        <w:pStyle w:val="BodyTextIndent2"/>
        <w:spacing w:line="240" w:lineRule="auto"/>
        <w:ind w:left="0"/>
        <w:jc w:val="both"/>
        <w:rPr>
          <w:sz w:val="20"/>
          <w:szCs w:val="20"/>
        </w:rPr>
      </w:pPr>
      <w:r w:rsidRPr="00F96342">
        <w:rPr>
          <w:sz w:val="20"/>
          <w:szCs w:val="20"/>
        </w:rPr>
        <w:t>Latvijā līdz Covid-19 pandēmijai saglabājās stabila ekonomiskā izaugsme, kuras tempi pārsniedza ES vidējos rādītājus. No 2013</w:t>
      </w:r>
      <w:r w:rsidR="00FF63B5">
        <w:rPr>
          <w:sz w:val="20"/>
          <w:szCs w:val="20"/>
        </w:rPr>
        <w:t>. gad</w:t>
      </w:r>
      <w:r w:rsidR="0080669C">
        <w:rPr>
          <w:sz w:val="20"/>
          <w:szCs w:val="20"/>
        </w:rPr>
        <w:t>a</w:t>
      </w:r>
      <w:r w:rsidRPr="00F96342">
        <w:rPr>
          <w:sz w:val="20"/>
          <w:szCs w:val="20"/>
        </w:rPr>
        <w:t xml:space="preserve"> līdz 2019</w:t>
      </w:r>
      <w:r w:rsidR="00FF63B5">
        <w:rPr>
          <w:sz w:val="20"/>
          <w:szCs w:val="20"/>
        </w:rPr>
        <w:t>. gad</w:t>
      </w:r>
      <w:r w:rsidRPr="00F96342">
        <w:rPr>
          <w:sz w:val="20"/>
          <w:szCs w:val="20"/>
        </w:rPr>
        <w:t>am IKP vidēji pieauga par 2,9</w:t>
      </w:r>
      <w:r w:rsidR="0080669C">
        <w:rPr>
          <w:sz w:val="20"/>
          <w:szCs w:val="20"/>
        </w:rPr>
        <w:t>%</w:t>
      </w:r>
      <w:r w:rsidRPr="00F96342">
        <w:rPr>
          <w:sz w:val="20"/>
          <w:szCs w:val="20"/>
        </w:rPr>
        <w:t xml:space="preserve"> ik</w:t>
      </w:r>
      <w:r w:rsidR="0080669C">
        <w:rPr>
          <w:sz w:val="20"/>
          <w:szCs w:val="20"/>
        </w:rPr>
        <w:t xml:space="preserve"> gad</w:t>
      </w:r>
      <w:r w:rsidRPr="00F96342">
        <w:rPr>
          <w:sz w:val="20"/>
          <w:szCs w:val="20"/>
        </w:rPr>
        <w:t>u. Covid-19 pandēmija būtiski ietekmēja ekonomikas attīstību globālā mērogā un arī Latvijā. IKP 2020</w:t>
      </w:r>
      <w:r w:rsidR="00FF63B5">
        <w:rPr>
          <w:sz w:val="20"/>
          <w:szCs w:val="20"/>
        </w:rPr>
        <w:t>. gad</w:t>
      </w:r>
      <w:r w:rsidRPr="00F96342">
        <w:rPr>
          <w:sz w:val="20"/>
          <w:szCs w:val="20"/>
        </w:rPr>
        <w:t>ā Latvijā saruka par 3,5</w:t>
      </w:r>
      <w:r w:rsidR="0080669C">
        <w:rPr>
          <w:sz w:val="20"/>
          <w:szCs w:val="20"/>
        </w:rPr>
        <w:t>%</w:t>
      </w:r>
      <w:r w:rsidRPr="00F96342">
        <w:rPr>
          <w:sz w:val="20"/>
          <w:szCs w:val="20"/>
        </w:rPr>
        <w:t>. Apjomīgie valdības un ES fondu atbalsta pasākumi, kā arī epidemioloģiskās situācijas uzlabošanās 2021</w:t>
      </w:r>
      <w:r w:rsidR="00FF63B5">
        <w:rPr>
          <w:sz w:val="20"/>
          <w:szCs w:val="20"/>
        </w:rPr>
        <w:t>. gad</w:t>
      </w:r>
      <w:r w:rsidRPr="00F96342">
        <w:rPr>
          <w:sz w:val="20"/>
          <w:szCs w:val="20"/>
        </w:rPr>
        <w:t>ā veicināja Latvijas ekonomikas atveseļošanos, un IKP pieauga par 6,7</w:t>
      </w:r>
      <w:r w:rsidR="0080669C">
        <w:rPr>
          <w:sz w:val="20"/>
          <w:szCs w:val="20"/>
        </w:rPr>
        <w:t>%</w:t>
      </w:r>
      <w:r w:rsidRPr="00F96342">
        <w:rPr>
          <w:sz w:val="20"/>
          <w:szCs w:val="20"/>
        </w:rPr>
        <w:t>.</w:t>
      </w:r>
    </w:p>
    <w:p w14:paraId="6C66EB94" w14:textId="3BD57D4F" w:rsidR="00B73A48" w:rsidRDefault="00B73A48" w:rsidP="003677B6">
      <w:pPr>
        <w:pStyle w:val="BodyTextIndent2"/>
        <w:spacing w:line="240" w:lineRule="auto"/>
        <w:ind w:left="0"/>
        <w:jc w:val="both"/>
        <w:rPr>
          <w:sz w:val="20"/>
          <w:szCs w:val="20"/>
        </w:rPr>
      </w:pPr>
      <w:r w:rsidRPr="00F96342">
        <w:rPr>
          <w:sz w:val="20"/>
          <w:szCs w:val="20"/>
        </w:rPr>
        <w:t>Pēc ekonomikas straujas atkopšanās no Covid-19 pandēmijas krīzes 2021</w:t>
      </w:r>
      <w:r w:rsidR="00FF63B5">
        <w:rPr>
          <w:sz w:val="20"/>
          <w:szCs w:val="20"/>
        </w:rPr>
        <w:t>. gad</w:t>
      </w:r>
      <w:r w:rsidRPr="00F96342">
        <w:rPr>
          <w:sz w:val="20"/>
          <w:szCs w:val="20"/>
        </w:rPr>
        <w:t>ā izaugsme Latvijā 2022</w:t>
      </w:r>
      <w:r w:rsidR="00FF63B5">
        <w:rPr>
          <w:sz w:val="20"/>
          <w:szCs w:val="20"/>
        </w:rPr>
        <w:t>. gad</w:t>
      </w:r>
      <w:r w:rsidRPr="00F96342">
        <w:rPr>
          <w:sz w:val="20"/>
          <w:szCs w:val="20"/>
        </w:rPr>
        <w:t>ā palēninājās līdz 3</w:t>
      </w:r>
      <w:r w:rsidR="0080669C">
        <w:rPr>
          <w:sz w:val="20"/>
          <w:szCs w:val="20"/>
        </w:rPr>
        <w:t>%</w:t>
      </w:r>
      <w:r w:rsidRPr="00F96342">
        <w:rPr>
          <w:sz w:val="20"/>
          <w:szCs w:val="20"/>
        </w:rPr>
        <w:t>. Ekonomikas attīstību 2022</w:t>
      </w:r>
      <w:r w:rsidR="00FF63B5">
        <w:rPr>
          <w:sz w:val="20"/>
          <w:szCs w:val="20"/>
        </w:rPr>
        <w:t>. gad</w:t>
      </w:r>
      <w:r w:rsidRPr="00F96342">
        <w:rPr>
          <w:sz w:val="20"/>
          <w:szCs w:val="20"/>
        </w:rPr>
        <w:t>ā būtiski ietekmēja Krievijas iebrukuma Ukrainā izraisītie piegāžu ķēžu pārrāvumi, energoresursu un pārtikas dārdzības izraisītais inflācijas kāpums, kā arī globālā pieprasījuma samazināšanās. 2022</w:t>
      </w:r>
      <w:r w:rsidR="00FF63B5">
        <w:rPr>
          <w:sz w:val="20"/>
          <w:szCs w:val="20"/>
        </w:rPr>
        <w:t>. gad</w:t>
      </w:r>
      <w:r w:rsidRPr="00F96342">
        <w:rPr>
          <w:sz w:val="20"/>
          <w:szCs w:val="20"/>
        </w:rPr>
        <w:t>a 1.</w:t>
      </w:r>
      <w:r w:rsidR="00FF63B5">
        <w:rPr>
          <w:sz w:val="20"/>
          <w:szCs w:val="20"/>
        </w:rPr>
        <w:t xml:space="preserve"> </w:t>
      </w:r>
      <w:r w:rsidRPr="00F96342">
        <w:rPr>
          <w:sz w:val="20"/>
          <w:szCs w:val="20"/>
        </w:rPr>
        <w:t>pusgadā vēl pilnā apmērā nebija jūtamas kara sekas. Ekonomika pieauga par 5,</w:t>
      </w:r>
      <w:r>
        <w:rPr>
          <w:sz w:val="20"/>
          <w:szCs w:val="20"/>
        </w:rPr>
        <w:t>4</w:t>
      </w:r>
      <w:r w:rsidR="0080669C">
        <w:rPr>
          <w:sz w:val="20"/>
          <w:szCs w:val="20"/>
        </w:rPr>
        <w:t>%</w:t>
      </w:r>
      <w:r w:rsidRPr="00F96342">
        <w:rPr>
          <w:sz w:val="20"/>
          <w:szCs w:val="20"/>
        </w:rPr>
        <w:t>, salīdzinot ar 2021</w:t>
      </w:r>
      <w:r w:rsidR="00FF63B5">
        <w:rPr>
          <w:sz w:val="20"/>
          <w:szCs w:val="20"/>
        </w:rPr>
        <w:t>. gad</w:t>
      </w:r>
      <w:r w:rsidRPr="00F96342">
        <w:rPr>
          <w:sz w:val="20"/>
          <w:szCs w:val="20"/>
        </w:rPr>
        <w:t>a 1.</w:t>
      </w:r>
      <w:r w:rsidR="00FF63B5">
        <w:rPr>
          <w:sz w:val="20"/>
          <w:szCs w:val="20"/>
        </w:rPr>
        <w:t xml:space="preserve"> </w:t>
      </w:r>
      <w:r w:rsidRPr="00F96342">
        <w:rPr>
          <w:sz w:val="20"/>
          <w:szCs w:val="20"/>
        </w:rPr>
        <w:t>pusgadu. Kāpumu ietekmēja zemā bāze 2021</w:t>
      </w:r>
      <w:r w:rsidR="00FF63B5">
        <w:rPr>
          <w:sz w:val="20"/>
          <w:szCs w:val="20"/>
        </w:rPr>
        <w:t>. gad</w:t>
      </w:r>
      <w:r w:rsidRPr="00F96342">
        <w:rPr>
          <w:sz w:val="20"/>
          <w:szCs w:val="20"/>
        </w:rPr>
        <w:t>a sākumā un pakāpeniska Covid-19 ierobežojumu atcelšana. Tomēr 2. pusgadā izaugsme</w:t>
      </w:r>
      <w:r w:rsidR="0080669C">
        <w:rPr>
          <w:sz w:val="20"/>
          <w:szCs w:val="20"/>
        </w:rPr>
        <w:t xml:space="preserve"> gad</w:t>
      </w:r>
      <w:r w:rsidRPr="00F96342">
        <w:rPr>
          <w:sz w:val="20"/>
          <w:szCs w:val="20"/>
        </w:rPr>
        <w:t xml:space="preserve">a griezumā samazinājās līdz </w:t>
      </w:r>
      <w:r>
        <w:rPr>
          <w:sz w:val="20"/>
          <w:szCs w:val="20"/>
        </w:rPr>
        <w:t>0,8</w:t>
      </w:r>
      <w:r w:rsidR="0080669C">
        <w:rPr>
          <w:sz w:val="20"/>
          <w:szCs w:val="20"/>
        </w:rPr>
        <w:t>%</w:t>
      </w:r>
      <w:r w:rsidRPr="00F96342">
        <w:rPr>
          <w:sz w:val="20"/>
          <w:szCs w:val="20"/>
        </w:rPr>
        <w:t>, pasliktinoties eksporta-importa saldo bilancei un samazinoties privātā patēriņa un investīciju pieauguma tempiem.</w:t>
      </w:r>
    </w:p>
    <w:p w14:paraId="436872AB" w14:textId="76D140B1" w:rsidR="00B73A48" w:rsidRPr="003B4CDA" w:rsidRDefault="00B73A48" w:rsidP="003677B6">
      <w:pPr>
        <w:pStyle w:val="BodyTextIndent2"/>
        <w:spacing w:line="240" w:lineRule="auto"/>
        <w:ind w:left="0"/>
        <w:jc w:val="both"/>
        <w:rPr>
          <w:sz w:val="20"/>
          <w:szCs w:val="20"/>
        </w:rPr>
      </w:pPr>
      <w:r w:rsidRPr="00F96342">
        <w:rPr>
          <w:sz w:val="20"/>
          <w:szCs w:val="20"/>
        </w:rPr>
        <w:t>2023</w:t>
      </w:r>
      <w:r w:rsidR="00FF63B5">
        <w:rPr>
          <w:sz w:val="20"/>
          <w:szCs w:val="20"/>
        </w:rPr>
        <w:t>. gad</w:t>
      </w:r>
      <w:r w:rsidRPr="00F96342">
        <w:rPr>
          <w:sz w:val="20"/>
          <w:szCs w:val="20"/>
        </w:rPr>
        <w:t xml:space="preserve">ā ekonomikas attīstību turpināja ietekmēt ģeopolitiskā situācija un nenoteiktība, augstās cenas un </w:t>
      </w:r>
      <w:r w:rsidR="002C156F">
        <w:rPr>
          <w:sz w:val="20"/>
          <w:szCs w:val="20"/>
        </w:rPr>
        <w:t>starpbanku aizdevumu</w:t>
      </w:r>
      <w:r w:rsidRPr="00F96342">
        <w:rPr>
          <w:sz w:val="20"/>
          <w:szCs w:val="20"/>
        </w:rPr>
        <w:t xml:space="preserve"> procentu likmju celšanās. </w:t>
      </w:r>
      <w:r w:rsidRPr="00005C06">
        <w:rPr>
          <w:sz w:val="20"/>
          <w:szCs w:val="20"/>
        </w:rPr>
        <w:t>Nelabvēlīga situācijā ārējā vidē un vājais pieprasījums galvenajos mērķa tirgos ietekmēja Latvijas eksporta rādītājus. Augstā inflācija negatīvi ietekmēja mājsaimniecību patēriņu un iedzīvotāju reālos ienākumus. Ģeopolitiskā situācija reģionā un vājā kreditēšana kavēja straujāku investīciju kāpumu.</w:t>
      </w:r>
      <w:r>
        <w:rPr>
          <w:sz w:val="20"/>
          <w:szCs w:val="20"/>
        </w:rPr>
        <w:t xml:space="preserve"> Kopumā</w:t>
      </w:r>
      <w:r w:rsidRPr="00F96342">
        <w:rPr>
          <w:sz w:val="20"/>
          <w:szCs w:val="20"/>
        </w:rPr>
        <w:t xml:space="preserve"> </w:t>
      </w:r>
      <w:r>
        <w:rPr>
          <w:sz w:val="20"/>
          <w:szCs w:val="20"/>
        </w:rPr>
        <w:t>2023</w:t>
      </w:r>
      <w:r w:rsidR="00FF63B5">
        <w:rPr>
          <w:sz w:val="20"/>
          <w:szCs w:val="20"/>
        </w:rPr>
        <w:t>. gad</w:t>
      </w:r>
      <w:r>
        <w:rPr>
          <w:sz w:val="20"/>
          <w:szCs w:val="20"/>
        </w:rPr>
        <w:t xml:space="preserve">ā </w:t>
      </w:r>
      <w:r w:rsidRPr="00F96342">
        <w:rPr>
          <w:sz w:val="20"/>
          <w:szCs w:val="20"/>
        </w:rPr>
        <w:t>IKP</w:t>
      </w:r>
      <w:r>
        <w:rPr>
          <w:sz w:val="20"/>
          <w:szCs w:val="20"/>
        </w:rPr>
        <w:t xml:space="preserve"> saruka </w:t>
      </w:r>
      <w:r w:rsidRPr="00F96342">
        <w:rPr>
          <w:sz w:val="20"/>
          <w:szCs w:val="20"/>
        </w:rPr>
        <w:t>par 0,</w:t>
      </w:r>
      <w:r>
        <w:rPr>
          <w:sz w:val="20"/>
          <w:szCs w:val="20"/>
        </w:rPr>
        <w:t>3</w:t>
      </w:r>
      <w:r w:rsidR="0080669C">
        <w:rPr>
          <w:sz w:val="20"/>
          <w:szCs w:val="20"/>
        </w:rPr>
        <w:t>%</w:t>
      </w:r>
      <w:r w:rsidRPr="00F96342">
        <w:rPr>
          <w:sz w:val="20"/>
          <w:szCs w:val="20"/>
        </w:rPr>
        <w:t xml:space="preserve">. </w:t>
      </w:r>
    </w:p>
    <w:p w14:paraId="1903E529" w14:textId="3E628C29" w:rsidR="00B73A48" w:rsidRPr="003B4CDA" w:rsidRDefault="00B73A48" w:rsidP="003677B6">
      <w:pPr>
        <w:pStyle w:val="BodyTextIndent2"/>
        <w:spacing w:line="240" w:lineRule="auto"/>
        <w:ind w:left="0"/>
        <w:jc w:val="right"/>
        <w:rPr>
          <w:rStyle w:val="Strong"/>
          <w:b w:val="0"/>
          <w:color w:val="000000"/>
          <w:sz w:val="20"/>
        </w:rPr>
      </w:pPr>
      <w:r w:rsidRPr="003B4CDA">
        <w:rPr>
          <w:rStyle w:val="Strong"/>
          <w:b w:val="0"/>
          <w:color w:val="000000"/>
          <w:sz w:val="20"/>
        </w:rPr>
        <w:t>1.1. attēls</w:t>
      </w:r>
    </w:p>
    <w:p w14:paraId="457B23F8" w14:textId="2947CB07" w:rsidR="00B73A48" w:rsidRPr="003B4CDA" w:rsidRDefault="00B73A48" w:rsidP="003677B6">
      <w:pPr>
        <w:tabs>
          <w:tab w:val="center" w:pos="1134"/>
          <w:tab w:val="center" w:pos="3402"/>
          <w:tab w:val="center" w:pos="5670"/>
          <w:tab w:val="center" w:pos="7938"/>
        </w:tabs>
        <w:spacing w:before="120" w:after="120"/>
        <w:rPr>
          <w:rStyle w:val="Strong"/>
          <w:b w:val="0"/>
          <w:color w:val="000000"/>
          <w:sz w:val="22"/>
        </w:rPr>
      </w:pPr>
      <w:r w:rsidRPr="003B4CDA">
        <w:rPr>
          <w:rFonts w:ascii="Segoe UI Light" w:hAnsi="Segoe UI Light"/>
          <w:b/>
          <w:sz w:val="18"/>
          <w:szCs w:val="24"/>
        </w:rPr>
        <w:tab/>
        <w:t>Iekšzemes</w:t>
      </w:r>
      <w:r w:rsidRPr="003B4CDA">
        <w:rPr>
          <w:rFonts w:ascii="Segoe UI Light" w:hAnsi="Segoe UI Light"/>
          <w:b/>
          <w:sz w:val="18"/>
          <w:szCs w:val="24"/>
        </w:rPr>
        <w:tab/>
        <w:t>Preču un pakalpojumu</w:t>
      </w:r>
      <w:r w:rsidRPr="003B4CDA">
        <w:rPr>
          <w:rFonts w:ascii="Segoe UI Light" w:hAnsi="Segoe UI Light"/>
          <w:b/>
          <w:sz w:val="18"/>
          <w:szCs w:val="24"/>
        </w:rPr>
        <w:tab/>
        <w:t>Bruto pamatkapitāla</w:t>
      </w:r>
      <w:r w:rsidRPr="003B4CDA">
        <w:rPr>
          <w:rFonts w:ascii="Segoe UI Light" w:hAnsi="Segoe UI Light"/>
          <w:b/>
          <w:sz w:val="18"/>
          <w:szCs w:val="24"/>
        </w:rPr>
        <w:tab/>
        <w:t>Privātā patēriņa</w:t>
      </w:r>
      <w:r w:rsidRPr="003B4CDA">
        <w:rPr>
          <w:rFonts w:ascii="Segoe UI Light" w:hAnsi="Segoe UI Light"/>
          <w:b/>
          <w:sz w:val="18"/>
          <w:szCs w:val="24"/>
        </w:rPr>
        <w:tab/>
      </w:r>
      <w:r w:rsidRPr="003B4CDA">
        <w:rPr>
          <w:rFonts w:ascii="Segoe UI Light" w:hAnsi="Segoe UI Light"/>
          <w:b/>
          <w:sz w:val="18"/>
          <w:szCs w:val="24"/>
        </w:rPr>
        <w:br/>
      </w:r>
      <w:r w:rsidRPr="003B4CDA">
        <w:rPr>
          <w:rFonts w:ascii="Segoe UI Light" w:hAnsi="Segoe UI Light"/>
          <w:b/>
          <w:sz w:val="18"/>
          <w:szCs w:val="24"/>
        </w:rPr>
        <w:tab/>
        <w:t>kopprodukta dinamika</w:t>
      </w:r>
      <w:r w:rsidRPr="003B4CDA">
        <w:rPr>
          <w:rFonts w:ascii="Segoe UI Light" w:hAnsi="Segoe UI Light"/>
          <w:b/>
          <w:sz w:val="18"/>
          <w:szCs w:val="24"/>
        </w:rPr>
        <w:tab/>
        <w:t>eksporta izmaiņas</w:t>
      </w:r>
      <w:r w:rsidRPr="003B4CDA">
        <w:rPr>
          <w:rFonts w:ascii="Segoe UI Light" w:hAnsi="Segoe UI Light"/>
          <w:b/>
          <w:sz w:val="18"/>
          <w:szCs w:val="24"/>
        </w:rPr>
        <w:tab/>
        <w:t>veidošanas dinamika</w:t>
      </w:r>
      <w:r w:rsidRPr="003B4CDA">
        <w:rPr>
          <w:rFonts w:ascii="Segoe UI Light" w:hAnsi="Segoe UI Light"/>
          <w:b/>
          <w:sz w:val="18"/>
          <w:szCs w:val="24"/>
        </w:rPr>
        <w:tab/>
        <w:t>izmaiņas</w:t>
      </w:r>
      <w:r w:rsidRPr="003B4CDA">
        <w:rPr>
          <w:rFonts w:ascii="Segoe UI Light" w:hAnsi="Segoe UI Light"/>
          <w:b/>
          <w:sz w:val="18"/>
          <w:szCs w:val="24"/>
        </w:rPr>
        <w:br/>
      </w:r>
      <w:r w:rsidRPr="003B4CDA">
        <w:rPr>
          <w:rFonts w:ascii="Segoe UI Light" w:hAnsi="Segoe UI Light"/>
          <w:i/>
          <w:sz w:val="16"/>
          <w:szCs w:val="24"/>
        </w:rPr>
        <w:tab/>
        <w:t>procentos</w:t>
      </w:r>
      <w:r w:rsidRPr="003B4CDA">
        <w:rPr>
          <w:rFonts w:ascii="Segoe UI Light" w:hAnsi="Segoe UI Light"/>
          <w:i/>
          <w:sz w:val="16"/>
          <w:szCs w:val="24"/>
        </w:rPr>
        <w:tab/>
      </w:r>
      <w:proofErr w:type="spellStart"/>
      <w:r w:rsidRPr="003B4CDA">
        <w:rPr>
          <w:rFonts w:ascii="Segoe UI Light" w:hAnsi="Segoe UI Light"/>
          <w:i/>
          <w:sz w:val="16"/>
          <w:szCs w:val="24"/>
        </w:rPr>
        <w:t>procentos</w:t>
      </w:r>
      <w:proofErr w:type="spellEnd"/>
      <w:r w:rsidRPr="003B4CDA">
        <w:rPr>
          <w:rStyle w:val="Strong"/>
          <w:b w:val="0"/>
          <w:color w:val="000000"/>
          <w:sz w:val="22"/>
        </w:rPr>
        <w:tab/>
      </w:r>
      <w:proofErr w:type="spellStart"/>
      <w:r w:rsidRPr="003B4CDA">
        <w:rPr>
          <w:rFonts w:ascii="Segoe UI Light" w:hAnsi="Segoe UI Light"/>
          <w:i/>
          <w:sz w:val="16"/>
          <w:szCs w:val="24"/>
        </w:rPr>
        <w:t>procentos</w:t>
      </w:r>
      <w:proofErr w:type="spellEnd"/>
      <w:r w:rsidRPr="003B4CDA">
        <w:rPr>
          <w:rStyle w:val="Strong"/>
          <w:b w:val="0"/>
          <w:color w:val="000000"/>
          <w:sz w:val="22"/>
        </w:rPr>
        <w:tab/>
      </w:r>
      <w:proofErr w:type="spellStart"/>
      <w:r w:rsidRPr="003B4CDA">
        <w:rPr>
          <w:rFonts w:ascii="Segoe UI Light" w:hAnsi="Segoe UI Light"/>
          <w:i/>
          <w:sz w:val="16"/>
          <w:szCs w:val="24"/>
        </w:rPr>
        <w:t>procentos</w:t>
      </w:r>
      <w:proofErr w:type="spellEnd"/>
    </w:p>
    <w:p w14:paraId="201FC546" w14:textId="77777777" w:rsidR="00B73A48" w:rsidRPr="003B4CDA" w:rsidRDefault="00B73A48" w:rsidP="003677B6">
      <w:pPr>
        <w:tabs>
          <w:tab w:val="left" w:pos="2786"/>
          <w:tab w:val="left" w:pos="5227"/>
          <w:tab w:val="left" w:pos="7495"/>
        </w:tabs>
        <w:spacing w:after="120"/>
        <w:ind w:right="-164"/>
      </w:pPr>
      <w:r w:rsidRPr="003B4CDA">
        <w:rPr>
          <w:noProof/>
          <w:szCs w:val="20"/>
          <w:lang w:val="en-US"/>
        </w:rPr>
        <w:drawing>
          <wp:inline distT="0" distB="0" distL="0" distR="0" wp14:anchorId="3B45D67B" wp14:editId="5F00E185">
            <wp:extent cx="1440000" cy="1800000"/>
            <wp:effectExtent l="0" t="0" r="0" b="0"/>
            <wp:docPr id="492" name="Chart 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3B4CDA">
        <w:rPr>
          <w:noProof/>
          <w:szCs w:val="20"/>
          <w:lang w:val="en-US"/>
        </w:rPr>
        <w:drawing>
          <wp:inline distT="0" distB="0" distL="0" distR="0" wp14:anchorId="5BADE39C" wp14:editId="3FD88980">
            <wp:extent cx="1440000" cy="18000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B4CDA">
        <w:rPr>
          <w:noProof/>
          <w:szCs w:val="20"/>
          <w:lang w:val="en-US"/>
        </w:rPr>
        <w:drawing>
          <wp:inline distT="0" distB="0" distL="0" distR="0" wp14:anchorId="14D51FC2" wp14:editId="711FD9B3">
            <wp:extent cx="1440000" cy="18000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3B4CDA">
        <w:rPr>
          <w:noProof/>
          <w:szCs w:val="20"/>
          <w:lang w:val="en-US"/>
        </w:rPr>
        <w:drawing>
          <wp:inline distT="0" distB="0" distL="0" distR="0" wp14:anchorId="024CD960" wp14:editId="6DEF9EF0">
            <wp:extent cx="1440000" cy="18000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DFE2A5" w14:textId="77777777" w:rsidR="00B73A48" w:rsidRPr="0080669C" w:rsidRDefault="00B73A48" w:rsidP="003677B6">
      <w:pPr>
        <w:spacing w:after="120"/>
        <w:jc w:val="both"/>
        <w:rPr>
          <w:rFonts w:eastAsia="Times New Roman"/>
          <w:color w:val="000000"/>
          <w:szCs w:val="24"/>
          <w:lang w:eastAsia="lv-LV"/>
        </w:rPr>
      </w:pPr>
      <w:r w:rsidRPr="0080669C">
        <w:rPr>
          <w:sz w:val="16"/>
          <w:szCs w:val="16"/>
        </w:rPr>
        <w:t>Avots: CSP</w:t>
      </w:r>
    </w:p>
    <w:p w14:paraId="002D4D01" w14:textId="77777777" w:rsidR="0080669C" w:rsidRDefault="0080669C" w:rsidP="003677B6">
      <w:pPr>
        <w:pStyle w:val="BodyTextIndent2"/>
        <w:spacing w:line="240" w:lineRule="auto"/>
        <w:ind w:left="0"/>
        <w:jc w:val="both"/>
        <w:rPr>
          <w:sz w:val="20"/>
          <w:szCs w:val="20"/>
        </w:rPr>
      </w:pPr>
    </w:p>
    <w:p w14:paraId="1106DA71" w14:textId="312712DE" w:rsidR="00B73A48" w:rsidRPr="00D43CB3" w:rsidRDefault="00B73A48" w:rsidP="003677B6">
      <w:pPr>
        <w:pStyle w:val="BodyTextIndent2"/>
        <w:spacing w:line="240" w:lineRule="auto"/>
        <w:ind w:left="0"/>
        <w:jc w:val="both"/>
        <w:rPr>
          <w:sz w:val="20"/>
          <w:szCs w:val="20"/>
        </w:rPr>
      </w:pPr>
      <w:r w:rsidRPr="00D43CB3">
        <w:rPr>
          <w:sz w:val="20"/>
          <w:szCs w:val="20"/>
        </w:rPr>
        <w:t>2010</w:t>
      </w:r>
      <w:r w:rsidR="00FF63B5">
        <w:rPr>
          <w:sz w:val="20"/>
          <w:szCs w:val="20"/>
        </w:rPr>
        <w:t>. gad</w:t>
      </w:r>
      <w:r w:rsidRPr="00D43CB3">
        <w:rPr>
          <w:sz w:val="20"/>
          <w:szCs w:val="20"/>
        </w:rPr>
        <w:t>ā ražojošās nozares (lauksaimniecības, mežsaimniecības un zivsaimniecības, rūpniecības, kā arī būvniecības nozares) sastādīja 27,6</w:t>
      </w:r>
      <w:r w:rsidR="0080669C">
        <w:rPr>
          <w:sz w:val="20"/>
          <w:szCs w:val="20"/>
        </w:rPr>
        <w:t>%</w:t>
      </w:r>
      <w:r w:rsidRPr="00D43CB3">
        <w:rPr>
          <w:sz w:val="20"/>
          <w:szCs w:val="20"/>
        </w:rPr>
        <w:t>, bet 202</w:t>
      </w:r>
      <w:r>
        <w:rPr>
          <w:sz w:val="20"/>
          <w:szCs w:val="20"/>
        </w:rPr>
        <w:t>3</w:t>
      </w:r>
      <w:r w:rsidR="00FF63B5">
        <w:rPr>
          <w:sz w:val="20"/>
          <w:szCs w:val="20"/>
        </w:rPr>
        <w:t>. gad</w:t>
      </w:r>
      <w:r w:rsidRPr="00D43CB3">
        <w:rPr>
          <w:sz w:val="20"/>
          <w:szCs w:val="20"/>
        </w:rPr>
        <w:t>ā – 2</w:t>
      </w:r>
      <w:r>
        <w:rPr>
          <w:sz w:val="20"/>
          <w:szCs w:val="20"/>
        </w:rPr>
        <w:t>8</w:t>
      </w:r>
      <w:r w:rsidRPr="00D43CB3">
        <w:rPr>
          <w:sz w:val="20"/>
          <w:szCs w:val="20"/>
        </w:rPr>
        <w:t>,</w:t>
      </w:r>
      <w:r>
        <w:rPr>
          <w:sz w:val="20"/>
          <w:szCs w:val="20"/>
        </w:rPr>
        <w:t>4</w:t>
      </w:r>
      <w:r w:rsidR="0080669C">
        <w:rPr>
          <w:sz w:val="20"/>
          <w:szCs w:val="20"/>
        </w:rPr>
        <w:t>%</w:t>
      </w:r>
      <w:r w:rsidRPr="00D43CB3">
        <w:rPr>
          <w:sz w:val="20"/>
          <w:szCs w:val="20"/>
        </w:rPr>
        <w:t xml:space="preserve"> no kopējās pievienotās vērtības. 202</w:t>
      </w:r>
      <w:r>
        <w:rPr>
          <w:sz w:val="20"/>
          <w:szCs w:val="20"/>
        </w:rPr>
        <w:t>3</w:t>
      </w:r>
      <w:r w:rsidR="00FF63B5">
        <w:rPr>
          <w:sz w:val="20"/>
          <w:szCs w:val="20"/>
        </w:rPr>
        <w:t>. gad</w:t>
      </w:r>
      <w:r w:rsidRPr="00D43CB3">
        <w:rPr>
          <w:sz w:val="20"/>
          <w:szCs w:val="20"/>
        </w:rPr>
        <w:t>ā, salīdzinot ar 2010</w:t>
      </w:r>
      <w:r w:rsidR="00FF63B5">
        <w:rPr>
          <w:sz w:val="20"/>
          <w:szCs w:val="20"/>
        </w:rPr>
        <w:t>. gad</w:t>
      </w:r>
      <w:r w:rsidRPr="00D43CB3">
        <w:rPr>
          <w:sz w:val="20"/>
          <w:szCs w:val="20"/>
        </w:rPr>
        <w:t>u, īpatsvars ir pieaudzis būvniecībā, komercpakalpojumu un sabiedrisko pakalpojumu nozarēs, bet samazinājies pārējā rūpniecībā, transportā, tirdzniecībā un izmitināšanā</w:t>
      </w:r>
      <w:r>
        <w:rPr>
          <w:sz w:val="20"/>
          <w:szCs w:val="20"/>
        </w:rPr>
        <w:t>, savukārt lauksaimniecībā, mežsaimniecībā un zivsaimniecībā un apstrādes rūpniecībā tas praktiski saglabājies nemainīgs.</w:t>
      </w:r>
    </w:p>
    <w:p w14:paraId="4E723A71" w14:textId="77777777" w:rsidR="0080669C" w:rsidRDefault="0080669C">
      <w:pPr>
        <w:spacing w:after="0"/>
        <w:rPr>
          <w:rFonts w:eastAsia="Times New Roman"/>
          <w:color w:val="000000"/>
          <w:lang w:eastAsia="lv-LV"/>
        </w:rPr>
      </w:pPr>
      <w:bookmarkStart w:id="13" w:name="_GoBack"/>
      <w:bookmarkEnd w:id="13"/>
      <w:r>
        <w:rPr>
          <w:rFonts w:eastAsia="Times New Roman"/>
          <w:color w:val="000000"/>
          <w:lang w:eastAsia="lv-LV"/>
        </w:rPr>
        <w:br w:type="page"/>
      </w:r>
    </w:p>
    <w:p w14:paraId="6E890D9C" w14:textId="694DFE59" w:rsidR="00B73A48" w:rsidRPr="003B4CDA" w:rsidRDefault="00B73A48" w:rsidP="003677B6">
      <w:pPr>
        <w:spacing w:after="120"/>
        <w:jc w:val="right"/>
        <w:rPr>
          <w:szCs w:val="26"/>
        </w:rPr>
      </w:pPr>
      <w:r w:rsidRPr="003B4CDA">
        <w:rPr>
          <w:rFonts w:eastAsia="Times New Roman"/>
          <w:color w:val="000000"/>
          <w:lang w:eastAsia="lv-LV"/>
        </w:rPr>
        <w:lastRenderedPageBreak/>
        <w:t>1.</w:t>
      </w:r>
      <w:r>
        <w:rPr>
          <w:rFonts w:eastAsia="Times New Roman"/>
          <w:color w:val="000000"/>
          <w:lang w:eastAsia="lv-LV"/>
        </w:rPr>
        <w:t>2</w:t>
      </w:r>
      <w:r w:rsidRPr="003B4CDA">
        <w:rPr>
          <w:rFonts w:eastAsia="Times New Roman"/>
          <w:color w:val="000000"/>
          <w:lang w:eastAsia="lv-LV"/>
        </w:rPr>
        <w:t>. attēls</w:t>
      </w:r>
    </w:p>
    <w:p w14:paraId="1ADC0340" w14:textId="3176B325" w:rsidR="00B73A48" w:rsidRDefault="00B73A48" w:rsidP="003677B6">
      <w:pPr>
        <w:spacing w:after="120"/>
        <w:jc w:val="center"/>
        <w:rPr>
          <w:rFonts w:ascii="Segoe UI Light" w:hAnsi="Segoe UI Light"/>
          <w:i/>
          <w:sz w:val="16"/>
          <w:szCs w:val="24"/>
        </w:rPr>
      </w:pPr>
      <w:r w:rsidRPr="003B4CDA">
        <w:rPr>
          <w:rFonts w:ascii="Segoe UI Light" w:hAnsi="Segoe UI Light"/>
          <w:b/>
          <w:sz w:val="18"/>
          <w:szCs w:val="24"/>
        </w:rPr>
        <w:t>Tautsaimniecības struktūra</w:t>
      </w:r>
      <w:r w:rsidRPr="003B4CDA">
        <w:rPr>
          <w:rFonts w:ascii="Segoe UI Light" w:hAnsi="Segoe UI Light"/>
          <w:b/>
          <w:sz w:val="18"/>
          <w:szCs w:val="24"/>
        </w:rPr>
        <w:br/>
      </w:r>
      <w:r w:rsidRPr="003B4CDA">
        <w:rPr>
          <w:rFonts w:ascii="Segoe UI Light" w:hAnsi="Segoe UI Light"/>
          <w:i/>
          <w:sz w:val="16"/>
          <w:szCs w:val="24"/>
        </w:rPr>
        <w:t>20</w:t>
      </w:r>
      <w:r>
        <w:rPr>
          <w:rFonts w:ascii="Segoe UI Light" w:hAnsi="Segoe UI Light"/>
          <w:i/>
          <w:sz w:val="16"/>
          <w:szCs w:val="24"/>
        </w:rPr>
        <w:t>23</w:t>
      </w:r>
      <w:r w:rsidR="00FF63B5">
        <w:rPr>
          <w:rFonts w:ascii="Segoe UI Light" w:hAnsi="Segoe UI Light"/>
          <w:i/>
          <w:sz w:val="16"/>
          <w:szCs w:val="24"/>
        </w:rPr>
        <w:t>. gad</w:t>
      </w:r>
      <w:r w:rsidRPr="003B4CDA">
        <w:rPr>
          <w:rFonts w:ascii="Segoe UI Light" w:hAnsi="Segoe UI Light"/>
          <w:i/>
          <w:sz w:val="16"/>
          <w:szCs w:val="24"/>
        </w:rPr>
        <w:t>ā</w:t>
      </w:r>
      <w:r>
        <w:rPr>
          <w:rFonts w:ascii="Segoe UI Light" w:hAnsi="Segoe UI Light"/>
          <w:i/>
          <w:sz w:val="16"/>
          <w:szCs w:val="24"/>
        </w:rPr>
        <w:t>*</w:t>
      </w:r>
      <w:r w:rsidRPr="003B4CDA">
        <w:rPr>
          <w:rFonts w:ascii="Segoe UI Light" w:hAnsi="Segoe UI Light"/>
          <w:i/>
          <w:sz w:val="16"/>
          <w:szCs w:val="24"/>
        </w:rPr>
        <w:t>, procentos</w:t>
      </w:r>
    </w:p>
    <w:p w14:paraId="314107D1" w14:textId="77777777" w:rsidR="00C075DC" w:rsidRPr="0048099C" w:rsidRDefault="00C075DC" w:rsidP="00C075DC">
      <w:pPr>
        <w:spacing w:after="120"/>
        <w:ind w:hanging="110"/>
        <w:rPr>
          <w:rFonts w:ascii="Candara" w:hAnsi="Candara"/>
          <w:sz w:val="14"/>
          <w:szCs w:val="14"/>
        </w:rPr>
      </w:pPr>
      <w:r w:rsidRPr="0048099C">
        <w:rPr>
          <w:rFonts w:ascii="Candara" w:hAnsi="Candara"/>
          <w:noProof/>
          <w:sz w:val="14"/>
          <w:szCs w:val="14"/>
          <w:lang w:val="en-US"/>
        </w:rPr>
        <mc:AlternateContent>
          <mc:Choice Requires="wps">
            <w:drawing>
              <wp:anchor distT="0" distB="0" distL="114300" distR="114300" simplePos="0" relativeHeight="251722967" behindDoc="0" locked="0" layoutInCell="1" allowOverlap="1" wp14:anchorId="26D59BCB" wp14:editId="6BC67D6E">
                <wp:simplePos x="0" y="0"/>
                <wp:positionH relativeFrom="column">
                  <wp:posOffset>1464310</wp:posOffset>
                </wp:positionH>
                <wp:positionV relativeFrom="paragraph">
                  <wp:posOffset>2292350</wp:posOffset>
                </wp:positionV>
                <wp:extent cx="353060" cy="354330"/>
                <wp:effectExtent l="0" t="0" r="8890" b="7620"/>
                <wp:wrapNone/>
                <wp:docPr id="488"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060" cy="354330"/>
                        </a:xfrm>
                        <a:prstGeom prst="rect">
                          <a:avLst/>
                        </a:prstGeom>
                        <a:noFill/>
                        <a:ln w="6350">
                          <a:noFill/>
                        </a:ln>
                      </wps:spPr>
                      <wps:txbx>
                        <w:txbxContent>
                          <w:p w14:paraId="63407FD6"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C31</w:t>
                            </w:r>
                          </w:p>
                          <w:p w14:paraId="3C751BFA"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6D59BCB" id="_x0000_t202" coordsize="21600,21600" o:spt="202" path="m,l,21600r21600,l21600,xe">
                <v:stroke joinstyle="miter"/>
                <v:path gradientshapeok="t" o:connecttype="rect"/>
              </v:shapetype>
              <v:shape id="Text Box 488" o:spid="_x0000_s1026" type="#_x0000_t202" style="position:absolute;margin-left:115.3pt;margin-top:180.5pt;width:27.8pt;height:27.9pt;z-index:251722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" filled="f" stroked="f" strokeweight=".5pt">
                <v:textbox inset="1mm,1mm,1mm,1mm">
                  <w:txbxContent>
                    <w:p w14:paraId="63407FD6"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C31</w:t>
                      </w:r>
                    </w:p>
                    <w:p w14:paraId="3C751BFA"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0,3%</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23991" behindDoc="0" locked="0" layoutInCell="1" allowOverlap="1" wp14:anchorId="38C6D820" wp14:editId="3F5E2482">
                <wp:simplePos x="0" y="0"/>
                <wp:positionH relativeFrom="column">
                  <wp:posOffset>1159510</wp:posOffset>
                </wp:positionH>
                <wp:positionV relativeFrom="paragraph">
                  <wp:posOffset>2292350</wp:posOffset>
                </wp:positionV>
                <wp:extent cx="353060" cy="354330"/>
                <wp:effectExtent l="0" t="0" r="8890" b="7620"/>
                <wp:wrapNone/>
                <wp:docPr id="48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060" cy="354330"/>
                        </a:xfrm>
                        <a:prstGeom prst="rect">
                          <a:avLst/>
                        </a:prstGeom>
                        <a:noFill/>
                        <a:ln w="6350">
                          <a:noFill/>
                        </a:ln>
                      </wps:spPr>
                      <wps:txbx>
                        <w:txbxContent>
                          <w:p w14:paraId="73BF0CB3"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C21</w:t>
                            </w:r>
                          </w:p>
                          <w:p w14:paraId="035728CA"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8C6D820" id="Text Box 487" o:spid="_x0000_s1027" type="#_x0000_t202" style="position:absolute;margin-left:91.3pt;margin-top:180.5pt;width:27.8pt;height:27.9pt;z-index:251723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" filled="f" stroked="f" strokeweight=".5pt">
                <v:textbox inset="1mm,1mm,1mm,1mm">
                  <w:txbxContent>
                    <w:p w14:paraId="73BF0CB3"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C21</w:t>
                      </w:r>
                    </w:p>
                    <w:p w14:paraId="035728CA"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17847" behindDoc="0" locked="0" layoutInCell="1" allowOverlap="1" wp14:anchorId="19AB63C0" wp14:editId="5F1E6C07">
                <wp:simplePos x="0" y="0"/>
                <wp:positionH relativeFrom="column">
                  <wp:posOffset>4004310</wp:posOffset>
                </wp:positionH>
                <wp:positionV relativeFrom="paragraph">
                  <wp:posOffset>4470400</wp:posOffset>
                </wp:positionV>
                <wp:extent cx="488950" cy="549275"/>
                <wp:effectExtent l="0" t="0" r="6350" b="3175"/>
                <wp:wrapNone/>
                <wp:docPr id="45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 cy="549275"/>
                        </a:xfrm>
                        <a:prstGeom prst="rect">
                          <a:avLst/>
                        </a:prstGeom>
                        <a:noFill/>
                        <a:ln w="6350">
                          <a:noFill/>
                        </a:ln>
                      </wps:spPr>
                      <wps:txbx>
                        <w:txbxContent>
                          <w:p w14:paraId="41C4874D"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Apdroši-nāšana</w:t>
                            </w:r>
                          </w:p>
                          <w:p w14:paraId="2B877E79"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9AB63C0" id="Text Box 451" o:spid="_x0000_s1028" type="#_x0000_t202" style="position:absolute;margin-left:315.3pt;margin-top:352pt;width:38.5pt;height:43.25pt;z-index:251717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" filled="f" stroked="f" strokeweight=".5pt">
                <v:textbox inset="1mm,1mm,1mm,1mm">
                  <w:txbxContent>
                    <w:p w14:paraId="41C4874D"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Apdroši-nāšana</w:t>
                      </w:r>
                    </w:p>
                    <w:p w14:paraId="2B877E79"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0,9%</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98391" behindDoc="0" locked="0" layoutInCell="1" allowOverlap="1" wp14:anchorId="2D2339FC" wp14:editId="3B745289">
                <wp:simplePos x="0" y="0"/>
                <wp:positionH relativeFrom="column">
                  <wp:posOffset>1845310</wp:posOffset>
                </wp:positionH>
                <wp:positionV relativeFrom="paragraph">
                  <wp:posOffset>6591300</wp:posOffset>
                </wp:positionV>
                <wp:extent cx="674370" cy="496570"/>
                <wp:effectExtent l="0" t="0" r="0" b="0"/>
                <wp:wrapNone/>
                <wp:docPr id="45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496570"/>
                        </a:xfrm>
                        <a:prstGeom prst="rect">
                          <a:avLst/>
                        </a:prstGeom>
                        <a:noFill/>
                        <a:ln w="6350">
                          <a:noFill/>
                        </a:ln>
                      </wps:spPr>
                      <wps:txbx>
                        <w:txbxContent>
                          <w:p w14:paraId="080BB835"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Mež-saimniecība</w:t>
                            </w:r>
                          </w:p>
                          <w:p w14:paraId="44A69156"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D2339FC" id="Text Box 459" o:spid="_x0000_s1029" type="#_x0000_t202" style="position:absolute;margin-left:145.3pt;margin-top:519pt;width:53.1pt;height:39.1pt;z-index:25169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" filled="f" stroked="f" strokeweight=".5pt">
                <v:textbox inset="1mm,1mm,1mm,1mm">
                  <w:txbxContent>
                    <w:p w14:paraId="080BB835"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Mež-saimniecība</w:t>
                      </w:r>
                    </w:p>
                    <w:p w14:paraId="44A69156"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2,4%</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79959" behindDoc="0" locked="0" layoutInCell="1" allowOverlap="1" wp14:anchorId="788F3160" wp14:editId="28662763">
                <wp:simplePos x="0" y="0"/>
                <wp:positionH relativeFrom="column">
                  <wp:posOffset>5033010</wp:posOffset>
                </wp:positionH>
                <wp:positionV relativeFrom="paragraph">
                  <wp:posOffset>5568950</wp:posOffset>
                </wp:positionV>
                <wp:extent cx="681355" cy="666750"/>
                <wp:effectExtent l="0" t="0" r="4445" b="0"/>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355" cy="666750"/>
                        </a:xfrm>
                        <a:prstGeom prst="rect">
                          <a:avLst/>
                        </a:prstGeom>
                        <a:noFill/>
                        <a:ln w="6350">
                          <a:noFill/>
                        </a:ln>
                      </wps:spPr>
                      <wps:txbx>
                        <w:txbxContent>
                          <w:p w14:paraId="4522600A"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Ūdens apgāde, notekūdeņi, atkritumi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88F3160" id="Text Box 509" o:spid="_x0000_s1030" type="#_x0000_t202" style="position:absolute;margin-left:396.3pt;margin-top:438.5pt;width:53.65pt;height:52.5pt;z-index:2516799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" filled="f" stroked="f" strokeweight=".5pt">
                <v:textbox inset="2mm,1mm,1mm,1mm">
                  <w:txbxContent>
                    <w:p w14:paraId="4522600A"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Ūdens apgāde, notekūdeņi, atkritumi</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15799" behindDoc="0" locked="0" layoutInCell="1" allowOverlap="1" wp14:anchorId="7201D003" wp14:editId="4A95F521">
                <wp:simplePos x="0" y="0"/>
                <wp:positionH relativeFrom="column">
                  <wp:posOffset>5560468</wp:posOffset>
                </wp:positionH>
                <wp:positionV relativeFrom="paragraph">
                  <wp:posOffset>6712950</wp:posOffset>
                </wp:positionV>
                <wp:extent cx="251460" cy="2514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1460"/>
                        </a:xfrm>
                        <a:prstGeom prst="rect">
                          <a:avLst/>
                        </a:prstGeom>
                        <a:noFill/>
                        <a:ln w="6350">
                          <a:noFill/>
                        </a:ln>
                      </wps:spPr>
                      <wps:txbx>
                        <w:txbxContent>
                          <w:p w14:paraId="52CB4AA1"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T</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201D003" id="Text Box 3" o:spid="_x0000_s1031" type="#_x0000_t202" style="position:absolute;margin-left:437.85pt;margin-top:528.6pt;width:19.8pt;height:19.8pt;z-index:251715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" filled="f" stroked="f" strokeweight=".5pt">
                <v:textbox inset="2mm,1mm,1mm,1mm">
                  <w:txbxContent>
                    <w:p w14:paraId="52CB4AA1"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14775" behindDoc="0" locked="0" layoutInCell="1" allowOverlap="1" wp14:anchorId="75E9DE82" wp14:editId="280A142B">
                <wp:simplePos x="0" y="0"/>
                <wp:positionH relativeFrom="column">
                  <wp:posOffset>5034456</wp:posOffset>
                </wp:positionH>
                <wp:positionV relativeFrom="paragraph">
                  <wp:posOffset>6713754</wp:posOffset>
                </wp:positionV>
                <wp:extent cx="577246" cy="330452"/>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46" cy="330452"/>
                        </a:xfrm>
                        <a:prstGeom prst="rect">
                          <a:avLst/>
                        </a:prstGeom>
                        <a:noFill/>
                        <a:ln w="6350">
                          <a:noFill/>
                        </a:ln>
                      </wps:spPr>
                      <wps:txbx>
                        <w:txbxContent>
                          <w:p w14:paraId="5BFAEB03"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Ieguves rūpniecība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5E9DE82" id="Text Box 13" o:spid="_x0000_s1032" type="#_x0000_t202" style="position:absolute;margin-left:396.4pt;margin-top:528.65pt;width:45.45pt;height:26pt;z-index:251714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" filled="f" stroked="f" strokeweight=".5pt">
                <v:textbox inset="2mm,1mm,1mm,1mm">
                  <w:txbxContent>
                    <w:p w14:paraId="5BFAEB03"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Ieguves rūpniecība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78935" behindDoc="0" locked="0" layoutInCell="1" allowOverlap="1" wp14:anchorId="25B481AD" wp14:editId="18DF8B56">
                <wp:simplePos x="0" y="0"/>
                <wp:positionH relativeFrom="column">
                  <wp:posOffset>5033092</wp:posOffset>
                </wp:positionH>
                <wp:positionV relativeFrom="paragraph">
                  <wp:posOffset>6233795</wp:posOffset>
                </wp:positionV>
                <wp:extent cx="719455" cy="359410"/>
                <wp:effectExtent l="0" t="0" r="4445" b="2540"/>
                <wp:wrapNone/>
                <wp:docPr id="508"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359410"/>
                        </a:xfrm>
                        <a:prstGeom prst="rect">
                          <a:avLst/>
                        </a:prstGeom>
                        <a:noFill/>
                        <a:ln w="6350">
                          <a:noFill/>
                        </a:ln>
                      </wps:spPr>
                      <wps:txbx>
                        <w:txbxContent>
                          <w:p w14:paraId="4416BAD7"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Citi pakalpojumi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5B481AD" id="Text Box 508" o:spid="_x0000_s1033" type="#_x0000_t202" style="position:absolute;margin-left:396.3pt;margin-top:490.85pt;width:56.65pt;height:28.3pt;z-index:251678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" filled="f" stroked="f" strokeweight=".5pt">
                <v:textbox inset="2mm,1mm,1mm,1mm">
                  <w:txbxContent>
                    <w:p w14:paraId="4416BAD7"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Citi pakalpojumi</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13751" behindDoc="0" locked="0" layoutInCell="1" allowOverlap="1" wp14:anchorId="52F132A4" wp14:editId="0A309399">
                <wp:simplePos x="0" y="0"/>
                <wp:positionH relativeFrom="column">
                  <wp:posOffset>4761312</wp:posOffset>
                </wp:positionH>
                <wp:positionV relativeFrom="paragraph">
                  <wp:posOffset>6593840</wp:posOffset>
                </wp:positionV>
                <wp:extent cx="303172" cy="384772"/>
                <wp:effectExtent l="0" t="0" r="190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172" cy="384772"/>
                        </a:xfrm>
                        <a:prstGeom prst="rect">
                          <a:avLst/>
                        </a:prstGeom>
                        <a:noFill/>
                        <a:ln w="6350">
                          <a:noFill/>
                        </a:ln>
                      </wps:spPr>
                      <wps:txbx>
                        <w:txbxContent>
                          <w:p w14:paraId="370AA166"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R93</w:t>
                            </w:r>
                          </w:p>
                          <w:p w14:paraId="2DDE90FC"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2F132A4" id="Text Box 16" o:spid="_x0000_s1034" type="#_x0000_t202" style="position:absolute;margin-left:374.9pt;margin-top:519.2pt;width:23.85pt;height:30.3pt;z-index:251713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" filled="f" stroked="f" strokeweight=".5pt">
                <v:textbox inset="1mm,1mm,1mm,1mm">
                  <w:txbxContent>
                    <w:p w14:paraId="370AA166"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R93</w:t>
                      </w:r>
                    </w:p>
                    <w:p w14:paraId="2DDE90FC"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12727" behindDoc="0" locked="0" layoutInCell="1" allowOverlap="1" wp14:anchorId="049B1C24" wp14:editId="4D935676">
                <wp:simplePos x="0" y="0"/>
                <wp:positionH relativeFrom="column">
                  <wp:posOffset>4324903</wp:posOffset>
                </wp:positionH>
                <wp:positionV relativeFrom="paragraph">
                  <wp:posOffset>6620510</wp:posOffset>
                </wp:positionV>
                <wp:extent cx="395605" cy="359410"/>
                <wp:effectExtent l="0" t="0" r="4445"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 cy="359410"/>
                        </a:xfrm>
                        <a:prstGeom prst="rect">
                          <a:avLst/>
                        </a:prstGeom>
                        <a:noFill/>
                        <a:ln w="6350">
                          <a:noFill/>
                        </a:ln>
                      </wps:spPr>
                      <wps:txbx>
                        <w:txbxContent>
                          <w:p w14:paraId="4E6CDF99"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R90</w:t>
                            </w:r>
                          </w:p>
                          <w:p w14:paraId="41CAD86F"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49B1C24" id="Text Box 17" o:spid="_x0000_s1035" type="#_x0000_t202" style="position:absolute;margin-left:340.55pt;margin-top:521.3pt;width:31.15pt;height:28.3pt;z-index:251712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" filled="f" stroked="f" strokeweight=".5pt">
                <v:textbox inset="1mm,1mm,1mm,1mm">
                  <w:txbxContent>
                    <w:p w14:paraId="4E6CDF99"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R90</w:t>
                      </w:r>
                    </w:p>
                    <w:p w14:paraId="41CAD86F"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0,7%</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11703" behindDoc="0" locked="0" layoutInCell="1" allowOverlap="1" wp14:anchorId="2868CE5A" wp14:editId="57C1123C">
                <wp:simplePos x="0" y="0"/>
                <wp:positionH relativeFrom="column">
                  <wp:posOffset>3940093</wp:posOffset>
                </wp:positionH>
                <wp:positionV relativeFrom="paragraph">
                  <wp:posOffset>6730365</wp:posOffset>
                </wp:positionV>
                <wp:extent cx="395605" cy="359410"/>
                <wp:effectExtent l="0" t="0" r="4445"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 cy="359410"/>
                        </a:xfrm>
                        <a:prstGeom prst="rect">
                          <a:avLst/>
                        </a:prstGeom>
                        <a:noFill/>
                        <a:ln w="6350">
                          <a:noFill/>
                        </a:ln>
                      </wps:spPr>
                      <wps:txbx>
                        <w:txbxContent>
                          <w:p w14:paraId="1DDDEABA"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R92</w:t>
                            </w:r>
                          </w:p>
                          <w:p w14:paraId="65829139"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868CE5A" id="Text Box 21" o:spid="_x0000_s1036" type="#_x0000_t202" style="position:absolute;margin-left:310.25pt;margin-top:529.95pt;width:31.15pt;height:28.3pt;z-index:251711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" filled="f" stroked="f" strokeweight=".5pt">
                <v:textbox inset="1mm,1mm,1mm,1mm">
                  <w:txbxContent>
                    <w:p w14:paraId="1DDDEABA"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R92</w:t>
                      </w:r>
                    </w:p>
                    <w:p w14:paraId="65829139"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0,7%</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77911" behindDoc="0" locked="0" layoutInCell="1" allowOverlap="1" wp14:anchorId="24E562D6" wp14:editId="0F0D79D2">
                <wp:simplePos x="0" y="0"/>
                <wp:positionH relativeFrom="column">
                  <wp:posOffset>3934378</wp:posOffset>
                </wp:positionH>
                <wp:positionV relativeFrom="paragraph">
                  <wp:posOffset>6336030</wp:posOffset>
                </wp:positionV>
                <wp:extent cx="791845" cy="359410"/>
                <wp:effectExtent l="0" t="0" r="8255" b="2540"/>
                <wp:wrapNone/>
                <wp:docPr id="507"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845" cy="359410"/>
                        </a:xfrm>
                        <a:prstGeom prst="rect">
                          <a:avLst/>
                        </a:prstGeom>
                        <a:noFill/>
                        <a:ln w="6350">
                          <a:noFill/>
                        </a:ln>
                      </wps:spPr>
                      <wps:txbx>
                        <w:txbxContent>
                          <w:p w14:paraId="5D0A25A0"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Māksla, izklaide, atpūta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4E562D6" id="Text Box 507" o:spid="_x0000_s1037" type="#_x0000_t202" style="position:absolute;margin-left:309.8pt;margin-top:498.9pt;width:62.35pt;height:28.3pt;z-index:251677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" filled="f" stroked="f" strokeweight=".5pt">
                <v:textbox inset="2mm,1mm,1mm,1mm">
                  <w:txbxContent>
                    <w:p w14:paraId="5D0A25A0"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Māksla, izklaide, atpūta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75863" behindDoc="0" locked="0" layoutInCell="1" allowOverlap="1" wp14:anchorId="13072B1C" wp14:editId="150D7F08">
                <wp:simplePos x="0" y="0"/>
                <wp:positionH relativeFrom="column">
                  <wp:posOffset>3934460</wp:posOffset>
                </wp:positionH>
                <wp:positionV relativeFrom="paragraph">
                  <wp:posOffset>5568491</wp:posOffset>
                </wp:positionV>
                <wp:extent cx="1013988" cy="465455"/>
                <wp:effectExtent l="0" t="0" r="0" b="0"/>
                <wp:wrapNone/>
                <wp:docPr id="505"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3988" cy="465455"/>
                        </a:xfrm>
                        <a:prstGeom prst="rect">
                          <a:avLst/>
                        </a:prstGeom>
                        <a:noFill/>
                        <a:ln w="6350">
                          <a:noFill/>
                        </a:ln>
                      </wps:spPr>
                      <wps:txbx>
                        <w:txbxContent>
                          <w:p w14:paraId="695256DF"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Izmitināšanas un ēdināšanas pakalpojumi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3072B1C" id="Text Box 505" o:spid="_x0000_s1038" type="#_x0000_t202" style="position:absolute;margin-left:309.8pt;margin-top:438.45pt;width:79.85pt;height:36.65pt;z-index:251675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" filled="f" stroked="f" strokeweight=".5pt">
                <v:textbox inset="1mm,1mm,1mm,1mm">
                  <w:txbxContent>
                    <w:p w14:paraId="695256DF"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Izmitināšanas un ēdināšanas pakalpojumi</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33207" behindDoc="0" locked="0" layoutInCell="1" allowOverlap="1" wp14:anchorId="41CF0FAD" wp14:editId="3F993B69">
                <wp:simplePos x="0" y="0"/>
                <wp:positionH relativeFrom="column">
                  <wp:posOffset>4761865</wp:posOffset>
                </wp:positionH>
                <wp:positionV relativeFrom="paragraph">
                  <wp:posOffset>6002737</wp:posOffset>
                </wp:positionV>
                <wp:extent cx="362138" cy="330451"/>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138" cy="330451"/>
                        </a:xfrm>
                        <a:prstGeom prst="rect">
                          <a:avLst/>
                        </a:prstGeom>
                        <a:noFill/>
                        <a:ln w="6350">
                          <a:noFill/>
                        </a:ln>
                      </wps:spPr>
                      <wps:txbx>
                        <w:txbxContent>
                          <w:p w14:paraId="16DB8A7F" w14:textId="77777777" w:rsidR="00B83D7D" w:rsidRPr="0080669C" w:rsidRDefault="00B83D7D" w:rsidP="00C075DC">
                            <w:pPr>
                              <w:tabs>
                                <w:tab w:val="left" w:pos="567"/>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I55</w:t>
                            </w:r>
                          </w:p>
                          <w:p w14:paraId="7F5CE9AC" w14:textId="77777777" w:rsidR="00B83D7D" w:rsidRPr="0080669C" w:rsidRDefault="00B83D7D" w:rsidP="00C075DC">
                            <w:pPr>
                              <w:tabs>
                                <w:tab w:val="left" w:pos="567"/>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1CF0FAD" id="Text Box 25" o:spid="_x0000_s1039" type="#_x0000_t202" style="position:absolute;margin-left:374.95pt;margin-top:472.65pt;width:28.5pt;height:26pt;z-index:251733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" filled="f" stroked="f" strokeweight=".5pt">
                <v:textbox inset="1mm,1mm,1mm,1mm">
                  <w:txbxContent>
                    <w:p w14:paraId="16DB8A7F" w14:textId="77777777" w:rsidR="00B83D7D" w:rsidRPr="0080669C" w:rsidRDefault="00B83D7D" w:rsidP="00C075DC">
                      <w:pPr>
                        <w:tabs>
                          <w:tab w:val="left" w:pos="567"/>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I55</w:t>
                      </w:r>
                    </w:p>
                    <w:p w14:paraId="7F5CE9AC" w14:textId="77777777" w:rsidR="00B83D7D" w:rsidRPr="0080669C" w:rsidRDefault="00B83D7D" w:rsidP="00C075DC">
                      <w:pPr>
                        <w:tabs>
                          <w:tab w:val="left" w:pos="567"/>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0,5%</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19895" behindDoc="0" locked="0" layoutInCell="1" allowOverlap="1" wp14:anchorId="748903A2" wp14:editId="475D4B8C">
                <wp:simplePos x="0" y="0"/>
                <wp:positionH relativeFrom="column">
                  <wp:posOffset>3936447</wp:posOffset>
                </wp:positionH>
                <wp:positionV relativeFrom="paragraph">
                  <wp:posOffset>6002655</wp:posOffset>
                </wp:positionV>
                <wp:extent cx="647700" cy="330451"/>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30451"/>
                        </a:xfrm>
                        <a:prstGeom prst="rect">
                          <a:avLst/>
                        </a:prstGeom>
                        <a:noFill/>
                        <a:ln w="6350">
                          <a:noFill/>
                        </a:ln>
                      </wps:spPr>
                      <wps:txbx>
                        <w:txbxContent>
                          <w:p w14:paraId="2A7D6CE3" w14:textId="77777777" w:rsidR="00B83D7D" w:rsidRPr="0080669C" w:rsidRDefault="00B83D7D" w:rsidP="00C075DC">
                            <w:pPr>
                              <w:tabs>
                                <w:tab w:val="left" w:pos="567"/>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Ēdināšana</w:t>
                            </w:r>
                          </w:p>
                          <w:p w14:paraId="28C70E9E" w14:textId="77777777" w:rsidR="00B83D7D" w:rsidRPr="0080669C" w:rsidRDefault="00B83D7D" w:rsidP="00C075DC">
                            <w:pPr>
                              <w:tabs>
                                <w:tab w:val="left" w:pos="567"/>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48903A2" id="Text Box 28" o:spid="_x0000_s1040" type="#_x0000_t202" style="position:absolute;margin-left:309.95pt;margin-top:472.65pt;width:51pt;height:26pt;z-index:251719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" filled="f" stroked="f" strokeweight=".5pt">
                <v:textbox inset="1mm,1mm,1mm,1mm">
                  <w:txbxContent>
                    <w:p w14:paraId="2A7D6CE3" w14:textId="77777777" w:rsidR="00B83D7D" w:rsidRPr="0080669C" w:rsidRDefault="00B83D7D" w:rsidP="00C075DC">
                      <w:pPr>
                        <w:tabs>
                          <w:tab w:val="left" w:pos="567"/>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Ēdināšana</w:t>
                      </w:r>
                    </w:p>
                    <w:p w14:paraId="28C70E9E" w14:textId="77777777" w:rsidR="00B83D7D" w:rsidRPr="0080669C" w:rsidRDefault="00B83D7D" w:rsidP="00C075DC">
                      <w:pPr>
                        <w:tabs>
                          <w:tab w:val="left" w:pos="567"/>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1,6%</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07607" behindDoc="0" locked="0" layoutInCell="1" allowOverlap="1" wp14:anchorId="612810B3" wp14:editId="591590DF">
                <wp:simplePos x="0" y="0"/>
                <wp:positionH relativeFrom="column">
                  <wp:posOffset>3228290</wp:posOffset>
                </wp:positionH>
                <wp:positionV relativeFrom="paragraph">
                  <wp:posOffset>6731861</wp:posOffset>
                </wp:positionV>
                <wp:extent cx="534154" cy="359410"/>
                <wp:effectExtent l="0" t="0" r="0" b="254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154" cy="359410"/>
                        </a:xfrm>
                        <a:prstGeom prst="rect">
                          <a:avLst/>
                        </a:prstGeom>
                        <a:noFill/>
                        <a:ln w="6350">
                          <a:noFill/>
                        </a:ln>
                      </wps:spPr>
                      <wps:txbx>
                        <w:txbxContent>
                          <w:p w14:paraId="7788882E"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2,7%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12810B3" id="Text Box 29" o:spid="_x0000_s1041" type="#_x0000_t202" style="position:absolute;margin-left:254.2pt;margin-top:530.05pt;width:42.05pt;height:28.3pt;z-index:251707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" filled="f" stroked="f" strokeweight=".5pt">
                <v:textbox inset="1mm,1mm,1mm,1mm">
                  <w:txbxContent>
                    <w:p w14:paraId="7788882E"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2,7%</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32183" behindDoc="0" locked="0" layoutInCell="1" allowOverlap="1" wp14:anchorId="2B639FCB" wp14:editId="27F5EDFD">
                <wp:simplePos x="0" y="0"/>
                <wp:positionH relativeFrom="column">
                  <wp:posOffset>5248275</wp:posOffset>
                </wp:positionH>
                <wp:positionV relativeFrom="paragraph">
                  <wp:posOffset>5229143</wp:posOffset>
                </wp:positionV>
                <wp:extent cx="364877" cy="334978"/>
                <wp:effectExtent l="0" t="0" r="0" b="825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877" cy="334978"/>
                        </a:xfrm>
                        <a:prstGeom prst="rect">
                          <a:avLst/>
                        </a:prstGeom>
                        <a:noFill/>
                        <a:ln w="6350">
                          <a:noFill/>
                        </a:ln>
                      </wps:spPr>
                      <wps:txbx>
                        <w:txbxContent>
                          <w:p w14:paraId="4BDD432C" w14:textId="77777777" w:rsidR="00B83D7D" w:rsidRPr="0080669C" w:rsidRDefault="00B83D7D" w:rsidP="00C075DC">
                            <w:pPr>
                              <w:tabs>
                                <w:tab w:val="left" w:pos="1190"/>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N79</w:t>
                            </w:r>
                          </w:p>
                          <w:p w14:paraId="0266CF92" w14:textId="77777777" w:rsidR="00B83D7D" w:rsidRPr="0080669C" w:rsidRDefault="00B83D7D" w:rsidP="00C075DC">
                            <w:pPr>
                              <w:tabs>
                                <w:tab w:val="left" w:pos="1190"/>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B639FCB" id="Text Box 31" o:spid="_x0000_s1042" type="#_x0000_t202" style="position:absolute;margin-left:413.25pt;margin-top:411.75pt;width:28.75pt;height:26.4pt;z-index:251732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" filled="f" stroked="f" strokeweight=".5pt">
                <v:textbox inset="1mm,1mm,1mm,1mm">
                  <w:txbxContent>
                    <w:p w14:paraId="4BDD432C" w14:textId="77777777" w:rsidR="00B83D7D" w:rsidRPr="0080669C" w:rsidRDefault="00B83D7D" w:rsidP="00C075DC">
                      <w:pPr>
                        <w:tabs>
                          <w:tab w:val="left" w:pos="1190"/>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N79</w:t>
                      </w:r>
                    </w:p>
                    <w:p w14:paraId="0266CF92" w14:textId="77777777" w:rsidR="00B83D7D" w:rsidRPr="0080669C" w:rsidRDefault="00B83D7D" w:rsidP="00C075DC">
                      <w:pPr>
                        <w:tabs>
                          <w:tab w:val="left" w:pos="1190"/>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0,5%</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18871" behindDoc="0" locked="0" layoutInCell="1" allowOverlap="1" wp14:anchorId="20B7C214" wp14:editId="449D3176">
                <wp:simplePos x="0" y="0"/>
                <wp:positionH relativeFrom="column">
                  <wp:posOffset>5321300</wp:posOffset>
                </wp:positionH>
                <wp:positionV relativeFrom="paragraph">
                  <wp:posOffset>4854022</wp:posOffset>
                </wp:positionV>
                <wp:extent cx="364877" cy="334978"/>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877" cy="334978"/>
                        </a:xfrm>
                        <a:prstGeom prst="rect">
                          <a:avLst/>
                        </a:prstGeom>
                        <a:noFill/>
                        <a:ln w="6350">
                          <a:noFill/>
                        </a:ln>
                      </wps:spPr>
                      <wps:txbx>
                        <w:txbxContent>
                          <w:p w14:paraId="3D35CCAF" w14:textId="77777777" w:rsidR="00B83D7D" w:rsidRPr="0080669C" w:rsidRDefault="00B83D7D" w:rsidP="00C075DC">
                            <w:pPr>
                              <w:tabs>
                                <w:tab w:val="left" w:pos="1190"/>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N77</w:t>
                            </w:r>
                          </w:p>
                          <w:p w14:paraId="53FA3BB4" w14:textId="77777777" w:rsidR="00B83D7D" w:rsidRPr="0080669C" w:rsidRDefault="00B83D7D" w:rsidP="00C075DC">
                            <w:pPr>
                              <w:tabs>
                                <w:tab w:val="left" w:pos="1190"/>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0B7C214" id="Text Box 61" o:spid="_x0000_s1043" type="#_x0000_t202" style="position:absolute;margin-left:419pt;margin-top:382.2pt;width:28.75pt;height:26.4pt;z-index:251718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" filled="f" stroked="f" strokeweight=".5pt">
                <v:textbox inset="1mm,1mm,1mm,1mm">
                  <w:txbxContent>
                    <w:p w14:paraId="3D35CCAF" w14:textId="77777777" w:rsidR="00B83D7D" w:rsidRPr="0080669C" w:rsidRDefault="00B83D7D" w:rsidP="00C075DC">
                      <w:pPr>
                        <w:tabs>
                          <w:tab w:val="left" w:pos="1190"/>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N77</w:t>
                      </w:r>
                    </w:p>
                    <w:p w14:paraId="53FA3BB4" w14:textId="77777777" w:rsidR="00B83D7D" w:rsidRPr="0080669C" w:rsidRDefault="00B83D7D" w:rsidP="00C075DC">
                      <w:pPr>
                        <w:tabs>
                          <w:tab w:val="left" w:pos="1190"/>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0,9%</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31159" behindDoc="0" locked="0" layoutInCell="1" allowOverlap="1" wp14:anchorId="5D7F5E8C" wp14:editId="7A5B0329">
                <wp:simplePos x="0" y="0"/>
                <wp:positionH relativeFrom="column">
                  <wp:posOffset>4495774</wp:posOffset>
                </wp:positionH>
                <wp:positionV relativeFrom="paragraph">
                  <wp:posOffset>5097711</wp:posOffset>
                </wp:positionV>
                <wp:extent cx="760491" cy="466763"/>
                <wp:effectExtent l="0" t="0" r="1905" b="952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491" cy="466763"/>
                        </a:xfrm>
                        <a:prstGeom prst="rect">
                          <a:avLst/>
                        </a:prstGeom>
                        <a:noFill/>
                        <a:ln w="6350">
                          <a:noFill/>
                        </a:ln>
                      </wps:spPr>
                      <wps:txbx>
                        <w:txbxContent>
                          <w:p w14:paraId="41D148F9"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Darbaspēka meklēšana 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D7F5E8C" id="Text Box 63" o:spid="_x0000_s1044" type="#_x0000_t202" style="position:absolute;margin-left:354pt;margin-top:401.4pt;width:59.9pt;height:36.75pt;z-index:251731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" filled="f" stroked="f" strokeweight=".5pt">
                <v:textbox inset="1mm,1mm,1mm,1mm">
                  <w:txbxContent>
                    <w:p w14:paraId="41D148F9"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Darbaspēka meklēšana 0,7%</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30135" behindDoc="0" locked="0" layoutInCell="1" allowOverlap="1" wp14:anchorId="10954817" wp14:editId="49FB4823">
                <wp:simplePos x="0" y="0"/>
                <wp:positionH relativeFrom="column">
                  <wp:posOffset>4495775</wp:posOffset>
                </wp:positionH>
                <wp:positionV relativeFrom="paragraph">
                  <wp:posOffset>4721992</wp:posOffset>
                </wp:positionV>
                <wp:extent cx="733035" cy="468033"/>
                <wp:effectExtent l="0" t="0" r="0" b="8255"/>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035" cy="468033"/>
                        </a:xfrm>
                        <a:prstGeom prst="rect">
                          <a:avLst/>
                        </a:prstGeom>
                        <a:noFill/>
                        <a:ln w="6350">
                          <a:noFill/>
                        </a:ln>
                      </wps:spPr>
                      <wps:txbx>
                        <w:txbxContent>
                          <w:p w14:paraId="14E95778"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Apsardzes pakalpojumi</w:t>
                            </w:r>
                          </w:p>
                          <w:p w14:paraId="56CD565B"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0954817" id="Text Box 448" o:spid="_x0000_s1045" type="#_x0000_t202" style="position:absolute;margin-left:354pt;margin-top:371.8pt;width:57.7pt;height:36.85pt;z-index:251730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" filled="f" stroked="f" strokeweight=".5pt">
                <v:textbox inset="1mm,1mm,1mm,1mm">
                  <w:txbxContent>
                    <w:p w14:paraId="14E95778"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Apsardzes pakalpojumi</w:t>
                      </w:r>
                    </w:p>
                    <w:p w14:paraId="56CD565B"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1,8%</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06583" behindDoc="0" locked="0" layoutInCell="1" allowOverlap="1" wp14:anchorId="480B3FE1" wp14:editId="729E7A6B">
                <wp:simplePos x="0" y="0"/>
                <wp:positionH relativeFrom="column">
                  <wp:posOffset>1849038</wp:posOffset>
                </wp:positionH>
                <wp:positionV relativeFrom="paragraph">
                  <wp:posOffset>5353685</wp:posOffset>
                </wp:positionV>
                <wp:extent cx="863600" cy="359410"/>
                <wp:effectExtent l="0" t="0" r="0" b="2540"/>
                <wp:wrapNone/>
                <wp:docPr id="44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359410"/>
                        </a:xfrm>
                        <a:prstGeom prst="rect">
                          <a:avLst/>
                        </a:prstGeom>
                        <a:noFill/>
                        <a:ln w="6350">
                          <a:noFill/>
                        </a:ln>
                      </wps:spPr>
                      <wps:txbx>
                        <w:txbxContent>
                          <w:p w14:paraId="1E76D101"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4,8%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80B3FE1" id="Text Box 449" o:spid="_x0000_s1046" type="#_x0000_t202" style="position:absolute;margin-left:145.6pt;margin-top:421.55pt;width:68pt;height:28.3pt;z-index:251706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" filled="f" stroked="f" strokeweight=".5pt">
                <v:textbox inset="1mm,1mm,1mm,1mm">
                  <w:txbxContent>
                    <w:p w14:paraId="1E76D101"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4,8%</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70743" behindDoc="0" locked="0" layoutInCell="1" allowOverlap="1" wp14:anchorId="44CB595A" wp14:editId="482F9C8C">
                <wp:simplePos x="0" y="0"/>
                <wp:positionH relativeFrom="column">
                  <wp:posOffset>1849755</wp:posOffset>
                </wp:positionH>
                <wp:positionV relativeFrom="paragraph">
                  <wp:posOffset>4328078</wp:posOffset>
                </wp:positionV>
                <wp:extent cx="1225550" cy="251460"/>
                <wp:effectExtent l="0" t="0" r="0" b="0"/>
                <wp:wrapNone/>
                <wp:docPr id="50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1460"/>
                        </a:xfrm>
                        <a:prstGeom prst="rect">
                          <a:avLst/>
                        </a:prstGeom>
                        <a:noFill/>
                        <a:ln w="6350">
                          <a:noFill/>
                        </a:ln>
                      </wps:spPr>
                      <wps:txbx>
                        <w:txbxContent>
                          <w:p w14:paraId="4F3CD513"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Izglītība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4CB595A" id="Text Box 500" o:spid="_x0000_s1047" type="#_x0000_t202" style="position:absolute;margin-left:145.65pt;margin-top:340.8pt;width:96.5pt;height:19.8pt;z-index:251670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" filled="f" stroked="f" strokeweight=".5pt">
                <v:textbox inset="2mm,1mm,1mm,1mm">
                  <w:txbxContent>
                    <w:p w14:paraId="4F3CD513"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Izglītība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73815" behindDoc="0" locked="0" layoutInCell="1" allowOverlap="1" wp14:anchorId="6595924E" wp14:editId="361AA64F">
                <wp:simplePos x="0" y="0"/>
                <wp:positionH relativeFrom="column">
                  <wp:posOffset>3223763</wp:posOffset>
                </wp:positionH>
                <wp:positionV relativeFrom="paragraph">
                  <wp:posOffset>5568491</wp:posOffset>
                </wp:positionV>
                <wp:extent cx="683537" cy="251460"/>
                <wp:effectExtent l="0" t="0" r="2540" b="0"/>
                <wp:wrapNone/>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537" cy="251460"/>
                        </a:xfrm>
                        <a:prstGeom prst="rect">
                          <a:avLst/>
                        </a:prstGeom>
                        <a:noFill/>
                        <a:ln w="6350">
                          <a:noFill/>
                        </a:ln>
                      </wps:spPr>
                      <wps:txbx>
                        <w:txbxContent>
                          <w:p w14:paraId="6BC71F34"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Enerģētika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595924E" id="Text Box 503" o:spid="_x0000_s1048" type="#_x0000_t202" style="position:absolute;margin-left:253.85pt;margin-top:438.45pt;width:53.8pt;height:19.8pt;z-index:251673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" filled="f" stroked="f" strokeweight=".5pt">
                <v:textbox inset="2mm,1mm,1mm,1mm">
                  <w:txbxContent>
                    <w:p w14:paraId="6BC71F34"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Enerģētika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76887" behindDoc="0" locked="0" layoutInCell="1" allowOverlap="1" wp14:anchorId="376AF4B9" wp14:editId="1D3B36C0">
                <wp:simplePos x="0" y="0"/>
                <wp:positionH relativeFrom="column">
                  <wp:posOffset>4493977</wp:posOffset>
                </wp:positionH>
                <wp:positionV relativeFrom="paragraph">
                  <wp:posOffset>4326255</wp:posOffset>
                </wp:positionV>
                <wp:extent cx="1079500" cy="359410"/>
                <wp:effectExtent l="0" t="0" r="6350" b="2540"/>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59410"/>
                        </a:xfrm>
                        <a:prstGeom prst="rect">
                          <a:avLst/>
                        </a:prstGeom>
                        <a:noFill/>
                        <a:ln w="6350">
                          <a:noFill/>
                        </a:ln>
                      </wps:spPr>
                      <wps:txbx>
                        <w:txbxContent>
                          <w:p w14:paraId="5104FDE8"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Administratīvie un apkalpojošie dienesti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76AF4B9" id="Text Box 506" o:spid="_x0000_s1049" type="#_x0000_t202" style="position:absolute;margin-left:353.85pt;margin-top:340.65pt;width:85pt;height:28.3pt;z-index:251676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" filled="f" stroked="f" strokeweight=".5pt">
                <v:textbox inset="2mm,1mm,1mm,1mm">
                  <w:txbxContent>
                    <w:p w14:paraId="5104FDE8"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Administratīvie un apkalpojošie dienesti</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10679" behindDoc="0" locked="0" layoutInCell="1" allowOverlap="1" wp14:anchorId="03B0198D" wp14:editId="15D0F9BC">
                <wp:simplePos x="0" y="0"/>
                <wp:positionH relativeFrom="column">
                  <wp:posOffset>4001770</wp:posOffset>
                </wp:positionH>
                <wp:positionV relativeFrom="paragraph">
                  <wp:posOffset>5168347</wp:posOffset>
                </wp:positionV>
                <wp:extent cx="452283" cy="395605"/>
                <wp:effectExtent l="0" t="0" r="5080" b="4445"/>
                <wp:wrapNone/>
                <wp:docPr id="4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283" cy="395605"/>
                        </a:xfrm>
                        <a:prstGeom prst="rect">
                          <a:avLst/>
                        </a:prstGeom>
                        <a:noFill/>
                        <a:ln w="6350">
                          <a:noFill/>
                        </a:ln>
                      </wps:spPr>
                      <wps:txbx>
                        <w:txbxContent>
                          <w:p w14:paraId="478D9C66"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K66</w:t>
                            </w:r>
                          </w:p>
                          <w:p w14:paraId="1EB5DD35"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3B0198D" id="Text Box 450" o:spid="_x0000_s1050" type="#_x0000_t202" style="position:absolute;margin-left:315.1pt;margin-top:406.95pt;width:35.6pt;height:31.15pt;z-index:251710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" filled="f" stroked="f" strokeweight=".5pt">
                <v:textbox inset="1mm,1mm,1mm,1mm">
                  <w:txbxContent>
                    <w:p w14:paraId="478D9C66"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K66</w:t>
                      </w:r>
                    </w:p>
                    <w:p w14:paraId="1EB5DD35"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0,7%</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16823" behindDoc="0" locked="0" layoutInCell="1" allowOverlap="1" wp14:anchorId="0D096E07" wp14:editId="3DCEB605">
                <wp:simplePos x="0" y="0"/>
                <wp:positionH relativeFrom="column">
                  <wp:posOffset>3228893</wp:posOffset>
                </wp:positionH>
                <wp:positionV relativeFrom="paragraph">
                  <wp:posOffset>5097780</wp:posOffset>
                </wp:positionV>
                <wp:extent cx="719455" cy="467995"/>
                <wp:effectExtent l="0" t="0" r="4445" b="8255"/>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467995"/>
                        </a:xfrm>
                        <a:prstGeom prst="rect">
                          <a:avLst/>
                        </a:prstGeom>
                        <a:noFill/>
                        <a:ln w="6350">
                          <a:noFill/>
                        </a:ln>
                      </wps:spPr>
                      <wps:txbx>
                        <w:txbxContent>
                          <w:p w14:paraId="41F4002A"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Finanšu pakalpojumi</w:t>
                            </w:r>
                          </w:p>
                          <w:p w14:paraId="48B710CB"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D096E07" id="Text Box 452" o:spid="_x0000_s1051" type="#_x0000_t202" style="position:absolute;margin-left:254.25pt;margin-top:401.4pt;width:56.65pt;height:36.85pt;z-index:251716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" filled="f" stroked="f" strokeweight=".5pt">
                <v:textbox inset="1mm,1mm,1mm,1mm">
                  <w:txbxContent>
                    <w:p w14:paraId="41F4002A"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Finanšu pakalpojumi</w:t>
                      </w:r>
                    </w:p>
                    <w:p w14:paraId="48B710CB"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2,4%</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74839" behindDoc="0" locked="0" layoutInCell="1" allowOverlap="1" wp14:anchorId="3E29AF7D" wp14:editId="603E27CC">
                <wp:simplePos x="0" y="0"/>
                <wp:positionH relativeFrom="column">
                  <wp:posOffset>3232816</wp:posOffset>
                </wp:positionH>
                <wp:positionV relativeFrom="paragraph">
                  <wp:posOffset>4328166</wp:posOffset>
                </wp:positionV>
                <wp:extent cx="1034906" cy="467995"/>
                <wp:effectExtent l="0" t="0" r="0" b="8255"/>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4906" cy="467995"/>
                        </a:xfrm>
                        <a:prstGeom prst="rect">
                          <a:avLst/>
                        </a:prstGeom>
                        <a:noFill/>
                        <a:ln w="6350">
                          <a:noFill/>
                        </a:ln>
                      </wps:spPr>
                      <wps:txbx>
                        <w:txbxContent>
                          <w:p w14:paraId="320C04CD"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Finanšu un apdrošināšanas darbības</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E29AF7D" id="Text Box 504" o:spid="_x0000_s1052" type="#_x0000_t202" style="position:absolute;margin-left:254.55pt;margin-top:340.8pt;width:81.5pt;height:36.85pt;z-index:251674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" filled="f" stroked="f" strokeweight=".5pt">
                <v:textbox inset="2mm,1mm,1mm,1mm">
                  <w:txbxContent>
                    <w:p w14:paraId="320C04CD"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Finanšu un apdrošināšanas darbības</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02487" behindDoc="0" locked="0" layoutInCell="1" allowOverlap="1" wp14:anchorId="4B89B1B3" wp14:editId="7C72EBC7">
                <wp:simplePos x="0" y="0"/>
                <wp:positionH relativeFrom="column">
                  <wp:posOffset>4511040</wp:posOffset>
                </wp:positionH>
                <wp:positionV relativeFrom="paragraph">
                  <wp:posOffset>3965493</wp:posOffset>
                </wp:positionV>
                <wp:extent cx="1223645" cy="359410"/>
                <wp:effectExtent l="0" t="0" r="0" b="2540"/>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3645" cy="359410"/>
                        </a:xfrm>
                        <a:prstGeom prst="rect">
                          <a:avLst/>
                        </a:prstGeom>
                        <a:noFill/>
                        <a:ln w="6350">
                          <a:noFill/>
                        </a:ln>
                      </wps:spPr>
                      <wps:txbx>
                        <w:txbxContent>
                          <w:p w14:paraId="12210A23" w14:textId="77777777" w:rsidR="00B83D7D" w:rsidRPr="0080669C" w:rsidRDefault="00B83D7D" w:rsidP="00C075DC">
                            <w:pPr>
                              <w:tabs>
                                <w:tab w:val="left" w:pos="851"/>
                                <w:tab w:val="left" w:pos="1418"/>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M71</w:t>
                            </w:r>
                            <w:r w:rsidRPr="0080669C">
                              <w:rPr>
                                <w:rFonts w:ascii="Segoe UI Light" w:hAnsi="Segoe UI Light" w:cs="Segoe UI Light"/>
                                <w:color w:val="FFFFFF" w:themeColor="background1"/>
                                <w:sz w:val="16"/>
                                <w:szCs w:val="16"/>
                              </w:rPr>
                              <w:tab/>
                              <w:t>M74</w:t>
                            </w:r>
                            <w:r w:rsidRPr="0080669C">
                              <w:rPr>
                                <w:rFonts w:ascii="Segoe UI Light" w:hAnsi="Segoe UI Light" w:cs="Segoe UI Light"/>
                                <w:color w:val="FFFFFF" w:themeColor="background1"/>
                                <w:sz w:val="16"/>
                                <w:szCs w:val="16"/>
                              </w:rPr>
                              <w:tab/>
                              <w:t>M72</w:t>
                            </w:r>
                          </w:p>
                          <w:p w14:paraId="188E9624" w14:textId="77777777" w:rsidR="00B83D7D" w:rsidRPr="0080669C" w:rsidRDefault="00B83D7D" w:rsidP="00C075DC">
                            <w:pPr>
                              <w:tabs>
                                <w:tab w:val="left" w:pos="851"/>
                                <w:tab w:val="left" w:pos="1418"/>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0,9%</w:t>
                            </w:r>
                            <w:r w:rsidRPr="0080669C">
                              <w:rPr>
                                <w:rFonts w:ascii="Segoe UI Light" w:hAnsi="Segoe UI Light" w:cs="Segoe UI Light"/>
                                <w:color w:val="FFFFFF" w:themeColor="background1"/>
                                <w:sz w:val="16"/>
                                <w:szCs w:val="16"/>
                              </w:rPr>
                              <w:tab/>
                              <w:t>0,6%</w:t>
                            </w:r>
                            <w:r w:rsidRPr="0080669C">
                              <w:rPr>
                                <w:rFonts w:ascii="Segoe UI Light" w:hAnsi="Segoe UI Light" w:cs="Segoe UI Light"/>
                                <w:color w:val="FFFFFF" w:themeColor="background1"/>
                                <w:sz w:val="16"/>
                                <w:szCs w:val="16"/>
                              </w:rPr>
                              <w:tab/>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B89B1B3" id="Text Box 453" o:spid="_x0000_s1053" type="#_x0000_t202" style="position:absolute;margin-left:355.2pt;margin-top:312.25pt;width:96.35pt;height:28.3pt;z-index:251702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" filled="f" stroked="f" strokeweight=".5pt">
                <v:textbox inset="1mm,1mm,1mm,1mm">
                  <w:txbxContent>
                    <w:p w14:paraId="12210A23" w14:textId="77777777" w:rsidR="00B83D7D" w:rsidRPr="0080669C" w:rsidRDefault="00B83D7D" w:rsidP="00C075DC">
                      <w:pPr>
                        <w:tabs>
                          <w:tab w:val="left" w:pos="851"/>
                          <w:tab w:val="left" w:pos="1418"/>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M71</w:t>
                      </w:r>
                      <w:r w:rsidRPr="0080669C">
                        <w:rPr>
                          <w:rFonts w:ascii="Segoe UI Light" w:hAnsi="Segoe UI Light" w:cs="Segoe UI Light"/>
                          <w:color w:val="FFFFFF" w:themeColor="background1"/>
                          <w:sz w:val="16"/>
                          <w:szCs w:val="16"/>
                        </w:rPr>
                        <w:tab/>
                        <w:t>M74</w:t>
                      </w:r>
                      <w:r w:rsidRPr="0080669C">
                        <w:rPr>
                          <w:rFonts w:ascii="Segoe UI Light" w:hAnsi="Segoe UI Light" w:cs="Segoe UI Light"/>
                          <w:color w:val="FFFFFF" w:themeColor="background1"/>
                          <w:sz w:val="16"/>
                          <w:szCs w:val="16"/>
                        </w:rPr>
                        <w:tab/>
                        <w:t>M72</w:t>
                      </w:r>
                    </w:p>
                    <w:p w14:paraId="188E9624" w14:textId="77777777" w:rsidR="00B83D7D" w:rsidRPr="0080669C" w:rsidRDefault="00B83D7D" w:rsidP="00C075DC">
                      <w:pPr>
                        <w:tabs>
                          <w:tab w:val="left" w:pos="851"/>
                          <w:tab w:val="left" w:pos="1418"/>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0,9%</w:t>
                      </w:r>
                      <w:r w:rsidRPr="0080669C">
                        <w:rPr>
                          <w:rFonts w:ascii="Segoe UI Light" w:hAnsi="Segoe UI Light" w:cs="Segoe UI Light"/>
                          <w:color w:val="FFFFFF" w:themeColor="background1"/>
                          <w:sz w:val="16"/>
                          <w:szCs w:val="16"/>
                        </w:rPr>
                        <w:tab/>
                        <w:t>0,6%</w:t>
                      </w:r>
                      <w:r w:rsidRPr="0080669C">
                        <w:rPr>
                          <w:rFonts w:ascii="Segoe UI Light" w:hAnsi="Segoe UI Light" w:cs="Segoe UI Light"/>
                          <w:color w:val="FFFFFF" w:themeColor="background1"/>
                          <w:sz w:val="16"/>
                          <w:szCs w:val="16"/>
                        </w:rPr>
                        <w:tab/>
                        <w:t>0,5%</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01463" behindDoc="0" locked="0" layoutInCell="1" allowOverlap="1" wp14:anchorId="5FCC23A2" wp14:editId="357FDEE2">
                <wp:simplePos x="0" y="0"/>
                <wp:positionH relativeFrom="column">
                  <wp:posOffset>5365115</wp:posOffset>
                </wp:positionH>
                <wp:positionV relativeFrom="paragraph">
                  <wp:posOffset>3331763</wp:posOffset>
                </wp:positionV>
                <wp:extent cx="359410" cy="359410"/>
                <wp:effectExtent l="0" t="0" r="2540" b="2540"/>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359410"/>
                        </a:xfrm>
                        <a:prstGeom prst="rect">
                          <a:avLst/>
                        </a:prstGeom>
                        <a:noFill/>
                        <a:ln w="6350">
                          <a:noFill/>
                        </a:ln>
                      </wps:spPr>
                      <wps:txbx>
                        <w:txbxContent>
                          <w:p w14:paraId="3122AA1D"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M73</w:t>
                            </w:r>
                          </w:p>
                          <w:p w14:paraId="19E4D582"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FCC23A2" id="Text Box 454" o:spid="_x0000_s1054" type="#_x0000_t202" style="position:absolute;margin-left:422.45pt;margin-top:262.35pt;width:28.3pt;height:28.3pt;z-index:251701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" filled="f" stroked="f" strokeweight=".5pt">
                <v:textbox inset="1mm,1mm,1mm,1mm">
                  <w:txbxContent>
                    <w:p w14:paraId="3122AA1D"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M73</w:t>
                      </w:r>
                    </w:p>
                    <w:p w14:paraId="19E4D582"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0,9%</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00439" behindDoc="0" locked="0" layoutInCell="1" allowOverlap="1" wp14:anchorId="05966690" wp14:editId="75E94959">
                <wp:simplePos x="0" y="0"/>
                <wp:positionH relativeFrom="column">
                  <wp:posOffset>4510405</wp:posOffset>
                </wp:positionH>
                <wp:positionV relativeFrom="paragraph">
                  <wp:posOffset>3115863</wp:posOffset>
                </wp:positionV>
                <wp:extent cx="719455" cy="575945"/>
                <wp:effectExtent l="0" t="0" r="4445"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575945"/>
                        </a:xfrm>
                        <a:prstGeom prst="rect">
                          <a:avLst/>
                        </a:prstGeom>
                        <a:noFill/>
                        <a:ln w="6350">
                          <a:noFill/>
                        </a:ln>
                      </wps:spPr>
                      <wps:txbx>
                        <w:txbxContent>
                          <w:p w14:paraId="7ADF8DD3"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Juridiskie, grāmatvedības pakalpojumi</w:t>
                            </w:r>
                          </w:p>
                          <w:p w14:paraId="6D50E14B"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5966690" id="Text Box 455" o:spid="_x0000_s1055" type="#_x0000_t202" style="position:absolute;margin-left:355.15pt;margin-top:245.35pt;width:56.65pt;height:45.35pt;z-index:251700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" filled="f" stroked="f" strokeweight=".5pt">
                <v:textbox inset="1mm,1mm,1mm,1mm">
                  <w:txbxContent>
                    <w:p w14:paraId="7ADF8DD3"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Juridiskie, grāmatvedības pakalpojumi</w:t>
                      </w:r>
                    </w:p>
                    <w:p w14:paraId="6D50E14B"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2,2%</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05559" behindDoc="0" locked="0" layoutInCell="1" allowOverlap="1" wp14:anchorId="11AFCD87" wp14:editId="206C60A1">
                <wp:simplePos x="0" y="0"/>
                <wp:positionH relativeFrom="column">
                  <wp:posOffset>1846580</wp:posOffset>
                </wp:positionH>
                <wp:positionV relativeFrom="paragraph">
                  <wp:posOffset>3857707</wp:posOffset>
                </wp:positionV>
                <wp:extent cx="935990" cy="467995"/>
                <wp:effectExtent l="0" t="0" r="0" b="8255"/>
                <wp:wrapNone/>
                <wp:docPr id="4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467995"/>
                        </a:xfrm>
                        <a:prstGeom prst="rect">
                          <a:avLst/>
                        </a:prstGeom>
                        <a:noFill/>
                        <a:ln w="6350">
                          <a:noFill/>
                        </a:ln>
                      </wps:spPr>
                      <wps:txbx>
                        <w:txbxContent>
                          <w:p w14:paraId="52DFEE02"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Inženierbūvniecība</w:t>
                            </w:r>
                          </w:p>
                          <w:p w14:paraId="73BAB4FD"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1AFCD87" id="Text Box 456" o:spid="_x0000_s1056" type="#_x0000_t202" style="position:absolute;margin-left:145.4pt;margin-top:303.75pt;width:73.7pt;height:36.85pt;z-index:251705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" filled="f" stroked="f" strokeweight=".5pt">
                <v:textbox inset="1mm,1mm,1mm,1mm">
                  <w:txbxContent>
                    <w:p w14:paraId="52DFEE02"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Inženierbūvniecība</w:t>
                      </w:r>
                    </w:p>
                    <w:p w14:paraId="73BAB4FD"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1,7%</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04535" behindDoc="0" locked="0" layoutInCell="1" allowOverlap="1" wp14:anchorId="78C3B6E2" wp14:editId="074BF75D">
                <wp:simplePos x="0" y="0"/>
                <wp:positionH relativeFrom="column">
                  <wp:posOffset>2611837</wp:posOffset>
                </wp:positionH>
                <wp:positionV relativeFrom="paragraph">
                  <wp:posOffset>3363595</wp:posOffset>
                </wp:positionV>
                <wp:extent cx="628021" cy="467995"/>
                <wp:effectExtent l="0" t="0" r="635" b="8255"/>
                <wp:wrapNone/>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21" cy="467995"/>
                        </a:xfrm>
                        <a:prstGeom prst="rect">
                          <a:avLst/>
                        </a:prstGeom>
                        <a:noFill/>
                        <a:ln w="6350">
                          <a:noFill/>
                        </a:ln>
                      </wps:spPr>
                      <wps:txbx>
                        <w:txbxContent>
                          <w:p w14:paraId="5CBE4E3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Specializētie būvdarbi</w:t>
                            </w:r>
                          </w:p>
                          <w:p w14:paraId="0BCA6015"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8C3B6E2" id="Text Box 457" o:spid="_x0000_s1057" type="#_x0000_t202" style="position:absolute;margin-left:205.65pt;margin-top:264.85pt;width:49.45pt;height:36.85pt;z-index:251704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" filled="f" stroked="f" strokeweight=".5pt">
                <v:textbox inset="1mm,1mm,1mm,1mm">
                  <w:txbxContent>
                    <w:p w14:paraId="5CBE4E3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Specializētie būvdarbi</w:t>
                      </w:r>
                    </w:p>
                    <w:p w14:paraId="0BCA6015"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1,9%</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03511" behindDoc="0" locked="0" layoutInCell="1" allowOverlap="1" wp14:anchorId="085D569F" wp14:editId="7FD0CF33">
                <wp:simplePos x="0" y="0"/>
                <wp:positionH relativeFrom="column">
                  <wp:posOffset>1847850</wp:posOffset>
                </wp:positionH>
                <wp:positionV relativeFrom="paragraph">
                  <wp:posOffset>3366217</wp:posOffset>
                </wp:positionV>
                <wp:extent cx="575945" cy="467995"/>
                <wp:effectExtent l="0" t="0" r="0" b="8255"/>
                <wp:wrapNone/>
                <wp:docPr id="458"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467995"/>
                        </a:xfrm>
                        <a:prstGeom prst="rect">
                          <a:avLst/>
                        </a:prstGeom>
                        <a:noFill/>
                        <a:ln w="6350">
                          <a:noFill/>
                        </a:ln>
                      </wps:spPr>
                      <wps:txbx>
                        <w:txbxContent>
                          <w:p w14:paraId="6DD4B488"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Ēku būvniecība</w:t>
                            </w:r>
                          </w:p>
                          <w:p w14:paraId="141EBA5F"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85D569F" id="Text Box 458" o:spid="_x0000_s1058" type="#_x0000_t202" style="position:absolute;margin-left:145.5pt;margin-top:265.05pt;width:45.35pt;height:36.85pt;z-index:251703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" filled="f" stroked="f" strokeweight=".5pt">
                <v:textbox inset="1mm,1mm,1mm,1mm">
                  <w:txbxContent>
                    <w:p w14:paraId="6DD4B488"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Ēku būvniecība</w:t>
                      </w:r>
                    </w:p>
                    <w:p w14:paraId="141EBA5F"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2,3%</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68695" behindDoc="0" locked="0" layoutInCell="1" allowOverlap="1" wp14:anchorId="08A9D5A3" wp14:editId="7675764C">
                <wp:simplePos x="0" y="0"/>
                <wp:positionH relativeFrom="column">
                  <wp:posOffset>4509355</wp:posOffset>
                </wp:positionH>
                <wp:positionV relativeFrom="paragraph">
                  <wp:posOffset>2653275</wp:posOffset>
                </wp:positionV>
                <wp:extent cx="1175162" cy="466254"/>
                <wp:effectExtent l="0" t="0" r="6350" b="0"/>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5162" cy="466254"/>
                        </a:xfrm>
                        <a:prstGeom prst="rect">
                          <a:avLst/>
                        </a:prstGeom>
                        <a:noFill/>
                        <a:ln w="6350">
                          <a:noFill/>
                        </a:ln>
                      </wps:spPr>
                      <wps:txbx>
                        <w:txbxContent>
                          <w:p w14:paraId="79E096D0"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Profesionālie, zinātniskie un tehniskie pakalpojumi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8A9D5A3" id="Text Box 493" o:spid="_x0000_s1059" type="#_x0000_t202" style="position:absolute;margin-left:355.05pt;margin-top:208.9pt;width:92.55pt;height:36.7pt;z-index:251668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" filled="f" stroked="f" strokeweight=".5pt">
                <v:textbox inset="2mm,1mm,1mm,1mm">
                  <w:txbxContent>
                    <w:p w14:paraId="79E096D0"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Profesionālie, zinātniskie un tehniskie pakalpojumi</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69719" behindDoc="0" locked="0" layoutInCell="1" allowOverlap="1" wp14:anchorId="134848A2" wp14:editId="57172E9D">
                <wp:simplePos x="0" y="0"/>
                <wp:positionH relativeFrom="column">
                  <wp:posOffset>1850308</wp:posOffset>
                </wp:positionH>
                <wp:positionV relativeFrom="paragraph">
                  <wp:posOffset>2655570</wp:posOffset>
                </wp:positionV>
                <wp:extent cx="1225550" cy="251460"/>
                <wp:effectExtent l="0" t="0" r="0" b="0"/>
                <wp:wrapNone/>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1460"/>
                        </a:xfrm>
                        <a:prstGeom prst="rect">
                          <a:avLst/>
                        </a:prstGeom>
                        <a:noFill/>
                        <a:ln w="6350">
                          <a:noFill/>
                        </a:ln>
                      </wps:spPr>
                      <wps:txbx>
                        <w:txbxContent>
                          <w:p w14:paraId="3806B4A1"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Būvniecība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34848A2" id="Text Box 494" o:spid="_x0000_s1060" type="#_x0000_t202" style="position:absolute;margin-left:145.7pt;margin-top:209.1pt;width:96.5pt;height:19.8pt;z-index:251669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" filled="f" stroked="f" strokeweight=".5pt">
                <v:textbox inset="2mm,1mm,1mm,1mm">
                  <w:txbxContent>
                    <w:p w14:paraId="3806B4A1"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Būvniecība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97367" behindDoc="0" locked="0" layoutInCell="1" allowOverlap="1" wp14:anchorId="2F642CFB" wp14:editId="311E5AE6">
                <wp:simplePos x="0" y="0"/>
                <wp:positionH relativeFrom="column">
                  <wp:posOffset>2531173</wp:posOffset>
                </wp:positionH>
                <wp:positionV relativeFrom="paragraph">
                  <wp:posOffset>6502796</wp:posOffset>
                </wp:positionV>
                <wp:extent cx="665430" cy="461727"/>
                <wp:effectExtent l="0" t="0" r="1905"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430" cy="461727"/>
                        </a:xfrm>
                        <a:prstGeom prst="rect">
                          <a:avLst/>
                        </a:prstGeom>
                        <a:noFill/>
                        <a:ln w="6350">
                          <a:noFill/>
                        </a:ln>
                      </wps:spPr>
                      <wps:txbx>
                        <w:txbxContent>
                          <w:p w14:paraId="744C631F"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Augkopība, lopkopība</w:t>
                            </w:r>
                          </w:p>
                          <w:p w14:paraId="318385E9"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F642CFB" id="Text Box 84" o:spid="_x0000_s1061" type="#_x0000_t202" style="position:absolute;margin-left:199.3pt;margin-top:512.05pt;width:52.4pt;height:36.35pt;z-index:251697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" filled="f" stroked="f" strokeweight=".5pt">
                <v:textbox inset="1mm,1mm,1mm,1mm">
                  <w:txbxContent>
                    <w:p w14:paraId="744C631F"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Augkopība, lopkopība</w:t>
                      </w:r>
                    </w:p>
                    <w:p w14:paraId="318385E9"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2,2%</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67671" behindDoc="0" locked="0" layoutInCell="1" allowOverlap="1" wp14:anchorId="7491E87E" wp14:editId="1C9119CB">
                <wp:simplePos x="0" y="0"/>
                <wp:positionH relativeFrom="column">
                  <wp:posOffset>1847215</wp:posOffset>
                </wp:positionH>
                <wp:positionV relativeFrom="paragraph">
                  <wp:posOffset>5716823</wp:posOffset>
                </wp:positionV>
                <wp:extent cx="1079500" cy="467995"/>
                <wp:effectExtent l="0" t="0" r="6350" b="8255"/>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467995"/>
                        </a:xfrm>
                        <a:prstGeom prst="rect">
                          <a:avLst/>
                        </a:prstGeom>
                        <a:noFill/>
                        <a:ln w="6350">
                          <a:noFill/>
                        </a:ln>
                      </wps:spPr>
                      <wps:txbx>
                        <w:txbxContent>
                          <w:p w14:paraId="1DB519FB"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Lauksaimniecība, mežsaimniecība un zivsaimniecība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491E87E" id="Text Box 483" o:spid="_x0000_s1062" type="#_x0000_t202" style="position:absolute;margin-left:145.45pt;margin-top:450.15pt;width:85pt;height:36.85pt;z-index:251667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" filled="f" stroked="f" strokeweight=".5pt">
                <v:textbox inset="2mm,1mm,1mm,1mm">
                  <w:txbxContent>
                    <w:p w14:paraId="1DB519FB"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Lauksaimniecība, mežsaimniecība un zivsaimniecība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93271" behindDoc="0" locked="0" layoutInCell="1" allowOverlap="1" wp14:anchorId="05974981" wp14:editId="17EB9BA7">
                <wp:simplePos x="0" y="0"/>
                <wp:positionH relativeFrom="column">
                  <wp:posOffset>1566979</wp:posOffset>
                </wp:positionH>
                <wp:positionV relativeFrom="paragraph">
                  <wp:posOffset>6641327</wp:posOffset>
                </wp:positionV>
                <wp:extent cx="287655" cy="338121"/>
                <wp:effectExtent l="0" t="0" r="0" b="5080"/>
                <wp:wrapNone/>
                <wp:docPr id="46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338121"/>
                        </a:xfrm>
                        <a:prstGeom prst="rect">
                          <a:avLst/>
                        </a:prstGeom>
                        <a:noFill/>
                        <a:ln w="6350">
                          <a:noFill/>
                        </a:ln>
                      </wps:spPr>
                      <wps:txbx>
                        <w:txbxContent>
                          <w:p w14:paraId="47B27FF6"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H53</w:t>
                            </w:r>
                          </w:p>
                          <w:p w14:paraId="25E3C8AD"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5974981" id="Text Box 460" o:spid="_x0000_s1063" type="#_x0000_t202" style="position:absolute;margin-left:123.4pt;margin-top:522.95pt;width:22.65pt;height:26.6pt;z-index:251693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" filled="f" stroked="f" strokeweight=".5pt">
                <v:textbox inset="1mm,1mm,1mm,1mm">
                  <w:txbxContent>
                    <w:p w14:paraId="47B27FF6"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H53</w:t>
                      </w:r>
                    </w:p>
                    <w:p w14:paraId="25E3C8AD"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0,2%</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92247" behindDoc="0" locked="0" layoutInCell="1" allowOverlap="1" wp14:anchorId="44BF1B93" wp14:editId="7291C24C">
                <wp:simplePos x="0" y="0"/>
                <wp:positionH relativeFrom="column">
                  <wp:posOffset>1143635</wp:posOffset>
                </wp:positionH>
                <wp:positionV relativeFrom="paragraph">
                  <wp:posOffset>6762832</wp:posOffset>
                </wp:positionV>
                <wp:extent cx="359410" cy="327667"/>
                <wp:effectExtent l="0" t="0" r="254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327667"/>
                        </a:xfrm>
                        <a:prstGeom prst="rect">
                          <a:avLst/>
                        </a:prstGeom>
                        <a:noFill/>
                        <a:ln w="6350">
                          <a:noFill/>
                        </a:ln>
                      </wps:spPr>
                      <wps:txbx>
                        <w:txbxContent>
                          <w:p w14:paraId="2E96533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H51</w:t>
                            </w:r>
                          </w:p>
                          <w:p w14:paraId="58023712"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4BF1B93" id="Text Box 77" o:spid="_x0000_s1064" type="#_x0000_t202" style="position:absolute;margin-left:90.05pt;margin-top:532.5pt;width:28.3pt;height:25.8pt;z-index:251692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" filled="f" stroked="f" strokeweight=".5pt">
                <v:textbox inset="1mm,1mm,1mm,1mm">
                  <w:txbxContent>
                    <w:p w14:paraId="2E96533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H51</w:t>
                      </w:r>
                    </w:p>
                    <w:p w14:paraId="58023712"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0,5%</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91223" behindDoc="0" locked="0" layoutInCell="1" allowOverlap="1" wp14:anchorId="5CD7CD07" wp14:editId="5DE16347">
                <wp:simplePos x="0" y="0"/>
                <wp:positionH relativeFrom="column">
                  <wp:posOffset>1142447</wp:posOffset>
                </wp:positionH>
                <wp:positionV relativeFrom="paragraph">
                  <wp:posOffset>6171565</wp:posOffset>
                </wp:positionV>
                <wp:extent cx="719455" cy="467995"/>
                <wp:effectExtent l="0" t="0" r="4445" b="8255"/>
                <wp:wrapNone/>
                <wp:docPr id="461"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455" cy="467995"/>
                        </a:xfrm>
                        <a:prstGeom prst="rect">
                          <a:avLst/>
                        </a:prstGeom>
                        <a:noFill/>
                        <a:ln w="6350">
                          <a:noFill/>
                        </a:ln>
                      </wps:spPr>
                      <wps:txbx>
                        <w:txbxContent>
                          <w:p w14:paraId="6807973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Transporta palīgdarbības</w:t>
                            </w:r>
                          </w:p>
                          <w:p w14:paraId="063FEAA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CD7CD07" id="Text Box 461" o:spid="_x0000_s1065" type="#_x0000_t202" style="position:absolute;margin-left:89.95pt;margin-top:485.95pt;width:56.65pt;height:36.85pt;z-index:251691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" filled="f" stroked="f" strokeweight=".5pt">
                <v:textbox inset="1mm,1mm,1mm,1mm">
                  <w:txbxContent>
                    <w:p w14:paraId="6807973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Transporta palīgdarbības</w:t>
                      </w:r>
                    </w:p>
                    <w:p w14:paraId="063FEAA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1,6%</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65623" behindDoc="0" locked="0" layoutInCell="1" allowOverlap="1" wp14:anchorId="2AAA7D8D" wp14:editId="699F4D22">
                <wp:simplePos x="0" y="0"/>
                <wp:positionH relativeFrom="column">
                  <wp:posOffset>7538</wp:posOffset>
                </wp:positionH>
                <wp:positionV relativeFrom="paragraph">
                  <wp:posOffset>5748655</wp:posOffset>
                </wp:positionV>
                <wp:extent cx="1439545" cy="251460"/>
                <wp:effectExtent l="0" t="0" r="8255"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9545" cy="251460"/>
                        </a:xfrm>
                        <a:prstGeom prst="rect">
                          <a:avLst/>
                        </a:prstGeom>
                        <a:noFill/>
                        <a:ln w="6350">
                          <a:noFill/>
                        </a:ln>
                      </wps:spPr>
                      <wps:txbx>
                        <w:txbxContent>
                          <w:p w14:paraId="5D18BBF6"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Transports un uzglabāšana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AAA7D8D" id="Text Box 475" o:spid="_x0000_s1066" type="#_x0000_t202" style="position:absolute;margin-left:.6pt;margin-top:452.65pt;width:113.35pt;height:19.8pt;z-index:251665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" filled="f" stroked="f" strokeweight=".5pt">
                <v:textbox inset="2mm,1mm,1mm,1mm">
                  <w:txbxContent>
                    <w:p w14:paraId="5D18BBF6"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Transports un uzglabāšana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90199" behindDoc="0" locked="0" layoutInCell="1" allowOverlap="1" wp14:anchorId="1F5EF30F" wp14:editId="189F5AE5">
                <wp:simplePos x="0" y="0"/>
                <wp:positionH relativeFrom="column">
                  <wp:posOffset>7538</wp:posOffset>
                </wp:positionH>
                <wp:positionV relativeFrom="paragraph">
                  <wp:posOffset>6730365</wp:posOffset>
                </wp:positionV>
                <wp:extent cx="1079500" cy="359410"/>
                <wp:effectExtent l="0" t="0" r="6350" b="2540"/>
                <wp:wrapNone/>
                <wp:docPr id="462"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59410"/>
                        </a:xfrm>
                        <a:prstGeom prst="rect">
                          <a:avLst/>
                        </a:prstGeom>
                        <a:noFill/>
                        <a:ln w="6350">
                          <a:noFill/>
                        </a:ln>
                      </wps:spPr>
                      <wps:txbx>
                        <w:txbxContent>
                          <w:p w14:paraId="18EFC348"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Sauszemes transports</w:t>
                            </w:r>
                          </w:p>
                          <w:p w14:paraId="41235EBF"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3,8%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F5EF30F" id="Text Box 462" o:spid="_x0000_s1067" type="#_x0000_t202" style="position:absolute;margin-left:.6pt;margin-top:529.95pt;width:85pt;height:28.3pt;z-index:251690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" filled="f" stroked="f" strokeweight=".5pt">
                <v:textbox inset="1mm,1mm,1mm,1mm">
                  <w:txbxContent>
                    <w:p w14:paraId="18EFC348"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Sauszemes transports</w:t>
                      </w:r>
                    </w:p>
                    <w:p w14:paraId="41235EBF"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3,8%</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09655" behindDoc="0" locked="0" layoutInCell="1" allowOverlap="1" wp14:anchorId="346ED1DE" wp14:editId="1A7600DA">
                <wp:simplePos x="0" y="0"/>
                <wp:positionH relativeFrom="column">
                  <wp:posOffset>3260090</wp:posOffset>
                </wp:positionH>
                <wp:positionV relativeFrom="paragraph">
                  <wp:posOffset>4105992</wp:posOffset>
                </wp:positionV>
                <wp:extent cx="1223645" cy="215900"/>
                <wp:effectExtent l="0" t="0" r="0" b="0"/>
                <wp:wrapNone/>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3645" cy="215900"/>
                        </a:xfrm>
                        <a:prstGeom prst="rect">
                          <a:avLst/>
                        </a:prstGeom>
                        <a:noFill/>
                        <a:ln w="6350">
                          <a:noFill/>
                        </a:ln>
                      </wps:spPr>
                      <wps:txbx>
                        <w:txbxContent>
                          <w:p w14:paraId="04F6AB11" w14:textId="77777777" w:rsidR="00B83D7D" w:rsidRPr="0080669C" w:rsidRDefault="00B83D7D" w:rsidP="00C075DC">
                            <w:pPr>
                              <w:tabs>
                                <w:tab w:val="left" w:pos="1418"/>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Sociālā aprūpe</w:t>
                            </w:r>
                            <w:r w:rsidRPr="0080669C">
                              <w:rPr>
                                <w:rFonts w:ascii="Segoe UI Light" w:hAnsi="Segoe UI Light" w:cs="Segoe UI Light"/>
                                <w:color w:val="FFFFFF" w:themeColor="background1"/>
                                <w:sz w:val="16"/>
                                <w:szCs w:val="16"/>
                              </w:rPr>
                              <w:tab/>
                              <w:t>0,8%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46ED1DE" id="Text Box 463" o:spid="_x0000_s1068" type="#_x0000_t202" style="position:absolute;margin-left:256.7pt;margin-top:323.3pt;width:96.35pt;height:17pt;z-index:251709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" filled="f" stroked="f" strokeweight=".5pt">
                <v:textbox inset="1mm,1mm,1mm,1mm">
                  <w:txbxContent>
                    <w:p w14:paraId="04F6AB11" w14:textId="77777777" w:rsidR="00B83D7D" w:rsidRPr="0080669C" w:rsidRDefault="00B83D7D" w:rsidP="00C075DC">
                      <w:pPr>
                        <w:tabs>
                          <w:tab w:val="left" w:pos="1418"/>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Sociālā aprūpe</w:t>
                      </w:r>
                      <w:r w:rsidRPr="0080669C">
                        <w:rPr>
                          <w:rFonts w:ascii="Segoe UI Light" w:hAnsi="Segoe UI Light" w:cs="Segoe UI Light"/>
                          <w:color w:val="FFFFFF" w:themeColor="background1"/>
                          <w:sz w:val="16"/>
                          <w:szCs w:val="16"/>
                        </w:rPr>
                        <w:tab/>
                        <w:t>0,8%</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08631" behindDoc="0" locked="0" layoutInCell="1" allowOverlap="1" wp14:anchorId="3C0B5E72" wp14:editId="1B331E8C">
                <wp:simplePos x="0" y="0"/>
                <wp:positionH relativeFrom="column">
                  <wp:posOffset>3259455</wp:posOffset>
                </wp:positionH>
                <wp:positionV relativeFrom="paragraph">
                  <wp:posOffset>3736258</wp:posOffset>
                </wp:positionV>
                <wp:extent cx="1007745" cy="339448"/>
                <wp:effectExtent l="0" t="0" r="1905" b="3810"/>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5" cy="339448"/>
                        </a:xfrm>
                        <a:prstGeom prst="rect">
                          <a:avLst/>
                        </a:prstGeom>
                        <a:noFill/>
                        <a:ln w="6350">
                          <a:noFill/>
                        </a:ln>
                      </wps:spPr>
                      <wps:txbx>
                        <w:txbxContent>
                          <w:p w14:paraId="060D715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Veselības aizsardzība</w:t>
                            </w:r>
                          </w:p>
                          <w:p w14:paraId="4CC0BE23"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4,4%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C0B5E72" id="Text Box 464" o:spid="_x0000_s1069" type="#_x0000_t202" style="position:absolute;margin-left:256.65pt;margin-top:294.2pt;width:79.35pt;height:26.75pt;z-index:251708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" filled="f" stroked="f" strokeweight=".5pt">
                <v:textbox inset="1mm,1mm,1mm,1mm">
                  <w:txbxContent>
                    <w:p w14:paraId="060D715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Veselības aizsardzība</w:t>
                      </w:r>
                    </w:p>
                    <w:p w14:paraId="4CC0BE23"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4,4%</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72791" behindDoc="0" locked="0" layoutInCell="1" allowOverlap="1" wp14:anchorId="1327A040" wp14:editId="723B8459">
                <wp:simplePos x="0" y="0"/>
                <wp:positionH relativeFrom="column">
                  <wp:posOffset>3259373</wp:posOffset>
                </wp:positionH>
                <wp:positionV relativeFrom="paragraph">
                  <wp:posOffset>2653030</wp:posOffset>
                </wp:positionV>
                <wp:extent cx="1079500" cy="359410"/>
                <wp:effectExtent l="0" t="0" r="6350" b="2540"/>
                <wp:wrapNone/>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59410"/>
                        </a:xfrm>
                        <a:prstGeom prst="rect">
                          <a:avLst/>
                        </a:prstGeom>
                        <a:noFill/>
                        <a:ln w="6350">
                          <a:noFill/>
                        </a:ln>
                      </wps:spPr>
                      <wps:txbx>
                        <w:txbxContent>
                          <w:p w14:paraId="194B27C6"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Veselības aizsardzība un sociālā aprūpe</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327A040" id="Text Box 502" o:spid="_x0000_s1070" type="#_x0000_t202" style="position:absolute;margin-left:256.65pt;margin-top:208.9pt;width:85pt;height:28.3pt;z-index:251672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" filled="f" stroked="f" strokeweight=".5pt">
                <v:textbox inset="2mm,1mm,1mm,1mm">
                  <w:txbxContent>
                    <w:p w14:paraId="194B27C6"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Veselības aizsardzība un sociālā aprūpe</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95319" behindDoc="0" locked="0" layoutInCell="1" allowOverlap="1" wp14:anchorId="70514703" wp14:editId="791E2184">
                <wp:simplePos x="0" y="0"/>
                <wp:positionH relativeFrom="column">
                  <wp:posOffset>1204840</wp:posOffset>
                </wp:positionH>
                <wp:positionV relativeFrom="paragraph">
                  <wp:posOffset>4880428</wp:posOffset>
                </wp:positionV>
                <wp:extent cx="611084" cy="486158"/>
                <wp:effectExtent l="0" t="0" r="0" b="9525"/>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084" cy="486158"/>
                        </a:xfrm>
                        <a:prstGeom prst="rect">
                          <a:avLst/>
                        </a:prstGeom>
                        <a:noFill/>
                        <a:ln w="6350">
                          <a:noFill/>
                        </a:ln>
                      </wps:spPr>
                      <wps:txbx>
                        <w:txbxContent>
                          <w:p w14:paraId="73418F59"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Telekomuni-kācija</w:t>
                            </w:r>
                          </w:p>
                          <w:p w14:paraId="352540EB"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0514703" id="Text Box 465" o:spid="_x0000_s1071" type="#_x0000_t202" style="position:absolute;margin-left:94.85pt;margin-top:384.3pt;width:48.1pt;height:38.3pt;z-index:251695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" filled="f" stroked="f" strokeweight=".5pt">
                <v:textbox inset="1mm,1mm,1mm,1mm">
                  <w:txbxContent>
                    <w:p w14:paraId="73418F59"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Telekomuni-kācija</w:t>
                      </w:r>
                    </w:p>
                    <w:p w14:paraId="352540EB"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1,8%</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96343" behindDoc="0" locked="0" layoutInCell="1" allowOverlap="1" wp14:anchorId="13F8C6A8" wp14:editId="49E9DEB1">
                <wp:simplePos x="0" y="0"/>
                <wp:positionH relativeFrom="column">
                  <wp:posOffset>1205230</wp:posOffset>
                </wp:positionH>
                <wp:positionV relativeFrom="paragraph">
                  <wp:posOffset>5387893</wp:posOffset>
                </wp:positionV>
                <wp:extent cx="395605" cy="359410"/>
                <wp:effectExtent l="0" t="0" r="4445" b="2540"/>
                <wp:wrapNone/>
                <wp:docPr id="466"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05" cy="359410"/>
                        </a:xfrm>
                        <a:prstGeom prst="rect">
                          <a:avLst/>
                        </a:prstGeom>
                        <a:noFill/>
                        <a:ln w="6350">
                          <a:noFill/>
                        </a:ln>
                      </wps:spPr>
                      <wps:txbx>
                        <w:txbxContent>
                          <w:p w14:paraId="71384D5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J58-60</w:t>
                            </w:r>
                          </w:p>
                          <w:p w14:paraId="17FADD04"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3F8C6A8" id="Text Box 466" o:spid="_x0000_s1072" type="#_x0000_t202" style="position:absolute;margin-left:94.9pt;margin-top:424.25pt;width:31.15pt;height:28.3pt;z-index:251696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" filled="f" stroked="f" strokeweight=".5pt">
                <v:textbox inset="1mm,1mm,1mm,1mm">
                  <w:txbxContent>
                    <w:p w14:paraId="71384D5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J58-60</w:t>
                      </w:r>
                    </w:p>
                    <w:p w14:paraId="17FADD04"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0,6%</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94295" behindDoc="0" locked="0" layoutInCell="1" allowOverlap="1" wp14:anchorId="2C1106F7" wp14:editId="24450354">
                <wp:simplePos x="0" y="0"/>
                <wp:positionH relativeFrom="column">
                  <wp:posOffset>10795</wp:posOffset>
                </wp:positionH>
                <wp:positionV relativeFrom="paragraph">
                  <wp:posOffset>5386787</wp:posOffset>
                </wp:positionV>
                <wp:extent cx="1079500" cy="359410"/>
                <wp:effectExtent l="0" t="0" r="6350" b="2540"/>
                <wp:wrapNone/>
                <wp:docPr id="467"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0" cy="359410"/>
                        </a:xfrm>
                        <a:prstGeom prst="rect">
                          <a:avLst/>
                        </a:prstGeom>
                        <a:noFill/>
                        <a:ln w="6350">
                          <a:noFill/>
                        </a:ln>
                      </wps:spPr>
                      <wps:txbx>
                        <w:txbxContent>
                          <w:p w14:paraId="0DFDAC1C"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Datorprogrammēšana</w:t>
                            </w:r>
                          </w:p>
                          <w:p w14:paraId="57C076DA"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4,5%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C1106F7" id="Text Box 467" o:spid="_x0000_s1073" type="#_x0000_t202" style="position:absolute;margin-left:.85pt;margin-top:424.15pt;width:85pt;height:28.3pt;z-index:251694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" filled="f" stroked="f" strokeweight=".5pt">
                <v:textbox inset="1mm,1mm,1mm,1mm">
                  <w:txbxContent>
                    <w:p w14:paraId="0DFDAC1C"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Datorprogrammēšana</w:t>
                      </w:r>
                    </w:p>
                    <w:p w14:paraId="57C076DA"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4,5%</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66647" behindDoc="0" locked="0" layoutInCell="1" allowOverlap="1" wp14:anchorId="069D7FF1" wp14:editId="6341EC88">
                <wp:simplePos x="0" y="0"/>
                <wp:positionH relativeFrom="column">
                  <wp:posOffset>4998</wp:posOffset>
                </wp:positionH>
                <wp:positionV relativeFrom="paragraph">
                  <wp:posOffset>4245610</wp:posOffset>
                </wp:positionV>
                <wp:extent cx="1439545" cy="359410"/>
                <wp:effectExtent l="0" t="0" r="8255" b="2540"/>
                <wp:wrapNone/>
                <wp:docPr id="481"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9545" cy="359410"/>
                        </a:xfrm>
                        <a:prstGeom prst="rect">
                          <a:avLst/>
                        </a:prstGeom>
                        <a:noFill/>
                        <a:ln w="6350">
                          <a:noFill/>
                        </a:ln>
                      </wps:spPr>
                      <wps:txbx>
                        <w:txbxContent>
                          <w:p w14:paraId="0D9C6A61"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Informācijas un komunikācijas pakalpojumi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69D7FF1" id="Text Box 481" o:spid="_x0000_s1074" type="#_x0000_t202" style="position:absolute;margin-left:.4pt;margin-top:334.3pt;width:113.35pt;height:28.3pt;z-index:251666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" filled="f" stroked="f" strokeweight=".5pt">
                <v:textbox inset="2mm,1mm,1mm,1mm">
                  <w:txbxContent>
                    <w:p w14:paraId="0D9C6A61"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Informācijas un komunikācijas pakalpojumi</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89175" behindDoc="0" locked="0" layoutInCell="1" allowOverlap="1" wp14:anchorId="731C0F25" wp14:editId="167DF44E">
                <wp:simplePos x="0" y="0"/>
                <wp:positionH relativeFrom="column">
                  <wp:posOffset>4000582</wp:posOffset>
                </wp:positionH>
                <wp:positionV relativeFrom="paragraph">
                  <wp:posOffset>2184400</wp:posOffset>
                </wp:positionV>
                <wp:extent cx="1007745" cy="467995"/>
                <wp:effectExtent l="0" t="0" r="1905" b="8255"/>
                <wp:wrapNone/>
                <wp:docPr id="468"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5" cy="467995"/>
                        </a:xfrm>
                        <a:prstGeom prst="rect">
                          <a:avLst/>
                        </a:prstGeom>
                        <a:noFill/>
                        <a:ln w="6350">
                          <a:noFill/>
                        </a:ln>
                      </wps:spPr>
                      <wps:txbx>
                        <w:txbxContent>
                          <w:p w14:paraId="44A9D544"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Īpašumu apsaimniekošana</w:t>
                            </w:r>
                          </w:p>
                          <w:p w14:paraId="42677D3A"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4,2%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31C0F25" id="Text Box 468" o:spid="_x0000_s1075" type="#_x0000_t202" style="position:absolute;margin-left:315pt;margin-top:172pt;width:79.35pt;height:36.85pt;z-index:251689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" filled="f" stroked="f" strokeweight=".5pt">
                <v:textbox inset="1mm,1mm,1mm,1mm">
                  <w:txbxContent>
                    <w:p w14:paraId="44A9D544"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Īpašumu apsaimniekošana</w:t>
                      </w:r>
                    </w:p>
                    <w:p w14:paraId="42677D3A"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4,2%</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88151" behindDoc="0" locked="0" layoutInCell="1" allowOverlap="1" wp14:anchorId="79122388" wp14:editId="47EA1862">
                <wp:simplePos x="0" y="0"/>
                <wp:positionH relativeFrom="column">
                  <wp:posOffset>4001852</wp:posOffset>
                </wp:positionH>
                <wp:positionV relativeFrom="paragraph">
                  <wp:posOffset>1321435</wp:posOffset>
                </wp:positionV>
                <wp:extent cx="1007745" cy="359410"/>
                <wp:effectExtent l="0" t="0" r="1905" b="2540"/>
                <wp:wrapNone/>
                <wp:docPr id="46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5" cy="359410"/>
                        </a:xfrm>
                        <a:prstGeom prst="rect">
                          <a:avLst/>
                        </a:prstGeom>
                        <a:noFill/>
                        <a:ln w="6350">
                          <a:noFill/>
                        </a:ln>
                      </wps:spPr>
                      <wps:txbx>
                        <w:txbxContent>
                          <w:p w14:paraId="173BE6A6"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Nosacītā īre</w:t>
                            </w:r>
                          </w:p>
                          <w:p w14:paraId="700C3A34"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6,9%</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9122388" id="Text Box 469" o:spid="_x0000_s1076" type="#_x0000_t202" style="position:absolute;margin-left:315.1pt;margin-top:104.05pt;width:79.35pt;height:28.3pt;z-index:251688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" filled="f" stroked="f" strokeweight=".5pt">
                <v:textbox inset="1mm,1mm,1mm,1mm">
                  <w:txbxContent>
                    <w:p w14:paraId="173BE6A6"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Nosacītā īre</w:t>
                      </w:r>
                    </w:p>
                    <w:p w14:paraId="700C3A34"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6,9%</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64599" behindDoc="0" locked="0" layoutInCell="1" allowOverlap="1" wp14:anchorId="7AB64ABA" wp14:editId="3E5DCDB0">
                <wp:simplePos x="0" y="0"/>
                <wp:positionH relativeFrom="column">
                  <wp:posOffset>4000500</wp:posOffset>
                </wp:positionH>
                <wp:positionV relativeFrom="paragraph">
                  <wp:posOffset>78822</wp:posOffset>
                </wp:positionV>
                <wp:extent cx="1225550" cy="359410"/>
                <wp:effectExtent l="0" t="0" r="0" b="2540"/>
                <wp:wrapNone/>
                <wp:docPr id="470"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359410"/>
                        </a:xfrm>
                        <a:prstGeom prst="rect">
                          <a:avLst/>
                        </a:prstGeom>
                        <a:noFill/>
                        <a:ln w="6350">
                          <a:noFill/>
                        </a:ln>
                      </wps:spPr>
                      <wps:txbx>
                        <w:txbxContent>
                          <w:p w14:paraId="2021DD2C"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Operācijas ar nekustamo īpašumu</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AB64ABA" id="Text Box 470" o:spid="_x0000_s1077" type="#_x0000_t202" style="position:absolute;margin-left:315pt;margin-top:6.2pt;width:96.5pt;height:28.3pt;z-index:2516645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" filled="f" stroked="f" strokeweight=".5pt">
                <v:textbox inset="2mm,1mm,1mm,1mm">
                  <w:txbxContent>
                    <w:p w14:paraId="2021DD2C"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Operācijas ar nekustamo īpašumu</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99415" behindDoc="0" locked="0" layoutInCell="1" allowOverlap="1" wp14:anchorId="2FA8A631" wp14:editId="73FC63B0">
                <wp:simplePos x="0" y="0"/>
                <wp:positionH relativeFrom="column">
                  <wp:posOffset>19050</wp:posOffset>
                </wp:positionH>
                <wp:positionV relativeFrom="paragraph">
                  <wp:posOffset>3888023</wp:posOffset>
                </wp:positionV>
                <wp:extent cx="863600" cy="359410"/>
                <wp:effectExtent l="0" t="0" r="0" b="2540"/>
                <wp:wrapNone/>
                <wp:docPr id="471"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359410"/>
                        </a:xfrm>
                        <a:prstGeom prst="rect">
                          <a:avLst/>
                        </a:prstGeom>
                        <a:noFill/>
                        <a:ln w="6350">
                          <a:noFill/>
                        </a:ln>
                      </wps:spPr>
                      <wps:txbx>
                        <w:txbxContent>
                          <w:p w14:paraId="4E2E9343"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7,3%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FA8A631" id="Text Box 471" o:spid="_x0000_s1078" type="#_x0000_t202" style="position:absolute;margin-left:1.5pt;margin-top:306.15pt;width:68pt;height:28.3pt;z-index:251699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" filled="f" stroked="f" strokeweight=".5pt">
                <v:textbox inset="1mm,1mm,1mm,1mm">
                  <w:txbxContent>
                    <w:p w14:paraId="4E2E9343"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7,3%</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71767" behindDoc="0" locked="0" layoutInCell="1" allowOverlap="1" wp14:anchorId="3489587D" wp14:editId="14148F80">
                <wp:simplePos x="0" y="0"/>
                <wp:positionH relativeFrom="column">
                  <wp:posOffset>10795</wp:posOffset>
                </wp:positionH>
                <wp:positionV relativeFrom="paragraph">
                  <wp:posOffset>2652313</wp:posOffset>
                </wp:positionV>
                <wp:extent cx="1225550" cy="359410"/>
                <wp:effectExtent l="0" t="0" r="0" b="2540"/>
                <wp:wrapNone/>
                <wp:docPr id="501"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359410"/>
                        </a:xfrm>
                        <a:prstGeom prst="rect">
                          <a:avLst/>
                        </a:prstGeom>
                        <a:noFill/>
                        <a:ln w="6350">
                          <a:noFill/>
                        </a:ln>
                      </wps:spPr>
                      <wps:txbx>
                        <w:txbxContent>
                          <w:p w14:paraId="6BD4469B"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Valsts pārvalde un aizsardzība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489587D" id="Text Box 501" o:spid="_x0000_s1079" type="#_x0000_t202" style="position:absolute;margin-left:.85pt;margin-top:208.85pt;width:96.5pt;height:28.3pt;z-index:251671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" filled="f" stroked="f" strokeweight=".5pt">
                <v:textbox inset="2mm,1mm,1mm,1mm">
                  <w:txbxContent>
                    <w:p w14:paraId="6BD4469B"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Valsts pārvalde un aizsardzība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85079" behindDoc="0" locked="0" layoutInCell="1" allowOverlap="1" wp14:anchorId="73D1DE0A" wp14:editId="55401CD8">
                <wp:simplePos x="0" y="0"/>
                <wp:positionH relativeFrom="column">
                  <wp:posOffset>3106420</wp:posOffset>
                </wp:positionH>
                <wp:positionV relativeFrom="paragraph">
                  <wp:posOffset>1871427</wp:posOffset>
                </wp:positionV>
                <wp:extent cx="1007745" cy="359410"/>
                <wp:effectExtent l="0" t="0" r="1905" b="2540"/>
                <wp:wrapNone/>
                <wp:docPr id="472"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5" cy="359410"/>
                        </a:xfrm>
                        <a:prstGeom prst="rect">
                          <a:avLst/>
                        </a:prstGeom>
                        <a:noFill/>
                        <a:ln w="6350">
                          <a:noFill/>
                        </a:ln>
                      </wps:spPr>
                      <wps:txbx>
                        <w:txbxContent>
                          <w:p w14:paraId="49A59D45"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Vairumtirdzniecība</w:t>
                            </w:r>
                          </w:p>
                          <w:p w14:paraId="718F4EBC"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4,8%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3D1DE0A" id="Text Box 472" o:spid="_x0000_s1080" type="#_x0000_t202" style="position:absolute;margin-left:244.6pt;margin-top:147.35pt;width:79.35pt;height:28.3pt;z-index:251685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" filled="f" stroked="f" strokeweight=".5pt">
                <v:textbox inset="1mm,1mm,1mm,1mm">
                  <w:txbxContent>
                    <w:p w14:paraId="49A59D45"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Vairumtirdzniecība</w:t>
                      </w:r>
                    </w:p>
                    <w:p w14:paraId="718F4EBC"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4,8%</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87127" behindDoc="0" locked="0" layoutInCell="1" allowOverlap="1" wp14:anchorId="179F6403" wp14:editId="58CC7CE3">
                <wp:simplePos x="0" y="0"/>
                <wp:positionH relativeFrom="column">
                  <wp:posOffset>2107647</wp:posOffset>
                </wp:positionH>
                <wp:positionV relativeFrom="paragraph">
                  <wp:posOffset>2290445</wp:posOffset>
                </wp:positionV>
                <wp:extent cx="1007745" cy="359410"/>
                <wp:effectExtent l="0" t="0" r="1905" b="254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5" cy="359410"/>
                        </a:xfrm>
                        <a:prstGeom prst="rect">
                          <a:avLst/>
                        </a:prstGeom>
                        <a:noFill/>
                        <a:ln w="6350">
                          <a:noFill/>
                        </a:ln>
                      </wps:spPr>
                      <wps:txbx>
                        <w:txbxContent>
                          <w:p w14:paraId="21CC6701"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Auto tirdzniecība</w:t>
                            </w:r>
                          </w:p>
                          <w:p w14:paraId="399849A3"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79F6403" id="Text Box 473" o:spid="_x0000_s1081" type="#_x0000_t202" style="position:absolute;margin-left:165.95pt;margin-top:180.35pt;width:79.35pt;height:28.3pt;z-index:251687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" filled="f" stroked="f" strokeweight=".5pt">
                <v:textbox inset="1mm,1mm,1mm,1mm">
                  <w:txbxContent>
                    <w:p w14:paraId="21CC6701"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Auto tirdzniecība</w:t>
                      </w:r>
                    </w:p>
                    <w:p w14:paraId="399849A3"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2%</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86103" behindDoc="0" locked="0" layoutInCell="1" allowOverlap="1" wp14:anchorId="37DFFA57" wp14:editId="2693A855">
                <wp:simplePos x="0" y="0"/>
                <wp:positionH relativeFrom="column">
                  <wp:posOffset>2106848</wp:posOffset>
                </wp:positionH>
                <wp:positionV relativeFrom="paragraph">
                  <wp:posOffset>1869440</wp:posOffset>
                </wp:positionV>
                <wp:extent cx="1008000" cy="360000"/>
                <wp:effectExtent l="0" t="0" r="1905" b="254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8000" cy="360000"/>
                        </a:xfrm>
                        <a:prstGeom prst="rect">
                          <a:avLst/>
                        </a:prstGeom>
                        <a:noFill/>
                        <a:ln w="6350">
                          <a:noFill/>
                        </a:ln>
                      </wps:spPr>
                      <wps:txbx>
                        <w:txbxContent>
                          <w:p w14:paraId="224DB581"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Mazumtirdzniecība</w:t>
                            </w:r>
                          </w:p>
                          <w:p w14:paraId="1A38CDB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5,4%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7DFFA57" id="Text Box 474" o:spid="_x0000_s1082" type="#_x0000_t202" style="position:absolute;margin-left:165.9pt;margin-top:147.2pt;width:79.35pt;height:28.35pt;z-index:2516861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" filled="f" stroked="f" strokeweight=".5pt">
                <v:textbox inset="1mm,1mm,1mm,1mm">
                  <w:txbxContent>
                    <w:p w14:paraId="224DB581"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Mazumtirdzniecība</w:t>
                      </w:r>
                    </w:p>
                    <w:p w14:paraId="1A38CDB0" w14:textId="77777777" w:rsidR="00B83D7D" w:rsidRPr="0080669C" w:rsidRDefault="00B83D7D" w:rsidP="00C075DC">
                      <w:pPr>
                        <w:tabs>
                          <w:tab w:val="left" w:pos="4820"/>
                        </w:tabs>
                        <w:spacing w:after="0"/>
                        <w:rPr>
                          <w:rFonts w:ascii="Segoe UI Light" w:hAnsi="Segoe UI Light" w:cs="Segoe UI Light"/>
                          <w:color w:val="FFFFFF" w:themeColor="background1"/>
                          <w:sz w:val="16"/>
                          <w:szCs w:val="16"/>
                        </w:rPr>
                      </w:pPr>
                      <w:r w:rsidRPr="0080669C">
                        <w:rPr>
                          <w:rFonts w:ascii="Segoe UI Light" w:hAnsi="Segoe UI Light" w:cs="Segoe UI Light"/>
                          <w:color w:val="FFFFFF" w:themeColor="background1"/>
                          <w:sz w:val="16"/>
                          <w:szCs w:val="16"/>
                        </w:rPr>
                        <w:t>5,4%</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63575" behindDoc="0" locked="0" layoutInCell="1" allowOverlap="1" wp14:anchorId="09AD9EB9" wp14:editId="64AECA84">
                <wp:simplePos x="0" y="0"/>
                <wp:positionH relativeFrom="column">
                  <wp:posOffset>2106848</wp:posOffset>
                </wp:positionH>
                <wp:positionV relativeFrom="paragraph">
                  <wp:posOffset>81280</wp:posOffset>
                </wp:positionV>
                <wp:extent cx="1225550" cy="252000"/>
                <wp:effectExtent l="0" t="0" r="0" b="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103798C8"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Tirdzniecība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9AD9EB9" id="Text Box 476" o:spid="_x0000_s1083" type="#_x0000_t202" style="position:absolute;margin-left:165.9pt;margin-top:6.4pt;width:96.5pt;height:19.85pt;z-index:251663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" filled="f" stroked="f" strokeweight=".5pt">
                <v:textbox inset="2mm,1mm,1mm,1mm">
                  <w:txbxContent>
                    <w:p w14:paraId="103798C8" w14:textId="77777777" w:rsidR="00B83D7D" w:rsidRPr="0080669C" w:rsidRDefault="00B83D7D" w:rsidP="00C075DC">
                      <w:pPr>
                        <w:tabs>
                          <w:tab w:val="left" w:pos="4820"/>
                        </w:tabs>
                        <w:spacing w:after="0"/>
                        <w:rPr>
                          <w:rFonts w:ascii="Segoe UI Light" w:hAnsi="Segoe UI Light" w:cs="Segoe UI Light"/>
                          <w:b/>
                          <w:bCs/>
                          <w:color w:val="FFFFFF" w:themeColor="background1"/>
                          <w:sz w:val="16"/>
                          <w:szCs w:val="16"/>
                        </w:rPr>
                      </w:pPr>
                      <w:r w:rsidRPr="0080669C">
                        <w:rPr>
                          <w:rFonts w:ascii="Segoe UI Light" w:hAnsi="Segoe UI Light" w:cs="Segoe UI Light"/>
                          <w:b/>
                          <w:bCs/>
                          <w:color w:val="FFFFFF" w:themeColor="background1"/>
                          <w:sz w:val="16"/>
                          <w:szCs w:val="16"/>
                        </w:rPr>
                        <w:t>Tirdzniecība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80983" behindDoc="0" locked="0" layoutInCell="1" allowOverlap="1" wp14:anchorId="209C0358" wp14:editId="1C391532">
                <wp:simplePos x="0" y="0"/>
                <wp:positionH relativeFrom="column">
                  <wp:posOffset>9783</wp:posOffset>
                </wp:positionH>
                <wp:positionV relativeFrom="paragraph">
                  <wp:posOffset>1681826</wp:posOffset>
                </wp:positionV>
                <wp:extent cx="583948" cy="470780"/>
                <wp:effectExtent l="0" t="0" r="6985" b="5715"/>
                <wp:wrapNone/>
                <wp:docPr id="1384"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948" cy="470780"/>
                        </a:xfrm>
                        <a:prstGeom prst="rect">
                          <a:avLst/>
                        </a:prstGeom>
                        <a:noFill/>
                        <a:ln w="6350">
                          <a:noFill/>
                        </a:ln>
                      </wps:spPr>
                      <wps:txbx>
                        <w:txbxContent>
                          <w:p w14:paraId="3FECDAD7"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Metāl-apstrāde</w:t>
                            </w:r>
                          </w:p>
                          <w:p w14:paraId="7C944E0E"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1,2%</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09C0358" id="Text Box 1384" o:spid="_x0000_s1084" type="#_x0000_t202" style="position:absolute;margin-left:.75pt;margin-top:132.45pt;width:46pt;height:37.05pt;z-index:251680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" filled="f" stroked="f" strokeweight=".5pt">
                <v:textbox inset="1mm,1mm,1mm,1mm">
                  <w:txbxContent>
                    <w:p w14:paraId="3FECDAD7"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Metāl-apstrāde</w:t>
                      </w:r>
                    </w:p>
                    <w:p w14:paraId="7C944E0E"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1,2%</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83031" behindDoc="0" locked="0" layoutInCell="1" allowOverlap="1" wp14:anchorId="54EEEAEA" wp14:editId="6CB70559">
                <wp:simplePos x="0" y="0"/>
                <wp:positionH relativeFrom="column">
                  <wp:posOffset>593008</wp:posOffset>
                </wp:positionH>
                <wp:positionV relativeFrom="paragraph">
                  <wp:posOffset>1464945</wp:posOffset>
                </wp:positionV>
                <wp:extent cx="398352" cy="345082"/>
                <wp:effectExtent l="0" t="0" r="1905" b="0"/>
                <wp:wrapNone/>
                <wp:docPr id="47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352" cy="345082"/>
                        </a:xfrm>
                        <a:prstGeom prst="rect">
                          <a:avLst/>
                        </a:prstGeom>
                        <a:noFill/>
                        <a:ln w="6350">
                          <a:noFill/>
                        </a:ln>
                      </wps:spPr>
                      <wps:txbx>
                        <w:txbxContent>
                          <w:p w14:paraId="60837B20"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C23</w:t>
                            </w:r>
                          </w:p>
                          <w:p w14:paraId="2F176733"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4EEEAEA" id="Text Box 477" o:spid="_x0000_s1085" type="#_x0000_t202" style="position:absolute;margin-left:46.7pt;margin-top:115.35pt;width:31.35pt;height:27.15pt;z-index:251683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" filled="f" stroked="f" strokeweight=".5pt">
                <v:textbox inset="1mm,1mm,1mm,1mm">
                  <w:txbxContent>
                    <w:p w14:paraId="60837B20"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C23</w:t>
                      </w:r>
                    </w:p>
                    <w:p w14:paraId="2F176733"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0,7%</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29111" behindDoc="0" locked="0" layoutInCell="1" allowOverlap="1" wp14:anchorId="44550837" wp14:editId="0D28FA94">
                <wp:simplePos x="0" y="0"/>
                <wp:positionH relativeFrom="column">
                  <wp:posOffset>593090</wp:posOffset>
                </wp:positionH>
                <wp:positionV relativeFrom="paragraph">
                  <wp:posOffset>1873803</wp:posOffset>
                </wp:positionV>
                <wp:extent cx="497941" cy="360000"/>
                <wp:effectExtent l="0" t="0" r="0" b="2540"/>
                <wp:wrapNone/>
                <wp:docPr id="478"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941" cy="360000"/>
                        </a:xfrm>
                        <a:prstGeom prst="rect">
                          <a:avLst/>
                        </a:prstGeom>
                        <a:noFill/>
                        <a:ln w="6350">
                          <a:noFill/>
                        </a:ln>
                      </wps:spPr>
                      <wps:txbx>
                        <w:txbxContent>
                          <w:p w14:paraId="2FDECA92"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C27</w:t>
                            </w:r>
                          </w:p>
                          <w:p w14:paraId="110E21FA"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4550837" id="Text Box 478" o:spid="_x0000_s1086" type="#_x0000_t202" style="position:absolute;margin-left:46.7pt;margin-top:147.55pt;width:39.2pt;height:28.35pt;z-index:2517291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" filled="f" stroked="f" strokeweight=".5pt">
                <v:textbox inset="1mm,1mm,1mm,1mm">
                  <w:txbxContent>
                    <w:p w14:paraId="2FDECA92"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C27</w:t>
                      </w:r>
                    </w:p>
                    <w:p w14:paraId="110E21FA"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0,6%</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61527" behindDoc="0" locked="0" layoutInCell="1" allowOverlap="1" wp14:anchorId="7821B603" wp14:editId="40507E69">
                <wp:simplePos x="0" y="0"/>
                <wp:positionH relativeFrom="column">
                  <wp:posOffset>1150067</wp:posOffset>
                </wp:positionH>
                <wp:positionV relativeFrom="paragraph">
                  <wp:posOffset>962025</wp:posOffset>
                </wp:positionV>
                <wp:extent cx="863600" cy="359410"/>
                <wp:effectExtent l="0" t="0" r="0" b="2540"/>
                <wp:wrapNone/>
                <wp:docPr id="4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359410"/>
                        </a:xfrm>
                        <a:prstGeom prst="rect">
                          <a:avLst/>
                        </a:prstGeom>
                        <a:noFill/>
                        <a:ln w="6350">
                          <a:noFill/>
                        </a:ln>
                      </wps:spPr>
                      <wps:txbx>
                        <w:txbxContent>
                          <w:p w14:paraId="663A2C9D"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Pārtikas ražošana</w:t>
                            </w:r>
                          </w:p>
                          <w:p w14:paraId="60CE7719"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821B603" id="Text Box 479" o:spid="_x0000_s1087" type="#_x0000_t202" style="position:absolute;margin-left:90.55pt;margin-top:75.75pt;width:68pt;height:28.3pt;z-index:251661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" filled="f" stroked="f" strokeweight=".5pt">
                <v:textbox inset="1mm,1mm,1mm,1mm">
                  <w:txbxContent>
                    <w:p w14:paraId="663A2C9D"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Pārtikas ražošana</w:t>
                      </w:r>
                    </w:p>
                    <w:p w14:paraId="60CE7719"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3%</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28087" behindDoc="0" locked="0" layoutInCell="1" allowOverlap="1" wp14:anchorId="6B0E5C95" wp14:editId="2102A330">
                <wp:simplePos x="0" y="0"/>
                <wp:positionH relativeFrom="column">
                  <wp:posOffset>1157605</wp:posOffset>
                </wp:positionH>
                <wp:positionV relativeFrom="paragraph">
                  <wp:posOffset>1324692</wp:posOffset>
                </wp:positionV>
                <wp:extent cx="430014" cy="360000"/>
                <wp:effectExtent l="0" t="0" r="8255" b="2540"/>
                <wp:wrapNone/>
                <wp:docPr id="48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014" cy="360000"/>
                        </a:xfrm>
                        <a:prstGeom prst="rect">
                          <a:avLst/>
                        </a:prstGeom>
                        <a:noFill/>
                        <a:ln w="6350">
                          <a:noFill/>
                        </a:ln>
                      </wps:spPr>
                      <wps:txbx>
                        <w:txbxContent>
                          <w:p w14:paraId="6BBBE1C8"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C22</w:t>
                            </w:r>
                          </w:p>
                          <w:p w14:paraId="21D19E7C"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B0E5C95" id="Text Box 480" o:spid="_x0000_s1088" type="#_x0000_t202" style="position:absolute;margin-left:91.15pt;margin-top:104.3pt;width:33.85pt;height:28.35pt;z-index:251728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" filled="f" stroked="f" strokeweight=".5pt">
                <v:textbox inset="1mm,1mm,1mm,1mm">
                  <w:txbxContent>
                    <w:p w14:paraId="6BBBE1C8"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C22</w:t>
                      </w:r>
                    </w:p>
                    <w:p w14:paraId="21D19E7C"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0,5%</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27063" behindDoc="0" locked="0" layoutInCell="1" allowOverlap="1" wp14:anchorId="7D3B2101" wp14:editId="606E28E2">
                <wp:simplePos x="0" y="0"/>
                <wp:positionH relativeFrom="column">
                  <wp:posOffset>1671095</wp:posOffset>
                </wp:positionH>
                <wp:positionV relativeFrom="paragraph">
                  <wp:posOffset>1322416</wp:posOffset>
                </wp:positionV>
                <wp:extent cx="430014" cy="360000"/>
                <wp:effectExtent l="0" t="0" r="8255" b="2540"/>
                <wp:wrapNone/>
                <wp:docPr id="48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014" cy="360000"/>
                        </a:xfrm>
                        <a:prstGeom prst="rect">
                          <a:avLst/>
                        </a:prstGeom>
                        <a:noFill/>
                        <a:ln w="6350">
                          <a:noFill/>
                        </a:ln>
                      </wps:spPr>
                      <wps:txbx>
                        <w:txbxContent>
                          <w:p w14:paraId="01B9B306"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C13-15</w:t>
                            </w:r>
                          </w:p>
                          <w:p w14:paraId="4C159497"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D3B2101" id="Text Box 482" o:spid="_x0000_s1089" type="#_x0000_t202" style="position:absolute;margin-left:131.6pt;margin-top:104.15pt;width:33.85pt;height:28.35pt;z-index:251727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" filled="f" stroked="f" strokeweight=".5pt">
                <v:textbox inset="1mm,1mm,1mm,1mm">
                  <w:txbxContent>
                    <w:p w14:paraId="01B9B306"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C13-15</w:t>
                      </w:r>
                    </w:p>
                    <w:p w14:paraId="4C159497"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26039" behindDoc="0" locked="0" layoutInCell="1" allowOverlap="1" wp14:anchorId="7D235A50" wp14:editId="504CA4B3">
                <wp:simplePos x="0" y="0"/>
                <wp:positionH relativeFrom="column">
                  <wp:posOffset>1158875</wp:posOffset>
                </wp:positionH>
                <wp:positionV relativeFrom="paragraph">
                  <wp:posOffset>1807128</wp:posOffset>
                </wp:positionV>
                <wp:extent cx="325925" cy="359410"/>
                <wp:effectExtent l="0" t="0" r="0" b="2540"/>
                <wp:wrapNone/>
                <wp:docPr id="48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925" cy="359410"/>
                        </a:xfrm>
                        <a:prstGeom prst="rect">
                          <a:avLst/>
                        </a:prstGeom>
                        <a:noFill/>
                        <a:ln w="6350">
                          <a:noFill/>
                        </a:ln>
                      </wps:spPr>
                      <wps:txbx>
                        <w:txbxContent>
                          <w:p w14:paraId="72F25386"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C28</w:t>
                            </w:r>
                          </w:p>
                          <w:p w14:paraId="557B3763"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D235A50" id="Text Box 484" o:spid="_x0000_s1090" type="#_x0000_t202" style="position:absolute;margin-left:91.25pt;margin-top:142.3pt;width:25.65pt;height:28.3pt;z-index:251726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" filled="f" stroked="f" strokeweight=".5pt">
                <v:textbox inset="1mm,1mm,1mm,1mm">
                  <w:txbxContent>
                    <w:p w14:paraId="72F25386"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C28</w:t>
                      </w:r>
                    </w:p>
                    <w:p w14:paraId="557B3763"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25015" behindDoc="0" locked="0" layoutInCell="1" allowOverlap="1" wp14:anchorId="275747C3" wp14:editId="5A68CA6C">
                <wp:simplePos x="0" y="0"/>
                <wp:positionH relativeFrom="column">
                  <wp:posOffset>1482643</wp:posOffset>
                </wp:positionH>
                <wp:positionV relativeFrom="paragraph">
                  <wp:posOffset>1809115</wp:posOffset>
                </wp:positionV>
                <wp:extent cx="325925" cy="359410"/>
                <wp:effectExtent l="0" t="0" r="0" b="2540"/>
                <wp:wrapNone/>
                <wp:docPr id="485"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925" cy="359410"/>
                        </a:xfrm>
                        <a:prstGeom prst="rect">
                          <a:avLst/>
                        </a:prstGeom>
                        <a:noFill/>
                        <a:ln w="6350">
                          <a:noFill/>
                        </a:ln>
                      </wps:spPr>
                      <wps:txbx>
                        <w:txbxContent>
                          <w:p w14:paraId="7308A69B"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C32</w:t>
                            </w:r>
                          </w:p>
                          <w:p w14:paraId="2DEC79C0"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75747C3" id="Text Box 485" o:spid="_x0000_s1091" type="#_x0000_t202" style="position:absolute;margin-left:116.75pt;margin-top:142.45pt;width:25.65pt;height:28.3pt;z-index:251725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" filled="f" stroked="f" strokeweight=".5pt">
                <v:textbox inset="1mm,1mm,1mm,1mm">
                  <w:txbxContent>
                    <w:p w14:paraId="7308A69B"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C32</w:t>
                      </w:r>
                    </w:p>
                    <w:p w14:paraId="2DEC79C0"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84055" behindDoc="0" locked="0" layoutInCell="1" allowOverlap="1" wp14:anchorId="012A6F20" wp14:editId="53F5C297">
                <wp:simplePos x="0" y="0"/>
                <wp:positionH relativeFrom="column">
                  <wp:posOffset>1802212</wp:posOffset>
                </wp:positionH>
                <wp:positionV relativeFrom="paragraph">
                  <wp:posOffset>1805305</wp:posOffset>
                </wp:positionV>
                <wp:extent cx="325925" cy="359410"/>
                <wp:effectExtent l="0" t="0" r="0" b="2540"/>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925" cy="359410"/>
                        </a:xfrm>
                        <a:prstGeom prst="rect">
                          <a:avLst/>
                        </a:prstGeom>
                        <a:noFill/>
                        <a:ln w="6350">
                          <a:noFill/>
                        </a:ln>
                      </wps:spPr>
                      <wps:txbx>
                        <w:txbxContent>
                          <w:p w14:paraId="640794E3"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C20</w:t>
                            </w:r>
                          </w:p>
                          <w:p w14:paraId="11E7B603"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12A6F20" id="Text Box 486" o:spid="_x0000_s1092" type="#_x0000_t202" style="position:absolute;margin-left:141.9pt;margin-top:142.15pt;width:25.65pt;height:28.3pt;z-index:2516840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" filled="f" stroked="f" strokeweight=".5pt">
                <v:textbox inset="1mm,1mm,1mm,1mm">
                  <w:txbxContent>
                    <w:p w14:paraId="640794E3"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C20</w:t>
                      </w:r>
                    </w:p>
                    <w:p w14:paraId="11E7B603"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0,4%</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21943" behindDoc="0" locked="0" layoutInCell="1" allowOverlap="1" wp14:anchorId="1636FBE4" wp14:editId="566A2162">
                <wp:simplePos x="0" y="0"/>
                <wp:positionH relativeFrom="column">
                  <wp:posOffset>1746885</wp:posOffset>
                </wp:positionH>
                <wp:positionV relativeFrom="paragraph">
                  <wp:posOffset>2216150</wp:posOffset>
                </wp:positionV>
                <wp:extent cx="353085" cy="323196"/>
                <wp:effectExtent l="0" t="0" r="8890" b="127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085" cy="323196"/>
                        </a:xfrm>
                        <a:prstGeom prst="rect">
                          <a:avLst/>
                        </a:prstGeom>
                        <a:noFill/>
                        <a:ln w="6350">
                          <a:noFill/>
                        </a:ln>
                      </wps:spPr>
                      <wps:txbx>
                        <w:txbxContent>
                          <w:p w14:paraId="013E5A00"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C18</w:t>
                            </w:r>
                          </w:p>
                          <w:p w14:paraId="500F5B5C"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0,3%</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636FBE4" id="Text Box 489" o:spid="_x0000_s1093" type="#_x0000_t202" style="position:absolute;margin-left:137.55pt;margin-top:174.5pt;width:27.8pt;height:25.45pt;z-index:251721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" filled="f" stroked="f" strokeweight=".5pt">
                <v:textbox inset="1mm,1mm,1mm,1mm">
                  <w:txbxContent>
                    <w:p w14:paraId="013E5A00"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C18</w:t>
                      </w:r>
                    </w:p>
                    <w:p w14:paraId="500F5B5C"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0,3%</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20919" behindDoc="0" locked="0" layoutInCell="1" allowOverlap="1" wp14:anchorId="408F9859" wp14:editId="5FD46FD0">
                <wp:simplePos x="0" y="0"/>
                <wp:positionH relativeFrom="column">
                  <wp:posOffset>593732</wp:posOffset>
                </wp:positionH>
                <wp:positionV relativeFrom="paragraph">
                  <wp:posOffset>2291137</wp:posOffset>
                </wp:positionV>
                <wp:extent cx="543208" cy="359410"/>
                <wp:effectExtent l="0" t="0" r="952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208" cy="359410"/>
                        </a:xfrm>
                        <a:prstGeom prst="rect">
                          <a:avLst/>
                        </a:prstGeom>
                        <a:noFill/>
                        <a:ln w="6350">
                          <a:noFill/>
                        </a:ln>
                      </wps:spPr>
                      <wps:txbx>
                        <w:txbxContent>
                          <w:p w14:paraId="7830BC73"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C29-30</w:t>
                            </w:r>
                          </w:p>
                          <w:p w14:paraId="00BA7FE4"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08F9859" id="Text Box 2" o:spid="_x0000_s1094" type="#_x0000_t202" style="position:absolute;margin-left:46.75pt;margin-top:180.4pt;width:42.75pt;height:28.3pt;z-index:251720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" filled="f" stroked="f" strokeweight=".5pt">
                <v:textbox inset="1mm,1mm,1mm,1mm">
                  <w:txbxContent>
                    <w:p w14:paraId="7830BC73"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C29-30</w:t>
                      </w:r>
                    </w:p>
                    <w:p w14:paraId="00BA7FE4" w14:textId="77777777" w:rsidR="00B83D7D" w:rsidRPr="0080669C" w:rsidRDefault="00B83D7D" w:rsidP="00C075DC">
                      <w:pPr>
                        <w:tabs>
                          <w:tab w:val="left" w:pos="756"/>
                          <w:tab w:val="left" w:pos="1372"/>
                          <w:tab w:val="left" w:pos="4820"/>
                        </w:tabs>
                        <w:spacing w:after="0"/>
                        <w:rPr>
                          <w:rFonts w:ascii="Segoe UI Light" w:hAnsi="Segoe UI Light" w:cs="Segoe UI Light"/>
                          <w:sz w:val="16"/>
                          <w:szCs w:val="16"/>
                        </w:rPr>
                      </w:pPr>
                      <w:r w:rsidRPr="0080669C">
                        <w:rPr>
                          <w:rFonts w:ascii="Segoe UI Light" w:hAnsi="Segoe UI Light" w:cs="Segoe UI Light"/>
                          <w:sz w:val="16"/>
                          <w:szCs w:val="16"/>
                        </w:rPr>
                        <w:t>0,6%</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82007" behindDoc="0" locked="0" layoutInCell="1" allowOverlap="1" wp14:anchorId="73D26476" wp14:editId="69650444">
                <wp:simplePos x="0" y="0"/>
                <wp:positionH relativeFrom="column">
                  <wp:posOffset>9784</wp:posOffset>
                </wp:positionH>
                <wp:positionV relativeFrom="paragraph">
                  <wp:posOffset>2268503</wp:posOffset>
                </wp:positionV>
                <wp:extent cx="470780" cy="381295"/>
                <wp:effectExtent l="0" t="0" r="5715" b="0"/>
                <wp:wrapNone/>
                <wp:docPr id="1391" name="Text Box 1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780" cy="381295"/>
                        </a:xfrm>
                        <a:prstGeom prst="rect">
                          <a:avLst/>
                        </a:prstGeom>
                        <a:noFill/>
                        <a:ln w="6350">
                          <a:noFill/>
                        </a:ln>
                      </wps:spPr>
                      <wps:txbx>
                        <w:txbxContent>
                          <w:p w14:paraId="0DC907E7"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C26</w:t>
                            </w:r>
                          </w:p>
                          <w:p w14:paraId="7440D3A0"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0,7%</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3D26476" id="Text Box 1391" o:spid="_x0000_s1095" type="#_x0000_t202" style="position:absolute;margin-left:.75pt;margin-top:178.6pt;width:37.05pt;height:30pt;z-index:2516820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" filled="f" stroked="f" strokeweight=".5pt">
                <v:textbox inset="1mm,1mm,1mm,1mm">
                  <w:txbxContent>
                    <w:p w14:paraId="0DC907E7"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C26</w:t>
                      </w:r>
                    </w:p>
                    <w:p w14:paraId="7440D3A0"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0,7%</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60503" behindDoc="0" locked="0" layoutInCell="1" allowOverlap="1" wp14:anchorId="63619937" wp14:editId="323FBE21">
                <wp:simplePos x="0" y="0"/>
                <wp:positionH relativeFrom="column">
                  <wp:posOffset>8255</wp:posOffset>
                </wp:positionH>
                <wp:positionV relativeFrom="paragraph">
                  <wp:posOffset>962742</wp:posOffset>
                </wp:positionV>
                <wp:extent cx="792000" cy="360000"/>
                <wp:effectExtent l="0" t="0" r="8255" b="2540"/>
                <wp:wrapNone/>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2000" cy="360000"/>
                        </a:xfrm>
                        <a:prstGeom prst="rect">
                          <a:avLst/>
                        </a:prstGeom>
                        <a:noFill/>
                        <a:ln w="6350">
                          <a:noFill/>
                        </a:ln>
                      </wps:spPr>
                      <wps:txbx>
                        <w:txbxContent>
                          <w:p w14:paraId="76039AFE"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Kokapstrāde</w:t>
                            </w:r>
                          </w:p>
                          <w:p w14:paraId="035E003B"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3,6%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3619937" id="Text Box 490" o:spid="_x0000_s1096" type="#_x0000_t202" style="position:absolute;margin-left:.65pt;margin-top:75.8pt;width:62.35pt;height:28.35pt;z-index:251660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" filled="f" stroked="f" strokeweight=".5pt">
                <v:textbox inset="1mm,1mm,1mm,1mm">
                  <w:txbxContent>
                    <w:p w14:paraId="76039AFE"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Kokapstrāde</w:t>
                      </w:r>
                    </w:p>
                    <w:p w14:paraId="035E003B" w14:textId="77777777" w:rsidR="00B83D7D" w:rsidRPr="0080669C" w:rsidRDefault="00B83D7D" w:rsidP="00C075DC">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3,6%</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662551" behindDoc="0" locked="0" layoutInCell="1" allowOverlap="1" wp14:anchorId="526DC816" wp14:editId="58A1D480">
                <wp:simplePos x="0" y="0"/>
                <wp:positionH relativeFrom="column">
                  <wp:posOffset>11430</wp:posOffset>
                </wp:positionH>
                <wp:positionV relativeFrom="paragraph">
                  <wp:posOffset>79375</wp:posOffset>
                </wp:positionV>
                <wp:extent cx="1225550" cy="252000"/>
                <wp:effectExtent l="0" t="0" r="0" b="0"/>
                <wp:wrapNone/>
                <wp:docPr id="491"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483B97F2"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Apstrādes rūpniecība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26DC816" id="Text Box 491" o:spid="_x0000_s1097" type="#_x0000_t202" style="position:absolute;margin-left:.9pt;margin-top:6.25pt;width:96.5pt;height:19.85pt;z-index:251662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" filled="f" stroked="f" strokeweight=".5pt">
                <v:textbox inset="2mm,1mm,1mm,1mm">
                  <w:txbxContent>
                    <w:p w14:paraId="483B97F2" w14:textId="77777777" w:rsidR="00B83D7D" w:rsidRPr="0080669C" w:rsidRDefault="00B83D7D" w:rsidP="00C075DC">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Apstrādes rūpniecība</w:t>
                      </w:r>
                    </w:p>
                  </w:txbxContent>
                </v:textbox>
              </v:shape>
            </w:pict>
          </mc:Fallback>
        </mc:AlternateContent>
      </w:r>
      <w:r w:rsidRPr="0048099C">
        <w:rPr>
          <w:rFonts w:ascii="Candara" w:hAnsi="Candara"/>
          <w:b/>
          <w:noProof/>
          <w:color w:val="FFFFFF"/>
          <w:sz w:val="14"/>
          <w:szCs w:val="14"/>
          <w:lang w:val="en-US"/>
        </w:rPr>
        <mc:AlternateContent>
          <mc:Choice Requires="cx1">
            <w:drawing>
              <wp:inline distT="0" distB="0" distL="0" distR="0" wp14:anchorId="53620A8A" wp14:editId="733B3A61">
                <wp:extent cx="5868000" cy="7164000"/>
                <wp:effectExtent l="0" t="0" r="0" b="0"/>
                <wp:docPr id="495" name="Chart 495"/>
                <wp:cNvGraphicFramePr>
                  <a:graphicFrameLocks xmlns:a="http://schemas.openxmlformats.org/drawingml/2006/main" noGrp="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4"/>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drawing>
              <wp:inline distT="0" distB="0" distL="0" distR="0" wp14:anchorId="53620A8A" wp14:editId="733B3A61">
                <wp:extent cx="5868000" cy="7164000"/>
                <wp:effectExtent l="0" t="0" r="0" b="0"/>
                <wp:docPr id="495" name="Chart 495"/>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95" name="Chart 495"/>
                        <pic:cNvPicPr>
                          <a:picLocks noGrp="1" noRot="1" noChangeAspect="1" noMove="1" noResize="1" noEditPoints="1" noAdjustHandles="1" noChangeArrowheads="1" noChangeShapeType="1"/>
                        </pic:cNvPicPr>
                      </pic:nvPicPr>
                      <pic:blipFill>
                        <a:blip r:embed="rId15"/>
                        <a:stretch>
                          <a:fillRect/>
                        </a:stretch>
                      </pic:blipFill>
                      <pic:spPr>
                        <a:xfrm>
                          <a:off x="0" y="0"/>
                          <a:ext cx="5867400" cy="7163435"/>
                        </a:xfrm>
                        <a:prstGeom prst="rect">
                          <a:avLst/>
                        </a:prstGeom>
                      </pic:spPr>
                    </pic:pic>
                  </a:graphicData>
                </a:graphic>
              </wp:inline>
            </w:drawing>
          </mc:Fallback>
        </mc:AlternateContent>
      </w:r>
    </w:p>
    <w:p w14:paraId="7AC6288D" w14:textId="05ACC77E" w:rsidR="0080669C" w:rsidRPr="0080669C" w:rsidRDefault="0080669C" w:rsidP="000A4643">
      <w:pPr>
        <w:spacing w:after="0"/>
        <w:jc w:val="both"/>
        <w:rPr>
          <w:rFonts w:ascii="Segoe UI Light" w:hAnsi="Segoe UI Light" w:cs="Segoe UI Light"/>
          <w:sz w:val="16"/>
          <w:szCs w:val="16"/>
        </w:rPr>
      </w:pPr>
      <w:r w:rsidRPr="0080669C">
        <w:rPr>
          <w:rFonts w:ascii="Segoe UI Light" w:hAnsi="Segoe UI Light" w:cs="Segoe UI Light"/>
          <w:sz w:val="16"/>
          <w:szCs w:val="16"/>
        </w:rPr>
        <w:t>C13-15 – Vieglā rūpniecība; C18 – Poligrāfija; C20 – Ķīmiskā rūpniecība; C21 – Farmaceitisko preparātu ražošana; C22 – Gumijas un plastmasas izstr</w:t>
      </w:r>
      <w:r>
        <w:rPr>
          <w:rFonts w:ascii="Segoe UI Light" w:hAnsi="Segoe UI Light" w:cs="Segoe UI Light"/>
          <w:sz w:val="16"/>
          <w:szCs w:val="16"/>
        </w:rPr>
        <w:t>ādājumu</w:t>
      </w:r>
      <w:r w:rsidRPr="0080669C">
        <w:rPr>
          <w:rFonts w:ascii="Segoe UI Light" w:hAnsi="Segoe UI Light" w:cs="Segoe UI Light"/>
          <w:sz w:val="16"/>
          <w:szCs w:val="16"/>
        </w:rPr>
        <w:t xml:space="preserve"> ražošana; C23 – Nemetālisko minerālu izstr</w:t>
      </w:r>
      <w:r>
        <w:rPr>
          <w:rFonts w:ascii="Segoe UI Light" w:hAnsi="Segoe UI Light" w:cs="Segoe UI Light"/>
          <w:sz w:val="16"/>
          <w:szCs w:val="16"/>
        </w:rPr>
        <w:t>ādājumu</w:t>
      </w:r>
      <w:r w:rsidRPr="0080669C">
        <w:rPr>
          <w:rFonts w:ascii="Segoe UI Light" w:hAnsi="Segoe UI Light" w:cs="Segoe UI Light"/>
          <w:sz w:val="16"/>
          <w:szCs w:val="16"/>
        </w:rPr>
        <w:t xml:space="preserve"> ražošana; C26 – Datoru un elektronisko iekārtu ražošana; C27 – Elektrisko iekārtu ražošana; C28 – Iekārtu, mehānismu un mašīnu ražošana; C29-30 – Transportlīdzekļu ražošana; C31 – Mēbeļu ražošana; H51 – Gaisa transports; H53 – Pasta un kurjeru darbība; I55 – Izmitināšana; J58-60 – Izdevējdarbība, kino, radio, TV programmu izstrāde; K66 – Finanšu palīgdarbības; M71 – Arhitektūras un inženiertehniskie pakalpojumi; M72 – Zinātniski pētnieciskais darbs; M73 – Reklāma un tirgus izpēte; M74 – Citi profesionālie, zinātniskie un tehniskie pakalpojumi; N77 – Iznomāšana un līzings; N79 – Ceļojumu biroju darbība; R90 – Radošas, mākslinieciskas darbības; R92 – Azartspēles un derības; R93 – Sports un izklaide; T – Mājsaimniecību darbība</w:t>
      </w:r>
    </w:p>
    <w:p w14:paraId="1AA53145" w14:textId="54482474" w:rsidR="0080669C" w:rsidRPr="00BF61E6" w:rsidRDefault="0080669C" w:rsidP="003677B6">
      <w:pPr>
        <w:spacing w:after="120"/>
        <w:jc w:val="both"/>
        <w:rPr>
          <w:rFonts w:cs="Calibri Light"/>
          <w:sz w:val="16"/>
          <w:szCs w:val="16"/>
        </w:rPr>
      </w:pPr>
      <w:r w:rsidRPr="00BF61E6">
        <w:rPr>
          <w:rFonts w:cs="Calibri Light"/>
          <w:noProof/>
          <w:color w:val="000000"/>
          <w:sz w:val="16"/>
          <w:szCs w:val="16"/>
          <w:lang w:eastAsia="lv-LV"/>
        </w:rPr>
        <w:t>* – EM novērtējums</w:t>
      </w:r>
    </w:p>
    <w:p w14:paraId="04D145E0" w14:textId="526C86EF" w:rsidR="0080669C" w:rsidRDefault="0080669C" w:rsidP="003677B6">
      <w:pPr>
        <w:spacing w:after="120"/>
        <w:jc w:val="both"/>
        <w:rPr>
          <w:szCs w:val="26"/>
        </w:rPr>
      </w:pPr>
      <w:r w:rsidRPr="00686305">
        <w:rPr>
          <w:szCs w:val="26"/>
        </w:rPr>
        <w:lastRenderedPageBreak/>
        <w:t>2015.-2019</w:t>
      </w:r>
      <w:r w:rsidR="00FF63B5">
        <w:rPr>
          <w:szCs w:val="26"/>
        </w:rPr>
        <w:t>. gad</w:t>
      </w:r>
      <w:r w:rsidRPr="00686305">
        <w:rPr>
          <w:szCs w:val="26"/>
        </w:rPr>
        <w:t>os izaugsme bija visās nozarēs, izņemot elektroenerģijas, gāzes apgādes, siltumapgādes un gaisa kondicionēšanas nozari, finanšu darbības un operācijas ar nekustamo īpašumu. Tirdzniecības un apstrādes rūpniecības apjomu kāpumam bija lielākā ietekme izaugsmē. 2020</w:t>
      </w:r>
      <w:r w:rsidR="00FF63B5">
        <w:rPr>
          <w:szCs w:val="26"/>
        </w:rPr>
        <w:t>. gad</w:t>
      </w:r>
      <w:r w:rsidRPr="00686305">
        <w:rPr>
          <w:szCs w:val="26"/>
        </w:rPr>
        <w:t>ā Covid-19 krīze negatīvi ietekmēja praktiski visas nozares un lielākā ietekme bija apjomu kritumam lielā daļā pakalpojumu nozaru un būvniecībā. Ekonomikai atlabstot, 2021.-2022</w:t>
      </w:r>
      <w:r w:rsidR="00FF63B5">
        <w:rPr>
          <w:szCs w:val="26"/>
        </w:rPr>
        <w:t>. gad</w:t>
      </w:r>
      <w:r w:rsidRPr="00686305">
        <w:rPr>
          <w:szCs w:val="26"/>
        </w:rPr>
        <w:t>ā izaugsme bija vērojama visās nozarēs, izņemot būvniecību un pārējo rūpniecību. Lielākā ietekme bija apjomu kāpumam tirdzniecībā un apstrādes rūpniecībā.</w:t>
      </w:r>
      <w:r w:rsidRPr="00686305">
        <w:t xml:space="preserve"> </w:t>
      </w:r>
      <w:r w:rsidRPr="00686305">
        <w:rPr>
          <w:szCs w:val="26"/>
        </w:rPr>
        <w:t>2023</w:t>
      </w:r>
      <w:r w:rsidR="00FF63B5">
        <w:rPr>
          <w:szCs w:val="26"/>
        </w:rPr>
        <w:t>. gad</w:t>
      </w:r>
      <w:r>
        <w:rPr>
          <w:szCs w:val="26"/>
        </w:rPr>
        <w:t>ā</w:t>
      </w:r>
      <w:r w:rsidRPr="00686305">
        <w:rPr>
          <w:szCs w:val="26"/>
        </w:rPr>
        <w:t>, ekonomikai sabremzējoties, apjomi samazinājās visās ražojošajās nozarēs, izņemot būvniecību, bet pieauga visās pakalpojumu nozarēs, izņemot tirdzniecību, transportu un veselības aprūpi. Lielākā ietekme bija apjomu kāpumam būvniecībā</w:t>
      </w:r>
      <w:r>
        <w:rPr>
          <w:szCs w:val="26"/>
        </w:rPr>
        <w:t xml:space="preserve"> un valsts pārvaldē un aizsardzībā</w:t>
      </w:r>
      <w:r w:rsidRPr="00686305">
        <w:rPr>
          <w:szCs w:val="26"/>
        </w:rPr>
        <w:t xml:space="preserve"> un kritumam tirdzniecībā</w:t>
      </w:r>
      <w:r>
        <w:rPr>
          <w:szCs w:val="26"/>
        </w:rPr>
        <w:t>,</w:t>
      </w:r>
      <w:r w:rsidRPr="00686305">
        <w:rPr>
          <w:szCs w:val="26"/>
        </w:rPr>
        <w:t xml:space="preserve"> apstrādes rūpniecībā un</w:t>
      </w:r>
      <w:r>
        <w:rPr>
          <w:szCs w:val="26"/>
        </w:rPr>
        <w:t xml:space="preserve"> transportā</w:t>
      </w:r>
      <w:r w:rsidRPr="00686305">
        <w:rPr>
          <w:szCs w:val="26"/>
        </w:rPr>
        <w:t>.</w:t>
      </w:r>
    </w:p>
    <w:p w14:paraId="77022AAA" w14:textId="6B2FF3E5" w:rsidR="00B73A48" w:rsidRPr="003B4CDA" w:rsidRDefault="00B73A48" w:rsidP="003677B6">
      <w:pPr>
        <w:spacing w:after="120"/>
        <w:jc w:val="both"/>
        <w:rPr>
          <w:szCs w:val="20"/>
        </w:rPr>
      </w:pPr>
      <w:r w:rsidRPr="003B4CDA">
        <w:rPr>
          <w:b/>
          <w:szCs w:val="20"/>
        </w:rPr>
        <w:t>Lauksaimniecības, mežsaimniecības un zivsaimniecības</w:t>
      </w:r>
      <w:r w:rsidRPr="003B4CDA">
        <w:rPr>
          <w:szCs w:val="20"/>
        </w:rPr>
        <w:t xml:space="preserve"> nozarē kopumā vērojama nevienmērīga izaugsme, jo</w:t>
      </w:r>
      <w:r w:rsidRPr="003B4CDA">
        <w:t xml:space="preserve"> </w:t>
      </w:r>
      <w:r w:rsidRPr="003B4CDA">
        <w:rPr>
          <w:szCs w:val="20"/>
        </w:rPr>
        <w:t xml:space="preserve">nozares darbība ir cieši saistīta ar laika apstākļiem. </w:t>
      </w:r>
      <w:r w:rsidRPr="00B20E30">
        <w:rPr>
          <w:szCs w:val="20"/>
        </w:rPr>
        <w:t>2022</w:t>
      </w:r>
      <w:r w:rsidR="00FF63B5">
        <w:rPr>
          <w:szCs w:val="20"/>
        </w:rPr>
        <w:t>. gad</w:t>
      </w:r>
      <w:r w:rsidRPr="00B20E30">
        <w:rPr>
          <w:szCs w:val="20"/>
        </w:rPr>
        <w:t>ā nozaru apjomi pieauga būtiski, ko veicināja straujš apjomu kāpums mežsaimniecībā un mežistrādē</w:t>
      </w:r>
      <w:r>
        <w:rPr>
          <w:szCs w:val="20"/>
        </w:rPr>
        <w:t>, būtiski pieaugot pieprasījumam pēc koksnes resursiem.</w:t>
      </w:r>
      <w:r w:rsidRPr="001D0DDE">
        <w:rPr>
          <w:szCs w:val="20"/>
        </w:rPr>
        <w:t xml:space="preserve"> </w:t>
      </w:r>
      <w:r>
        <w:rPr>
          <w:szCs w:val="20"/>
        </w:rPr>
        <w:t xml:space="preserve">Savukārt </w:t>
      </w:r>
      <w:r w:rsidRPr="001D0DDE">
        <w:rPr>
          <w:szCs w:val="20"/>
        </w:rPr>
        <w:t>202</w:t>
      </w:r>
      <w:r>
        <w:rPr>
          <w:szCs w:val="20"/>
        </w:rPr>
        <w:t>3</w:t>
      </w:r>
      <w:r w:rsidR="00FF63B5">
        <w:rPr>
          <w:szCs w:val="20"/>
        </w:rPr>
        <w:t>. gad</w:t>
      </w:r>
      <w:r w:rsidRPr="001D0DDE">
        <w:rPr>
          <w:szCs w:val="20"/>
        </w:rPr>
        <w:t>ā kopumā nozaru apjomi samazinājās</w:t>
      </w:r>
      <w:r>
        <w:rPr>
          <w:szCs w:val="20"/>
        </w:rPr>
        <w:t>,</w:t>
      </w:r>
      <w:r w:rsidRPr="001D0DDE">
        <w:rPr>
          <w:szCs w:val="20"/>
        </w:rPr>
        <w:t xml:space="preserve"> </w:t>
      </w:r>
      <w:r w:rsidRPr="00B20E30">
        <w:rPr>
          <w:szCs w:val="20"/>
        </w:rPr>
        <w:t xml:space="preserve">ko veicināja nelabvēlīgie laikapstākļi. Produkcijas apjomi samazinājās augkopībā un lopkopībā, mežsaimniecībā un mežizstrādē, bet </w:t>
      </w:r>
      <w:r>
        <w:rPr>
          <w:szCs w:val="20"/>
        </w:rPr>
        <w:t xml:space="preserve">pieauga </w:t>
      </w:r>
      <w:r w:rsidRPr="00B20E30">
        <w:rPr>
          <w:szCs w:val="20"/>
        </w:rPr>
        <w:t>zivsaimniecības nozarē.</w:t>
      </w:r>
    </w:p>
    <w:p w14:paraId="292BAE66" w14:textId="43B19755" w:rsidR="00B73A48" w:rsidRPr="003B4CDA" w:rsidRDefault="00B73A48" w:rsidP="003677B6">
      <w:pPr>
        <w:spacing w:after="120"/>
        <w:jc w:val="both"/>
      </w:pPr>
      <w:r w:rsidRPr="4398C881">
        <w:rPr>
          <w:b/>
          <w:bCs/>
        </w:rPr>
        <w:t>Apstrādes rūpniecības</w:t>
      </w:r>
      <w:r>
        <w:t xml:space="preserve"> attīstību veicina Latvijas ražotāju konkurētspējas uzlabošanās, kā arī pieprasījuma dinamika lielākajos eksporta tirgos. </w:t>
      </w:r>
      <w:r w:rsidRPr="005A76A3">
        <w:t>2022</w:t>
      </w:r>
      <w:r w:rsidR="00FF63B5">
        <w:t>. gad</w:t>
      </w:r>
      <w:r w:rsidRPr="005A76A3">
        <w:t xml:space="preserve">a sākumā saglabājas </w:t>
      </w:r>
      <w:r>
        <w:t>s</w:t>
      </w:r>
      <w:r w:rsidRPr="005A76A3">
        <w:t>alīdzinoši strauji nozares izaugsmes tempi</w:t>
      </w:r>
      <w:r>
        <w:t xml:space="preserve">. </w:t>
      </w:r>
      <w:r w:rsidRPr="005A76A3">
        <w:t>To veicināja strauja metālapstrādes un ķīmiskās rūpniecības ražošanas apjomu palielināšanās. Savukārt</w:t>
      </w:r>
      <w:r w:rsidR="00933D26">
        <w:t xml:space="preserve"> </w:t>
      </w:r>
      <w:r w:rsidR="0080669C">
        <w:t>gad</w:t>
      </w:r>
      <w:r w:rsidRPr="005A76A3">
        <w:t>a otrajā pusē pa mēnešiem arvien iezīmējās rūpniecības ražošanas apjomu sarukumi. Kopumā 2022</w:t>
      </w:r>
      <w:r w:rsidR="00FF63B5">
        <w:t>. gad</w:t>
      </w:r>
      <w:r w:rsidRPr="005A76A3">
        <w:t>ā apstrādes rūpniecības izaugsmi par 2,7</w:t>
      </w:r>
      <w:r w:rsidR="0080669C">
        <w:t>%</w:t>
      </w:r>
      <w:r w:rsidRPr="005A76A3">
        <w:t xml:space="preserve"> sekmēja metālapstrādes, ķīmiskās rūpniecības, transportlīdzekļu un nemetālisko minerālu izstrādājumu ražošanas apjomu pieaugums.</w:t>
      </w:r>
      <w:r>
        <w:t xml:space="preserve"> </w:t>
      </w:r>
      <w:r w:rsidRPr="005A76A3">
        <w:t>Līdzīga aina, kāda bija 2022</w:t>
      </w:r>
      <w:r w:rsidR="00FF63B5">
        <w:t>. gad</w:t>
      </w:r>
      <w:r w:rsidRPr="005A76A3">
        <w:t>a otrajā pusē, ir vērojama arī 2023</w:t>
      </w:r>
      <w:r w:rsidR="00FF63B5">
        <w:t>. gad</w:t>
      </w:r>
      <w:r w:rsidRPr="005A76A3">
        <w:t>ā</w:t>
      </w:r>
      <w:r>
        <w:t xml:space="preserve"> un kopumā</w:t>
      </w:r>
      <w:r w:rsidR="00933D26">
        <w:t xml:space="preserve"> </w:t>
      </w:r>
      <w:r w:rsidR="0080669C">
        <w:t>gad</w:t>
      </w:r>
      <w:r>
        <w:t>a laikā apstrādes rūpniecības apjomi saruka par 5,2</w:t>
      </w:r>
      <w:r w:rsidR="0080669C">
        <w:t>%</w:t>
      </w:r>
      <w:r w:rsidRPr="005A76A3">
        <w:t xml:space="preserve">. </w:t>
      </w:r>
      <w:proofErr w:type="spellStart"/>
      <w:r w:rsidRPr="005A76A3">
        <w:t>Apakšnozaru</w:t>
      </w:r>
      <w:proofErr w:type="spellEnd"/>
      <w:r w:rsidRPr="005A76A3">
        <w:t xml:space="preserve"> izlaides apjomu samazinājumu būtiski ietekmēja kokapstrādes apjomu samazinājums, mērenāk – </w:t>
      </w:r>
      <w:r>
        <w:t xml:space="preserve">gatavo metālizstrādājumu, </w:t>
      </w:r>
      <w:r w:rsidRPr="005A76A3">
        <w:t xml:space="preserve">nemetālisko minerālu ražošanas, </w:t>
      </w:r>
      <w:r>
        <w:t xml:space="preserve">mēbeļu ražošanas un farmaceitisko pamatvielu un preparātu ražošanas </w:t>
      </w:r>
      <w:r w:rsidRPr="005A76A3">
        <w:t>izlaides apjomu kritumi. Savukārt pozitīvas tendences šajā laika posmā bija vērojamas pārtikas rūpniecības</w:t>
      </w:r>
      <w:r>
        <w:t>,</w:t>
      </w:r>
      <w:r w:rsidRPr="005A76A3">
        <w:t xml:space="preserve"> elektrisko un </w:t>
      </w:r>
      <w:r>
        <w:t xml:space="preserve">datoru, elektronisko un </w:t>
      </w:r>
      <w:r w:rsidRPr="005A76A3">
        <w:t>optisko iekārtu ražošanas</w:t>
      </w:r>
      <w:r>
        <w:t xml:space="preserve"> </w:t>
      </w:r>
      <w:proofErr w:type="spellStart"/>
      <w:r w:rsidRPr="005A76A3">
        <w:t>apakšnozarēs</w:t>
      </w:r>
      <w:proofErr w:type="spellEnd"/>
      <w:r w:rsidRPr="005A76A3">
        <w:t>.</w:t>
      </w:r>
      <w:r>
        <w:t xml:space="preserve"> 2023</w:t>
      </w:r>
      <w:r w:rsidR="00FF63B5">
        <w:t>. gad</w:t>
      </w:r>
      <w:r>
        <w:t>ā par 2,6</w:t>
      </w:r>
      <w:r w:rsidR="0080669C">
        <w:t>%</w:t>
      </w:r>
      <w:r>
        <w:t xml:space="preserve"> samazinājās arī apstrādes rūpniecības apgrozījums faktiskajās cenās. Nedaudz auga vietējā tirgū realizētās produkcijas apjomi, savukārt eksportētās produkcijas apjomi samazinājās.</w:t>
      </w:r>
    </w:p>
    <w:p w14:paraId="0BCE559A" w14:textId="2A01A445" w:rsidR="00B73A48" w:rsidRPr="003B4CDA" w:rsidRDefault="00B73A48" w:rsidP="003677B6">
      <w:pPr>
        <w:spacing w:after="120"/>
        <w:jc w:val="both"/>
        <w:rPr>
          <w:szCs w:val="20"/>
        </w:rPr>
      </w:pPr>
      <w:r w:rsidRPr="003B4CDA">
        <w:rPr>
          <w:b/>
          <w:szCs w:val="20"/>
        </w:rPr>
        <w:t>Pārējās rūpniecības</w:t>
      </w:r>
      <w:r w:rsidRPr="003B4CDA">
        <w:rPr>
          <w:szCs w:val="20"/>
        </w:rPr>
        <w:t xml:space="preserve"> (ieguves rūpniecība, elektroenerģija un gāzes apgāde) </w:t>
      </w:r>
      <w:r w:rsidRPr="001D0DDE">
        <w:rPr>
          <w:szCs w:val="20"/>
        </w:rPr>
        <w:t>nozaru apjomi 20</w:t>
      </w:r>
      <w:r>
        <w:rPr>
          <w:szCs w:val="20"/>
        </w:rPr>
        <w:t>22</w:t>
      </w:r>
      <w:r w:rsidRPr="001D0DDE">
        <w:rPr>
          <w:szCs w:val="20"/>
        </w:rPr>
        <w:t>.-202</w:t>
      </w:r>
      <w:r>
        <w:rPr>
          <w:szCs w:val="20"/>
        </w:rPr>
        <w:t>3</w:t>
      </w:r>
      <w:r w:rsidR="00FF63B5">
        <w:rPr>
          <w:szCs w:val="20"/>
        </w:rPr>
        <w:t>. gad</w:t>
      </w:r>
      <w:r w:rsidRPr="001D0DDE">
        <w:rPr>
          <w:szCs w:val="20"/>
        </w:rPr>
        <w:t xml:space="preserve">ā </w:t>
      </w:r>
      <w:r>
        <w:rPr>
          <w:szCs w:val="20"/>
        </w:rPr>
        <w:t xml:space="preserve">strauji </w:t>
      </w:r>
      <w:r w:rsidRPr="001D0DDE">
        <w:rPr>
          <w:szCs w:val="20"/>
        </w:rPr>
        <w:t>samazinājās, ko noteica kritums elektroenerģijas un gāzes apgādes nozarē</w:t>
      </w:r>
      <w:r>
        <w:rPr>
          <w:szCs w:val="20"/>
        </w:rPr>
        <w:t>,</w:t>
      </w:r>
      <w:r w:rsidRPr="001D0DDE">
        <w:rPr>
          <w:szCs w:val="20"/>
        </w:rPr>
        <w:t xml:space="preserve"> </w:t>
      </w:r>
      <w:r w:rsidRPr="00FF5C7F">
        <w:rPr>
          <w:szCs w:val="20"/>
        </w:rPr>
        <w:t xml:space="preserve">jo tika pārtrauktas dabasgāzes piegādes no Krievijas, </w:t>
      </w:r>
      <w:r>
        <w:rPr>
          <w:szCs w:val="20"/>
        </w:rPr>
        <w:t>b</w:t>
      </w:r>
      <w:r w:rsidRPr="00FF5C7F">
        <w:rPr>
          <w:szCs w:val="20"/>
        </w:rPr>
        <w:t>ūtiski samazinājās arī elektroenerģijas izstrāde un saražotais siltumenerģijas apjoms koģenerācijas stacijās</w:t>
      </w:r>
      <w:r>
        <w:rPr>
          <w:szCs w:val="20"/>
        </w:rPr>
        <w:t>,</w:t>
      </w:r>
      <w:r w:rsidRPr="00FF5C7F">
        <w:rPr>
          <w:szCs w:val="20"/>
        </w:rPr>
        <w:t xml:space="preserve"> ko noteica augstāka vidējā gaisa temperatūra apkures periodā, kā arī taupības pasākumi saistībā ar augstajām energoresursu cenām.</w:t>
      </w:r>
      <w:r>
        <w:rPr>
          <w:szCs w:val="20"/>
        </w:rPr>
        <w:t xml:space="preserve"> </w:t>
      </w:r>
      <w:r w:rsidRPr="00FF5C7F">
        <w:rPr>
          <w:szCs w:val="20"/>
        </w:rPr>
        <w:t>Straujš kritums bija vērojams arī ieguves rūpniecības un karjeru izstrādes nozarē, ko noteica gan apjomu samazinājums grants un smilts karjeru izstrādē, gan kūdras ieguvē un pārstrādē.</w:t>
      </w:r>
    </w:p>
    <w:p w14:paraId="05B6A08F" w14:textId="0E530B4E" w:rsidR="00B73A48" w:rsidRPr="003B4CDA" w:rsidRDefault="00B73A48" w:rsidP="003677B6">
      <w:pPr>
        <w:spacing w:after="120"/>
        <w:jc w:val="both"/>
        <w:rPr>
          <w:szCs w:val="20"/>
        </w:rPr>
      </w:pPr>
      <w:r w:rsidRPr="003B4CDA">
        <w:rPr>
          <w:b/>
          <w:szCs w:val="20"/>
        </w:rPr>
        <w:t>Būvniecības nozares</w:t>
      </w:r>
      <w:r w:rsidRPr="003B4CDA">
        <w:rPr>
          <w:szCs w:val="20"/>
        </w:rPr>
        <w:t xml:space="preserve"> attīstība ir ļoti cikliska un lielā mērā ir saistīta ar publiskajiem pasūtījumiem un ES fondu projektiem. </w:t>
      </w:r>
      <w:r w:rsidRPr="00CB1C71">
        <w:rPr>
          <w:szCs w:val="20"/>
        </w:rPr>
        <w:t>2022</w:t>
      </w:r>
      <w:r w:rsidR="00FF63B5">
        <w:rPr>
          <w:szCs w:val="20"/>
        </w:rPr>
        <w:t>. gad</w:t>
      </w:r>
      <w:r>
        <w:rPr>
          <w:szCs w:val="20"/>
        </w:rPr>
        <w:t>ā,</w:t>
      </w:r>
      <w:r w:rsidRPr="00CB1C71">
        <w:rPr>
          <w:szCs w:val="20"/>
        </w:rPr>
        <w:t xml:space="preserve"> mazinoties investīcijām būvniecībā</w:t>
      </w:r>
      <w:r>
        <w:rPr>
          <w:szCs w:val="20"/>
        </w:rPr>
        <w:t xml:space="preserve"> un pieaugot </w:t>
      </w:r>
      <w:proofErr w:type="spellStart"/>
      <w:r>
        <w:rPr>
          <w:szCs w:val="20"/>
        </w:rPr>
        <w:t>būvizmaksām</w:t>
      </w:r>
      <w:proofErr w:type="spellEnd"/>
      <w:r>
        <w:rPr>
          <w:szCs w:val="20"/>
        </w:rPr>
        <w:t>,</w:t>
      </w:r>
      <w:r w:rsidRPr="00CB1C71">
        <w:rPr>
          <w:szCs w:val="20"/>
        </w:rPr>
        <w:t xml:space="preserve"> nozarē bija vērojama lejupslīde</w:t>
      </w:r>
      <w:r>
        <w:rPr>
          <w:szCs w:val="20"/>
        </w:rPr>
        <w:t xml:space="preserve"> par 11,3</w:t>
      </w:r>
      <w:r w:rsidR="0080669C">
        <w:rPr>
          <w:szCs w:val="20"/>
        </w:rPr>
        <w:t>%</w:t>
      </w:r>
      <w:r w:rsidRPr="00CB1C71">
        <w:rPr>
          <w:szCs w:val="20"/>
        </w:rPr>
        <w:t>. Augošās cenas bremzēja gan esošos būvniecības projektus, gan jaunu projektu uzsākšanu. 2022</w:t>
      </w:r>
      <w:r w:rsidR="00FF63B5">
        <w:rPr>
          <w:szCs w:val="20"/>
        </w:rPr>
        <w:t>. gad</w:t>
      </w:r>
      <w:r w:rsidRPr="00CB1C71">
        <w:rPr>
          <w:szCs w:val="20"/>
        </w:rPr>
        <w:t xml:space="preserve">ā spiedienu uz būvniecības izmaksām pastiprināja Krievijas </w:t>
      </w:r>
      <w:r>
        <w:rPr>
          <w:szCs w:val="20"/>
        </w:rPr>
        <w:t>iebrukums</w:t>
      </w:r>
      <w:r w:rsidRPr="00CB1C71">
        <w:rPr>
          <w:szCs w:val="20"/>
        </w:rPr>
        <w:t xml:space="preserve"> Ukrainā, k</w:t>
      </w:r>
      <w:r>
        <w:rPr>
          <w:szCs w:val="20"/>
        </w:rPr>
        <w:t>ā</w:t>
      </w:r>
      <w:r w:rsidRPr="00CB1C71">
        <w:rPr>
          <w:szCs w:val="20"/>
        </w:rPr>
        <w:t xml:space="preserve"> rezultātā būtiski ievērojami samazinājās atsevišķu būvmateriālu pieejamība, kā arī ievērojami sadārdzinājās energoresursi.</w:t>
      </w:r>
      <w:r>
        <w:rPr>
          <w:szCs w:val="20"/>
        </w:rPr>
        <w:t xml:space="preserve"> Savukārt 2023</w:t>
      </w:r>
      <w:r w:rsidR="00FF63B5">
        <w:rPr>
          <w:szCs w:val="20"/>
        </w:rPr>
        <w:t>. gad</w:t>
      </w:r>
      <w:r>
        <w:rPr>
          <w:szCs w:val="20"/>
        </w:rPr>
        <w:t>ā b</w:t>
      </w:r>
      <w:r w:rsidRPr="00CB1C71">
        <w:rPr>
          <w:szCs w:val="20"/>
        </w:rPr>
        <w:t xml:space="preserve">ūvniecības nozarē </w:t>
      </w:r>
      <w:r>
        <w:rPr>
          <w:szCs w:val="20"/>
        </w:rPr>
        <w:t>bija</w:t>
      </w:r>
      <w:r w:rsidRPr="00CB1C71">
        <w:rPr>
          <w:szCs w:val="20"/>
        </w:rPr>
        <w:t xml:space="preserve"> vērojama strauja atgūšanās pēc vairāku</w:t>
      </w:r>
      <w:r w:rsidR="00933D26">
        <w:rPr>
          <w:szCs w:val="20"/>
        </w:rPr>
        <w:t xml:space="preserve"> </w:t>
      </w:r>
      <w:r w:rsidR="0080669C">
        <w:rPr>
          <w:szCs w:val="20"/>
        </w:rPr>
        <w:t>gad</w:t>
      </w:r>
      <w:r w:rsidRPr="00CB1C71">
        <w:rPr>
          <w:szCs w:val="20"/>
        </w:rPr>
        <w:t>u lejupslīdes</w:t>
      </w:r>
      <w:r w:rsidRPr="00CB1C71">
        <w:t xml:space="preserve"> </w:t>
      </w:r>
      <w:r w:rsidRPr="00CB1C71">
        <w:rPr>
          <w:szCs w:val="20"/>
        </w:rPr>
        <w:t xml:space="preserve">un bija galvenais pozitīvi ietekmējošais faktors IKP attīstībā. </w:t>
      </w:r>
      <w:r>
        <w:rPr>
          <w:szCs w:val="20"/>
        </w:rPr>
        <w:t>Ē</w:t>
      </w:r>
      <w:r w:rsidRPr="00CB1C71">
        <w:rPr>
          <w:szCs w:val="20"/>
        </w:rPr>
        <w:t xml:space="preserve">ku būvniecība un specializētie būvdarbi </w:t>
      </w:r>
      <w:r>
        <w:rPr>
          <w:szCs w:val="20"/>
        </w:rPr>
        <w:t>bija</w:t>
      </w:r>
      <w:r w:rsidRPr="00CB1C71">
        <w:rPr>
          <w:szCs w:val="20"/>
        </w:rPr>
        <w:t xml:space="preserve"> nozares </w:t>
      </w:r>
      <w:r>
        <w:rPr>
          <w:szCs w:val="20"/>
        </w:rPr>
        <w:t xml:space="preserve">galvenie </w:t>
      </w:r>
      <w:r w:rsidRPr="00CB1C71">
        <w:rPr>
          <w:szCs w:val="20"/>
        </w:rPr>
        <w:t>attīstības dzinuļi</w:t>
      </w:r>
      <w:r>
        <w:rPr>
          <w:szCs w:val="20"/>
        </w:rPr>
        <w:t>.</w:t>
      </w:r>
    </w:p>
    <w:p w14:paraId="4A3A367C" w14:textId="1400E3A7" w:rsidR="00B73A48" w:rsidRPr="008B15C6" w:rsidRDefault="00B73A48" w:rsidP="003677B6">
      <w:pPr>
        <w:spacing w:after="120"/>
        <w:jc w:val="both"/>
        <w:rPr>
          <w:highlight w:val="yellow"/>
        </w:rPr>
      </w:pPr>
      <w:r w:rsidRPr="0036735B">
        <w:rPr>
          <w:b/>
          <w:bCs/>
        </w:rPr>
        <w:t>Tirdzniecības nozari</w:t>
      </w:r>
      <w:r w:rsidRPr="0036735B">
        <w:t xml:space="preserve"> pozitīvi ietekmē privātā patēriņa kāpums, ņemot vērā pakāpenisku iedzīvotāju ienākumu pieaugumu. 2022</w:t>
      </w:r>
      <w:r w:rsidR="00FF63B5">
        <w:t>. gad</w:t>
      </w:r>
      <w:r w:rsidRPr="0036735B">
        <w:t>ā tirdzniecības nozari negatīvi ietekmēja preču apgrozījuma samazinājums ar Krievijas un Baltkrievijas tirgiem ES noteikto sankciju dēļ, kā rezultātā strauji saruka vairumtirdzniecības apjomi (salīdzināmajās cenās). Kopumā tirdzniecības apjomi samazinājās par 6,1</w:t>
      </w:r>
      <w:r w:rsidR="0080669C">
        <w:t>%</w:t>
      </w:r>
      <w:r w:rsidRPr="0036735B">
        <w:t>. 2023</w:t>
      </w:r>
      <w:r w:rsidR="00FF63B5">
        <w:t>. gad</w:t>
      </w:r>
      <w:r w:rsidRPr="0036735B">
        <w:t>ā tirdzniecības nozari turpināja negatīvi ietekmēt nelabvēlīgā situācija ārējā vidē un tirdzniecības apjomi samazinājās par 5,1</w:t>
      </w:r>
      <w:r w:rsidR="0080669C">
        <w:t>%</w:t>
      </w:r>
      <w:r w:rsidRPr="0036735B">
        <w:t>. Savukārt patēriņa cenu kāpums pārsniedza ienākumu palielinājumu, iedzīvotāju reālie ienākumi saruka un negatīvi ietekmēja mājsaimniecību patēriņu. Mazumtirdzniecības apgrozījums 2023</w:t>
      </w:r>
      <w:r w:rsidR="00FF63B5">
        <w:t>. gad</w:t>
      </w:r>
      <w:r>
        <w:t>ā</w:t>
      </w:r>
      <w:r w:rsidRPr="0036735B">
        <w:t xml:space="preserve"> saruka par </w:t>
      </w:r>
      <w:r>
        <w:t>1,9</w:t>
      </w:r>
      <w:r w:rsidR="0080669C">
        <w:t>%</w:t>
      </w:r>
      <w:r w:rsidRPr="0036735B">
        <w:t>. Visstraujāk samazinājās pārtikas preču mazumtirdzniecības apgrozījums</w:t>
      </w:r>
      <w:r>
        <w:t>, n</w:t>
      </w:r>
      <w:r w:rsidRPr="0036735B">
        <w:t>epārtikas precēm tas saruka mērenāk, bet degvielai pieauga</w:t>
      </w:r>
      <w:r>
        <w:t>.</w:t>
      </w:r>
    </w:p>
    <w:p w14:paraId="36491727" w14:textId="2B3E0051" w:rsidR="00B73A48" w:rsidRPr="008B15C6" w:rsidRDefault="00B73A48" w:rsidP="003677B6">
      <w:pPr>
        <w:spacing w:after="120"/>
        <w:jc w:val="both"/>
        <w:rPr>
          <w:szCs w:val="20"/>
          <w:highlight w:val="yellow"/>
        </w:rPr>
      </w:pPr>
      <w:r w:rsidRPr="00573D01">
        <w:rPr>
          <w:b/>
          <w:szCs w:val="20"/>
        </w:rPr>
        <w:t>Transporta un uzglabāšanas nozare</w:t>
      </w:r>
      <w:r w:rsidRPr="00573D01">
        <w:rPr>
          <w:szCs w:val="20"/>
        </w:rPr>
        <w:t xml:space="preserve"> ir cieši saistīta ar starptautiskajiem pārvadājumiem. Pēc izaugsmes 2021.-</w:t>
      </w:r>
      <w:r>
        <w:rPr>
          <w:szCs w:val="20"/>
        </w:rPr>
        <w:t>2022</w:t>
      </w:r>
      <w:r w:rsidR="00FF63B5">
        <w:rPr>
          <w:szCs w:val="20"/>
        </w:rPr>
        <w:t>. gad</w:t>
      </w:r>
      <w:r>
        <w:rPr>
          <w:szCs w:val="20"/>
        </w:rPr>
        <w:t>ā</w:t>
      </w:r>
      <w:r w:rsidRPr="00480345">
        <w:rPr>
          <w:szCs w:val="20"/>
        </w:rPr>
        <w:t xml:space="preserve"> 2023</w:t>
      </w:r>
      <w:r w:rsidR="00FF63B5">
        <w:rPr>
          <w:szCs w:val="20"/>
        </w:rPr>
        <w:t>. gad</w:t>
      </w:r>
      <w:r>
        <w:rPr>
          <w:szCs w:val="20"/>
        </w:rPr>
        <w:t>ā</w:t>
      </w:r>
      <w:r w:rsidRPr="00480345">
        <w:t xml:space="preserve"> </w:t>
      </w:r>
      <w:r w:rsidRPr="00480345">
        <w:rPr>
          <w:szCs w:val="20"/>
        </w:rPr>
        <w:t xml:space="preserve">transporta nozares apjomi saruka, ko noteica samazinājums visās transporta </w:t>
      </w:r>
      <w:proofErr w:type="spellStart"/>
      <w:r w:rsidRPr="00480345">
        <w:rPr>
          <w:szCs w:val="20"/>
        </w:rPr>
        <w:t>apakšnozarēs</w:t>
      </w:r>
      <w:proofErr w:type="spellEnd"/>
      <w:r w:rsidRPr="00480345">
        <w:rPr>
          <w:szCs w:val="20"/>
        </w:rPr>
        <w:t>, izņemot gaisa transportu. Visstraujāk samazinājās pakalpojumu apjomi sauszemes un cauruļvadu transporta nozarē, kā arī uzglabāšanas un transporta palīgdarbībās. Pārvadāto kravu apjomi samazinājās visiem transporta veidiem, ko noteica starptautiskajos pārvadājumos pārvadāto kravu apjomu kritums. Pasažieru pārvadājumi 2023</w:t>
      </w:r>
      <w:r w:rsidR="00FF63B5">
        <w:rPr>
          <w:szCs w:val="20"/>
        </w:rPr>
        <w:t>. gad</w:t>
      </w:r>
      <w:r>
        <w:rPr>
          <w:szCs w:val="20"/>
        </w:rPr>
        <w:t>ā</w:t>
      </w:r>
      <w:r w:rsidRPr="00480345">
        <w:rPr>
          <w:szCs w:val="20"/>
        </w:rPr>
        <w:t xml:space="preserve"> visstraujāk pieauga aviopārvadājumos – par 2</w:t>
      </w:r>
      <w:r>
        <w:rPr>
          <w:szCs w:val="20"/>
        </w:rPr>
        <w:t>3</w:t>
      </w:r>
      <w:r w:rsidRPr="00480345">
        <w:rPr>
          <w:szCs w:val="20"/>
        </w:rPr>
        <w:t>,2</w:t>
      </w:r>
      <w:r w:rsidR="0080669C">
        <w:rPr>
          <w:szCs w:val="20"/>
        </w:rPr>
        <w:t>%</w:t>
      </w:r>
      <w:r w:rsidRPr="00480345">
        <w:rPr>
          <w:szCs w:val="20"/>
        </w:rPr>
        <w:t>, sauszemes pārvadājumos tie pieauga par 1</w:t>
      </w:r>
      <w:r>
        <w:rPr>
          <w:szCs w:val="20"/>
        </w:rPr>
        <w:t>5</w:t>
      </w:r>
      <w:r w:rsidRPr="00480345">
        <w:rPr>
          <w:szCs w:val="20"/>
        </w:rPr>
        <w:t>,</w:t>
      </w:r>
      <w:r>
        <w:rPr>
          <w:szCs w:val="20"/>
        </w:rPr>
        <w:t>4</w:t>
      </w:r>
      <w:r w:rsidR="0080669C">
        <w:rPr>
          <w:szCs w:val="20"/>
        </w:rPr>
        <w:t>%</w:t>
      </w:r>
      <w:r w:rsidRPr="00480345">
        <w:rPr>
          <w:szCs w:val="20"/>
        </w:rPr>
        <w:t xml:space="preserve"> un ostās – par </w:t>
      </w:r>
      <w:r>
        <w:rPr>
          <w:szCs w:val="20"/>
        </w:rPr>
        <w:t>2,5</w:t>
      </w:r>
      <w:r w:rsidR="0080669C">
        <w:rPr>
          <w:szCs w:val="20"/>
        </w:rPr>
        <w:t>%</w:t>
      </w:r>
      <w:r w:rsidRPr="00480345">
        <w:rPr>
          <w:szCs w:val="20"/>
        </w:rPr>
        <w:t>.</w:t>
      </w:r>
    </w:p>
    <w:p w14:paraId="2D0A006C" w14:textId="095BC101" w:rsidR="00B73A48" w:rsidRPr="008B15C6" w:rsidRDefault="00B73A48" w:rsidP="003677B6">
      <w:pPr>
        <w:spacing w:after="120"/>
        <w:jc w:val="both"/>
        <w:rPr>
          <w:szCs w:val="20"/>
          <w:highlight w:val="yellow"/>
        </w:rPr>
      </w:pPr>
      <w:r w:rsidRPr="00927C73">
        <w:rPr>
          <w:b/>
          <w:szCs w:val="20"/>
        </w:rPr>
        <w:lastRenderedPageBreak/>
        <w:t>Komercpakalpojumu nozarēs</w:t>
      </w:r>
      <w:r w:rsidRPr="00927C73">
        <w:rPr>
          <w:szCs w:val="20"/>
        </w:rPr>
        <w:t xml:space="preserve"> 2021.-2022</w:t>
      </w:r>
      <w:r w:rsidR="00FF63B5">
        <w:rPr>
          <w:szCs w:val="20"/>
        </w:rPr>
        <w:t>. gad</w:t>
      </w:r>
      <w:r w:rsidRPr="00927C73">
        <w:rPr>
          <w:szCs w:val="20"/>
        </w:rPr>
        <w:t>ā, atveseļojoties pēc Covid-19 krīzes, komercpakalpojumu apjomi</w:t>
      </w:r>
      <w:r w:rsidRPr="00573D01">
        <w:rPr>
          <w:szCs w:val="20"/>
        </w:rPr>
        <w:t xml:space="preserve"> pieauga. </w:t>
      </w:r>
      <w:r w:rsidRPr="00DB6CB0">
        <w:rPr>
          <w:szCs w:val="20"/>
        </w:rPr>
        <w:t>Pakalpojumu apjomi pieauga visās nozarēs, vienīgi 2022</w:t>
      </w:r>
      <w:r w:rsidR="00FF63B5">
        <w:rPr>
          <w:szCs w:val="20"/>
        </w:rPr>
        <w:t>. gad</w:t>
      </w:r>
      <w:r w:rsidRPr="00DB6CB0">
        <w:rPr>
          <w:szCs w:val="20"/>
        </w:rPr>
        <w:t>ā kritums bija vērojams finanšu un apdrošināšanas darbībās pēc strauja kāpuma 2021</w:t>
      </w:r>
      <w:r w:rsidR="00FF63B5">
        <w:rPr>
          <w:szCs w:val="20"/>
        </w:rPr>
        <w:t>. gad</w:t>
      </w:r>
      <w:r w:rsidRPr="00DB6CB0">
        <w:rPr>
          <w:szCs w:val="20"/>
        </w:rPr>
        <w:t>ā, kad palielinājās ieņēmumi no komisijas naudām, finanšu instrumentu darījumiem un apdrošināšanas darbībām. Lielākā ietekme bija pakalpojumu apjomu kāpumam informācijas un komunikācijas pakalpojumos.</w:t>
      </w:r>
      <w:r w:rsidRPr="00DB6CB0">
        <w:t xml:space="preserve"> </w:t>
      </w:r>
      <w:r w:rsidRPr="00DB6CB0">
        <w:rPr>
          <w:szCs w:val="20"/>
        </w:rPr>
        <w:t>2022</w:t>
      </w:r>
      <w:r w:rsidR="00FF63B5">
        <w:rPr>
          <w:szCs w:val="20"/>
        </w:rPr>
        <w:t>. gad</w:t>
      </w:r>
      <w:r w:rsidRPr="00DB6CB0">
        <w:rPr>
          <w:szCs w:val="20"/>
        </w:rPr>
        <w:t>ā strauji pieauguma tempi bija arī mākslas, izklaides un atpūtas nozarē, kas bija viena no nozarēm, kuru vissmagāk skāra Covid-19 ierobežojumi.</w:t>
      </w:r>
      <w:r>
        <w:rPr>
          <w:szCs w:val="20"/>
        </w:rPr>
        <w:t xml:space="preserve"> </w:t>
      </w:r>
      <w:r w:rsidRPr="00DB6CB0">
        <w:rPr>
          <w:szCs w:val="20"/>
        </w:rPr>
        <w:t>Savukārt 2023</w:t>
      </w:r>
      <w:r w:rsidR="00FF63B5">
        <w:rPr>
          <w:szCs w:val="20"/>
        </w:rPr>
        <w:t>. gad</w:t>
      </w:r>
      <w:r>
        <w:rPr>
          <w:szCs w:val="20"/>
        </w:rPr>
        <w:t>ā</w:t>
      </w:r>
      <w:r w:rsidRPr="00DB6CB0">
        <w:rPr>
          <w:szCs w:val="20"/>
        </w:rPr>
        <w:t xml:space="preserve"> komercpakalpojumu jomā vērojams mērens kāpums. Apjomi pieauga visās komercpakalpojumu nozarēs. Lielākā ietekme bija pakalpojumu apjomu kāpumam operācijās ar nekustamo īpašumu, mākslas, izklaides un atpūtas nozarē </w:t>
      </w:r>
      <w:r>
        <w:rPr>
          <w:szCs w:val="20"/>
        </w:rPr>
        <w:t xml:space="preserve">un </w:t>
      </w:r>
      <w:r w:rsidRPr="00DB6CB0">
        <w:rPr>
          <w:szCs w:val="20"/>
        </w:rPr>
        <w:t>informācijas un komunikācijas pakalpojumos.</w:t>
      </w:r>
    </w:p>
    <w:p w14:paraId="73BEED1F" w14:textId="0DF1F844" w:rsidR="00B73A48" w:rsidRDefault="00B73A48" w:rsidP="003677B6">
      <w:pPr>
        <w:spacing w:after="120"/>
        <w:jc w:val="both"/>
        <w:rPr>
          <w:szCs w:val="20"/>
        </w:rPr>
      </w:pPr>
      <w:r w:rsidRPr="00F33156">
        <w:rPr>
          <w:b/>
          <w:szCs w:val="20"/>
        </w:rPr>
        <w:t>Sabiedrisko pakalpojumu nozarēs</w:t>
      </w:r>
      <w:r w:rsidRPr="00F33156">
        <w:rPr>
          <w:szCs w:val="20"/>
        </w:rPr>
        <w:t xml:space="preserve"> sniegto pakalpojumu apjomi palielinās atbilstoši valsts kopbudžeta izdevumu kāpumam. 2020.</w:t>
      </w:r>
      <w:r w:rsidR="00BE730B">
        <w:rPr>
          <w:szCs w:val="20"/>
        </w:rPr>
        <w:t>-</w:t>
      </w:r>
      <w:r w:rsidRPr="00F33156">
        <w:rPr>
          <w:szCs w:val="20"/>
        </w:rPr>
        <w:t>2021</w:t>
      </w:r>
      <w:r w:rsidR="00FF63B5">
        <w:rPr>
          <w:szCs w:val="20"/>
        </w:rPr>
        <w:t>. gad</w:t>
      </w:r>
      <w:r w:rsidRPr="00F33156">
        <w:rPr>
          <w:szCs w:val="20"/>
        </w:rPr>
        <w:t>ā kopējiem pakalpojumu apjomiem bija vērojams mērens kāpums, savukārt 2022</w:t>
      </w:r>
      <w:r w:rsidR="00FF63B5">
        <w:rPr>
          <w:szCs w:val="20"/>
        </w:rPr>
        <w:t>. gad</w:t>
      </w:r>
      <w:r w:rsidRPr="00F33156">
        <w:rPr>
          <w:szCs w:val="20"/>
        </w:rPr>
        <w:t>ā</w:t>
      </w:r>
      <w:r w:rsidRPr="00927C73">
        <w:rPr>
          <w:szCs w:val="20"/>
        </w:rPr>
        <w:t xml:space="preserve"> kopējie pakalpojumu apjomi pieauga strauji. Šis process noritēja straujāk izglītības pakalpojumu jomā un valsts pārvaldes un aizsardzības jomā</w:t>
      </w:r>
      <w:r>
        <w:rPr>
          <w:szCs w:val="20"/>
        </w:rPr>
        <w:t xml:space="preserve">, </w:t>
      </w:r>
      <w:r w:rsidRPr="00927C73">
        <w:rPr>
          <w:szCs w:val="20"/>
        </w:rPr>
        <w:t xml:space="preserve">tikmēr veselības un sociālās aprūpes jomā tie pieauga mēreni. </w:t>
      </w:r>
      <w:r w:rsidR="00386574" w:rsidRPr="00927C73">
        <w:rPr>
          <w:szCs w:val="20"/>
        </w:rPr>
        <w:t>Pēdējos</w:t>
      </w:r>
      <w:r w:rsidR="00386574">
        <w:rPr>
          <w:szCs w:val="20"/>
        </w:rPr>
        <w:t xml:space="preserve"> ga</w:t>
      </w:r>
      <w:r w:rsidR="00386574" w:rsidRPr="00927C73">
        <w:rPr>
          <w:szCs w:val="20"/>
        </w:rPr>
        <w:t>dos</w:t>
      </w:r>
      <w:r w:rsidRPr="00927C73">
        <w:rPr>
          <w:szCs w:val="20"/>
        </w:rPr>
        <w:t xml:space="preserve"> pieaug valdības patēriņš valsts aizsardzības spēju palielināšanai, izglītībai un veselībai.</w:t>
      </w:r>
      <w:r>
        <w:rPr>
          <w:szCs w:val="20"/>
        </w:rPr>
        <w:t xml:space="preserve"> </w:t>
      </w:r>
      <w:r w:rsidRPr="00F33156">
        <w:rPr>
          <w:szCs w:val="20"/>
        </w:rPr>
        <w:t>Arī 2023</w:t>
      </w:r>
      <w:r w:rsidR="00FF63B5">
        <w:rPr>
          <w:szCs w:val="20"/>
        </w:rPr>
        <w:t>. gad</w:t>
      </w:r>
      <w:r>
        <w:rPr>
          <w:szCs w:val="20"/>
        </w:rPr>
        <w:t>ā</w:t>
      </w:r>
      <w:r w:rsidRPr="00F33156">
        <w:rPr>
          <w:szCs w:val="20"/>
        </w:rPr>
        <w:t xml:space="preserve"> kopējie pakalpojumu apjomi turpināja strauji pieaugt. Strauj</w:t>
      </w:r>
      <w:r>
        <w:rPr>
          <w:szCs w:val="20"/>
        </w:rPr>
        <w:t>i turpināja pieaugt</w:t>
      </w:r>
      <w:r w:rsidRPr="00F33156">
        <w:rPr>
          <w:szCs w:val="20"/>
        </w:rPr>
        <w:t xml:space="preserve"> apjomi izglītībā</w:t>
      </w:r>
      <w:r>
        <w:rPr>
          <w:szCs w:val="20"/>
        </w:rPr>
        <w:t>, v</w:t>
      </w:r>
      <w:r w:rsidRPr="00F33156">
        <w:rPr>
          <w:szCs w:val="20"/>
        </w:rPr>
        <w:t>alsts pārvald</w:t>
      </w:r>
      <w:r>
        <w:rPr>
          <w:szCs w:val="20"/>
        </w:rPr>
        <w:t>ē</w:t>
      </w:r>
      <w:r w:rsidRPr="00F33156">
        <w:rPr>
          <w:szCs w:val="20"/>
        </w:rPr>
        <w:t xml:space="preserve"> un aizsardzīb</w:t>
      </w:r>
      <w:r>
        <w:rPr>
          <w:szCs w:val="20"/>
        </w:rPr>
        <w:t xml:space="preserve">ā, </w:t>
      </w:r>
      <w:r w:rsidRPr="00F33156">
        <w:rPr>
          <w:szCs w:val="20"/>
        </w:rPr>
        <w:t>bet veselībai un sociālai aprūpei tie saruka</w:t>
      </w:r>
      <w:r w:rsidR="00A16686">
        <w:rPr>
          <w:szCs w:val="20"/>
        </w:rPr>
        <w:t>.</w:t>
      </w:r>
    </w:p>
    <w:p w14:paraId="33276B45" w14:textId="77777777" w:rsidR="0038666F" w:rsidRDefault="0038666F" w:rsidP="003677B6">
      <w:pPr>
        <w:spacing w:after="120"/>
        <w:jc w:val="both"/>
        <w:rPr>
          <w:szCs w:val="20"/>
        </w:rPr>
      </w:pPr>
    </w:p>
    <w:p w14:paraId="392A3B35" w14:textId="6CD5B211" w:rsidR="00933D26" w:rsidRPr="00FC4F6F" w:rsidRDefault="00933D26" w:rsidP="003677B6">
      <w:pPr>
        <w:spacing w:after="120"/>
        <w:jc w:val="both"/>
        <w:rPr>
          <w:rFonts w:ascii="Aptos Narrow" w:hAnsi="Aptos Narrow"/>
          <w:b/>
          <w:color w:val="5F497A" w:themeColor="accent4" w:themeShade="BF"/>
          <w:sz w:val="28"/>
          <w:szCs w:val="28"/>
        </w:rPr>
      </w:pPr>
      <w:r w:rsidRPr="00FC4F6F">
        <w:rPr>
          <w:rFonts w:ascii="Aptos Narrow" w:hAnsi="Aptos Narrow"/>
          <w:b/>
          <w:color w:val="5F497A" w:themeColor="accent4" w:themeShade="BF"/>
          <w:sz w:val="28"/>
          <w:szCs w:val="28"/>
        </w:rPr>
        <w:t xml:space="preserve">Latvija salīdzinājumā ar </w:t>
      </w:r>
      <w:r w:rsidR="004E6BBE">
        <w:rPr>
          <w:rFonts w:ascii="Aptos Narrow" w:hAnsi="Aptos Narrow"/>
          <w:b/>
          <w:color w:val="5F497A" w:themeColor="accent4" w:themeShade="BF"/>
          <w:sz w:val="28"/>
          <w:szCs w:val="28"/>
        </w:rPr>
        <w:t>ES</w:t>
      </w:r>
    </w:p>
    <w:p w14:paraId="381A6AA6" w14:textId="77777777" w:rsidR="00B73A48" w:rsidRDefault="00B73A48" w:rsidP="003677B6">
      <w:pPr>
        <w:spacing w:after="120"/>
        <w:jc w:val="right"/>
        <w:rPr>
          <w:szCs w:val="20"/>
        </w:rPr>
      </w:pPr>
      <w:r w:rsidRPr="00275DCA">
        <w:rPr>
          <w:szCs w:val="20"/>
        </w:rPr>
        <w:t>1.3. attēls</w:t>
      </w:r>
    </w:p>
    <w:p w14:paraId="69CE788D" w14:textId="7A77FE0A" w:rsidR="00933D26" w:rsidRPr="00933D26" w:rsidRDefault="00933D26" w:rsidP="003677B6">
      <w:pPr>
        <w:spacing w:after="120"/>
        <w:jc w:val="center"/>
        <w:rPr>
          <w:rFonts w:ascii="Segoe UI Light" w:hAnsi="Segoe UI Light" w:cs="Segoe UI Light"/>
          <w:i/>
          <w:iCs/>
          <w:sz w:val="16"/>
          <w:szCs w:val="16"/>
        </w:rPr>
      </w:pPr>
      <w:r w:rsidRPr="00933D26">
        <w:rPr>
          <w:rFonts w:ascii="Segoe UI Light" w:hAnsi="Segoe UI Light" w:cs="Segoe UI Light"/>
          <w:b/>
          <w:bCs/>
          <w:sz w:val="18"/>
          <w:szCs w:val="18"/>
        </w:rPr>
        <w:t xml:space="preserve">IKP uz vienu iedzīvotāju pēc PPS Eiropas Savienības </w:t>
      </w:r>
      <w:r w:rsidR="00DA1FFA">
        <w:rPr>
          <w:rFonts w:ascii="Segoe UI Light" w:hAnsi="Segoe UI Light" w:cs="Segoe UI Light"/>
          <w:b/>
          <w:bCs/>
          <w:sz w:val="18"/>
          <w:szCs w:val="18"/>
        </w:rPr>
        <w:t>dalībvalstīs</w:t>
      </w:r>
      <w:r w:rsidRPr="00933D26">
        <w:rPr>
          <w:rFonts w:ascii="Segoe UI Light" w:hAnsi="Segoe UI Light" w:cs="Segoe UI Light"/>
          <w:b/>
          <w:bCs/>
          <w:sz w:val="18"/>
          <w:szCs w:val="18"/>
        </w:rPr>
        <w:t xml:space="preserve"> </w:t>
      </w:r>
      <w:r w:rsidRPr="00933D26">
        <w:rPr>
          <w:rFonts w:ascii="Segoe UI Light" w:hAnsi="Segoe UI Light" w:cs="Segoe UI Light"/>
          <w:b/>
          <w:bCs/>
          <w:sz w:val="18"/>
          <w:szCs w:val="18"/>
        </w:rPr>
        <w:br/>
      </w:r>
      <w:r w:rsidRPr="00933D26">
        <w:rPr>
          <w:rFonts w:ascii="Segoe UI Light" w:hAnsi="Segoe UI Light" w:cs="Segoe UI Light"/>
          <w:i/>
          <w:iCs/>
          <w:sz w:val="16"/>
          <w:szCs w:val="16"/>
        </w:rPr>
        <w:t>2022</w:t>
      </w:r>
      <w:r w:rsidR="00FF63B5">
        <w:rPr>
          <w:rFonts w:ascii="Segoe UI Light" w:hAnsi="Segoe UI Light" w:cs="Segoe UI Light"/>
          <w:i/>
          <w:iCs/>
          <w:sz w:val="16"/>
          <w:szCs w:val="16"/>
        </w:rPr>
        <w:t>. gad</w:t>
      </w:r>
      <w:r w:rsidRPr="00933D26">
        <w:rPr>
          <w:rFonts w:ascii="Segoe UI Light" w:hAnsi="Segoe UI Light" w:cs="Segoe UI Light"/>
          <w:i/>
          <w:iCs/>
          <w:sz w:val="16"/>
          <w:szCs w:val="16"/>
        </w:rPr>
        <w:t>ā, procentos no ES vidējā</w:t>
      </w:r>
    </w:p>
    <w:p w14:paraId="30F39DED" w14:textId="77777777" w:rsidR="00933D26" w:rsidRDefault="00933D26" w:rsidP="003677B6">
      <w:pPr>
        <w:spacing w:after="120"/>
        <w:jc w:val="center"/>
        <w:rPr>
          <w:rFonts w:ascii="Segoe UI Light" w:hAnsi="Segoe UI Light" w:cs="Segoe UI Light"/>
          <w:bCs/>
          <w:sz w:val="16"/>
          <w:szCs w:val="16"/>
        </w:rPr>
      </w:pPr>
      <w:r w:rsidRPr="00933D26">
        <w:rPr>
          <w:rFonts w:ascii="Segoe UI Light" w:hAnsi="Segoe UI Light" w:cs="Segoe UI Light"/>
          <w:bCs/>
          <w:noProof/>
          <w:sz w:val="16"/>
          <w:szCs w:val="16"/>
          <w:lang w:val="en-US"/>
        </w:rPr>
        <w:drawing>
          <wp:inline distT="0" distB="0" distL="0" distR="0" wp14:anchorId="6A3D0850" wp14:editId="1A8379D7">
            <wp:extent cx="5760000" cy="2880000"/>
            <wp:effectExtent l="0" t="0" r="0" b="0"/>
            <wp:docPr id="496" name="Chart 4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B17119" w14:textId="77777777" w:rsidR="00933D26" w:rsidRPr="00BF61E6" w:rsidRDefault="00933D26" w:rsidP="003677B6">
      <w:pPr>
        <w:spacing w:after="120"/>
        <w:jc w:val="both"/>
        <w:rPr>
          <w:rFonts w:cs="Calibri Light"/>
          <w:b/>
          <w:sz w:val="16"/>
          <w:szCs w:val="16"/>
        </w:rPr>
      </w:pPr>
      <w:r w:rsidRPr="00BF61E6">
        <w:rPr>
          <w:rFonts w:cs="Calibri Light"/>
          <w:sz w:val="16"/>
          <w:szCs w:val="16"/>
        </w:rPr>
        <w:t xml:space="preserve">Avots: </w:t>
      </w:r>
      <w:proofErr w:type="spellStart"/>
      <w:r w:rsidRPr="006536E3">
        <w:rPr>
          <w:rFonts w:cs="Calibri Light"/>
          <w:i/>
          <w:sz w:val="16"/>
          <w:szCs w:val="16"/>
        </w:rPr>
        <w:t>Eurostat</w:t>
      </w:r>
      <w:proofErr w:type="spellEnd"/>
    </w:p>
    <w:p w14:paraId="28722CD3" w14:textId="77777777" w:rsidR="00933D26" w:rsidRDefault="00933D26" w:rsidP="003677B6">
      <w:pPr>
        <w:spacing w:after="120"/>
        <w:jc w:val="both"/>
        <w:rPr>
          <w:szCs w:val="20"/>
        </w:rPr>
      </w:pPr>
    </w:p>
    <w:p w14:paraId="0CFE6BBC" w14:textId="301E8D50" w:rsidR="00933D26" w:rsidRDefault="00933D26" w:rsidP="003677B6">
      <w:pPr>
        <w:spacing w:after="120"/>
        <w:jc w:val="both"/>
        <w:rPr>
          <w:szCs w:val="20"/>
        </w:rPr>
      </w:pPr>
      <w:r w:rsidRPr="00EA50CB">
        <w:rPr>
          <w:szCs w:val="20"/>
        </w:rPr>
        <w:t>Latvijas IKP uz vienu iedzīvotāju (rēķinot faktiskajās cenās pēc PPS) 2022</w:t>
      </w:r>
      <w:r w:rsidR="00FF63B5">
        <w:rPr>
          <w:szCs w:val="20"/>
        </w:rPr>
        <w:t>. gad</w:t>
      </w:r>
      <w:r w:rsidRPr="00EA50CB">
        <w:rPr>
          <w:szCs w:val="20"/>
        </w:rPr>
        <w:t>ā veidoja 72</w:t>
      </w:r>
      <w:r>
        <w:rPr>
          <w:szCs w:val="20"/>
        </w:rPr>
        <w:t>%</w:t>
      </w:r>
      <w:r w:rsidRPr="00EA50CB">
        <w:rPr>
          <w:szCs w:val="20"/>
        </w:rPr>
        <w:t xml:space="preserve"> no ES vidējā līmeņa. ES valstu starpā pēc šī rādītāja Latvija ierindojās 24.</w:t>
      </w:r>
      <w:r>
        <w:rPr>
          <w:szCs w:val="20"/>
        </w:rPr>
        <w:t> </w:t>
      </w:r>
      <w:r w:rsidRPr="00EA50CB">
        <w:rPr>
          <w:szCs w:val="20"/>
        </w:rPr>
        <w:t>v</w:t>
      </w:r>
      <w:r>
        <w:rPr>
          <w:szCs w:val="20"/>
        </w:rPr>
        <w:t>ie</w:t>
      </w:r>
      <w:r w:rsidRPr="00EA50CB">
        <w:rPr>
          <w:szCs w:val="20"/>
        </w:rPr>
        <w:t xml:space="preserve">tā, </w:t>
      </w:r>
      <w:r w:rsidR="00A4737D">
        <w:rPr>
          <w:szCs w:val="20"/>
        </w:rPr>
        <w:t>atpaliekot no Igaunijas (18.vieta) un Lietuvas (16. vieta)</w:t>
      </w:r>
      <w:r w:rsidRPr="00EA50CB">
        <w:rPr>
          <w:szCs w:val="20"/>
        </w:rPr>
        <w:t xml:space="preserve">. Latvijas atpalicība no ES vidējā IKP uz vienu iedzīvotāju rādītāja </w:t>
      </w:r>
      <w:r w:rsidR="00AD630F">
        <w:rPr>
          <w:szCs w:val="20"/>
        </w:rPr>
        <w:t>laika periodā no 2010</w:t>
      </w:r>
      <w:r w:rsidR="00FF63B5">
        <w:rPr>
          <w:szCs w:val="20"/>
        </w:rPr>
        <w:t>. gad</w:t>
      </w:r>
      <w:r w:rsidR="00AD630F">
        <w:rPr>
          <w:szCs w:val="20"/>
        </w:rPr>
        <w:t>a līdz 2022</w:t>
      </w:r>
      <w:r w:rsidR="00FF63B5">
        <w:rPr>
          <w:szCs w:val="20"/>
        </w:rPr>
        <w:t>. gad</w:t>
      </w:r>
      <w:r w:rsidR="00AD630F">
        <w:rPr>
          <w:szCs w:val="20"/>
        </w:rPr>
        <w:t xml:space="preserve">am </w:t>
      </w:r>
      <w:r w:rsidRPr="00EA50CB">
        <w:rPr>
          <w:szCs w:val="20"/>
        </w:rPr>
        <w:t>samazinājās gandrīz par 18</w:t>
      </w:r>
      <w:r>
        <w:rPr>
          <w:szCs w:val="20"/>
        </w:rPr>
        <w:t> </w:t>
      </w:r>
      <w:r w:rsidRPr="00EA50CB">
        <w:rPr>
          <w:szCs w:val="20"/>
        </w:rPr>
        <w:t>procentpunktiem. Galvenokārt konverģenci noteica IKP straujāks p</w:t>
      </w:r>
      <w:r>
        <w:rPr>
          <w:szCs w:val="20"/>
        </w:rPr>
        <w:t>ieauguma temps, nekā vidēji ES.</w:t>
      </w:r>
    </w:p>
    <w:p w14:paraId="2192B1D9" w14:textId="77777777" w:rsidR="00B73A48" w:rsidRDefault="00B73A48" w:rsidP="003677B6">
      <w:pPr>
        <w:spacing w:after="120"/>
        <w:jc w:val="both"/>
        <w:rPr>
          <w:szCs w:val="20"/>
        </w:rPr>
      </w:pPr>
    </w:p>
    <w:p w14:paraId="13BD8AB5" w14:textId="77777777" w:rsidR="00B73A48" w:rsidRDefault="00B73A48" w:rsidP="00B73A48">
      <w:pPr>
        <w:spacing w:after="0"/>
        <w:rPr>
          <w:szCs w:val="20"/>
        </w:rPr>
      </w:pPr>
      <w:r>
        <w:rPr>
          <w:szCs w:val="20"/>
        </w:rPr>
        <w:br w:type="page"/>
      </w:r>
    </w:p>
    <w:p w14:paraId="697EF00F" w14:textId="77777777" w:rsidR="00B73A48" w:rsidRDefault="00B73A48" w:rsidP="003677B6">
      <w:pPr>
        <w:spacing w:after="120"/>
        <w:jc w:val="right"/>
        <w:rPr>
          <w:szCs w:val="20"/>
        </w:rPr>
      </w:pPr>
      <w:r w:rsidRPr="00275DCA">
        <w:rPr>
          <w:szCs w:val="20"/>
        </w:rPr>
        <w:lastRenderedPageBreak/>
        <w:t>1.</w:t>
      </w:r>
      <w:r>
        <w:rPr>
          <w:szCs w:val="20"/>
        </w:rPr>
        <w:t>4</w:t>
      </w:r>
      <w:r w:rsidRPr="00275DCA">
        <w:rPr>
          <w:szCs w:val="20"/>
        </w:rPr>
        <w:t>. attēls</w:t>
      </w:r>
    </w:p>
    <w:p w14:paraId="75E2878F" w14:textId="62275BC2" w:rsidR="00933D26" w:rsidRPr="00933D26" w:rsidRDefault="00933D26" w:rsidP="003677B6">
      <w:pPr>
        <w:spacing w:after="120"/>
        <w:jc w:val="center"/>
        <w:rPr>
          <w:rFonts w:ascii="Segoe UI Light" w:hAnsi="Segoe UI Light" w:cs="Segoe UI Light"/>
          <w:bCs/>
          <w:i/>
          <w:iCs/>
          <w:sz w:val="16"/>
          <w:szCs w:val="16"/>
        </w:rPr>
      </w:pPr>
      <w:r w:rsidRPr="00933D26">
        <w:rPr>
          <w:rFonts w:ascii="Segoe UI Light" w:hAnsi="Segoe UI Light" w:cs="Segoe UI Light"/>
          <w:b/>
          <w:sz w:val="18"/>
          <w:szCs w:val="18"/>
        </w:rPr>
        <w:t xml:space="preserve">Baltijas valstu IKP uz 1 iedzīvotāju </w:t>
      </w:r>
      <w:r>
        <w:rPr>
          <w:rFonts w:ascii="Segoe UI Light" w:hAnsi="Segoe UI Light" w:cs="Segoe UI Light"/>
          <w:b/>
          <w:sz w:val="18"/>
          <w:szCs w:val="18"/>
        </w:rPr>
        <w:br/>
      </w:r>
      <w:r w:rsidRPr="00933D26">
        <w:rPr>
          <w:rFonts w:ascii="Segoe UI Light" w:hAnsi="Segoe UI Light" w:cs="Segoe UI Light"/>
          <w:bCs/>
          <w:i/>
          <w:iCs/>
          <w:sz w:val="16"/>
          <w:szCs w:val="16"/>
        </w:rPr>
        <w:t>faktiskajās cenās pēc PPS, procentos pret ES vidējo</w:t>
      </w:r>
    </w:p>
    <w:p w14:paraId="0E777A5B" w14:textId="77777777" w:rsidR="00933D26" w:rsidRPr="00933D26" w:rsidRDefault="00933D26" w:rsidP="003677B6">
      <w:pPr>
        <w:spacing w:after="120"/>
        <w:jc w:val="center"/>
        <w:rPr>
          <w:rFonts w:ascii="Segoe UI Light" w:hAnsi="Segoe UI Light" w:cs="Segoe UI Light"/>
          <w:b/>
        </w:rPr>
      </w:pPr>
      <w:r w:rsidRPr="00933D26">
        <w:rPr>
          <w:rFonts w:ascii="Segoe UI Light" w:hAnsi="Segoe UI Light" w:cs="Segoe UI Light"/>
          <w:b/>
          <w:noProof/>
          <w:szCs w:val="20"/>
        </w:rPr>
        <w:drawing>
          <wp:inline distT="0" distB="0" distL="0" distR="0" wp14:anchorId="4B79A7DA" wp14:editId="38FC086D">
            <wp:extent cx="5760000" cy="2520000"/>
            <wp:effectExtent l="0" t="0" r="0" b="0"/>
            <wp:docPr id="497" name="Chart 4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888C40" w14:textId="77777777" w:rsidR="00933D26" w:rsidRPr="00BF61E6" w:rsidRDefault="00933D26" w:rsidP="003677B6">
      <w:pPr>
        <w:spacing w:after="120"/>
        <w:jc w:val="both"/>
        <w:rPr>
          <w:rFonts w:cs="Calibri Light"/>
          <w:szCs w:val="20"/>
        </w:rPr>
      </w:pPr>
      <w:r w:rsidRPr="00BF61E6">
        <w:rPr>
          <w:rFonts w:cs="Calibri Light"/>
          <w:sz w:val="16"/>
          <w:szCs w:val="16"/>
        </w:rPr>
        <w:t xml:space="preserve">Avots: </w:t>
      </w:r>
      <w:proofErr w:type="spellStart"/>
      <w:r w:rsidRPr="006536E3">
        <w:rPr>
          <w:rFonts w:cs="Calibri Light"/>
          <w:i/>
          <w:sz w:val="16"/>
          <w:szCs w:val="16"/>
        </w:rPr>
        <w:t>Eurostat</w:t>
      </w:r>
      <w:proofErr w:type="spellEnd"/>
    </w:p>
    <w:p w14:paraId="0201B34F" w14:textId="77777777" w:rsidR="00BF61E6" w:rsidRDefault="00BF61E6" w:rsidP="003677B6">
      <w:pPr>
        <w:spacing w:after="120"/>
        <w:jc w:val="both"/>
        <w:rPr>
          <w:szCs w:val="20"/>
        </w:rPr>
      </w:pPr>
    </w:p>
    <w:p w14:paraId="7196F59D" w14:textId="1F912A1F" w:rsidR="00933D26" w:rsidRDefault="00933D26" w:rsidP="003677B6">
      <w:pPr>
        <w:spacing w:after="120"/>
        <w:jc w:val="both"/>
        <w:rPr>
          <w:szCs w:val="20"/>
        </w:rPr>
      </w:pPr>
      <w:r w:rsidRPr="00033503">
        <w:rPr>
          <w:szCs w:val="20"/>
        </w:rPr>
        <w:t>C</w:t>
      </w:r>
      <w:r>
        <w:rPr>
          <w:szCs w:val="20"/>
        </w:rPr>
        <w:t>ovid-</w:t>
      </w:r>
      <w:r w:rsidRPr="00033503">
        <w:rPr>
          <w:szCs w:val="20"/>
        </w:rPr>
        <w:t xml:space="preserve">19 pandēmijas laikā </w:t>
      </w:r>
      <w:r>
        <w:rPr>
          <w:szCs w:val="20"/>
        </w:rPr>
        <w:t xml:space="preserve">Latvijas un Igaunijas </w:t>
      </w:r>
      <w:r w:rsidRPr="00033503">
        <w:rPr>
          <w:szCs w:val="20"/>
        </w:rPr>
        <w:t>konverģences tempi palēninājās un līdz 2022</w:t>
      </w:r>
      <w:r w:rsidR="00FF63B5">
        <w:rPr>
          <w:szCs w:val="20"/>
        </w:rPr>
        <w:t>. gad</w:t>
      </w:r>
      <w:r w:rsidRPr="00033503">
        <w:rPr>
          <w:szCs w:val="20"/>
        </w:rPr>
        <w:t xml:space="preserve">a beigām saglabājās </w:t>
      </w:r>
      <w:r>
        <w:rPr>
          <w:szCs w:val="20"/>
        </w:rPr>
        <w:t xml:space="preserve">gandrīz </w:t>
      </w:r>
      <w:r w:rsidRPr="00033503">
        <w:rPr>
          <w:szCs w:val="20"/>
        </w:rPr>
        <w:t>nemainīgi</w:t>
      </w:r>
      <w:r>
        <w:rPr>
          <w:szCs w:val="20"/>
        </w:rPr>
        <w:t xml:space="preserve">, kamēr Lietuvas konverģences tempi </w:t>
      </w:r>
      <w:r w:rsidR="00AC291B">
        <w:rPr>
          <w:szCs w:val="20"/>
        </w:rPr>
        <w:t xml:space="preserve">ir </w:t>
      </w:r>
      <w:r>
        <w:rPr>
          <w:szCs w:val="20"/>
        </w:rPr>
        <w:t>palik</w:t>
      </w:r>
      <w:r w:rsidR="00AC291B">
        <w:rPr>
          <w:szCs w:val="20"/>
        </w:rPr>
        <w:t>uši</w:t>
      </w:r>
      <w:r>
        <w:rPr>
          <w:szCs w:val="20"/>
        </w:rPr>
        <w:t xml:space="preserve"> nemainīgi kopš 2016</w:t>
      </w:r>
      <w:r w:rsidR="00FF63B5">
        <w:rPr>
          <w:szCs w:val="20"/>
        </w:rPr>
        <w:t>. gad</w:t>
      </w:r>
      <w:r>
        <w:rPr>
          <w:szCs w:val="20"/>
        </w:rPr>
        <w:t>a (aptuveni 2%</w:t>
      </w:r>
      <w:r w:rsidR="00BF61E6">
        <w:rPr>
          <w:szCs w:val="20"/>
        </w:rPr>
        <w:t xml:space="preserve"> </w:t>
      </w:r>
      <w:r>
        <w:rPr>
          <w:szCs w:val="20"/>
        </w:rPr>
        <w:t>gadā)</w:t>
      </w:r>
      <w:r w:rsidRPr="00033503">
        <w:rPr>
          <w:szCs w:val="20"/>
        </w:rPr>
        <w:t>.</w:t>
      </w:r>
      <w:r>
        <w:rPr>
          <w:szCs w:val="20"/>
        </w:rPr>
        <w:t xml:space="preserve"> Jāatzīmē, ka</w:t>
      </w:r>
      <w:r w:rsidRPr="00033503">
        <w:rPr>
          <w:szCs w:val="20"/>
        </w:rPr>
        <w:t xml:space="preserve"> kopumā Lietuvas un Igaunijas atpalicība no ES vidējā ir krietni mazāka, nekā Latvijai (attiecīgi </w:t>
      </w:r>
      <w:r w:rsidR="00BF61E6">
        <w:rPr>
          <w:szCs w:val="20"/>
        </w:rPr>
        <w:t xml:space="preserve">– </w:t>
      </w:r>
      <w:r w:rsidRPr="00033503">
        <w:rPr>
          <w:szCs w:val="20"/>
        </w:rPr>
        <w:t>-10</w:t>
      </w:r>
      <w:r>
        <w:rPr>
          <w:szCs w:val="20"/>
        </w:rPr>
        <w:t>%</w:t>
      </w:r>
      <w:r w:rsidRPr="00033503">
        <w:rPr>
          <w:szCs w:val="20"/>
        </w:rPr>
        <w:t xml:space="preserve"> un -15</w:t>
      </w:r>
      <w:r>
        <w:rPr>
          <w:szCs w:val="20"/>
        </w:rPr>
        <w:t>%</w:t>
      </w:r>
      <w:r w:rsidRPr="00033503">
        <w:rPr>
          <w:szCs w:val="20"/>
        </w:rPr>
        <w:t>, kamēr Latvija atpaliek par 28</w:t>
      </w:r>
      <w:r>
        <w:rPr>
          <w:szCs w:val="20"/>
        </w:rPr>
        <w:t>%</w:t>
      </w:r>
      <w:r w:rsidRPr="00033503">
        <w:rPr>
          <w:szCs w:val="20"/>
        </w:rPr>
        <w:t>). S</w:t>
      </w:r>
      <w:r>
        <w:rPr>
          <w:szCs w:val="20"/>
        </w:rPr>
        <w:t>t</w:t>
      </w:r>
      <w:r w:rsidRPr="00033503">
        <w:rPr>
          <w:szCs w:val="20"/>
        </w:rPr>
        <w:t xml:space="preserve">raujākie pieauguma tempi </w:t>
      </w:r>
      <w:r>
        <w:rPr>
          <w:szCs w:val="20"/>
        </w:rPr>
        <w:t>no 2010</w:t>
      </w:r>
      <w:r w:rsidR="00FF63B5">
        <w:rPr>
          <w:szCs w:val="20"/>
        </w:rPr>
        <w:t>. gad</w:t>
      </w:r>
      <w:r>
        <w:rPr>
          <w:szCs w:val="20"/>
        </w:rPr>
        <w:t xml:space="preserve">a </w:t>
      </w:r>
      <w:r w:rsidRPr="00033503">
        <w:rPr>
          <w:szCs w:val="20"/>
        </w:rPr>
        <w:t>starp Baltijas valstīm ir Lietuvai un Igaunijai (vidēji 2</w:t>
      </w:r>
      <w:r w:rsidR="00BF61E6">
        <w:rPr>
          <w:szCs w:val="20"/>
        </w:rPr>
        <w:t>% gad</w:t>
      </w:r>
      <w:r w:rsidRPr="00033503">
        <w:rPr>
          <w:szCs w:val="20"/>
        </w:rPr>
        <w:t>ā, kamēr Latvijas pieauguma temps ir vidēji 1</w:t>
      </w:r>
      <w:r>
        <w:rPr>
          <w:szCs w:val="20"/>
        </w:rPr>
        <w:t>%</w:t>
      </w:r>
      <w:r w:rsidR="00BF61E6">
        <w:rPr>
          <w:szCs w:val="20"/>
        </w:rPr>
        <w:t xml:space="preserve"> </w:t>
      </w:r>
      <w:r>
        <w:rPr>
          <w:szCs w:val="20"/>
        </w:rPr>
        <w:t>gad</w:t>
      </w:r>
      <w:r w:rsidRPr="00033503">
        <w:rPr>
          <w:szCs w:val="20"/>
        </w:rPr>
        <w:t>ā)</w:t>
      </w:r>
      <w:r>
        <w:rPr>
          <w:szCs w:val="20"/>
        </w:rPr>
        <w:t>.</w:t>
      </w:r>
    </w:p>
    <w:p w14:paraId="76303CF6" w14:textId="77777777" w:rsidR="00BF61E6" w:rsidRDefault="00BF61E6" w:rsidP="003677B6">
      <w:pPr>
        <w:spacing w:after="120"/>
        <w:jc w:val="both"/>
        <w:rPr>
          <w:szCs w:val="20"/>
        </w:rPr>
      </w:pPr>
    </w:p>
    <w:p w14:paraId="75FC613D" w14:textId="77777777" w:rsidR="000A4643" w:rsidRDefault="000A4643" w:rsidP="003677B6">
      <w:pPr>
        <w:spacing w:after="120"/>
        <w:jc w:val="both"/>
        <w:rPr>
          <w:szCs w:val="20"/>
        </w:rPr>
      </w:pPr>
    </w:p>
    <w:p w14:paraId="1A4BD10E" w14:textId="77777777" w:rsidR="00875788" w:rsidRPr="00DA1AF0" w:rsidRDefault="00875788" w:rsidP="00875788">
      <w:pPr>
        <w:keepNext/>
        <w:spacing w:after="360"/>
        <w:outlineLvl w:val="1"/>
        <w:rPr>
          <w:rFonts w:ascii="Aptos Narrow" w:hAnsi="Aptos Narrow"/>
          <w:b/>
          <w:caps/>
          <w:color w:val="5F497A"/>
          <w:sz w:val="28"/>
        </w:rPr>
      </w:pPr>
      <w:bookmarkStart w:id="14" w:name="_Toc183620090"/>
      <w:bookmarkStart w:id="15" w:name="_Toc517876428"/>
      <w:r w:rsidRPr="00DA1AF0">
        <w:rPr>
          <w:rFonts w:ascii="Aptos Narrow" w:hAnsi="Aptos Narrow"/>
          <w:b/>
          <w:caps/>
          <w:color w:val="5F497A"/>
          <w:sz w:val="28"/>
        </w:rPr>
        <w:t>1.2. Iedzīvotāju nodarbinātība un bezdarbs</w:t>
      </w:r>
      <w:bookmarkEnd w:id="14"/>
    </w:p>
    <w:p w14:paraId="699FCBFE" w14:textId="7F955663" w:rsidR="00875788" w:rsidRPr="00DA1AF0" w:rsidRDefault="00875788" w:rsidP="00875788">
      <w:pPr>
        <w:spacing w:after="120"/>
        <w:jc w:val="both"/>
        <w:rPr>
          <w:highlight w:val="yellow"/>
        </w:rPr>
      </w:pPr>
      <w:r w:rsidRPr="00DA1AF0">
        <w:t xml:space="preserve">Atkopjoties no Covid-19 </w:t>
      </w:r>
      <w:r w:rsidR="00C11703">
        <w:t>pandēmijas</w:t>
      </w:r>
      <w:r w:rsidRPr="00DA1AF0">
        <w:t xml:space="preserve"> 2022</w:t>
      </w:r>
      <w:r w:rsidR="00FF63B5">
        <w:t>. gad</w:t>
      </w:r>
      <w:r w:rsidRPr="00DA1AF0">
        <w:t xml:space="preserve">ā atsāka palielināties nodarbinātība, kā arī turpināja mazināties bezdarbs. Pieaugot darbaspēka pieprasījumam, arvien jūtamāks kļūst darba roku trūkums, par ko liecina gan bezdarba rādītāju atgriešanās </w:t>
      </w:r>
      <w:proofErr w:type="spellStart"/>
      <w:r w:rsidRPr="00DA1AF0">
        <w:t>pirmskrīzes</w:t>
      </w:r>
      <w:proofErr w:type="spellEnd"/>
      <w:r w:rsidRPr="00DA1AF0">
        <w:t xml:space="preserve"> (2019</w:t>
      </w:r>
      <w:r w:rsidR="00FF63B5">
        <w:t>. gad</w:t>
      </w:r>
      <w:r w:rsidRPr="00DA1AF0">
        <w:t xml:space="preserve">a) līmenī, gan vakanču skaita un darba vietu noslodzes pieaugums. Covid-19 </w:t>
      </w:r>
      <w:r w:rsidR="00C11703">
        <w:t>pandēmija</w:t>
      </w:r>
      <w:r w:rsidRPr="00DA1AF0">
        <w:t xml:space="preserve"> kopumā ir atstājusi negatīvu ietekmi uz iedzīvotāju ekonomisko aktivitāti, kas līdztekus demogrāfiskiem procesiem sašaurina darbaspēka piedāvājumu darba tirgū un paaugstina darbaspēka nepietiekamības riskus.</w:t>
      </w:r>
    </w:p>
    <w:p w14:paraId="3261BB2C" w14:textId="77777777" w:rsidR="00875788" w:rsidRDefault="00875788" w:rsidP="00875788">
      <w:pPr>
        <w:spacing w:before="120" w:after="120"/>
        <w:jc w:val="both"/>
      </w:pPr>
      <w:r w:rsidRPr="00DA1AF0">
        <w:t>Tomēr, lai gan nodarbinātības līmenis palielinās, kopējais pieprasījums pēc darbaspēka saglabājas ierobežots un joprojām vērojams neliels samazinājums aizņemto darba vietu skaitā. Pieaugot spiedienam no darbaspēka piedāvājuma puses – gan no cilvēkresursu pieejamības viedokļa, gan atalgojumā izteiksmē – darba devējiem arvien grūtāk ir izveidot jaunas darba vietas un piesaistīt darbiniekus.</w:t>
      </w:r>
    </w:p>
    <w:p w14:paraId="355FADF5" w14:textId="1969C3B7" w:rsidR="00EF5A03" w:rsidRPr="00DA1AF0" w:rsidRDefault="00EF5A03" w:rsidP="00EF5A03">
      <w:pPr>
        <w:spacing w:after="120"/>
        <w:jc w:val="both"/>
        <w:rPr>
          <w:szCs w:val="20"/>
          <w:highlight w:val="yellow"/>
        </w:rPr>
      </w:pPr>
      <w:r w:rsidRPr="00DA1AF0">
        <w:t>2023</w:t>
      </w:r>
      <w:r w:rsidR="00FF63B5">
        <w:t>. gad</w:t>
      </w:r>
      <w:r w:rsidRPr="00DA1AF0">
        <w:t>ā kopumā nodarbināto iedzīvotāju skaits bija par 2 tūkst. jeb 0,2% mazāks nekā 2022</w:t>
      </w:r>
      <w:r w:rsidR="00FF63B5">
        <w:t>. gad</w:t>
      </w:r>
      <w:r w:rsidRPr="00DA1AF0">
        <w:t xml:space="preserve">ā. Nodarbināto skaita samazinājumu lielā mērā ir ietekmējusi gan ekonomikas izaugsmes tempu palēnināšanās, gan arī darba tirgus piedāvājuma puses faktori – iedzīvotāju skaita samazinājums darbaspējas vecumā, kā arī kopējā darbaspēka piedāvājuma kritums. </w:t>
      </w:r>
      <w:r w:rsidRPr="00DA1AF0">
        <w:rPr>
          <w:szCs w:val="20"/>
        </w:rPr>
        <w:t>Tāpat arvien vairāk vajadzību pēc darbaspēka aizstāj produktivitātes pieaugums, līdz ar to noteiktu darbu veikšanai ir nepieciešams mazāks nodarbināto skaits.</w:t>
      </w:r>
      <w:r>
        <w:rPr>
          <w:szCs w:val="20"/>
        </w:rPr>
        <w:t xml:space="preserve"> </w:t>
      </w:r>
      <w:r w:rsidRPr="00DA1AF0">
        <w:t>Kopumā 2023</w:t>
      </w:r>
      <w:r w:rsidR="00FF63B5">
        <w:t>. gad</w:t>
      </w:r>
      <w:r w:rsidRPr="00DA1AF0">
        <w:t>ā bija nodarbināti 884,2 tūkst. iedzīvotāji vecumā no 15 līdz74 gadiem. Savukārt aizņemto darbavietu skaits samazinājās vien par 0,1 procentu.</w:t>
      </w:r>
    </w:p>
    <w:p w14:paraId="32A17250" w14:textId="2CF513DA" w:rsidR="00EF5A03" w:rsidRPr="00DA1AF0" w:rsidRDefault="00EF5A03" w:rsidP="00EF5A03">
      <w:pPr>
        <w:spacing w:after="120"/>
        <w:jc w:val="both"/>
      </w:pPr>
      <w:r w:rsidRPr="00DA1AF0">
        <w:t>Nodarbināto īpatsvars iedzīvotāju kopskaitā 2023</w:t>
      </w:r>
      <w:r w:rsidR="00FF63B5">
        <w:t>. gad</w:t>
      </w:r>
      <w:r w:rsidRPr="00DA1AF0">
        <w:t>ā bija 64,2%, kas bija par 0,3 procentpunktiem augstāks nekā 2022</w:t>
      </w:r>
      <w:r w:rsidR="00FF63B5">
        <w:t>. gad</w:t>
      </w:r>
      <w:r w:rsidRPr="00DA1AF0">
        <w:t xml:space="preserve">ā, bet no </w:t>
      </w:r>
      <w:proofErr w:type="spellStart"/>
      <w:r w:rsidRPr="00DA1AF0">
        <w:t>pirmskrīzes</w:t>
      </w:r>
      <w:proofErr w:type="spellEnd"/>
      <w:r w:rsidRPr="00DA1AF0">
        <w:t xml:space="preserve"> līmeņa (2019</w:t>
      </w:r>
      <w:r w:rsidR="00FF63B5">
        <w:t>. gad</w:t>
      </w:r>
      <w:r w:rsidRPr="00DA1AF0">
        <w:t>a) tas atpaliek par 0,8 procentpunktiem. Pēc strauja iedzīvotāju ekonomiskās aktivitātes krituma 2021</w:t>
      </w:r>
      <w:r w:rsidR="00FF63B5">
        <w:t>. gad</w:t>
      </w:r>
      <w:r w:rsidRPr="00DA1AF0">
        <w:t>ā, 2022</w:t>
      </w:r>
      <w:r w:rsidR="00FF63B5">
        <w:t>. gad</w:t>
      </w:r>
      <w:r w:rsidRPr="00DA1AF0">
        <w:t>ā iedzīvotāju līdzdalība darba tirgū palielinājās, savukārt 2023</w:t>
      </w:r>
      <w:r w:rsidR="00FF63B5">
        <w:t>. gad</w:t>
      </w:r>
      <w:r w:rsidRPr="00DA1AF0">
        <w:t>ā tā saglabājās nemainīga. 2023</w:t>
      </w:r>
      <w:r w:rsidR="00FF63B5">
        <w:t>. gad</w:t>
      </w:r>
      <w:r w:rsidRPr="00DA1AF0">
        <w:t>ā iedzīvotāju ekonomiskās aktivitātes līmenis vecuma grupā no 15 līdz 74 gadiem bija tāds pats kā 2022</w:t>
      </w:r>
      <w:r w:rsidR="00FF63B5">
        <w:t>. gad</w:t>
      </w:r>
      <w:r w:rsidRPr="00DA1AF0">
        <w:t>ā un par 0,9 procentpunktiem augstāks nekā 2021</w:t>
      </w:r>
      <w:r w:rsidR="00FF63B5">
        <w:t>. gad</w:t>
      </w:r>
      <w:r w:rsidRPr="00DA1AF0">
        <w:t>ā.</w:t>
      </w:r>
    </w:p>
    <w:p w14:paraId="6A56500A" w14:textId="44F410C3" w:rsidR="00875788" w:rsidRPr="00DA1AF0" w:rsidRDefault="00875788" w:rsidP="00875788">
      <w:pPr>
        <w:spacing w:after="120"/>
        <w:jc w:val="right"/>
        <w:rPr>
          <w:szCs w:val="20"/>
        </w:rPr>
      </w:pPr>
      <w:r w:rsidRPr="00DA1AF0">
        <w:rPr>
          <w:szCs w:val="20"/>
        </w:rPr>
        <w:lastRenderedPageBreak/>
        <w:t>1.</w:t>
      </w:r>
      <w:r w:rsidR="00AD141B">
        <w:rPr>
          <w:szCs w:val="20"/>
        </w:rPr>
        <w:t>5</w:t>
      </w:r>
      <w:r w:rsidRPr="00DA1AF0">
        <w:rPr>
          <w:szCs w:val="20"/>
        </w:rPr>
        <w:t>. attēls</w:t>
      </w:r>
    </w:p>
    <w:p w14:paraId="0C496D4C" w14:textId="77777777" w:rsidR="00875788" w:rsidRPr="00DA1AF0" w:rsidRDefault="00875788" w:rsidP="00875788">
      <w:pPr>
        <w:tabs>
          <w:tab w:val="center" w:pos="2268"/>
          <w:tab w:val="center" w:pos="6804"/>
        </w:tabs>
        <w:spacing w:after="120"/>
        <w:rPr>
          <w:rFonts w:ascii="Segoe UI Light" w:eastAsia="Times New Roman" w:hAnsi="Segoe UI Light"/>
          <w:i/>
          <w:sz w:val="16"/>
          <w:szCs w:val="20"/>
          <w:lang w:eastAsia="lv-LV"/>
        </w:rPr>
      </w:pPr>
      <w:r w:rsidRPr="00DA1AF0">
        <w:rPr>
          <w:rFonts w:ascii="Segoe UI Light" w:hAnsi="Segoe UI Light"/>
          <w:b/>
          <w:sz w:val="18"/>
          <w:szCs w:val="26"/>
        </w:rPr>
        <w:tab/>
        <w:t>Nodarbināto un ekonomiski aktīvo iedzīvotāju skaits</w:t>
      </w:r>
      <w:r w:rsidRPr="00DA1AF0">
        <w:rPr>
          <w:rFonts w:ascii="Segoe UI Light" w:eastAsia="Times New Roman" w:hAnsi="Segoe UI Light"/>
          <w:sz w:val="16"/>
          <w:szCs w:val="20"/>
          <w:lang w:eastAsia="lv-LV"/>
        </w:rPr>
        <w:tab/>
      </w:r>
      <w:r w:rsidRPr="00DA1AF0">
        <w:rPr>
          <w:rFonts w:ascii="Segoe UI Light" w:hAnsi="Segoe UI Light"/>
          <w:b/>
          <w:sz w:val="18"/>
          <w:szCs w:val="26"/>
        </w:rPr>
        <w:t xml:space="preserve">Nodarbinātības un ekonomiskās aktivitātes līmenis </w:t>
      </w:r>
      <w:r w:rsidRPr="00DA1AF0">
        <w:rPr>
          <w:rFonts w:ascii="Segoe UI Light" w:hAnsi="Segoe UI Light"/>
          <w:b/>
          <w:sz w:val="18"/>
          <w:szCs w:val="26"/>
        </w:rPr>
        <w:br/>
      </w:r>
      <w:r w:rsidRPr="00DA1AF0">
        <w:rPr>
          <w:rFonts w:ascii="Segoe UI Light" w:eastAsia="Times New Roman" w:hAnsi="Segoe UI Light"/>
          <w:bCs/>
          <w:i/>
          <w:color w:val="000000"/>
          <w:sz w:val="16"/>
        </w:rPr>
        <w:tab/>
        <w:t xml:space="preserve">15-74 </w:t>
      </w:r>
      <w:r w:rsidRPr="00DA1AF0">
        <w:rPr>
          <w:rFonts w:ascii="Segoe UI Light" w:eastAsia="Times New Roman" w:hAnsi="Segoe UI Light"/>
          <w:i/>
          <w:color w:val="000000"/>
          <w:sz w:val="16"/>
        </w:rPr>
        <w:t>gadu vecuma grupā, tūkst.</w:t>
      </w:r>
      <w:r w:rsidRPr="00DA1AF0">
        <w:rPr>
          <w:rFonts w:ascii="Segoe UI Light" w:eastAsia="Times New Roman" w:hAnsi="Segoe UI Light"/>
          <w:i/>
          <w:color w:val="000000"/>
          <w:sz w:val="16"/>
        </w:rPr>
        <w:tab/>
        <w:t>procentos</w:t>
      </w:r>
    </w:p>
    <w:p w14:paraId="77F2B208" w14:textId="77777777" w:rsidR="00875788" w:rsidRPr="00DA1AF0" w:rsidRDefault="00875788" w:rsidP="00875788">
      <w:pPr>
        <w:tabs>
          <w:tab w:val="left" w:pos="4643"/>
        </w:tabs>
        <w:spacing w:after="120"/>
        <w:jc w:val="right"/>
        <w:rPr>
          <w:rFonts w:ascii="Segoe UI Light" w:hAnsi="Segoe UI Light" w:cs="Segoe UI"/>
          <w:sz w:val="18"/>
          <w:szCs w:val="18"/>
        </w:rPr>
      </w:pPr>
      <w:r w:rsidRPr="00DA1AF0">
        <w:rPr>
          <w:noProof/>
        </w:rPr>
        <w:drawing>
          <wp:inline distT="0" distB="0" distL="0" distR="0" wp14:anchorId="49AB87C4" wp14:editId="548456A0">
            <wp:extent cx="2876550" cy="2160000"/>
            <wp:effectExtent l="0" t="0" r="0" b="0"/>
            <wp:docPr id="88" name="Chart 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DA1AF0">
        <w:rPr>
          <w:noProof/>
        </w:rPr>
        <w:drawing>
          <wp:inline distT="0" distB="0" distL="0" distR="0" wp14:anchorId="73FC0B98" wp14:editId="2755AD66">
            <wp:extent cx="2882900" cy="2160000"/>
            <wp:effectExtent l="0" t="0" r="0" b="0"/>
            <wp:docPr id="511" name="Chart 5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4A4CA4D" w14:textId="77777777" w:rsidR="00875788" w:rsidRPr="00DA1AF0" w:rsidRDefault="00875788" w:rsidP="00875788">
      <w:pPr>
        <w:spacing w:after="120"/>
        <w:jc w:val="both"/>
        <w:rPr>
          <w:sz w:val="16"/>
          <w:szCs w:val="16"/>
        </w:rPr>
      </w:pPr>
      <w:r w:rsidRPr="00DA1AF0">
        <w:rPr>
          <w:sz w:val="16"/>
          <w:szCs w:val="16"/>
        </w:rPr>
        <w:t>Avots: CSP</w:t>
      </w:r>
    </w:p>
    <w:p w14:paraId="30F1CD4E" w14:textId="77777777" w:rsidR="00875788" w:rsidRPr="00DA1AF0" w:rsidRDefault="00875788" w:rsidP="00875788">
      <w:pPr>
        <w:spacing w:after="120"/>
        <w:jc w:val="both"/>
      </w:pPr>
    </w:p>
    <w:p w14:paraId="41AFECF1" w14:textId="6003897A" w:rsidR="00875788" w:rsidRPr="00DA1AF0" w:rsidRDefault="00875788" w:rsidP="00875788">
      <w:pPr>
        <w:spacing w:after="120"/>
        <w:jc w:val="both"/>
      </w:pPr>
      <w:r>
        <w:t>Kopumā n</w:t>
      </w:r>
      <w:r w:rsidRPr="00DA1AF0">
        <w:t>odarbinātības līme</w:t>
      </w:r>
      <w:r>
        <w:t>nis</w:t>
      </w:r>
      <w:r w:rsidRPr="00DA1AF0">
        <w:t xml:space="preserve"> 2023</w:t>
      </w:r>
      <w:r w:rsidR="00FF63B5">
        <w:t>. gad</w:t>
      </w:r>
      <w:r w:rsidRPr="00DA1AF0">
        <w:t xml:space="preserve">ā </w:t>
      </w:r>
      <w:r>
        <w:t>Latvijā starp iedzīvotājiem</w:t>
      </w:r>
      <w:r w:rsidRPr="00DA1AF0">
        <w:t xml:space="preserve"> vecumā no 15 līdz74 gadiem bija par 3,1 procentpunktu augstāks nekā vidēji ES. Kopš 2010</w:t>
      </w:r>
      <w:r w:rsidR="00FF63B5">
        <w:t>. gad</w:t>
      </w:r>
      <w:r w:rsidRPr="00DA1AF0">
        <w:t>a nodarbinātības līmeņa pieaugums Latvijā ir bijis viens no straujākiem ES, tomēr jāņem vērā, ka 2010</w:t>
      </w:r>
      <w:r w:rsidR="00FF63B5">
        <w:t>. gad</w:t>
      </w:r>
      <w:r w:rsidRPr="00DA1AF0">
        <w:t>ā nodarbinātības līmenis Latvijā, līdzīgi kā citās valstīs, sasniedza savu zemāko punktu pēc 2008</w:t>
      </w:r>
      <w:r w:rsidR="00FF63B5">
        <w:t>. gad</w:t>
      </w:r>
      <w:r w:rsidRPr="00DA1AF0">
        <w:t>a finanšu krīzes, līdz ar to izmaiņas rādītājā daļēji ir saistītas ar nodarbinātības līmeņa zemās bāzes efektu 2010</w:t>
      </w:r>
      <w:r w:rsidR="00FF63B5">
        <w:t>. gad</w:t>
      </w:r>
      <w:r w:rsidRPr="00DA1AF0">
        <w:t>ā.</w:t>
      </w:r>
    </w:p>
    <w:p w14:paraId="15219E6A" w14:textId="7E240101" w:rsidR="00875788" w:rsidRPr="00DA1AF0" w:rsidRDefault="00875788" w:rsidP="00875788">
      <w:pPr>
        <w:spacing w:before="120" w:after="120"/>
        <w:jc w:val="right"/>
        <w:rPr>
          <w:szCs w:val="20"/>
        </w:rPr>
      </w:pPr>
      <w:r w:rsidRPr="00DA1AF0">
        <w:rPr>
          <w:szCs w:val="20"/>
        </w:rPr>
        <w:t>1.</w:t>
      </w:r>
      <w:r w:rsidR="00AD141B">
        <w:rPr>
          <w:szCs w:val="20"/>
        </w:rPr>
        <w:t>6</w:t>
      </w:r>
      <w:r w:rsidRPr="00DA1AF0">
        <w:rPr>
          <w:szCs w:val="20"/>
        </w:rPr>
        <w:t>. attēls</w:t>
      </w:r>
    </w:p>
    <w:p w14:paraId="45C6F936" w14:textId="77777777" w:rsidR="00875788" w:rsidRPr="00DA1AF0" w:rsidRDefault="00875788" w:rsidP="00875788">
      <w:pPr>
        <w:spacing w:after="120"/>
        <w:jc w:val="center"/>
        <w:rPr>
          <w:rFonts w:ascii="Segoe UI Light" w:hAnsi="Segoe UI Light"/>
          <w:i/>
          <w:sz w:val="16"/>
          <w:szCs w:val="24"/>
        </w:rPr>
      </w:pPr>
      <w:r w:rsidRPr="00DA1AF0">
        <w:rPr>
          <w:rFonts w:ascii="Segoe UI Light" w:hAnsi="Segoe UI Light"/>
          <w:b/>
          <w:sz w:val="18"/>
          <w:szCs w:val="26"/>
        </w:rPr>
        <w:t xml:space="preserve">Nodarbinātības līmenis ES valstīs </w:t>
      </w:r>
      <w:r w:rsidRPr="00DA1AF0">
        <w:rPr>
          <w:rFonts w:ascii="Segoe UI Light" w:hAnsi="Segoe UI Light"/>
          <w:b/>
          <w:sz w:val="18"/>
          <w:szCs w:val="26"/>
        </w:rPr>
        <w:br/>
      </w:r>
      <w:r w:rsidRPr="00DA1AF0">
        <w:rPr>
          <w:rFonts w:ascii="Segoe UI Light" w:hAnsi="Segoe UI Light"/>
          <w:i/>
          <w:sz w:val="16"/>
          <w:szCs w:val="24"/>
        </w:rPr>
        <w:t>15-74 gadu vecuma grupā, procentos</w:t>
      </w:r>
    </w:p>
    <w:p w14:paraId="7D536900" w14:textId="77777777" w:rsidR="00875788" w:rsidRPr="00DA1AF0" w:rsidRDefault="00875788" w:rsidP="00875788">
      <w:pPr>
        <w:spacing w:after="120"/>
        <w:jc w:val="center"/>
      </w:pPr>
      <w:r w:rsidRPr="00DA1AF0">
        <w:rPr>
          <w:noProof/>
        </w:rPr>
        <w:drawing>
          <wp:inline distT="0" distB="0" distL="0" distR="0" wp14:anchorId="1CE9DA2E" wp14:editId="5263CC0F">
            <wp:extent cx="5759450" cy="2160000"/>
            <wp:effectExtent l="0" t="0" r="0" b="0"/>
            <wp:docPr id="499" name="Chart 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3F023C8" w14:textId="77777777" w:rsidR="00875788" w:rsidRPr="00DA1AF0" w:rsidRDefault="00875788" w:rsidP="00875788">
      <w:pPr>
        <w:spacing w:after="120"/>
        <w:jc w:val="both"/>
        <w:rPr>
          <w:sz w:val="16"/>
          <w:szCs w:val="16"/>
        </w:rPr>
      </w:pPr>
      <w:r w:rsidRPr="00DA1AF0">
        <w:rPr>
          <w:sz w:val="16"/>
          <w:szCs w:val="16"/>
        </w:rPr>
        <w:t xml:space="preserve">Avots: </w:t>
      </w:r>
      <w:proofErr w:type="spellStart"/>
      <w:r w:rsidRPr="00DA1AF0">
        <w:rPr>
          <w:i/>
          <w:sz w:val="16"/>
          <w:szCs w:val="16"/>
        </w:rPr>
        <w:t>Eurostat</w:t>
      </w:r>
      <w:proofErr w:type="spellEnd"/>
    </w:p>
    <w:p w14:paraId="2E997005" w14:textId="77777777" w:rsidR="00875788" w:rsidRPr="00DA1AF0" w:rsidRDefault="00875788" w:rsidP="00875788">
      <w:pPr>
        <w:spacing w:after="120"/>
        <w:jc w:val="both"/>
      </w:pPr>
    </w:p>
    <w:p w14:paraId="4F6B4AC7" w14:textId="3F4A0F59" w:rsidR="00875788" w:rsidRDefault="00875788" w:rsidP="00875788">
      <w:pPr>
        <w:spacing w:after="120"/>
        <w:jc w:val="both"/>
      </w:pPr>
      <w:bookmarkStart w:id="16" w:name="_Hlk99651730"/>
      <w:r w:rsidRPr="00DA1AF0">
        <w:t xml:space="preserve">Ņemot vērā darbaspēka </w:t>
      </w:r>
      <w:r w:rsidR="005023A2">
        <w:t xml:space="preserve">piedāvājuma </w:t>
      </w:r>
      <w:r w:rsidRPr="00DA1AF0">
        <w:t>samazināšanos, kopumā arī bezdarba samazinājums kļūst lēnāks. Tomēr, neskatoties uz to, bezdarba rādītāji joprojām saglabājas zemā līmenī un ir tuvu pirms pandēmijas (2019</w:t>
      </w:r>
      <w:r w:rsidR="00FF63B5">
        <w:t>. gad</w:t>
      </w:r>
      <w:r w:rsidRPr="00DA1AF0">
        <w:t>a) rādītājiem. Bezdarba līmenis 2023</w:t>
      </w:r>
      <w:r w:rsidR="00FF63B5">
        <w:t>. gad</w:t>
      </w:r>
      <w:r w:rsidRPr="00DA1AF0">
        <w:t>ā samazinājās līdz vidēji 6,5%, kas bija par 0,4 procentpunktiem mazāks nekā 2022</w:t>
      </w:r>
      <w:r w:rsidR="00FF63B5">
        <w:t>. gad</w:t>
      </w:r>
      <w:r w:rsidRPr="00DA1AF0">
        <w:t>ā un par 13 procentpunktiem mazāks nekā 2010</w:t>
      </w:r>
      <w:r w:rsidR="00FF63B5">
        <w:t>. gad</w:t>
      </w:r>
      <w:r w:rsidRPr="00DA1AF0">
        <w:t>ā. Kopumā 2023</w:t>
      </w:r>
      <w:r w:rsidR="00FF63B5">
        <w:t>. gad</w:t>
      </w:r>
      <w:r w:rsidRPr="00DA1AF0">
        <w:t>ā bezdarbnieku skaits samazinājās līdz 61,5 tūkst., kas ir par 3,7 tūkst. mazāk nekā gadu iepriekš. Bezdarba samazinājumu galvenokārt ietekmēja iedzīvotāju ekonomiskās aktivitātes mazināšanās, kā arī būtisku ietekmi joprojām turpina uzturēt demogrāfiskie procesi – darbspējīgo iedzīvotāju skaita absolūtais samazinājums un izmaiņas iedzīvotāju vecumstruktūrā.</w:t>
      </w:r>
    </w:p>
    <w:p w14:paraId="47B59D59" w14:textId="77777777" w:rsidR="00AD141B" w:rsidRDefault="00AD141B" w:rsidP="00875788">
      <w:pPr>
        <w:spacing w:after="120"/>
        <w:jc w:val="both"/>
      </w:pPr>
    </w:p>
    <w:p w14:paraId="6C1CEAE0" w14:textId="77777777" w:rsidR="00AD141B" w:rsidRPr="00DA1AF0" w:rsidRDefault="00AD141B" w:rsidP="00875788">
      <w:pPr>
        <w:spacing w:after="120"/>
        <w:jc w:val="both"/>
      </w:pPr>
    </w:p>
    <w:bookmarkEnd w:id="16"/>
    <w:p w14:paraId="6220A1C3" w14:textId="418EF7D6" w:rsidR="00875788" w:rsidRPr="00DA1AF0" w:rsidRDefault="00875788" w:rsidP="00875788">
      <w:pPr>
        <w:spacing w:after="120"/>
        <w:jc w:val="right"/>
        <w:rPr>
          <w:szCs w:val="20"/>
        </w:rPr>
      </w:pPr>
      <w:r w:rsidRPr="00DA1AF0">
        <w:rPr>
          <w:szCs w:val="20"/>
        </w:rPr>
        <w:lastRenderedPageBreak/>
        <w:t>1.</w:t>
      </w:r>
      <w:r w:rsidR="00AD141B">
        <w:rPr>
          <w:szCs w:val="20"/>
        </w:rPr>
        <w:t>7</w:t>
      </w:r>
      <w:r w:rsidRPr="00DA1AF0">
        <w:rPr>
          <w:szCs w:val="20"/>
        </w:rPr>
        <w:t>. attēls</w:t>
      </w:r>
    </w:p>
    <w:p w14:paraId="18EA9E25" w14:textId="77777777" w:rsidR="00875788" w:rsidRPr="00DA1AF0" w:rsidRDefault="00875788" w:rsidP="00875788">
      <w:pPr>
        <w:tabs>
          <w:tab w:val="center" w:pos="2268"/>
          <w:tab w:val="center" w:pos="6804"/>
        </w:tabs>
        <w:spacing w:after="120"/>
        <w:rPr>
          <w:rFonts w:ascii="Segoe UI Light" w:eastAsia="Times New Roman" w:hAnsi="Segoe UI Light"/>
          <w:i/>
          <w:sz w:val="16"/>
          <w:szCs w:val="20"/>
          <w:lang w:eastAsia="lv-LV"/>
        </w:rPr>
      </w:pPr>
      <w:r w:rsidRPr="00DA1AF0">
        <w:rPr>
          <w:rFonts w:ascii="Segoe UI Light" w:hAnsi="Segoe UI Light"/>
          <w:b/>
          <w:sz w:val="18"/>
          <w:szCs w:val="26"/>
        </w:rPr>
        <w:tab/>
        <w:t>Bezdarba līmenis</w:t>
      </w:r>
      <w:r w:rsidRPr="00DA1AF0">
        <w:rPr>
          <w:rFonts w:ascii="Segoe UI Light" w:eastAsia="Times New Roman" w:hAnsi="Segoe UI Light"/>
          <w:sz w:val="16"/>
          <w:szCs w:val="20"/>
          <w:lang w:eastAsia="lv-LV"/>
        </w:rPr>
        <w:tab/>
      </w:r>
      <w:r w:rsidRPr="00DA1AF0">
        <w:rPr>
          <w:rFonts w:ascii="Segoe UI Light" w:hAnsi="Segoe UI Light"/>
          <w:b/>
          <w:sz w:val="18"/>
          <w:szCs w:val="26"/>
        </w:rPr>
        <w:t>Bezdarbs un to ietekmējošiem faktori</w:t>
      </w:r>
      <w:r w:rsidRPr="00DA1AF0">
        <w:rPr>
          <w:rFonts w:ascii="Segoe UI Light" w:hAnsi="Segoe UI Light"/>
          <w:b/>
          <w:sz w:val="18"/>
          <w:szCs w:val="26"/>
        </w:rPr>
        <w:br/>
      </w:r>
      <w:r w:rsidRPr="00DA1AF0">
        <w:rPr>
          <w:rFonts w:ascii="Segoe UI Light" w:eastAsia="Times New Roman" w:hAnsi="Segoe UI Light"/>
          <w:bCs/>
          <w:i/>
          <w:color w:val="000000"/>
          <w:sz w:val="16"/>
        </w:rPr>
        <w:tab/>
        <w:t>procentos</w:t>
      </w:r>
      <w:r w:rsidRPr="00DA1AF0">
        <w:rPr>
          <w:rFonts w:ascii="Segoe UI Light" w:eastAsia="Times New Roman" w:hAnsi="Segoe UI Light"/>
          <w:i/>
          <w:color w:val="000000"/>
          <w:sz w:val="16"/>
        </w:rPr>
        <w:tab/>
      </w:r>
      <w:r w:rsidRPr="00DA1AF0">
        <w:rPr>
          <w:rFonts w:ascii="Segoe UI Light" w:eastAsia="Times New Roman" w:hAnsi="Segoe UI Light"/>
          <w:bCs/>
          <w:i/>
          <w:color w:val="000000"/>
          <w:sz w:val="16"/>
        </w:rPr>
        <w:t>izmaiņas tūkstošos pret iepriekšējo periodu</w:t>
      </w:r>
    </w:p>
    <w:p w14:paraId="7BC19EEB" w14:textId="77777777" w:rsidR="00875788" w:rsidRPr="00DA1AF0" w:rsidRDefault="00875788" w:rsidP="00875788">
      <w:pPr>
        <w:tabs>
          <w:tab w:val="left" w:pos="4128"/>
        </w:tabs>
        <w:spacing w:after="120"/>
        <w:ind w:left="113"/>
        <w:jc w:val="right"/>
        <w:rPr>
          <w:rFonts w:ascii="Segoe UI Light" w:hAnsi="Segoe UI Light" w:cs="Segoe UI"/>
          <w:sz w:val="18"/>
          <w:szCs w:val="18"/>
        </w:rPr>
      </w:pPr>
      <w:r w:rsidRPr="00DA1AF0">
        <w:rPr>
          <w:noProof/>
        </w:rPr>
        <w:drawing>
          <wp:inline distT="0" distB="0" distL="0" distR="0" wp14:anchorId="599841E0" wp14:editId="412413D4">
            <wp:extent cx="2825750" cy="2159000"/>
            <wp:effectExtent l="0" t="0" r="0" b="0"/>
            <wp:docPr id="498" name="Chart 498">
              <a:extLst xmlns:a="http://schemas.openxmlformats.org/drawingml/2006/main">
                <a:ext uri="{FF2B5EF4-FFF2-40B4-BE49-F238E27FC236}">
                  <a16:creationId xmlns:a16="http://schemas.microsoft.com/office/drawing/2014/main" id="{69DBB1EF-2109-4AAA-882A-581C1C1089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A1AF0">
        <w:rPr>
          <w:noProof/>
        </w:rPr>
        <w:drawing>
          <wp:inline distT="0" distB="0" distL="0" distR="0" wp14:anchorId="2019839C" wp14:editId="0DDAB81D">
            <wp:extent cx="2819400" cy="2159000"/>
            <wp:effectExtent l="0" t="0" r="0" b="0"/>
            <wp:docPr id="1407" name="Chart 14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FAA763" w14:textId="77777777" w:rsidR="00875788" w:rsidRPr="00DA1AF0" w:rsidRDefault="00875788" w:rsidP="00875788">
      <w:pPr>
        <w:spacing w:after="120"/>
        <w:jc w:val="both"/>
        <w:rPr>
          <w:sz w:val="16"/>
          <w:szCs w:val="16"/>
        </w:rPr>
      </w:pPr>
      <w:r w:rsidRPr="00DA1AF0">
        <w:rPr>
          <w:sz w:val="16"/>
          <w:szCs w:val="16"/>
        </w:rPr>
        <w:t>Avots: CSP</w:t>
      </w:r>
    </w:p>
    <w:p w14:paraId="23F47149" w14:textId="77777777" w:rsidR="00875788" w:rsidRPr="00DA1AF0" w:rsidRDefault="00875788" w:rsidP="00875788">
      <w:pPr>
        <w:spacing w:after="120"/>
        <w:jc w:val="both"/>
      </w:pPr>
    </w:p>
    <w:p w14:paraId="73AABBB5" w14:textId="6B4FB7AC" w:rsidR="00875788" w:rsidRPr="00DA1AF0" w:rsidRDefault="00875788" w:rsidP="00875788">
      <w:pPr>
        <w:spacing w:after="120"/>
        <w:jc w:val="both"/>
      </w:pPr>
      <w:r w:rsidRPr="00DA1AF0">
        <w:t>2023</w:t>
      </w:r>
      <w:r w:rsidR="00FF63B5">
        <w:t>. gad</w:t>
      </w:r>
      <w:r w:rsidRPr="00DA1AF0">
        <w:t>ā vidējais bezdarba līmenis ES dalībvalstīs bija 6,1%. Salīdzinot ar 2010</w:t>
      </w:r>
      <w:r w:rsidR="00FF63B5">
        <w:t>. gad</w:t>
      </w:r>
      <w:r w:rsidRPr="00DA1AF0">
        <w:t>u, bezdarba līmenis strauji samazinājās visās trīs Baltijas valstīs, tomēr 2023</w:t>
      </w:r>
      <w:r w:rsidR="00FF63B5">
        <w:t>. gad</w:t>
      </w:r>
      <w:r w:rsidRPr="00DA1AF0">
        <w:t>ā visās Baltijas valstīs bija augstāks nekā vidēji ES.</w:t>
      </w:r>
    </w:p>
    <w:p w14:paraId="4E1BEE87" w14:textId="7666F77A" w:rsidR="00875788" w:rsidRPr="00DA1AF0" w:rsidRDefault="00875788" w:rsidP="00875788">
      <w:pPr>
        <w:spacing w:after="120"/>
        <w:jc w:val="right"/>
        <w:rPr>
          <w:szCs w:val="20"/>
        </w:rPr>
      </w:pPr>
      <w:r w:rsidRPr="00DA1AF0">
        <w:rPr>
          <w:szCs w:val="20"/>
        </w:rPr>
        <w:t>1.</w:t>
      </w:r>
      <w:r w:rsidR="00AD141B">
        <w:rPr>
          <w:szCs w:val="20"/>
        </w:rPr>
        <w:t>8</w:t>
      </w:r>
      <w:r w:rsidRPr="00DA1AF0">
        <w:rPr>
          <w:szCs w:val="20"/>
        </w:rPr>
        <w:t>. attēls</w:t>
      </w:r>
    </w:p>
    <w:p w14:paraId="209A9586" w14:textId="77777777" w:rsidR="00875788" w:rsidRPr="00DA1AF0" w:rsidRDefault="00875788" w:rsidP="00875788">
      <w:pPr>
        <w:spacing w:after="120"/>
        <w:jc w:val="center"/>
        <w:rPr>
          <w:rFonts w:ascii="Segoe UI Light" w:hAnsi="Segoe UI Light"/>
          <w:i/>
          <w:sz w:val="16"/>
          <w:szCs w:val="24"/>
        </w:rPr>
      </w:pPr>
      <w:r w:rsidRPr="00DA1AF0">
        <w:rPr>
          <w:rFonts w:ascii="Segoe UI Light" w:hAnsi="Segoe UI Light"/>
          <w:b/>
          <w:sz w:val="18"/>
          <w:szCs w:val="26"/>
        </w:rPr>
        <w:t xml:space="preserve">Bezdarba līmenis ES valstīs </w:t>
      </w:r>
      <w:r w:rsidRPr="00DA1AF0">
        <w:rPr>
          <w:rFonts w:ascii="Segoe UI Light" w:hAnsi="Segoe UI Light"/>
          <w:b/>
          <w:sz w:val="18"/>
          <w:szCs w:val="26"/>
        </w:rPr>
        <w:br/>
      </w:r>
      <w:r w:rsidRPr="00DA1AF0">
        <w:rPr>
          <w:rFonts w:ascii="Segoe UI Light" w:hAnsi="Segoe UI Light"/>
          <w:i/>
          <w:sz w:val="16"/>
          <w:szCs w:val="24"/>
        </w:rPr>
        <w:t>procentos</w:t>
      </w:r>
    </w:p>
    <w:p w14:paraId="6566FF68" w14:textId="77777777" w:rsidR="00875788" w:rsidRPr="00DA1AF0" w:rsidRDefault="00875788" w:rsidP="00875788">
      <w:pPr>
        <w:spacing w:after="120"/>
        <w:jc w:val="center"/>
      </w:pPr>
      <w:r w:rsidRPr="00DA1AF0">
        <w:rPr>
          <w:noProof/>
        </w:rPr>
        <w:drawing>
          <wp:inline distT="0" distB="0" distL="0" distR="0" wp14:anchorId="1AD5EC1B" wp14:editId="1BCF8ACC">
            <wp:extent cx="5759450" cy="2159000"/>
            <wp:effectExtent l="0" t="0" r="0" b="0"/>
            <wp:docPr id="1406" name="Chart 14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B612ECB" w14:textId="77777777" w:rsidR="00875788" w:rsidRPr="00DA1AF0" w:rsidRDefault="00875788" w:rsidP="00875788">
      <w:pPr>
        <w:spacing w:after="120"/>
        <w:jc w:val="both"/>
        <w:rPr>
          <w:sz w:val="16"/>
          <w:szCs w:val="16"/>
        </w:rPr>
      </w:pPr>
      <w:r w:rsidRPr="00DA1AF0">
        <w:rPr>
          <w:sz w:val="16"/>
          <w:szCs w:val="16"/>
        </w:rPr>
        <w:t xml:space="preserve">Avots: </w:t>
      </w:r>
      <w:proofErr w:type="spellStart"/>
      <w:r w:rsidRPr="00DA1AF0">
        <w:rPr>
          <w:i/>
          <w:sz w:val="16"/>
          <w:szCs w:val="16"/>
        </w:rPr>
        <w:t>Eurostat</w:t>
      </w:r>
      <w:proofErr w:type="spellEnd"/>
    </w:p>
    <w:p w14:paraId="001A297E" w14:textId="77777777" w:rsidR="00AD141B" w:rsidRDefault="00AD141B" w:rsidP="00AD141B">
      <w:pPr>
        <w:spacing w:after="120"/>
        <w:jc w:val="both"/>
      </w:pPr>
    </w:p>
    <w:p w14:paraId="4C5A801C" w14:textId="3D2CF0AE" w:rsidR="00AD141B" w:rsidRDefault="00AD141B" w:rsidP="00AD141B">
      <w:pPr>
        <w:spacing w:after="120"/>
        <w:jc w:val="both"/>
        <w:rPr>
          <w:szCs w:val="20"/>
        </w:rPr>
      </w:pPr>
      <w:r w:rsidRPr="00DA1AF0">
        <w:t xml:space="preserve">Neskatoties uz bezdarba samazināšanos, joprojām saglabājas risks, ka daļai no esošiem bezdarbniekiem varētu būt </w:t>
      </w:r>
      <w:r w:rsidRPr="007376F8">
        <w:t>problēmas atrast savām prasmēm atbilstošu darbu, jo pilnīga atgūšanās nozarēs, kurās iepriekšējos gados zaudēts</w:t>
      </w:r>
      <w:r w:rsidRPr="00DA1AF0">
        <w:t xml:space="preserve"> visvairāk darba vietu, varētu būt ilgstoša, bet nozarēs, kurās veidojas jaunas darba iespējas, iepriekš apgūtās prasmes var nebūt pieprasītas. Tāpat jāņem vērā, ka ilgstoša atrašanās ārpus nodarbinātības rada strukturālā bezdarba riskus, proti, jo ilgāk cilvēks ir bez darba, jo lielāks risks tam ir zaudēt iepriekšējās darba iemaņas un prasmes, kā arī ir grūtāk pielāgoties jaunām darba tirgus prasībām. </w:t>
      </w:r>
      <w:r w:rsidRPr="00DA1AF0">
        <w:rPr>
          <w:szCs w:val="20"/>
        </w:rPr>
        <w:t xml:space="preserve">Tāpat strukturālās problēmas padziļina darba tirgus reģionālās atšķirības, kas kopumā kavē darba tirgus atlabšanu. Lai gan reģionālās disproporcijas pakāpeniski izlīdzinās, tomēr process ir lēns. Izteiktas problēmas ilgstoši vērojamas Latgales reģionā, kur bezdarba līmenis joprojām saglabājas gandrīz divreiz augstāks nekā vidēji valstī, kas kopā ar zemo darbaspēka ģeogrāfisko mobilitāti palielina strukturālā bezdarba riskus. </w:t>
      </w:r>
    </w:p>
    <w:p w14:paraId="4D5B1E79" w14:textId="77777777" w:rsidR="00C075DC" w:rsidRDefault="00C075DC">
      <w:pPr>
        <w:spacing w:after="0"/>
        <w:rPr>
          <w:rFonts w:ascii="Segoe UI Light" w:hAnsi="Segoe UI Light"/>
          <w:b/>
          <w:bCs/>
          <w:sz w:val="18"/>
          <w:szCs w:val="18"/>
        </w:rPr>
      </w:pPr>
      <w:r>
        <w:rPr>
          <w:rFonts w:ascii="Segoe UI Light" w:hAnsi="Segoe UI Light"/>
          <w:b/>
          <w:bCs/>
          <w:sz w:val="18"/>
          <w:szCs w:val="18"/>
        </w:rPr>
        <w:br w:type="page"/>
      </w:r>
    </w:p>
    <w:p w14:paraId="7AC19CF1" w14:textId="1F2AF08D" w:rsidR="00875788" w:rsidRPr="00DA1AF0"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jc w:val="right"/>
        <w:rPr>
          <w:rFonts w:ascii="Segoe UI Light" w:hAnsi="Segoe UI Light"/>
          <w:b/>
          <w:bCs/>
          <w:sz w:val="18"/>
          <w:szCs w:val="18"/>
        </w:rPr>
      </w:pPr>
      <w:r>
        <w:rPr>
          <w:rFonts w:ascii="Segoe UI Light" w:hAnsi="Segoe UI Light"/>
          <w:b/>
          <w:bCs/>
          <w:sz w:val="18"/>
          <w:szCs w:val="18"/>
        </w:rPr>
        <w:lastRenderedPageBreak/>
        <w:t>NVA reģistrētie darba meklētāji un vakances</w:t>
      </w:r>
    </w:p>
    <w:p w14:paraId="70AECE3F" w14:textId="77777777" w:rsidR="00875788" w:rsidRPr="004C4214"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Pr>
          <w:rFonts w:ascii="Segoe UI Light" w:hAnsi="Segoe UI Light"/>
          <w:sz w:val="16"/>
          <w:szCs w:val="16"/>
        </w:rPr>
        <w:t xml:space="preserve">Līdz arī kopējā bezdarba samazināšanos, turpina sarukt arī NVA reģistrēto darba meklētāju skaits. </w:t>
      </w:r>
      <w:r w:rsidRPr="004C4214">
        <w:rPr>
          <w:rFonts w:ascii="Segoe UI Light" w:hAnsi="Segoe UI Light"/>
          <w:sz w:val="16"/>
          <w:szCs w:val="16"/>
        </w:rPr>
        <w:t>Reģistrētais bezdarba līmenis</w:t>
      </w:r>
      <w:r>
        <w:rPr>
          <w:rFonts w:ascii="Segoe UI Light" w:hAnsi="Segoe UI Light"/>
          <w:sz w:val="16"/>
          <w:szCs w:val="16"/>
        </w:rPr>
        <w:t xml:space="preserve"> </w:t>
      </w:r>
      <w:r w:rsidRPr="004C4214">
        <w:rPr>
          <w:rFonts w:ascii="Segoe UI Light" w:hAnsi="Segoe UI Light"/>
          <w:sz w:val="16"/>
          <w:szCs w:val="16"/>
        </w:rPr>
        <w:t xml:space="preserve">2024.gada  </w:t>
      </w:r>
      <w:r>
        <w:rPr>
          <w:rFonts w:ascii="Segoe UI Light" w:hAnsi="Segoe UI Light"/>
          <w:sz w:val="16"/>
          <w:szCs w:val="16"/>
        </w:rPr>
        <w:t xml:space="preserve">jūnija vidū samazinājās </w:t>
      </w:r>
      <w:r w:rsidRPr="004C4214">
        <w:rPr>
          <w:rFonts w:ascii="Segoe UI Light" w:hAnsi="Segoe UI Light"/>
          <w:sz w:val="16"/>
          <w:szCs w:val="16"/>
        </w:rPr>
        <w:t>līdz 5,</w:t>
      </w:r>
      <w:r>
        <w:rPr>
          <w:rFonts w:ascii="Segoe UI Light" w:hAnsi="Segoe UI Light"/>
          <w:sz w:val="16"/>
          <w:szCs w:val="16"/>
        </w:rPr>
        <w:t>1</w:t>
      </w:r>
      <w:r w:rsidRPr="004C4214">
        <w:rPr>
          <w:rFonts w:ascii="Segoe UI Light" w:hAnsi="Segoe UI Light"/>
          <w:sz w:val="16"/>
          <w:szCs w:val="16"/>
        </w:rPr>
        <w:t>%</w:t>
      </w:r>
      <w:r>
        <w:rPr>
          <w:rFonts w:ascii="Segoe UI Light" w:hAnsi="Segoe UI Light"/>
          <w:sz w:val="16"/>
          <w:szCs w:val="16"/>
        </w:rPr>
        <w:t>, savukārt kopējais</w:t>
      </w:r>
      <w:r w:rsidRPr="004C4214">
        <w:rPr>
          <w:rFonts w:ascii="Segoe UI Light" w:hAnsi="Segoe UI Light"/>
          <w:sz w:val="16"/>
          <w:szCs w:val="16"/>
        </w:rPr>
        <w:t xml:space="preserve"> reģistrēto bezdarbnieku skaits šajā periodā samazināj</w:t>
      </w:r>
      <w:r>
        <w:rPr>
          <w:rFonts w:ascii="Segoe UI Light" w:hAnsi="Segoe UI Light"/>
          <w:sz w:val="16"/>
          <w:szCs w:val="16"/>
        </w:rPr>
        <w:t>ās</w:t>
      </w:r>
      <w:r w:rsidRPr="004C4214">
        <w:rPr>
          <w:rFonts w:ascii="Segoe UI Light" w:hAnsi="Segoe UI Light"/>
          <w:sz w:val="16"/>
          <w:szCs w:val="16"/>
        </w:rPr>
        <w:t xml:space="preserve"> </w:t>
      </w:r>
      <w:r>
        <w:rPr>
          <w:rFonts w:ascii="Segoe UI Light" w:hAnsi="Segoe UI Light"/>
          <w:sz w:val="16"/>
          <w:szCs w:val="16"/>
        </w:rPr>
        <w:t>līdz 44.8</w:t>
      </w:r>
      <w:r w:rsidRPr="004C4214">
        <w:rPr>
          <w:rFonts w:ascii="Segoe UI Light" w:hAnsi="Segoe UI Light"/>
          <w:sz w:val="16"/>
          <w:szCs w:val="16"/>
        </w:rPr>
        <w:t xml:space="preserve"> tūkstošiem.</w:t>
      </w:r>
    </w:p>
    <w:p w14:paraId="7D2B3B19" w14:textId="77777777" w:rsidR="00875788"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sidRPr="004C4214">
        <w:rPr>
          <w:rFonts w:ascii="Segoe UI Light" w:hAnsi="Segoe UI Light"/>
          <w:sz w:val="16"/>
          <w:szCs w:val="16"/>
        </w:rPr>
        <w:t>Pozitīvas tendences vērojamas arī ilgstošo bezdarbnieku dinamikā. Gan ilgstošo bezdarbnieku skaits, gan arī to īpatsvars attiecībā uz kopējo darba meklētāju skaitu pakāpeniski samazinās. Gada laikā reģistrēto ilgstošo bezdarbnieku skaits samazinājies par vairāk nekā 1</w:t>
      </w:r>
      <w:r>
        <w:rPr>
          <w:rFonts w:ascii="Segoe UI Light" w:hAnsi="Segoe UI Light"/>
          <w:sz w:val="16"/>
          <w:szCs w:val="16"/>
        </w:rPr>
        <w:t>8</w:t>
      </w:r>
      <w:r w:rsidRPr="004C4214">
        <w:rPr>
          <w:rFonts w:ascii="Segoe UI Light" w:hAnsi="Segoe UI Light"/>
          <w:sz w:val="16"/>
          <w:szCs w:val="16"/>
        </w:rPr>
        <w:t>% jeb aptuveni 1,</w:t>
      </w:r>
      <w:r>
        <w:rPr>
          <w:rFonts w:ascii="Segoe UI Light" w:hAnsi="Segoe UI Light"/>
          <w:sz w:val="16"/>
          <w:szCs w:val="16"/>
        </w:rPr>
        <w:t>7</w:t>
      </w:r>
      <w:r w:rsidRPr="004C4214">
        <w:rPr>
          <w:rFonts w:ascii="Segoe UI Light" w:hAnsi="Segoe UI Light"/>
          <w:sz w:val="16"/>
          <w:szCs w:val="16"/>
        </w:rPr>
        <w:t xml:space="preserve"> tūkst., bet, salīdzinot ar pēdējos gados augstāko ilgstošo bezdarbnieku skaitu 2021.gada jūnijā, tas samazinājies par 6</w:t>
      </w:r>
      <w:r>
        <w:rPr>
          <w:rFonts w:ascii="Segoe UI Light" w:hAnsi="Segoe UI Light"/>
          <w:sz w:val="16"/>
          <w:szCs w:val="16"/>
        </w:rPr>
        <w:t>5</w:t>
      </w:r>
      <w:r w:rsidRPr="004C4214">
        <w:rPr>
          <w:rFonts w:ascii="Segoe UI Light" w:hAnsi="Segoe UI Light"/>
          <w:sz w:val="16"/>
          <w:szCs w:val="16"/>
        </w:rPr>
        <w:t xml:space="preserve">% jeb aptuveni 14 tūkst., kas kopumā norāda uz arvien izteiktāku darbaspēka rezervju samazināšanos. 2024.gada </w:t>
      </w:r>
      <w:r>
        <w:rPr>
          <w:rFonts w:ascii="Segoe UI Light" w:hAnsi="Segoe UI Light"/>
          <w:sz w:val="16"/>
          <w:szCs w:val="16"/>
        </w:rPr>
        <w:t xml:space="preserve">maija </w:t>
      </w:r>
      <w:r w:rsidRPr="004C4214">
        <w:rPr>
          <w:rFonts w:ascii="Segoe UI Light" w:hAnsi="Segoe UI Light"/>
          <w:sz w:val="16"/>
          <w:szCs w:val="16"/>
        </w:rPr>
        <w:t xml:space="preserve">beigās bez darba ilgāk par vienu gadu bija </w:t>
      </w:r>
      <w:r>
        <w:rPr>
          <w:rFonts w:ascii="Segoe UI Light" w:hAnsi="Segoe UI Light"/>
          <w:sz w:val="16"/>
          <w:szCs w:val="16"/>
        </w:rPr>
        <w:t>7,5</w:t>
      </w:r>
      <w:r w:rsidRPr="004C4214">
        <w:rPr>
          <w:rFonts w:ascii="Segoe UI Light" w:hAnsi="Segoe UI Light"/>
          <w:sz w:val="16"/>
          <w:szCs w:val="16"/>
        </w:rPr>
        <w:t xml:space="preserve"> tūkst. reģistrēto darba meklētāju jeb aptuveni 1</w:t>
      </w:r>
      <w:r>
        <w:rPr>
          <w:rFonts w:ascii="Segoe UI Light" w:hAnsi="Segoe UI Light"/>
          <w:sz w:val="16"/>
          <w:szCs w:val="16"/>
        </w:rPr>
        <w:t>6</w:t>
      </w:r>
      <w:r w:rsidRPr="004C4214">
        <w:rPr>
          <w:rFonts w:ascii="Segoe UI Light" w:hAnsi="Segoe UI Light"/>
          <w:sz w:val="16"/>
          <w:szCs w:val="16"/>
        </w:rPr>
        <w:t>,4% no visiem reģistrētiem bezdarbniekiem.</w:t>
      </w:r>
    </w:p>
    <w:p w14:paraId="7E8723CA" w14:textId="77777777" w:rsidR="00875788" w:rsidRPr="004C4214"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Pr>
          <w:rFonts w:ascii="Segoe UI Light" w:hAnsi="Segoe UI Light"/>
          <w:sz w:val="16"/>
          <w:szCs w:val="16"/>
        </w:rPr>
        <w:t>Salīdzinoši augstā līmenī saglabājās arī NVA reģistrēto vakanču skaits. Lai gan vakanču skaitam pēdējos gados ir bijusi sarūkoša tendences un kopš 2022. gada vidus vakanču skaits ir sarucis par vairāk nekā 1/3, tomēr jāņem vērā, ka arī darba meklētāju skaits ir būtiski krities un liela daļa no vakancēm ir bijušas aizpildītas. Būtiskākais vakanču skaits 2024. gada jūnija bija būvniecībā, rūpniecībā un transporta nozarē. Savukārt skaitliski lielākais vakanču skaits bija reģistrēts palīgstrādnieku, būvstrādnieku, kā arī kravas automobiļu profesijās.</w:t>
      </w:r>
    </w:p>
    <w:p w14:paraId="21750A60" w14:textId="77777777" w:rsidR="00875788" w:rsidRPr="00DA1AF0"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center"/>
        <w:rPr>
          <w:rFonts w:ascii="Segoe UI Light" w:hAnsi="Segoe UI Light"/>
          <w:sz w:val="16"/>
          <w:szCs w:val="16"/>
        </w:rPr>
      </w:pPr>
    </w:p>
    <w:p w14:paraId="221BC072" w14:textId="77777777" w:rsidR="00875788"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tabs>
          <w:tab w:val="center" w:pos="2268"/>
          <w:tab w:val="center" w:pos="6804"/>
        </w:tabs>
        <w:spacing w:after="60"/>
        <w:rPr>
          <w:rFonts w:ascii="Segoe UI Light" w:hAnsi="Segoe UI Light"/>
          <w:b/>
          <w:bCs/>
          <w:sz w:val="16"/>
          <w:szCs w:val="16"/>
        </w:rPr>
      </w:pPr>
      <w:r w:rsidRPr="00DA1AF0">
        <w:rPr>
          <w:rFonts w:ascii="Segoe UI Light" w:hAnsi="Segoe UI Light"/>
          <w:sz w:val="16"/>
          <w:szCs w:val="16"/>
        </w:rPr>
        <w:tab/>
      </w:r>
      <w:r w:rsidRPr="00DA1AF0">
        <w:rPr>
          <w:rFonts w:ascii="Segoe UI Light" w:hAnsi="Segoe UI Light"/>
          <w:b/>
          <w:bCs/>
          <w:sz w:val="16"/>
          <w:szCs w:val="16"/>
        </w:rPr>
        <w:t>Reģistrēto darba meklētāju skaits</w:t>
      </w:r>
      <w:r w:rsidRPr="00DA1AF0">
        <w:rPr>
          <w:rFonts w:ascii="Segoe UI Light" w:hAnsi="Segoe UI Light"/>
          <w:sz w:val="16"/>
          <w:szCs w:val="16"/>
        </w:rPr>
        <w:tab/>
      </w:r>
      <w:r w:rsidRPr="00DA1AF0">
        <w:rPr>
          <w:rFonts w:ascii="Segoe UI Light" w:hAnsi="Segoe UI Light"/>
          <w:b/>
          <w:bCs/>
          <w:sz w:val="16"/>
          <w:szCs w:val="16"/>
        </w:rPr>
        <w:t>Reģistrētais bezdarba līmenis</w:t>
      </w:r>
      <w:r>
        <w:rPr>
          <w:rFonts w:ascii="Segoe UI Light" w:hAnsi="Segoe UI Light"/>
          <w:b/>
          <w:bCs/>
          <w:sz w:val="16"/>
          <w:szCs w:val="16"/>
        </w:rPr>
        <w:t xml:space="preserve"> un vakanču/darba meklētāju attiecība </w:t>
      </w:r>
    </w:p>
    <w:p w14:paraId="1DB29867" w14:textId="77777777" w:rsidR="00875788" w:rsidRPr="00DA1AF0"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tabs>
          <w:tab w:val="center" w:pos="2268"/>
          <w:tab w:val="center" w:pos="6804"/>
        </w:tabs>
        <w:spacing w:after="60"/>
        <w:rPr>
          <w:rFonts w:ascii="Segoe UI Light" w:hAnsi="Segoe UI Light"/>
          <w:b/>
          <w:bCs/>
          <w:sz w:val="16"/>
          <w:szCs w:val="16"/>
        </w:rPr>
      </w:pPr>
      <w:r>
        <w:rPr>
          <w:rFonts w:ascii="Segoe UI Light" w:hAnsi="Segoe UI Light"/>
          <w:b/>
          <w:bCs/>
          <w:sz w:val="16"/>
          <w:szCs w:val="16"/>
        </w:rPr>
        <w:tab/>
      </w:r>
      <w:r w:rsidRPr="001B61B7">
        <w:rPr>
          <w:rFonts w:ascii="Segoe UI Light" w:hAnsi="Segoe UI Light"/>
          <w:sz w:val="16"/>
          <w:szCs w:val="16"/>
        </w:rPr>
        <w:t>tūkstošos</w:t>
      </w:r>
      <w:r>
        <w:rPr>
          <w:rFonts w:ascii="Segoe UI Light" w:hAnsi="Segoe UI Light"/>
          <w:b/>
          <w:bCs/>
          <w:sz w:val="16"/>
          <w:szCs w:val="16"/>
        </w:rPr>
        <w:tab/>
        <w:t xml:space="preserve">pa reģioniem </w:t>
      </w:r>
      <w:r w:rsidRPr="001B61B7">
        <w:rPr>
          <w:rFonts w:ascii="Segoe UI Light" w:hAnsi="Segoe UI Light"/>
          <w:b/>
          <w:bCs/>
          <w:sz w:val="16"/>
          <w:szCs w:val="16"/>
        </w:rPr>
        <w:t>2024. gada 17. jūnij</w:t>
      </w:r>
      <w:r>
        <w:rPr>
          <w:rFonts w:ascii="Segoe UI Light" w:hAnsi="Segoe UI Light"/>
          <w:b/>
          <w:bCs/>
          <w:sz w:val="16"/>
          <w:szCs w:val="16"/>
        </w:rPr>
        <w:t xml:space="preserve">ā, </w:t>
      </w:r>
      <w:r w:rsidRPr="00DA1AF0">
        <w:rPr>
          <w:rFonts w:ascii="Segoe UI Light" w:hAnsi="Segoe UI Light"/>
          <w:sz w:val="16"/>
          <w:szCs w:val="16"/>
        </w:rPr>
        <w:t>procentos</w:t>
      </w:r>
    </w:p>
    <w:p w14:paraId="678D69BA" w14:textId="77777777" w:rsidR="00875788"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tabs>
          <w:tab w:val="center" w:pos="2268"/>
          <w:tab w:val="center" w:pos="6804"/>
        </w:tabs>
        <w:spacing w:after="60"/>
        <w:rPr>
          <w:rFonts w:ascii="Segoe UI Light" w:hAnsi="Segoe UI Light"/>
          <w:sz w:val="16"/>
          <w:szCs w:val="16"/>
        </w:rPr>
      </w:pPr>
      <w:r w:rsidRPr="00DA1AF0">
        <w:rPr>
          <w:rFonts w:ascii="Segoe UI Light" w:hAnsi="Segoe UI Light"/>
          <w:sz w:val="16"/>
          <w:szCs w:val="16"/>
        </w:rPr>
        <w:t xml:space="preserve"> </w:t>
      </w:r>
      <w:r w:rsidRPr="00DA1AF0">
        <w:rPr>
          <w:noProof/>
        </w:rPr>
        <w:drawing>
          <wp:inline distT="0" distB="0" distL="0" distR="0" wp14:anchorId="040C766D" wp14:editId="6D27DD8E">
            <wp:extent cx="2832100" cy="1734675"/>
            <wp:effectExtent l="0" t="0" r="0" b="0"/>
            <wp:docPr id="209" name="Chart 20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DA1AF0">
        <w:rPr>
          <w:rFonts w:ascii="Segoe UI Light" w:hAnsi="Segoe UI Light"/>
          <w:sz w:val="16"/>
          <w:szCs w:val="16"/>
        </w:rPr>
        <w:t xml:space="preserve"> </w:t>
      </w:r>
      <w:r w:rsidRPr="00DA1AF0">
        <w:rPr>
          <w:noProof/>
        </w:rPr>
        <w:drawing>
          <wp:inline distT="0" distB="0" distL="0" distR="0" wp14:anchorId="2D6B8600" wp14:editId="110079C1">
            <wp:extent cx="2813050" cy="1728000"/>
            <wp:effectExtent l="0" t="0" r="6350" b="5715"/>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71DFB42" w14:textId="77777777" w:rsidR="00875788"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tabs>
          <w:tab w:val="center" w:pos="2268"/>
          <w:tab w:val="center" w:pos="6804"/>
        </w:tabs>
        <w:spacing w:after="60"/>
        <w:rPr>
          <w:rFonts w:ascii="Segoe UI Light" w:hAnsi="Segoe UI Light"/>
          <w:sz w:val="16"/>
          <w:szCs w:val="16"/>
        </w:rPr>
      </w:pPr>
    </w:p>
    <w:p w14:paraId="143CE207" w14:textId="77777777" w:rsidR="00875788" w:rsidRPr="00DA1AF0"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tabs>
          <w:tab w:val="center" w:pos="2268"/>
          <w:tab w:val="center" w:pos="6804"/>
        </w:tabs>
        <w:spacing w:after="60"/>
        <w:rPr>
          <w:rFonts w:ascii="Segoe UI Light" w:hAnsi="Segoe UI Light"/>
          <w:sz w:val="16"/>
          <w:szCs w:val="16"/>
        </w:rPr>
      </w:pPr>
      <w:r w:rsidRPr="00DA1AF0">
        <w:rPr>
          <w:rFonts w:ascii="Segoe UI Light" w:hAnsi="Segoe UI Light"/>
          <w:sz w:val="16"/>
          <w:szCs w:val="16"/>
        </w:rPr>
        <w:tab/>
      </w:r>
      <w:r>
        <w:rPr>
          <w:rFonts w:ascii="Segoe UI Light" w:hAnsi="Segoe UI Light"/>
          <w:b/>
          <w:bCs/>
          <w:sz w:val="16"/>
          <w:szCs w:val="16"/>
        </w:rPr>
        <w:t>Aktuālo vakanču skaits mēneša beigās</w:t>
      </w:r>
      <w:r w:rsidRPr="00DA1AF0">
        <w:rPr>
          <w:rFonts w:ascii="Segoe UI Light" w:hAnsi="Segoe UI Light"/>
          <w:b/>
          <w:bCs/>
          <w:sz w:val="16"/>
          <w:szCs w:val="16"/>
        </w:rPr>
        <w:tab/>
      </w:r>
      <w:r w:rsidRPr="001B61B7">
        <w:rPr>
          <w:rFonts w:ascii="Segoe UI Light" w:hAnsi="Segoe UI Light"/>
          <w:b/>
          <w:bCs/>
          <w:sz w:val="16"/>
          <w:szCs w:val="16"/>
        </w:rPr>
        <w:t>Brīvo darba vietu skaits pa nozarēm</w:t>
      </w:r>
      <w:r>
        <w:rPr>
          <w:rFonts w:ascii="Segoe UI Light" w:hAnsi="Segoe UI Light"/>
          <w:b/>
          <w:bCs/>
          <w:sz w:val="16"/>
          <w:szCs w:val="16"/>
        </w:rPr>
        <w:t xml:space="preserve"> </w:t>
      </w:r>
      <w:r w:rsidRPr="001B61B7">
        <w:rPr>
          <w:rFonts w:ascii="Segoe UI Light" w:hAnsi="Segoe UI Light"/>
          <w:b/>
          <w:bCs/>
          <w:sz w:val="16"/>
          <w:szCs w:val="16"/>
        </w:rPr>
        <w:t>2024. gada 17. jūnij</w:t>
      </w:r>
      <w:r>
        <w:rPr>
          <w:rFonts w:ascii="Segoe UI Light" w:hAnsi="Segoe UI Light"/>
          <w:b/>
          <w:bCs/>
          <w:sz w:val="16"/>
          <w:szCs w:val="16"/>
        </w:rPr>
        <w:t>ā</w:t>
      </w:r>
      <w:r w:rsidRPr="00DA1AF0">
        <w:rPr>
          <w:rFonts w:ascii="Segoe UI Light" w:hAnsi="Segoe UI Light"/>
          <w:b/>
          <w:bCs/>
          <w:sz w:val="16"/>
          <w:szCs w:val="16"/>
        </w:rPr>
        <w:br/>
      </w:r>
      <w:r w:rsidRPr="00DA1AF0">
        <w:rPr>
          <w:rFonts w:ascii="Segoe UI Light" w:hAnsi="Segoe UI Light"/>
          <w:sz w:val="16"/>
          <w:szCs w:val="16"/>
        </w:rPr>
        <w:tab/>
      </w:r>
      <w:r w:rsidRPr="00DA1AF0">
        <w:rPr>
          <w:rFonts w:ascii="Segoe UI Light" w:eastAsia="Times New Roman" w:hAnsi="Segoe UI Light"/>
          <w:bCs/>
          <w:i/>
          <w:color w:val="000000"/>
          <w:sz w:val="16"/>
        </w:rPr>
        <w:t>tūkstošos</w:t>
      </w:r>
      <w:r w:rsidRPr="00DA1AF0">
        <w:rPr>
          <w:rFonts w:ascii="Segoe UI Light" w:hAnsi="Segoe UI Light"/>
          <w:sz w:val="16"/>
          <w:szCs w:val="16"/>
        </w:rPr>
        <w:tab/>
      </w:r>
    </w:p>
    <w:p w14:paraId="7EB7F238" w14:textId="77777777" w:rsidR="00875788" w:rsidRPr="00DA1AF0"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center"/>
        <w:rPr>
          <w:rFonts w:ascii="Segoe UI Light" w:hAnsi="Segoe UI Light"/>
          <w:sz w:val="16"/>
          <w:szCs w:val="16"/>
        </w:rPr>
      </w:pPr>
      <w:r w:rsidRPr="00DA1AF0">
        <w:rPr>
          <w:rFonts w:ascii="Segoe UI Light" w:hAnsi="Segoe UI Light"/>
          <w:sz w:val="16"/>
          <w:szCs w:val="16"/>
        </w:rPr>
        <w:t xml:space="preserve">  </w:t>
      </w:r>
      <w:r w:rsidRPr="00DA1AF0">
        <w:rPr>
          <w:b/>
          <w:noProof/>
        </w:rPr>
        <w:drawing>
          <wp:inline distT="0" distB="0" distL="0" distR="0" wp14:anchorId="5A4BAD17" wp14:editId="243C2C3D">
            <wp:extent cx="2807970" cy="1749600"/>
            <wp:effectExtent l="0" t="0" r="0" b="0"/>
            <wp:docPr id="1398" name="Chart 13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D55A18">
        <w:rPr>
          <w:rFonts w:asciiTheme="majorHAnsi" w:hAnsiTheme="majorHAnsi" w:cstheme="majorHAnsi"/>
          <w:b/>
          <w:bCs/>
          <w:noProof/>
          <w:color w:val="009999"/>
          <w:szCs w:val="20"/>
        </w:rPr>
        <w:drawing>
          <wp:inline distT="0" distB="0" distL="0" distR="0" wp14:anchorId="3379F4AE" wp14:editId="68AC8CDA">
            <wp:extent cx="2649600" cy="1763395"/>
            <wp:effectExtent l="0" t="0" r="0" b="8255"/>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D439B7" w14:textId="77777777" w:rsidR="00875788" w:rsidRPr="00DA1AF0"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center"/>
        <w:rPr>
          <w:rFonts w:ascii="Segoe UI Light" w:hAnsi="Segoe UI Light"/>
          <w:b/>
          <w:bCs/>
          <w:sz w:val="16"/>
          <w:szCs w:val="16"/>
        </w:rPr>
      </w:pPr>
    </w:p>
    <w:p w14:paraId="75B7068E" w14:textId="77777777" w:rsidR="00875788"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center"/>
        <w:rPr>
          <w:rFonts w:ascii="Segoe UI Light" w:hAnsi="Segoe UI Light"/>
          <w:b/>
          <w:bCs/>
          <w:sz w:val="16"/>
          <w:szCs w:val="16"/>
        </w:rPr>
      </w:pPr>
      <w:r w:rsidRPr="006055F9">
        <w:rPr>
          <w:rFonts w:ascii="Segoe UI Light" w:hAnsi="Segoe UI Light"/>
          <w:b/>
          <w:bCs/>
          <w:sz w:val="16"/>
          <w:szCs w:val="16"/>
        </w:rPr>
        <w:t xml:space="preserve">TOP </w:t>
      </w:r>
      <w:r>
        <w:rPr>
          <w:rFonts w:ascii="Segoe UI Light" w:hAnsi="Segoe UI Light"/>
          <w:b/>
          <w:bCs/>
          <w:sz w:val="16"/>
          <w:szCs w:val="16"/>
        </w:rPr>
        <w:t>3</w:t>
      </w:r>
      <w:r w:rsidRPr="006055F9">
        <w:rPr>
          <w:rFonts w:ascii="Segoe UI Light" w:hAnsi="Segoe UI Light"/>
          <w:b/>
          <w:bCs/>
          <w:sz w:val="16"/>
          <w:szCs w:val="16"/>
        </w:rPr>
        <w:t xml:space="preserve">0 </w:t>
      </w:r>
      <w:r>
        <w:rPr>
          <w:rFonts w:ascii="Segoe UI Light" w:hAnsi="Segoe UI Light"/>
          <w:b/>
          <w:bCs/>
          <w:sz w:val="16"/>
          <w:szCs w:val="16"/>
        </w:rPr>
        <w:t>p</w:t>
      </w:r>
      <w:r w:rsidRPr="006055F9">
        <w:rPr>
          <w:rFonts w:ascii="Segoe UI Light" w:hAnsi="Segoe UI Light"/>
          <w:b/>
          <w:bCs/>
          <w:sz w:val="16"/>
          <w:szCs w:val="16"/>
        </w:rPr>
        <w:t xml:space="preserve">ieprasītākās profesijas </w:t>
      </w:r>
      <w:r w:rsidRPr="001B61B7">
        <w:rPr>
          <w:rFonts w:ascii="Segoe UI Light" w:hAnsi="Segoe UI Light"/>
          <w:b/>
          <w:bCs/>
          <w:sz w:val="16"/>
          <w:szCs w:val="16"/>
        </w:rPr>
        <w:t xml:space="preserve">no 2024.gada 1. janvāra – 17. jūnijam </w:t>
      </w:r>
      <w:r>
        <w:rPr>
          <w:rFonts w:ascii="Segoe UI Light" w:hAnsi="Segoe UI Light"/>
          <w:b/>
          <w:bCs/>
          <w:sz w:val="16"/>
          <w:szCs w:val="16"/>
        </w:rPr>
        <w:t>**</w:t>
      </w:r>
    </w:p>
    <w:p w14:paraId="09837724" w14:textId="77777777" w:rsidR="00875788" w:rsidRDefault="00875788" w:rsidP="00C075DC">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center"/>
        <w:rPr>
          <w:rFonts w:ascii="Segoe UI Light" w:hAnsi="Segoe UI Light"/>
          <w:b/>
          <w:sz w:val="16"/>
          <w:szCs w:val="16"/>
        </w:rPr>
      </w:pPr>
      <w:r w:rsidRPr="00D55A18">
        <w:rPr>
          <w:b/>
          <w:noProof/>
        </w:rPr>
        <w:drawing>
          <wp:inline distT="0" distB="0" distL="0" distR="0" wp14:anchorId="3EA478A3" wp14:editId="46B4DF34">
            <wp:extent cx="5666105" cy="1893600"/>
            <wp:effectExtent l="0" t="0" r="0" b="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0AE7C60" w14:textId="0F1B175E" w:rsidR="00875788" w:rsidRPr="00DA1AF0" w:rsidRDefault="00875788" w:rsidP="000A4643">
      <w:pPr>
        <w:pBdr>
          <w:top w:val="single" w:sz="4" w:space="6" w:color="auto" w:shadow="1"/>
          <w:left w:val="single" w:sz="4" w:space="6" w:color="auto" w:shadow="1"/>
          <w:bottom w:val="single" w:sz="4" w:space="6" w:color="auto" w:shadow="1"/>
          <w:right w:val="single" w:sz="4" w:space="6" w:color="auto" w:shadow="1"/>
        </w:pBdr>
        <w:shd w:val="clear" w:color="auto" w:fill="E5DFEC"/>
        <w:spacing w:after="60"/>
        <w:rPr>
          <w:highlight w:val="yellow"/>
        </w:rPr>
      </w:pPr>
      <w:r w:rsidRPr="006055F9">
        <w:rPr>
          <w:rFonts w:ascii="Segoe UI Light" w:hAnsi="Segoe UI Light"/>
          <w:bCs/>
          <w:sz w:val="14"/>
          <w:szCs w:val="14"/>
        </w:rPr>
        <w:t xml:space="preserve">** </w:t>
      </w:r>
      <w:r>
        <w:rPr>
          <w:rFonts w:ascii="Segoe UI Light" w:hAnsi="Segoe UI Light"/>
          <w:bCs/>
          <w:sz w:val="14"/>
          <w:szCs w:val="14"/>
        </w:rPr>
        <w:t xml:space="preserve">Profesijas ar visvairāk NVA reģistrētām vakancēm periodā </w:t>
      </w:r>
      <w:r w:rsidRPr="001B61B7">
        <w:rPr>
          <w:rFonts w:ascii="Segoe UI Light" w:hAnsi="Segoe UI Light"/>
          <w:bCs/>
          <w:sz w:val="14"/>
          <w:szCs w:val="14"/>
        </w:rPr>
        <w:t>no 2024.gada 1. janvāra – 17. jūnijam</w:t>
      </w:r>
      <w:r w:rsidR="000A4643">
        <w:rPr>
          <w:rFonts w:ascii="Segoe UI Light" w:hAnsi="Segoe UI Light"/>
          <w:bCs/>
          <w:sz w:val="14"/>
          <w:szCs w:val="14"/>
        </w:rPr>
        <w:br/>
      </w:r>
      <w:r w:rsidRPr="00DA1AF0">
        <w:rPr>
          <w:rFonts w:cs="Calibri Light"/>
          <w:bCs/>
          <w:sz w:val="14"/>
          <w:szCs w:val="14"/>
        </w:rPr>
        <w:t>Avots: NVA, EM aprēķini</w:t>
      </w:r>
    </w:p>
    <w:p w14:paraId="209B1559" w14:textId="147DB5E6" w:rsidR="00AD141B" w:rsidRDefault="00875788" w:rsidP="00AD141B">
      <w:pPr>
        <w:spacing w:after="120"/>
        <w:jc w:val="both"/>
        <w:rPr>
          <w:szCs w:val="20"/>
        </w:rPr>
      </w:pPr>
      <w:r w:rsidRPr="00DA1AF0">
        <w:lastRenderedPageBreak/>
        <w:t xml:space="preserve">Dažus pierādījumus par strukturālā bezdarba veidošanos iespējams iegūt izmantojot </w:t>
      </w:r>
      <w:proofErr w:type="spellStart"/>
      <w:r w:rsidRPr="00DA1AF0">
        <w:t>Beveridža</w:t>
      </w:r>
      <w:proofErr w:type="spellEnd"/>
      <w:r w:rsidRPr="00DA1AF0">
        <w:t xml:space="preserve"> līkni, kas grafiski parāda bezdarba un brīvo darba vietu savstarpējo dinamiku.</w:t>
      </w:r>
      <w:r w:rsidR="00AD141B" w:rsidRPr="00AD141B">
        <w:rPr>
          <w:szCs w:val="20"/>
        </w:rPr>
        <w:t xml:space="preserve"> </w:t>
      </w:r>
      <w:r w:rsidR="00AD141B" w:rsidRPr="00DA1AF0">
        <w:rPr>
          <w:szCs w:val="20"/>
        </w:rPr>
        <w:t xml:space="preserve">Finanšu krīzes laikā – 2009. un 2010.gada sākumā, bezdarbs pieauga, vakanču skaitam praktiski saglabājoties nemainīgam. Bezdarba augstākais punkts tika sasniegts 2010.gada 2.ceturksnī. Kopš 2010.gada 3. ceturkšņa līdz 2016.gada beigām tika novērota </w:t>
      </w:r>
      <w:proofErr w:type="spellStart"/>
      <w:r w:rsidR="00AD141B" w:rsidRPr="00DA1AF0">
        <w:rPr>
          <w:szCs w:val="20"/>
        </w:rPr>
        <w:t>augšupvērsta</w:t>
      </w:r>
      <w:proofErr w:type="spellEnd"/>
      <w:r w:rsidR="00AD141B" w:rsidRPr="00DA1AF0">
        <w:rPr>
          <w:szCs w:val="20"/>
        </w:rPr>
        <w:t xml:space="preserve"> </w:t>
      </w:r>
      <w:proofErr w:type="spellStart"/>
      <w:r w:rsidR="00AD141B" w:rsidRPr="00DA1AF0">
        <w:rPr>
          <w:szCs w:val="20"/>
        </w:rPr>
        <w:t>Beveridža</w:t>
      </w:r>
      <w:proofErr w:type="spellEnd"/>
      <w:r w:rsidR="00AD141B" w:rsidRPr="00DA1AF0">
        <w:rPr>
          <w:szCs w:val="20"/>
        </w:rPr>
        <w:t xml:space="preserve"> līknes virzības maiņa, kas liecina par ekonomiskā cikla fāzes maiņu un situācijas uzlabošanos darba tirgū. Nodarbinātība pakāpeniski pieauga, mazinoties gan darba meklētāju, gan neaktīvo personu skaitam. Pārbīde pa līkni ir tāda pati kā darba vietu samazinājums krīzes laikā, kas norāda uz cikliskā bezdarba samazināšanos. Bezdarba līmeņa samazinājums bija saistīts ar ekonomisko aktivitāšu pieaugumu. </w:t>
      </w:r>
    </w:p>
    <w:p w14:paraId="2DB0C4A5" w14:textId="5B4A80EA" w:rsidR="00875788" w:rsidRPr="00DA1AF0" w:rsidRDefault="00875788" w:rsidP="00875788">
      <w:pPr>
        <w:spacing w:after="120"/>
        <w:jc w:val="right"/>
        <w:rPr>
          <w:szCs w:val="20"/>
        </w:rPr>
      </w:pPr>
      <w:r w:rsidRPr="00DA1AF0">
        <w:rPr>
          <w:szCs w:val="20"/>
        </w:rPr>
        <w:t>1.</w:t>
      </w:r>
      <w:r w:rsidR="00AD141B">
        <w:rPr>
          <w:szCs w:val="20"/>
        </w:rPr>
        <w:t>9</w:t>
      </w:r>
      <w:r w:rsidRPr="00DA1AF0">
        <w:rPr>
          <w:szCs w:val="20"/>
        </w:rPr>
        <w:t>. attēls</w:t>
      </w:r>
    </w:p>
    <w:p w14:paraId="7174B86B" w14:textId="77777777" w:rsidR="00875788" w:rsidRPr="00DA1AF0" w:rsidRDefault="00875788" w:rsidP="00875788">
      <w:pPr>
        <w:spacing w:after="120"/>
        <w:ind w:left="170" w:right="170"/>
        <w:jc w:val="center"/>
        <w:rPr>
          <w:rFonts w:ascii="Segoe UI Light" w:eastAsia="Times New Roman" w:hAnsi="Segoe UI Light"/>
          <w:i/>
          <w:sz w:val="16"/>
          <w:szCs w:val="20"/>
          <w:lang w:eastAsia="lv-LV"/>
        </w:rPr>
      </w:pPr>
      <w:proofErr w:type="spellStart"/>
      <w:r w:rsidRPr="00DA1AF0">
        <w:rPr>
          <w:rFonts w:ascii="Segoe UI Light" w:hAnsi="Segoe UI Light"/>
          <w:b/>
          <w:sz w:val="18"/>
          <w:szCs w:val="26"/>
        </w:rPr>
        <w:t>Beveridža</w:t>
      </w:r>
      <w:proofErr w:type="spellEnd"/>
      <w:r w:rsidRPr="00DA1AF0">
        <w:rPr>
          <w:rFonts w:ascii="Segoe UI Light" w:hAnsi="Segoe UI Light"/>
          <w:b/>
          <w:sz w:val="18"/>
          <w:szCs w:val="26"/>
        </w:rPr>
        <w:t xml:space="preserve"> līkne Latvijā</w:t>
      </w:r>
      <w:r w:rsidRPr="00DA1AF0">
        <w:rPr>
          <w:rFonts w:ascii="Segoe UI Light" w:hAnsi="Segoe UI Light"/>
          <w:b/>
          <w:sz w:val="18"/>
          <w:szCs w:val="26"/>
        </w:rPr>
        <w:br/>
      </w:r>
      <w:r w:rsidRPr="00DA1AF0">
        <w:rPr>
          <w:rFonts w:ascii="Segoe UI Light" w:hAnsi="Segoe UI Light"/>
          <w:i/>
          <w:sz w:val="16"/>
          <w:szCs w:val="20"/>
        </w:rPr>
        <w:t>2010.-2023.gads, vertikālā ass – vakanču skaits pret ekonomiski aktīvajiem iedzīvotājiem; horizontālā ass – bezdarba līmenis</w:t>
      </w:r>
    </w:p>
    <w:p w14:paraId="25D3CFD8" w14:textId="77777777" w:rsidR="00875788" w:rsidRPr="00DA1AF0" w:rsidRDefault="00875788" w:rsidP="00875788">
      <w:pPr>
        <w:spacing w:after="120"/>
        <w:rPr>
          <w:rFonts w:eastAsia="Times New Roman"/>
        </w:rPr>
      </w:pPr>
      <w:r w:rsidRPr="00DA1AF0">
        <w:rPr>
          <w:noProof/>
        </w:rPr>
        <w:drawing>
          <wp:inline distT="0" distB="0" distL="0" distR="0" wp14:anchorId="23E3AD80" wp14:editId="068890C6">
            <wp:extent cx="5759450" cy="3600000"/>
            <wp:effectExtent l="0" t="0" r="0" b="0"/>
            <wp:docPr id="1403" name="Chart 14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9D94565" w14:textId="77777777" w:rsidR="00875788" w:rsidRPr="00DA1AF0" w:rsidRDefault="00875788" w:rsidP="00875788">
      <w:pPr>
        <w:spacing w:after="120"/>
        <w:jc w:val="both"/>
        <w:rPr>
          <w:sz w:val="16"/>
          <w:szCs w:val="16"/>
        </w:rPr>
      </w:pPr>
      <w:r w:rsidRPr="00DA1AF0">
        <w:rPr>
          <w:sz w:val="16"/>
          <w:szCs w:val="16"/>
        </w:rPr>
        <w:t>Avots: CSP, NVA</w:t>
      </w:r>
    </w:p>
    <w:p w14:paraId="2F4808D0" w14:textId="77777777" w:rsidR="00875788" w:rsidRPr="00DA1AF0" w:rsidRDefault="00875788" w:rsidP="00875788">
      <w:pPr>
        <w:spacing w:after="120"/>
        <w:jc w:val="both"/>
        <w:rPr>
          <w:szCs w:val="20"/>
        </w:rPr>
      </w:pPr>
    </w:p>
    <w:p w14:paraId="4488858B" w14:textId="77777777" w:rsidR="00875788" w:rsidRDefault="00875788" w:rsidP="00875788">
      <w:pPr>
        <w:spacing w:after="120"/>
        <w:jc w:val="both"/>
        <w:rPr>
          <w:szCs w:val="20"/>
        </w:rPr>
      </w:pPr>
      <w:r w:rsidRPr="00DA1AF0">
        <w:rPr>
          <w:szCs w:val="20"/>
        </w:rPr>
        <w:t>No 2017.</w:t>
      </w:r>
      <w:r>
        <w:rPr>
          <w:szCs w:val="20"/>
        </w:rPr>
        <w:t>-2022. gadam v</w:t>
      </w:r>
      <w:r w:rsidRPr="00DA1AF0">
        <w:rPr>
          <w:szCs w:val="20"/>
        </w:rPr>
        <w:t xml:space="preserve">akanču skaits aug straujāk nekā samazinājies bezdarba līmenis, kas </w:t>
      </w:r>
      <w:r>
        <w:rPr>
          <w:szCs w:val="20"/>
        </w:rPr>
        <w:t>kopumā iezīmēja</w:t>
      </w:r>
      <w:r w:rsidRPr="00DA1AF0">
        <w:rPr>
          <w:szCs w:val="20"/>
        </w:rPr>
        <w:t xml:space="preserve"> strukturāl</w:t>
      </w:r>
      <w:r>
        <w:rPr>
          <w:szCs w:val="20"/>
        </w:rPr>
        <w:t xml:space="preserve">o problēmu pieaugumu darba tirgū – neskatoties uz bezdarbu, palielinājās neaizpildīto vakanču skaits darba tirgū. </w:t>
      </w:r>
      <w:r w:rsidRPr="00DA1AF0">
        <w:rPr>
          <w:szCs w:val="20"/>
        </w:rPr>
        <w:t xml:space="preserve">Jāatzīmē, ka Covid-19 pandēmijas krīze kopumā ir paātrinājusi darbaspēka pieprasījuma strukturālās pārmaiņas, paātrinot darbavietu automatizāciju darbaspēka intensīvajās nozarēs – galvenokārt samazinot pieprasījumu pēc zemas un vidējas kvalifikācijas darbaspēka bez profesionālām prasmēm, savukārt palielinot augstākās kvalifikācijas darbavietu īpatsvaru, jo īpaši informācijas un komunikācijas pakalpojumos. </w:t>
      </w:r>
    </w:p>
    <w:p w14:paraId="447802A2" w14:textId="77777777" w:rsidR="00875788" w:rsidRDefault="00875788" w:rsidP="00875788">
      <w:pPr>
        <w:spacing w:after="120"/>
        <w:jc w:val="both"/>
        <w:rPr>
          <w:szCs w:val="20"/>
        </w:rPr>
      </w:pPr>
      <w:r>
        <w:rPr>
          <w:szCs w:val="20"/>
        </w:rPr>
        <w:t xml:space="preserve">Kopš 2022. gada vakanču skaits darba tirgū ir samazinājies, tāpat turpina mazināties bezdarbs, līdz ar to kopumā situācija Latvija darba tirgū ir kļuvusi sabalansētāka - darba devēji ar vien vairāk izmanto iespējas piesaistīt darbiniekus pat ja to kvalifikācija pilnībā neatbilst darba specifikai vai arī darbinieka dzīvesvieta atrodas citā reģionā nekā darbavieta. </w:t>
      </w:r>
    </w:p>
    <w:p w14:paraId="4B09D239" w14:textId="77777777" w:rsidR="00875788" w:rsidRPr="00DA1AF0" w:rsidRDefault="00875788" w:rsidP="00875788">
      <w:pPr>
        <w:spacing w:after="120"/>
        <w:jc w:val="both"/>
        <w:rPr>
          <w:szCs w:val="20"/>
        </w:rPr>
      </w:pPr>
      <w:r>
        <w:rPr>
          <w:szCs w:val="20"/>
        </w:rPr>
        <w:t xml:space="preserve">Tāpat darbaspēka nepietiekamību ir mazinājis Ukrainas iedzīvotāju iesaiste darba tirgū.  Tomēr jāņem vērā, ka </w:t>
      </w:r>
      <w:r w:rsidRPr="003A7D07">
        <w:rPr>
          <w:szCs w:val="20"/>
        </w:rPr>
        <w:t xml:space="preserve">līdz ar Ukrainas kara bēgļu ienākošās plūsmas samazināšanos, arī šis plūsmas pozitīvais efekts uz darbaspēka piedāvājuma dinamiku pakāpeniski izsīkst. </w:t>
      </w:r>
      <w:r>
        <w:rPr>
          <w:szCs w:val="20"/>
        </w:rPr>
        <w:t>D</w:t>
      </w:r>
      <w:r w:rsidRPr="003A7D07">
        <w:rPr>
          <w:szCs w:val="20"/>
        </w:rPr>
        <w:t xml:space="preserve">aļa kara bēgļu atgriežas mājās, tādejādi demogrāfisko faktoru negatīvā ietekme uz darbaspēka piedāvājuma dinamiku turpmākajos gados </w:t>
      </w:r>
      <w:r>
        <w:rPr>
          <w:szCs w:val="20"/>
        </w:rPr>
        <w:t xml:space="preserve">atkal </w:t>
      </w:r>
      <w:r w:rsidRPr="003A7D07">
        <w:rPr>
          <w:szCs w:val="20"/>
        </w:rPr>
        <w:t>varētu kļūt izteiktāka.</w:t>
      </w:r>
    </w:p>
    <w:p w14:paraId="52D2B896" w14:textId="77777777" w:rsidR="00875788" w:rsidRDefault="00875788" w:rsidP="00875788">
      <w:pPr>
        <w:spacing w:after="120"/>
        <w:jc w:val="both"/>
        <w:rPr>
          <w:szCs w:val="20"/>
        </w:rPr>
      </w:pPr>
    </w:p>
    <w:p w14:paraId="78D9DA02" w14:textId="77777777" w:rsidR="00AD141B" w:rsidRDefault="00AD141B" w:rsidP="00875788">
      <w:pPr>
        <w:spacing w:after="120"/>
        <w:jc w:val="both"/>
        <w:rPr>
          <w:szCs w:val="20"/>
        </w:rPr>
      </w:pPr>
    </w:p>
    <w:p w14:paraId="73EEAECD" w14:textId="77777777" w:rsidR="00C075DC" w:rsidRDefault="00C075DC">
      <w:pPr>
        <w:spacing w:after="0"/>
        <w:rPr>
          <w:rFonts w:ascii="Segoe UI Light" w:hAnsi="Segoe UI Light"/>
          <w:b/>
          <w:bCs/>
          <w:sz w:val="18"/>
          <w:szCs w:val="18"/>
        </w:rPr>
      </w:pPr>
      <w:r>
        <w:rPr>
          <w:rFonts w:ascii="Segoe UI Light" w:hAnsi="Segoe UI Light"/>
          <w:b/>
          <w:bCs/>
          <w:sz w:val="18"/>
          <w:szCs w:val="18"/>
        </w:rPr>
        <w:br w:type="page"/>
      </w:r>
    </w:p>
    <w:p w14:paraId="79003133" w14:textId="3BACEC36" w:rsidR="00875788" w:rsidRPr="00DA1AF0" w:rsidRDefault="00875788" w:rsidP="00875788">
      <w:pPr>
        <w:pBdr>
          <w:top w:val="single" w:sz="4" w:space="6" w:color="auto" w:shadow="1"/>
          <w:left w:val="single" w:sz="4" w:space="6" w:color="auto" w:shadow="1"/>
          <w:bottom w:val="single" w:sz="4" w:space="6" w:color="auto" w:shadow="1"/>
          <w:right w:val="single" w:sz="4" w:space="6" w:color="auto" w:shadow="1"/>
        </w:pBdr>
        <w:shd w:val="clear" w:color="auto" w:fill="E5DFEC"/>
        <w:jc w:val="right"/>
        <w:rPr>
          <w:rFonts w:ascii="Segoe UI Light" w:hAnsi="Segoe UI Light"/>
          <w:b/>
          <w:bCs/>
          <w:sz w:val="18"/>
          <w:szCs w:val="18"/>
        </w:rPr>
      </w:pPr>
      <w:r>
        <w:rPr>
          <w:rFonts w:ascii="Segoe UI Light" w:hAnsi="Segoe UI Light"/>
          <w:b/>
          <w:bCs/>
          <w:sz w:val="18"/>
          <w:szCs w:val="18"/>
        </w:rPr>
        <w:lastRenderedPageBreak/>
        <w:t xml:space="preserve">NVA reģistrēti </w:t>
      </w:r>
      <w:r w:rsidRPr="00DA1AF0">
        <w:rPr>
          <w:rFonts w:ascii="Segoe UI Light" w:hAnsi="Segoe UI Light"/>
          <w:b/>
          <w:bCs/>
          <w:sz w:val="18"/>
          <w:szCs w:val="18"/>
        </w:rPr>
        <w:t>Ukrain</w:t>
      </w:r>
      <w:r>
        <w:rPr>
          <w:rFonts w:ascii="Segoe UI Light" w:hAnsi="Segoe UI Light"/>
          <w:b/>
          <w:bCs/>
          <w:sz w:val="18"/>
          <w:szCs w:val="18"/>
        </w:rPr>
        <w:t>as iedzīvotāji</w:t>
      </w:r>
    </w:p>
    <w:p w14:paraId="176C6226" w14:textId="77777777" w:rsidR="00875788" w:rsidRPr="00DA1AF0" w:rsidRDefault="00875788" w:rsidP="00875788">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sidRPr="00DA1AF0">
        <w:rPr>
          <w:rFonts w:ascii="Segoe UI Light" w:hAnsi="Segoe UI Light"/>
          <w:sz w:val="16"/>
          <w:szCs w:val="16"/>
        </w:rPr>
        <w:t xml:space="preserve">2022.gada 24. februārī sākās Krievijas agresija pret Ukrainu, kas piespieda doties bēgļu gaitās 4,2 miljonus Ukrainas civiliedzīvotāju. Lai sniegtu tūlītēju un kolektīvu aizsardzību, 2022.gada martā ES aktivizēja Pagaidu aizsardzības direktīvu. Tiesības saskaņā ar pagaidu aizsardzības mehānismu ietver uzturēšanās atļauju, piekļuvi darba tirgum un mājoklim, medicīnisko palīdzību un izglītības pieejamību bērniem. Atbilstoši </w:t>
      </w:r>
      <w:proofErr w:type="spellStart"/>
      <w:r w:rsidRPr="00DA1AF0">
        <w:rPr>
          <w:rFonts w:ascii="Segoe UI Light" w:hAnsi="Segoe UI Light"/>
          <w:i/>
          <w:iCs/>
          <w:sz w:val="16"/>
          <w:szCs w:val="16"/>
        </w:rPr>
        <w:t>Eurostat</w:t>
      </w:r>
      <w:proofErr w:type="spellEnd"/>
      <w:r w:rsidRPr="00DA1AF0">
        <w:rPr>
          <w:rFonts w:ascii="Segoe UI Light" w:hAnsi="Segoe UI Light"/>
          <w:sz w:val="16"/>
          <w:szCs w:val="16"/>
        </w:rPr>
        <w:t xml:space="preserve"> datiem Latvijā kā personas, uz kurām attiecina pagaidu aizsardzību, līdz 2024.gada aprīļa beigām bija uzņemti 44 960 Ukrainas civiliedzīvotāji.</w:t>
      </w:r>
    </w:p>
    <w:p w14:paraId="33FDFF95" w14:textId="24A9F5DC" w:rsidR="00875788" w:rsidRDefault="00875788" w:rsidP="00875788">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sidRPr="00DA1AF0">
        <w:rPr>
          <w:rFonts w:ascii="Segoe UI Light" w:hAnsi="Segoe UI Light"/>
          <w:sz w:val="16"/>
          <w:szCs w:val="16"/>
        </w:rPr>
        <w:t xml:space="preserve">Lai veicinātu Ukrainas civiliedzīvotāju iekļaušanos Latvijas darba tirgū, jau no 2022.gada 7. marta tika noteikts nodarbinātības uzsākšanas pabalsts 500 EUR apmērā, bet no 2022.gada 3. oktobra šādā apmērā arī </w:t>
      </w:r>
      <w:proofErr w:type="spellStart"/>
      <w:r w:rsidRPr="00DA1AF0">
        <w:rPr>
          <w:rFonts w:ascii="Segoe UI Light" w:hAnsi="Segoe UI Light"/>
          <w:sz w:val="16"/>
          <w:szCs w:val="16"/>
        </w:rPr>
        <w:t>pašnodarbinātības</w:t>
      </w:r>
      <w:proofErr w:type="spellEnd"/>
      <w:r w:rsidRPr="00DA1AF0">
        <w:rPr>
          <w:rFonts w:ascii="Segoe UI Light" w:hAnsi="Segoe UI Light"/>
          <w:sz w:val="16"/>
          <w:szCs w:val="16"/>
        </w:rPr>
        <w:t xml:space="preserve"> uzsākšanas pabalsts. 2023.gadā abu pabalstu apmērs tika palielināts līdz 620 EUR, bet 2024.gadā – līdz 700 EUR</w:t>
      </w:r>
      <w:r w:rsidRPr="00DA1AF0">
        <w:rPr>
          <w:rFonts w:ascii="Segoe UI Light" w:hAnsi="Segoe UI Light"/>
          <w:i/>
          <w:iCs/>
          <w:sz w:val="16"/>
          <w:szCs w:val="16"/>
        </w:rPr>
        <w:t>.</w:t>
      </w:r>
      <w:r w:rsidRPr="00DA1AF0">
        <w:rPr>
          <w:rFonts w:ascii="Segoe UI Light" w:hAnsi="Segoe UI Light"/>
          <w:sz w:val="16"/>
          <w:szCs w:val="16"/>
        </w:rPr>
        <w:t xml:space="preserve"> No 2022.gada 7. marta līdz 2024.gada 3. jūnijam NVA bija reģistrējušies 28 347 Ukrainas civiliedzīvotāji, no kuriem pēc nodarbinātības uzsākšanas pabalstu bija saņēmuši 14 965 cilvēki, bet </w:t>
      </w:r>
      <w:proofErr w:type="spellStart"/>
      <w:r w:rsidRPr="00DA1AF0">
        <w:rPr>
          <w:rFonts w:ascii="Segoe UI Light" w:hAnsi="Segoe UI Light"/>
          <w:sz w:val="16"/>
          <w:szCs w:val="16"/>
        </w:rPr>
        <w:t>pašnodarbinātības</w:t>
      </w:r>
      <w:proofErr w:type="spellEnd"/>
      <w:r w:rsidRPr="00DA1AF0">
        <w:rPr>
          <w:rFonts w:ascii="Segoe UI Light" w:hAnsi="Segoe UI Light"/>
          <w:sz w:val="16"/>
          <w:szCs w:val="16"/>
        </w:rPr>
        <w:t xml:space="preserve"> uzsākšanas – 391 cilvēks. Tā kā bēgļu plūsma no Ukrainas ir samērā stabila, tad vienlaikus NVA uzskaitē ir vidēji </w:t>
      </w:r>
      <w:r w:rsidRPr="00DA1AF0">
        <w:rPr>
          <w:rFonts w:ascii="Segoe UI Light" w:hAnsi="Segoe UI Light"/>
          <w:sz w:val="16"/>
          <w:szCs w:val="16"/>
        </w:rPr>
        <w:br/>
        <w:t>1600-1800 Ukrainas civiliedzīvotāji, no kuriem aptuveni 70% ir sievietes un 30% vīrieši. Aptuveni ¼ daļa šo cilvēku ir vecāka par 50 gadiem. NVA piedāvātajos aktīvās nodarbinātības pasākumos līdz 2024.gada 3. jūnijam bija iesaistīti 3 667 cilvēki, tajā skaitā valsts valodas apguvē – 697 cilvēki.</w:t>
      </w:r>
      <w:r>
        <w:rPr>
          <w:rFonts w:ascii="Segoe UI Light" w:hAnsi="Segoe UI Light"/>
          <w:sz w:val="16"/>
          <w:szCs w:val="16"/>
        </w:rPr>
        <w:t xml:space="preserve"> Kopumā 2024. gada 3. jūnijā NVA reģistrēti bija 1531 Ukrainas iedzīvotāji, no tiem darba meklējumos bija 1409 personas. Vienlaikus vakanču skaits, ko darba devēji piedāvāja Ukrainas iedzīvotājiem 2024. gada 3. jūnijā bija 965 vakances.</w:t>
      </w:r>
    </w:p>
    <w:p w14:paraId="3242BE50" w14:textId="77777777" w:rsidR="00875788" w:rsidRDefault="00875788" w:rsidP="00875788">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bCs/>
          <w:sz w:val="16"/>
          <w:szCs w:val="18"/>
        </w:rPr>
      </w:pPr>
    </w:p>
    <w:p w14:paraId="458BCBF8" w14:textId="77777777" w:rsidR="00875788" w:rsidRDefault="00875788" w:rsidP="00875788">
      <w:pPr>
        <w:pBdr>
          <w:top w:val="single" w:sz="4" w:space="6" w:color="auto" w:shadow="1"/>
          <w:left w:val="single" w:sz="4" w:space="6" w:color="auto" w:shadow="1"/>
          <w:bottom w:val="single" w:sz="4" w:space="6" w:color="auto" w:shadow="1"/>
          <w:right w:val="single" w:sz="4" w:space="6" w:color="auto" w:shadow="1"/>
        </w:pBdr>
        <w:shd w:val="clear" w:color="auto" w:fill="E5DFEC"/>
        <w:tabs>
          <w:tab w:val="center" w:pos="2268"/>
          <w:tab w:val="center" w:pos="6804"/>
        </w:tabs>
        <w:spacing w:after="60"/>
        <w:jc w:val="center"/>
        <w:rPr>
          <w:rFonts w:ascii="Segoe UI Light" w:hAnsi="Segoe UI Light"/>
          <w:b/>
          <w:bCs/>
          <w:sz w:val="16"/>
          <w:szCs w:val="16"/>
        </w:rPr>
      </w:pPr>
      <w:r>
        <w:rPr>
          <w:rFonts w:ascii="Segoe UI Light" w:hAnsi="Segoe UI Light"/>
          <w:b/>
          <w:bCs/>
          <w:sz w:val="16"/>
          <w:szCs w:val="16"/>
        </w:rPr>
        <w:t xml:space="preserve">    </w:t>
      </w:r>
      <w:r w:rsidRPr="00EF62EB">
        <w:rPr>
          <w:rFonts w:ascii="Segoe UI Light" w:hAnsi="Segoe UI Light"/>
          <w:b/>
          <w:bCs/>
          <w:sz w:val="16"/>
          <w:szCs w:val="16"/>
        </w:rPr>
        <w:t>NVA reģistrēt</w:t>
      </w:r>
      <w:r>
        <w:rPr>
          <w:rFonts w:ascii="Segoe UI Light" w:hAnsi="Segoe UI Light"/>
          <w:b/>
          <w:bCs/>
          <w:sz w:val="16"/>
          <w:szCs w:val="16"/>
        </w:rPr>
        <w:t xml:space="preserve">ie </w:t>
      </w:r>
      <w:r w:rsidRPr="00EF62EB">
        <w:rPr>
          <w:rFonts w:ascii="Segoe UI Light" w:hAnsi="Segoe UI Light"/>
          <w:b/>
          <w:bCs/>
          <w:sz w:val="16"/>
          <w:szCs w:val="16"/>
        </w:rPr>
        <w:t>Ukrainas iedzīvotāj</w:t>
      </w:r>
      <w:r>
        <w:rPr>
          <w:rFonts w:ascii="Segoe UI Light" w:hAnsi="Segoe UI Light"/>
          <w:b/>
          <w:bCs/>
          <w:sz w:val="16"/>
          <w:szCs w:val="16"/>
        </w:rPr>
        <w:t>i</w:t>
      </w:r>
      <w:r w:rsidRPr="00EF62EB">
        <w:rPr>
          <w:rFonts w:ascii="Segoe UI Light" w:hAnsi="Segoe UI Light"/>
          <w:b/>
          <w:bCs/>
          <w:sz w:val="16"/>
          <w:szCs w:val="16"/>
        </w:rPr>
        <w:t xml:space="preserve"> </w:t>
      </w:r>
      <w:r>
        <w:rPr>
          <w:rFonts w:ascii="Segoe UI Light" w:hAnsi="Segoe UI Light"/>
          <w:b/>
          <w:bCs/>
          <w:sz w:val="16"/>
          <w:szCs w:val="16"/>
        </w:rPr>
        <w:t>un tiem izmaksāto</w:t>
      </w:r>
      <w:r>
        <w:rPr>
          <w:rFonts w:ascii="Segoe UI Light" w:hAnsi="Segoe UI Light"/>
          <w:b/>
          <w:bCs/>
          <w:sz w:val="16"/>
          <w:szCs w:val="16"/>
        </w:rPr>
        <w:tab/>
        <w:t>NVA reģistrētie Ukrainas iedzīvotāji – darba meklētāji un</w:t>
      </w:r>
    </w:p>
    <w:p w14:paraId="1F1CB8D2" w14:textId="77777777" w:rsidR="00875788" w:rsidRDefault="00875788" w:rsidP="00875788">
      <w:pPr>
        <w:pBdr>
          <w:top w:val="single" w:sz="4" w:space="6" w:color="auto" w:shadow="1"/>
          <w:left w:val="single" w:sz="4" w:space="6" w:color="auto" w:shadow="1"/>
          <w:bottom w:val="single" w:sz="4" w:space="6" w:color="auto" w:shadow="1"/>
          <w:right w:val="single" w:sz="4" w:space="6" w:color="auto" w:shadow="1"/>
        </w:pBdr>
        <w:shd w:val="clear" w:color="auto" w:fill="E5DFEC"/>
        <w:tabs>
          <w:tab w:val="center" w:pos="2268"/>
          <w:tab w:val="center" w:pos="6804"/>
        </w:tabs>
        <w:spacing w:after="60"/>
        <w:rPr>
          <w:rFonts w:ascii="Segoe UI Light" w:hAnsi="Segoe UI Light"/>
          <w:b/>
          <w:bCs/>
          <w:sz w:val="16"/>
          <w:szCs w:val="16"/>
        </w:rPr>
      </w:pPr>
      <w:r>
        <w:rPr>
          <w:rFonts w:ascii="Segoe UI Light" w:hAnsi="Segoe UI Light"/>
          <w:b/>
          <w:bCs/>
          <w:sz w:val="16"/>
          <w:szCs w:val="16"/>
        </w:rPr>
        <w:t xml:space="preserve">              nodarbinātības </w:t>
      </w:r>
      <w:r w:rsidRPr="00EF62EB">
        <w:rPr>
          <w:rFonts w:ascii="Segoe UI Light" w:hAnsi="Segoe UI Light"/>
          <w:b/>
          <w:bCs/>
          <w:sz w:val="16"/>
          <w:szCs w:val="16"/>
        </w:rPr>
        <w:t>uzsākšanas pabalstus skaits</w:t>
      </w:r>
      <w:r>
        <w:rPr>
          <w:rFonts w:ascii="Segoe UI Light" w:hAnsi="Segoe UI Light"/>
          <w:b/>
          <w:bCs/>
          <w:sz w:val="16"/>
          <w:szCs w:val="16"/>
        </w:rPr>
        <w:tab/>
        <w:t>piedāvātās vakances</w:t>
      </w:r>
    </w:p>
    <w:p w14:paraId="2BEB0DF5" w14:textId="77777777" w:rsidR="00875788" w:rsidRPr="00DA1AF0" w:rsidRDefault="00875788" w:rsidP="00875788">
      <w:pPr>
        <w:pBdr>
          <w:top w:val="single" w:sz="4" w:space="6" w:color="auto" w:shadow="1"/>
          <w:left w:val="single" w:sz="4" w:space="6" w:color="auto" w:shadow="1"/>
          <w:bottom w:val="single" w:sz="4" w:space="6" w:color="auto" w:shadow="1"/>
          <w:right w:val="single" w:sz="4" w:space="6" w:color="auto" w:shadow="1"/>
        </w:pBdr>
        <w:shd w:val="clear" w:color="auto" w:fill="E5DFEC"/>
        <w:tabs>
          <w:tab w:val="center" w:pos="2268"/>
          <w:tab w:val="center" w:pos="6804"/>
        </w:tabs>
        <w:spacing w:after="60"/>
        <w:rPr>
          <w:rFonts w:ascii="Segoe UI Light" w:hAnsi="Segoe UI Light"/>
          <w:sz w:val="16"/>
          <w:szCs w:val="16"/>
        </w:rPr>
      </w:pPr>
      <w:r>
        <w:rPr>
          <w:rFonts w:ascii="Segoe UI Light" w:hAnsi="Segoe UI Light"/>
          <w:sz w:val="16"/>
          <w:szCs w:val="16"/>
        </w:rPr>
        <w:tab/>
      </w:r>
      <w:r w:rsidRPr="00DA1AF0">
        <w:rPr>
          <w:rFonts w:ascii="Segoe UI Light" w:hAnsi="Segoe UI Light"/>
          <w:sz w:val="16"/>
          <w:szCs w:val="16"/>
        </w:rPr>
        <w:t>tūkst</w:t>
      </w:r>
      <w:r>
        <w:rPr>
          <w:rFonts w:ascii="Segoe UI Light" w:hAnsi="Segoe UI Light"/>
          <w:sz w:val="16"/>
          <w:szCs w:val="16"/>
        </w:rPr>
        <w:t>oši</w:t>
      </w:r>
      <w:r>
        <w:rPr>
          <w:rFonts w:ascii="Segoe UI Light" w:hAnsi="Segoe UI Light"/>
          <w:sz w:val="16"/>
          <w:szCs w:val="16"/>
        </w:rPr>
        <w:tab/>
        <w:t>uz 03.06.2024</w:t>
      </w:r>
      <w:r w:rsidRPr="00DA1AF0">
        <w:rPr>
          <w:rFonts w:ascii="Segoe UI Light" w:hAnsi="Segoe UI Light"/>
          <w:sz w:val="16"/>
          <w:szCs w:val="16"/>
        </w:rPr>
        <w:tab/>
      </w:r>
    </w:p>
    <w:p w14:paraId="73833649" w14:textId="7EA6D924" w:rsidR="00875788" w:rsidRDefault="00875788" w:rsidP="00875788">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center"/>
        <w:rPr>
          <w:rFonts w:ascii="Segoe UI Light" w:hAnsi="Segoe UI Light"/>
          <w:sz w:val="16"/>
          <w:szCs w:val="16"/>
        </w:rPr>
      </w:pPr>
      <w:r w:rsidRPr="00DA1AF0">
        <w:rPr>
          <w:noProof/>
        </w:rPr>
        <w:drawing>
          <wp:inline distT="0" distB="0" distL="0" distR="0" wp14:anchorId="0D1B2748" wp14:editId="65BEBA03">
            <wp:extent cx="2657475" cy="2266950"/>
            <wp:effectExtent l="0" t="0" r="0" b="0"/>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Fonts w:ascii="Segoe UI Light" w:hAnsi="Segoe UI Light"/>
          <w:noProof/>
          <w:sz w:val="16"/>
          <w:szCs w:val="16"/>
        </w:rPr>
        <w:drawing>
          <wp:inline distT="0" distB="0" distL="0" distR="0" wp14:anchorId="60F30285" wp14:editId="72319767">
            <wp:extent cx="3000375" cy="2266950"/>
            <wp:effectExtent l="0" t="0" r="0" b="0"/>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1BA4D3B" w14:textId="77777777" w:rsidR="004A7152" w:rsidRDefault="004A7152" w:rsidP="00875788">
      <w:pPr>
        <w:pBdr>
          <w:top w:val="single" w:sz="4" w:space="6" w:color="auto" w:shadow="1"/>
          <w:left w:val="single" w:sz="4" w:space="6" w:color="auto" w:shadow="1"/>
          <w:bottom w:val="single" w:sz="4" w:space="6" w:color="auto" w:shadow="1"/>
          <w:right w:val="single" w:sz="4" w:space="6" w:color="auto" w:shadow="1"/>
        </w:pBdr>
        <w:shd w:val="clear" w:color="auto" w:fill="E5DFEC"/>
        <w:spacing w:after="60"/>
        <w:rPr>
          <w:rFonts w:cs="Calibri Light"/>
          <w:bCs/>
          <w:sz w:val="14"/>
          <w:szCs w:val="14"/>
        </w:rPr>
      </w:pPr>
    </w:p>
    <w:p w14:paraId="07CCF33B" w14:textId="77777777" w:rsidR="004A7152" w:rsidRPr="00893516" w:rsidRDefault="004A7152" w:rsidP="004A7152">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sidRPr="00CD15F5">
        <w:rPr>
          <w:rFonts w:ascii="Segoe UI Light" w:hAnsi="Segoe UI Light"/>
          <w:sz w:val="16"/>
          <w:szCs w:val="16"/>
        </w:rPr>
        <w:t xml:space="preserve">Analizējot NVA un Valsts ieņēmumu dienesta informāciju par Ukrainas civiliedzīvotāju nodarbinātību, </w:t>
      </w:r>
      <w:r>
        <w:rPr>
          <w:rFonts w:ascii="Segoe UI Light" w:hAnsi="Segoe UI Light"/>
          <w:sz w:val="16"/>
          <w:szCs w:val="16"/>
        </w:rPr>
        <w:t>secināms, ka</w:t>
      </w:r>
      <w:r w:rsidRPr="00CD15F5">
        <w:rPr>
          <w:rFonts w:ascii="Segoe UI Light" w:hAnsi="Segoe UI Light"/>
          <w:sz w:val="16"/>
          <w:szCs w:val="16"/>
        </w:rPr>
        <w:t xml:space="preserve"> uz 2023. gada decembra beigām 53% nodarbinātības pabalstu saņēmušo turpināja strādāt pie tā paša vai cita darba devēja Latvijā, bet 35% strādāja pie tā paša darba devēja. Aktuāls jautājums ir Ukrainas civiliedzīvotāju nodarbinātības veicināšana augstas kvalifikācijas profesijās, jo daudziem bezdarbniekiem ir augstākā izglītība. Valsts ieņēmumu dienesta dati liecina, ka 2023.gada 31. decembrī aktuālas darba tiesiskās attiecības ar 8</w:t>
      </w:r>
      <w:r>
        <w:rPr>
          <w:rFonts w:ascii="Segoe UI Light" w:hAnsi="Segoe UI Light"/>
          <w:sz w:val="16"/>
          <w:szCs w:val="16"/>
        </w:rPr>
        <w:t> </w:t>
      </w:r>
      <w:r w:rsidRPr="00CD15F5">
        <w:rPr>
          <w:rFonts w:ascii="Segoe UI Light" w:hAnsi="Segoe UI Light"/>
          <w:sz w:val="16"/>
          <w:szCs w:val="16"/>
        </w:rPr>
        <w:t>721 Ukrainas civiliedzīvotāju 9</w:t>
      </w:r>
      <w:r>
        <w:rPr>
          <w:rFonts w:ascii="Segoe UI Light" w:hAnsi="Segoe UI Light"/>
          <w:sz w:val="16"/>
          <w:szCs w:val="16"/>
        </w:rPr>
        <w:t> </w:t>
      </w:r>
      <w:r w:rsidRPr="00CD15F5">
        <w:rPr>
          <w:rFonts w:ascii="Segoe UI Light" w:hAnsi="Segoe UI Light"/>
          <w:sz w:val="16"/>
          <w:szCs w:val="16"/>
        </w:rPr>
        <w:t>185 darba vietās bija deklarējuši 3</w:t>
      </w:r>
      <w:r>
        <w:rPr>
          <w:rFonts w:ascii="Segoe UI Light" w:hAnsi="Segoe UI Light"/>
          <w:sz w:val="16"/>
          <w:szCs w:val="16"/>
        </w:rPr>
        <w:t> </w:t>
      </w:r>
      <w:r w:rsidRPr="00CD15F5">
        <w:rPr>
          <w:rFonts w:ascii="Segoe UI Light" w:hAnsi="Segoe UI Light"/>
          <w:sz w:val="16"/>
          <w:szCs w:val="16"/>
        </w:rPr>
        <w:t>073  darba devēji. Ukrainas civiliedzīvotāju nodarbinātības līmenis (nodarbināto īpatsvars iedzīvotāju darbspējas vecumā (18-65 gadi) kopskaitā) 2023.gada beigās sastādīja 43%. 2023.gada beigās Latvijā uzturējās 630 Ukrainas civiliedzīvotāji – saimnieciskās darbības veicēji.</w:t>
      </w:r>
    </w:p>
    <w:p w14:paraId="4027F617" w14:textId="77777777" w:rsidR="004A7152" w:rsidRDefault="004A7152" w:rsidP="00875788">
      <w:pPr>
        <w:pBdr>
          <w:top w:val="single" w:sz="4" w:space="6" w:color="auto" w:shadow="1"/>
          <w:left w:val="single" w:sz="4" w:space="6" w:color="auto" w:shadow="1"/>
          <w:bottom w:val="single" w:sz="4" w:space="6" w:color="auto" w:shadow="1"/>
          <w:right w:val="single" w:sz="4" w:space="6" w:color="auto" w:shadow="1"/>
        </w:pBdr>
        <w:shd w:val="clear" w:color="auto" w:fill="E5DFEC"/>
        <w:spacing w:after="60"/>
        <w:rPr>
          <w:rFonts w:cs="Calibri Light"/>
          <w:bCs/>
          <w:sz w:val="14"/>
          <w:szCs w:val="14"/>
        </w:rPr>
      </w:pPr>
    </w:p>
    <w:p w14:paraId="0BC676E6" w14:textId="58189F1B" w:rsidR="00875788" w:rsidRPr="00DA1AF0" w:rsidRDefault="00875788" w:rsidP="00875788">
      <w:pPr>
        <w:pBdr>
          <w:top w:val="single" w:sz="4" w:space="6" w:color="auto" w:shadow="1"/>
          <w:left w:val="single" w:sz="4" w:space="6" w:color="auto" w:shadow="1"/>
          <w:bottom w:val="single" w:sz="4" w:space="6" w:color="auto" w:shadow="1"/>
          <w:right w:val="single" w:sz="4" w:space="6" w:color="auto" w:shadow="1"/>
        </w:pBdr>
        <w:shd w:val="clear" w:color="auto" w:fill="E5DFEC"/>
        <w:spacing w:after="60"/>
        <w:rPr>
          <w:rFonts w:ascii="Segoe UI Light" w:hAnsi="Segoe UI Light"/>
          <w:sz w:val="16"/>
          <w:szCs w:val="16"/>
        </w:rPr>
      </w:pPr>
      <w:r w:rsidRPr="00DA1AF0">
        <w:rPr>
          <w:rFonts w:cs="Calibri Light"/>
          <w:bCs/>
          <w:sz w:val="14"/>
          <w:szCs w:val="14"/>
        </w:rPr>
        <w:t>Avots: NVA</w:t>
      </w:r>
    </w:p>
    <w:p w14:paraId="57CC0A14" w14:textId="77777777" w:rsidR="00875788" w:rsidRDefault="00875788" w:rsidP="00875788">
      <w:pPr>
        <w:spacing w:after="120"/>
        <w:jc w:val="both"/>
        <w:rPr>
          <w:szCs w:val="20"/>
        </w:rPr>
      </w:pPr>
    </w:p>
    <w:p w14:paraId="1BC7E2A7" w14:textId="77777777" w:rsidR="00C075DC" w:rsidRPr="00DA1AF0" w:rsidRDefault="00C075DC" w:rsidP="00875788">
      <w:pPr>
        <w:spacing w:after="120"/>
        <w:jc w:val="both"/>
        <w:rPr>
          <w:szCs w:val="20"/>
        </w:rPr>
      </w:pPr>
    </w:p>
    <w:p w14:paraId="58CB00B3" w14:textId="4B146D1A" w:rsidR="0019532E" w:rsidRPr="00080A71" w:rsidRDefault="0019532E" w:rsidP="00080A71">
      <w:pPr>
        <w:pStyle w:val="Heading2"/>
      </w:pPr>
      <w:bookmarkStart w:id="17" w:name="_Toc183620091"/>
      <w:r w:rsidRPr="00080A71">
        <w:t>1.3. Darba algas un produktivitāte</w:t>
      </w:r>
      <w:bookmarkEnd w:id="15"/>
      <w:bookmarkEnd w:id="17"/>
    </w:p>
    <w:p w14:paraId="73FB7ACD" w14:textId="3A99767D" w:rsidR="00AA2E25" w:rsidRPr="003B4CDA" w:rsidRDefault="00AA2E25" w:rsidP="00867A48">
      <w:pPr>
        <w:spacing w:after="120"/>
        <w:jc w:val="both"/>
      </w:pPr>
      <w:r>
        <w:t>Ņemot vērā uzlabojumus darba tirgū, kā arī pieaugošo darbaspēka nepietiekamību, kopš 2013.</w:t>
      </w:r>
      <w:r w:rsidR="0080669C">
        <w:t>gad</w:t>
      </w:r>
      <w:r>
        <w:t>a bruto darba algas pieaugums saglabājies stabili virs 4,5</w:t>
      </w:r>
      <w:r w:rsidR="00BF61E6">
        <w:t>% gad</w:t>
      </w:r>
      <w:r>
        <w:t>ā un 2023.</w:t>
      </w:r>
      <w:r w:rsidR="0080669C">
        <w:t>gad</w:t>
      </w:r>
      <w:r>
        <w:t>ā sasniedza straujāko pieaugumu pēdējos</w:t>
      </w:r>
      <w:r w:rsidR="00D742BC">
        <w:t xml:space="preserve"> </w:t>
      </w:r>
      <w:r w:rsidR="0080669C">
        <w:t>gad</w:t>
      </w:r>
      <w:r>
        <w:t>os – bruto algai palielinoties par 11,9</w:t>
      </w:r>
      <w:r w:rsidR="0080669C">
        <w:t>%</w:t>
      </w:r>
      <w:r>
        <w:t>. 2023.</w:t>
      </w:r>
      <w:r w:rsidR="0080669C">
        <w:t>gad</w:t>
      </w:r>
      <w:r>
        <w:t xml:space="preserve">ā vidējā bruto darba samaksa sasniedza 1 537 </w:t>
      </w:r>
      <w:r w:rsidR="00CF7B9C" w:rsidRPr="005433C6">
        <w:t>EUR.</w:t>
      </w:r>
      <w:r>
        <w:t xml:space="preserve"> Tās pieaugumu lielā mērā ietekmēja darbaspēka pieprasījuma pieaugums, darbspējīgo iedzīvotāju skaita samazinājums, kā arī iedzīvotāju pirktspējas samazināšanās</w:t>
      </w:r>
      <w:r w:rsidR="009D5E7A">
        <w:t>,</w:t>
      </w:r>
      <w:r>
        <w:t xml:space="preserve"> kas radīja spiedienu uz darba algām. Salīdzinot ar pirms</w:t>
      </w:r>
      <w:r w:rsidR="00D742BC">
        <w:t xml:space="preserve"> </w:t>
      </w:r>
      <w:r>
        <w:t>pandēmijas līmeni 2019.</w:t>
      </w:r>
      <w:r w:rsidR="0080669C">
        <w:t>gad</w:t>
      </w:r>
      <w:r>
        <w:t>ā, bruto darba samaksa ir pieaugusi par 18,7 procentiem.</w:t>
      </w:r>
    </w:p>
    <w:p w14:paraId="11A2F76C" w14:textId="123CB575" w:rsidR="00AA2E25" w:rsidRPr="00CF7B9C" w:rsidRDefault="00AA2E25" w:rsidP="00867A48">
      <w:pPr>
        <w:spacing w:after="120"/>
        <w:jc w:val="both"/>
        <w:rPr>
          <w:rFonts w:cs="Calibri Light"/>
          <w:szCs w:val="20"/>
        </w:rPr>
      </w:pPr>
      <w:r w:rsidRPr="00CF7B9C">
        <w:rPr>
          <w:rFonts w:cs="Calibri Light"/>
        </w:rPr>
        <w:t>Pēdējos</w:t>
      </w:r>
      <w:r w:rsidR="00D742BC" w:rsidRPr="00CF7B9C">
        <w:rPr>
          <w:rFonts w:cs="Calibri Light"/>
        </w:rPr>
        <w:t xml:space="preserve"> </w:t>
      </w:r>
      <w:r w:rsidR="0080669C" w:rsidRPr="00CF7B9C">
        <w:rPr>
          <w:rFonts w:cs="Calibri Light"/>
        </w:rPr>
        <w:t>gad</w:t>
      </w:r>
      <w:r w:rsidRPr="00CF7B9C">
        <w:rPr>
          <w:rFonts w:cs="Calibri Light"/>
        </w:rPr>
        <w:t>os strauji ir samazinājusies darba samaksas starpība starp atalgojumu privātajā un sabiedriskajā sektorā. Ja 2008.</w:t>
      </w:r>
      <w:r w:rsidR="0080669C" w:rsidRPr="00CF7B9C">
        <w:rPr>
          <w:rFonts w:cs="Calibri Light"/>
        </w:rPr>
        <w:t>gad</w:t>
      </w:r>
      <w:r w:rsidRPr="00CF7B9C">
        <w:rPr>
          <w:rFonts w:cs="Calibri Light"/>
        </w:rPr>
        <w:t>ā darba samaksa privātajā sektorā (623</w:t>
      </w:r>
      <w:r w:rsidRPr="00CF7B9C">
        <w:rPr>
          <w:rFonts w:cs="Calibri Light"/>
          <w:szCs w:val="20"/>
        </w:rPr>
        <w:t xml:space="preserve"> </w:t>
      </w:r>
      <w:r w:rsidR="00CF7B9C" w:rsidRPr="00CF7B9C">
        <w:rPr>
          <w:rFonts w:cs="Calibri Light"/>
          <w:szCs w:val="20"/>
        </w:rPr>
        <w:t>EUR</w:t>
      </w:r>
      <w:r w:rsidRPr="00CF7B9C">
        <w:rPr>
          <w:rFonts w:cs="Calibri Light"/>
          <w:szCs w:val="20"/>
        </w:rPr>
        <w:t xml:space="preserve">) bija par 183 </w:t>
      </w:r>
      <w:r w:rsidR="00CF7B9C" w:rsidRPr="00CF7B9C">
        <w:rPr>
          <w:rFonts w:cs="Calibri Light"/>
          <w:szCs w:val="20"/>
        </w:rPr>
        <w:t>EUR</w:t>
      </w:r>
      <w:r w:rsidRPr="00CF7B9C">
        <w:rPr>
          <w:rFonts w:cs="Calibri Light"/>
          <w:szCs w:val="20"/>
        </w:rPr>
        <w:t xml:space="preserve"> mazāka nekā sabiedriskajā </w:t>
      </w:r>
      <w:r w:rsidRPr="00CF7B9C">
        <w:rPr>
          <w:rFonts w:cs="Calibri Light"/>
          <w:szCs w:val="20"/>
        </w:rPr>
        <w:lastRenderedPageBreak/>
        <w:t xml:space="preserve">sektorā (806 </w:t>
      </w:r>
      <w:r w:rsidR="00CF7B9C" w:rsidRPr="00CF7B9C">
        <w:rPr>
          <w:rFonts w:cs="Calibri Light"/>
          <w:szCs w:val="20"/>
        </w:rPr>
        <w:t>EUR</w:t>
      </w:r>
      <w:r w:rsidRPr="00CF7B9C">
        <w:rPr>
          <w:rFonts w:cs="Calibri Light"/>
          <w:szCs w:val="20"/>
        </w:rPr>
        <w:t>), tad 2023.</w:t>
      </w:r>
      <w:r w:rsidR="0080669C" w:rsidRPr="00CF7B9C">
        <w:rPr>
          <w:rFonts w:cs="Calibri Light"/>
          <w:szCs w:val="20"/>
        </w:rPr>
        <w:t>gad</w:t>
      </w:r>
      <w:r w:rsidRPr="00CF7B9C">
        <w:rPr>
          <w:rFonts w:cs="Calibri Light"/>
          <w:szCs w:val="20"/>
        </w:rPr>
        <w:t>ā vidējā bruto darba samaksa sabiedriskajā sektorā</w:t>
      </w:r>
      <w:r w:rsidR="00D50E6B" w:rsidRPr="00CF7B9C">
        <w:rPr>
          <w:rFonts w:cs="Calibri Light"/>
          <w:szCs w:val="20"/>
        </w:rPr>
        <w:t xml:space="preserve"> bija</w:t>
      </w:r>
      <w:r w:rsidRPr="00CF7B9C">
        <w:rPr>
          <w:rFonts w:cs="Calibri Light"/>
          <w:szCs w:val="20"/>
        </w:rPr>
        <w:t xml:space="preserve"> 1 553 </w:t>
      </w:r>
      <w:r w:rsidR="00CF7B9C" w:rsidRPr="00CF7B9C">
        <w:rPr>
          <w:rFonts w:cs="Calibri Light"/>
          <w:szCs w:val="20"/>
        </w:rPr>
        <w:t>EUR</w:t>
      </w:r>
      <w:r w:rsidRPr="00CF7B9C">
        <w:rPr>
          <w:rFonts w:cs="Calibri Light"/>
          <w:szCs w:val="20"/>
        </w:rPr>
        <w:t xml:space="preserve"> </w:t>
      </w:r>
      <w:r w:rsidR="00D50E6B" w:rsidRPr="00CF7B9C">
        <w:rPr>
          <w:rFonts w:cs="Calibri Light"/>
          <w:szCs w:val="20"/>
        </w:rPr>
        <w:t xml:space="preserve">un </w:t>
      </w:r>
      <w:r w:rsidRPr="00CF7B9C">
        <w:rPr>
          <w:rFonts w:cs="Calibri Light"/>
          <w:szCs w:val="20"/>
        </w:rPr>
        <w:t xml:space="preserve">privātajā sektorā – 1 533 </w:t>
      </w:r>
      <w:r w:rsidR="00CF7B9C" w:rsidRPr="00CF7B9C">
        <w:rPr>
          <w:rFonts w:cs="Calibri Light"/>
          <w:szCs w:val="20"/>
        </w:rPr>
        <w:t>EUR</w:t>
      </w:r>
      <w:r w:rsidRPr="00CF7B9C">
        <w:rPr>
          <w:rFonts w:cs="Calibri Light"/>
          <w:i/>
          <w:szCs w:val="20"/>
        </w:rPr>
        <w:t>.</w:t>
      </w:r>
    </w:p>
    <w:p w14:paraId="3122198C" w14:textId="5E4ED4BE" w:rsidR="00AA2E25" w:rsidRPr="003B4CDA" w:rsidRDefault="00AA2E25" w:rsidP="00867A48">
      <w:pPr>
        <w:spacing w:after="120"/>
        <w:jc w:val="right"/>
        <w:rPr>
          <w:szCs w:val="20"/>
        </w:rPr>
      </w:pPr>
      <w:r w:rsidRPr="003B4CDA">
        <w:rPr>
          <w:szCs w:val="20"/>
        </w:rPr>
        <w:t>1.</w:t>
      </w:r>
      <w:r w:rsidR="00AD141B">
        <w:rPr>
          <w:szCs w:val="20"/>
        </w:rPr>
        <w:t>10</w:t>
      </w:r>
      <w:r w:rsidRPr="003B4CDA">
        <w:rPr>
          <w:szCs w:val="20"/>
        </w:rPr>
        <w:t>. attēls</w:t>
      </w:r>
    </w:p>
    <w:p w14:paraId="043AE8A7" w14:textId="3A3E95A0" w:rsidR="00AA2E25" w:rsidRPr="004A62C0" w:rsidRDefault="00AA2E25" w:rsidP="00867A48">
      <w:pPr>
        <w:tabs>
          <w:tab w:val="center" w:pos="2268"/>
          <w:tab w:val="center" w:pos="6804"/>
        </w:tabs>
        <w:spacing w:after="120"/>
        <w:ind w:right="-766"/>
        <w:rPr>
          <w:rFonts w:ascii="Segoe UI Light" w:hAnsi="Segoe UI Light" w:cs="Segoe UI Light"/>
          <w:b/>
          <w:bCs/>
          <w:sz w:val="16"/>
          <w:szCs w:val="16"/>
        </w:rPr>
      </w:pPr>
      <w:r w:rsidRPr="004A62C0">
        <w:rPr>
          <w:rFonts w:ascii="Segoe UI Light" w:hAnsi="Segoe UI Light" w:cs="Segoe UI Light"/>
          <w:b/>
          <w:sz w:val="18"/>
          <w:szCs w:val="20"/>
        </w:rPr>
        <w:tab/>
      </w:r>
      <w:r w:rsidRPr="004A62C0">
        <w:rPr>
          <w:rFonts w:ascii="Segoe UI Light" w:hAnsi="Segoe UI Light" w:cs="Segoe UI Light"/>
          <w:b/>
          <w:bCs/>
          <w:sz w:val="18"/>
          <w:szCs w:val="18"/>
        </w:rPr>
        <w:t>Strādājošo mēneša vidējā bruto darba samaksa</w:t>
      </w:r>
      <w:r w:rsidRPr="004A62C0">
        <w:rPr>
          <w:rFonts w:ascii="Segoe UI Light" w:hAnsi="Segoe UI Light" w:cs="Segoe UI Light"/>
          <w:b/>
          <w:sz w:val="18"/>
          <w:szCs w:val="20"/>
        </w:rPr>
        <w:tab/>
      </w:r>
      <w:r w:rsidRPr="004A62C0">
        <w:rPr>
          <w:rFonts w:ascii="Segoe UI Light" w:hAnsi="Segoe UI Light" w:cs="Segoe UI Light"/>
          <w:b/>
          <w:bCs/>
          <w:sz w:val="18"/>
          <w:szCs w:val="18"/>
        </w:rPr>
        <w:t>Strādājošo mēneša vidējā bruto darba samaksa</w:t>
      </w:r>
      <w:r w:rsidRPr="004A62C0">
        <w:rPr>
          <w:rFonts w:ascii="Segoe UI Light" w:hAnsi="Segoe UI Light" w:cs="Segoe UI Light"/>
          <w:b/>
          <w:sz w:val="18"/>
          <w:szCs w:val="20"/>
        </w:rPr>
        <w:br/>
      </w:r>
      <w:r w:rsidRPr="004A62C0">
        <w:rPr>
          <w:rFonts w:ascii="Segoe UI Light" w:hAnsi="Segoe UI Light" w:cs="Segoe UI Light"/>
          <w:i/>
          <w:sz w:val="16"/>
          <w:szCs w:val="20"/>
        </w:rPr>
        <w:tab/>
      </w:r>
      <w:r w:rsidR="00D742BC">
        <w:rPr>
          <w:rFonts w:ascii="Segoe UI Light" w:hAnsi="Segoe UI Light" w:cs="Segoe UI Light"/>
          <w:i/>
          <w:iCs/>
          <w:sz w:val="16"/>
          <w:szCs w:val="16"/>
        </w:rPr>
        <w:t>EUR</w:t>
      </w:r>
      <w:r w:rsidRPr="004A62C0">
        <w:rPr>
          <w:rFonts w:ascii="Segoe UI Light" w:hAnsi="Segoe UI Light" w:cs="Segoe UI Light"/>
          <w:i/>
          <w:sz w:val="16"/>
          <w:szCs w:val="20"/>
        </w:rPr>
        <w:tab/>
      </w:r>
      <w:r w:rsidRPr="004A62C0">
        <w:rPr>
          <w:rFonts w:ascii="Segoe UI Light" w:hAnsi="Segoe UI Light" w:cs="Segoe UI Light"/>
          <w:i/>
          <w:iCs/>
          <w:sz w:val="16"/>
          <w:szCs w:val="16"/>
        </w:rPr>
        <w:t>izmaiņas procentos</w:t>
      </w:r>
    </w:p>
    <w:p w14:paraId="62FC0B82" w14:textId="77777777" w:rsidR="00AA2E25" w:rsidRPr="003B4CDA" w:rsidRDefault="00AA2E25" w:rsidP="00867A48">
      <w:pPr>
        <w:spacing w:after="120"/>
        <w:ind w:right="-766"/>
        <w:rPr>
          <w:rFonts w:cs="Segoe UI"/>
        </w:rPr>
      </w:pPr>
      <w:r w:rsidRPr="003B4CDA">
        <w:rPr>
          <w:rFonts w:cs="Segoe UI"/>
          <w:noProof/>
          <w:szCs w:val="20"/>
          <w:lang w:eastAsia="lv-LV"/>
        </w:rPr>
        <w:drawing>
          <wp:inline distT="0" distB="0" distL="0" distR="0" wp14:anchorId="4431A33F" wp14:editId="526F068E">
            <wp:extent cx="2879725" cy="2160000"/>
            <wp:effectExtent l="0" t="0" r="0" b="0"/>
            <wp:docPr id="12" name="Chart 12">
              <a:extLst xmlns:a="http://schemas.openxmlformats.org/drawingml/2006/main">
                <a:ext uri="{FF2B5EF4-FFF2-40B4-BE49-F238E27FC236}">
                  <a16:creationId xmlns:a16="http://schemas.microsoft.com/office/drawing/2014/main" id="{730E20CD-6D72-4955-B338-3AD88C465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3B4CDA">
        <w:rPr>
          <w:rFonts w:cs="Segoe UI"/>
          <w:noProof/>
          <w:szCs w:val="20"/>
          <w:lang w:eastAsia="lv-LV"/>
        </w:rPr>
        <w:drawing>
          <wp:inline distT="0" distB="0" distL="0" distR="0" wp14:anchorId="0FC12068" wp14:editId="085B46A9">
            <wp:extent cx="2879725" cy="2160000"/>
            <wp:effectExtent l="0" t="0" r="0" b="0"/>
            <wp:docPr id="18" name="Chart 18">
              <a:extLst xmlns:a="http://schemas.openxmlformats.org/drawingml/2006/main">
                <a:ext uri="{FF2B5EF4-FFF2-40B4-BE49-F238E27FC236}">
                  <a16:creationId xmlns:a16="http://schemas.microsoft.com/office/drawing/2014/main" id="{730E20CD-6D72-4955-B338-3AD88C465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A5266F2" w14:textId="77777777" w:rsidR="00AA2E25" w:rsidRPr="00D742BC" w:rsidRDefault="00AA2E25" w:rsidP="00867A48">
      <w:pPr>
        <w:spacing w:after="120"/>
        <w:ind w:right="-766"/>
        <w:jc w:val="both"/>
        <w:rPr>
          <w:sz w:val="16"/>
          <w:szCs w:val="16"/>
        </w:rPr>
      </w:pPr>
      <w:r w:rsidRPr="00D742BC">
        <w:rPr>
          <w:sz w:val="16"/>
          <w:szCs w:val="16"/>
        </w:rPr>
        <w:t>Avots: CSP</w:t>
      </w:r>
    </w:p>
    <w:p w14:paraId="73E4F5A5" w14:textId="77777777" w:rsidR="00D742BC" w:rsidRDefault="00D742BC" w:rsidP="00867A48">
      <w:pPr>
        <w:spacing w:after="120"/>
        <w:jc w:val="both"/>
      </w:pPr>
    </w:p>
    <w:p w14:paraId="46444142" w14:textId="39C2C3B8" w:rsidR="00AA2E25" w:rsidRPr="003B4CDA" w:rsidRDefault="00AA2E25" w:rsidP="00867A48">
      <w:pPr>
        <w:spacing w:after="120"/>
        <w:jc w:val="both"/>
      </w:pPr>
      <w:r>
        <w:t>Līdz ar nominālā atalgojuma pieaugumu pakāpeniski palielinājās reālā darba alga. 2013.-2016.</w:t>
      </w:r>
      <w:r w:rsidR="0080669C">
        <w:t>gad</w:t>
      </w:r>
      <w:r>
        <w:t xml:space="preserve">ā reālās algas pieaugums kļuva straujāks. To pamatā noteica straujš nominālās algas kāpums, kā arī mērenās patēriņa cenu izmaiņas. </w:t>
      </w:r>
      <w:r w:rsidR="00152B5F">
        <w:t xml:space="preserve">Strauji pieaugot inflācijai, </w:t>
      </w:r>
      <w:r>
        <w:t>2022.</w:t>
      </w:r>
      <w:r w:rsidR="0080669C">
        <w:t>gad</w:t>
      </w:r>
      <w:r>
        <w:t xml:space="preserve">ā reālā darba alga </w:t>
      </w:r>
      <w:r w:rsidR="00612AB4">
        <w:t>samazinājās</w:t>
      </w:r>
      <w:r>
        <w:t xml:space="preserve"> par </w:t>
      </w:r>
      <w:r w:rsidR="0072565E">
        <w:t>8,</w:t>
      </w:r>
      <w:r>
        <w:t>7</w:t>
      </w:r>
      <w:r w:rsidR="0080669C">
        <w:t>%</w:t>
      </w:r>
      <w:r>
        <w:t xml:space="preserve">, savukārt </w:t>
      </w:r>
      <w:r w:rsidR="00C60302">
        <w:t xml:space="preserve">stabilizējoties </w:t>
      </w:r>
      <w:r w:rsidR="00B1610F">
        <w:t xml:space="preserve">inflācijai </w:t>
      </w:r>
      <w:r>
        <w:t>2023.</w:t>
      </w:r>
      <w:r w:rsidR="0080669C">
        <w:t>gad</w:t>
      </w:r>
      <w:r>
        <w:t xml:space="preserve">ā bija novērojams </w:t>
      </w:r>
      <w:r w:rsidR="0072565E">
        <w:t>neliels</w:t>
      </w:r>
      <w:r>
        <w:t xml:space="preserve"> reālās darba samaksas pieaugums – par </w:t>
      </w:r>
      <w:r w:rsidR="0072565E">
        <w:t>2,2</w:t>
      </w:r>
      <w:r>
        <w:t xml:space="preserve"> procent</w:t>
      </w:r>
      <w:r w:rsidR="0072565E">
        <w:t>iem</w:t>
      </w:r>
      <w:r>
        <w:t>.</w:t>
      </w:r>
    </w:p>
    <w:p w14:paraId="438857D2" w14:textId="736BD648" w:rsidR="00AA2E25" w:rsidRPr="003B4CDA" w:rsidRDefault="00AA2E25" w:rsidP="00867A48">
      <w:pPr>
        <w:spacing w:after="120"/>
        <w:jc w:val="both"/>
      </w:pPr>
      <w:r>
        <w:t>Pēdējos</w:t>
      </w:r>
      <w:r w:rsidR="00D742BC">
        <w:t xml:space="preserve"> </w:t>
      </w:r>
      <w:r w:rsidR="0080669C">
        <w:t>gad</w:t>
      </w:r>
      <w:r>
        <w:t xml:space="preserve">os pakāpeniski samazinās minimālās darba algas saņēmēju īpatsvars un pieaug nodarbināto skaits, kas saņem darba algu lielāku par 1 000 </w:t>
      </w:r>
      <w:r w:rsidR="00CF7B9C" w:rsidRPr="00CF7B9C">
        <w:rPr>
          <w:rFonts w:cs="Calibri Light"/>
          <w:szCs w:val="20"/>
        </w:rPr>
        <w:t>EUR</w:t>
      </w:r>
      <w:r>
        <w:t xml:space="preserve"> mēnesī. 1 000 </w:t>
      </w:r>
      <w:r w:rsidR="00CF7B9C" w:rsidRPr="00CF7B9C">
        <w:rPr>
          <w:rFonts w:cs="Calibri Light"/>
          <w:szCs w:val="20"/>
        </w:rPr>
        <w:t>EUR</w:t>
      </w:r>
      <w:r>
        <w:t xml:space="preserve"> un vairāk algu grupas saņēmēju īpatsvars 2023.</w:t>
      </w:r>
      <w:r w:rsidR="0080669C">
        <w:t>gad</w:t>
      </w:r>
      <w:r>
        <w:t>ā sasniedza jau 60</w:t>
      </w:r>
      <w:r w:rsidR="0080669C">
        <w:t>%</w:t>
      </w:r>
      <w:r>
        <w:t xml:space="preserve"> no kopējā nodarbināto skaita.</w:t>
      </w:r>
    </w:p>
    <w:p w14:paraId="24B801D2" w14:textId="6700EA9F" w:rsidR="00867A48" w:rsidRPr="003B4CDA" w:rsidRDefault="00867A48" w:rsidP="00867A48">
      <w:pPr>
        <w:spacing w:after="120"/>
        <w:ind w:right="-1"/>
        <w:jc w:val="both"/>
      </w:pPr>
      <w:r>
        <w:t>Kopš 2013.gada darba samaksa būtībā pieaug visās tautsaimniecības nozarēs, tomēr to dinamika ir atšķirīga. 2023.gadā straujākais atalgojuma pieaugums bija vērojams lauksaimniecības, mežsaimniecības un zivsaimniecības nozarē – par 18,2%. Tāpat 2023.gadā salīdzinoši straujš bruto darba samaksas pieaugums bija vērojams elektroenerģijas, gāzes apgādes un siltumapgādes jomā (17,5%), transportā un uzglabāšanā (15,6%), kā arī valsts pārvaldē un aizsardzībā (15%).</w:t>
      </w:r>
    </w:p>
    <w:p w14:paraId="609DDAC5" w14:textId="0B4D22C4" w:rsidR="00AA2E25" w:rsidRPr="003B4CDA" w:rsidRDefault="00AA2E25" w:rsidP="00867A48">
      <w:pPr>
        <w:spacing w:after="120"/>
        <w:jc w:val="right"/>
        <w:rPr>
          <w:szCs w:val="20"/>
        </w:rPr>
      </w:pPr>
      <w:r w:rsidRPr="003B4CDA">
        <w:rPr>
          <w:szCs w:val="20"/>
        </w:rPr>
        <w:t>1.</w:t>
      </w:r>
      <w:r>
        <w:rPr>
          <w:szCs w:val="20"/>
        </w:rPr>
        <w:t>1</w:t>
      </w:r>
      <w:r w:rsidRPr="003B4CDA">
        <w:rPr>
          <w:szCs w:val="20"/>
        </w:rPr>
        <w:t>1. attēls</w:t>
      </w:r>
    </w:p>
    <w:p w14:paraId="22DE9C59" w14:textId="77777777" w:rsidR="00AA2E25" w:rsidRPr="004A62C0" w:rsidRDefault="00AA2E25" w:rsidP="00867A48">
      <w:pPr>
        <w:spacing w:after="120"/>
        <w:ind w:right="-766"/>
        <w:jc w:val="center"/>
        <w:rPr>
          <w:rFonts w:ascii="Segoe UI Light" w:hAnsi="Segoe UI Light" w:cs="Segoe UI Light"/>
          <w:i/>
          <w:sz w:val="16"/>
          <w:szCs w:val="20"/>
        </w:rPr>
      </w:pPr>
      <w:r w:rsidRPr="004A62C0">
        <w:rPr>
          <w:rFonts w:ascii="Segoe UI Light" w:hAnsi="Segoe UI Light" w:cs="Segoe UI Light"/>
          <w:b/>
          <w:sz w:val="18"/>
          <w:szCs w:val="20"/>
        </w:rPr>
        <w:t>Nodarbināto sadalījums pa bruto algu grupām</w:t>
      </w:r>
      <w:r w:rsidRPr="004A62C0">
        <w:rPr>
          <w:rFonts w:ascii="Segoe UI Light" w:hAnsi="Segoe UI Light" w:cs="Segoe UI Light"/>
          <w:b/>
          <w:sz w:val="18"/>
          <w:szCs w:val="20"/>
        </w:rPr>
        <w:br/>
      </w:r>
      <w:r w:rsidRPr="004A62C0">
        <w:rPr>
          <w:rFonts w:ascii="Segoe UI Light" w:hAnsi="Segoe UI Light" w:cs="Segoe UI Light"/>
          <w:i/>
          <w:sz w:val="16"/>
          <w:szCs w:val="20"/>
        </w:rPr>
        <w:t>īpatsvars procentos no kopējā nodarbināto skaita</w:t>
      </w:r>
    </w:p>
    <w:p w14:paraId="5120C192" w14:textId="77777777" w:rsidR="00AA2E25" w:rsidRPr="003B4CDA" w:rsidRDefault="00AA2E25" w:rsidP="00867A48">
      <w:pPr>
        <w:spacing w:after="120"/>
        <w:jc w:val="center"/>
        <w:rPr>
          <w:rFonts w:cs="Segoe UI"/>
          <w:color w:val="244061"/>
        </w:rPr>
      </w:pPr>
      <w:r w:rsidRPr="003B4CDA">
        <w:rPr>
          <w:rFonts w:cs="Arial"/>
          <w:noProof/>
          <w:szCs w:val="20"/>
          <w:lang w:eastAsia="lv-LV"/>
        </w:rPr>
        <w:drawing>
          <wp:inline distT="0" distB="0" distL="0" distR="0" wp14:anchorId="7D4C99ED" wp14:editId="75077E00">
            <wp:extent cx="5760000" cy="2160000"/>
            <wp:effectExtent l="0" t="0" r="0" b="0"/>
            <wp:docPr id="383" name="Chart 383">
              <a:extLst xmlns:a="http://schemas.openxmlformats.org/drawingml/2006/main">
                <a:ext uri="{FF2B5EF4-FFF2-40B4-BE49-F238E27FC236}">
                  <a16:creationId xmlns:a16="http://schemas.microsoft.com/office/drawing/2014/main" id="{F06C296D-0B15-4E9B-BB2C-F92E81CA27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0AEE390" w14:textId="77777777" w:rsidR="00AA2E25" w:rsidRPr="00D742BC" w:rsidRDefault="00AA2E25" w:rsidP="00867A48">
      <w:pPr>
        <w:spacing w:after="120"/>
        <w:ind w:right="-1"/>
        <w:jc w:val="both"/>
        <w:rPr>
          <w:sz w:val="16"/>
          <w:szCs w:val="16"/>
        </w:rPr>
      </w:pPr>
      <w:r w:rsidRPr="00D742BC">
        <w:rPr>
          <w:sz w:val="16"/>
          <w:szCs w:val="16"/>
        </w:rPr>
        <w:t>Avots: CSP</w:t>
      </w:r>
    </w:p>
    <w:p w14:paraId="4705F8E9" w14:textId="77777777" w:rsidR="00D742BC" w:rsidRDefault="00D742BC" w:rsidP="00867A48">
      <w:pPr>
        <w:spacing w:after="120"/>
        <w:ind w:right="-1"/>
        <w:jc w:val="both"/>
      </w:pPr>
    </w:p>
    <w:p w14:paraId="0D44B0A1" w14:textId="561211E5" w:rsidR="00AA2E25" w:rsidRDefault="00AA2E25" w:rsidP="00867A48">
      <w:pPr>
        <w:spacing w:after="120"/>
        <w:ind w:right="-1"/>
        <w:jc w:val="both"/>
      </w:pPr>
      <w:r>
        <w:lastRenderedPageBreak/>
        <w:t xml:space="preserve">Vislielākā bruto darba samaksa joprojām ir finanšu un apdrošināšanas darbību jomā – 2678 </w:t>
      </w:r>
      <w:r w:rsidR="00CF7B9C" w:rsidRPr="00CF7B9C">
        <w:rPr>
          <w:rFonts w:cs="Calibri Light"/>
          <w:szCs w:val="20"/>
        </w:rPr>
        <w:t>EUR</w:t>
      </w:r>
      <w:r>
        <w:t>, kas ir gandrīz divas reizes lielāka nekā vidēji tautsaimniecībā. Tajā pašā laikā mazākā darba samaksa 2023.</w:t>
      </w:r>
      <w:r w:rsidR="0080669C">
        <w:t>gad</w:t>
      </w:r>
      <w:r>
        <w:t xml:space="preserve">ā bija izmitināšanas un ēdināšanas pakalpojumu jomā – 993 </w:t>
      </w:r>
      <w:r w:rsidR="00CF7B9C" w:rsidRPr="00CF7B9C">
        <w:rPr>
          <w:rFonts w:cs="Calibri Light"/>
          <w:szCs w:val="20"/>
        </w:rPr>
        <w:t>EUR</w:t>
      </w:r>
      <w:r>
        <w:t>.</w:t>
      </w:r>
      <w:bookmarkStart w:id="18" w:name="_Hlk36108546"/>
    </w:p>
    <w:p w14:paraId="1F38DA5F" w14:textId="2BE3E830" w:rsidR="00AA2E25" w:rsidRPr="003B4CDA" w:rsidRDefault="00AA2E25" w:rsidP="00867A48">
      <w:pPr>
        <w:spacing w:after="120"/>
        <w:jc w:val="right"/>
        <w:rPr>
          <w:szCs w:val="20"/>
        </w:rPr>
      </w:pPr>
      <w:r w:rsidRPr="003B4CDA">
        <w:rPr>
          <w:szCs w:val="20"/>
        </w:rPr>
        <w:t>1.1</w:t>
      </w:r>
      <w:r>
        <w:rPr>
          <w:szCs w:val="20"/>
        </w:rPr>
        <w:t>2</w:t>
      </w:r>
      <w:r w:rsidRPr="003B4CDA">
        <w:rPr>
          <w:szCs w:val="20"/>
        </w:rPr>
        <w:t>. attēls</w:t>
      </w:r>
    </w:p>
    <w:p w14:paraId="631E341C" w14:textId="552BCF40" w:rsidR="00AA2E25" w:rsidRPr="004A62C0" w:rsidRDefault="00AA2E25" w:rsidP="00867A48">
      <w:pPr>
        <w:spacing w:after="120"/>
        <w:ind w:right="-766"/>
        <w:jc w:val="center"/>
        <w:rPr>
          <w:rFonts w:ascii="Segoe UI Light" w:hAnsi="Segoe UI Light" w:cs="Segoe UI Light"/>
          <w:i/>
          <w:sz w:val="16"/>
          <w:szCs w:val="20"/>
        </w:rPr>
      </w:pPr>
      <w:r w:rsidRPr="004A62C0">
        <w:rPr>
          <w:rFonts w:ascii="Segoe UI Light" w:hAnsi="Segoe UI Light" w:cs="Segoe UI Light"/>
          <w:b/>
          <w:sz w:val="18"/>
          <w:szCs w:val="20"/>
        </w:rPr>
        <w:t>Bruto darba samaksas izmaiņas pa nozarēm</w:t>
      </w:r>
      <w:r w:rsidRPr="004A62C0">
        <w:rPr>
          <w:rFonts w:ascii="Segoe UI Light" w:hAnsi="Segoe UI Light" w:cs="Segoe UI Light"/>
          <w:b/>
          <w:sz w:val="18"/>
          <w:szCs w:val="20"/>
        </w:rPr>
        <w:br/>
      </w:r>
      <w:r w:rsidRPr="004A62C0">
        <w:rPr>
          <w:rFonts w:ascii="Segoe UI Light" w:hAnsi="Segoe UI Light" w:cs="Segoe UI Light"/>
          <w:i/>
          <w:sz w:val="16"/>
          <w:szCs w:val="20"/>
        </w:rPr>
        <w:t>202</w:t>
      </w:r>
      <w:r>
        <w:rPr>
          <w:rFonts w:ascii="Segoe UI Light" w:hAnsi="Segoe UI Light" w:cs="Segoe UI Light"/>
          <w:i/>
          <w:sz w:val="16"/>
          <w:szCs w:val="20"/>
        </w:rPr>
        <w:t>3</w:t>
      </w:r>
      <w:r w:rsidRPr="004A62C0">
        <w:rPr>
          <w:rFonts w:ascii="Segoe UI Light" w:hAnsi="Segoe UI Light" w:cs="Segoe UI Light"/>
          <w:i/>
          <w:sz w:val="16"/>
          <w:szCs w:val="20"/>
        </w:rPr>
        <w:t>.</w:t>
      </w:r>
      <w:r w:rsidR="0080669C">
        <w:rPr>
          <w:rFonts w:ascii="Segoe UI Light" w:hAnsi="Segoe UI Light" w:cs="Segoe UI Light"/>
          <w:i/>
          <w:sz w:val="16"/>
          <w:szCs w:val="20"/>
        </w:rPr>
        <w:t>gad</w:t>
      </w:r>
      <w:r w:rsidRPr="004A62C0">
        <w:rPr>
          <w:rFonts w:ascii="Segoe UI Light" w:hAnsi="Segoe UI Light" w:cs="Segoe UI Light"/>
          <w:i/>
          <w:sz w:val="16"/>
          <w:szCs w:val="20"/>
        </w:rPr>
        <w:t>s pret 202</w:t>
      </w:r>
      <w:r>
        <w:rPr>
          <w:rFonts w:ascii="Segoe UI Light" w:hAnsi="Segoe UI Light" w:cs="Segoe UI Light"/>
          <w:i/>
          <w:sz w:val="16"/>
          <w:szCs w:val="20"/>
        </w:rPr>
        <w:t>2</w:t>
      </w:r>
      <w:r w:rsidRPr="004A62C0">
        <w:rPr>
          <w:rFonts w:ascii="Segoe UI Light" w:hAnsi="Segoe UI Light" w:cs="Segoe UI Light"/>
          <w:i/>
          <w:sz w:val="16"/>
          <w:szCs w:val="20"/>
        </w:rPr>
        <w:t>.</w:t>
      </w:r>
      <w:r w:rsidR="0080669C">
        <w:rPr>
          <w:rFonts w:ascii="Segoe UI Light" w:hAnsi="Segoe UI Light" w:cs="Segoe UI Light"/>
          <w:i/>
          <w:sz w:val="16"/>
          <w:szCs w:val="20"/>
        </w:rPr>
        <w:t>gad</w:t>
      </w:r>
      <w:r w:rsidRPr="004A62C0">
        <w:rPr>
          <w:rFonts w:ascii="Segoe UI Light" w:hAnsi="Segoe UI Light" w:cs="Segoe UI Light"/>
          <w:i/>
          <w:sz w:val="16"/>
          <w:szCs w:val="20"/>
        </w:rPr>
        <w:t>u, procentos</w:t>
      </w:r>
    </w:p>
    <w:p w14:paraId="11034465" w14:textId="55478EAE" w:rsidR="004E1BF8" w:rsidRPr="004E1BF8" w:rsidRDefault="004E1BF8" w:rsidP="00867A48">
      <w:pPr>
        <w:spacing w:after="120"/>
        <w:ind w:right="-766"/>
        <w:rPr>
          <w:rFonts w:ascii="Candara" w:hAnsi="Candara" w:cs="Segoe UI"/>
        </w:rPr>
      </w:pPr>
      <w:r w:rsidRPr="004E1BF8">
        <w:rPr>
          <w:iCs/>
          <w:noProof/>
          <w:lang w:eastAsia="lv-LV"/>
        </w:rPr>
        <w:drawing>
          <wp:inline distT="0" distB="0" distL="0" distR="0" wp14:anchorId="4563A31E" wp14:editId="148C78C6">
            <wp:extent cx="5760000" cy="3599815"/>
            <wp:effectExtent l="0" t="0" r="0" b="635"/>
            <wp:docPr id="386" name="Chart 3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bookmarkEnd w:id="18"/>
    <w:p w14:paraId="0C7F1499" w14:textId="77777777" w:rsidR="00AA2E25" w:rsidRPr="004E1BF8" w:rsidRDefault="00AA2E25" w:rsidP="00867A48">
      <w:pPr>
        <w:spacing w:after="120"/>
        <w:jc w:val="both"/>
        <w:rPr>
          <w:sz w:val="16"/>
          <w:szCs w:val="16"/>
        </w:rPr>
      </w:pPr>
      <w:r w:rsidRPr="004E1BF8">
        <w:rPr>
          <w:sz w:val="16"/>
          <w:szCs w:val="16"/>
        </w:rPr>
        <w:t>Avots: CSP</w:t>
      </w:r>
    </w:p>
    <w:p w14:paraId="761B09DF" w14:textId="77777777" w:rsidR="00867A48" w:rsidRDefault="00867A48" w:rsidP="00867A48">
      <w:pPr>
        <w:spacing w:after="120"/>
        <w:jc w:val="both"/>
        <w:rPr>
          <w:highlight w:val="yellow"/>
        </w:rPr>
      </w:pPr>
    </w:p>
    <w:p w14:paraId="0245F240" w14:textId="13322627" w:rsidR="00AA2E25" w:rsidRDefault="00AA2E25" w:rsidP="00867A48">
      <w:pPr>
        <w:spacing w:after="120"/>
        <w:jc w:val="both"/>
      </w:pPr>
      <w:r w:rsidRPr="00580563">
        <w:t>202</w:t>
      </w:r>
      <w:r w:rsidR="00A91133" w:rsidRPr="00580563">
        <w:t>3</w:t>
      </w:r>
      <w:r w:rsidRPr="00580563">
        <w:t>.</w:t>
      </w:r>
      <w:r w:rsidR="00A91133" w:rsidRPr="00580563">
        <w:t xml:space="preserve"> </w:t>
      </w:r>
      <w:r w:rsidR="0080669C" w:rsidRPr="00580563">
        <w:t>gad</w:t>
      </w:r>
      <w:r w:rsidRPr="00580563">
        <w:t>ā, salīdzinot ar 202</w:t>
      </w:r>
      <w:r w:rsidR="00A91133" w:rsidRPr="00580563">
        <w:t>2</w:t>
      </w:r>
      <w:r w:rsidRPr="00580563">
        <w:t>.</w:t>
      </w:r>
      <w:r w:rsidR="00A91133" w:rsidRPr="00580563">
        <w:t xml:space="preserve"> </w:t>
      </w:r>
      <w:r w:rsidR="0080669C" w:rsidRPr="00580563">
        <w:t>gad</w:t>
      </w:r>
      <w:r w:rsidRPr="00580563">
        <w:t xml:space="preserve">u, vidējā bruto darba samaksa </w:t>
      </w:r>
      <w:r w:rsidR="000918C0" w:rsidRPr="00580563">
        <w:t>veselības</w:t>
      </w:r>
      <w:r w:rsidR="00A91133" w:rsidRPr="00580563">
        <w:t xml:space="preserve"> un </w:t>
      </w:r>
      <w:r w:rsidR="000918C0" w:rsidRPr="00580563">
        <w:t>sociālās aprūpes un administratīvo un apkalpojošo dienestu darbībā</w:t>
      </w:r>
      <w:r w:rsidRPr="00580563">
        <w:t xml:space="preserve"> pieauga par </w:t>
      </w:r>
      <w:r w:rsidR="000918C0" w:rsidRPr="00580563">
        <w:t xml:space="preserve">attiecīgi </w:t>
      </w:r>
      <w:r w:rsidRPr="00580563">
        <w:t>3</w:t>
      </w:r>
      <w:r w:rsidR="000918C0" w:rsidRPr="00580563">
        <w:t>,9% un 6,7</w:t>
      </w:r>
      <w:r w:rsidR="0080669C" w:rsidRPr="00580563">
        <w:t>%</w:t>
      </w:r>
      <w:r w:rsidRPr="00580563">
        <w:t xml:space="preserve">, kas, ņemot vērā straujo darba samaksas pieaugumu, ir </w:t>
      </w:r>
      <w:r w:rsidR="000918C0" w:rsidRPr="00580563">
        <w:t xml:space="preserve">krietni </w:t>
      </w:r>
      <w:r w:rsidRPr="00580563">
        <w:t>zem vidējā algas pieauguma valstī.</w:t>
      </w:r>
      <w:r>
        <w:t xml:space="preserve"> </w:t>
      </w:r>
      <w:r w:rsidR="000918C0">
        <w:t xml:space="preserve"> Visstraujākais bruto darba samaksas kāpums bija vērojams </w:t>
      </w:r>
      <w:r w:rsidR="00580563">
        <w:t>lauksaimniecībā, mežsaimniecībā un zivsaimniecībā, kā arī elektroenerģijas, gāzes apgādes, siltumapgādes nozarē.</w:t>
      </w:r>
    </w:p>
    <w:p w14:paraId="0EF105AB" w14:textId="77777777" w:rsidR="004A7152" w:rsidRDefault="004A7152" w:rsidP="004A7152">
      <w:pPr>
        <w:spacing w:after="120"/>
        <w:jc w:val="both"/>
      </w:pPr>
      <w:r>
        <w:t xml:space="preserve">2024.gada sākumā, salīdzinot ar attiecīgo periodu iepriekšējā gadā, darba samaksa strauji auga arī profesiju griezumā. Darba samaksa ir augusi visās profesiju </w:t>
      </w:r>
      <w:proofErr w:type="spellStart"/>
      <w:r>
        <w:t>pamatgrupās</w:t>
      </w:r>
      <w:proofErr w:type="spellEnd"/>
      <w:r>
        <w:t xml:space="preserve">. Visstraujākais darba samaksas pieaugums vērojams NBS profesijās – par 50,1%. Strauji darba samaksa pieauga arī vecāko speciālistu (26,5%), vadītāju (26%) un speciālistu (24,3%) profesiju </w:t>
      </w:r>
      <w:proofErr w:type="spellStart"/>
      <w:r>
        <w:t>pamatgrupās</w:t>
      </w:r>
      <w:proofErr w:type="spellEnd"/>
      <w:r>
        <w:t xml:space="preserve">. Augsts darba samaksas pieaugums bija vērojams arī pārējās profesiju </w:t>
      </w:r>
      <w:proofErr w:type="spellStart"/>
      <w:r>
        <w:t>pamatgrupās</w:t>
      </w:r>
      <w:proofErr w:type="spellEnd"/>
      <w:r>
        <w:t xml:space="preserve"> (aptuveni 20% pieaugums).</w:t>
      </w:r>
    </w:p>
    <w:p w14:paraId="05EE6ACE" w14:textId="1D5C1CD6" w:rsidR="004A7152" w:rsidRDefault="004A7152" w:rsidP="004A7152">
      <w:pPr>
        <w:spacing w:after="120"/>
        <w:jc w:val="both"/>
      </w:pPr>
      <w:r>
        <w:t>Darbaspēka izmaksas ir nozīmīgs konkurētspējas faktors, tāpēc darba samaksas pieaugumam ir jābūt sabalansētam ar produktivitātes kāpumu. Pēc produktivitātes pieauguma tempiem Latvija ieņem vienu no līderpozīcijām ES dalībvalstīs, tomēr darbaspēka izmaksas ir augušas straujāk nekā produktivitāte, tādējādi vājinot Latvijas uzņēmēju konkurētspēju izmaksu jomā. Par izmaksu konkurētspējas mazināšanās risku kāpumu liecina arī nominālās darbaspēka vienības izmaksu (ULC) pieaugums.</w:t>
      </w:r>
    </w:p>
    <w:p w14:paraId="4881FC36" w14:textId="29FD1A05" w:rsidR="004A7152" w:rsidRDefault="004A7152" w:rsidP="004A7152">
      <w:pPr>
        <w:spacing w:after="120"/>
        <w:jc w:val="both"/>
      </w:pPr>
      <w:r w:rsidRPr="004A7152">
        <w:t>Ilgtermiņa skatījumā produktivitātes pieauguma tempiem ir tendence sarukt, kamēr darbaspēka izmaksu pieauguma tempi saglabājās noturīgi augsti. Straujāks produktivitātes pieaugums bija vērojams līdz 2008.gadam, it īpaši pēc Latvijas pievienošanās ES, kas kļuva par nozīmīgu stimulu ārvalstu investīciju ieplūdei. Laika periodā no 1996. līdz 2007.gadam paātrinājās arī konverģences process – produktivitātes plaisa ar ES-15 valstīm samazinājās par gandrīz 26 procentpunktiem.</w:t>
      </w:r>
    </w:p>
    <w:p w14:paraId="6DDC07E8" w14:textId="2D28442C" w:rsidR="004A7152" w:rsidRDefault="004A7152">
      <w:pPr>
        <w:spacing w:after="0"/>
      </w:pPr>
      <w:r>
        <w:br w:type="page"/>
      </w:r>
    </w:p>
    <w:p w14:paraId="506B2B5C" w14:textId="77777777" w:rsidR="00AA2E25" w:rsidRPr="003B4CDA" w:rsidRDefault="00AA2E25" w:rsidP="00867A48">
      <w:pPr>
        <w:spacing w:after="120"/>
        <w:jc w:val="right"/>
        <w:rPr>
          <w:szCs w:val="20"/>
        </w:rPr>
      </w:pPr>
      <w:r w:rsidRPr="003B4CDA">
        <w:rPr>
          <w:szCs w:val="20"/>
        </w:rPr>
        <w:lastRenderedPageBreak/>
        <w:t>1.1</w:t>
      </w:r>
      <w:r>
        <w:rPr>
          <w:szCs w:val="20"/>
        </w:rPr>
        <w:t>3</w:t>
      </w:r>
      <w:r w:rsidRPr="003B4CDA">
        <w:rPr>
          <w:szCs w:val="20"/>
        </w:rPr>
        <w:t>. attēls</w:t>
      </w:r>
    </w:p>
    <w:p w14:paraId="3A6B4569" w14:textId="77777777" w:rsidR="00AA2E25" w:rsidRPr="004A62C0" w:rsidRDefault="00AA2E25" w:rsidP="00867A48">
      <w:pPr>
        <w:spacing w:after="120"/>
        <w:ind w:right="-766"/>
        <w:jc w:val="center"/>
      </w:pPr>
      <w:r w:rsidRPr="69EB23FD">
        <w:rPr>
          <w:rFonts w:ascii="Segoe UI Light" w:hAnsi="Segoe UI Light" w:cs="Segoe UI Light"/>
          <w:b/>
          <w:bCs/>
          <w:sz w:val="18"/>
          <w:szCs w:val="18"/>
        </w:rPr>
        <w:t>Vidējā bruto darba samaksa un tās izmaiņas pa profesijām</w:t>
      </w:r>
      <w:r w:rsidRPr="69EB23FD">
        <w:rPr>
          <w:rFonts w:ascii="Segoe UI Light" w:hAnsi="Segoe UI Light" w:cs="Segoe UI Light"/>
          <w:b/>
          <w:bCs/>
          <w:sz w:val="14"/>
          <w:szCs w:val="14"/>
        </w:rPr>
        <w:t>*</w:t>
      </w:r>
    </w:p>
    <w:p w14:paraId="4052A795" w14:textId="77777777" w:rsidR="00AA2E25" w:rsidRDefault="00AA2E25" w:rsidP="00867A48">
      <w:pPr>
        <w:spacing w:after="120"/>
        <w:ind w:right="-1"/>
      </w:pPr>
      <w:r>
        <w:rPr>
          <w:i/>
          <w:noProof/>
          <w:szCs w:val="20"/>
        </w:rPr>
        <w:drawing>
          <wp:inline distT="0" distB="0" distL="0" distR="0" wp14:anchorId="5BB61866" wp14:editId="10FC69E0">
            <wp:extent cx="5760000" cy="2880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DF3E22F" w14:textId="77777777" w:rsidR="00AA2E25" w:rsidRPr="004E1BF8" w:rsidRDefault="00AA2E25" w:rsidP="00867A48">
      <w:pPr>
        <w:spacing w:after="120"/>
        <w:ind w:right="-1"/>
        <w:rPr>
          <w:rFonts w:eastAsia="Calibri Light" w:cs="Calibri Light"/>
          <w:sz w:val="16"/>
          <w:szCs w:val="16"/>
        </w:rPr>
      </w:pPr>
      <w:r w:rsidRPr="004E1BF8">
        <w:rPr>
          <w:sz w:val="16"/>
          <w:szCs w:val="16"/>
        </w:rPr>
        <w:t>Avots: Valsts ieņēmumu dienests</w:t>
      </w:r>
      <w:r w:rsidRPr="004E1BF8">
        <w:rPr>
          <w:sz w:val="16"/>
          <w:szCs w:val="16"/>
        </w:rPr>
        <w:br/>
      </w:r>
      <w:r w:rsidRPr="004E1BF8">
        <w:rPr>
          <w:rFonts w:eastAsia="Calibri Light" w:cs="Calibri Light"/>
          <w:sz w:val="16"/>
          <w:szCs w:val="16"/>
        </w:rPr>
        <w:t>* Vidējā bruto darba samaksa aprēķināta pēc pilnas slodzes ekvivalenta (160 stundu noslodze mēnesī)</w:t>
      </w:r>
    </w:p>
    <w:p w14:paraId="5DF5F6D1" w14:textId="77777777" w:rsidR="000A4643" w:rsidRDefault="000A4643" w:rsidP="00867A48">
      <w:pPr>
        <w:spacing w:after="120"/>
        <w:ind w:right="-1"/>
        <w:jc w:val="both"/>
      </w:pPr>
    </w:p>
    <w:p w14:paraId="5AFBB38D" w14:textId="3E765DB6" w:rsidR="00AA2E25" w:rsidRPr="00AA70D8" w:rsidRDefault="00AA2E25" w:rsidP="00867A48">
      <w:pPr>
        <w:spacing w:after="120"/>
        <w:ind w:right="-1"/>
        <w:jc w:val="both"/>
      </w:pPr>
      <w:r w:rsidRPr="00AA70D8">
        <w:t>Globālā finanšu krīze ietekmēja ne tikai ekonomisko aktivitāšu samazinājumu, bet arī produktivitātes dinamiku. Ekonomikas recesijas</w:t>
      </w:r>
      <w:r w:rsidR="004E1BF8">
        <w:t xml:space="preserve"> </w:t>
      </w:r>
      <w:r w:rsidR="0080669C">
        <w:t>gad</w:t>
      </w:r>
      <w:r w:rsidRPr="00AA70D8">
        <w:t>os (2008.-2010.</w:t>
      </w:r>
      <w:r w:rsidR="0080669C">
        <w:t>gad</w:t>
      </w:r>
      <w:r w:rsidRPr="00AA70D8">
        <w:t>ā) tā samazinājās par gandrīz 3</w:t>
      </w:r>
      <w:r w:rsidR="0080669C">
        <w:t>%</w:t>
      </w:r>
      <w:r w:rsidRPr="00AA70D8">
        <w:t xml:space="preserve"> kas bija visai mērens, salīdzinājumā ar IKP apjoma kritumu (par 17,4</w:t>
      </w:r>
      <w:r w:rsidR="0080669C">
        <w:t>%</w:t>
      </w:r>
      <w:r w:rsidRPr="00AA70D8">
        <w:t>). Galvenokārt to noteica darba tirgus ātrā pielāgošanās ekonomisko aktivitāšu kritumam. Darba dēvēji optimizējot resursu piesaisti, uzņēmēji samazināja darbaspēka pieprasījumu, un nodarbināto skaits saruka gandrīz par 15</w:t>
      </w:r>
      <w:r w:rsidR="0080669C">
        <w:t>%</w:t>
      </w:r>
      <w:r w:rsidRPr="00AA70D8">
        <w:t>, kas daļēji kompensēja produktivitātes kritumu.</w:t>
      </w:r>
    </w:p>
    <w:p w14:paraId="05241818" w14:textId="54C4AAF5" w:rsidR="00AA2E25" w:rsidRPr="00AA70D8" w:rsidRDefault="00AA2E25" w:rsidP="00867A48">
      <w:pPr>
        <w:spacing w:after="120"/>
        <w:ind w:right="-1"/>
        <w:jc w:val="both"/>
      </w:pPr>
      <w:r w:rsidRPr="00AA70D8">
        <w:t>Globālā finanšu krīze ir vājinājusi Latvijas ražošanas kapacitāti, kas atspoguļojās mērenā produktivitātes dinamikā. Laika periodā no 2012. līdz 2019.</w:t>
      </w:r>
      <w:r w:rsidR="0080669C">
        <w:t>gad</w:t>
      </w:r>
      <w:r w:rsidRPr="00AA70D8">
        <w:t>am produktivitāte ik</w:t>
      </w:r>
      <w:r w:rsidR="004E1BF8">
        <w:t xml:space="preserve"> </w:t>
      </w:r>
      <w:r w:rsidR="0080669C">
        <w:t>gad</w:t>
      </w:r>
      <w:r w:rsidRPr="00AA70D8">
        <w:t>u vidēji pieauga par 2,5</w:t>
      </w:r>
      <w:r w:rsidR="0080669C">
        <w:t>%</w:t>
      </w:r>
      <w:r w:rsidRPr="00AA70D8">
        <w:t>, t.i. gandrīz divas reizes lēnāk nekā pirms krīzes. Finanšu krīze ir pasliktinājusi kredītu pieejamību, kavējot darbaspēka un kapitāla transformāciju uz zinātnesietilpīgām darbībām.</w:t>
      </w:r>
    </w:p>
    <w:p w14:paraId="54BD0B76" w14:textId="17DF50BF" w:rsidR="00AA2E25" w:rsidRDefault="00AA2E25" w:rsidP="00867A48">
      <w:pPr>
        <w:spacing w:after="120"/>
        <w:ind w:right="-1"/>
        <w:jc w:val="both"/>
        <w:rPr>
          <w:szCs w:val="20"/>
        </w:rPr>
      </w:pPr>
      <w:r w:rsidRPr="00E5080C">
        <w:rPr>
          <w:szCs w:val="20"/>
        </w:rPr>
        <w:t>Produktivitātes dinamika pēdējos</w:t>
      </w:r>
      <w:r w:rsidR="004E1BF8">
        <w:rPr>
          <w:szCs w:val="20"/>
        </w:rPr>
        <w:t xml:space="preserve"> </w:t>
      </w:r>
      <w:r w:rsidR="0080669C">
        <w:rPr>
          <w:szCs w:val="20"/>
        </w:rPr>
        <w:t>gad</w:t>
      </w:r>
      <w:r w:rsidRPr="00E5080C">
        <w:rPr>
          <w:szCs w:val="20"/>
        </w:rPr>
        <w:t>os ir svārstīga. To nosaka korekcijas produktu un darba tirgos, reaģējot uz ārējiem satricinājumiem</w:t>
      </w:r>
      <w:r>
        <w:rPr>
          <w:szCs w:val="20"/>
        </w:rPr>
        <w:t>.</w:t>
      </w:r>
    </w:p>
    <w:p w14:paraId="736D974A" w14:textId="77777777" w:rsidR="00AA2E25" w:rsidRPr="00006814" w:rsidRDefault="00AA2E25" w:rsidP="00867A48">
      <w:pPr>
        <w:spacing w:after="120"/>
        <w:ind w:right="-1"/>
        <w:jc w:val="right"/>
        <w:rPr>
          <w:rFonts w:cs="Calibri Light"/>
          <w:szCs w:val="20"/>
        </w:rPr>
      </w:pPr>
      <w:r w:rsidRPr="00006814">
        <w:rPr>
          <w:rFonts w:cs="Calibri Light"/>
          <w:szCs w:val="20"/>
        </w:rPr>
        <w:t>1.14. attēls</w:t>
      </w:r>
    </w:p>
    <w:tbl>
      <w:tblPr>
        <w:tblW w:w="9292" w:type="dxa"/>
        <w:jc w:val="center"/>
        <w:shd w:val="clear" w:color="auto" w:fill="FFFFFF"/>
        <w:tblLook w:val="0420" w:firstRow="1" w:lastRow="0" w:firstColumn="0" w:lastColumn="0" w:noHBand="0" w:noVBand="1"/>
      </w:tblPr>
      <w:tblGrid>
        <w:gridCol w:w="4646"/>
        <w:gridCol w:w="4646"/>
      </w:tblGrid>
      <w:tr w:rsidR="00AA2E25" w:rsidRPr="00006814" w14:paraId="2D8C340E" w14:textId="77777777" w:rsidTr="00D81510">
        <w:trPr>
          <w:trHeight w:val="17"/>
          <w:jc w:val="center"/>
        </w:trPr>
        <w:tc>
          <w:tcPr>
            <w:tcW w:w="4646" w:type="dxa"/>
            <w:shd w:val="clear" w:color="auto" w:fill="FFFFFF"/>
            <w:vAlign w:val="center"/>
            <w:hideMark/>
          </w:tcPr>
          <w:p w14:paraId="4E51E187" w14:textId="77777777" w:rsidR="00AA2E25" w:rsidRPr="00006814" w:rsidRDefault="00AA2E25" w:rsidP="00867A48">
            <w:pPr>
              <w:spacing w:after="120"/>
              <w:jc w:val="center"/>
              <w:rPr>
                <w:rFonts w:ascii="Segoe UI Light" w:hAnsi="Segoe UI Light" w:cs="Segoe UI Light"/>
                <w:b/>
                <w:bCs/>
                <w:sz w:val="16"/>
                <w:szCs w:val="18"/>
              </w:rPr>
            </w:pPr>
            <w:r w:rsidRPr="00006814">
              <w:rPr>
                <w:rFonts w:ascii="Segoe UI Light" w:hAnsi="Segoe UI Light" w:cs="Segoe UI Light"/>
                <w:b/>
                <w:bCs/>
                <w:sz w:val="18"/>
                <w:szCs w:val="18"/>
              </w:rPr>
              <w:t>Produktivitāte Latvijā un ES</w:t>
            </w:r>
          </w:p>
        </w:tc>
        <w:tc>
          <w:tcPr>
            <w:tcW w:w="4646" w:type="dxa"/>
            <w:shd w:val="clear" w:color="auto" w:fill="FFFFFF"/>
            <w:vAlign w:val="center"/>
            <w:hideMark/>
          </w:tcPr>
          <w:p w14:paraId="3645C465" w14:textId="77777777" w:rsidR="00AA2E25" w:rsidRPr="00006814" w:rsidRDefault="00AA2E25" w:rsidP="00867A48">
            <w:pPr>
              <w:spacing w:after="120"/>
              <w:jc w:val="center"/>
              <w:rPr>
                <w:rFonts w:ascii="Segoe UI Light" w:hAnsi="Segoe UI Light" w:cs="Segoe UI Light"/>
                <w:b/>
                <w:bCs/>
                <w:i/>
                <w:sz w:val="16"/>
                <w:szCs w:val="18"/>
              </w:rPr>
            </w:pPr>
            <w:r w:rsidRPr="00006814">
              <w:rPr>
                <w:rFonts w:ascii="Segoe UI Light" w:hAnsi="Segoe UI Light" w:cs="Segoe UI Light"/>
                <w:b/>
                <w:bCs/>
                <w:sz w:val="18"/>
                <w:szCs w:val="18"/>
              </w:rPr>
              <w:t>Produktivitātes dinamika Latvijā</w:t>
            </w:r>
            <w:r w:rsidRPr="00006814">
              <w:rPr>
                <w:rFonts w:ascii="Segoe UI Light" w:hAnsi="Segoe UI Light" w:cs="Segoe UI Light"/>
                <w:b/>
                <w:bCs/>
                <w:sz w:val="18"/>
                <w:szCs w:val="18"/>
              </w:rPr>
              <w:br/>
            </w:r>
            <w:r w:rsidRPr="00006814">
              <w:rPr>
                <w:rFonts w:ascii="Segoe UI Light" w:hAnsi="Segoe UI Light" w:cs="Segoe UI Light"/>
                <w:i/>
                <w:sz w:val="16"/>
                <w:szCs w:val="18"/>
              </w:rPr>
              <w:t>gada vidējie pieauguma tempi, procentos</w:t>
            </w:r>
          </w:p>
        </w:tc>
      </w:tr>
    </w:tbl>
    <w:p w14:paraId="76B5BCFF" w14:textId="77777777" w:rsidR="00AA2E25" w:rsidRPr="00006814" w:rsidRDefault="00AA2E25" w:rsidP="00867A48">
      <w:pPr>
        <w:spacing w:after="120"/>
        <w:jc w:val="center"/>
        <w:rPr>
          <w:rFonts w:cs="Calibri Light"/>
          <w:sz w:val="18"/>
          <w:szCs w:val="18"/>
        </w:rPr>
      </w:pPr>
      <w:r w:rsidRPr="00006814">
        <w:rPr>
          <w:rFonts w:cs="Calibri Light"/>
          <w:noProof/>
          <w:sz w:val="18"/>
          <w:szCs w:val="18"/>
          <w:lang w:eastAsia="lv-LV"/>
        </w:rPr>
        <w:drawing>
          <wp:inline distT="0" distB="0" distL="0" distR="0" wp14:anchorId="7D23FDD7" wp14:editId="6443C6D3">
            <wp:extent cx="2844000" cy="2159635"/>
            <wp:effectExtent l="0" t="0" r="0" b="0"/>
            <wp:docPr id="79" name="Chart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06814">
        <w:rPr>
          <w:rFonts w:cs="Calibri Light"/>
          <w:noProof/>
        </w:rPr>
        <w:drawing>
          <wp:inline distT="0" distB="0" distL="0" distR="0" wp14:anchorId="461D2E3D" wp14:editId="5AFCF998">
            <wp:extent cx="2838450" cy="2159635"/>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5208084" w14:textId="77777777" w:rsidR="00AA2E25" w:rsidRPr="004E1BF8" w:rsidRDefault="00AA2E25" w:rsidP="00867A48">
      <w:pPr>
        <w:spacing w:after="120"/>
        <w:ind w:right="-1"/>
        <w:rPr>
          <w:iCs/>
          <w:sz w:val="16"/>
          <w:szCs w:val="16"/>
        </w:rPr>
      </w:pPr>
      <w:r w:rsidRPr="004E1BF8">
        <w:rPr>
          <w:iCs/>
          <w:sz w:val="16"/>
          <w:szCs w:val="16"/>
        </w:rPr>
        <w:t xml:space="preserve">Avots: </w:t>
      </w:r>
      <w:proofErr w:type="spellStart"/>
      <w:r w:rsidRPr="00135095">
        <w:rPr>
          <w:i/>
          <w:sz w:val="16"/>
          <w:szCs w:val="16"/>
        </w:rPr>
        <w:t>Eurostat</w:t>
      </w:r>
      <w:proofErr w:type="spellEnd"/>
    </w:p>
    <w:p w14:paraId="79C5B0F6" w14:textId="77777777" w:rsidR="00C075DC" w:rsidRDefault="00C075DC" w:rsidP="00C075DC">
      <w:pPr>
        <w:spacing w:after="120"/>
        <w:jc w:val="both"/>
        <w:rPr>
          <w:rFonts w:cs="Calibri Light"/>
        </w:rPr>
      </w:pPr>
    </w:p>
    <w:p w14:paraId="1A311EDC" w14:textId="69799E95" w:rsidR="00C075DC" w:rsidRDefault="00C075DC" w:rsidP="00C075DC">
      <w:pPr>
        <w:spacing w:after="120"/>
        <w:jc w:val="both"/>
        <w:rPr>
          <w:rFonts w:cs="Calibri Light"/>
        </w:rPr>
      </w:pPr>
      <w:r w:rsidRPr="009C7CB1">
        <w:rPr>
          <w:rFonts w:cs="Calibri Light"/>
        </w:rPr>
        <w:lastRenderedPageBreak/>
        <w:t>2020.</w:t>
      </w:r>
      <w:r>
        <w:rPr>
          <w:rFonts w:cs="Calibri Light"/>
        </w:rPr>
        <w:t>gad</w:t>
      </w:r>
      <w:r w:rsidRPr="009C7CB1">
        <w:rPr>
          <w:rFonts w:cs="Calibri Light"/>
        </w:rPr>
        <w:t>ā Covid-19 pandēmija ir globālā mērogā spēcīgi un paliekoši ietekmējusi ekonomisko situāciju. Tāpat kā gandrīz visās pasaules valstīs, arī Latvijā Covid-19 pandēmijas dēļ ekonomika 2020.</w:t>
      </w:r>
      <w:r>
        <w:rPr>
          <w:rFonts w:cs="Calibri Light"/>
        </w:rPr>
        <w:t>gad</w:t>
      </w:r>
      <w:r w:rsidRPr="009C7CB1">
        <w:rPr>
          <w:rFonts w:cs="Calibri Light"/>
        </w:rPr>
        <w:t>ā bija nonākusi</w:t>
      </w:r>
      <w:r w:rsidRPr="009C7CB1">
        <w:t xml:space="preserve"> recesijā. Tomēr tās ietekme uz produktivitāti ir neskaidra. Rēķinot pēc nodarbināto skaita, tā ir samazinājusies par 1,2</w:t>
      </w:r>
      <w:r>
        <w:t>%</w:t>
      </w:r>
      <w:r w:rsidRPr="009C7CB1">
        <w:t>. Savukārt, rēķinot pēc nostrādāto stundu skaita, produktivitāte ir augusi par 2,2</w:t>
      </w:r>
      <w:r>
        <w:t>%</w:t>
      </w:r>
      <w:r w:rsidRPr="009C7CB1">
        <w:t>, kas ir nedaudz zemāks rādītājs par pēdējās desmitgades tendenci. Produktivitātes rādītāju izteikti atšķirīgās svārstības Covid-19 pandēmijas pirmajā</w:t>
      </w:r>
      <w:r>
        <w:t xml:space="preserve"> gad</w:t>
      </w:r>
      <w:r w:rsidRPr="009C7CB1">
        <w:t xml:space="preserve">ā lielā mērā ietekmēja valsts atbalsts darba vietu saglabāšanai, galvenokārt subsidēto darba algu shēmu veidā, kas sekmēja </w:t>
      </w:r>
      <w:r w:rsidRPr="009C7CB1">
        <w:rPr>
          <w:szCs w:val="20"/>
        </w:rPr>
        <w:t>darba vietu saglabāšanu, samazinoties nostrādātajām stundām.</w:t>
      </w:r>
      <w:r>
        <w:rPr>
          <w:szCs w:val="20"/>
        </w:rPr>
        <w:t xml:space="preserve"> </w:t>
      </w:r>
      <w:r w:rsidRPr="003B581C">
        <w:rPr>
          <w:rFonts w:cs="Calibri Light"/>
        </w:rPr>
        <w:t>2021.</w:t>
      </w:r>
      <w:r>
        <w:rPr>
          <w:rFonts w:cs="Calibri Light"/>
        </w:rPr>
        <w:t>gad</w:t>
      </w:r>
      <w:r w:rsidRPr="003B581C">
        <w:rPr>
          <w:rFonts w:cs="Calibri Light"/>
        </w:rPr>
        <w:t>ā, mazinoties ierobežojumiem un atjaunojoties ekonomiskām aktivitātēm, produktivitāte pieauga par 9,5</w:t>
      </w:r>
      <w:r>
        <w:rPr>
          <w:rFonts w:cs="Calibri Light"/>
        </w:rPr>
        <w:t>%</w:t>
      </w:r>
      <w:r w:rsidRPr="003B581C">
        <w:rPr>
          <w:rFonts w:cs="Calibri Light"/>
        </w:rPr>
        <w:t>, kas daļēji ir skaidrojams ar zemās bāzes efektu. 2022.</w:t>
      </w:r>
      <w:r>
        <w:rPr>
          <w:rFonts w:cs="Calibri Light"/>
        </w:rPr>
        <w:t>gad</w:t>
      </w:r>
      <w:r w:rsidRPr="003B581C">
        <w:rPr>
          <w:rFonts w:cs="Calibri Light"/>
        </w:rPr>
        <w:t>ā, ģeopolitiskās situācijas pasliktināšanās</w:t>
      </w:r>
      <w:r>
        <w:rPr>
          <w:rFonts w:cs="Calibri Light"/>
        </w:rPr>
        <w:t xml:space="preserve"> dēļ</w:t>
      </w:r>
      <w:r w:rsidRPr="003B581C">
        <w:rPr>
          <w:rFonts w:cs="Calibri Light"/>
        </w:rPr>
        <w:t xml:space="preserve">, </w:t>
      </w:r>
      <w:r>
        <w:rPr>
          <w:rFonts w:cs="Calibri Light"/>
        </w:rPr>
        <w:t>produktivitāte</w:t>
      </w:r>
      <w:r w:rsidRPr="003B581C">
        <w:rPr>
          <w:rFonts w:cs="Calibri Light"/>
        </w:rPr>
        <w:t xml:space="preserve"> tikai par 0,2</w:t>
      </w:r>
      <w:r>
        <w:rPr>
          <w:rFonts w:cs="Calibri Light"/>
        </w:rPr>
        <w:t>%</w:t>
      </w:r>
      <w:r w:rsidRPr="003B581C">
        <w:rPr>
          <w:rFonts w:cs="Calibri Light"/>
        </w:rPr>
        <w:t xml:space="preserve"> pārsniedza iepriekšējā</w:t>
      </w:r>
      <w:r>
        <w:rPr>
          <w:rFonts w:cs="Calibri Light"/>
        </w:rPr>
        <w:t xml:space="preserve"> gad</w:t>
      </w:r>
      <w:r w:rsidRPr="003B581C">
        <w:rPr>
          <w:rFonts w:cs="Calibri Light"/>
        </w:rPr>
        <w:t>a līmeni. Arī 2023.</w:t>
      </w:r>
      <w:r>
        <w:rPr>
          <w:rFonts w:cs="Calibri Light"/>
        </w:rPr>
        <w:t>gad</w:t>
      </w:r>
      <w:r w:rsidRPr="003B581C">
        <w:rPr>
          <w:rFonts w:cs="Calibri Light"/>
        </w:rPr>
        <w:t>ā ekonomikas izaugsme bija vājā un produktivitāte, salīdzinot ar iepriekšējo</w:t>
      </w:r>
      <w:r>
        <w:rPr>
          <w:rFonts w:cs="Calibri Light"/>
        </w:rPr>
        <w:t xml:space="preserve"> gad</w:t>
      </w:r>
      <w:r w:rsidRPr="003B581C">
        <w:rPr>
          <w:rFonts w:cs="Calibri Light"/>
        </w:rPr>
        <w:t>u, samazinājās par 0,3</w:t>
      </w:r>
      <w:r>
        <w:rPr>
          <w:rFonts w:cs="Calibri Light"/>
        </w:rPr>
        <w:t>%</w:t>
      </w:r>
      <w:r w:rsidRPr="003B581C">
        <w:rPr>
          <w:rFonts w:cs="Calibri Light"/>
        </w:rPr>
        <w:t>. IKP uz vienu nodarbināto Latvijas tautsaimniecībā kopumā 2023.</w:t>
      </w:r>
      <w:r>
        <w:rPr>
          <w:rFonts w:cs="Calibri Light"/>
        </w:rPr>
        <w:t>gad</w:t>
      </w:r>
      <w:r w:rsidRPr="003B581C">
        <w:rPr>
          <w:rFonts w:cs="Calibri Light"/>
        </w:rPr>
        <w:t>ā sasniedza 58,6</w:t>
      </w:r>
      <w:r>
        <w:rPr>
          <w:rFonts w:cs="Calibri Light"/>
        </w:rPr>
        <w:t>%</w:t>
      </w:r>
      <w:r w:rsidRPr="003B581C">
        <w:rPr>
          <w:rFonts w:cs="Calibri Light"/>
        </w:rPr>
        <w:t xml:space="preserve"> (72,8</w:t>
      </w:r>
      <w:r>
        <w:rPr>
          <w:rFonts w:cs="Calibri Light"/>
        </w:rPr>
        <w:t>%</w:t>
      </w:r>
      <w:r w:rsidRPr="003B581C">
        <w:rPr>
          <w:rFonts w:cs="Calibri Light"/>
        </w:rPr>
        <w:t xml:space="preserve"> pēc PPS) no vidējā ES līmeņa. Kopš 2019.</w:t>
      </w:r>
      <w:r>
        <w:rPr>
          <w:rFonts w:cs="Calibri Light"/>
        </w:rPr>
        <w:t>gad</w:t>
      </w:r>
      <w:r w:rsidRPr="003B581C">
        <w:rPr>
          <w:rFonts w:cs="Calibri Light"/>
        </w:rPr>
        <w:t>a produktivitātes plaisa ar ES vidējo līmeni (pēc PPS) ir samazinājusies par gandrīz 4 procentpunktiem.</w:t>
      </w:r>
    </w:p>
    <w:p w14:paraId="1178F860" w14:textId="3022D0B8" w:rsidR="00AA2E25" w:rsidRPr="00275840" w:rsidRDefault="00C44BDB" w:rsidP="00C56297">
      <w:pPr>
        <w:spacing w:after="120"/>
        <w:jc w:val="both"/>
        <w:rPr>
          <w:szCs w:val="20"/>
        </w:rPr>
      </w:pPr>
      <w:r w:rsidRPr="00C44BDB">
        <w:rPr>
          <w:szCs w:val="20"/>
        </w:rPr>
        <w:t>Lat</w:t>
      </w:r>
      <w:r w:rsidR="00AA2E25" w:rsidRPr="00275840">
        <w:rPr>
          <w:szCs w:val="20"/>
        </w:rPr>
        <w:t>vijai ilgstoši bija raksturīgi, ka ekonomikas izaugsmes</w:t>
      </w:r>
      <w:r w:rsidR="00D81510">
        <w:rPr>
          <w:szCs w:val="20"/>
        </w:rPr>
        <w:t xml:space="preserve"> </w:t>
      </w:r>
      <w:r w:rsidR="0080669C">
        <w:rPr>
          <w:szCs w:val="20"/>
        </w:rPr>
        <w:t>gad</w:t>
      </w:r>
      <w:r w:rsidR="00AA2E25" w:rsidRPr="00275840">
        <w:rPr>
          <w:szCs w:val="20"/>
        </w:rPr>
        <w:t>os produktivitātes un darbaspēka izmaksu plaisa palielinās, kamēr recesijā tā kļūst mazāka. Tomēr kopš 2021.</w:t>
      </w:r>
      <w:r w:rsidR="0080669C">
        <w:rPr>
          <w:szCs w:val="20"/>
        </w:rPr>
        <w:t>gad</w:t>
      </w:r>
      <w:r w:rsidR="00AA2E25" w:rsidRPr="00275840">
        <w:rPr>
          <w:szCs w:val="20"/>
        </w:rPr>
        <w:t>a, neskatoties uz ekonomisko aktivitāšu mazināšanos un produktivitātes lēno kāpumu, darbaspēka izmaksas turpināja strauji pieaug. Tas liecina par augošo darbaspēka pieprasījuma un piedāvājuma neatbilstību.</w:t>
      </w:r>
    </w:p>
    <w:p w14:paraId="68DD3AB6" w14:textId="6E16372C" w:rsidR="00AA2E25" w:rsidRPr="00006814" w:rsidRDefault="00AA2E25" w:rsidP="00867A48">
      <w:pPr>
        <w:spacing w:after="120"/>
        <w:jc w:val="right"/>
        <w:rPr>
          <w:szCs w:val="20"/>
        </w:rPr>
      </w:pPr>
      <w:r w:rsidRPr="00006814">
        <w:rPr>
          <w:szCs w:val="20"/>
        </w:rPr>
        <w:t>1.15</w:t>
      </w:r>
      <w:r w:rsidR="00EF7D27">
        <w:rPr>
          <w:szCs w:val="20"/>
        </w:rPr>
        <w:t>.</w:t>
      </w:r>
      <w:r w:rsidRPr="00006814">
        <w:rPr>
          <w:szCs w:val="20"/>
        </w:rPr>
        <w:t> attēls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AA2E25" w:rsidRPr="00006814" w14:paraId="68782C0E" w14:textId="77777777">
        <w:tc>
          <w:tcPr>
            <w:tcW w:w="4552" w:type="dxa"/>
          </w:tcPr>
          <w:p w14:paraId="0A224F08" w14:textId="6DD47677" w:rsidR="00AA2E25" w:rsidRPr="00006814" w:rsidRDefault="00AA2E25" w:rsidP="00867A48">
            <w:pPr>
              <w:spacing w:after="120"/>
              <w:jc w:val="center"/>
              <w:rPr>
                <w:rFonts w:ascii="Segoe UI Light" w:hAnsi="Segoe UI Light" w:cs="Segoe UI Light"/>
                <w:i/>
                <w:sz w:val="16"/>
                <w:szCs w:val="20"/>
              </w:rPr>
            </w:pPr>
            <w:r w:rsidRPr="00006814">
              <w:rPr>
                <w:rFonts w:ascii="Segoe UI Light" w:hAnsi="Segoe UI Light" w:cs="Segoe UI Light"/>
                <w:b/>
                <w:sz w:val="18"/>
                <w:szCs w:val="20"/>
              </w:rPr>
              <w:t xml:space="preserve">Produktivitātes, darbaspēka izmaksu un </w:t>
            </w:r>
            <w:r w:rsidRPr="00006814">
              <w:rPr>
                <w:rFonts w:ascii="Segoe UI Light" w:hAnsi="Segoe UI Light" w:cs="Segoe UI Light"/>
                <w:b/>
                <w:sz w:val="18"/>
                <w:szCs w:val="20"/>
              </w:rPr>
              <w:br/>
              <w:t>ULC izmaiņas Baltijas valstīs un ES</w:t>
            </w:r>
            <w:r w:rsidRPr="00006814">
              <w:rPr>
                <w:rFonts w:ascii="Segoe UI Light" w:hAnsi="Segoe UI Light" w:cs="Segoe UI Light"/>
                <w:b/>
                <w:sz w:val="18"/>
                <w:szCs w:val="20"/>
              </w:rPr>
              <w:br/>
            </w:r>
            <w:r w:rsidRPr="00006814">
              <w:rPr>
                <w:rFonts w:ascii="Segoe UI Light" w:hAnsi="Segoe UI Light" w:cs="Segoe UI Light"/>
                <w:i/>
                <w:sz w:val="16"/>
                <w:szCs w:val="20"/>
              </w:rPr>
              <w:t>2021.</w:t>
            </w:r>
            <w:r w:rsidR="0080669C">
              <w:rPr>
                <w:rFonts w:ascii="Segoe UI Light" w:hAnsi="Segoe UI Light" w:cs="Segoe UI Light"/>
                <w:i/>
                <w:sz w:val="16"/>
                <w:szCs w:val="20"/>
              </w:rPr>
              <w:t>gad</w:t>
            </w:r>
            <w:r w:rsidRPr="00006814">
              <w:rPr>
                <w:rFonts w:ascii="Segoe UI Light" w:hAnsi="Segoe UI Light" w:cs="Segoe UI Light"/>
                <w:i/>
                <w:sz w:val="16"/>
                <w:szCs w:val="20"/>
              </w:rPr>
              <w:t>s pret 2018.</w:t>
            </w:r>
            <w:r w:rsidR="0080669C">
              <w:rPr>
                <w:rFonts w:ascii="Segoe UI Light" w:hAnsi="Segoe UI Light" w:cs="Segoe UI Light"/>
                <w:i/>
                <w:sz w:val="16"/>
                <w:szCs w:val="20"/>
              </w:rPr>
              <w:t>gad</w:t>
            </w:r>
            <w:r w:rsidRPr="00006814">
              <w:rPr>
                <w:rFonts w:ascii="Segoe UI Light" w:hAnsi="Segoe UI Light" w:cs="Segoe UI Light"/>
                <w:i/>
                <w:sz w:val="16"/>
                <w:szCs w:val="20"/>
              </w:rPr>
              <w:t>u, procentos</w:t>
            </w:r>
          </w:p>
        </w:tc>
        <w:tc>
          <w:tcPr>
            <w:tcW w:w="4553" w:type="dxa"/>
          </w:tcPr>
          <w:p w14:paraId="3B1324D1" w14:textId="5F1D8CEE" w:rsidR="00AA2E25" w:rsidRPr="00006814" w:rsidRDefault="00AA2E25" w:rsidP="00867A48">
            <w:pPr>
              <w:tabs>
                <w:tab w:val="center" w:pos="2268"/>
                <w:tab w:val="center" w:pos="6804"/>
              </w:tabs>
              <w:spacing w:after="120"/>
              <w:jc w:val="center"/>
              <w:rPr>
                <w:rFonts w:ascii="Segoe UI Light" w:hAnsi="Segoe UI Light" w:cs="Segoe UI Light"/>
                <w:b/>
                <w:sz w:val="18"/>
                <w:szCs w:val="20"/>
              </w:rPr>
            </w:pPr>
            <w:r w:rsidRPr="00006814">
              <w:rPr>
                <w:rFonts w:ascii="Segoe UI Light" w:hAnsi="Segoe UI Light" w:cs="Segoe UI Light"/>
                <w:b/>
                <w:sz w:val="18"/>
                <w:szCs w:val="20"/>
              </w:rPr>
              <w:t>Darbaspēka izmaksu un produktivitātes dinamika</w:t>
            </w:r>
            <w:r w:rsidR="00D81510">
              <w:rPr>
                <w:rFonts w:ascii="Segoe UI Light" w:hAnsi="Segoe UI Light" w:cs="Segoe UI Light"/>
                <w:b/>
                <w:sz w:val="18"/>
                <w:szCs w:val="20"/>
              </w:rPr>
              <w:br/>
            </w:r>
            <w:r w:rsidRPr="00434B56">
              <w:rPr>
                <w:rFonts w:ascii="Segoe UI Light" w:hAnsi="Segoe UI Light" w:cs="Segoe UI Light"/>
                <w:i/>
                <w:sz w:val="16"/>
                <w:szCs w:val="20"/>
              </w:rPr>
              <w:t>procentos</w:t>
            </w:r>
          </w:p>
        </w:tc>
      </w:tr>
      <w:tr w:rsidR="00AA2E25" w:rsidRPr="00006814" w14:paraId="2D7D351A" w14:textId="77777777">
        <w:tc>
          <w:tcPr>
            <w:tcW w:w="4552" w:type="dxa"/>
          </w:tcPr>
          <w:p w14:paraId="653F15E3" w14:textId="77777777" w:rsidR="00AA2E25" w:rsidRPr="00006814" w:rsidRDefault="00AA2E25" w:rsidP="00867A48">
            <w:pPr>
              <w:tabs>
                <w:tab w:val="center" w:pos="2268"/>
                <w:tab w:val="center" w:pos="6804"/>
              </w:tabs>
              <w:spacing w:after="120"/>
              <w:rPr>
                <w:b/>
                <w:sz w:val="18"/>
                <w:szCs w:val="18"/>
              </w:rPr>
            </w:pPr>
            <w:r w:rsidRPr="00006814">
              <w:rPr>
                <w:noProof/>
                <w:szCs w:val="20"/>
                <w:lang w:eastAsia="lv-LV"/>
              </w:rPr>
              <w:drawing>
                <wp:inline distT="0" distB="0" distL="0" distR="0" wp14:anchorId="688B1B45" wp14:editId="38C51ADD">
                  <wp:extent cx="2844000" cy="2160000"/>
                  <wp:effectExtent l="0" t="0" r="0"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553" w:type="dxa"/>
          </w:tcPr>
          <w:p w14:paraId="40378885" w14:textId="77777777" w:rsidR="00AA2E25" w:rsidRPr="00006814" w:rsidRDefault="00AA2E25" w:rsidP="00867A48">
            <w:pPr>
              <w:tabs>
                <w:tab w:val="center" w:pos="2268"/>
                <w:tab w:val="center" w:pos="6804"/>
              </w:tabs>
              <w:spacing w:after="120"/>
              <w:rPr>
                <w:b/>
                <w:sz w:val="18"/>
                <w:szCs w:val="18"/>
              </w:rPr>
            </w:pPr>
            <w:r w:rsidRPr="00006814">
              <w:rPr>
                <w:noProof/>
                <w:szCs w:val="20"/>
                <w:lang w:eastAsia="lv-LV"/>
              </w:rPr>
              <w:drawing>
                <wp:inline distT="0" distB="0" distL="0" distR="0" wp14:anchorId="512B15B8" wp14:editId="083C48DD">
                  <wp:extent cx="2844000" cy="2160000"/>
                  <wp:effectExtent l="0" t="0" r="0" b="0"/>
                  <wp:docPr id="265" name="Chart 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376AF7AB" w14:textId="77777777" w:rsidR="00AA2E25" w:rsidRPr="00D81510" w:rsidRDefault="00AA2E25" w:rsidP="00867A48">
      <w:pPr>
        <w:spacing w:after="120"/>
        <w:jc w:val="both"/>
        <w:rPr>
          <w:sz w:val="16"/>
          <w:szCs w:val="16"/>
        </w:rPr>
      </w:pPr>
      <w:r w:rsidRPr="00D81510">
        <w:rPr>
          <w:sz w:val="16"/>
          <w:szCs w:val="16"/>
        </w:rPr>
        <w:t xml:space="preserve">Avots: </w:t>
      </w:r>
      <w:proofErr w:type="spellStart"/>
      <w:r w:rsidRPr="00D81510">
        <w:rPr>
          <w:i/>
          <w:sz w:val="16"/>
          <w:szCs w:val="16"/>
        </w:rPr>
        <w:t>Eurostat</w:t>
      </w:r>
      <w:proofErr w:type="spellEnd"/>
    </w:p>
    <w:p w14:paraId="6B5F0EBB" w14:textId="77777777" w:rsidR="00D81510" w:rsidRDefault="00D81510" w:rsidP="00867A48">
      <w:pPr>
        <w:spacing w:after="120"/>
        <w:jc w:val="both"/>
        <w:rPr>
          <w:rFonts w:cs="Calibri Light"/>
          <w:bCs/>
          <w:szCs w:val="20"/>
        </w:rPr>
      </w:pPr>
    </w:p>
    <w:p w14:paraId="1DAC3111" w14:textId="3B626F26" w:rsidR="00AA2E25" w:rsidRDefault="00AA2E25" w:rsidP="00867A48">
      <w:pPr>
        <w:spacing w:after="120"/>
        <w:jc w:val="both"/>
        <w:rPr>
          <w:rFonts w:cs="Calibri Light"/>
          <w:bCs/>
          <w:szCs w:val="20"/>
        </w:rPr>
      </w:pPr>
      <w:r w:rsidRPr="00E163BC">
        <w:rPr>
          <w:rFonts w:cs="Calibri Light"/>
          <w:bCs/>
          <w:szCs w:val="20"/>
        </w:rPr>
        <w:t>Pēdējos</w:t>
      </w:r>
      <w:r w:rsidR="00D81510">
        <w:rPr>
          <w:rFonts w:cs="Calibri Light"/>
          <w:bCs/>
          <w:szCs w:val="20"/>
        </w:rPr>
        <w:t xml:space="preserve"> </w:t>
      </w:r>
      <w:r w:rsidR="0080669C">
        <w:rPr>
          <w:rFonts w:cs="Calibri Light"/>
          <w:bCs/>
          <w:szCs w:val="20"/>
        </w:rPr>
        <w:t>gad</w:t>
      </w:r>
      <w:r w:rsidRPr="00E163BC">
        <w:rPr>
          <w:rFonts w:cs="Calibri Light"/>
          <w:bCs/>
          <w:szCs w:val="20"/>
        </w:rPr>
        <w:t>os pirms Covid-19 pandēmijas bija vērojama īpaši spēcīga nominālā ULC dinamika. 2019.</w:t>
      </w:r>
      <w:r w:rsidR="0080669C">
        <w:rPr>
          <w:rFonts w:cs="Calibri Light"/>
          <w:bCs/>
          <w:szCs w:val="20"/>
        </w:rPr>
        <w:t>gad</w:t>
      </w:r>
      <w:r w:rsidRPr="00E163BC">
        <w:rPr>
          <w:rFonts w:cs="Calibri Light"/>
          <w:bCs/>
          <w:szCs w:val="20"/>
        </w:rPr>
        <w:t>ā, salīdzinot ar 2015.</w:t>
      </w:r>
      <w:r w:rsidR="0080669C">
        <w:rPr>
          <w:rFonts w:cs="Calibri Light"/>
          <w:bCs/>
          <w:szCs w:val="20"/>
        </w:rPr>
        <w:t>gad</w:t>
      </w:r>
      <w:r w:rsidRPr="00E163BC">
        <w:rPr>
          <w:rFonts w:cs="Calibri Light"/>
          <w:bCs/>
          <w:szCs w:val="20"/>
        </w:rPr>
        <w:t>u, ULC palielinājās par 4,3</w:t>
      </w:r>
      <w:r w:rsidR="0080669C">
        <w:rPr>
          <w:rFonts w:cs="Calibri Light"/>
          <w:bCs/>
          <w:szCs w:val="20"/>
        </w:rPr>
        <w:t>%</w:t>
      </w:r>
      <w:r w:rsidRPr="00E163BC">
        <w:rPr>
          <w:rFonts w:cs="Calibri Light"/>
          <w:bCs/>
          <w:szCs w:val="20"/>
        </w:rPr>
        <w:t>, ko noteica gandrīz četras reizes straujāks darbaspēka izmaksu (nominālā izteiksmē) kāpums iepretim produktivitātes pieaugumam. Darbaspēka izmaksu kāpumu līdz 2019.</w:t>
      </w:r>
      <w:r w:rsidR="0080669C">
        <w:rPr>
          <w:rFonts w:cs="Calibri Light"/>
          <w:bCs/>
          <w:szCs w:val="20"/>
        </w:rPr>
        <w:t>gad</w:t>
      </w:r>
      <w:r w:rsidRPr="00E163BC">
        <w:rPr>
          <w:rFonts w:cs="Calibri Light"/>
          <w:bCs/>
          <w:szCs w:val="20"/>
        </w:rPr>
        <w:t>am ietekmēja gan algu konverģences procesi ES darba tirgū, gan arī kopumā saspīlētā situācija Latvijas darba tirgū, kas veidojās pieaugošās darbaspēka nepietiekamības dēļ.</w:t>
      </w:r>
    </w:p>
    <w:p w14:paraId="71E319C3" w14:textId="09AAFCA2" w:rsidR="00AA2E25" w:rsidRPr="00E163BC" w:rsidRDefault="00AA2E25" w:rsidP="00867A48">
      <w:pPr>
        <w:spacing w:after="120"/>
        <w:jc w:val="both"/>
        <w:rPr>
          <w:rFonts w:cs="Calibri Light"/>
          <w:bCs/>
          <w:szCs w:val="20"/>
        </w:rPr>
      </w:pPr>
      <w:r w:rsidRPr="00E163BC">
        <w:rPr>
          <w:rFonts w:cs="Calibri Light"/>
          <w:bCs/>
          <w:szCs w:val="20"/>
        </w:rPr>
        <w:t>ULC turpināja pieaugt arī Covid-19 pandēmijas</w:t>
      </w:r>
      <w:r w:rsidR="00D81510">
        <w:rPr>
          <w:rFonts w:cs="Calibri Light"/>
          <w:bCs/>
          <w:szCs w:val="20"/>
        </w:rPr>
        <w:t xml:space="preserve"> </w:t>
      </w:r>
      <w:r w:rsidR="0080669C">
        <w:rPr>
          <w:rFonts w:cs="Calibri Light"/>
          <w:bCs/>
          <w:szCs w:val="20"/>
        </w:rPr>
        <w:t>gad</w:t>
      </w:r>
      <w:r w:rsidRPr="00E163BC">
        <w:rPr>
          <w:rFonts w:cs="Calibri Light"/>
          <w:bCs/>
          <w:szCs w:val="20"/>
        </w:rPr>
        <w:t>os. Ekonomisko aktivitāšu samazināšanās dēļ darbaspēka izmaksas 2020.</w:t>
      </w:r>
      <w:r w:rsidR="0080669C">
        <w:rPr>
          <w:rFonts w:cs="Calibri Light"/>
          <w:bCs/>
          <w:szCs w:val="20"/>
        </w:rPr>
        <w:t>gad</w:t>
      </w:r>
      <w:r w:rsidRPr="00E163BC">
        <w:rPr>
          <w:rFonts w:cs="Calibri Light"/>
          <w:bCs/>
          <w:szCs w:val="20"/>
        </w:rPr>
        <w:t>ā palielinājās lēnāk nekā pirms</w:t>
      </w:r>
      <w:r w:rsidR="00D81510">
        <w:rPr>
          <w:rFonts w:cs="Calibri Light"/>
          <w:bCs/>
          <w:szCs w:val="20"/>
        </w:rPr>
        <w:t xml:space="preserve"> </w:t>
      </w:r>
      <w:r w:rsidR="0080669C">
        <w:rPr>
          <w:rFonts w:cs="Calibri Light"/>
          <w:bCs/>
          <w:szCs w:val="20"/>
        </w:rPr>
        <w:t>gad</w:t>
      </w:r>
      <w:r w:rsidRPr="00E163BC">
        <w:rPr>
          <w:rFonts w:cs="Calibri Light"/>
          <w:bCs/>
          <w:szCs w:val="20"/>
        </w:rPr>
        <w:t>a – par 4,3</w:t>
      </w:r>
      <w:r w:rsidR="0080669C">
        <w:rPr>
          <w:rFonts w:cs="Calibri Light"/>
          <w:bCs/>
          <w:szCs w:val="20"/>
        </w:rPr>
        <w:t>%</w:t>
      </w:r>
      <w:r w:rsidRPr="00E163BC">
        <w:rPr>
          <w:rFonts w:cs="Calibri Light"/>
          <w:bCs/>
          <w:szCs w:val="20"/>
        </w:rPr>
        <w:t xml:space="preserve"> (2019.</w:t>
      </w:r>
      <w:r w:rsidR="0080669C">
        <w:rPr>
          <w:rFonts w:cs="Calibri Light"/>
          <w:bCs/>
          <w:szCs w:val="20"/>
        </w:rPr>
        <w:t>gad</w:t>
      </w:r>
      <w:r w:rsidRPr="00E163BC">
        <w:rPr>
          <w:rFonts w:cs="Calibri Light"/>
          <w:bCs/>
          <w:szCs w:val="20"/>
        </w:rPr>
        <w:t>ā – par 7,8</w:t>
      </w:r>
      <w:r w:rsidR="0080669C">
        <w:rPr>
          <w:rFonts w:cs="Calibri Light"/>
          <w:bCs/>
          <w:szCs w:val="20"/>
        </w:rPr>
        <w:t>%</w:t>
      </w:r>
      <w:r w:rsidRPr="00E163BC">
        <w:rPr>
          <w:rFonts w:cs="Calibri Light"/>
          <w:bCs/>
          <w:szCs w:val="20"/>
        </w:rPr>
        <w:t>). Lai gan darbaspēka izmaksu kāpums bija mērenāks, tomēr produktivitātes krituma (par 1,2</w:t>
      </w:r>
      <w:r w:rsidR="0080669C">
        <w:rPr>
          <w:rFonts w:cs="Calibri Light"/>
          <w:bCs/>
          <w:szCs w:val="20"/>
        </w:rPr>
        <w:t>%</w:t>
      </w:r>
      <w:r w:rsidRPr="00E163BC">
        <w:rPr>
          <w:rFonts w:cs="Calibri Light"/>
          <w:bCs/>
          <w:szCs w:val="20"/>
        </w:rPr>
        <w:t>) dēļ ULC palielinājās par 5,6</w:t>
      </w:r>
      <w:r w:rsidR="0080669C">
        <w:rPr>
          <w:rFonts w:cs="Calibri Light"/>
          <w:bCs/>
          <w:szCs w:val="20"/>
        </w:rPr>
        <w:t>%</w:t>
      </w:r>
      <w:r w:rsidRPr="00E163BC">
        <w:rPr>
          <w:rFonts w:cs="Calibri Light"/>
          <w:bCs/>
          <w:szCs w:val="20"/>
        </w:rPr>
        <w:t>. 2021.</w:t>
      </w:r>
      <w:r w:rsidR="0080669C">
        <w:rPr>
          <w:rFonts w:cs="Calibri Light"/>
          <w:bCs/>
          <w:szCs w:val="20"/>
        </w:rPr>
        <w:t>gad</w:t>
      </w:r>
      <w:r w:rsidRPr="00E163BC">
        <w:rPr>
          <w:rFonts w:cs="Calibri Light"/>
          <w:bCs/>
          <w:szCs w:val="20"/>
        </w:rPr>
        <w:t>ā darbaspēka izmaksas turpināja strauji augt, par 8,5</w:t>
      </w:r>
      <w:r w:rsidR="0080669C">
        <w:rPr>
          <w:rFonts w:cs="Calibri Light"/>
          <w:bCs/>
          <w:szCs w:val="20"/>
        </w:rPr>
        <w:t>%</w:t>
      </w:r>
      <w:r w:rsidRPr="00E163BC">
        <w:rPr>
          <w:rFonts w:cs="Calibri Light"/>
          <w:bCs/>
          <w:szCs w:val="20"/>
        </w:rPr>
        <w:t xml:space="preserve"> pārsniedzot iepriekšējā</w:t>
      </w:r>
      <w:r w:rsidR="00D81510">
        <w:rPr>
          <w:rFonts w:cs="Calibri Light"/>
          <w:bCs/>
          <w:szCs w:val="20"/>
        </w:rPr>
        <w:t xml:space="preserve"> </w:t>
      </w:r>
      <w:r w:rsidR="0080669C">
        <w:rPr>
          <w:rFonts w:cs="Calibri Light"/>
          <w:bCs/>
          <w:szCs w:val="20"/>
        </w:rPr>
        <w:t>gad</w:t>
      </w:r>
      <w:r w:rsidRPr="00E163BC">
        <w:rPr>
          <w:rFonts w:cs="Calibri Light"/>
          <w:bCs/>
          <w:szCs w:val="20"/>
        </w:rPr>
        <w:t>a līmeni. Tas neradīja spiedienu uz darbaspēka vienības izmaksām, jo produktivitātes kāpums bija straujāks, un ULC samazinājās par gandrīz 1</w:t>
      </w:r>
      <w:r w:rsidR="0080669C">
        <w:rPr>
          <w:rFonts w:cs="Calibri Light"/>
          <w:bCs/>
          <w:szCs w:val="20"/>
        </w:rPr>
        <w:t>%</w:t>
      </w:r>
      <w:r w:rsidRPr="00E163BC">
        <w:rPr>
          <w:rFonts w:cs="Calibri Light"/>
          <w:bCs/>
          <w:szCs w:val="20"/>
        </w:rPr>
        <w:t>.</w:t>
      </w:r>
    </w:p>
    <w:p w14:paraId="30603DB6" w14:textId="3C6717F6" w:rsidR="00AA2E25" w:rsidRDefault="00AA2E25" w:rsidP="00867A48">
      <w:pPr>
        <w:spacing w:after="120"/>
        <w:jc w:val="both"/>
        <w:rPr>
          <w:rFonts w:cs="Calibri Light"/>
          <w:bCs/>
          <w:szCs w:val="20"/>
        </w:rPr>
      </w:pPr>
      <w:r w:rsidRPr="00E163BC">
        <w:rPr>
          <w:rFonts w:cs="Calibri Light"/>
          <w:bCs/>
          <w:szCs w:val="20"/>
        </w:rPr>
        <w:t>2022.</w:t>
      </w:r>
      <w:r w:rsidR="0080669C">
        <w:rPr>
          <w:rFonts w:cs="Calibri Light"/>
          <w:bCs/>
          <w:szCs w:val="20"/>
        </w:rPr>
        <w:t>gad</w:t>
      </w:r>
      <w:r w:rsidRPr="00E163BC">
        <w:rPr>
          <w:rFonts w:cs="Calibri Light"/>
          <w:bCs/>
          <w:szCs w:val="20"/>
        </w:rPr>
        <w:t>ā darbaspēka izmaksu pieauguma tempi paātrinājās vēl vairāk. Darba ņēmēju atalgojums palielinājās par 12,2</w:t>
      </w:r>
      <w:r w:rsidR="0080669C">
        <w:rPr>
          <w:rFonts w:cs="Calibri Light"/>
          <w:bCs/>
          <w:szCs w:val="20"/>
        </w:rPr>
        <w:t>%</w:t>
      </w:r>
      <w:r w:rsidRPr="00E163BC">
        <w:rPr>
          <w:rFonts w:cs="Calibri Light"/>
          <w:bCs/>
          <w:szCs w:val="20"/>
        </w:rPr>
        <w:t>, un, produktivitātei saglabājoties iepriekšējā</w:t>
      </w:r>
      <w:r w:rsidR="00D81510">
        <w:rPr>
          <w:rFonts w:cs="Calibri Light"/>
          <w:bCs/>
          <w:szCs w:val="20"/>
        </w:rPr>
        <w:t xml:space="preserve"> </w:t>
      </w:r>
      <w:r w:rsidR="0080669C">
        <w:rPr>
          <w:rFonts w:cs="Calibri Light"/>
          <w:bCs/>
          <w:szCs w:val="20"/>
        </w:rPr>
        <w:t>gad</w:t>
      </w:r>
      <w:r w:rsidRPr="00E163BC">
        <w:rPr>
          <w:rFonts w:cs="Calibri Light"/>
          <w:bCs/>
          <w:szCs w:val="20"/>
        </w:rPr>
        <w:t>a līmenī, tas būtiski pasliktināja izmaksu konkurētspējas rādītāju. Nominālais ULC palielinājās par 1</w:t>
      </w:r>
      <w:r>
        <w:rPr>
          <w:rFonts w:cs="Calibri Light"/>
          <w:bCs/>
          <w:szCs w:val="20"/>
        </w:rPr>
        <w:t>2</w:t>
      </w:r>
      <w:r w:rsidR="0080669C">
        <w:rPr>
          <w:rFonts w:cs="Calibri Light"/>
          <w:bCs/>
          <w:szCs w:val="20"/>
        </w:rPr>
        <w:t>%</w:t>
      </w:r>
      <w:r>
        <w:rPr>
          <w:rFonts w:cs="Calibri Light"/>
          <w:bCs/>
          <w:szCs w:val="20"/>
        </w:rPr>
        <w:t xml:space="preserve">. </w:t>
      </w:r>
      <w:r w:rsidRPr="00E163BC">
        <w:rPr>
          <w:rFonts w:cs="Calibri Light"/>
          <w:bCs/>
          <w:szCs w:val="20"/>
        </w:rPr>
        <w:t>Arī 2023.</w:t>
      </w:r>
      <w:r w:rsidR="0080669C">
        <w:rPr>
          <w:rFonts w:cs="Calibri Light"/>
          <w:bCs/>
          <w:szCs w:val="20"/>
        </w:rPr>
        <w:t>gad</w:t>
      </w:r>
      <w:r w:rsidRPr="00E163BC">
        <w:rPr>
          <w:rFonts w:cs="Calibri Light"/>
          <w:bCs/>
          <w:szCs w:val="20"/>
        </w:rPr>
        <w:t>ā darbaspēka izmaksas strauji aug</w:t>
      </w:r>
      <w:r>
        <w:rPr>
          <w:rFonts w:cs="Calibri Light"/>
          <w:bCs/>
          <w:szCs w:val="20"/>
        </w:rPr>
        <w:t>, būtiski pārsniedzot produktivitātes dinamiku</w:t>
      </w:r>
      <w:r w:rsidRPr="00E163BC">
        <w:rPr>
          <w:rFonts w:cs="Calibri Light"/>
          <w:bCs/>
          <w:szCs w:val="20"/>
        </w:rPr>
        <w:t xml:space="preserve">. </w:t>
      </w:r>
      <w:r>
        <w:rPr>
          <w:rFonts w:cs="Calibri Light"/>
          <w:bCs/>
          <w:szCs w:val="20"/>
        </w:rPr>
        <w:t>S</w:t>
      </w:r>
      <w:r w:rsidRPr="00E163BC">
        <w:rPr>
          <w:rFonts w:cs="Calibri Light"/>
          <w:bCs/>
          <w:szCs w:val="20"/>
        </w:rPr>
        <w:t>alīdzinot ar iepriekšēj</w:t>
      </w:r>
      <w:r>
        <w:rPr>
          <w:rFonts w:cs="Calibri Light"/>
          <w:bCs/>
          <w:szCs w:val="20"/>
        </w:rPr>
        <w:t>o</w:t>
      </w:r>
      <w:r w:rsidR="00D81510">
        <w:rPr>
          <w:rFonts w:cs="Calibri Light"/>
          <w:bCs/>
          <w:szCs w:val="20"/>
        </w:rPr>
        <w:t xml:space="preserve"> </w:t>
      </w:r>
      <w:r w:rsidR="0080669C">
        <w:rPr>
          <w:rFonts w:cs="Calibri Light"/>
          <w:bCs/>
          <w:szCs w:val="20"/>
        </w:rPr>
        <w:t>gad</w:t>
      </w:r>
      <w:r>
        <w:rPr>
          <w:rFonts w:cs="Calibri Light"/>
          <w:bCs/>
          <w:szCs w:val="20"/>
        </w:rPr>
        <w:t>u</w:t>
      </w:r>
      <w:r w:rsidRPr="00E163BC">
        <w:rPr>
          <w:rFonts w:cs="Calibri Light"/>
          <w:bCs/>
          <w:szCs w:val="20"/>
        </w:rPr>
        <w:t>, darbaspēka izmaksas pieauga par 13</w:t>
      </w:r>
      <w:r w:rsidR="0080669C">
        <w:rPr>
          <w:rFonts w:cs="Calibri Light"/>
          <w:bCs/>
          <w:szCs w:val="20"/>
        </w:rPr>
        <w:t>%</w:t>
      </w:r>
      <w:r w:rsidRPr="00E163BC">
        <w:rPr>
          <w:rFonts w:cs="Calibri Light"/>
          <w:bCs/>
          <w:szCs w:val="20"/>
        </w:rPr>
        <w:t>,</w:t>
      </w:r>
      <w:r w:rsidRPr="00193FFD">
        <w:rPr>
          <w:rFonts w:cs="Calibri Light"/>
          <w:bCs/>
          <w:szCs w:val="20"/>
        </w:rPr>
        <w:t xml:space="preserve"> </w:t>
      </w:r>
      <w:r w:rsidRPr="00E163BC">
        <w:rPr>
          <w:rFonts w:cs="Calibri Light"/>
          <w:bCs/>
          <w:szCs w:val="20"/>
        </w:rPr>
        <w:t>kas bija straujākais kāpums pēdējos desmit</w:t>
      </w:r>
      <w:r w:rsidR="00D81510">
        <w:rPr>
          <w:rFonts w:cs="Calibri Light"/>
          <w:bCs/>
          <w:szCs w:val="20"/>
        </w:rPr>
        <w:t xml:space="preserve"> </w:t>
      </w:r>
      <w:r w:rsidR="0080669C">
        <w:rPr>
          <w:rFonts w:cs="Calibri Light"/>
          <w:bCs/>
          <w:szCs w:val="20"/>
        </w:rPr>
        <w:t>gad</w:t>
      </w:r>
      <w:r w:rsidRPr="00E163BC">
        <w:rPr>
          <w:rFonts w:cs="Calibri Light"/>
          <w:bCs/>
          <w:szCs w:val="20"/>
        </w:rPr>
        <w:t>os</w:t>
      </w:r>
      <w:r w:rsidR="00EF7D27">
        <w:rPr>
          <w:rFonts w:cs="Calibri Light"/>
          <w:bCs/>
          <w:szCs w:val="20"/>
        </w:rPr>
        <w:t>.</w:t>
      </w:r>
    </w:p>
    <w:p w14:paraId="772C29EF" w14:textId="0D2C4499" w:rsidR="00AA2E25" w:rsidRDefault="00AA2E25" w:rsidP="00867A48">
      <w:pPr>
        <w:spacing w:after="120"/>
        <w:jc w:val="both"/>
        <w:rPr>
          <w:rFonts w:cs="Calibri Light"/>
          <w:bCs/>
          <w:szCs w:val="20"/>
        </w:rPr>
      </w:pPr>
      <w:bookmarkStart w:id="19" w:name="_Hlk40640995"/>
      <w:r w:rsidRPr="00434B56">
        <w:rPr>
          <w:rFonts w:cs="Calibri Light"/>
          <w:bCs/>
          <w:szCs w:val="20"/>
        </w:rPr>
        <w:t>Izmaksu konkurētspējas mazināšanas riski vērojami gan ražošanas, gan tirgus pakalpojumu nozarēs. Darbaspēka izmaksu dinamika pirms Covid-19 pandēmijas pēdējos piecos</w:t>
      </w:r>
      <w:r w:rsidR="00D81510">
        <w:rPr>
          <w:rFonts w:cs="Calibri Light"/>
          <w:bCs/>
          <w:szCs w:val="20"/>
        </w:rPr>
        <w:t xml:space="preserve"> </w:t>
      </w:r>
      <w:r w:rsidR="0080669C">
        <w:rPr>
          <w:rFonts w:cs="Calibri Light"/>
          <w:bCs/>
          <w:szCs w:val="20"/>
        </w:rPr>
        <w:t>gad</w:t>
      </w:r>
      <w:r w:rsidRPr="00434B56">
        <w:rPr>
          <w:rFonts w:cs="Calibri Light"/>
          <w:bCs/>
          <w:szCs w:val="20"/>
        </w:rPr>
        <w:t>os (2015.</w:t>
      </w:r>
      <w:r w:rsidR="00EF7D27">
        <w:rPr>
          <w:rFonts w:cs="Calibri Light"/>
          <w:bCs/>
          <w:szCs w:val="20"/>
        </w:rPr>
        <w:t>-</w:t>
      </w:r>
      <w:r w:rsidRPr="00434B56">
        <w:rPr>
          <w:rFonts w:cs="Calibri Light"/>
          <w:bCs/>
          <w:szCs w:val="20"/>
        </w:rPr>
        <w:t>2019.</w:t>
      </w:r>
      <w:r w:rsidR="0080669C">
        <w:rPr>
          <w:rFonts w:cs="Calibri Light"/>
          <w:bCs/>
          <w:szCs w:val="20"/>
        </w:rPr>
        <w:t>gad</w:t>
      </w:r>
      <w:r w:rsidRPr="00434B56">
        <w:rPr>
          <w:rFonts w:cs="Calibri Light"/>
          <w:bCs/>
          <w:szCs w:val="20"/>
        </w:rPr>
        <w:t>ā) abās minētajās nozaru grupās bija ļoti līdzīga</w:t>
      </w:r>
      <w:r w:rsidR="00EF7D27">
        <w:rPr>
          <w:rFonts w:cs="Calibri Light"/>
          <w:bCs/>
          <w:szCs w:val="20"/>
        </w:rPr>
        <w:t xml:space="preserve"> </w:t>
      </w:r>
      <w:r w:rsidRPr="00434B56">
        <w:rPr>
          <w:rFonts w:cs="Calibri Light"/>
          <w:bCs/>
          <w:szCs w:val="20"/>
        </w:rPr>
        <w:t>– ik</w:t>
      </w:r>
      <w:r w:rsidR="00D81510">
        <w:rPr>
          <w:rFonts w:cs="Calibri Light"/>
          <w:bCs/>
          <w:szCs w:val="20"/>
        </w:rPr>
        <w:t xml:space="preserve"> </w:t>
      </w:r>
      <w:r w:rsidR="0080669C">
        <w:rPr>
          <w:rFonts w:cs="Calibri Light"/>
          <w:bCs/>
          <w:szCs w:val="20"/>
        </w:rPr>
        <w:t>gad</w:t>
      </w:r>
      <w:r w:rsidRPr="00434B56">
        <w:rPr>
          <w:rFonts w:cs="Calibri Light"/>
          <w:bCs/>
          <w:szCs w:val="20"/>
        </w:rPr>
        <w:t>u vidēji par gandrīz 7,2</w:t>
      </w:r>
      <w:r w:rsidR="0080669C">
        <w:rPr>
          <w:rFonts w:cs="Calibri Light"/>
          <w:bCs/>
          <w:szCs w:val="20"/>
        </w:rPr>
        <w:t>%</w:t>
      </w:r>
      <w:r w:rsidRPr="00434B56">
        <w:rPr>
          <w:rFonts w:cs="Calibri Light"/>
          <w:bCs/>
          <w:szCs w:val="20"/>
        </w:rPr>
        <w:t xml:space="preserve"> un </w:t>
      </w:r>
      <w:r>
        <w:rPr>
          <w:rFonts w:cs="Calibri Light"/>
          <w:bCs/>
          <w:szCs w:val="20"/>
        </w:rPr>
        <w:t>7</w:t>
      </w:r>
      <w:r w:rsidRPr="00434B56">
        <w:rPr>
          <w:rFonts w:cs="Calibri Light"/>
          <w:bCs/>
          <w:szCs w:val="20"/>
        </w:rPr>
        <w:t>,</w:t>
      </w:r>
      <w:r>
        <w:rPr>
          <w:rFonts w:cs="Calibri Light"/>
          <w:bCs/>
          <w:szCs w:val="20"/>
        </w:rPr>
        <w:t>9</w:t>
      </w:r>
      <w:r w:rsidR="0080669C">
        <w:rPr>
          <w:rFonts w:cs="Calibri Light"/>
          <w:bCs/>
          <w:szCs w:val="20"/>
        </w:rPr>
        <w:t>%</w:t>
      </w:r>
      <w:r w:rsidRPr="00434B56">
        <w:rPr>
          <w:rFonts w:cs="Calibri Light"/>
          <w:bCs/>
          <w:szCs w:val="20"/>
        </w:rPr>
        <w:t xml:space="preserve">, tomēr produktivitāte ražošanas nozarēs pieauga </w:t>
      </w:r>
      <w:r w:rsidRPr="00434B56">
        <w:rPr>
          <w:rFonts w:cs="Calibri Light"/>
          <w:bCs/>
          <w:szCs w:val="20"/>
        </w:rPr>
        <w:lastRenderedPageBreak/>
        <w:t>nedaudz straujāk nekā pakalpojumu nozarēs – attiecīgi par 2,</w:t>
      </w:r>
      <w:r>
        <w:rPr>
          <w:rFonts w:cs="Calibri Light"/>
          <w:bCs/>
          <w:szCs w:val="20"/>
        </w:rPr>
        <w:t>6</w:t>
      </w:r>
      <w:r w:rsidR="0080669C">
        <w:rPr>
          <w:rFonts w:cs="Calibri Light"/>
          <w:bCs/>
          <w:szCs w:val="20"/>
        </w:rPr>
        <w:t>%</w:t>
      </w:r>
      <w:r w:rsidRPr="00434B56">
        <w:rPr>
          <w:rFonts w:cs="Calibri Light"/>
          <w:bCs/>
          <w:szCs w:val="20"/>
        </w:rPr>
        <w:t xml:space="preserve"> un </w:t>
      </w:r>
      <w:r>
        <w:rPr>
          <w:rFonts w:cs="Calibri Light"/>
          <w:bCs/>
          <w:szCs w:val="20"/>
        </w:rPr>
        <w:t>1</w:t>
      </w:r>
      <w:r w:rsidRPr="00434B56">
        <w:rPr>
          <w:rFonts w:cs="Calibri Light"/>
          <w:bCs/>
          <w:szCs w:val="20"/>
        </w:rPr>
        <w:t>,</w:t>
      </w:r>
      <w:r>
        <w:rPr>
          <w:rFonts w:cs="Calibri Light"/>
          <w:bCs/>
          <w:szCs w:val="20"/>
        </w:rPr>
        <w:t>8</w:t>
      </w:r>
      <w:r w:rsidR="0080669C">
        <w:rPr>
          <w:rFonts w:cs="Calibri Light"/>
          <w:bCs/>
          <w:szCs w:val="20"/>
        </w:rPr>
        <w:t>%</w:t>
      </w:r>
      <w:r w:rsidRPr="00434B56">
        <w:rPr>
          <w:rFonts w:cs="Calibri Light"/>
          <w:bCs/>
          <w:szCs w:val="20"/>
        </w:rPr>
        <w:t>. Tāpēc arī nominālais ULC pieaugums ražošanas nozarēs bija mērenāks.</w:t>
      </w:r>
    </w:p>
    <w:p w14:paraId="4648627C" w14:textId="77777777" w:rsidR="00867A48" w:rsidRPr="00B0556A" w:rsidRDefault="00867A48" w:rsidP="00867A48">
      <w:pPr>
        <w:spacing w:after="120"/>
        <w:jc w:val="both"/>
        <w:rPr>
          <w:rFonts w:cs="Calibri Light"/>
        </w:rPr>
      </w:pPr>
      <w:r w:rsidRPr="00B0556A">
        <w:rPr>
          <w:rFonts w:cs="Calibri Light"/>
        </w:rPr>
        <w:t>Ar Covid-19 pandēmiju saistītais šoks spēcīgāk ietekmē korekcijas produktu tirgū nekā darba tirgū. Pēdējo četru</w:t>
      </w:r>
      <w:r>
        <w:rPr>
          <w:rFonts w:cs="Calibri Light"/>
        </w:rPr>
        <w:t xml:space="preserve"> gad</w:t>
      </w:r>
      <w:r w:rsidRPr="00B0556A">
        <w:rPr>
          <w:rFonts w:cs="Calibri Light"/>
        </w:rPr>
        <w:t>u laikā (2020.-2023.</w:t>
      </w:r>
      <w:r>
        <w:rPr>
          <w:rFonts w:cs="Calibri Light"/>
        </w:rPr>
        <w:t>gads</w:t>
      </w:r>
      <w:r w:rsidRPr="00B0556A">
        <w:rPr>
          <w:rFonts w:cs="Calibri Light"/>
        </w:rPr>
        <w:t>) darbaspēka izmaksas gan ražošanas, gan pakalpojumu nozarēs pieauga, – attiecīgi par 41,9</w:t>
      </w:r>
      <w:r>
        <w:rPr>
          <w:rFonts w:cs="Calibri Light"/>
        </w:rPr>
        <w:t>%</w:t>
      </w:r>
      <w:r w:rsidRPr="00B0556A">
        <w:rPr>
          <w:rFonts w:cs="Calibri Light"/>
        </w:rPr>
        <w:t xml:space="preserve"> un 43,6</w:t>
      </w:r>
      <w:r>
        <w:rPr>
          <w:rFonts w:cs="Calibri Light"/>
        </w:rPr>
        <w:t>%</w:t>
      </w:r>
      <w:r w:rsidRPr="00B0556A">
        <w:rPr>
          <w:rFonts w:cs="Calibri Light"/>
        </w:rPr>
        <w:t>. Produktivitātes kāpums preču ražošanas nozarēs, gan arī pakalpojumu nozarēs pieauga daudz mērenāk un nespēja nosegt darbaspēka izmaksu kāpumu. Periodā no 2020.</w:t>
      </w:r>
      <w:r>
        <w:rPr>
          <w:rFonts w:cs="Calibri Light"/>
        </w:rPr>
        <w:t>gada</w:t>
      </w:r>
      <w:r w:rsidRPr="00B0556A">
        <w:rPr>
          <w:rFonts w:cs="Calibri Light"/>
        </w:rPr>
        <w:t xml:space="preserve"> līdz 2023.</w:t>
      </w:r>
      <w:r>
        <w:rPr>
          <w:rFonts w:cs="Calibri Light"/>
        </w:rPr>
        <w:t>gad</w:t>
      </w:r>
      <w:r w:rsidRPr="00B0556A">
        <w:rPr>
          <w:rFonts w:cs="Calibri Light"/>
        </w:rPr>
        <w:t>a ULC ražošanas nozarēs palielinājās par 34,6</w:t>
      </w:r>
      <w:r>
        <w:rPr>
          <w:rFonts w:cs="Calibri Light"/>
        </w:rPr>
        <w:t>%</w:t>
      </w:r>
      <w:r w:rsidRPr="00B0556A">
        <w:rPr>
          <w:rFonts w:cs="Calibri Light"/>
        </w:rPr>
        <w:t xml:space="preserve"> un pakalpojumu nozarēs – par 31,4</w:t>
      </w:r>
      <w:r>
        <w:rPr>
          <w:rFonts w:cs="Calibri Light"/>
        </w:rPr>
        <w:t>%</w:t>
      </w:r>
      <w:r w:rsidRPr="00B0556A">
        <w:rPr>
          <w:rFonts w:cs="Calibri Light"/>
        </w:rPr>
        <w:t>. Lielākais nominālā ULC kāpums pēdējos četros</w:t>
      </w:r>
      <w:r>
        <w:rPr>
          <w:rFonts w:cs="Calibri Light"/>
        </w:rPr>
        <w:t xml:space="preserve"> gad</w:t>
      </w:r>
      <w:r w:rsidRPr="00B0556A">
        <w:rPr>
          <w:rFonts w:cs="Calibri Light"/>
        </w:rPr>
        <w:t>os bija lauksaimniecības nozarē, kā arī būvniecības nozarē. Savukārt finanšu pakalpojumos produkcijas vienības darbaspēka izmaksas bija tikai par 5,7</w:t>
      </w:r>
      <w:r>
        <w:rPr>
          <w:rFonts w:cs="Calibri Light"/>
        </w:rPr>
        <w:t>%</w:t>
      </w:r>
      <w:r w:rsidRPr="00B0556A">
        <w:rPr>
          <w:rFonts w:cs="Calibri Light"/>
        </w:rPr>
        <w:t xml:space="preserve"> augstākā līmenī nekā 2019.</w:t>
      </w:r>
      <w:r>
        <w:rPr>
          <w:rFonts w:cs="Calibri Light"/>
        </w:rPr>
        <w:t>gad</w:t>
      </w:r>
      <w:r w:rsidRPr="00B0556A">
        <w:rPr>
          <w:rFonts w:cs="Calibri Light"/>
        </w:rPr>
        <w:t>ā, kas ir viszemākais ULC kāpums.</w:t>
      </w:r>
    </w:p>
    <w:p w14:paraId="61F70284" w14:textId="77777777" w:rsidR="00867A48" w:rsidRPr="009C07F0" w:rsidRDefault="00867A48" w:rsidP="00867A48">
      <w:pPr>
        <w:spacing w:after="120"/>
        <w:jc w:val="both"/>
        <w:rPr>
          <w:rFonts w:cs="Calibri Light"/>
        </w:rPr>
      </w:pPr>
      <w:r w:rsidRPr="009C07F0">
        <w:rPr>
          <w:rFonts w:cs="Calibri Light"/>
        </w:rPr>
        <w:t>Apstrādes rūpniecībā produktivitātes un darbaspēka izmaksu pieauguma tempu plaisa ir nedaudz mērenāka nekā vidēji tautsaimniecībā. Tomēr nominālā ULC ikgadējās izmaiņas ir visai svārstīgas, ko lielā mērā ietekmē preču tirgus konjunktūras faktori, kamēr darbaspēka izmaksām ir noturīga augšup vērsta dinamika. Pēdējo piecu</w:t>
      </w:r>
      <w:r>
        <w:rPr>
          <w:rFonts w:cs="Calibri Light"/>
        </w:rPr>
        <w:t xml:space="preserve"> gad</w:t>
      </w:r>
      <w:r w:rsidRPr="009C07F0">
        <w:rPr>
          <w:rFonts w:cs="Calibri Light"/>
        </w:rPr>
        <w:t>u laikā pirms Covid-19 pandēmijas (2015.-2019.</w:t>
      </w:r>
      <w:r>
        <w:rPr>
          <w:rFonts w:cs="Calibri Light"/>
        </w:rPr>
        <w:t>gads</w:t>
      </w:r>
      <w:r w:rsidRPr="009C07F0">
        <w:rPr>
          <w:rFonts w:cs="Calibri Light"/>
        </w:rPr>
        <w:t>) darbaspēka izmaksas apstrādes rūpniecībā auga gandrīz trīsreiz straujāk nekā produktivitāte.</w:t>
      </w:r>
    </w:p>
    <w:p w14:paraId="7451A637" w14:textId="7650477E" w:rsidR="00AA2E25" w:rsidRPr="00006814" w:rsidRDefault="00AA2E25" w:rsidP="00867A48">
      <w:pPr>
        <w:spacing w:after="120"/>
        <w:jc w:val="right"/>
        <w:rPr>
          <w:szCs w:val="20"/>
        </w:rPr>
      </w:pPr>
      <w:r w:rsidRPr="00006814">
        <w:rPr>
          <w:szCs w:val="20"/>
        </w:rPr>
        <w:t>1.16. attēls</w:t>
      </w:r>
    </w:p>
    <w:tbl>
      <w:tblPr>
        <w:tblW w:w="9388" w:type="dxa"/>
        <w:jc w:val="center"/>
        <w:shd w:val="clear" w:color="auto" w:fill="FFFFFF"/>
        <w:tblLook w:val="0420" w:firstRow="1" w:lastRow="0" w:firstColumn="0" w:lastColumn="0" w:noHBand="0" w:noVBand="1"/>
      </w:tblPr>
      <w:tblGrid>
        <w:gridCol w:w="4756"/>
        <w:gridCol w:w="4694"/>
      </w:tblGrid>
      <w:tr w:rsidR="00AA2E25" w:rsidRPr="00006814" w14:paraId="0B8F5C85" w14:textId="77777777" w:rsidTr="0C922411">
        <w:trPr>
          <w:trHeight w:val="22"/>
          <w:jc w:val="center"/>
        </w:trPr>
        <w:tc>
          <w:tcPr>
            <w:tcW w:w="9388" w:type="dxa"/>
            <w:gridSpan w:val="2"/>
            <w:shd w:val="clear" w:color="auto" w:fill="FFFFFF" w:themeFill="background1"/>
            <w:hideMark/>
          </w:tcPr>
          <w:p w14:paraId="7B627780" w14:textId="77777777" w:rsidR="00AA2E25" w:rsidRPr="00006814" w:rsidRDefault="00AA2E25" w:rsidP="00867A48">
            <w:pPr>
              <w:spacing w:after="120"/>
              <w:jc w:val="center"/>
              <w:rPr>
                <w:rFonts w:ascii="Segoe UI Light" w:hAnsi="Segoe UI Light" w:cs="Segoe UI Light"/>
                <w:b/>
                <w:bCs/>
                <w:sz w:val="18"/>
                <w:szCs w:val="18"/>
              </w:rPr>
            </w:pPr>
            <w:r w:rsidRPr="00006814">
              <w:rPr>
                <w:rFonts w:ascii="Segoe UI Light" w:hAnsi="Segoe UI Light" w:cs="Segoe UI Light"/>
                <w:b/>
                <w:bCs/>
                <w:sz w:val="18"/>
                <w:szCs w:val="18"/>
              </w:rPr>
              <w:t>ULC, darbaspēka izmaksas un produktivitāte</w:t>
            </w:r>
          </w:p>
        </w:tc>
      </w:tr>
      <w:tr w:rsidR="00AA2E25" w:rsidRPr="00006814" w14:paraId="53BA3252" w14:textId="77777777" w:rsidTr="0C922411">
        <w:trPr>
          <w:trHeight w:val="22"/>
          <w:jc w:val="center"/>
        </w:trPr>
        <w:tc>
          <w:tcPr>
            <w:tcW w:w="4694" w:type="dxa"/>
            <w:shd w:val="clear" w:color="auto" w:fill="FFFFFF" w:themeFill="background1"/>
            <w:vAlign w:val="center"/>
            <w:hideMark/>
          </w:tcPr>
          <w:p w14:paraId="15DD06E7" w14:textId="77777777" w:rsidR="00AA2E25" w:rsidRPr="00006814" w:rsidRDefault="00AA2E25" w:rsidP="00867A48">
            <w:pPr>
              <w:spacing w:after="120"/>
              <w:jc w:val="center"/>
              <w:rPr>
                <w:rFonts w:ascii="Segoe UI Light" w:hAnsi="Segoe UI Light" w:cs="Segoe UI Light"/>
                <w:sz w:val="16"/>
                <w:szCs w:val="16"/>
              </w:rPr>
            </w:pPr>
            <w:r w:rsidRPr="00006814">
              <w:rPr>
                <w:rFonts w:ascii="Segoe UI Light" w:hAnsi="Segoe UI Light" w:cs="Segoe UI Light"/>
                <w:b/>
                <w:bCs/>
                <w:sz w:val="18"/>
                <w:szCs w:val="18"/>
              </w:rPr>
              <w:t>Tautsaimniecības nozarēs</w:t>
            </w:r>
            <w:r w:rsidRPr="00006814">
              <w:rPr>
                <w:rFonts w:ascii="Segoe UI Light" w:hAnsi="Segoe UI Light" w:cs="Segoe UI Light"/>
                <w:b/>
                <w:bCs/>
                <w:sz w:val="18"/>
                <w:szCs w:val="18"/>
              </w:rPr>
              <w:br/>
            </w:r>
            <w:r w:rsidRPr="00006814">
              <w:rPr>
                <w:rFonts w:ascii="Segoe UI Light" w:hAnsi="Segoe UI Light" w:cs="Segoe UI Light"/>
                <w:i/>
                <w:sz w:val="16"/>
                <w:szCs w:val="16"/>
              </w:rPr>
              <w:t>procentos</w:t>
            </w:r>
          </w:p>
        </w:tc>
        <w:tc>
          <w:tcPr>
            <w:tcW w:w="4694" w:type="dxa"/>
            <w:shd w:val="clear" w:color="auto" w:fill="FFFFFF" w:themeFill="background1"/>
            <w:vAlign w:val="center"/>
            <w:hideMark/>
          </w:tcPr>
          <w:p w14:paraId="5B5E8251" w14:textId="77777777" w:rsidR="00AA2E25" w:rsidRPr="00006814" w:rsidRDefault="00AA2E25" w:rsidP="00867A48">
            <w:pPr>
              <w:spacing w:before="40" w:after="120"/>
              <w:jc w:val="center"/>
              <w:rPr>
                <w:rFonts w:ascii="Segoe UI Light" w:hAnsi="Segoe UI Light" w:cs="Segoe UI Light"/>
                <w:b/>
                <w:bCs/>
                <w:sz w:val="18"/>
                <w:szCs w:val="18"/>
              </w:rPr>
            </w:pPr>
            <w:r w:rsidRPr="00006814">
              <w:rPr>
                <w:rFonts w:ascii="Segoe UI Light" w:hAnsi="Segoe UI Light" w:cs="Segoe UI Light"/>
                <w:b/>
                <w:bCs/>
                <w:sz w:val="18"/>
                <w:szCs w:val="18"/>
              </w:rPr>
              <w:t>Apstrādes rūpniecībā</w:t>
            </w:r>
          </w:p>
        </w:tc>
      </w:tr>
      <w:tr w:rsidR="00AA2E25" w:rsidRPr="00006814" w14:paraId="575CC28B" w14:textId="77777777" w:rsidTr="0C922411">
        <w:trPr>
          <w:trHeight w:val="22"/>
          <w:jc w:val="center"/>
        </w:trPr>
        <w:tc>
          <w:tcPr>
            <w:tcW w:w="4694" w:type="dxa"/>
            <w:shd w:val="clear" w:color="auto" w:fill="FFFFFF" w:themeFill="background1"/>
            <w:hideMark/>
          </w:tcPr>
          <w:p w14:paraId="292945EA" w14:textId="6920A639" w:rsidR="00AA2E25" w:rsidRPr="00006814" w:rsidRDefault="00AA2E25" w:rsidP="00867A48">
            <w:pPr>
              <w:tabs>
                <w:tab w:val="center" w:pos="1314"/>
                <w:tab w:val="center" w:pos="3298"/>
              </w:tabs>
              <w:spacing w:before="40" w:after="120"/>
              <w:rPr>
                <w:rFonts w:ascii="Segoe UI Light" w:hAnsi="Segoe UI Light" w:cs="Segoe UI Light"/>
                <w:sz w:val="16"/>
                <w:szCs w:val="16"/>
              </w:rPr>
            </w:pPr>
            <w:r w:rsidRPr="004A62C0">
              <w:rPr>
                <w:rFonts w:ascii="Segoe UI Light" w:hAnsi="Segoe UI Light" w:cs="Segoe UI Light"/>
                <w:noProof/>
                <w:sz w:val="16"/>
                <w:szCs w:val="16"/>
                <w:lang w:eastAsia="lv-LV"/>
              </w:rPr>
              <w:drawing>
                <wp:inline distT="0" distB="0" distL="0" distR="0" wp14:anchorId="2EF05034" wp14:editId="199128CA">
                  <wp:extent cx="2882900" cy="180000"/>
                  <wp:effectExtent l="0" t="0" r="0" b="0"/>
                  <wp:docPr id="52"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D81510" w:rsidRPr="004A62C0">
              <w:rPr>
                <w:rFonts w:ascii="Segoe UI Light" w:hAnsi="Segoe UI Light" w:cs="Segoe UI Light"/>
                <w:noProof/>
                <w:sz w:val="16"/>
                <w:szCs w:val="16"/>
                <w:lang w:eastAsia="lv-LV"/>
              </w:rPr>
              <w:t xml:space="preserve"> </w:t>
            </w:r>
            <w:r w:rsidR="00D81510" w:rsidRPr="004A62C0">
              <w:rPr>
                <w:rFonts w:ascii="Segoe UI Light" w:hAnsi="Segoe UI Light" w:cs="Segoe UI Light"/>
                <w:noProof/>
                <w:sz w:val="16"/>
                <w:szCs w:val="16"/>
                <w:lang w:eastAsia="lv-LV"/>
              </w:rPr>
              <w:drawing>
                <wp:inline distT="0" distB="0" distL="0" distR="0" wp14:anchorId="39B67587" wp14:editId="09F9121A">
                  <wp:extent cx="1440000" cy="1836000"/>
                  <wp:effectExtent l="0" t="0" r="0" b="0"/>
                  <wp:docPr id="68" name="Chart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D81510" w:rsidRPr="004A62C0">
              <w:rPr>
                <w:rFonts w:ascii="Segoe UI Light" w:hAnsi="Segoe UI Light" w:cs="Segoe UI Light"/>
                <w:noProof/>
                <w:sz w:val="16"/>
                <w:szCs w:val="16"/>
                <w:lang w:eastAsia="lv-LV"/>
              </w:rPr>
              <w:drawing>
                <wp:inline distT="0" distB="0" distL="0" distR="0" wp14:anchorId="0FB8C562" wp14:editId="7FF01C6C">
                  <wp:extent cx="1260000" cy="1836000"/>
                  <wp:effectExtent l="0" t="0" r="0" b="0"/>
                  <wp:docPr id="72" name="Chart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D81510" w:rsidRPr="00006814">
              <w:rPr>
                <w:rFonts w:ascii="Segoe UI Light" w:hAnsi="Segoe UI Light" w:cs="Segoe UI Light"/>
                <w:sz w:val="16"/>
                <w:szCs w:val="16"/>
              </w:rPr>
              <w:br/>
            </w:r>
            <w:r w:rsidR="00D81510" w:rsidRPr="00006814">
              <w:rPr>
                <w:rFonts w:ascii="Segoe UI Light" w:hAnsi="Segoe UI Light" w:cs="Segoe UI Light"/>
                <w:sz w:val="16"/>
                <w:szCs w:val="16"/>
              </w:rPr>
              <w:tab/>
              <w:t>Ražošanas nozares</w:t>
            </w:r>
            <w:r w:rsidR="00D81510" w:rsidRPr="00006814">
              <w:rPr>
                <w:rFonts w:ascii="Segoe UI Light" w:hAnsi="Segoe UI Light" w:cs="Segoe UI Light"/>
                <w:sz w:val="16"/>
                <w:szCs w:val="16"/>
              </w:rPr>
              <w:tab/>
              <w:t>Pakalpojumu nozares</w:t>
            </w:r>
          </w:p>
        </w:tc>
        <w:tc>
          <w:tcPr>
            <w:tcW w:w="4694" w:type="dxa"/>
            <w:shd w:val="clear" w:color="auto" w:fill="FFFFFF" w:themeFill="background1"/>
          </w:tcPr>
          <w:p w14:paraId="2F6BD87B" w14:textId="77777777" w:rsidR="00AA2E25" w:rsidRPr="00006814" w:rsidRDefault="00AA2E25" w:rsidP="00867A48">
            <w:pPr>
              <w:spacing w:before="40" w:after="120"/>
              <w:jc w:val="center"/>
              <w:rPr>
                <w:rFonts w:ascii="Segoe UI Light" w:hAnsi="Segoe UI Light" w:cs="Segoe UI Light"/>
                <w:sz w:val="16"/>
                <w:szCs w:val="16"/>
              </w:rPr>
            </w:pPr>
            <w:r w:rsidRPr="00006814">
              <w:rPr>
                <w:rFonts w:ascii="Segoe UI Light" w:hAnsi="Segoe UI Light" w:cs="Segoe UI Light"/>
                <w:b/>
                <w:noProof/>
                <w:sz w:val="16"/>
                <w:szCs w:val="16"/>
                <w:lang w:eastAsia="lv-LV"/>
              </w:rPr>
              <w:drawing>
                <wp:inline distT="0" distB="0" distL="0" distR="0" wp14:anchorId="73F3A751" wp14:editId="5442B3F8">
                  <wp:extent cx="2844000" cy="2160000"/>
                  <wp:effectExtent l="0" t="0" r="0" b="0"/>
                  <wp:docPr id="82" name="Chart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1CA042DD" w14:textId="77777777" w:rsidR="00AA2E25" w:rsidRPr="00D81510" w:rsidRDefault="00AA2E25" w:rsidP="00867A48">
      <w:pPr>
        <w:spacing w:before="120" w:after="120"/>
        <w:jc w:val="both"/>
        <w:rPr>
          <w:rFonts w:cs="Calibri Light"/>
          <w:bCs/>
          <w:sz w:val="16"/>
          <w:szCs w:val="16"/>
        </w:rPr>
      </w:pPr>
      <w:r w:rsidRPr="00D81510">
        <w:rPr>
          <w:rFonts w:cs="Calibri Light"/>
          <w:bCs/>
          <w:sz w:val="16"/>
          <w:szCs w:val="16"/>
        </w:rPr>
        <w:t xml:space="preserve">Avots: </w:t>
      </w:r>
      <w:proofErr w:type="spellStart"/>
      <w:r w:rsidRPr="00914892">
        <w:rPr>
          <w:rFonts w:cs="Calibri Light"/>
          <w:i/>
          <w:sz w:val="16"/>
          <w:szCs w:val="16"/>
        </w:rPr>
        <w:t>Eurostat</w:t>
      </w:r>
      <w:proofErr w:type="spellEnd"/>
    </w:p>
    <w:p w14:paraId="629DC810" w14:textId="77777777" w:rsidR="00D81510" w:rsidRDefault="00D81510" w:rsidP="00867A48">
      <w:pPr>
        <w:spacing w:after="120"/>
        <w:jc w:val="both"/>
        <w:rPr>
          <w:rFonts w:cs="Calibri Light"/>
        </w:rPr>
      </w:pPr>
    </w:p>
    <w:p w14:paraId="5B3A1D0F" w14:textId="3B250BBE" w:rsidR="00AA2E25" w:rsidRDefault="00AA2E25" w:rsidP="00867A48">
      <w:pPr>
        <w:spacing w:after="120"/>
        <w:jc w:val="both"/>
        <w:rPr>
          <w:rFonts w:cs="Calibri Light"/>
        </w:rPr>
      </w:pPr>
      <w:r w:rsidRPr="004A33AE">
        <w:rPr>
          <w:rFonts w:cs="Calibri Light"/>
        </w:rPr>
        <w:t>2020.</w:t>
      </w:r>
      <w:r w:rsidR="0080669C">
        <w:rPr>
          <w:rFonts w:cs="Calibri Light"/>
        </w:rPr>
        <w:t>gad</w:t>
      </w:r>
      <w:r w:rsidRPr="004A33AE">
        <w:rPr>
          <w:rFonts w:cs="Calibri Light"/>
        </w:rPr>
        <w:t>ā produktivitāte pieauga straujāk nekā darbaspēka izmaksas – attiecīgi par 3,6</w:t>
      </w:r>
      <w:r w:rsidR="0080669C">
        <w:rPr>
          <w:rFonts w:cs="Calibri Light"/>
        </w:rPr>
        <w:t>%</w:t>
      </w:r>
      <w:r w:rsidRPr="004A33AE">
        <w:rPr>
          <w:rFonts w:cs="Calibri Light"/>
        </w:rPr>
        <w:t xml:space="preserve"> un 2,6</w:t>
      </w:r>
      <w:r w:rsidR="0080669C">
        <w:rPr>
          <w:rFonts w:cs="Calibri Light"/>
        </w:rPr>
        <w:t>%</w:t>
      </w:r>
      <w:r w:rsidRPr="004A33AE">
        <w:rPr>
          <w:rFonts w:cs="Calibri Light"/>
        </w:rPr>
        <w:t>, samazinot produkcijas vienības nominālās darbaspēka izmaksas par gandrīz 1</w:t>
      </w:r>
      <w:r w:rsidR="0080669C">
        <w:rPr>
          <w:rFonts w:cs="Calibri Light"/>
        </w:rPr>
        <w:t>%</w:t>
      </w:r>
      <w:r w:rsidRPr="004A33AE">
        <w:rPr>
          <w:rFonts w:cs="Calibri Light"/>
        </w:rPr>
        <w:t>. Tas liecina, ka Covid-19 pandēmijas ierobežojošo pasākumu ietekmē nodarbināto skaita izmaiņas bija spēcīgākas nekā ražošanas apjomu samazinājums, bet darbaspēka izmaksas apstrādes rūpniecības nozares uzņēmumos turpināja palielināties.</w:t>
      </w:r>
    </w:p>
    <w:p w14:paraId="2F925BC0" w14:textId="77777777" w:rsidR="004A7152" w:rsidRPr="004A33AE" w:rsidRDefault="004A7152" w:rsidP="004A7152">
      <w:pPr>
        <w:spacing w:after="120"/>
        <w:jc w:val="both"/>
        <w:rPr>
          <w:rFonts w:cs="Calibri Light"/>
        </w:rPr>
      </w:pPr>
      <w:r w:rsidRPr="004A33AE">
        <w:rPr>
          <w:rFonts w:cs="Calibri Light"/>
        </w:rPr>
        <w:t>2021.</w:t>
      </w:r>
      <w:r>
        <w:rPr>
          <w:rFonts w:cs="Calibri Light"/>
        </w:rPr>
        <w:t>gad</w:t>
      </w:r>
      <w:r w:rsidRPr="004A33AE">
        <w:rPr>
          <w:rFonts w:cs="Calibri Light"/>
        </w:rPr>
        <w:t>ā apstrādes rūpniecībā produktivitātes dinamika bija nedaudz mērenāka par darbaspēka izmaksu dinamiku. Salīdzinot ar iepriekšējo</w:t>
      </w:r>
      <w:r>
        <w:rPr>
          <w:rFonts w:cs="Calibri Light"/>
        </w:rPr>
        <w:t xml:space="preserve"> gad</w:t>
      </w:r>
      <w:r w:rsidRPr="004A33AE">
        <w:rPr>
          <w:rFonts w:cs="Calibri Light"/>
        </w:rPr>
        <w:t>u, produktivitāte nozarē pieauga par 5,4</w:t>
      </w:r>
      <w:r>
        <w:rPr>
          <w:rFonts w:cs="Calibri Light"/>
        </w:rPr>
        <w:t>%</w:t>
      </w:r>
      <w:r w:rsidRPr="004A33AE">
        <w:rPr>
          <w:rFonts w:cs="Calibri Light"/>
        </w:rPr>
        <w:t>, bet darbaspēka izmaksas– par 5,7</w:t>
      </w:r>
      <w:r>
        <w:rPr>
          <w:rFonts w:cs="Calibri Light"/>
        </w:rPr>
        <w:t>%</w:t>
      </w:r>
      <w:r w:rsidRPr="004A33AE">
        <w:rPr>
          <w:rFonts w:cs="Calibri Light"/>
        </w:rPr>
        <w:t>. Salīdzinoši vienmērīgs produktivitātes un darbaspēka izmaksu kāpums noturēja nozares izmaksu konkurētspēju iepriekšējā</w:t>
      </w:r>
      <w:r>
        <w:rPr>
          <w:rFonts w:cs="Calibri Light"/>
        </w:rPr>
        <w:t xml:space="preserve"> gad</w:t>
      </w:r>
      <w:r w:rsidRPr="004A33AE">
        <w:rPr>
          <w:rFonts w:cs="Calibri Light"/>
        </w:rPr>
        <w:t>a līmenī – nominālais ULC palielinājās tikai par 0,2</w:t>
      </w:r>
      <w:r>
        <w:rPr>
          <w:rFonts w:cs="Calibri Light"/>
        </w:rPr>
        <w:t>%</w:t>
      </w:r>
      <w:r w:rsidRPr="004A33AE">
        <w:rPr>
          <w:rFonts w:cs="Calibri Light"/>
        </w:rPr>
        <w:t>. Savukārt 202</w:t>
      </w:r>
      <w:r>
        <w:rPr>
          <w:rFonts w:cs="Calibri Light"/>
        </w:rPr>
        <w:t>1</w:t>
      </w:r>
      <w:r w:rsidRPr="004A33AE">
        <w:rPr>
          <w:rFonts w:cs="Calibri Light"/>
        </w:rPr>
        <w:t>.</w:t>
      </w:r>
      <w:r>
        <w:rPr>
          <w:rFonts w:cs="Calibri Light"/>
        </w:rPr>
        <w:t>gadā un 2022.gad</w:t>
      </w:r>
      <w:r w:rsidRPr="004A33AE">
        <w:rPr>
          <w:rFonts w:cs="Calibri Light"/>
        </w:rPr>
        <w:t xml:space="preserve">ā tendences ir krasi mainījušās – nominālais ULC apstrādes rūpniecībā </w:t>
      </w:r>
      <w:r>
        <w:rPr>
          <w:rFonts w:cs="Calibri Light"/>
        </w:rPr>
        <w:t xml:space="preserve"> </w:t>
      </w:r>
      <w:r w:rsidRPr="004A33AE">
        <w:rPr>
          <w:rFonts w:cs="Calibri Light"/>
        </w:rPr>
        <w:t xml:space="preserve">pieauga </w:t>
      </w:r>
      <w:r>
        <w:rPr>
          <w:rFonts w:cs="Calibri Light"/>
        </w:rPr>
        <w:t xml:space="preserve">attiecīgi </w:t>
      </w:r>
      <w:r w:rsidRPr="004A33AE">
        <w:rPr>
          <w:rFonts w:cs="Calibri Light"/>
        </w:rPr>
        <w:t>par 13,5</w:t>
      </w:r>
      <w:r>
        <w:rPr>
          <w:rFonts w:cs="Calibri Light"/>
        </w:rPr>
        <w:t>% un 16%</w:t>
      </w:r>
      <w:r w:rsidRPr="004A33AE">
        <w:rPr>
          <w:rFonts w:cs="Calibri Light"/>
        </w:rPr>
        <w:t>, ko galvenokārt noteica straujš darbaspēka izmaksu kāpums</w:t>
      </w:r>
      <w:r>
        <w:rPr>
          <w:rFonts w:cs="Calibri Light"/>
        </w:rPr>
        <w:t>.</w:t>
      </w:r>
    </w:p>
    <w:p w14:paraId="1CD6A8BF" w14:textId="77777777" w:rsidR="004A7152" w:rsidRPr="00E402D3" w:rsidRDefault="004A7152" w:rsidP="004A7152">
      <w:pPr>
        <w:spacing w:after="120"/>
        <w:jc w:val="both"/>
        <w:rPr>
          <w:rFonts w:cs="Calibri Light"/>
          <w:bCs/>
          <w:szCs w:val="20"/>
        </w:rPr>
      </w:pPr>
      <w:r w:rsidRPr="00E402D3">
        <w:rPr>
          <w:rFonts w:cs="Calibri Light"/>
          <w:bCs/>
          <w:szCs w:val="20"/>
        </w:rPr>
        <w:t>Darbaspēka izmaksu dinamika Latvijas apstrādes rūpniecībā būtiski pārsniedz ES vidējos darbaspēka izmaksu un nominālā ULC pieauguma tempus. Ņemot vērā to, ka ES valstis ir mūsu galvenie tirdzniecības partneri, šādas tendences mazina Latvijas ražotāju konkurētspēju izmaksu jomā.</w:t>
      </w:r>
    </w:p>
    <w:p w14:paraId="157DD8F7" w14:textId="77777777" w:rsidR="004A7152" w:rsidRPr="00E402D3" w:rsidRDefault="004A7152" w:rsidP="004A7152">
      <w:pPr>
        <w:spacing w:after="120"/>
        <w:ind w:right="-1"/>
        <w:jc w:val="both"/>
        <w:rPr>
          <w:rFonts w:cs="Calibri Light"/>
          <w:bCs/>
          <w:szCs w:val="20"/>
        </w:rPr>
      </w:pPr>
      <w:r w:rsidRPr="00E402D3">
        <w:rPr>
          <w:rFonts w:cs="Calibri Light"/>
          <w:bCs/>
          <w:szCs w:val="20"/>
        </w:rPr>
        <w:t>Ilgtermiņā darbaspēka izmaksu pieaugums, kas netiks kompensēts ar atbilstošu produktivitātes kāpumu, var negatīvi ietekmēt uzņēmumu konkurētspēju un samazināt peļņas daļu, ko uzņēmēji būs spiesti koriģēt, lai saglabātu cenu konkurētspēju ārējos tirgos.</w:t>
      </w:r>
    </w:p>
    <w:p w14:paraId="17405A8F" w14:textId="061A194A" w:rsidR="004A7152" w:rsidRPr="004A33AE" w:rsidRDefault="004A7152" w:rsidP="00867A48">
      <w:pPr>
        <w:spacing w:after="120"/>
        <w:jc w:val="both"/>
        <w:rPr>
          <w:rFonts w:cs="Calibri Light"/>
        </w:rPr>
      </w:pPr>
      <w:r w:rsidRPr="004A7152">
        <w:rPr>
          <w:rFonts w:cs="Calibri Light"/>
        </w:rPr>
        <w:t xml:space="preserve">Darbaspēka izmaksas Latvijā ir vienas no zemākajām ES dalībvalstīs. 2023.gadā darbaspēka izmaksas uz vienu nodarbināto tautsaimniecībā kopumā Latvijā bija gandrīz 59% no ES vidējā līmeņa, tostarp apstrādes rūpniecībā – 46,2%. Salīdzinot ar 2019.gadu, 2023.gadā darbaspēka izmaksu plaisa ir samazinājusies par 12,1 procentpunktiem </w:t>
      </w:r>
      <w:r w:rsidRPr="004A7152">
        <w:rPr>
          <w:rFonts w:cs="Calibri Light"/>
        </w:rPr>
        <w:lastRenderedPageBreak/>
        <w:t>(apstrādes rūpniecībā – par 8,7 procentpunktiem), savukārt pēc produktivitātes rādītāja tautsaimniecībā kopumā tā samazinājās par 7,7 procentpunktiem (apstrādes rūpniecībā – par 7,1 procentpunktiem). Tas nozīmē, ka pēdējos gados darbaspēka izmaksu (algu) konverģences temps ir straujāks nekā produktivitātes.</w:t>
      </w:r>
    </w:p>
    <w:p w14:paraId="591CF980" w14:textId="33382FE2" w:rsidR="00AA2E25" w:rsidRPr="00006814" w:rsidRDefault="00AA2E25" w:rsidP="00867A48">
      <w:pPr>
        <w:spacing w:after="120"/>
        <w:jc w:val="right"/>
        <w:rPr>
          <w:rFonts w:ascii="Verdana Pro Cond Light" w:hAnsi="Verdana Pro Cond Light"/>
          <w:sz w:val="18"/>
          <w:szCs w:val="18"/>
        </w:rPr>
      </w:pPr>
      <w:r w:rsidRPr="00006814">
        <w:rPr>
          <w:rFonts w:ascii="Verdana Pro Cond Light" w:hAnsi="Verdana Pro Cond Light"/>
          <w:sz w:val="18"/>
          <w:szCs w:val="18"/>
        </w:rPr>
        <w:t>1.17. attēls</w:t>
      </w:r>
    </w:p>
    <w:tbl>
      <w:tblPr>
        <w:tblW w:w="9634" w:type="dxa"/>
        <w:jc w:val="center"/>
        <w:shd w:val="clear" w:color="auto" w:fill="FFFFFF"/>
        <w:tblLook w:val="0420" w:firstRow="1" w:lastRow="0" w:firstColumn="0" w:lastColumn="0" w:noHBand="0" w:noVBand="1"/>
      </w:tblPr>
      <w:tblGrid>
        <w:gridCol w:w="4816"/>
        <w:gridCol w:w="4818"/>
      </w:tblGrid>
      <w:tr w:rsidR="00AA2E25" w:rsidRPr="00006814" w14:paraId="5C33253D" w14:textId="77777777" w:rsidTr="0C922411">
        <w:trPr>
          <w:trHeight w:val="392"/>
          <w:jc w:val="center"/>
        </w:trPr>
        <w:tc>
          <w:tcPr>
            <w:tcW w:w="9634" w:type="dxa"/>
            <w:gridSpan w:val="2"/>
            <w:shd w:val="clear" w:color="auto" w:fill="FFFFFF" w:themeFill="background1"/>
            <w:hideMark/>
          </w:tcPr>
          <w:p w14:paraId="479C8F52" w14:textId="77777777" w:rsidR="00AA2E25" w:rsidRPr="00006814" w:rsidRDefault="00AA2E25" w:rsidP="00867A48">
            <w:pPr>
              <w:spacing w:after="120"/>
              <w:jc w:val="center"/>
              <w:rPr>
                <w:rFonts w:ascii="Segoe UI Light" w:hAnsi="Segoe UI Light" w:cs="Segoe UI Light"/>
                <w:b/>
                <w:bCs/>
                <w:sz w:val="18"/>
                <w:szCs w:val="18"/>
              </w:rPr>
            </w:pPr>
            <w:r w:rsidRPr="00006814">
              <w:rPr>
                <w:rFonts w:ascii="Segoe UI Light" w:hAnsi="Segoe UI Light" w:cs="Segoe UI Light"/>
                <w:b/>
                <w:bCs/>
                <w:sz w:val="18"/>
                <w:szCs w:val="18"/>
              </w:rPr>
              <w:t>Produktivitātes un darbaspēka izmaksu konverģence ar ES vidējo līmeni</w:t>
            </w:r>
            <w:r w:rsidRPr="00006814">
              <w:rPr>
                <w:rFonts w:ascii="Segoe UI Light" w:hAnsi="Segoe UI Light" w:cs="Segoe UI Light"/>
                <w:b/>
                <w:bCs/>
                <w:sz w:val="18"/>
                <w:szCs w:val="18"/>
              </w:rPr>
              <w:br/>
            </w:r>
            <w:r w:rsidRPr="00006814">
              <w:rPr>
                <w:rFonts w:ascii="Segoe UI Light" w:hAnsi="Segoe UI Light" w:cs="Segoe UI Light"/>
                <w:i/>
                <w:sz w:val="16"/>
                <w:szCs w:val="18"/>
              </w:rPr>
              <w:t>procentos no ES-2</w:t>
            </w:r>
            <w:r>
              <w:rPr>
                <w:rFonts w:ascii="Segoe UI Light" w:hAnsi="Segoe UI Light" w:cs="Segoe UI Light"/>
                <w:i/>
                <w:sz w:val="16"/>
                <w:szCs w:val="18"/>
              </w:rPr>
              <w:t>7</w:t>
            </w:r>
            <w:r w:rsidRPr="00006814">
              <w:rPr>
                <w:rFonts w:ascii="Segoe UI Light" w:hAnsi="Segoe UI Light" w:cs="Segoe UI Light"/>
                <w:i/>
                <w:sz w:val="16"/>
                <w:szCs w:val="18"/>
              </w:rPr>
              <w:t xml:space="preserve"> vidējā līmeņa</w:t>
            </w:r>
          </w:p>
        </w:tc>
      </w:tr>
      <w:tr w:rsidR="00AA2E25" w:rsidRPr="00006814" w14:paraId="42AE8C49" w14:textId="77777777" w:rsidTr="0C922411">
        <w:trPr>
          <w:trHeight w:val="213"/>
          <w:jc w:val="center"/>
        </w:trPr>
        <w:tc>
          <w:tcPr>
            <w:tcW w:w="4816" w:type="dxa"/>
            <w:shd w:val="clear" w:color="auto" w:fill="FFFFFF" w:themeFill="background1"/>
            <w:vAlign w:val="center"/>
            <w:hideMark/>
          </w:tcPr>
          <w:p w14:paraId="312876F1" w14:textId="77777777" w:rsidR="00AA2E25" w:rsidRPr="00006814" w:rsidRDefault="00AA2E25" w:rsidP="00867A48">
            <w:pPr>
              <w:spacing w:after="120"/>
              <w:jc w:val="center"/>
              <w:rPr>
                <w:rFonts w:ascii="Segoe UI Light" w:hAnsi="Segoe UI Light" w:cs="Segoe UI Light"/>
                <w:sz w:val="16"/>
                <w:szCs w:val="16"/>
              </w:rPr>
            </w:pPr>
            <w:r w:rsidRPr="00006814">
              <w:rPr>
                <w:rFonts w:ascii="Segoe UI Light" w:hAnsi="Segoe UI Light" w:cs="Segoe UI Light"/>
                <w:sz w:val="16"/>
                <w:szCs w:val="16"/>
              </w:rPr>
              <w:t>Produktivitāte</w:t>
            </w:r>
          </w:p>
        </w:tc>
        <w:tc>
          <w:tcPr>
            <w:tcW w:w="4818" w:type="dxa"/>
            <w:shd w:val="clear" w:color="auto" w:fill="FFFFFF" w:themeFill="background1"/>
            <w:vAlign w:val="center"/>
            <w:hideMark/>
          </w:tcPr>
          <w:p w14:paraId="7867D6F6" w14:textId="77777777" w:rsidR="00AA2E25" w:rsidRPr="00006814" w:rsidRDefault="00AA2E25" w:rsidP="00867A48">
            <w:pPr>
              <w:spacing w:after="120"/>
              <w:jc w:val="center"/>
              <w:rPr>
                <w:rFonts w:ascii="Segoe UI Light" w:hAnsi="Segoe UI Light" w:cs="Segoe UI Light"/>
                <w:sz w:val="16"/>
                <w:szCs w:val="16"/>
              </w:rPr>
            </w:pPr>
            <w:r w:rsidRPr="00006814">
              <w:rPr>
                <w:rFonts w:ascii="Segoe UI Light" w:hAnsi="Segoe UI Light" w:cs="Segoe UI Light"/>
                <w:sz w:val="16"/>
                <w:szCs w:val="16"/>
              </w:rPr>
              <w:t>Darbaspēka izmaksas</w:t>
            </w:r>
          </w:p>
        </w:tc>
      </w:tr>
      <w:tr w:rsidR="00AA2E25" w:rsidRPr="00006814" w14:paraId="259BFAAF" w14:textId="77777777" w:rsidTr="0C922411">
        <w:trPr>
          <w:trHeight w:val="2626"/>
          <w:jc w:val="center"/>
        </w:trPr>
        <w:tc>
          <w:tcPr>
            <w:tcW w:w="9634" w:type="dxa"/>
            <w:gridSpan w:val="2"/>
            <w:shd w:val="clear" w:color="auto" w:fill="FFFFFF" w:themeFill="background1"/>
            <w:hideMark/>
          </w:tcPr>
          <w:p w14:paraId="3D489C2B" w14:textId="77777777" w:rsidR="00AA2E25" w:rsidRPr="00006814" w:rsidRDefault="00AA2E25" w:rsidP="00867A48">
            <w:pPr>
              <w:spacing w:before="40" w:after="120"/>
              <w:jc w:val="center"/>
              <w:rPr>
                <w:rFonts w:cs="Calibri Light"/>
                <w:sz w:val="18"/>
                <w:szCs w:val="18"/>
              </w:rPr>
            </w:pPr>
            <w:r w:rsidRPr="00006814">
              <w:rPr>
                <w:rFonts w:cs="Calibri Light"/>
                <w:b/>
                <w:noProof/>
                <w:sz w:val="18"/>
                <w:szCs w:val="18"/>
                <w:lang w:eastAsia="lv-LV"/>
              </w:rPr>
              <w:drawing>
                <wp:inline distT="0" distB="0" distL="0" distR="0" wp14:anchorId="3006F6CB" wp14:editId="330DF45E">
                  <wp:extent cx="2844000" cy="2160000"/>
                  <wp:effectExtent l="0" t="0" r="0" b="0"/>
                  <wp:docPr id="83" name="Chart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06814">
              <w:rPr>
                <w:rFonts w:cs="Calibri Light"/>
                <w:b/>
                <w:noProof/>
                <w:sz w:val="18"/>
                <w:szCs w:val="18"/>
                <w:lang w:eastAsia="lv-LV"/>
              </w:rPr>
              <w:drawing>
                <wp:inline distT="0" distB="0" distL="0" distR="0" wp14:anchorId="4845ADA4" wp14:editId="39649902">
                  <wp:extent cx="2844000" cy="2160000"/>
                  <wp:effectExtent l="0" t="0" r="0" b="0"/>
                  <wp:docPr id="86" name="Chart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6BECD5FA" w14:textId="77777777" w:rsidR="00AA2E25" w:rsidRPr="00AF5961" w:rsidRDefault="00AA2E25" w:rsidP="00867A48">
      <w:pPr>
        <w:spacing w:before="120" w:after="120"/>
        <w:jc w:val="both"/>
        <w:rPr>
          <w:rFonts w:cs="Calibri Light"/>
          <w:bCs/>
          <w:sz w:val="16"/>
          <w:szCs w:val="16"/>
        </w:rPr>
      </w:pPr>
      <w:r w:rsidRPr="00AF5961">
        <w:rPr>
          <w:rFonts w:cs="Calibri Light"/>
          <w:bCs/>
          <w:sz w:val="16"/>
          <w:szCs w:val="16"/>
        </w:rPr>
        <w:t xml:space="preserve">Avots: </w:t>
      </w:r>
      <w:proofErr w:type="spellStart"/>
      <w:r w:rsidRPr="00914892">
        <w:rPr>
          <w:rFonts w:cs="Calibri Light"/>
          <w:i/>
          <w:sz w:val="16"/>
          <w:szCs w:val="16"/>
        </w:rPr>
        <w:t>Eurostat</w:t>
      </w:r>
      <w:proofErr w:type="spellEnd"/>
    </w:p>
    <w:p w14:paraId="129D8835" w14:textId="77777777" w:rsidR="00AF5961" w:rsidRDefault="00AF5961" w:rsidP="00867A48">
      <w:pPr>
        <w:spacing w:after="120"/>
        <w:jc w:val="both"/>
        <w:rPr>
          <w:rFonts w:cs="Calibri Light"/>
          <w:bCs/>
          <w:szCs w:val="20"/>
        </w:rPr>
      </w:pPr>
    </w:p>
    <w:p w14:paraId="09DED22C" w14:textId="77777777" w:rsidR="00AA2E25" w:rsidRDefault="00AA2E25" w:rsidP="00867A48">
      <w:pPr>
        <w:spacing w:after="120"/>
        <w:ind w:right="-1"/>
        <w:jc w:val="both"/>
        <w:rPr>
          <w:rFonts w:cs="Calibri Light"/>
          <w:bCs/>
          <w:szCs w:val="20"/>
          <w:highlight w:val="yellow"/>
        </w:rPr>
      </w:pPr>
      <w:r w:rsidRPr="00C80E96">
        <w:rPr>
          <w:rFonts w:cs="Calibri Light"/>
          <w:bCs/>
          <w:szCs w:val="20"/>
        </w:rPr>
        <w:t>Produktivitātes lēnās dinamikas apstākļos darbaspēka izmaksu kāpums rada būtisku spiedienu uz Latvijas uzņēmēju izmaksu konkurētspēju. Ekonomisko aktivitāšu vājināšanās ir maz ietekmējusi stāvokli darba tirgū. Tas liecina, ka darbaspēka trūkuma problēma ir aktuāla uzņēmējiem un, neraugoties uz ekonomisko aktivitāšu palēnināšanos, tiek saglabātas darba vietas. Savukārt augstās inflācijas spiediena rezultātā algas turpina pieaugt. Šīs tendences arvien vairāk palielina plaisu starp produktivitātes un darbaspēka izmaksām. Produktivitātes palielināšana ir galvenais konkurētspēju noteicošais faktors, un tās noturīgi pozitīvo dinamiku lielā mērā noteiks strukturālās izmaiņas Latvijas tautsaimniecībā virzībā uz augstākas pievienotās vērtības aktivitātēm un zināšanu ietilpīgām nozarēm</w:t>
      </w:r>
      <w:r>
        <w:rPr>
          <w:rFonts w:cs="Calibri Light"/>
          <w:bCs/>
          <w:szCs w:val="20"/>
        </w:rPr>
        <w:t>.</w:t>
      </w:r>
    </w:p>
    <w:bookmarkEnd w:id="19"/>
    <w:p w14:paraId="2A3F392B" w14:textId="3796E1DC" w:rsidR="00620421" w:rsidRDefault="00620421" w:rsidP="00867A48">
      <w:pPr>
        <w:spacing w:after="120"/>
        <w:rPr>
          <w:highlight w:val="yellow"/>
        </w:rPr>
      </w:pPr>
    </w:p>
    <w:p w14:paraId="2F2F4E9C" w14:textId="77777777" w:rsidR="00C075DC" w:rsidRPr="00B73A48" w:rsidRDefault="00C075DC" w:rsidP="00867A48">
      <w:pPr>
        <w:spacing w:after="120"/>
        <w:rPr>
          <w:highlight w:val="yellow"/>
        </w:rPr>
      </w:pPr>
    </w:p>
    <w:p w14:paraId="00E23750" w14:textId="77777777" w:rsidR="00C075DC" w:rsidRDefault="00C075DC">
      <w:pPr>
        <w:spacing w:after="0"/>
        <w:rPr>
          <w:rFonts w:ascii="Aptos Narrow" w:hAnsi="Aptos Narrow"/>
          <w:b/>
          <w:caps/>
          <w:color w:val="000000" w:themeColor="text1"/>
          <w:sz w:val="36"/>
        </w:rPr>
      </w:pPr>
      <w:bookmarkStart w:id="20" w:name="_Toc517876429"/>
      <w:r>
        <w:rPr>
          <w:color w:val="000000" w:themeColor="text1"/>
        </w:rPr>
        <w:br w:type="page"/>
      </w:r>
    </w:p>
    <w:p w14:paraId="5527CA88" w14:textId="38D3FE05" w:rsidR="00CD313C" w:rsidRDefault="00CD313C" w:rsidP="00CD313C">
      <w:pPr>
        <w:pStyle w:val="BodyTextIndent2"/>
        <w:spacing w:line="240" w:lineRule="auto"/>
        <w:ind w:left="0"/>
        <w:jc w:val="both"/>
        <w:rPr>
          <w:sz w:val="20"/>
          <w:szCs w:val="20"/>
        </w:rPr>
      </w:pPr>
      <w:r>
        <w:rPr>
          <w:noProof/>
        </w:rPr>
        <w:lastRenderedPageBreak/>
        <w:drawing>
          <wp:anchor distT="0" distB="0" distL="114300" distR="114300" simplePos="0" relativeHeight="251819223" behindDoc="1" locked="0" layoutInCell="1" allowOverlap="1" wp14:anchorId="37C4D59E" wp14:editId="59B1E773">
            <wp:simplePos x="0" y="0"/>
            <wp:positionH relativeFrom="page">
              <wp:posOffset>0</wp:posOffset>
            </wp:positionH>
            <wp:positionV relativeFrom="page">
              <wp:posOffset>0</wp:posOffset>
            </wp:positionV>
            <wp:extent cx="7560000" cy="5040000"/>
            <wp:effectExtent l="0" t="0" r="3175" b="8255"/>
            <wp:wrapNone/>
            <wp:docPr id="1397" name="Picture 1397" descr="Office worker with coffee mug at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Picture 1397" descr="Office worker with coffee mug at desk"/>
                    <pic:cNvPicPr/>
                  </pic:nvPicPr>
                  <pic:blipFill>
                    <a:blip r:embed="rId47"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tretch>
                      <a:fillRect/>
                    </a:stretch>
                  </pic:blipFill>
                  <pic:spPr>
                    <a:xfrm>
                      <a:off x="0" y="0"/>
                      <a:ext cx="7560000" cy="5040000"/>
                    </a:xfrm>
                    <a:prstGeom prst="rect">
                      <a:avLst/>
                    </a:prstGeom>
                  </pic:spPr>
                </pic:pic>
              </a:graphicData>
            </a:graphic>
            <wp14:sizeRelH relativeFrom="page">
              <wp14:pctWidth>0</wp14:pctWidth>
            </wp14:sizeRelH>
            <wp14:sizeRelV relativeFrom="page">
              <wp14:pctHeight>0</wp14:pctHeight>
            </wp14:sizeRelV>
          </wp:anchor>
        </w:drawing>
      </w:r>
    </w:p>
    <w:p w14:paraId="7291B153" w14:textId="77777777" w:rsidR="00CD313C" w:rsidRDefault="00CD313C" w:rsidP="00CD313C">
      <w:pPr>
        <w:pStyle w:val="BodyTextIndent2"/>
        <w:spacing w:line="240" w:lineRule="auto"/>
        <w:ind w:left="0"/>
        <w:jc w:val="both"/>
        <w:rPr>
          <w:sz w:val="20"/>
          <w:szCs w:val="20"/>
        </w:rPr>
      </w:pPr>
    </w:p>
    <w:p w14:paraId="5A4CA8E6" w14:textId="77777777" w:rsidR="00CD313C" w:rsidRDefault="00CD313C" w:rsidP="00CD313C">
      <w:pPr>
        <w:pStyle w:val="BodyTextIndent2"/>
        <w:spacing w:line="240" w:lineRule="auto"/>
        <w:ind w:left="0"/>
        <w:jc w:val="both"/>
        <w:rPr>
          <w:sz w:val="20"/>
          <w:szCs w:val="20"/>
        </w:rPr>
      </w:pPr>
    </w:p>
    <w:p w14:paraId="49F86130" w14:textId="77777777" w:rsidR="00CD313C" w:rsidRDefault="00CD313C" w:rsidP="00CD313C">
      <w:pPr>
        <w:pStyle w:val="BodyTextIndent2"/>
        <w:spacing w:line="240" w:lineRule="auto"/>
        <w:ind w:left="0"/>
        <w:jc w:val="both"/>
        <w:rPr>
          <w:sz w:val="20"/>
          <w:szCs w:val="20"/>
        </w:rPr>
      </w:pPr>
    </w:p>
    <w:p w14:paraId="58B53BEA" w14:textId="77777777" w:rsidR="00CD313C" w:rsidRDefault="00CD313C" w:rsidP="00CD313C">
      <w:pPr>
        <w:pStyle w:val="BodyTextIndent2"/>
        <w:spacing w:line="240" w:lineRule="auto"/>
        <w:ind w:left="0"/>
        <w:jc w:val="both"/>
        <w:rPr>
          <w:sz w:val="20"/>
          <w:szCs w:val="20"/>
        </w:rPr>
      </w:pPr>
    </w:p>
    <w:p w14:paraId="3BC852CE" w14:textId="77777777" w:rsidR="00CD313C" w:rsidRDefault="00CD313C" w:rsidP="00CD313C">
      <w:pPr>
        <w:pStyle w:val="BodyTextIndent2"/>
        <w:spacing w:line="240" w:lineRule="auto"/>
        <w:ind w:left="0"/>
        <w:jc w:val="both"/>
        <w:rPr>
          <w:sz w:val="20"/>
          <w:szCs w:val="20"/>
        </w:rPr>
      </w:pPr>
    </w:p>
    <w:p w14:paraId="0F1D77AA" w14:textId="77777777" w:rsidR="00CD313C" w:rsidRDefault="00CD313C" w:rsidP="00CD313C">
      <w:pPr>
        <w:pStyle w:val="BodyTextIndent2"/>
        <w:spacing w:line="240" w:lineRule="auto"/>
        <w:ind w:left="0"/>
        <w:jc w:val="both"/>
        <w:rPr>
          <w:sz w:val="20"/>
          <w:szCs w:val="20"/>
        </w:rPr>
      </w:pPr>
    </w:p>
    <w:p w14:paraId="78846B87" w14:textId="77777777" w:rsidR="00CD313C" w:rsidRDefault="00CD313C" w:rsidP="00CD313C">
      <w:pPr>
        <w:pStyle w:val="BodyTextIndent2"/>
        <w:spacing w:line="240" w:lineRule="auto"/>
        <w:ind w:left="0"/>
        <w:jc w:val="both"/>
        <w:rPr>
          <w:sz w:val="20"/>
          <w:szCs w:val="20"/>
        </w:rPr>
      </w:pPr>
    </w:p>
    <w:p w14:paraId="0B1E11C8" w14:textId="77777777" w:rsidR="00CD313C" w:rsidRDefault="00CD313C" w:rsidP="00CD313C">
      <w:pPr>
        <w:pStyle w:val="BodyTextIndent2"/>
        <w:spacing w:line="240" w:lineRule="auto"/>
        <w:ind w:left="0"/>
        <w:jc w:val="both"/>
        <w:rPr>
          <w:sz w:val="20"/>
          <w:szCs w:val="20"/>
        </w:rPr>
      </w:pPr>
    </w:p>
    <w:p w14:paraId="1B9CE353" w14:textId="77777777" w:rsidR="00CD313C" w:rsidRDefault="00CD313C" w:rsidP="00CD313C">
      <w:pPr>
        <w:pStyle w:val="BodyTextIndent2"/>
        <w:spacing w:line="240" w:lineRule="auto"/>
        <w:ind w:left="0"/>
        <w:jc w:val="both"/>
        <w:rPr>
          <w:sz w:val="20"/>
          <w:szCs w:val="20"/>
        </w:rPr>
      </w:pPr>
    </w:p>
    <w:p w14:paraId="6CC9AD6F" w14:textId="77777777" w:rsidR="00CD313C" w:rsidRDefault="00CD313C" w:rsidP="00CD313C">
      <w:pPr>
        <w:pStyle w:val="BodyTextIndent2"/>
        <w:spacing w:line="240" w:lineRule="auto"/>
        <w:ind w:left="0"/>
        <w:jc w:val="both"/>
        <w:rPr>
          <w:sz w:val="20"/>
          <w:szCs w:val="20"/>
        </w:rPr>
      </w:pPr>
    </w:p>
    <w:p w14:paraId="100F63B4" w14:textId="77777777" w:rsidR="00CD313C" w:rsidRDefault="00CD313C" w:rsidP="00CD313C">
      <w:pPr>
        <w:pStyle w:val="BodyTextIndent2"/>
        <w:spacing w:line="240" w:lineRule="auto"/>
        <w:ind w:left="0"/>
        <w:jc w:val="both"/>
        <w:rPr>
          <w:sz w:val="20"/>
          <w:szCs w:val="20"/>
        </w:rPr>
      </w:pPr>
    </w:p>
    <w:p w14:paraId="3970A4EB" w14:textId="77777777" w:rsidR="00CD313C" w:rsidRDefault="00CD313C" w:rsidP="00CD313C">
      <w:pPr>
        <w:pStyle w:val="BodyTextIndent2"/>
        <w:spacing w:line="240" w:lineRule="auto"/>
        <w:ind w:left="0"/>
        <w:jc w:val="both"/>
        <w:rPr>
          <w:sz w:val="20"/>
          <w:szCs w:val="20"/>
        </w:rPr>
      </w:pPr>
    </w:p>
    <w:p w14:paraId="31738B83" w14:textId="77777777" w:rsidR="00CD313C" w:rsidRDefault="00CD313C" w:rsidP="00CD313C">
      <w:pPr>
        <w:pStyle w:val="BodyTextIndent2"/>
        <w:spacing w:line="240" w:lineRule="auto"/>
        <w:ind w:left="0"/>
        <w:jc w:val="both"/>
        <w:rPr>
          <w:sz w:val="20"/>
          <w:szCs w:val="20"/>
        </w:rPr>
      </w:pPr>
    </w:p>
    <w:p w14:paraId="38BBE6A6" w14:textId="77777777" w:rsidR="00CD313C" w:rsidRDefault="00CD313C" w:rsidP="00CD313C">
      <w:pPr>
        <w:pStyle w:val="BodyTextIndent2"/>
        <w:spacing w:line="240" w:lineRule="auto"/>
        <w:ind w:left="0"/>
        <w:jc w:val="both"/>
        <w:rPr>
          <w:sz w:val="20"/>
          <w:szCs w:val="20"/>
        </w:rPr>
      </w:pPr>
    </w:p>
    <w:p w14:paraId="1B8C41C7" w14:textId="77777777" w:rsidR="00CD313C" w:rsidRDefault="00CD313C" w:rsidP="00CD313C">
      <w:pPr>
        <w:pStyle w:val="BodyTextIndent2"/>
        <w:spacing w:line="240" w:lineRule="auto"/>
        <w:ind w:left="0"/>
        <w:jc w:val="both"/>
        <w:rPr>
          <w:sz w:val="20"/>
          <w:szCs w:val="20"/>
        </w:rPr>
      </w:pPr>
    </w:p>
    <w:p w14:paraId="6EC4301A" w14:textId="77777777" w:rsidR="00CD313C" w:rsidRDefault="00CD313C" w:rsidP="00CD313C">
      <w:pPr>
        <w:pStyle w:val="BodyTextIndent2"/>
        <w:spacing w:line="240" w:lineRule="auto"/>
        <w:ind w:left="0"/>
        <w:jc w:val="both"/>
        <w:rPr>
          <w:sz w:val="20"/>
          <w:szCs w:val="20"/>
        </w:rPr>
      </w:pPr>
    </w:p>
    <w:p w14:paraId="77765A37" w14:textId="77777777" w:rsidR="00CD313C" w:rsidRDefault="00CD313C" w:rsidP="00CD313C">
      <w:pPr>
        <w:pStyle w:val="BodyTextIndent2"/>
        <w:spacing w:line="240" w:lineRule="auto"/>
        <w:ind w:left="0"/>
        <w:jc w:val="both"/>
        <w:rPr>
          <w:sz w:val="20"/>
          <w:szCs w:val="20"/>
        </w:rPr>
      </w:pPr>
    </w:p>
    <w:p w14:paraId="126FEB17" w14:textId="77777777" w:rsidR="00CD313C" w:rsidRDefault="00CD313C" w:rsidP="00CD313C">
      <w:pPr>
        <w:pStyle w:val="BodyTextIndent2"/>
        <w:spacing w:line="240" w:lineRule="auto"/>
        <w:ind w:left="0"/>
        <w:jc w:val="both"/>
        <w:rPr>
          <w:sz w:val="20"/>
          <w:szCs w:val="20"/>
        </w:rPr>
      </w:pPr>
    </w:p>
    <w:p w14:paraId="6A9A959D" w14:textId="77777777" w:rsidR="00CD313C" w:rsidRDefault="00CD313C" w:rsidP="00CD313C">
      <w:pPr>
        <w:pStyle w:val="BodyTextIndent2"/>
        <w:spacing w:line="240" w:lineRule="auto"/>
        <w:ind w:left="0"/>
        <w:jc w:val="both"/>
        <w:rPr>
          <w:sz w:val="20"/>
          <w:szCs w:val="20"/>
        </w:rPr>
      </w:pPr>
    </w:p>
    <w:p w14:paraId="4A460A4F" w14:textId="77777777" w:rsidR="0077767D" w:rsidRDefault="0077767D" w:rsidP="00CD313C">
      <w:pPr>
        <w:pStyle w:val="BodyTextIndent2"/>
        <w:spacing w:line="240" w:lineRule="auto"/>
        <w:ind w:left="0"/>
        <w:jc w:val="both"/>
        <w:rPr>
          <w:sz w:val="20"/>
          <w:szCs w:val="20"/>
        </w:rPr>
      </w:pPr>
    </w:p>
    <w:p w14:paraId="3EEF5868" w14:textId="77777777" w:rsidR="0077767D" w:rsidRDefault="0077767D" w:rsidP="00CD313C">
      <w:pPr>
        <w:pStyle w:val="BodyTextIndent2"/>
        <w:spacing w:line="240" w:lineRule="auto"/>
        <w:ind w:left="0"/>
        <w:jc w:val="both"/>
        <w:rPr>
          <w:sz w:val="20"/>
          <w:szCs w:val="20"/>
        </w:rPr>
      </w:pPr>
    </w:p>
    <w:p w14:paraId="726F9516" w14:textId="77777777" w:rsidR="0077767D" w:rsidRDefault="0077767D" w:rsidP="00CD313C">
      <w:pPr>
        <w:pStyle w:val="BodyTextIndent2"/>
        <w:spacing w:line="240" w:lineRule="auto"/>
        <w:ind w:left="0"/>
        <w:jc w:val="both"/>
        <w:rPr>
          <w:sz w:val="20"/>
          <w:szCs w:val="20"/>
        </w:rPr>
      </w:pPr>
    </w:p>
    <w:p w14:paraId="4015F239" w14:textId="77777777" w:rsidR="0077767D" w:rsidRPr="00CD313C" w:rsidRDefault="0077767D" w:rsidP="00CD313C">
      <w:pPr>
        <w:pStyle w:val="BodyTextIndent2"/>
        <w:spacing w:line="240" w:lineRule="auto"/>
        <w:ind w:left="0"/>
        <w:jc w:val="both"/>
        <w:rPr>
          <w:sz w:val="20"/>
          <w:szCs w:val="20"/>
        </w:rPr>
      </w:pPr>
    </w:p>
    <w:p w14:paraId="6A83785F" w14:textId="44E784E6" w:rsidR="00620421" w:rsidRPr="00080A71" w:rsidRDefault="00620421" w:rsidP="00080A71">
      <w:pPr>
        <w:pStyle w:val="Heading1"/>
      </w:pPr>
      <w:bookmarkStart w:id="21" w:name="_Toc183620092"/>
      <w:r w:rsidRPr="00080A71">
        <w:t>2. DARBASPĒKA PIEPRASĪJUMS UN PIEDĀVĀJUMS</w:t>
      </w:r>
      <w:bookmarkEnd w:id="20"/>
      <w:bookmarkEnd w:id="21"/>
    </w:p>
    <w:p w14:paraId="5EBFC09E" w14:textId="77777777" w:rsidR="00CD313C" w:rsidRDefault="00CD313C">
      <w:pPr>
        <w:spacing w:after="0"/>
        <w:rPr>
          <w:rFonts w:ascii="Aptos Narrow" w:hAnsi="Aptos Narrow"/>
          <w:b/>
          <w:caps/>
          <w:color w:val="5F497A" w:themeColor="accent4" w:themeShade="BF"/>
          <w:sz w:val="28"/>
        </w:rPr>
      </w:pPr>
      <w:bookmarkStart w:id="22" w:name="_Toc517876430"/>
      <w:r>
        <w:br w:type="page"/>
      </w:r>
    </w:p>
    <w:p w14:paraId="50ADCCD9" w14:textId="10E45A1E" w:rsidR="00620421" w:rsidRPr="00080A71" w:rsidRDefault="00620421" w:rsidP="00080A71">
      <w:pPr>
        <w:pStyle w:val="Heading2"/>
      </w:pPr>
      <w:bookmarkStart w:id="23" w:name="_Toc183620093"/>
      <w:r w:rsidRPr="00080A71">
        <w:lastRenderedPageBreak/>
        <w:t>2.1. Darbaspēka pieprasījuma izmaiņas un struktūra</w:t>
      </w:r>
      <w:bookmarkEnd w:id="22"/>
      <w:bookmarkEnd w:id="23"/>
    </w:p>
    <w:p w14:paraId="42508C18" w14:textId="4D9E04D8" w:rsidR="00F81D4B" w:rsidRPr="00F81D4B" w:rsidRDefault="00FF3C14" w:rsidP="00867A48">
      <w:pPr>
        <w:spacing w:after="120"/>
        <w:jc w:val="both"/>
        <w:rPr>
          <w:color w:val="000000" w:themeColor="text1"/>
        </w:rPr>
      </w:pPr>
      <w:r w:rsidRPr="00E91F75">
        <w:t>Laika posmā no 2011. līdz 2019.</w:t>
      </w:r>
      <w:r w:rsidR="0080669C">
        <w:t>gad</w:t>
      </w:r>
      <w:r w:rsidRPr="00E91F75">
        <w:t>am (pēc 2008.</w:t>
      </w:r>
      <w:r w:rsidR="0080669C">
        <w:t>gad</w:t>
      </w:r>
      <w:r w:rsidRPr="00E91F75">
        <w:t xml:space="preserve">a finanšu krīzes), kad Latvijā atgriezās izaugsme, gandrīz visās tautsaimniecības </w:t>
      </w:r>
      <w:proofErr w:type="spellStart"/>
      <w:r w:rsidRPr="00E91F75">
        <w:t>pamatnozarēs</w:t>
      </w:r>
      <w:proofErr w:type="spellEnd"/>
      <w:r w:rsidRPr="00E91F75">
        <w:t xml:space="preserve"> nodarbināto skaits pieauga. Tomēr 2020.</w:t>
      </w:r>
      <w:r w:rsidR="0080669C">
        <w:t>gad</w:t>
      </w:r>
      <w:r w:rsidRPr="00E91F75">
        <w:t>s, līdzīgi kā lielākajā daļā pasaules valstu, arī Latvijā atnāca ar jauniem izaicinājumiem, ko izraisīja Covid-19 globālā pandēmija. Kopumā Latvijas ekonomika un darba tirgus nebija izteikti atkarīg</w:t>
      </w:r>
      <w:r w:rsidR="00187F64">
        <w:t>s</w:t>
      </w:r>
      <w:r w:rsidRPr="00E91F75">
        <w:t xml:space="preserve"> no Covid-19 krīzes primāri skartajā</w:t>
      </w:r>
      <w:r w:rsidR="00DD7AE8">
        <w:t>s</w:t>
      </w:r>
      <w:r w:rsidRPr="00E91F75">
        <w:t xml:space="preserve"> nozarē</w:t>
      </w:r>
      <w:r w:rsidR="00DD7AE8">
        <w:t>s</w:t>
      </w:r>
      <w:r w:rsidRPr="00E91F75">
        <w:t xml:space="preserve"> (izmitināšanas un ēdināšanas pakalpojumi, starptautiskie pasažieru pārvadājumi). Tomēr jāņem vērā, ka ieviestie pandēmijas izplatīšanās ierobežojumi un globālais pieprasījuma kritums 2020.-2021.</w:t>
      </w:r>
      <w:r w:rsidR="0080669C">
        <w:t>gad</w:t>
      </w:r>
      <w:r w:rsidRPr="00E91F75">
        <w:t>ā tieši vai netieši ietekmēja lielāko daļu tautsaimniecības nozaru Latvijā, jo īpaši darbaspēka intensīvās nozares. 2022.</w:t>
      </w:r>
      <w:r w:rsidR="0080669C">
        <w:t>gad</w:t>
      </w:r>
      <w:r w:rsidRPr="00E91F75">
        <w:t>ā, neraugoties uz ekonomikas satricinājumiem, darba tirgus saglabāj</w:t>
      </w:r>
      <w:r>
        <w:t>ā</w:t>
      </w:r>
      <w:r w:rsidRPr="00E91F75">
        <w:t>s stabils. Nodarbināto skaits Latvijā 2022.</w:t>
      </w:r>
      <w:r w:rsidR="0080669C">
        <w:t>gad</w:t>
      </w:r>
      <w:r w:rsidRPr="00E91F75">
        <w:t>ā palielinājās par 2,6</w:t>
      </w:r>
      <w:r w:rsidR="0080669C">
        <w:t>%</w:t>
      </w:r>
      <w:r w:rsidRPr="00E91F75">
        <w:t>. Tas ir bijis straujākais nodarbināto skaita pieaugums kopš 2007.</w:t>
      </w:r>
      <w:r w:rsidR="0080669C">
        <w:t>gad</w:t>
      </w:r>
      <w:r w:rsidRPr="00E91F75">
        <w:t>a, ko daļēji notei</w:t>
      </w:r>
      <w:r>
        <w:t>ca</w:t>
      </w:r>
      <w:r w:rsidRPr="00E91F75">
        <w:t xml:space="preserve"> gan darba tirgus atgūšanās no Covid-19 pandēmijas, gan arī Ukrainas civiliedzīvotāju nodarbinātība Latvijā. Arī 2023.</w:t>
      </w:r>
      <w:r w:rsidR="0080669C">
        <w:t>gad</w:t>
      </w:r>
      <w:r w:rsidRPr="00E91F75">
        <w:t>ā</w:t>
      </w:r>
      <w:r>
        <w:t>,</w:t>
      </w:r>
      <w:r w:rsidRPr="00E91F75">
        <w:t xml:space="preserve"> neraugoties uz saspringto ģeopolitisko situāciju un ekonomikas izaugsmes tempu samazināšanos, situācija darba tirgū būtiski nepasliktinājās, jo pieprasījums pēc darbaspēka </w:t>
      </w:r>
      <w:r>
        <w:t>bija</w:t>
      </w:r>
      <w:r w:rsidRPr="00E91F75">
        <w:t xml:space="preserve"> augsts.</w:t>
      </w:r>
    </w:p>
    <w:p w14:paraId="1AB05F4F" w14:textId="77777777" w:rsidR="0066279C" w:rsidRPr="003B4CDA" w:rsidRDefault="0066279C" w:rsidP="00867A48">
      <w:pPr>
        <w:spacing w:after="120"/>
        <w:jc w:val="right"/>
      </w:pPr>
      <w:r w:rsidRPr="003B4CDA">
        <w:t>2.1. tabula</w:t>
      </w:r>
    </w:p>
    <w:p w14:paraId="7B4511D1" w14:textId="77777777" w:rsidR="0066279C" w:rsidRDefault="0066279C" w:rsidP="00867A48">
      <w:pPr>
        <w:pStyle w:val="ListParagraph"/>
        <w:spacing w:after="120"/>
        <w:ind w:left="0"/>
        <w:jc w:val="center"/>
        <w:rPr>
          <w:rFonts w:ascii="Segoe UI Light" w:hAnsi="Segoe UI Light"/>
          <w:i/>
          <w:sz w:val="16"/>
          <w:szCs w:val="24"/>
        </w:rPr>
      </w:pPr>
      <w:r w:rsidRPr="003B4CDA">
        <w:rPr>
          <w:rFonts w:ascii="Segoe UI Light" w:hAnsi="Segoe UI Light"/>
          <w:b/>
          <w:sz w:val="18"/>
          <w:szCs w:val="24"/>
        </w:rPr>
        <w:t>Nodarbināto skaits tautsaimniecības nozarēs</w:t>
      </w:r>
      <w:r w:rsidRPr="003B4CDA">
        <w:rPr>
          <w:rFonts w:ascii="Segoe UI Light" w:hAnsi="Segoe UI Light"/>
          <w:b/>
          <w:sz w:val="18"/>
          <w:szCs w:val="24"/>
        </w:rPr>
        <w:br/>
      </w:r>
      <w:r w:rsidRPr="003B4CDA">
        <w:rPr>
          <w:rFonts w:ascii="Segoe UI Light" w:hAnsi="Segoe UI Light"/>
          <w:i/>
          <w:sz w:val="16"/>
          <w:szCs w:val="24"/>
        </w:rPr>
        <w:t>tūkstošos</w:t>
      </w:r>
    </w:p>
    <w:tbl>
      <w:tblPr>
        <w:tblStyle w:val="GridTable4-Accent4"/>
        <w:tblW w:w="907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8"/>
        <w:gridCol w:w="737"/>
        <w:gridCol w:w="737"/>
        <w:gridCol w:w="737"/>
        <w:gridCol w:w="737"/>
        <w:gridCol w:w="737"/>
        <w:gridCol w:w="737"/>
        <w:gridCol w:w="737"/>
        <w:gridCol w:w="737"/>
        <w:gridCol w:w="737"/>
      </w:tblGrid>
      <w:tr w:rsidR="00AF5961" w:rsidRPr="004B2DB8" w14:paraId="6FBC73F9" w14:textId="77777777" w:rsidTr="00AF5961">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0466C36E" w14:textId="77777777" w:rsidR="0066279C" w:rsidRPr="009F6050" w:rsidRDefault="0066279C" w:rsidP="00867A48">
            <w:pPr>
              <w:spacing w:before="40" w:after="40"/>
              <w:rPr>
                <w:rFonts w:ascii="Segoe UI Light" w:eastAsia="Times New Roman" w:hAnsi="Segoe UI Light" w:cs="Segoe UI Light"/>
                <w:color w:val="000000"/>
                <w:sz w:val="16"/>
                <w:szCs w:val="16"/>
              </w:rPr>
            </w:pPr>
            <w:r w:rsidRPr="009F6050">
              <w:rPr>
                <w:rFonts w:ascii="Segoe UI Light" w:eastAsia="Times New Roman" w:hAnsi="Segoe UI Light" w:cs="Segoe UI Light"/>
                <w:color w:val="000000"/>
                <w:sz w:val="16"/>
                <w:szCs w:val="16"/>
              </w:rPr>
              <w:t> </w:t>
            </w:r>
          </w:p>
        </w:tc>
        <w:tc>
          <w:tcPr>
            <w:tcW w:w="737" w:type="dxa"/>
            <w:noWrap/>
            <w:hideMark/>
          </w:tcPr>
          <w:p w14:paraId="7564120C" w14:textId="77777777" w:rsidR="0066279C" w:rsidRPr="004B2DB8" w:rsidRDefault="0066279C"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4B2DB8">
              <w:rPr>
                <w:rFonts w:ascii="Segoe UI Light" w:eastAsia="Times New Roman" w:hAnsi="Segoe UI Light" w:cs="Segoe UI Light"/>
                <w:sz w:val="16"/>
                <w:szCs w:val="16"/>
                <w:lang w:val="en-US"/>
              </w:rPr>
              <w:t>2010</w:t>
            </w:r>
          </w:p>
        </w:tc>
        <w:tc>
          <w:tcPr>
            <w:tcW w:w="737" w:type="dxa"/>
            <w:noWrap/>
            <w:hideMark/>
          </w:tcPr>
          <w:p w14:paraId="1B155451" w14:textId="77777777" w:rsidR="0066279C" w:rsidRPr="004B2DB8" w:rsidRDefault="0066279C"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4B2DB8">
              <w:rPr>
                <w:rFonts w:ascii="Segoe UI Light" w:eastAsia="Times New Roman" w:hAnsi="Segoe UI Light" w:cs="Segoe UI Light"/>
                <w:sz w:val="16"/>
                <w:szCs w:val="16"/>
                <w:lang w:val="en-US"/>
              </w:rPr>
              <w:t>2012</w:t>
            </w:r>
          </w:p>
        </w:tc>
        <w:tc>
          <w:tcPr>
            <w:tcW w:w="737" w:type="dxa"/>
            <w:noWrap/>
            <w:hideMark/>
          </w:tcPr>
          <w:p w14:paraId="1C5067F1" w14:textId="77777777" w:rsidR="0066279C" w:rsidRPr="004B2DB8" w:rsidRDefault="0066279C"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4B2DB8">
              <w:rPr>
                <w:rFonts w:ascii="Segoe UI Light" w:eastAsia="Times New Roman" w:hAnsi="Segoe UI Light" w:cs="Segoe UI Light"/>
                <w:sz w:val="16"/>
                <w:szCs w:val="16"/>
                <w:lang w:val="en-US"/>
              </w:rPr>
              <w:t>2014</w:t>
            </w:r>
          </w:p>
        </w:tc>
        <w:tc>
          <w:tcPr>
            <w:tcW w:w="737" w:type="dxa"/>
            <w:noWrap/>
            <w:hideMark/>
          </w:tcPr>
          <w:p w14:paraId="53B04B16" w14:textId="77777777" w:rsidR="0066279C" w:rsidRPr="004B2DB8" w:rsidRDefault="0066279C"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4B2DB8">
              <w:rPr>
                <w:rFonts w:ascii="Segoe UI Light" w:eastAsia="Times New Roman" w:hAnsi="Segoe UI Light" w:cs="Segoe UI Light"/>
                <w:sz w:val="16"/>
                <w:szCs w:val="16"/>
                <w:lang w:val="en-US"/>
              </w:rPr>
              <w:t>2016</w:t>
            </w:r>
          </w:p>
        </w:tc>
        <w:tc>
          <w:tcPr>
            <w:tcW w:w="737" w:type="dxa"/>
            <w:noWrap/>
            <w:hideMark/>
          </w:tcPr>
          <w:p w14:paraId="2D3D7039" w14:textId="77777777" w:rsidR="0066279C" w:rsidRPr="004B2DB8" w:rsidRDefault="0066279C"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4B2DB8">
              <w:rPr>
                <w:rFonts w:ascii="Segoe UI Light" w:eastAsia="Times New Roman" w:hAnsi="Segoe UI Light" w:cs="Segoe UI Light"/>
                <w:sz w:val="16"/>
                <w:szCs w:val="16"/>
                <w:lang w:val="en-US"/>
              </w:rPr>
              <w:t>2019</w:t>
            </w:r>
          </w:p>
        </w:tc>
        <w:tc>
          <w:tcPr>
            <w:tcW w:w="737" w:type="dxa"/>
            <w:noWrap/>
            <w:hideMark/>
          </w:tcPr>
          <w:p w14:paraId="2906FD65" w14:textId="77777777" w:rsidR="0066279C" w:rsidRPr="004B2DB8" w:rsidRDefault="0066279C"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4B2DB8">
              <w:rPr>
                <w:rFonts w:ascii="Segoe UI Light" w:eastAsia="Times New Roman" w:hAnsi="Segoe UI Light" w:cs="Segoe UI Light"/>
                <w:sz w:val="16"/>
                <w:szCs w:val="16"/>
                <w:lang w:val="en-US"/>
              </w:rPr>
              <w:t>2020</w:t>
            </w:r>
          </w:p>
        </w:tc>
        <w:tc>
          <w:tcPr>
            <w:tcW w:w="737" w:type="dxa"/>
            <w:noWrap/>
            <w:hideMark/>
          </w:tcPr>
          <w:p w14:paraId="0C33D87F" w14:textId="77777777" w:rsidR="0066279C" w:rsidRPr="004B2DB8" w:rsidRDefault="0066279C"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4B2DB8">
              <w:rPr>
                <w:rFonts w:ascii="Segoe UI Light" w:eastAsia="Times New Roman" w:hAnsi="Segoe UI Light" w:cs="Segoe UI Light"/>
                <w:sz w:val="16"/>
                <w:szCs w:val="16"/>
                <w:lang w:val="en-US"/>
              </w:rPr>
              <w:t>2021</w:t>
            </w:r>
          </w:p>
        </w:tc>
        <w:tc>
          <w:tcPr>
            <w:tcW w:w="737" w:type="dxa"/>
            <w:noWrap/>
            <w:hideMark/>
          </w:tcPr>
          <w:p w14:paraId="3C053A95" w14:textId="77777777" w:rsidR="0066279C" w:rsidRPr="004B2DB8" w:rsidRDefault="0066279C"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4B2DB8">
              <w:rPr>
                <w:rFonts w:ascii="Segoe UI Light" w:eastAsia="Times New Roman" w:hAnsi="Segoe UI Light" w:cs="Segoe UI Light"/>
                <w:sz w:val="16"/>
                <w:szCs w:val="16"/>
                <w:lang w:val="en-US"/>
              </w:rPr>
              <w:t>2022</w:t>
            </w:r>
          </w:p>
        </w:tc>
        <w:tc>
          <w:tcPr>
            <w:tcW w:w="737" w:type="dxa"/>
            <w:noWrap/>
            <w:hideMark/>
          </w:tcPr>
          <w:p w14:paraId="2FA533AE" w14:textId="77777777" w:rsidR="0066279C" w:rsidRPr="004B2DB8" w:rsidRDefault="0066279C" w:rsidP="00867A48">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4B2DB8">
              <w:rPr>
                <w:rFonts w:ascii="Segoe UI Light" w:eastAsia="Times New Roman" w:hAnsi="Segoe UI Light" w:cs="Segoe UI Light"/>
                <w:sz w:val="16"/>
                <w:szCs w:val="16"/>
                <w:lang w:val="en-US"/>
              </w:rPr>
              <w:t>2023</w:t>
            </w:r>
          </w:p>
        </w:tc>
      </w:tr>
      <w:tr w:rsidR="00AF5961" w:rsidRPr="004B2DB8" w14:paraId="7C30BB8A" w14:textId="77777777" w:rsidTr="00AF5961">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2BBA0887" w14:textId="77777777" w:rsidR="0066279C" w:rsidRPr="00A50B31" w:rsidRDefault="0066279C" w:rsidP="00867A48">
            <w:pPr>
              <w:spacing w:before="40" w:after="40"/>
              <w:rPr>
                <w:rFonts w:ascii="Segoe UI Light" w:eastAsia="Times New Roman" w:hAnsi="Segoe UI Light" w:cs="Segoe UI Light"/>
                <w:color w:val="000000"/>
                <w:sz w:val="16"/>
                <w:szCs w:val="16"/>
              </w:rPr>
            </w:pPr>
            <w:r w:rsidRPr="00A50B31">
              <w:rPr>
                <w:rFonts w:ascii="Segoe UI Light" w:eastAsia="Times New Roman" w:hAnsi="Segoe UI Light" w:cs="Segoe UI Light"/>
                <w:color w:val="000000"/>
                <w:sz w:val="16"/>
                <w:szCs w:val="16"/>
              </w:rPr>
              <w:t>Pavisam</w:t>
            </w:r>
          </w:p>
        </w:tc>
        <w:tc>
          <w:tcPr>
            <w:tcW w:w="737" w:type="dxa"/>
            <w:noWrap/>
            <w:vAlign w:val="bottom"/>
            <w:hideMark/>
          </w:tcPr>
          <w:p w14:paraId="1AE5DA45"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850,</w:t>
            </w:r>
            <w:r w:rsidRPr="004B2DB8">
              <w:rPr>
                <w:rFonts w:ascii="Segoe UI Light" w:eastAsia="Times New Roman" w:hAnsi="Segoe UI Light" w:cs="Segoe UI Light"/>
                <w:b/>
                <w:bCs/>
                <w:color w:val="000000"/>
                <w:sz w:val="16"/>
                <w:szCs w:val="16"/>
                <w:lang w:val="en-US"/>
              </w:rPr>
              <w:t>7</w:t>
            </w:r>
          </w:p>
        </w:tc>
        <w:tc>
          <w:tcPr>
            <w:tcW w:w="737" w:type="dxa"/>
            <w:noWrap/>
            <w:vAlign w:val="bottom"/>
            <w:hideMark/>
          </w:tcPr>
          <w:p w14:paraId="7EF33785"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875,</w:t>
            </w:r>
            <w:r w:rsidRPr="004B2DB8">
              <w:rPr>
                <w:rFonts w:ascii="Segoe UI Light" w:eastAsia="Times New Roman" w:hAnsi="Segoe UI Light" w:cs="Segoe UI Light"/>
                <w:b/>
                <w:bCs/>
                <w:color w:val="000000"/>
                <w:sz w:val="16"/>
                <w:szCs w:val="16"/>
                <w:lang w:val="en-US"/>
              </w:rPr>
              <w:t>6</w:t>
            </w:r>
          </w:p>
        </w:tc>
        <w:tc>
          <w:tcPr>
            <w:tcW w:w="737" w:type="dxa"/>
            <w:noWrap/>
            <w:vAlign w:val="bottom"/>
            <w:hideMark/>
          </w:tcPr>
          <w:p w14:paraId="53A5DAD5"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884,</w:t>
            </w:r>
            <w:r w:rsidRPr="004B2DB8">
              <w:rPr>
                <w:rFonts w:ascii="Segoe UI Light" w:eastAsia="Times New Roman" w:hAnsi="Segoe UI Light" w:cs="Segoe UI Light"/>
                <w:b/>
                <w:bCs/>
                <w:color w:val="000000"/>
                <w:sz w:val="16"/>
                <w:szCs w:val="16"/>
                <w:lang w:val="en-US"/>
              </w:rPr>
              <w:t>6</w:t>
            </w:r>
          </w:p>
        </w:tc>
        <w:tc>
          <w:tcPr>
            <w:tcW w:w="737" w:type="dxa"/>
            <w:noWrap/>
            <w:vAlign w:val="bottom"/>
            <w:hideMark/>
          </w:tcPr>
          <w:p w14:paraId="1CC8FE6A"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893,</w:t>
            </w:r>
            <w:r w:rsidRPr="004B2DB8">
              <w:rPr>
                <w:rFonts w:ascii="Segoe UI Light" w:eastAsia="Times New Roman" w:hAnsi="Segoe UI Light" w:cs="Segoe UI Light"/>
                <w:b/>
                <w:bCs/>
                <w:color w:val="000000"/>
                <w:sz w:val="16"/>
                <w:szCs w:val="16"/>
                <w:lang w:val="en-US"/>
              </w:rPr>
              <w:t>3</w:t>
            </w:r>
          </w:p>
        </w:tc>
        <w:tc>
          <w:tcPr>
            <w:tcW w:w="737" w:type="dxa"/>
            <w:noWrap/>
            <w:vAlign w:val="bottom"/>
            <w:hideMark/>
          </w:tcPr>
          <w:p w14:paraId="65D4E499"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sidRPr="004B2DB8">
              <w:rPr>
                <w:rFonts w:ascii="Segoe UI Light" w:eastAsia="Times New Roman" w:hAnsi="Segoe UI Light" w:cs="Segoe UI Light"/>
                <w:b/>
                <w:bCs/>
                <w:color w:val="000000"/>
                <w:sz w:val="16"/>
                <w:szCs w:val="16"/>
                <w:lang w:val="en-US"/>
              </w:rPr>
              <w:t>910</w:t>
            </w:r>
            <w:r>
              <w:rPr>
                <w:rFonts w:ascii="Segoe UI Light" w:eastAsia="Times New Roman" w:hAnsi="Segoe UI Light" w:cs="Segoe UI Light"/>
                <w:b/>
                <w:bCs/>
                <w:color w:val="000000"/>
                <w:sz w:val="16"/>
                <w:szCs w:val="16"/>
                <w:lang w:val="en-US"/>
              </w:rPr>
              <w:t>,0</w:t>
            </w:r>
          </w:p>
        </w:tc>
        <w:tc>
          <w:tcPr>
            <w:tcW w:w="737" w:type="dxa"/>
            <w:noWrap/>
            <w:vAlign w:val="bottom"/>
            <w:hideMark/>
          </w:tcPr>
          <w:p w14:paraId="3352B559"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sidRPr="004B2DB8">
              <w:rPr>
                <w:rFonts w:ascii="Segoe UI Light" w:eastAsia="Times New Roman" w:hAnsi="Segoe UI Light" w:cs="Segoe UI Light"/>
                <w:b/>
                <w:bCs/>
                <w:color w:val="000000"/>
                <w:sz w:val="16"/>
                <w:szCs w:val="16"/>
                <w:lang w:val="en-US"/>
              </w:rPr>
              <w:t>893</w:t>
            </w:r>
            <w:r>
              <w:rPr>
                <w:rFonts w:ascii="Segoe UI Light" w:eastAsia="Times New Roman" w:hAnsi="Segoe UI Light" w:cs="Segoe UI Light"/>
                <w:b/>
                <w:bCs/>
                <w:color w:val="000000"/>
                <w:sz w:val="16"/>
                <w:szCs w:val="16"/>
                <w:lang w:val="en-US"/>
              </w:rPr>
              <w:t>,0</w:t>
            </w:r>
          </w:p>
        </w:tc>
        <w:tc>
          <w:tcPr>
            <w:tcW w:w="737" w:type="dxa"/>
            <w:noWrap/>
            <w:vAlign w:val="bottom"/>
            <w:hideMark/>
          </w:tcPr>
          <w:p w14:paraId="0703E32A"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sidRPr="004B2DB8">
              <w:rPr>
                <w:rFonts w:ascii="Segoe UI Light" w:eastAsia="Times New Roman" w:hAnsi="Segoe UI Light" w:cs="Segoe UI Light"/>
                <w:b/>
                <w:bCs/>
                <w:color w:val="000000"/>
                <w:sz w:val="16"/>
                <w:szCs w:val="16"/>
                <w:lang w:val="en-US"/>
              </w:rPr>
              <w:t>864</w:t>
            </w:r>
            <w:r>
              <w:rPr>
                <w:rFonts w:ascii="Segoe UI Light" w:eastAsia="Times New Roman" w:hAnsi="Segoe UI Light" w:cs="Segoe UI Light"/>
                <w:b/>
                <w:bCs/>
                <w:color w:val="000000"/>
                <w:sz w:val="16"/>
                <w:szCs w:val="16"/>
                <w:lang w:val="en-US"/>
              </w:rPr>
              <w:t>,0</w:t>
            </w:r>
          </w:p>
        </w:tc>
        <w:tc>
          <w:tcPr>
            <w:tcW w:w="737" w:type="dxa"/>
            <w:noWrap/>
            <w:vAlign w:val="bottom"/>
            <w:hideMark/>
          </w:tcPr>
          <w:p w14:paraId="3B2E6ED7"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886,</w:t>
            </w:r>
            <w:r w:rsidRPr="004B2DB8">
              <w:rPr>
                <w:rFonts w:ascii="Segoe UI Light" w:eastAsia="Times New Roman" w:hAnsi="Segoe UI Light" w:cs="Segoe UI Light"/>
                <w:b/>
                <w:bCs/>
                <w:color w:val="000000"/>
                <w:sz w:val="16"/>
                <w:szCs w:val="16"/>
                <w:lang w:val="en-US"/>
              </w:rPr>
              <w:t>2</w:t>
            </w:r>
          </w:p>
        </w:tc>
        <w:tc>
          <w:tcPr>
            <w:tcW w:w="737" w:type="dxa"/>
            <w:noWrap/>
            <w:vAlign w:val="bottom"/>
            <w:hideMark/>
          </w:tcPr>
          <w:p w14:paraId="7F5F0ADD"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884,</w:t>
            </w:r>
            <w:r w:rsidRPr="004B2DB8">
              <w:rPr>
                <w:rFonts w:ascii="Segoe UI Light" w:eastAsia="Times New Roman" w:hAnsi="Segoe UI Light" w:cs="Segoe UI Light"/>
                <w:b/>
                <w:bCs/>
                <w:color w:val="000000"/>
                <w:sz w:val="16"/>
                <w:szCs w:val="16"/>
                <w:lang w:val="en-US"/>
              </w:rPr>
              <w:t>2</w:t>
            </w:r>
          </w:p>
        </w:tc>
      </w:tr>
      <w:tr w:rsidR="0066279C" w:rsidRPr="004B2DB8" w14:paraId="62231DD5" w14:textId="77777777" w:rsidTr="00AF5961">
        <w:trPr>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749795B1" w14:textId="77777777" w:rsidR="0066279C" w:rsidRPr="004B2DB8" w:rsidRDefault="0066279C" w:rsidP="00867A48">
            <w:pPr>
              <w:spacing w:before="40" w:after="40"/>
              <w:rPr>
                <w:rFonts w:ascii="Segoe UI Light" w:eastAsia="Times New Roman" w:hAnsi="Segoe UI Light" w:cs="Segoe UI Light"/>
                <w:b w:val="0"/>
                <w:color w:val="000000"/>
                <w:sz w:val="16"/>
                <w:szCs w:val="16"/>
              </w:rPr>
            </w:pPr>
            <w:r w:rsidRPr="004B2DB8">
              <w:rPr>
                <w:rFonts w:ascii="Segoe UI Light" w:eastAsia="Times New Roman" w:hAnsi="Segoe UI Light" w:cs="Segoe UI Light"/>
                <w:b w:val="0"/>
                <w:color w:val="000000"/>
                <w:sz w:val="16"/>
                <w:szCs w:val="16"/>
              </w:rPr>
              <w:t>Lauksaimniecība, mežsaimniecība, zivsaimniecība</w:t>
            </w:r>
          </w:p>
        </w:tc>
        <w:tc>
          <w:tcPr>
            <w:tcW w:w="737" w:type="dxa"/>
            <w:noWrap/>
            <w:vAlign w:val="bottom"/>
            <w:hideMark/>
          </w:tcPr>
          <w:p w14:paraId="76568B2D"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7126427E"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63D1D36F"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66</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4</w:t>
            </w:r>
          </w:p>
        </w:tc>
        <w:tc>
          <w:tcPr>
            <w:tcW w:w="737" w:type="dxa"/>
            <w:noWrap/>
            <w:vAlign w:val="bottom"/>
            <w:hideMark/>
          </w:tcPr>
          <w:p w14:paraId="03A92650"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68</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7</w:t>
            </w:r>
          </w:p>
        </w:tc>
        <w:tc>
          <w:tcPr>
            <w:tcW w:w="737" w:type="dxa"/>
            <w:noWrap/>
            <w:vAlign w:val="bottom"/>
            <w:hideMark/>
          </w:tcPr>
          <w:p w14:paraId="0B2F8E80"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66</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3A7A8A42"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64</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0A16E3F1"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58</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5</w:t>
            </w:r>
          </w:p>
        </w:tc>
        <w:tc>
          <w:tcPr>
            <w:tcW w:w="737" w:type="dxa"/>
            <w:noWrap/>
            <w:vAlign w:val="bottom"/>
            <w:hideMark/>
          </w:tcPr>
          <w:p w14:paraId="2B333F7C"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59</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9</w:t>
            </w:r>
          </w:p>
        </w:tc>
        <w:tc>
          <w:tcPr>
            <w:tcW w:w="737" w:type="dxa"/>
            <w:noWrap/>
            <w:vAlign w:val="bottom"/>
            <w:hideMark/>
          </w:tcPr>
          <w:p w14:paraId="681754F5"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59</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r>
      <w:tr w:rsidR="00AF5961" w:rsidRPr="004B2DB8" w14:paraId="071D089C" w14:textId="77777777" w:rsidTr="00AF5961">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783C649E" w14:textId="77777777" w:rsidR="0066279C" w:rsidRPr="004B2DB8" w:rsidRDefault="0066279C" w:rsidP="00867A48">
            <w:pPr>
              <w:spacing w:before="40" w:after="40"/>
              <w:rPr>
                <w:rFonts w:ascii="Segoe UI Light" w:eastAsia="Times New Roman" w:hAnsi="Segoe UI Light" w:cs="Segoe UI Light"/>
                <w:b w:val="0"/>
                <w:color w:val="000000"/>
                <w:sz w:val="16"/>
                <w:szCs w:val="16"/>
              </w:rPr>
            </w:pPr>
            <w:r w:rsidRPr="004B2DB8">
              <w:rPr>
                <w:rFonts w:ascii="Segoe UI Light" w:eastAsia="Times New Roman" w:hAnsi="Segoe UI Light" w:cs="Segoe UI Light"/>
                <w:b w:val="0"/>
                <w:color w:val="000000"/>
                <w:sz w:val="16"/>
                <w:szCs w:val="16"/>
              </w:rPr>
              <w:t>Apstrādes rūpniecība</w:t>
            </w:r>
          </w:p>
        </w:tc>
        <w:tc>
          <w:tcPr>
            <w:tcW w:w="737" w:type="dxa"/>
            <w:noWrap/>
            <w:vAlign w:val="bottom"/>
            <w:hideMark/>
          </w:tcPr>
          <w:p w14:paraId="3FED0559"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112</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2</w:t>
            </w:r>
          </w:p>
        </w:tc>
        <w:tc>
          <w:tcPr>
            <w:tcW w:w="737" w:type="dxa"/>
            <w:noWrap/>
            <w:vAlign w:val="bottom"/>
            <w:hideMark/>
          </w:tcPr>
          <w:p w14:paraId="02F2FC3B"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122</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5</w:t>
            </w:r>
          </w:p>
        </w:tc>
        <w:tc>
          <w:tcPr>
            <w:tcW w:w="737" w:type="dxa"/>
            <w:noWrap/>
            <w:vAlign w:val="bottom"/>
            <w:hideMark/>
          </w:tcPr>
          <w:p w14:paraId="3EC30F31"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118</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8</w:t>
            </w:r>
          </w:p>
        </w:tc>
        <w:tc>
          <w:tcPr>
            <w:tcW w:w="737" w:type="dxa"/>
            <w:noWrap/>
            <w:vAlign w:val="bottom"/>
            <w:hideMark/>
          </w:tcPr>
          <w:p w14:paraId="5C2AA7A3"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123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5</w:t>
            </w:r>
          </w:p>
        </w:tc>
        <w:tc>
          <w:tcPr>
            <w:tcW w:w="737" w:type="dxa"/>
            <w:noWrap/>
            <w:vAlign w:val="bottom"/>
            <w:hideMark/>
          </w:tcPr>
          <w:p w14:paraId="6B6E0B14"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115</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1</w:t>
            </w:r>
          </w:p>
        </w:tc>
        <w:tc>
          <w:tcPr>
            <w:tcW w:w="737" w:type="dxa"/>
            <w:noWrap/>
            <w:vAlign w:val="bottom"/>
            <w:hideMark/>
          </w:tcPr>
          <w:p w14:paraId="77ABE98F"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114</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5</w:t>
            </w:r>
          </w:p>
        </w:tc>
        <w:tc>
          <w:tcPr>
            <w:tcW w:w="737" w:type="dxa"/>
            <w:noWrap/>
            <w:vAlign w:val="bottom"/>
            <w:hideMark/>
          </w:tcPr>
          <w:p w14:paraId="192C175A"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109</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2</w:t>
            </w:r>
          </w:p>
        </w:tc>
        <w:tc>
          <w:tcPr>
            <w:tcW w:w="737" w:type="dxa"/>
            <w:noWrap/>
            <w:vAlign w:val="bottom"/>
            <w:hideMark/>
          </w:tcPr>
          <w:p w14:paraId="4B8889AC"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114</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4</w:t>
            </w:r>
          </w:p>
        </w:tc>
        <w:tc>
          <w:tcPr>
            <w:tcW w:w="737" w:type="dxa"/>
            <w:noWrap/>
            <w:vAlign w:val="bottom"/>
            <w:hideMark/>
          </w:tcPr>
          <w:p w14:paraId="50166B3E"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111</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7</w:t>
            </w:r>
          </w:p>
        </w:tc>
      </w:tr>
      <w:tr w:rsidR="0066279C" w:rsidRPr="004B2DB8" w14:paraId="429F5900" w14:textId="77777777" w:rsidTr="00AF5961">
        <w:trPr>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7FE00F67" w14:textId="77777777" w:rsidR="0066279C" w:rsidRPr="004B2DB8" w:rsidRDefault="0066279C" w:rsidP="00867A48">
            <w:pPr>
              <w:spacing w:before="40" w:after="40"/>
              <w:rPr>
                <w:rFonts w:ascii="Segoe UI Light" w:eastAsia="Times New Roman" w:hAnsi="Segoe UI Light" w:cs="Segoe UI Light"/>
                <w:b w:val="0"/>
                <w:color w:val="000000"/>
                <w:sz w:val="16"/>
                <w:szCs w:val="16"/>
              </w:rPr>
            </w:pPr>
            <w:r w:rsidRPr="004B2DB8">
              <w:rPr>
                <w:rFonts w:ascii="Segoe UI Light" w:eastAsia="Times New Roman" w:hAnsi="Segoe UI Light" w:cs="Segoe UI Light"/>
                <w:b w:val="0"/>
                <w:color w:val="000000"/>
                <w:sz w:val="16"/>
                <w:szCs w:val="16"/>
              </w:rPr>
              <w:t>Pārējā rūpniecība</w:t>
            </w:r>
          </w:p>
        </w:tc>
        <w:tc>
          <w:tcPr>
            <w:tcW w:w="737" w:type="dxa"/>
            <w:noWrap/>
            <w:vAlign w:val="bottom"/>
            <w:hideMark/>
          </w:tcPr>
          <w:p w14:paraId="51BBCE3D"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26</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5</w:t>
            </w:r>
          </w:p>
        </w:tc>
        <w:tc>
          <w:tcPr>
            <w:tcW w:w="737" w:type="dxa"/>
            <w:noWrap/>
            <w:vAlign w:val="bottom"/>
            <w:hideMark/>
          </w:tcPr>
          <w:p w14:paraId="2CE3E2B0"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20</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6</w:t>
            </w:r>
          </w:p>
        </w:tc>
        <w:tc>
          <w:tcPr>
            <w:tcW w:w="737" w:type="dxa"/>
            <w:noWrap/>
            <w:vAlign w:val="bottom"/>
            <w:hideMark/>
          </w:tcPr>
          <w:p w14:paraId="3D7C3C53"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18</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9</w:t>
            </w:r>
          </w:p>
        </w:tc>
        <w:tc>
          <w:tcPr>
            <w:tcW w:w="737" w:type="dxa"/>
            <w:noWrap/>
            <w:vAlign w:val="bottom"/>
            <w:hideMark/>
          </w:tcPr>
          <w:p w14:paraId="62231371"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25</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7</w:t>
            </w:r>
          </w:p>
        </w:tc>
        <w:tc>
          <w:tcPr>
            <w:tcW w:w="737" w:type="dxa"/>
            <w:noWrap/>
            <w:vAlign w:val="bottom"/>
            <w:hideMark/>
          </w:tcPr>
          <w:p w14:paraId="76ADC757"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19</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03C54706"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19</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6</w:t>
            </w:r>
          </w:p>
        </w:tc>
        <w:tc>
          <w:tcPr>
            <w:tcW w:w="737" w:type="dxa"/>
            <w:noWrap/>
            <w:vAlign w:val="bottom"/>
            <w:hideMark/>
          </w:tcPr>
          <w:p w14:paraId="424272BE"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22</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1</w:t>
            </w:r>
          </w:p>
        </w:tc>
        <w:tc>
          <w:tcPr>
            <w:tcW w:w="737" w:type="dxa"/>
            <w:noWrap/>
            <w:vAlign w:val="bottom"/>
            <w:hideMark/>
          </w:tcPr>
          <w:p w14:paraId="0A38BA65"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4</w:t>
            </w:r>
          </w:p>
        </w:tc>
        <w:tc>
          <w:tcPr>
            <w:tcW w:w="737" w:type="dxa"/>
            <w:noWrap/>
            <w:vAlign w:val="bottom"/>
            <w:hideMark/>
          </w:tcPr>
          <w:p w14:paraId="3D53603A"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20</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8</w:t>
            </w:r>
          </w:p>
        </w:tc>
      </w:tr>
      <w:tr w:rsidR="00AF5961" w:rsidRPr="004B2DB8" w14:paraId="28A722CC" w14:textId="77777777" w:rsidTr="00AF5961">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76263D39" w14:textId="77777777" w:rsidR="0066279C" w:rsidRPr="004B2DB8" w:rsidRDefault="0066279C" w:rsidP="00867A48">
            <w:pPr>
              <w:spacing w:before="40" w:after="40"/>
              <w:rPr>
                <w:rFonts w:ascii="Segoe UI Light" w:eastAsia="Times New Roman" w:hAnsi="Segoe UI Light" w:cs="Segoe UI Light"/>
                <w:b w:val="0"/>
                <w:color w:val="000000"/>
                <w:sz w:val="16"/>
                <w:szCs w:val="16"/>
              </w:rPr>
            </w:pPr>
            <w:r w:rsidRPr="004B2DB8">
              <w:rPr>
                <w:rFonts w:ascii="Segoe UI Light" w:eastAsia="Times New Roman" w:hAnsi="Segoe UI Light" w:cs="Segoe UI Light"/>
                <w:b w:val="0"/>
                <w:color w:val="000000"/>
                <w:sz w:val="16"/>
                <w:szCs w:val="16"/>
              </w:rPr>
              <w:t>Būvniecība</w:t>
            </w:r>
          </w:p>
        </w:tc>
        <w:tc>
          <w:tcPr>
            <w:tcW w:w="737" w:type="dxa"/>
            <w:noWrap/>
            <w:vAlign w:val="bottom"/>
            <w:hideMark/>
          </w:tcPr>
          <w:p w14:paraId="3407A6F3"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57</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6</w:t>
            </w:r>
          </w:p>
        </w:tc>
        <w:tc>
          <w:tcPr>
            <w:tcW w:w="737" w:type="dxa"/>
            <w:noWrap/>
            <w:vAlign w:val="bottom"/>
            <w:hideMark/>
          </w:tcPr>
          <w:p w14:paraId="249C79D7"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62</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21FB0479"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2</w:t>
            </w:r>
          </w:p>
        </w:tc>
        <w:tc>
          <w:tcPr>
            <w:tcW w:w="737" w:type="dxa"/>
            <w:noWrap/>
            <w:vAlign w:val="bottom"/>
            <w:hideMark/>
          </w:tcPr>
          <w:p w14:paraId="35E767DB"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66</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1</w:t>
            </w:r>
          </w:p>
        </w:tc>
        <w:tc>
          <w:tcPr>
            <w:tcW w:w="737" w:type="dxa"/>
            <w:noWrap/>
            <w:vAlign w:val="bottom"/>
            <w:hideMark/>
          </w:tcPr>
          <w:p w14:paraId="0988047E"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81</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1</w:t>
            </w:r>
          </w:p>
        </w:tc>
        <w:tc>
          <w:tcPr>
            <w:tcW w:w="737" w:type="dxa"/>
            <w:noWrap/>
            <w:vAlign w:val="bottom"/>
            <w:hideMark/>
          </w:tcPr>
          <w:p w14:paraId="422117A3"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76</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5</w:t>
            </w:r>
          </w:p>
        </w:tc>
        <w:tc>
          <w:tcPr>
            <w:tcW w:w="737" w:type="dxa"/>
            <w:noWrap/>
            <w:vAlign w:val="bottom"/>
            <w:hideMark/>
          </w:tcPr>
          <w:p w14:paraId="0A949518"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72</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01287B23"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72</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1</w:t>
            </w:r>
          </w:p>
        </w:tc>
        <w:tc>
          <w:tcPr>
            <w:tcW w:w="737" w:type="dxa"/>
            <w:noWrap/>
            <w:vAlign w:val="bottom"/>
            <w:hideMark/>
          </w:tcPr>
          <w:p w14:paraId="090890C9"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70</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r>
      <w:tr w:rsidR="0066279C" w:rsidRPr="004B2DB8" w14:paraId="1DA2D07F" w14:textId="77777777" w:rsidTr="00AF5961">
        <w:trPr>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2EEEBECB" w14:textId="77777777" w:rsidR="0066279C" w:rsidRPr="004B2DB8" w:rsidRDefault="0066279C" w:rsidP="00867A48">
            <w:pPr>
              <w:spacing w:before="40" w:after="40"/>
              <w:rPr>
                <w:rFonts w:ascii="Segoe UI Light" w:eastAsia="Times New Roman" w:hAnsi="Segoe UI Light" w:cs="Segoe UI Light"/>
                <w:b w:val="0"/>
                <w:color w:val="000000"/>
                <w:sz w:val="16"/>
                <w:szCs w:val="16"/>
              </w:rPr>
            </w:pPr>
            <w:r w:rsidRPr="004B2DB8">
              <w:rPr>
                <w:rFonts w:ascii="Segoe UI Light" w:eastAsia="Times New Roman" w:hAnsi="Segoe UI Light" w:cs="Segoe UI Light"/>
                <w:b w:val="0"/>
                <w:color w:val="000000"/>
                <w:sz w:val="16"/>
                <w:szCs w:val="16"/>
              </w:rPr>
              <w:t>Tirdzniecība, izmitināšana</w:t>
            </w:r>
          </w:p>
        </w:tc>
        <w:tc>
          <w:tcPr>
            <w:tcW w:w="737" w:type="dxa"/>
            <w:noWrap/>
            <w:vAlign w:val="bottom"/>
            <w:hideMark/>
          </w:tcPr>
          <w:p w14:paraId="181A494D"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162</w:t>
            </w:r>
          </w:p>
        </w:tc>
        <w:tc>
          <w:tcPr>
            <w:tcW w:w="737" w:type="dxa"/>
            <w:noWrap/>
            <w:vAlign w:val="bottom"/>
            <w:hideMark/>
          </w:tcPr>
          <w:p w14:paraId="437ADF1C"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155</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6</w:t>
            </w:r>
          </w:p>
        </w:tc>
        <w:tc>
          <w:tcPr>
            <w:tcW w:w="737" w:type="dxa"/>
            <w:noWrap/>
            <w:vAlign w:val="bottom"/>
            <w:hideMark/>
          </w:tcPr>
          <w:p w14:paraId="5BCE05FB"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161</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6</w:t>
            </w:r>
          </w:p>
        </w:tc>
        <w:tc>
          <w:tcPr>
            <w:tcW w:w="737" w:type="dxa"/>
            <w:noWrap/>
            <w:vAlign w:val="bottom"/>
            <w:hideMark/>
          </w:tcPr>
          <w:p w14:paraId="09C85763"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154</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7</w:t>
            </w:r>
          </w:p>
        </w:tc>
        <w:tc>
          <w:tcPr>
            <w:tcW w:w="737" w:type="dxa"/>
            <w:noWrap/>
            <w:vAlign w:val="bottom"/>
            <w:hideMark/>
          </w:tcPr>
          <w:p w14:paraId="65CD2556"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169</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6</w:t>
            </w:r>
          </w:p>
        </w:tc>
        <w:tc>
          <w:tcPr>
            <w:tcW w:w="737" w:type="dxa"/>
            <w:noWrap/>
            <w:vAlign w:val="bottom"/>
            <w:hideMark/>
          </w:tcPr>
          <w:p w14:paraId="0A1E532D"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160</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2</w:t>
            </w:r>
          </w:p>
        </w:tc>
        <w:tc>
          <w:tcPr>
            <w:tcW w:w="737" w:type="dxa"/>
            <w:noWrap/>
            <w:vAlign w:val="bottom"/>
            <w:hideMark/>
          </w:tcPr>
          <w:p w14:paraId="48698D49"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157</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9</w:t>
            </w:r>
          </w:p>
        </w:tc>
        <w:tc>
          <w:tcPr>
            <w:tcW w:w="737" w:type="dxa"/>
            <w:noWrap/>
            <w:vAlign w:val="bottom"/>
            <w:hideMark/>
          </w:tcPr>
          <w:p w14:paraId="145DFC3E"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166</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2</w:t>
            </w:r>
          </w:p>
        </w:tc>
        <w:tc>
          <w:tcPr>
            <w:tcW w:w="737" w:type="dxa"/>
            <w:noWrap/>
            <w:vAlign w:val="bottom"/>
            <w:hideMark/>
          </w:tcPr>
          <w:p w14:paraId="74A29E60"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156</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6</w:t>
            </w:r>
          </w:p>
        </w:tc>
      </w:tr>
      <w:tr w:rsidR="00AF5961" w:rsidRPr="004B2DB8" w14:paraId="78C14691" w14:textId="77777777" w:rsidTr="00AF5961">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0A25694A" w14:textId="77777777" w:rsidR="0066279C" w:rsidRPr="004B2DB8" w:rsidRDefault="0066279C" w:rsidP="00867A48">
            <w:pPr>
              <w:spacing w:before="40" w:after="40"/>
              <w:rPr>
                <w:rFonts w:ascii="Segoe UI Light" w:eastAsia="Times New Roman" w:hAnsi="Segoe UI Light" w:cs="Segoe UI Light"/>
                <w:b w:val="0"/>
                <w:color w:val="000000"/>
                <w:sz w:val="16"/>
                <w:szCs w:val="16"/>
              </w:rPr>
            </w:pPr>
            <w:r w:rsidRPr="004B2DB8">
              <w:rPr>
                <w:rFonts w:ascii="Segoe UI Light" w:eastAsia="Times New Roman" w:hAnsi="Segoe UI Light" w:cs="Segoe UI Light"/>
                <w:b w:val="0"/>
                <w:color w:val="000000"/>
                <w:sz w:val="16"/>
                <w:szCs w:val="16"/>
              </w:rPr>
              <w:t>Transports un uzglabāšana</w:t>
            </w:r>
          </w:p>
        </w:tc>
        <w:tc>
          <w:tcPr>
            <w:tcW w:w="737" w:type="dxa"/>
            <w:noWrap/>
            <w:vAlign w:val="bottom"/>
            <w:hideMark/>
          </w:tcPr>
          <w:p w14:paraId="5844E47E"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71</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4</w:t>
            </w:r>
          </w:p>
        </w:tc>
        <w:tc>
          <w:tcPr>
            <w:tcW w:w="737" w:type="dxa"/>
            <w:noWrap/>
            <w:vAlign w:val="bottom"/>
            <w:hideMark/>
          </w:tcPr>
          <w:p w14:paraId="65FEA0D8"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75</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1</w:t>
            </w:r>
          </w:p>
        </w:tc>
        <w:tc>
          <w:tcPr>
            <w:tcW w:w="737" w:type="dxa"/>
            <w:noWrap/>
            <w:vAlign w:val="bottom"/>
            <w:hideMark/>
          </w:tcPr>
          <w:p w14:paraId="746D6DF6"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84</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8</w:t>
            </w:r>
          </w:p>
        </w:tc>
        <w:tc>
          <w:tcPr>
            <w:tcW w:w="737" w:type="dxa"/>
            <w:noWrap/>
            <w:vAlign w:val="bottom"/>
            <w:hideMark/>
          </w:tcPr>
          <w:p w14:paraId="25205AFF"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83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654FC060"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74</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3F94179D"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69</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2F5ABBBA"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66</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7</w:t>
            </w:r>
          </w:p>
        </w:tc>
        <w:tc>
          <w:tcPr>
            <w:tcW w:w="737" w:type="dxa"/>
            <w:noWrap/>
            <w:vAlign w:val="bottom"/>
            <w:hideMark/>
          </w:tcPr>
          <w:p w14:paraId="46E0924E"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65</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9</w:t>
            </w:r>
          </w:p>
        </w:tc>
        <w:tc>
          <w:tcPr>
            <w:tcW w:w="737" w:type="dxa"/>
            <w:noWrap/>
            <w:vAlign w:val="bottom"/>
            <w:hideMark/>
          </w:tcPr>
          <w:p w14:paraId="30599BF8"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73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2</w:t>
            </w:r>
          </w:p>
        </w:tc>
      </w:tr>
      <w:tr w:rsidR="0066279C" w:rsidRPr="004B2DB8" w14:paraId="649FC005" w14:textId="77777777" w:rsidTr="00AF5961">
        <w:trPr>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29BD21D6" w14:textId="77777777" w:rsidR="0066279C" w:rsidRPr="004B2DB8" w:rsidRDefault="0066279C" w:rsidP="00867A48">
            <w:pPr>
              <w:spacing w:before="40" w:after="40"/>
              <w:rPr>
                <w:rFonts w:ascii="Segoe UI Light" w:eastAsia="Times New Roman" w:hAnsi="Segoe UI Light" w:cs="Segoe UI Light"/>
                <w:b w:val="0"/>
                <w:color w:val="000000"/>
                <w:sz w:val="16"/>
                <w:szCs w:val="16"/>
              </w:rPr>
            </w:pPr>
            <w:r w:rsidRPr="004B2DB8">
              <w:rPr>
                <w:rFonts w:ascii="Segoe UI Light" w:eastAsia="Times New Roman" w:hAnsi="Segoe UI Light" w:cs="Segoe UI Light"/>
                <w:b w:val="0"/>
                <w:color w:val="000000"/>
                <w:sz w:val="16"/>
                <w:szCs w:val="16"/>
              </w:rPr>
              <w:t>Citi komercpakalpojumi</w:t>
            </w:r>
          </w:p>
        </w:tc>
        <w:tc>
          <w:tcPr>
            <w:tcW w:w="737" w:type="dxa"/>
            <w:noWrap/>
            <w:vAlign w:val="bottom"/>
            <w:hideMark/>
          </w:tcPr>
          <w:p w14:paraId="57C7DDA4"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154</w:t>
            </w:r>
          </w:p>
        </w:tc>
        <w:tc>
          <w:tcPr>
            <w:tcW w:w="737" w:type="dxa"/>
            <w:noWrap/>
            <w:vAlign w:val="bottom"/>
            <w:hideMark/>
          </w:tcPr>
          <w:p w14:paraId="298EC0AF"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163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9</w:t>
            </w:r>
          </w:p>
        </w:tc>
        <w:tc>
          <w:tcPr>
            <w:tcW w:w="737" w:type="dxa"/>
            <w:noWrap/>
            <w:vAlign w:val="bottom"/>
            <w:hideMark/>
          </w:tcPr>
          <w:p w14:paraId="6482C6D3"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165</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2</w:t>
            </w:r>
          </w:p>
        </w:tc>
        <w:tc>
          <w:tcPr>
            <w:tcW w:w="737" w:type="dxa"/>
            <w:noWrap/>
            <w:vAlign w:val="bottom"/>
            <w:hideMark/>
          </w:tcPr>
          <w:p w14:paraId="081270E9"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173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8</w:t>
            </w:r>
          </w:p>
        </w:tc>
        <w:tc>
          <w:tcPr>
            <w:tcW w:w="737" w:type="dxa"/>
            <w:noWrap/>
            <w:vAlign w:val="bottom"/>
            <w:hideMark/>
          </w:tcPr>
          <w:p w14:paraId="46824F78"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179</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7</w:t>
            </w:r>
          </w:p>
        </w:tc>
        <w:tc>
          <w:tcPr>
            <w:tcW w:w="737" w:type="dxa"/>
            <w:noWrap/>
            <w:vAlign w:val="bottom"/>
            <w:hideMark/>
          </w:tcPr>
          <w:p w14:paraId="102F8A9C"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187</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2</w:t>
            </w:r>
          </w:p>
        </w:tc>
        <w:tc>
          <w:tcPr>
            <w:tcW w:w="737" w:type="dxa"/>
            <w:noWrap/>
            <w:vAlign w:val="bottom"/>
            <w:hideMark/>
          </w:tcPr>
          <w:p w14:paraId="0AE53840"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174</w:t>
            </w:r>
          </w:p>
        </w:tc>
        <w:tc>
          <w:tcPr>
            <w:tcW w:w="737" w:type="dxa"/>
            <w:noWrap/>
            <w:vAlign w:val="bottom"/>
            <w:hideMark/>
          </w:tcPr>
          <w:p w14:paraId="16AB9DDC"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179</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5</w:t>
            </w:r>
          </w:p>
        </w:tc>
        <w:tc>
          <w:tcPr>
            <w:tcW w:w="737" w:type="dxa"/>
            <w:noWrap/>
            <w:vAlign w:val="bottom"/>
            <w:hideMark/>
          </w:tcPr>
          <w:p w14:paraId="50D3B3A6" w14:textId="77777777" w:rsidR="0066279C" w:rsidRPr="004B2DB8" w:rsidRDefault="0066279C" w:rsidP="00867A48">
            <w:pPr>
              <w:tabs>
                <w:tab w:val="decimal" w:pos="276"/>
              </w:tabs>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188</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1</w:t>
            </w:r>
          </w:p>
        </w:tc>
      </w:tr>
      <w:tr w:rsidR="00AF5961" w:rsidRPr="004B2DB8" w14:paraId="044CE521" w14:textId="77777777" w:rsidTr="00AF5961">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438" w:type="dxa"/>
            <w:noWrap/>
            <w:hideMark/>
          </w:tcPr>
          <w:p w14:paraId="5F965C0D" w14:textId="77777777" w:rsidR="0066279C" w:rsidRPr="004B2DB8" w:rsidRDefault="0066279C" w:rsidP="00867A48">
            <w:pPr>
              <w:spacing w:before="40" w:after="40"/>
              <w:rPr>
                <w:rFonts w:ascii="Segoe UI Light" w:eastAsia="Times New Roman" w:hAnsi="Segoe UI Light" w:cs="Segoe UI Light"/>
                <w:b w:val="0"/>
                <w:color w:val="000000"/>
                <w:sz w:val="16"/>
                <w:szCs w:val="16"/>
              </w:rPr>
            </w:pPr>
            <w:r w:rsidRPr="004B2DB8">
              <w:rPr>
                <w:rFonts w:ascii="Segoe UI Light" w:eastAsia="Times New Roman" w:hAnsi="Segoe UI Light" w:cs="Segoe UI Light"/>
                <w:b w:val="0"/>
                <w:color w:val="000000"/>
                <w:sz w:val="16"/>
                <w:szCs w:val="16"/>
              </w:rPr>
              <w:t>Sabiedriskie pakalpojumi</w:t>
            </w:r>
          </w:p>
        </w:tc>
        <w:tc>
          <w:tcPr>
            <w:tcW w:w="737" w:type="dxa"/>
            <w:noWrap/>
            <w:vAlign w:val="bottom"/>
            <w:hideMark/>
          </w:tcPr>
          <w:p w14:paraId="26564F91"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193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7</w:t>
            </w:r>
          </w:p>
        </w:tc>
        <w:tc>
          <w:tcPr>
            <w:tcW w:w="737" w:type="dxa"/>
            <w:noWrap/>
            <w:vAlign w:val="bottom"/>
            <w:hideMark/>
          </w:tcPr>
          <w:p w14:paraId="58373648"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202</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592A425E"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195</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7</w:t>
            </w:r>
          </w:p>
        </w:tc>
        <w:tc>
          <w:tcPr>
            <w:tcW w:w="737" w:type="dxa"/>
            <w:noWrap/>
            <w:vAlign w:val="bottom"/>
            <w:hideMark/>
          </w:tcPr>
          <w:p w14:paraId="454104A9"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197</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5</w:t>
            </w:r>
          </w:p>
        </w:tc>
        <w:tc>
          <w:tcPr>
            <w:tcW w:w="737" w:type="dxa"/>
            <w:noWrap/>
            <w:vAlign w:val="bottom"/>
            <w:hideMark/>
          </w:tcPr>
          <w:p w14:paraId="6A5CB28A"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204</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6</w:t>
            </w:r>
          </w:p>
        </w:tc>
        <w:tc>
          <w:tcPr>
            <w:tcW w:w="737" w:type="dxa"/>
            <w:noWrap/>
            <w:vAlign w:val="bottom"/>
            <w:hideMark/>
          </w:tcPr>
          <w:p w14:paraId="013A4E99"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201</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4</w:t>
            </w:r>
          </w:p>
        </w:tc>
        <w:tc>
          <w:tcPr>
            <w:tcW w:w="737" w:type="dxa"/>
            <w:noWrap/>
            <w:vAlign w:val="bottom"/>
            <w:hideMark/>
          </w:tcPr>
          <w:p w14:paraId="34E5FDBA"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203</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3</w:t>
            </w:r>
          </w:p>
        </w:tc>
        <w:tc>
          <w:tcPr>
            <w:tcW w:w="737" w:type="dxa"/>
            <w:noWrap/>
            <w:vAlign w:val="bottom"/>
            <w:hideMark/>
          </w:tcPr>
          <w:p w14:paraId="7643A09C"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204</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8</w:t>
            </w:r>
          </w:p>
        </w:tc>
        <w:tc>
          <w:tcPr>
            <w:tcW w:w="737" w:type="dxa"/>
            <w:noWrap/>
            <w:vAlign w:val="bottom"/>
            <w:hideMark/>
          </w:tcPr>
          <w:p w14:paraId="1B75766D" w14:textId="77777777" w:rsidR="0066279C" w:rsidRPr="004B2DB8" w:rsidRDefault="0066279C" w:rsidP="00867A48">
            <w:pPr>
              <w:tabs>
                <w:tab w:val="decimal" w:pos="276"/>
              </w:tabs>
              <w:spacing w:before="40" w:after="40"/>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sidRPr="004B2DB8">
              <w:rPr>
                <w:rFonts w:ascii="Segoe UI Light" w:eastAsia="Times New Roman" w:hAnsi="Segoe UI Light" w:cs="Segoe UI Light"/>
                <w:color w:val="000000"/>
                <w:sz w:val="16"/>
                <w:szCs w:val="16"/>
                <w:lang w:val="en-US"/>
              </w:rPr>
              <w:t>204</w:t>
            </w:r>
            <w:r>
              <w:rPr>
                <w:rFonts w:ascii="Segoe UI Light" w:eastAsia="Times New Roman" w:hAnsi="Segoe UI Light" w:cs="Segoe UI Light"/>
                <w:color w:val="000000"/>
                <w:sz w:val="16"/>
                <w:szCs w:val="16"/>
                <w:lang w:val="en-US"/>
              </w:rPr>
              <w:t>,</w:t>
            </w:r>
            <w:r w:rsidRPr="004B2DB8">
              <w:rPr>
                <w:rFonts w:ascii="Segoe UI Light" w:eastAsia="Times New Roman" w:hAnsi="Segoe UI Light" w:cs="Segoe UI Light"/>
                <w:color w:val="000000"/>
                <w:sz w:val="16"/>
                <w:szCs w:val="16"/>
                <w:lang w:val="en-US"/>
              </w:rPr>
              <w:t>2</w:t>
            </w:r>
          </w:p>
        </w:tc>
      </w:tr>
    </w:tbl>
    <w:p w14:paraId="14FED8F1" w14:textId="77777777" w:rsidR="0066279C" w:rsidRPr="00AF5961" w:rsidRDefault="0066279C" w:rsidP="00867A48">
      <w:pPr>
        <w:spacing w:before="120" w:after="120"/>
        <w:ind w:firstLine="142"/>
        <w:jc w:val="both"/>
        <w:rPr>
          <w:sz w:val="16"/>
          <w:szCs w:val="16"/>
        </w:rPr>
      </w:pPr>
      <w:r w:rsidRPr="00AF5961">
        <w:rPr>
          <w:sz w:val="16"/>
          <w:szCs w:val="16"/>
        </w:rPr>
        <w:t>Avots: CSP</w:t>
      </w:r>
    </w:p>
    <w:p w14:paraId="0FD540A3" w14:textId="735A3E0E" w:rsidR="0066279C" w:rsidRPr="00AF5961" w:rsidRDefault="0066279C" w:rsidP="00867A48">
      <w:pPr>
        <w:spacing w:after="120"/>
        <w:ind w:left="142"/>
        <w:rPr>
          <w:sz w:val="16"/>
          <w:szCs w:val="16"/>
        </w:rPr>
      </w:pPr>
      <w:r w:rsidRPr="00AF5961">
        <w:rPr>
          <w:sz w:val="16"/>
          <w:szCs w:val="16"/>
        </w:rPr>
        <w:t>Sākot ar 2014.</w:t>
      </w:r>
      <w:r w:rsidR="0080669C" w:rsidRPr="00AF5961">
        <w:rPr>
          <w:sz w:val="16"/>
          <w:szCs w:val="16"/>
        </w:rPr>
        <w:t>gad</w:t>
      </w:r>
      <w:r w:rsidRPr="00AF5961">
        <w:rPr>
          <w:sz w:val="16"/>
          <w:szCs w:val="16"/>
        </w:rPr>
        <w:t xml:space="preserve">u izmaiņas darbaspēka </w:t>
      </w:r>
      <w:proofErr w:type="spellStart"/>
      <w:r w:rsidRPr="00AF5961">
        <w:rPr>
          <w:sz w:val="16"/>
          <w:szCs w:val="16"/>
        </w:rPr>
        <w:t>apsekojuma</w:t>
      </w:r>
      <w:proofErr w:type="spellEnd"/>
      <w:r w:rsidR="00737B41">
        <w:rPr>
          <w:sz w:val="16"/>
          <w:szCs w:val="16"/>
        </w:rPr>
        <w:t xml:space="preserve"> (DSA)</w:t>
      </w:r>
      <w:r w:rsidRPr="00AF5961">
        <w:rPr>
          <w:sz w:val="16"/>
          <w:szCs w:val="16"/>
        </w:rPr>
        <w:t xml:space="preserve"> metodoloģijā – ceturkšņa datu vispārināšanai tiek izmantots ceturkšņa vidējais privātajās mājsaimniecībās dzīvojošo iedzīvotāju skaits (iepriekš – iedzīvotāju skaits</w:t>
      </w:r>
      <w:r w:rsidR="00AF5961">
        <w:rPr>
          <w:sz w:val="16"/>
          <w:szCs w:val="16"/>
        </w:rPr>
        <w:t xml:space="preserve"> </w:t>
      </w:r>
      <w:r w:rsidR="0080669C" w:rsidRPr="00AF5961">
        <w:rPr>
          <w:sz w:val="16"/>
          <w:szCs w:val="16"/>
        </w:rPr>
        <w:t>gad</w:t>
      </w:r>
      <w:r w:rsidRPr="00AF5961">
        <w:rPr>
          <w:sz w:val="16"/>
          <w:szCs w:val="16"/>
        </w:rPr>
        <w:t>a sākumā)</w:t>
      </w:r>
    </w:p>
    <w:p w14:paraId="031D71B4" w14:textId="77777777" w:rsidR="0066279C" w:rsidRDefault="0066279C" w:rsidP="00867A48">
      <w:pPr>
        <w:spacing w:after="120"/>
        <w:jc w:val="both"/>
      </w:pPr>
    </w:p>
    <w:p w14:paraId="1B9FBA9E" w14:textId="753C76C2" w:rsidR="0066279C" w:rsidRPr="00F81D4B" w:rsidRDefault="0066279C" w:rsidP="00867A48">
      <w:pPr>
        <w:spacing w:after="120"/>
        <w:jc w:val="both"/>
        <w:rPr>
          <w:szCs w:val="20"/>
        </w:rPr>
      </w:pPr>
      <w:r>
        <w:t>2023.</w:t>
      </w:r>
      <w:r w:rsidR="0080669C">
        <w:t>gad</w:t>
      </w:r>
      <w:r>
        <w:t xml:space="preserve">ā, pēc </w:t>
      </w:r>
      <w:r w:rsidR="00737B41">
        <w:t>DSA</w:t>
      </w:r>
      <w:r>
        <w:t xml:space="preserve"> datiem, nodarbināto skaits bija 884 tūkst., kas bija par 2,2</w:t>
      </w:r>
      <w:r w:rsidR="0080669C">
        <w:t>%</w:t>
      </w:r>
      <w:r>
        <w:t xml:space="preserve"> jeb 20 tūkst. lielāks</w:t>
      </w:r>
      <w:r w:rsidRPr="0073619A">
        <w:rPr>
          <w:szCs w:val="20"/>
        </w:rPr>
        <w:t xml:space="preserve"> nekā 20</w:t>
      </w:r>
      <w:r>
        <w:t>21.</w:t>
      </w:r>
      <w:r w:rsidR="0080669C">
        <w:t>gad</w:t>
      </w:r>
      <w:r>
        <w:t>ā un pietuvinājās 2019.</w:t>
      </w:r>
      <w:r w:rsidR="0080669C">
        <w:t>gad</w:t>
      </w:r>
      <w:r>
        <w:t xml:space="preserve">a (pirms </w:t>
      </w:r>
      <w:r w:rsidR="007D74ED">
        <w:t>Covid</w:t>
      </w:r>
      <w:r>
        <w:t>-19 pandēmijas) nodarbinātības līmenim. Nodarbināto skaits attiecībā pret 2021.</w:t>
      </w:r>
      <w:r w:rsidR="0080669C">
        <w:t>gad</w:t>
      </w:r>
      <w:r>
        <w:t>u visstraujāk samazinājās pārējā rūpniecībā, būvniecībā un tirdzniecībā un izmitināšanā, bet pieauga – transports un uzglabāšana, citi komercpakalpojumi un apstrādes rūpniecībā.</w:t>
      </w:r>
    </w:p>
    <w:p w14:paraId="65A2C9B0" w14:textId="77777777" w:rsidR="00AF5961" w:rsidRDefault="00AF5961" w:rsidP="00867A48">
      <w:pPr>
        <w:spacing w:after="120"/>
        <w:rPr>
          <w:color w:val="000000"/>
          <w:szCs w:val="26"/>
        </w:rPr>
      </w:pPr>
      <w:r>
        <w:rPr>
          <w:color w:val="000000"/>
          <w:szCs w:val="26"/>
        </w:rPr>
        <w:br w:type="page"/>
      </w:r>
    </w:p>
    <w:p w14:paraId="59C70A07" w14:textId="03AB81E4" w:rsidR="0066279C" w:rsidRPr="00A15E08" w:rsidRDefault="0066279C" w:rsidP="00867A48">
      <w:pPr>
        <w:pStyle w:val="BodyTextIndent"/>
        <w:numPr>
          <w:ilvl w:val="12"/>
          <w:numId w:val="0"/>
        </w:numPr>
        <w:jc w:val="right"/>
        <w:rPr>
          <w:color w:val="000000"/>
          <w:szCs w:val="26"/>
        </w:rPr>
      </w:pPr>
      <w:r w:rsidRPr="003B4CDA">
        <w:rPr>
          <w:color w:val="000000"/>
          <w:szCs w:val="26"/>
        </w:rPr>
        <w:lastRenderedPageBreak/>
        <w:t>2.1. attēls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66279C" w:rsidRPr="00AF5961" w14:paraId="67E8E742" w14:textId="77777777">
        <w:trPr>
          <w:trHeight w:val="256"/>
        </w:trPr>
        <w:tc>
          <w:tcPr>
            <w:tcW w:w="9061" w:type="dxa"/>
          </w:tcPr>
          <w:p w14:paraId="43D89C17" w14:textId="2875DA37" w:rsidR="0066279C" w:rsidRPr="00AF5961" w:rsidRDefault="0066279C" w:rsidP="00867A48">
            <w:pPr>
              <w:spacing w:after="120"/>
              <w:jc w:val="center"/>
              <w:rPr>
                <w:rFonts w:ascii="Segoe UI Light" w:hAnsi="Segoe UI Light" w:cs="Segoe UI Light"/>
                <w:color w:val="FF0000"/>
                <w:szCs w:val="20"/>
              </w:rPr>
            </w:pPr>
            <w:r w:rsidRPr="00AF5961">
              <w:rPr>
                <w:rFonts w:ascii="Segoe UI Light" w:hAnsi="Segoe UI Light" w:cs="Segoe UI Light"/>
                <w:b/>
                <w:bCs/>
                <w:color w:val="000000"/>
                <w:sz w:val="18"/>
                <w:szCs w:val="26"/>
              </w:rPr>
              <w:t>Nodarbināto struktūra tautsaimniecības nozarēs</w:t>
            </w:r>
            <w:r w:rsidR="00E75E20">
              <w:rPr>
                <w:rFonts w:ascii="Segoe UI Light" w:hAnsi="Segoe UI Light" w:cs="Segoe UI Light"/>
                <w:b/>
                <w:bCs/>
                <w:color w:val="000000"/>
                <w:sz w:val="18"/>
                <w:szCs w:val="26"/>
              </w:rPr>
              <w:br/>
            </w:r>
            <w:r w:rsidR="00E75E20" w:rsidRPr="00E75E20">
              <w:rPr>
                <w:rFonts w:ascii="Segoe UI Light" w:hAnsi="Segoe UI Light" w:cs="Segoe UI Light"/>
                <w:i/>
                <w:iCs/>
                <w:color w:val="000000"/>
                <w:sz w:val="16"/>
              </w:rPr>
              <w:t>procentos</w:t>
            </w:r>
          </w:p>
        </w:tc>
      </w:tr>
    </w:tbl>
    <w:p w14:paraId="5FA8CB96" w14:textId="4429B1B8" w:rsidR="00E75E20" w:rsidRPr="00E75E20" w:rsidRDefault="00E75E20" w:rsidP="00867A48">
      <w:pPr>
        <w:tabs>
          <w:tab w:val="center" w:pos="1418"/>
          <w:tab w:val="center" w:pos="7655"/>
        </w:tabs>
        <w:spacing w:after="120"/>
        <w:rPr>
          <w:rFonts w:ascii="Segoe UI Light" w:hAnsi="Segoe UI Light" w:cs="Segoe UI Light"/>
          <w:i/>
          <w:noProof/>
          <w:sz w:val="16"/>
          <w:szCs w:val="16"/>
          <w:lang w:val="en-US"/>
        </w:rPr>
      </w:pPr>
      <w:r w:rsidRPr="000E58D4">
        <w:rPr>
          <w:rFonts w:ascii="Segoe UI Light" w:hAnsi="Segoe UI Light" w:cs="Segoe UI Light"/>
          <w:i/>
          <w:noProof/>
          <w:sz w:val="16"/>
          <w:szCs w:val="16"/>
          <w:lang w:val="sv-SE"/>
        </w:rPr>
        <w:tab/>
      </w:r>
      <w:r w:rsidRPr="00E75E20">
        <w:rPr>
          <w:rFonts w:ascii="Segoe UI Light" w:hAnsi="Segoe UI Light" w:cs="Segoe UI Light"/>
          <w:i/>
          <w:noProof/>
          <w:sz w:val="16"/>
          <w:szCs w:val="16"/>
          <w:lang w:val="en-US"/>
        </w:rPr>
        <w:t>2021.gads</w:t>
      </w:r>
      <w:r w:rsidRPr="00E75E20">
        <w:rPr>
          <w:rFonts w:ascii="Segoe UI Light" w:hAnsi="Segoe UI Light" w:cs="Segoe UI Light"/>
          <w:color w:val="FF0000"/>
          <w:sz w:val="16"/>
          <w:szCs w:val="16"/>
        </w:rPr>
        <w:tab/>
      </w:r>
      <w:r w:rsidRPr="00E75E20">
        <w:rPr>
          <w:rFonts w:ascii="Segoe UI Light" w:hAnsi="Segoe UI Light" w:cs="Segoe UI Light"/>
          <w:i/>
          <w:noProof/>
          <w:sz w:val="16"/>
          <w:szCs w:val="16"/>
          <w:lang w:val="en-US"/>
        </w:rPr>
        <w:t>2023.gads</w:t>
      </w:r>
    </w:p>
    <w:p w14:paraId="0B5B235A" w14:textId="746B0D0B" w:rsidR="00AF5961" w:rsidRPr="00E75E20" w:rsidRDefault="00AF5961" w:rsidP="00867A48">
      <w:pPr>
        <w:tabs>
          <w:tab w:val="left" w:pos="3279"/>
          <w:tab w:val="left" w:pos="6057"/>
        </w:tabs>
        <w:spacing w:after="120"/>
        <w:ind w:left="108"/>
        <w:rPr>
          <w:rFonts w:ascii="Segoe UI Light" w:hAnsi="Segoe UI Light" w:cs="Segoe UI Light"/>
          <w:b/>
        </w:rPr>
      </w:pPr>
      <w:r w:rsidRPr="00E75E20">
        <w:rPr>
          <w:rFonts w:ascii="Segoe UI Light" w:hAnsi="Segoe UI Light" w:cs="Segoe UI Light"/>
          <w:b/>
          <w:bCs/>
          <w:noProof/>
          <w:szCs w:val="20"/>
          <w:lang w:val="en-US"/>
        </w:rPr>
        <w:drawing>
          <wp:inline distT="0" distB="0" distL="0" distR="0" wp14:anchorId="4267F88E" wp14:editId="26547563">
            <wp:extent cx="1620000" cy="18000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E75E20" w:rsidRPr="00E75E20">
        <w:rPr>
          <w:rFonts w:ascii="Segoe UI Light" w:hAnsi="Segoe UI Light" w:cs="Segoe UI Light"/>
          <w:b/>
          <w:bCs/>
          <w:noProof/>
          <w:szCs w:val="20"/>
          <w:lang w:val="en-US"/>
        </w:rPr>
        <w:drawing>
          <wp:inline distT="0" distB="0" distL="0" distR="0" wp14:anchorId="7CF805C4" wp14:editId="532AD3E4">
            <wp:extent cx="2412000" cy="1800000"/>
            <wp:effectExtent l="0" t="0" r="7620" b="0"/>
            <wp:docPr id="1350" name="Chart 1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E75E20" w:rsidRPr="00E75E20">
        <w:rPr>
          <w:rFonts w:ascii="Segoe UI Light" w:hAnsi="Segoe UI Light" w:cs="Segoe UI Light"/>
          <w:b/>
          <w:bCs/>
          <w:noProof/>
          <w:szCs w:val="20"/>
          <w:lang w:val="en-US"/>
        </w:rPr>
        <w:drawing>
          <wp:inline distT="0" distB="0" distL="0" distR="0" wp14:anchorId="49E061D2" wp14:editId="0F0A37CE">
            <wp:extent cx="1620000" cy="180000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2ED71CE" w14:textId="77777777" w:rsidR="0066279C" w:rsidRPr="00E75E20" w:rsidRDefault="0066279C" w:rsidP="00867A48">
      <w:pPr>
        <w:spacing w:after="120"/>
        <w:jc w:val="both"/>
        <w:rPr>
          <w:sz w:val="16"/>
          <w:szCs w:val="16"/>
        </w:rPr>
      </w:pPr>
      <w:r w:rsidRPr="00E75E20">
        <w:rPr>
          <w:sz w:val="16"/>
          <w:szCs w:val="16"/>
        </w:rPr>
        <w:t>Avots: CSP</w:t>
      </w:r>
    </w:p>
    <w:p w14:paraId="4DB80B1A" w14:textId="77777777" w:rsidR="00E75E20" w:rsidRDefault="00E75E20" w:rsidP="00867A48">
      <w:pPr>
        <w:spacing w:after="120"/>
        <w:jc w:val="both"/>
        <w:rPr>
          <w:szCs w:val="20"/>
        </w:rPr>
      </w:pPr>
    </w:p>
    <w:p w14:paraId="6A33A6F4" w14:textId="2D0FAEF7" w:rsidR="0066279C" w:rsidRDefault="0066279C" w:rsidP="00867A48">
      <w:pPr>
        <w:spacing w:after="120"/>
        <w:jc w:val="both"/>
        <w:rPr>
          <w:szCs w:val="20"/>
        </w:rPr>
      </w:pPr>
      <w:r w:rsidRPr="000F1D41">
        <w:rPr>
          <w:szCs w:val="20"/>
        </w:rPr>
        <w:t>Vislielākais nodarbināto īpatsvars 2023.</w:t>
      </w:r>
      <w:r w:rsidR="0080669C">
        <w:rPr>
          <w:szCs w:val="20"/>
        </w:rPr>
        <w:t>gad</w:t>
      </w:r>
      <w:r w:rsidRPr="000F1D41">
        <w:rPr>
          <w:szCs w:val="20"/>
        </w:rPr>
        <w:t>ā bija sabiedrisko pakalpojumu nozarēs (23</w:t>
      </w:r>
      <w:r w:rsidR="0080669C">
        <w:rPr>
          <w:szCs w:val="20"/>
        </w:rPr>
        <w:t>%</w:t>
      </w:r>
      <w:r w:rsidRPr="000F1D41">
        <w:rPr>
          <w:szCs w:val="20"/>
        </w:rPr>
        <w:t>), komercpakalpojumos (21</w:t>
      </w:r>
      <w:r w:rsidR="0080669C">
        <w:rPr>
          <w:szCs w:val="20"/>
        </w:rPr>
        <w:t>%</w:t>
      </w:r>
      <w:r w:rsidRPr="000F1D41">
        <w:rPr>
          <w:szCs w:val="20"/>
        </w:rPr>
        <w:t>), tirdzniecībā un izmitināšanā (18</w:t>
      </w:r>
      <w:r w:rsidR="0080669C">
        <w:rPr>
          <w:szCs w:val="20"/>
        </w:rPr>
        <w:t>%</w:t>
      </w:r>
      <w:r w:rsidRPr="000F1D41">
        <w:rPr>
          <w:szCs w:val="20"/>
        </w:rPr>
        <w:t>), kā arī apstrādes rūpniecībā (13</w:t>
      </w:r>
      <w:r w:rsidR="0080669C">
        <w:rPr>
          <w:szCs w:val="20"/>
        </w:rPr>
        <w:t>%</w:t>
      </w:r>
      <w:r w:rsidRPr="000F1D41">
        <w:rPr>
          <w:szCs w:val="20"/>
        </w:rPr>
        <w:t>). Salīdzinot ar 2021.</w:t>
      </w:r>
      <w:r w:rsidR="0080669C">
        <w:rPr>
          <w:szCs w:val="20"/>
        </w:rPr>
        <w:t>gad</w:t>
      </w:r>
      <w:r w:rsidRPr="000F1D41">
        <w:rPr>
          <w:szCs w:val="20"/>
        </w:rPr>
        <w:t>u, struktūra būtiski nav mainījusies, nodarbināto īpatsvars nedaudz sarucis pārējā rūpniecībā. Transportā, apstrādes un būvniecībā, tirdzniecībā un izmitināšanā, apstrādes rūpniecībā un lauksaimniecībā nodarbināto īpatsvars saglabājas nemainīgs.</w:t>
      </w:r>
    </w:p>
    <w:p w14:paraId="220E62A9" w14:textId="77777777" w:rsidR="00867A48" w:rsidRPr="000F1D41" w:rsidRDefault="00867A48" w:rsidP="00867A48">
      <w:pPr>
        <w:spacing w:after="120"/>
        <w:jc w:val="both"/>
        <w:rPr>
          <w:szCs w:val="20"/>
        </w:rPr>
      </w:pPr>
    </w:p>
    <w:p w14:paraId="5A98C48B" w14:textId="77777777" w:rsidR="0066279C" w:rsidRPr="00081A8D" w:rsidRDefault="0066279C" w:rsidP="00867A4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jc w:val="right"/>
        <w:rPr>
          <w:rFonts w:ascii="Segoe UI Light" w:hAnsi="Segoe UI Light"/>
          <w:b/>
          <w:sz w:val="16"/>
          <w:szCs w:val="16"/>
        </w:rPr>
      </w:pPr>
      <w:r w:rsidRPr="00081A8D">
        <w:rPr>
          <w:rFonts w:ascii="Segoe UI Light" w:hAnsi="Segoe UI Light"/>
          <w:b/>
          <w:sz w:val="16"/>
          <w:szCs w:val="16"/>
        </w:rPr>
        <w:t>Darbaspēka pieprasījums augsto tehnoloģiju un zināšanu ietilpīgo pakalpojumu nozarēs ES valstīs</w:t>
      </w:r>
    </w:p>
    <w:p w14:paraId="20704525" w14:textId="7748EADF" w:rsidR="0066279C" w:rsidRPr="00081A8D" w:rsidRDefault="0066279C" w:rsidP="00867A4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r w:rsidRPr="00081A8D">
        <w:rPr>
          <w:rFonts w:ascii="Segoe UI Light" w:hAnsi="Segoe UI Light"/>
          <w:bCs/>
          <w:sz w:val="16"/>
          <w:szCs w:val="18"/>
        </w:rPr>
        <w:t>EK specializēšanos augstajās tehnoloģijās un zināšanu ietilpīgās jomās ir nosaukusi kā vienu no galvenajām ES konkurētspējas priekšrocībām pasaules tirgos. No ES valstīm lielākais nodarbināto īpatsvars augsto tehnoloģiju ekonomikā 2022.</w:t>
      </w:r>
      <w:r w:rsidR="0080669C">
        <w:rPr>
          <w:rFonts w:ascii="Segoe UI Light" w:hAnsi="Segoe UI Light"/>
          <w:bCs/>
          <w:sz w:val="16"/>
          <w:szCs w:val="18"/>
        </w:rPr>
        <w:t>gad</w:t>
      </w:r>
      <w:r w:rsidRPr="00081A8D">
        <w:rPr>
          <w:rFonts w:ascii="Segoe UI Light" w:hAnsi="Segoe UI Light"/>
          <w:bCs/>
          <w:sz w:val="16"/>
          <w:szCs w:val="18"/>
        </w:rPr>
        <w:t>ā bija Čehijā (14,4</w:t>
      </w:r>
      <w:r w:rsidR="0080669C">
        <w:rPr>
          <w:rFonts w:ascii="Segoe UI Light" w:hAnsi="Segoe UI Light"/>
          <w:bCs/>
          <w:sz w:val="16"/>
          <w:szCs w:val="18"/>
        </w:rPr>
        <w:t>%</w:t>
      </w:r>
      <w:r w:rsidRPr="00081A8D">
        <w:rPr>
          <w:rFonts w:ascii="Segoe UI Light" w:hAnsi="Segoe UI Light"/>
          <w:bCs/>
          <w:sz w:val="16"/>
          <w:szCs w:val="18"/>
        </w:rPr>
        <w:t xml:space="preserve"> no kopējā nodarbināto skaita), Ungārijā (11,9</w:t>
      </w:r>
      <w:r w:rsidR="0080669C">
        <w:rPr>
          <w:rFonts w:ascii="Segoe UI Light" w:hAnsi="Segoe UI Light"/>
          <w:bCs/>
          <w:sz w:val="16"/>
          <w:szCs w:val="18"/>
        </w:rPr>
        <w:t>%</w:t>
      </w:r>
      <w:r w:rsidRPr="00081A8D">
        <w:rPr>
          <w:rFonts w:ascii="Segoe UI Light" w:hAnsi="Segoe UI Light"/>
          <w:bCs/>
          <w:sz w:val="16"/>
          <w:szCs w:val="18"/>
        </w:rPr>
        <w:t>), Slovēnijā (11,5</w:t>
      </w:r>
      <w:r w:rsidR="0080669C">
        <w:rPr>
          <w:rFonts w:ascii="Segoe UI Light" w:hAnsi="Segoe UI Light"/>
          <w:bCs/>
          <w:sz w:val="16"/>
          <w:szCs w:val="18"/>
        </w:rPr>
        <w:t>%</w:t>
      </w:r>
      <w:r w:rsidRPr="00081A8D">
        <w:rPr>
          <w:rFonts w:ascii="Segoe UI Light" w:hAnsi="Segoe UI Light"/>
          <w:bCs/>
          <w:sz w:val="16"/>
          <w:szCs w:val="18"/>
        </w:rPr>
        <w:t>), Slovākijā (11,5</w:t>
      </w:r>
      <w:r w:rsidR="0080669C">
        <w:rPr>
          <w:rFonts w:ascii="Segoe UI Light" w:hAnsi="Segoe UI Light"/>
          <w:bCs/>
          <w:sz w:val="16"/>
          <w:szCs w:val="18"/>
        </w:rPr>
        <w:t>%</w:t>
      </w:r>
      <w:r w:rsidRPr="00081A8D">
        <w:rPr>
          <w:rFonts w:ascii="Segoe UI Light" w:hAnsi="Segoe UI Light"/>
          <w:bCs/>
          <w:sz w:val="16"/>
          <w:szCs w:val="18"/>
        </w:rPr>
        <w:t>) un Vācijā (11,4</w:t>
      </w:r>
      <w:r w:rsidR="0080669C">
        <w:rPr>
          <w:rFonts w:ascii="Segoe UI Light" w:hAnsi="Segoe UI Light"/>
          <w:bCs/>
          <w:sz w:val="16"/>
          <w:szCs w:val="18"/>
        </w:rPr>
        <w:t>%</w:t>
      </w:r>
      <w:r w:rsidRPr="00081A8D">
        <w:rPr>
          <w:rFonts w:ascii="Segoe UI Light" w:hAnsi="Segoe UI Light"/>
          <w:bCs/>
          <w:sz w:val="16"/>
          <w:szCs w:val="18"/>
        </w:rPr>
        <w:t>), savukārt viszemākais Grieķijā (3,5</w:t>
      </w:r>
      <w:r w:rsidR="0080669C">
        <w:rPr>
          <w:rFonts w:ascii="Segoe UI Light" w:hAnsi="Segoe UI Light"/>
          <w:bCs/>
          <w:sz w:val="16"/>
          <w:szCs w:val="18"/>
        </w:rPr>
        <w:t>%</w:t>
      </w:r>
      <w:r w:rsidRPr="00081A8D">
        <w:rPr>
          <w:rFonts w:ascii="Segoe UI Light" w:hAnsi="Segoe UI Light"/>
          <w:bCs/>
          <w:sz w:val="16"/>
          <w:szCs w:val="18"/>
        </w:rPr>
        <w:t>), Kiprā (3,9</w:t>
      </w:r>
      <w:r w:rsidR="0080669C">
        <w:rPr>
          <w:rFonts w:ascii="Segoe UI Light" w:hAnsi="Segoe UI Light"/>
          <w:bCs/>
          <w:sz w:val="16"/>
          <w:szCs w:val="18"/>
        </w:rPr>
        <w:t>%</w:t>
      </w:r>
      <w:r w:rsidRPr="00081A8D">
        <w:rPr>
          <w:rFonts w:ascii="Segoe UI Light" w:hAnsi="Segoe UI Light"/>
          <w:bCs/>
          <w:sz w:val="16"/>
          <w:szCs w:val="18"/>
        </w:rPr>
        <w:t>) un Portugālē (5,2</w:t>
      </w:r>
      <w:r w:rsidR="0080669C">
        <w:rPr>
          <w:rFonts w:ascii="Segoe UI Light" w:hAnsi="Segoe UI Light"/>
          <w:bCs/>
          <w:sz w:val="16"/>
          <w:szCs w:val="18"/>
        </w:rPr>
        <w:t>%</w:t>
      </w:r>
      <w:r w:rsidRPr="00081A8D">
        <w:rPr>
          <w:rFonts w:ascii="Segoe UI Light" w:hAnsi="Segoe UI Light"/>
          <w:bCs/>
          <w:sz w:val="16"/>
          <w:szCs w:val="18"/>
        </w:rPr>
        <w:t>). Latvijā nodarbināto īpatsvars augsto tehnoloģiju nozarēs kopumā veido 6,4</w:t>
      </w:r>
      <w:r w:rsidR="0080669C">
        <w:rPr>
          <w:rFonts w:ascii="Segoe UI Light" w:hAnsi="Segoe UI Light"/>
          <w:bCs/>
          <w:sz w:val="16"/>
          <w:szCs w:val="18"/>
        </w:rPr>
        <w:t>%</w:t>
      </w:r>
      <w:r w:rsidRPr="00081A8D">
        <w:rPr>
          <w:rFonts w:ascii="Segoe UI Light" w:hAnsi="Segoe UI Light"/>
          <w:bCs/>
          <w:sz w:val="16"/>
          <w:szCs w:val="18"/>
        </w:rPr>
        <w:t>, tādējādi pēc nodarbināto īpatsvara augsto tehnoloģiju nozarēs ierindojoties vien 19</w:t>
      </w:r>
      <w:r w:rsidR="005266A1">
        <w:rPr>
          <w:rFonts w:ascii="Segoe UI Light" w:hAnsi="Segoe UI Light"/>
          <w:bCs/>
          <w:sz w:val="16"/>
          <w:szCs w:val="18"/>
        </w:rPr>
        <w:t>.</w:t>
      </w:r>
      <w:r w:rsidRPr="00081A8D">
        <w:rPr>
          <w:rFonts w:ascii="Segoe UI Light" w:hAnsi="Segoe UI Light"/>
          <w:bCs/>
          <w:sz w:val="16"/>
          <w:szCs w:val="18"/>
        </w:rPr>
        <w:t xml:space="preserve"> vietā no 27 Eiropas valstīm.</w:t>
      </w:r>
    </w:p>
    <w:p w14:paraId="00D37DAF" w14:textId="77777777" w:rsidR="002963A9" w:rsidRDefault="002963A9" w:rsidP="002963A9">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p>
    <w:p w14:paraId="0A5A5ED7" w14:textId="7DCFA0ED" w:rsidR="0089465B" w:rsidRPr="0089465B" w:rsidRDefault="0089465B" w:rsidP="0089465B">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center"/>
        <w:rPr>
          <w:rFonts w:ascii="Segoe UI Light" w:hAnsi="Segoe UI Light"/>
          <w:bCs/>
          <w:sz w:val="16"/>
          <w:szCs w:val="18"/>
        </w:rPr>
      </w:pPr>
      <w:r w:rsidRPr="0089465B">
        <w:rPr>
          <w:rFonts w:ascii="Segoe UI Light" w:hAnsi="Segoe UI Light"/>
          <w:b/>
          <w:sz w:val="16"/>
          <w:szCs w:val="18"/>
        </w:rPr>
        <w:t>Nodarbinātība augsto tehnoloģiju ekonomikā ES-27 valstīs</w:t>
      </w:r>
      <w:r w:rsidRPr="0089465B">
        <w:rPr>
          <w:rFonts w:ascii="Segoe UI Light" w:hAnsi="Segoe UI Light"/>
          <w:bCs/>
          <w:sz w:val="16"/>
          <w:szCs w:val="18"/>
        </w:rPr>
        <w:t xml:space="preserve"> </w:t>
      </w:r>
      <w:r w:rsidRPr="0089465B">
        <w:rPr>
          <w:rFonts w:ascii="Segoe UI Light" w:hAnsi="Segoe UI Light"/>
          <w:bCs/>
          <w:sz w:val="16"/>
          <w:szCs w:val="18"/>
        </w:rPr>
        <w:br/>
        <w:t>2022.gad</w:t>
      </w:r>
      <w:r>
        <w:rPr>
          <w:rFonts w:ascii="Segoe UI Light" w:hAnsi="Segoe UI Light"/>
          <w:bCs/>
          <w:sz w:val="16"/>
          <w:szCs w:val="18"/>
        </w:rPr>
        <w:t xml:space="preserve">s, procentos </w:t>
      </w:r>
      <w:r w:rsidRPr="0089465B">
        <w:rPr>
          <w:rFonts w:ascii="Segoe UI Light" w:hAnsi="Segoe UI Light"/>
          <w:bCs/>
          <w:sz w:val="16"/>
          <w:szCs w:val="18"/>
        </w:rPr>
        <w:t>no kopējās nodarbinātības</w:t>
      </w:r>
    </w:p>
    <w:p w14:paraId="0E195B16" w14:textId="77777777" w:rsidR="0066279C" w:rsidRPr="003B6DAE" w:rsidRDefault="0066279C" w:rsidP="0C92241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b/>
          <w:color w:val="000000" w:themeColor="text1"/>
          <w:sz w:val="16"/>
          <w:szCs w:val="16"/>
        </w:rPr>
      </w:pPr>
      <w:r w:rsidRPr="009B26B1">
        <w:rPr>
          <w:rFonts w:ascii="Segoe UI Light" w:hAnsi="Segoe UI Light"/>
          <w:b/>
          <w:noProof/>
          <w:color w:val="FF0000"/>
          <w:sz w:val="16"/>
          <w:szCs w:val="18"/>
          <w:lang w:val="en-US"/>
        </w:rPr>
        <w:drawing>
          <wp:inline distT="0" distB="0" distL="0" distR="0" wp14:anchorId="3D3F31E7" wp14:editId="52C9E8BA">
            <wp:extent cx="5580000" cy="2160000"/>
            <wp:effectExtent l="0" t="0" r="1905" b="0"/>
            <wp:docPr id="262" name="Chart 262">
              <a:extLst xmlns:a="http://schemas.openxmlformats.org/drawingml/2006/main">
                <a:ext uri="{FF2B5EF4-FFF2-40B4-BE49-F238E27FC236}">
                  <a16:creationId xmlns:a16="http://schemas.microsoft.com/office/drawing/2014/main" id="{109C1A1C-101C-4019-B978-7088BEE7A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44B7D14" w14:textId="099A44C9" w:rsidR="00F14377" w:rsidRPr="00F14377" w:rsidRDefault="0066279C" w:rsidP="00867A4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4"/>
          <w:szCs w:val="6"/>
        </w:rPr>
      </w:pPr>
      <w:r w:rsidRPr="00F14377">
        <w:rPr>
          <w:rFonts w:ascii="Segoe UI Light" w:hAnsi="Segoe UI Light"/>
          <w:bCs/>
          <w:sz w:val="14"/>
          <w:szCs w:val="16"/>
        </w:rPr>
        <w:t xml:space="preserve">Avots: </w:t>
      </w:r>
      <w:proofErr w:type="spellStart"/>
      <w:r w:rsidRPr="00F14377">
        <w:rPr>
          <w:rFonts w:ascii="Segoe UI Light" w:hAnsi="Segoe UI Light"/>
          <w:bCs/>
          <w:sz w:val="14"/>
          <w:szCs w:val="16"/>
        </w:rPr>
        <w:t>Cedefop</w:t>
      </w:r>
      <w:proofErr w:type="spellEnd"/>
      <w:r w:rsidRPr="00F14377">
        <w:rPr>
          <w:rFonts w:ascii="Segoe UI Light" w:hAnsi="Segoe UI Light"/>
          <w:bCs/>
          <w:sz w:val="14"/>
          <w:szCs w:val="16"/>
        </w:rPr>
        <w:t xml:space="preserve">, </w:t>
      </w:r>
      <w:proofErr w:type="spellStart"/>
      <w:r w:rsidRPr="00F14377">
        <w:rPr>
          <w:rFonts w:ascii="Segoe UI Light" w:hAnsi="Segoe UI Light"/>
          <w:bCs/>
          <w:sz w:val="14"/>
          <w:szCs w:val="16"/>
        </w:rPr>
        <w:t>Skills</w:t>
      </w:r>
      <w:proofErr w:type="spellEnd"/>
      <w:r w:rsidRPr="00F14377">
        <w:rPr>
          <w:rFonts w:ascii="Segoe UI Light" w:hAnsi="Segoe UI Light"/>
          <w:bCs/>
          <w:sz w:val="14"/>
          <w:szCs w:val="16"/>
        </w:rPr>
        <w:t xml:space="preserve"> </w:t>
      </w:r>
      <w:proofErr w:type="spellStart"/>
      <w:r w:rsidRPr="00F14377">
        <w:rPr>
          <w:rFonts w:ascii="Segoe UI Light" w:hAnsi="Segoe UI Light"/>
          <w:bCs/>
          <w:sz w:val="14"/>
          <w:szCs w:val="16"/>
        </w:rPr>
        <w:t>Panorama</w:t>
      </w:r>
      <w:proofErr w:type="spellEnd"/>
      <w:r w:rsidRPr="00F14377">
        <w:rPr>
          <w:rFonts w:ascii="Segoe UI Light" w:hAnsi="Segoe UI Light"/>
          <w:bCs/>
          <w:sz w:val="14"/>
          <w:szCs w:val="16"/>
        </w:rPr>
        <w:t xml:space="preserve">, </w:t>
      </w:r>
      <w:hyperlink r:id="rId52" w:history="1">
        <w:r w:rsidRPr="00F14377">
          <w:rPr>
            <w:rStyle w:val="Hyperlink"/>
            <w:rFonts w:ascii="Segoe UI Light" w:hAnsi="Segoe UI Light"/>
            <w:bCs/>
            <w:color w:val="auto"/>
            <w:sz w:val="14"/>
            <w:szCs w:val="16"/>
          </w:rPr>
          <w:t>https://skillspanorama.cedefop.europa.eu/en/skills-themes/future-jobs#</w:t>
        </w:r>
      </w:hyperlink>
    </w:p>
    <w:p w14:paraId="7E056D17" w14:textId="77777777" w:rsidR="0066279C" w:rsidRDefault="0066279C" w:rsidP="0066279C">
      <w:pPr>
        <w:spacing w:after="0"/>
        <w:jc w:val="both"/>
        <w:rPr>
          <w:b/>
          <w:bCs/>
          <w:szCs w:val="20"/>
        </w:rPr>
      </w:pPr>
    </w:p>
    <w:p w14:paraId="0A51580F" w14:textId="77777777" w:rsidR="00F14377" w:rsidRDefault="00F14377">
      <w:pPr>
        <w:spacing w:after="0"/>
        <w:rPr>
          <w:b/>
          <w:bCs/>
          <w:szCs w:val="20"/>
        </w:rPr>
      </w:pPr>
      <w:r>
        <w:rPr>
          <w:b/>
          <w:bCs/>
          <w:szCs w:val="20"/>
        </w:rPr>
        <w:br w:type="page"/>
      </w:r>
    </w:p>
    <w:p w14:paraId="3137118E" w14:textId="3F0A5450" w:rsidR="0066279C" w:rsidRPr="005E0599" w:rsidRDefault="0066279C" w:rsidP="005E0599">
      <w:pPr>
        <w:spacing w:after="120"/>
        <w:jc w:val="both"/>
        <w:rPr>
          <w:rFonts w:ascii="Aptos Narrow" w:hAnsi="Aptos Narrow"/>
          <w:b/>
          <w:color w:val="5F497A" w:themeColor="accent4" w:themeShade="BF"/>
          <w:sz w:val="28"/>
          <w:szCs w:val="28"/>
        </w:rPr>
      </w:pPr>
      <w:r w:rsidRPr="005E0599">
        <w:rPr>
          <w:rFonts w:ascii="Aptos Narrow" w:hAnsi="Aptos Narrow"/>
          <w:b/>
          <w:color w:val="5F497A" w:themeColor="accent4" w:themeShade="BF"/>
          <w:sz w:val="28"/>
          <w:szCs w:val="28"/>
        </w:rPr>
        <w:lastRenderedPageBreak/>
        <w:t>Profesiju pieprasījums</w:t>
      </w:r>
    </w:p>
    <w:p w14:paraId="28A9345A" w14:textId="77777777" w:rsidR="0066279C" w:rsidRPr="003B4CDA" w:rsidRDefault="0066279C" w:rsidP="00867A48">
      <w:pPr>
        <w:spacing w:after="120"/>
        <w:jc w:val="right"/>
        <w:rPr>
          <w:szCs w:val="20"/>
        </w:rPr>
      </w:pPr>
      <w:r w:rsidRPr="003B4CDA">
        <w:rPr>
          <w:szCs w:val="20"/>
        </w:rPr>
        <w:t>2.2. tabula</w:t>
      </w:r>
    </w:p>
    <w:p w14:paraId="7E4A2A45" w14:textId="06A4A9E6" w:rsidR="0066279C" w:rsidRPr="006F6A64" w:rsidRDefault="0066279C" w:rsidP="00867A48">
      <w:pPr>
        <w:spacing w:after="120"/>
        <w:jc w:val="center"/>
        <w:rPr>
          <w:rFonts w:ascii="Segoe UI Light" w:hAnsi="Segoe UI Light"/>
          <w:i/>
          <w:sz w:val="16"/>
          <w:szCs w:val="26"/>
        </w:rPr>
      </w:pPr>
      <w:r w:rsidRPr="006F6A64">
        <w:rPr>
          <w:rFonts w:ascii="Segoe UI Light" w:hAnsi="Segoe UI Light"/>
          <w:b/>
          <w:sz w:val="18"/>
          <w:szCs w:val="26"/>
        </w:rPr>
        <w:t xml:space="preserve">Nodarbināto skaits tautsaimniecības nozarēs sadalījumā pa profesiju grupām </w:t>
      </w:r>
      <w:r w:rsidRPr="006F6A64">
        <w:rPr>
          <w:rFonts w:ascii="Segoe UI Light" w:hAnsi="Segoe UI Light"/>
          <w:sz w:val="16"/>
          <w:szCs w:val="26"/>
        </w:rPr>
        <w:br/>
      </w:r>
      <w:r w:rsidRPr="006F6A64">
        <w:rPr>
          <w:rFonts w:ascii="Segoe UI Light" w:hAnsi="Segoe UI Light"/>
          <w:i/>
          <w:sz w:val="16"/>
          <w:szCs w:val="26"/>
        </w:rPr>
        <w:t>202</w:t>
      </w:r>
      <w:r>
        <w:rPr>
          <w:rFonts w:ascii="Segoe UI Light" w:hAnsi="Segoe UI Light"/>
          <w:i/>
          <w:sz w:val="16"/>
          <w:szCs w:val="26"/>
        </w:rPr>
        <w:t>3</w:t>
      </w:r>
      <w:r w:rsidRPr="006F6A64">
        <w:rPr>
          <w:rFonts w:ascii="Segoe UI Light" w:hAnsi="Segoe UI Light"/>
          <w:i/>
          <w:sz w:val="16"/>
          <w:szCs w:val="26"/>
        </w:rPr>
        <w:t>.</w:t>
      </w:r>
      <w:r w:rsidR="0080669C">
        <w:rPr>
          <w:rFonts w:ascii="Segoe UI Light" w:hAnsi="Segoe UI Light"/>
          <w:i/>
          <w:sz w:val="16"/>
          <w:szCs w:val="26"/>
        </w:rPr>
        <w:t>gad</w:t>
      </w:r>
      <w:r w:rsidRPr="006F6A64">
        <w:rPr>
          <w:rFonts w:ascii="Segoe UI Light" w:hAnsi="Segoe UI Light"/>
          <w:i/>
          <w:sz w:val="16"/>
          <w:szCs w:val="26"/>
        </w:rPr>
        <w:t>s, tūkstošos</w:t>
      </w:r>
    </w:p>
    <w:tbl>
      <w:tblPr>
        <w:tblStyle w:val="GridTable4-Accent4"/>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680"/>
        <w:gridCol w:w="680"/>
        <w:gridCol w:w="680"/>
        <w:gridCol w:w="680"/>
        <w:gridCol w:w="680"/>
        <w:gridCol w:w="680"/>
        <w:gridCol w:w="680"/>
        <w:gridCol w:w="680"/>
        <w:gridCol w:w="680"/>
      </w:tblGrid>
      <w:tr w:rsidR="006A3666" w:rsidRPr="00C81CA7" w14:paraId="7D4333A2" w14:textId="77777777" w:rsidTr="005F5363">
        <w:trPr>
          <w:cnfStyle w:val="100000000000" w:firstRow="1" w:lastRow="0" w:firstColumn="0" w:lastColumn="0" w:oddVBand="0" w:evenVBand="0" w:oddHBand="0" w:evenHBand="0" w:firstRowFirstColumn="0" w:firstRowLastColumn="0" w:lastRowFirstColumn="0" w:lastRowLastColumn="0"/>
          <w:cantSplit/>
          <w:trHeight w:val="1492"/>
        </w:trPr>
        <w:tc>
          <w:tcPr>
            <w:cnfStyle w:val="001000000000" w:firstRow="0" w:lastRow="0" w:firstColumn="1" w:lastColumn="0" w:oddVBand="0" w:evenVBand="0" w:oddHBand="0" w:evenHBand="0" w:firstRowFirstColumn="0" w:firstRowLastColumn="0" w:lastRowFirstColumn="0" w:lastRowLastColumn="0"/>
            <w:tcW w:w="2948" w:type="dxa"/>
            <w:noWrap/>
            <w:hideMark/>
          </w:tcPr>
          <w:p w14:paraId="7E44A780" w14:textId="77777777" w:rsidR="0066279C" w:rsidRPr="009F6050" w:rsidRDefault="0066279C" w:rsidP="00F14377">
            <w:pPr>
              <w:spacing w:before="40" w:after="40"/>
              <w:rPr>
                <w:rFonts w:ascii="Segoe UI Light" w:eastAsia="Times New Roman" w:hAnsi="Segoe UI Light" w:cs="Segoe UI Light"/>
                <w:color w:val="000000"/>
                <w:sz w:val="16"/>
                <w:szCs w:val="16"/>
              </w:rPr>
            </w:pPr>
            <w:r w:rsidRPr="009F6050">
              <w:rPr>
                <w:rFonts w:ascii="Segoe UI Light" w:eastAsia="Times New Roman" w:hAnsi="Segoe UI Light" w:cs="Segoe UI Light"/>
                <w:color w:val="000000"/>
                <w:sz w:val="16"/>
                <w:szCs w:val="16"/>
              </w:rPr>
              <w:t> </w:t>
            </w:r>
          </w:p>
        </w:tc>
        <w:tc>
          <w:tcPr>
            <w:tcW w:w="680" w:type="dxa"/>
            <w:noWrap/>
            <w:textDirection w:val="btLr"/>
            <w:vAlign w:val="center"/>
            <w:hideMark/>
          </w:tcPr>
          <w:p w14:paraId="2ADAE53E" w14:textId="77777777" w:rsidR="0066279C" w:rsidRPr="00DC3E23" w:rsidRDefault="0066279C" w:rsidP="00F14377">
            <w:pPr>
              <w:spacing w:after="0"/>
              <w:ind w:left="113" w:right="113"/>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rPr>
            </w:pPr>
            <w:r w:rsidRPr="00C81CA7">
              <w:rPr>
                <w:rFonts w:ascii="Segoe UI Light" w:eastAsia="Times New Roman" w:hAnsi="Segoe UI Light"/>
                <w:sz w:val="16"/>
                <w:szCs w:val="16"/>
              </w:rPr>
              <w:t>Lauksaimniecība</w:t>
            </w:r>
          </w:p>
        </w:tc>
        <w:tc>
          <w:tcPr>
            <w:tcW w:w="680" w:type="dxa"/>
            <w:noWrap/>
            <w:textDirection w:val="btLr"/>
            <w:vAlign w:val="center"/>
            <w:hideMark/>
          </w:tcPr>
          <w:p w14:paraId="2A994C39" w14:textId="77777777" w:rsidR="0066279C" w:rsidRPr="00C81CA7"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 xml:space="preserve">Apstrādes </w:t>
            </w:r>
            <w:r w:rsidRPr="00C81CA7">
              <w:rPr>
                <w:rFonts w:ascii="Segoe UI Light" w:eastAsia="Times New Roman" w:hAnsi="Segoe UI Light"/>
                <w:sz w:val="16"/>
                <w:szCs w:val="16"/>
              </w:rPr>
              <w:br/>
              <w:t>rūpniecība</w:t>
            </w:r>
          </w:p>
        </w:tc>
        <w:tc>
          <w:tcPr>
            <w:tcW w:w="680" w:type="dxa"/>
            <w:noWrap/>
            <w:textDirection w:val="btLr"/>
            <w:vAlign w:val="center"/>
            <w:hideMark/>
          </w:tcPr>
          <w:p w14:paraId="560DF23C" w14:textId="77777777" w:rsidR="0066279C" w:rsidRPr="00C81CA7"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 xml:space="preserve">Pārējā </w:t>
            </w:r>
            <w:r w:rsidRPr="00C81CA7">
              <w:rPr>
                <w:rFonts w:ascii="Segoe UI Light" w:eastAsia="Times New Roman" w:hAnsi="Segoe UI Light"/>
                <w:sz w:val="16"/>
                <w:szCs w:val="16"/>
              </w:rPr>
              <w:br/>
              <w:t>rūpniecība</w:t>
            </w:r>
          </w:p>
        </w:tc>
        <w:tc>
          <w:tcPr>
            <w:tcW w:w="680" w:type="dxa"/>
            <w:noWrap/>
            <w:textDirection w:val="btLr"/>
            <w:vAlign w:val="center"/>
            <w:hideMark/>
          </w:tcPr>
          <w:p w14:paraId="7012C53B" w14:textId="77777777" w:rsidR="0066279C" w:rsidRPr="00C81CA7"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Būvniecība</w:t>
            </w:r>
          </w:p>
        </w:tc>
        <w:tc>
          <w:tcPr>
            <w:tcW w:w="680" w:type="dxa"/>
            <w:noWrap/>
            <w:textDirection w:val="btLr"/>
            <w:vAlign w:val="center"/>
            <w:hideMark/>
          </w:tcPr>
          <w:p w14:paraId="1B2555AE" w14:textId="77777777" w:rsidR="0066279C" w:rsidRPr="00C81CA7"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Tirdzniecība, izmitināšana</w:t>
            </w:r>
          </w:p>
        </w:tc>
        <w:tc>
          <w:tcPr>
            <w:tcW w:w="680" w:type="dxa"/>
            <w:noWrap/>
            <w:textDirection w:val="btLr"/>
            <w:vAlign w:val="center"/>
            <w:hideMark/>
          </w:tcPr>
          <w:p w14:paraId="0254C7C3" w14:textId="77777777" w:rsidR="0066279C" w:rsidRPr="00C81CA7"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Transports un uzglabāšana</w:t>
            </w:r>
          </w:p>
        </w:tc>
        <w:tc>
          <w:tcPr>
            <w:tcW w:w="680" w:type="dxa"/>
            <w:noWrap/>
            <w:textDirection w:val="btLr"/>
            <w:vAlign w:val="center"/>
            <w:hideMark/>
          </w:tcPr>
          <w:p w14:paraId="09802543" w14:textId="77777777" w:rsidR="0066279C" w:rsidRPr="00C81CA7"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 xml:space="preserve">Citi </w:t>
            </w:r>
            <w:r w:rsidRPr="00C81CA7">
              <w:rPr>
                <w:rFonts w:ascii="Segoe UI Light" w:eastAsia="Times New Roman" w:hAnsi="Segoe UI Light"/>
                <w:sz w:val="16"/>
                <w:szCs w:val="16"/>
              </w:rPr>
              <w:br/>
              <w:t>komercpakalpojumi</w:t>
            </w:r>
          </w:p>
        </w:tc>
        <w:tc>
          <w:tcPr>
            <w:tcW w:w="680" w:type="dxa"/>
            <w:noWrap/>
            <w:textDirection w:val="btLr"/>
            <w:vAlign w:val="center"/>
            <w:hideMark/>
          </w:tcPr>
          <w:p w14:paraId="14222F45" w14:textId="77777777" w:rsidR="0066279C" w:rsidRPr="00C81CA7"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Sabiedriskie pakalpojumi</w:t>
            </w:r>
          </w:p>
        </w:tc>
        <w:tc>
          <w:tcPr>
            <w:tcW w:w="680" w:type="dxa"/>
            <w:noWrap/>
            <w:textDirection w:val="btLr"/>
            <w:vAlign w:val="center"/>
            <w:hideMark/>
          </w:tcPr>
          <w:p w14:paraId="7E7C2FD0" w14:textId="77777777" w:rsidR="0066279C" w:rsidRPr="00C81CA7" w:rsidRDefault="0066279C" w:rsidP="00F14377">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Arial Unicode MS" w:hAnsi="Segoe UI Light"/>
                <w:sz w:val="16"/>
                <w:szCs w:val="16"/>
              </w:rPr>
              <w:t>Kopā</w:t>
            </w:r>
          </w:p>
        </w:tc>
      </w:tr>
      <w:tr w:rsidR="00972191" w:rsidRPr="004B2DB8" w14:paraId="6059380C"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1620DA32" w14:textId="1933316F" w:rsidR="0066279C" w:rsidRPr="00643393" w:rsidRDefault="0066279C" w:rsidP="00F14377">
            <w:pPr>
              <w:spacing w:before="40" w:after="40"/>
              <w:rPr>
                <w:rFonts w:ascii="Segoe UI Light" w:eastAsia="Times New Roman" w:hAnsi="Segoe UI Light" w:cs="Segoe UI Light"/>
                <w:sz w:val="16"/>
                <w:szCs w:val="16"/>
              </w:rPr>
            </w:pPr>
            <w:r w:rsidRPr="00643393">
              <w:rPr>
                <w:rFonts w:ascii="Segoe UI Light" w:eastAsia="Times New Roman" w:hAnsi="Segoe UI Light"/>
                <w:bCs w:val="0"/>
                <w:sz w:val="16"/>
                <w:szCs w:val="16"/>
              </w:rPr>
              <w:t>Augstas kvalifikācijas profesijas, tai skaitā:</w:t>
            </w:r>
          </w:p>
        </w:tc>
        <w:tc>
          <w:tcPr>
            <w:tcW w:w="680" w:type="dxa"/>
            <w:noWrap/>
          </w:tcPr>
          <w:p w14:paraId="055F6BE3"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10,0</w:t>
            </w:r>
          </w:p>
        </w:tc>
        <w:tc>
          <w:tcPr>
            <w:tcW w:w="680" w:type="dxa"/>
            <w:noWrap/>
          </w:tcPr>
          <w:p w14:paraId="38BA8E06"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32,0</w:t>
            </w:r>
          </w:p>
        </w:tc>
        <w:tc>
          <w:tcPr>
            <w:tcW w:w="680" w:type="dxa"/>
            <w:noWrap/>
          </w:tcPr>
          <w:p w14:paraId="67E75C9C"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9,0</w:t>
            </w:r>
          </w:p>
        </w:tc>
        <w:tc>
          <w:tcPr>
            <w:tcW w:w="680" w:type="dxa"/>
            <w:noWrap/>
          </w:tcPr>
          <w:p w14:paraId="31D8C41C"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19,1</w:t>
            </w:r>
          </w:p>
        </w:tc>
        <w:tc>
          <w:tcPr>
            <w:tcW w:w="680" w:type="dxa"/>
            <w:noWrap/>
          </w:tcPr>
          <w:p w14:paraId="63E82E2D"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44,4</w:t>
            </w:r>
          </w:p>
        </w:tc>
        <w:tc>
          <w:tcPr>
            <w:tcW w:w="680" w:type="dxa"/>
            <w:noWrap/>
          </w:tcPr>
          <w:p w14:paraId="5D40638A"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21,5</w:t>
            </w:r>
          </w:p>
        </w:tc>
        <w:tc>
          <w:tcPr>
            <w:tcW w:w="680" w:type="dxa"/>
            <w:noWrap/>
          </w:tcPr>
          <w:p w14:paraId="0A379441"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116,3</w:t>
            </w:r>
          </w:p>
        </w:tc>
        <w:tc>
          <w:tcPr>
            <w:tcW w:w="680" w:type="dxa"/>
            <w:noWrap/>
          </w:tcPr>
          <w:p w14:paraId="113F4367"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139,9</w:t>
            </w:r>
          </w:p>
        </w:tc>
        <w:tc>
          <w:tcPr>
            <w:tcW w:w="680" w:type="dxa"/>
            <w:noWrap/>
          </w:tcPr>
          <w:p w14:paraId="43098C54"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392,1</w:t>
            </w:r>
          </w:p>
        </w:tc>
      </w:tr>
      <w:tr w:rsidR="00F14377" w:rsidRPr="004B2DB8" w14:paraId="49F904AC"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59C813C7" w14:textId="77777777" w:rsidR="0066279C" w:rsidRPr="00643393" w:rsidRDefault="0066279C" w:rsidP="00F14377">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Vadītāji</w:t>
            </w:r>
          </w:p>
        </w:tc>
        <w:tc>
          <w:tcPr>
            <w:tcW w:w="680" w:type="dxa"/>
            <w:noWrap/>
            <w:vAlign w:val="center"/>
          </w:tcPr>
          <w:p w14:paraId="6BAB96F3" w14:textId="77777777" w:rsidR="0066279C" w:rsidRPr="00643393"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4,0</w:t>
            </w:r>
          </w:p>
        </w:tc>
        <w:tc>
          <w:tcPr>
            <w:tcW w:w="680" w:type="dxa"/>
            <w:noWrap/>
            <w:vAlign w:val="center"/>
          </w:tcPr>
          <w:p w14:paraId="30CAEA6E"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10,2</w:t>
            </w:r>
          </w:p>
        </w:tc>
        <w:tc>
          <w:tcPr>
            <w:tcW w:w="680" w:type="dxa"/>
            <w:noWrap/>
            <w:vAlign w:val="center"/>
          </w:tcPr>
          <w:p w14:paraId="73904511"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2,1</w:t>
            </w:r>
          </w:p>
        </w:tc>
        <w:tc>
          <w:tcPr>
            <w:tcW w:w="680" w:type="dxa"/>
            <w:noWrap/>
            <w:vAlign w:val="center"/>
          </w:tcPr>
          <w:p w14:paraId="00B6857B"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9,7</w:t>
            </w:r>
          </w:p>
        </w:tc>
        <w:tc>
          <w:tcPr>
            <w:tcW w:w="680" w:type="dxa"/>
            <w:noWrap/>
            <w:vAlign w:val="center"/>
          </w:tcPr>
          <w:p w14:paraId="752B6D2A"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19,1</w:t>
            </w:r>
          </w:p>
        </w:tc>
        <w:tc>
          <w:tcPr>
            <w:tcW w:w="680" w:type="dxa"/>
            <w:noWrap/>
            <w:vAlign w:val="center"/>
          </w:tcPr>
          <w:p w14:paraId="1E07C7EA"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7,5</w:t>
            </w:r>
          </w:p>
        </w:tc>
        <w:tc>
          <w:tcPr>
            <w:tcW w:w="680" w:type="dxa"/>
            <w:noWrap/>
            <w:vAlign w:val="center"/>
          </w:tcPr>
          <w:p w14:paraId="2B8D315A"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23,7</w:t>
            </w:r>
          </w:p>
        </w:tc>
        <w:tc>
          <w:tcPr>
            <w:tcW w:w="680" w:type="dxa"/>
            <w:noWrap/>
            <w:vAlign w:val="center"/>
          </w:tcPr>
          <w:p w14:paraId="62AB1F43"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16,7</w:t>
            </w:r>
          </w:p>
        </w:tc>
        <w:tc>
          <w:tcPr>
            <w:tcW w:w="680" w:type="dxa"/>
            <w:noWrap/>
            <w:vAlign w:val="center"/>
          </w:tcPr>
          <w:p w14:paraId="59DB37D0"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93,0</w:t>
            </w:r>
          </w:p>
        </w:tc>
      </w:tr>
      <w:tr w:rsidR="006A3666" w:rsidRPr="004B2DB8" w14:paraId="4E728E1F"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713519B7" w14:textId="77777777" w:rsidR="0066279C" w:rsidRPr="00643393" w:rsidRDefault="0066279C" w:rsidP="00F14377">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Vecākie speciālisti</w:t>
            </w:r>
          </w:p>
        </w:tc>
        <w:tc>
          <w:tcPr>
            <w:tcW w:w="680" w:type="dxa"/>
            <w:noWrap/>
            <w:vAlign w:val="center"/>
          </w:tcPr>
          <w:p w14:paraId="1D287C84"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2,6</w:t>
            </w:r>
          </w:p>
        </w:tc>
        <w:tc>
          <w:tcPr>
            <w:tcW w:w="680" w:type="dxa"/>
            <w:noWrap/>
            <w:vAlign w:val="center"/>
          </w:tcPr>
          <w:p w14:paraId="353D9152"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9,0</w:t>
            </w:r>
          </w:p>
        </w:tc>
        <w:tc>
          <w:tcPr>
            <w:tcW w:w="680" w:type="dxa"/>
            <w:noWrap/>
            <w:vAlign w:val="center"/>
          </w:tcPr>
          <w:p w14:paraId="15FCC791"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3,6</w:t>
            </w:r>
          </w:p>
        </w:tc>
        <w:tc>
          <w:tcPr>
            <w:tcW w:w="680" w:type="dxa"/>
            <w:noWrap/>
            <w:vAlign w:val="center"/>
          </w:tcPr>
          <w:p w14:paraId="1D80B1D0"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4,9</w:t>
            </w:r>
          </w:p>
        </w:tc>
        <w:tc>
          <w:tcPr>
            <w:tcW w:w="680" w:type="dxa"/>
            <w:noWrap/>
            <w:vAlign w:val="center"/>
          </w:tcPr>
          <w:p w14:paraId="6D322B83"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8,8</w:t>
            </w:r>
          </w:p>
        </w:tc>
        <w:tc>
          <w:tcPr>
            <w:tcW w:w="680" w:type="dxa"/>
            <w:noWrap/>
            <w:vAlign w:val="center"/>
          </w:tcPr>
          <w:p w14:paraId="38BC2E36"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3,6</w:t>
            </w:r>
          </w:p>
        </w:tc>
        <w:tc>
          <w:tcPr>
            <w:tcW w:w="680" w:type="dxa"/>
            <w:noWrap/>
            <w:vAlign w:val="center"/>
          </w:tcPr>
          <w:p w14:paraId="26459D91"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57,2</w:t>
            </w:r>
          </w:p>
        </w:tc>
        <w:tc>
          <w:tcPr>
            <w:tcW w:w="680" w:type="dxa"/>
            <w:noWrap/>
            <w:vAlign w:val="center"/>
          </w:tcPr>
          <w:p w14:paraId="57BA963F"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95,6</w:t>
            </w:r>
          </w:p>
        </w:tc>
        <w:tc>
          <w:tcPr>
            <w:tcW w:w="680" w:type="dxa"/>
            <w:noWrap/>
            <w:vAlign w:val="center"/>
          </w:tcPr>
          <w:p w14:paraId="2C22CF2C"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185,3</w:t>
            </w:r>
          </w:p>
        </w:tc>
      </w:tr>
      <w:tr w:rsidR="00F14377" w:rsidRPr="004B2DB8" w14:paraId="70721FB6"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1BC30B83" w14:textId="77777777" w:rsidR="0066279C" w:rsidRPr="00643393" w:rsidRDefault="0066279C" w:rsidP="00F14377">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Speciālisti</w:t>
            </w:r>
          </w:p>
        </w:tc>
        <w:tc>
          <w:tcPr>
            <w:tcW w:w="680" w:type="dxa"/>
            <w:noWrap/>
            <w:vAlign w:val="center"/>
          </w:tcPr>
          <w:p w14:paraId="249D68AC"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3,4</w:t>
            </w:r>
          </w:p>
        </w:tc>
        <w:tc>
          <w:tcPr>
            <w:tcW w:w="680" w:type="dxa"/>
            <w:noWrap/>
            <w:vAlign w:val="center"/>
          </w:tcPr>
          <w:p w14:paraId="45C55E48"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12,7</w:t>
            </w:r>
          </w:p>
        </w:tc>
        <w:tc>
          <w:tcPr>
            <w:tcW w:w="680" w:type="dxa"/>
            <w:noWrap/>
            <w:vAlign w:val="center"/>
          </w:tcPr>
          <w:p w14:paraId="3FBEDB27"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3,3</w:t>
            </w:r>
          </w:p>
        </w:tc>
        <w:tc>
          <w:tcPr>
            <w:tcW w:w="680" w:type="dxa"/>
            <w:noWrap/>
            <w:vAlign w:val="center"/>
          </w:tcPr>
          <w:p w14:paraId="17EA4FB2"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4,5</w:t>
            </w:r>
          </w:p>
        </w:tc>
        <w:tc>
          <w:tcPr>
            <w:tcW w:w="680" w:type="dxa"/>
            <w:noWrap/>
            <w:vAlign w:val="center"/>
          </w:tcPr>
          <w:p w14:paraId="1300220E"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16,4</w:t>
            </w:r>
          </w:p>
        </w:tc>
        <w:tc>
          <w:tcPr>
            <w:tcW w:w="680" w:type="dxa"/>
            <w:noWrap/>
            <w:vAlign w:val="center"/>
          </w:tcPr>
          <w:p w14:paraId="07272405"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10,5</w:t>
            </w:r>
          </w:p>
        </w:tc>
        <w:tc>
          <w:tcPr>
            <w:tcW w:w="680" w:type="dxa"/>
            <w:noWrap/>
            <w:vAlign w:val="center"/>
          </w:tcPr>
          <w:p w14:paraId="039D7863"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35,3</w:t>
            </w:r>
          </w:p>
        </w:tc>
        <w:tc>
          <w:tcPr>
            <w:tcW w:w="680" w:type="dxa"/>
            <w:noWrap/>
            <w:vAlign w:val="center"/>
          </w:tcPr>
          <w:p w14:paraId="4B2013A7"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27,6</w:t>
            </w:r>
          </w:p>
        </w:tc>
        <w:tc>
          <w:tcPr>
            <w:tcW w:w="680" w:type="dxa"/>
            <w:noWrap/>
            <w:vAlign w:val="center"/>
          </w:tcPr>
          <w:p w14:paraId="289ED585"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113,8</w:t>
            </w:r>
          </w:p>
        </w:tc>
      </w:tr>
      <w:tr w:rsidR="00972191" w:rsidRPr="004B2DB8" w14:paraId="6F38B827"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6537857F" w14:textId="5BFC3262" w:rsidR="0066279C" w:rsidRPr="00643393" w:rsidRDefault="0066279C" w:rsidP="00F14377">
            <w:pPr>
              <w:spacing w:before="40" w:after="40"/>
              <w:rPr>
                <w:rFonts w:ascii="Segoe UI Light" w:eastAsia="Times New Roman" w:hAnsi="Segoe UI Light" w:cs="Segoe UI Light"/>
                <w:sz w:val="16"/>
                <w:szCs w:val="16"/>
              </w:rPr>
            </w:pPr>
            <w:r w:rsidRPr="00643393">
              <w:rPr>
                <w:rFonts w:ascii="Segoe UI Light" w:eastAsia="Times New Roman" w:hAnsi="Segoe UI Light"/>
                <w:bCs w:val="0"/>
                <w:sz w:val="16"/>
                <w:szCs w:val="16"/>
              </w:rPr>
              <w:t>Vidējas kvalifikācijas profesijas, tai skaitā:</w:t>
            </w:r>
          </w:p>
        </w:tc>
        <w:tc>
          <w:tcPr>
            <w:tcW w:w="680" w:type="dxa"/>
            <w:noWrap/>
          </w:tcPr>
          <w:p w14:paraId="1E09470F" w14:textId="77777777" w:rsidR="0066279C" w:rsidRPr="00643393"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43393">
              <w:rPr>
                <w:rFonts w:ascii="Segoe UI Light" w:eastAsia="Times New Roman" w:hAnsi="Segoe UI Light" w:cs="Segoe UI Light"/>
                <w:b/>
                <w:color w:val="000000"/>
                <w:sz w:val="16"/>
                <w:szCs w:val="16"/>
                <w:lang w:val="en-US"/>
              </w:rPr>
              <w:t>38,4</w:t>
            </w:r>
          </w:p>
        </w:tc>
        <w:tc>
          <w:tcPr>
            <w:tcW w:w="680" w:type="dxa"/>
            <w:noWrap/>
          </w:tcPr>
          <w:p w14:paraId="64F7CFD5" w14:textId="77777777" w:rsidR="0066279C" w:rsidRPr="00643393"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43393">
              <w:rPr>
                <w:rFonts w:ascii="Segoe UI Light" w:eastAsia="Times New Roman" w:hAnsi="Segoe UI Light" w:cs="Segoe UI Light"/>
                <w:b/>
                <w:color w:val="000000"/>
                <w:sz w:val="16"/>
                <w:szCs w:val="16"/>
                <w:lang w:val="en-US"/>
              </w:rPr>
              <w:t>61,1</w:t>
            </w:r>
          </w:p>
        </w:tc>
        <w:tc>
          <w:tcPr>
            <w:tcW w:w="680" w:type="dxa"/>
            <w:noWrap/>
          </w:tcPr>
          <w:p w14:paraId="11ECFFDD" w14:textId="77777777" w:rsidR="0066279C" w:rsidRPr="00643393"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43393">
              <w:rPr>
                <w:rFonts w:ascii="Segoe UI Light" w:eastAsia="Times New Roman" w:hAnsi="Segoe UI Light" w:cs="Segoe UI Light"/>
                <w:b/>
                <w:color w:val="000000"/>
                <w:sz w:val="16"/>
                <w:szCs w:val="16"/>
                <w:lang w:val="en-US"/>
              </w:rPr>
              <w:t>9,4</w:t>
            </w:r>
          </w:p>
        </w:tc>
        <w:tc>
          <w:tcPr>
            <w:tcW w:w="680" w:type="dxa"/>
            <w:noWrap/>
          </w:tcPr>
          <w:p w14:paraId="4C2080D3" w14:textId="77777777" w:rsidR="0066279C" w:rsidRPr="00643393"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43393">
              <w:rPr>
                <w:rFonts w:ascii="Segoe UI Light" w:eastAsia="Times New Roman" w:hAnsi="Segoe UI Light" w:cs="Segoe UI Light"/>
                <w:b/>
                <w:color w:val="000000"/>
                <w:sz w:val="16"/>
                <w:szCs w:val="16"/>
                <w:lang w:val="en-US"/>
              </w:rPr>
              <w:t>37,8</w:t>
            </w:r>
          </w:p>
        </w:tc>
        <w:tc>
          <w:tcPr>
            <w:tcW w:w="680" w:type="dxa"/>
            <w:noWrap/>
          </w:tcPr>
          <w:p w14:paraId="15FAF9B1" w14:textId="77777777" w:rsidR="0066279C" w:rsidRPr="00643393"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43393">
              <w:rPr>
                <w:rFonts w:ascii="Segoe UI Light" w:eastAsia="Times New Roman" w:hAnsi="Segoe UI Light" w:cs="Segoe UI Light"/>
                <w:b/>
                <w:color w:val="000000"/>
                <w:sz w:val="16"/>
                <w:szCs w:val="16"/>
                <w:lang w:val="en-US"/>
              </w:rPr>
              <w:t>93,9</w:t>
            </w:r>
          </w:p>
        </w:tc>
        <w:tc>
          <w:tcPr>
            <w:tcW w:w="680" w:type="dxa"/>
            <w:noWrap/>
          </w:tcPr>
          <w:p w14:paraId="5849C960" w14:textId="77777777" w:rsidR="0066279C" w:rsidRPr="00643393"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43393">
              <w:rPr>
                <w:rFonts w:ascii="Segoe UI Light" w:eastAsia="Times New Roman" w:hAnsi="Segoe UI Light" w:cs="Segoe UI Light"/>
                <w:b/>
                <w:color w:val="000000"/>
                <w:sz w:val="16"/>
                <w:szCs w:val="16"/>
                <w:lang w:val="en-US"/>
              </w:rPr>
              <w:t>45,8</w:t>
            </w:r>
          </w:p>
        </w:tc>
        <w:tc>
          <w:tcPr>
            <w:tcW w:w="680" w:type="dxa"/>
            <w:noWrap/>
          </w:tcPr>
          <w:p w14:paraId="21BF4C0E" w14:textId="77777777" w:rsidR="0066279C" w:rsidRPr="00643393"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43393">
              <w:rPr>
                <w:rFonts w:ascii="Segoe UI Light" w:eastAsia="Times New Roman" w:hAnsi="Segoe UI Light" w:cs="Segoe UI Light"/>
                <w:b/>
                <w:color w:val="000000"/>
                <w:sz w:val="16"/>
                <w:szCs w:val="16"/>
                <w:lang w:val="en-US"/>
              </w:rPr>
              <w:t>47,1</w:t>
            </w:r>
          </w:p>
        </w:tc>
        <w:tc>
          <w:tcPr>
            <w:tcW w:w="680" w:type="dxa"/>
            <w:noWrap/>
          </w:tcPr>
          <w:p w14:paraId="42D5894E" w14:textId="77777777" w:rsidR="0066279C" w:rsidRPr="00643393"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43393">
              <w:rPr>
                <w:rFonts w:ascii="Segoe UI Light" w:eastAsia="Times New Roman" w:hAnsi="Segoe UI Light" w:cs="Segoe UI Light"/>
                <w:b/>
                <w:color w:val="000000"/>
                <w:sz w:val="16"/>
                <w:szCs w:val="16"/>
                <w:lang w:val="en-US"/>
              </w:rPr>
              <w:t>46,5</w:t>
            </w:r>
          </w:p>
        </w:tc>
        <w:tc>
          <w:tcPr>
            <w:tcW w:w="680" w:type="dxa"/>
            <w:noWrap/>
          </w:tcPr>
          <w:p w14:paraId="15015579" w14:textId="77777777" w:rsidR="0066279C" w:rsidRPr="00643393"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43393">
              <w:rPr>
                <w:rFonts w:ascii="Segoe UI Light" w:eastAsia="Times New Roman" w:hAnsi="Segoe UI Light" w:cs="Segoe UI Light"/>
                <w:b/>
                <w:color w:val="000000"/>
                <w:sz w:val="16"/>
                <w:szCs w:val="16"/>
                <w:lang w:val="en-US"/>
              </w:rPr>
              <w:t>380,0</w:t>
            </w:r>
          </w:p>
        </w:tc>
      </w:tr>
      <w:tr w:rsidR="00F14377" w:rsidRPr="004B2DB8" w14:paraId="676B8F2A"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6DFDAF05" w14:textId="77777777" w:rsidR="0066279C" w:rsidRPr="00643393" w:rsidRDefault="0066279C" w:rsidP="00F14377">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Iestāžu kalpotāji</w:t>
            </w:r>
          </w:p>
        </w:tc>
        <w:tc>
          <w:tcPr>
            <w:tcW w:w="680" w:type="dxa"/>
            <w:noWrap/>
            <w:vAlign w:val="center"/>
          </w:tcPr>
          <w:p w14:paraId="38304096"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0,9</w:t>
            </w:r>
          </w:p>
        </w:tc>
        <w:tc>
          <w:tcPr>
            <w:tcW w:w="680" w:type="dxa"/>
            <w:noWrap/>
            <w:vAlign w:val="center"/>
          </w:tcPr>
          <w:p w14:paraId="2E2A9861"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5,9</w:t>
            </w:r>
          </w:p>
        </w:tc>
        <w:tc>
          <w:tcPr>
            <w:tcW w:w="680" w:type="dxa"/>
            <w:noWrap/>
            <w:vAlign w:val="center"/>
          </w:tcPr>
          <w:p w14:paraId="33248B91"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1,5</w:t>
            </w:r>
          </w:p>
        </w:tc>
        <w:tc>
          <w:tcPr>
            <w:tcW w:w="680" w:type="dxa"/>
            <w:noWrap/>
            <w:vAlign w:val="center"/>
          </w:tcPr>
          <w:p w14:paraId="1C0B1AB6"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1,1</w:t>
            </w:r>
          </w:p>
        </w:tc>
        <w:tc>
          <w:tcPr>
            <w:tcW w:w="680" w:type="dxa"/>
            <w:noWrap/>
            <w:vAlign w:val="center"/>
          </w:tcPr>
          <w:p w14:paraId="710C7435"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10,4</w:t>
            </w:r>
          </w:p>
        </w:tc>
        <w:tc>
          <w:tcPr>
            <w:tcW w:w="680" w:type="dxa"/>
            <w:noWrap/>
            <w:vAlign w:val="center"/>
          </w:tcPr>
          <w:p w14:paraId="05D30906"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7,9</w:t>
            </w:r>
          </w:p>
        </w:tc>
        <w:tc>
          <w:tcPr>
            <w:tcW w:w="680" w:type="dxa"/>
            <w:noWrap/>
            <w:vAlign w:val="center"/>
          </w:tcPr>
          <w:p w14:paraId="0C0DD0B9"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14,9</w:t>
            </w:r>
          </w:p>
        </w:tc>
        <w:tc>
          <w:tcPr>
            <w:tcW w:w="680" w:type="dxa"/>
            <w:noWrap/>
            <w:vAlign w:val="center"/>
          </w:tcPr>
          <w:p w14:paraId="090CFCC3"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5,7</w:t>
            </w:r>
          </w:p>
        </w:tc>
        <w:tc>
          <w:tcPr>
            <w:tcW w:w="680" w:type="dxa"/>
            <w:noWrap/>
            <w:vAlign w:val="center"/>
          </w:tcPr>
          <w:p w14:paraId="5249771E"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48,2</w:t>
            </w:r>
          </w:p>
        </w:tc>
      </w:tr>
      <w:tr w:rsidR="006A3666" w:rsidRPr="004B2DB8" w14:paraId="1B60C451"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24603339" w14:textId="77777777" w:rsidR="0066279C" w:rsidRPr="00643393" w:rsidRDefault="0066279C" w:rsidP="00F14377">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Pakalpojumu un tirdzniecības darbinieki</w:t>
            </w:r>
          </w:p>
        </w:tc>
        <w:tc>
          <w:tcPr>
            <w:tcW w:w="680" w:type="dxa"/>
            <w:noWrap/>
            <w:vAlign w:val="center"/>
          </w:tcPr>
          <w:p w14:paraId="1999D9F1"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1,1</w:t>
            </w:r>
          </w:p>
        </w:tc>
        <w:tc>
          <w:tcPr>
            <w:tcW w:w="680" w:type="dxa"/>
            <w:noWrap/>
            <w:vAlign w:val="center"/>
          </w:tcPr>
          <w:p w14:paraId="3E4AA9EC"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1,1</w:t>
            </w:r>
          </w:p>
        </w:tc>
        <w:tc>
          <w:tcPr>
            <w:tcW w:w="680" w:type="dxa"/>
            <w:noWrap/>
            <w:vAlign w:val="center"/>
          </w:tcPr>
          <w:p w14:paraId="5165A57D"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0,2</w:t>
            </w:r>
          </w:p>
        </w:tc>
        <w:tc>
          <w:tcPr>
            <w:tcW w:w="680" w:type="dxa"/>
            <w:noWrap/>
            <w:vAlign w:val="center"/>
          </w:tcPr>
          <w:p w14:paraId="438A95AF"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0,2</w:t>
            </w:r>
          </w:p>
        </w:tc>
        <w:tc>
          <w:tcPr>
            <w:tcW w:w="680" w:type="dxa"/>
            <w:noWrap/>
            <w:vAlign w:val="center"/>
          </w:tcPr>
          <w:p w14:paraId="369D3C48"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63,9</w:t>
            </w:r>
          </w:p>
        </w:tc>
        <w:tc>
          <w:tcPr>
            <w:tcW w:w="680" w:type="dxa"/>
            <w:noWrap/>
            <w:vAlign w:val="center"/>
          </w:tcPr>
          <w:p w14:paraId="491E6A9A"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2,8</w:t>
            </w:r>
          </w:p>
        </w:tc>
        <w:tc>
          <w:tcPr>
            <w:tcW w:w="680" w:type="dxa"/>
            <w:noWrap/>
            <w:vAlign w:val="center"/>
          </w:tcPr>
          <w:p w14:paraId="2EEC649F"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21,9</w:t>
            </w:r>
          </w:p>
        </w:tc>
        <w:tc>
          <w:tcPr>
            <w:tcW w:w="680" w:type="dxa"/>
            <w:noWrap/>
            <w:vAlign w:val="center"/>
          </w:tcPr>
          <w:p w14:paraId="3DDCF6F6"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37,8</w:t>
            </w:r>
          </w:p>
        </w:tc>
        <w:tc>
          <w:tcPr>
            <w:tcW w:w="680" w:type="dxa"/>
            <w:noWrap/>
            <w:vAlign w:val="center"/>
          </w:tcPr>
          <w:p w14:paraId="60FB14FB"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129,1</w:t>
            </w:r>
          </w:p>
        </w:tc>
      </w:tr>
      <w:tr w:rsidR="00F14377" w:rsidRPr="004B2DB8" w14:paraId="3D4B2A76"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6A5816D0" w14:textId="77777777" w:rsidR="0066279C" w:rsidRPr="00643393" w:rsidRDefault="0066279C" w:rsidP="00F14377">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Kvalificēti lauksaimniecības darbinieki</w:t>
            </w:r>
          </w:p>
        </w:tc>
        <w:tc>
          <w:tcPr>
            <w:tcW w:w="680" w:type="dxa"/>
            <w:noWrap/>
            <w:vAlign w:val="center"/>
          </w:tcPr>
          <w:p w14:paraId="50701D07"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26,4</w:t>
            </w:r>
          </w:p>
        </w:tc>
        <w:tc>
          <w:tcPr>
            <w:tcW w:w="680" w:type="dxa"/>
            <w:noWrap/>
            <w:vAlign w:val="center"/>
          </w:tcPr>
          <w:p w14:paraId="78166BDB"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0,7</w:t>
            </w:r>
          </w:p>
        </w:tc>
        <w:tc>
          <w:tcPr>
            <w:tcW w:w="680" w:type="dxa"/>
            <w:noWrap/>
            <w:vAlign w:val="center"/>
          </w:tcPr>
          <w:p w14:paraId="0F34BA5B"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74DDEA08"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00681EDC"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0,1</w:t>
            </w:r>
          </w:p>
        </w:tc>
        <w:tc>
          <w:tcPr>
            <w:tcW w:w="680" w:type="dxa"/>
            <w:noWrap/>
            <w:vAlign w:val="center"/>
          </w:tcPr>
          <w:p w14:paraId="35748B68"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5314D213"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0,8</w:t>
            </w:r>
          </w:p>
        </w:tc>
        <w:tc>
          <w:tcPr>
            <w:tcW w:w="680" w:type="dxa"/>
            <w:noWrap/>
            <w:vAlign w:val="center"/>
          </w:tcPr>
          <w:p w14:paraId="60CBFB17"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0C6C998B"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28,1</w:t>
            </w:r>
          </w:p>
        </w:tc>
      </w:tr>
      <w:tr w:rsidR="006A3666" w:rsidRPr="004B2DB8" w14:paraId="3AC75A66"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07A8B6DB" w14:textId="77777777" w:rsidR="0066279C" w:rsidRPr="00643393" w:rsidRDefault="0066279C" w:rsidP="00F14377">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Kvalificēti strādnieki</w:t>
            </w:r>
          </w:p>
        </w:tc>
        <w:tc>
          <w:tcPr>
            <w:tcW w:w="680" w:type="dxa"/>
            <w:noWrap/>
            <w:vAlign w:val="center"/>
          </w:tcPr>
          <w:p w14:paraId="6E7B95B2"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0,9</w:t>
            </w:r>
          </w:p>
        </w:tc>
        <w:tc>
          <w:tcPr>
            <w:tcW w:w="680" w:type="dxa"/>
            <w:noWrap/>
            <w:vAlign w:val="center"/>
          </w:tcPr>
          <w:p w14:paraId="162AB8F7"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34,7</w:t>
            </w:r>
          </w:p>
        </w:tc>
        <w:tc>
          <w:tcPr>
            <w:tcW w:w="680" w:type="dxa"/>
            <w:noWrap/>
            <w:vAlign w:val="center"/>
          </w:tcPr>
          <w:p w14:paraId="00069368"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3,6</w:t>
            </w:r>
          </w:p>
        </w:tc>
        <w:tc>
          <w:tcPr>
            <w:tcW w:w="680" w:type="dxa"/>
            <w:noWrap/>
            <w:vAlign w:val="center"/>
          </w:tcPr>
          <w:p w14:paraId="1751AEB0"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31,7</w:t>
            </w:r>
          </w:p>
        </w:tc>
        <w:tc>
          <w:tcPr>
            <w:tcW w:w="680" w:type="dxa"/>
            <w:noWrap/>
            <w:vAlign w:val="center"/>
          </w:tcPr>
          <w:p w14:paraId="33A7485E"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15,4</w:t>
            </w:r>
          </w:p>
        </w:tc>
        <w:tc>
          <w:tcPr>
            <w:tcW w:w="680" w:type="dxa"/>
            <w:noWrap/>
            <w:vAlign w:val="center"/>
          </w:tcPr>
          <w:p w14:paraId="339008A6"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4,3</w:t>
            </w:r>
          </w:p>
        </w:tc>
        <w:tc>
          <w:tcPr>
            <w:tcW w:w="680" w:type="dxa"/>
            <w:noWrap/>
            <w:vAlign w:val="center"/>
          </w:tcPr>
          <w:p w14:paraId="37A8890B"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6,2</w:t>
            </w:r>
          </w:p>
        </w:tc>
        <w:tc>
          <w:tcPr>
            <w:tcW w:w="680" w:type="dxa"/>
            <w:noWrap/>
            <w:vAlign w:val="center"/>
          </w:tcPr>
          <w:p w14:paraId="579E4270"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0,8</w:t>
            </w:r>
          </w:p>
        </w:tc>
        <w:tc>
          <w:tcPr>
            <w:tcW w:w="680" w:type="dxa"/>
            <w:noWrap/>
            <w:vAlign w:val="center"/>
          </w:tcPr>
          <w:p w14:paraId="6D679B8D" w14:textId="77777777" w:rsidR="0066279C" w:rsidRPr="004B2DB8"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97,7</w:t>
            </w:r>
          </w:p>
        </w:tc>
      </w:tr>
      <w:tr w:rsidR="00F14377" w:rsidRPr="004B2DB8" w14:paraId="6F27CFD5"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0CE3BD5F" w14:textId="77777777" w:rsidR="0066279C" w:rsidRPr="00643393" w:rsidRDefault="0066279C" w:rsidP="00F14377">
            <w:pPr>
              <w:spacing w:before="40" w:after="40"/>
              <w:rPr>
                <w:rFonts w:ascii="Segoe UI Light" w:eastAsia="Times New Roman" w:hAnsi="Segoe UI Light"/>
                <w:b w:val="0"/>
                <w:sz w:val="16"/>
                <w:szCs w:val="16"/>
              </w:rPr>
            </w:pPr>
            <w:r w:rsidRPr="00643393">
              <w:rPr>
                <w:rFonts w:ascii="Segoe UI Light" w:eastAsia="Times New Roman" w:hAnsi="Segoe UI Light"/>
                <w:b w:val="0"/>
                <w:sz w:val="16"/>
                <w:szCs w:val="16"/>
              </w:rPr>
              <w:t>Iekārtu un mašīnu operatori</w:t>
            </w:r>
          </w:p>
        </w:tc>
        <w:tc>
          <w:tcPr>
            <w:tcW w:w="680" w:type="dxa"/>
            <w:noWrap/>
            <w:vAlign w:val="center"/>
          </w:tcPr>
          <w:p w14:paraId="17E48F79"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9,1</w:t>
            </w:r>
          </w:p>
        </w:tc>
        <w:tc>
          <w:tcPr>
            <w:tcW w:w="680" w:type="dxa"/>
            <w:noWrap/>
            <w:vAlign w:val="center"/>
          </w:tcPr>
          <w:p w14:paraId="3660E402"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18,8</w:t>
            </w:r>
          </w:p>
        </w:tc>
        <w:tc>
          <w:tcPr>
            <w:tcW w:w="680" w:type="dxa"/>
            <w:noWrap/>
            <w:vAlign w:val="center"/>
          </w:tcPr>
          <w:p w14:paraId="3E17EC68"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4,0</w:t>
            </w:r>
          </w:p>
        </w:tc>
        <w:tc>
          <w:tcPr>
            <w:tcW w:w="680" w:type="dxa"/>
            <w:noWrap/>
            <w:vAlign w:val="center"/>
          </w:tcPr>
          <w:p w14:paraId="36D516CB"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4,8</w:t>
            </w:r>
          </w:p>
        </w:tc>
        <w:tc>
          <w:tcPr>
            <w:tcW w:w="680" w:type="dxa"/>
            <w:noWrap/>
            <w:vAlign w:val="center"/>
          </w:tcPr>
          <w:p w14:paraId="27D82863"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4,0</w:t>
            </w:r>
          </w:p>
        </w:tc>
        <w:tc>
          <w:tcPr>
            <w:tcW w:w="680" w:type="dxa"/>
            <w:noWrap/>
            <w:vAlign w:val="center"/>
          </w:tcPr>
          <w:p w14:paraId="2A92321C"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30,9</w:t>
            </w:r>
          </w:p>
        </w:tc>
        <w:tc>
          <w:tcPr>
            <w:tcW w:w="680" w:type="dxa"/>
            <w:noWrap/>
            <w:vAlign w:val="center"/>
          </w:tcPr>
          <w:p w14:paraId="45993556"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3,4</w:t>
            </w:r>
          </w:p>
        </w:tc>
        <w:tc>
          <w:tcPr>
            <w:tcW w:w="680" w:type="dxa"/>
            <w:noWrap/>
            <w:vAlign w:val="center"/>
          </w:tcPr>
          <w:p w14:paraId="21A003EE"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2,3</w:t>
            </w:r>
          </w:p>
        </w:tc>
        <w:tc>
          <w:tcPr>
            <w:tcW w:w="680" w:type="dxa"/>
            <w:noWrap/>
            <w:vAlign w:val="center"/>
          </w:tcPr>
          <w:p w14:paraId="12C37337" w14:textId="77777777" w:rsidR="0066279C" w:rsidRPr="004B2DB8"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77,0</w:t>
            </w:r>
          </w:p>
        </w:tc>
      </w:tr>
      <w:tr w:rsidR="006A3666" w:rsidRPr="004B2DB8" w14:paraId="63152F9A"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655D09D3" w14:textId="77777777" w:rsidR="0066279C" w:rsidRPr="00643393" w:rsidRDefault="0066279C" w:rsidP="00F14377">
            <w:pPr>
              <w:spacing w:before="40" w:after="40"/>
              <w:rPr>
                <w:rFonts w:ascii="Segoe UI Light" w:eastAsia="Times New Roman" w:hAnsi="Segoe UI Light"/>
                <w:sz w:val="16"/>
                <w:szCs w:val="16"/>
              </w:rPr>
            </w:pPr>
            <w:r w:rsidRPr="00643393">
              <w:rPr>
                <w:rFonts w:ascii="Segoe UI Light" w:eastAsia="Times New Roman" w:hAnsi="Segoe UI Light"/>
                <w:bCs w:val="0"/>
                <w:sz w:val="16"/>
                <w:szCs w:val="16"/>
              </w:rPr>
              <w:t>Zemas kvalifikācijas profesijas</w:t>
            </w:r>
          </w:p>
        </w:tc>
        <w:tc>
          <w:tcPr>
            <w:tcW w:w="680" w:type="dxa"/>
            <w:noWrap/>
            <w:vAlign w:val="center"/>
          </w:tcPr>
          <w:p w14:paraId="3D4ECFC6" w14:textId="77777777" w:rsidR="0066279C" w:rsidRPr="006F6A64"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10,9</w:t>
            </w:r>
          </w:p>
        </w:tc>
        <w:tc>
          <w:tcPr>
            <w:tcW w:w="680" w:type="dxa"/>
            <w:noWrap/>
            <w:vAlign w:val="center"/>
          </w:tcPr>
          <w:p w14:paraId="1385BCE5" w14:textId="77777777" w:rsidR="0066279C" w:rsidRPr="006F6A64"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18,7</w:t>
            </w:r>
          </w:p>
        </w:tc>
        <w:tc>
          <w:tcPr>
            <w:tcW w:w="680" w:type="dxa"/>
            <w:noWrap/>
            <w:vAlign w:val="center"/>
          </w:tcPr>
          <w:p w14:paraId="0CAC4821" w14:textId="77777777" w:rsidR="0066279C" w:rsidRPr="006F6A64"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2,4</w:t>
            </w:r>
          </w:p>
        </w:tc>
        <w:tc>
          <w:tcPr>
            <w:tcW w:w="680" w:type="dxa"/>
            <w:noWrap/>
            <w:vAlign w:val="center"/>
          </w:tcPr>
          <w:p w14:paraId="4857D089" w14:textId="77777777" w:rsidR="0066279C" w:rsidRPr="006F6A64"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13,4</w:t>
            </w:r>
          </w:p>
        </w:tc>
        <w:tc>
          <w:tcPr>
            <w:tcW w:w="680" w:type="dxa"/>
            <w:noWrap/>
            <w:vAlign w:val="center"/>
          </w:tcPr>
          <w:p w14:paraId="6BE7FA99" w14:textId="77777777" w:rsidR="0066279C" w:rsidRPr="006F6A64"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18,3</w:t>
            </w:r>
          </w:p>
        </w:tc>
        <w:tc>
          <w:tcPr>
            <w:tcW w:w="680" w:type="dxa"/>
            <w:noWrap/>
            <w:vAlign w:val="center"/>
          </w:tcPr>
          <w:p w14:paraId="3D85AFD3" w14:textId="77777777" w:rsidR="0066279C" w:rsidRPr="006F6A64"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5,9</w:t>
            </w:r>
          </w:p>
        </w:tc>
        <w:tc>
          <w:tcPr>
            <w:tcW w:w="680" w:type="dxa"/>
            <w:noWrap/>
            <w:vAlign w:val="center"/>
          </w:tcPr>
          <w:p w14:paraId="4CB70F63" w14:textId="77777777" w:rsidR="0066279C" w:rsidRPr="006F6A64"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24,7</w:t>
            </w:r>
          </w:p>
        </w:tc>
        <w:tc>
          <w:tcPr>
            <w:tcW w:w="680" w:type="dxa"/>
            <w:noWrap/>
            <w:vAlign w:val="center"/>
          </w:tcPr>
          <w:p w14:paraId="25D62BB9" w14:textId="77777777" w:rsidR="0066279C" w:rsidRPr="006F6A64"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17,8</w:t>
            </w:r>
          </w:p>
        </w:tc>
        <w:tc>
          <w:tcPr>
            <w:tcW w:w="680" w:type="dxa"/>
            <w:noWrap/>
            <w:vAlign w:val="center"/>
          </w:tcPr>
          <w:p w14:paraId="24581B1F" w14:textId="77777777" w:rsidR="0066279C" w:rsidRPr="006F6A64" w:rsidRDefault="0066279C" w:rsidP="00F14377">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112,1</w:t>
            </w:r>
          </w:p>
        </w:tc>
      </w:tr>
      <w:tr w:rsidR="00F14377" w:rsidRPr="004B2DB8" w14:paraId="174B6322"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3ED021C1" w14:textId="77777777" w:rsidR="0066279C" w:rsidRPr="00643393" w:rsidRDefault="0066279C" w:rsidP="00F14377">
            <w:pPr>
              <w:spacing w:before="40" w:after="40"/>
              <w:rPr>
                <w:rFonts w:ascii="Segoe UI Light" w:eastAsia="Times New Roman" w:hAnsi="Segoe UI Light"/>
                <w:sz w:val="16"/>
                <w:szCs w:val="16"/>
              </w:rPr>
            </w:pPr>
            <w:r w:rsidRPr="00643393">
              <w:rPr>
                <w:rFonts w:ascii="Segoe UI Light" w:eastAsia="Arial Unicode MS" w:hAnsi="Segoe UI Light"/>
                <w:sz w:val="16"/>
                <w:szCs w:val="16"/>
              </w:rPr>
              <w:t>Kopā</w:t>
            </w:r>
          </w:p>
        </w:tc>
        <w:tc>
          <w:tcPr>
            <w:tcW w:w="680" w:type="dxa"/>
            <w:noWrap/>
            <w:vAlign w:val="center"/>
          </w:tcPr>
          <w:p w14:paraId="51ABB7CA" w14:textId="77777777" w:rsidR="0066279C" w:rsidRPr="006F6A64"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59,3</w:t>
            </w:r>
          </w:p>
        </w:tc>
        <w:tc>
          <w:tcPr>
            <w:tcW w:w="680" w:type="dxa"/>
            <w:noWrap/>
            <w:vAlign w:val="center"/>
          </w:tcPr>
          <w:p w14:paraId="43B68F95" w14:textId="77777777" w:rsidR="0066279C" w:rsidRPr="006F6A64"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111,7</w:t>
            </w:r>
          </w:p>
        </w:tc>
        <w:tc>
          <w:tcPr>
            <w:tcW w:w="680" w:type="dxa"/>
            <w:noWrap/>
            <w:vAlign w:val="center"/>
          </w:tcPr>
          <w:p w14:paraId="4DAF20BE" w14:textId="77777777" w:rsidR="0066279C" w:rsidRPr="006F6A64"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20,8</w:t>
            </w:r>
          </w:p>
        </w:tc>
        <w:tc>
          <w:tcPr>
            <w:tcW w:w="680" w:type="dxa"/>
            <w:noWrap/>
            <w:vAlign w:val="center"/>
          </w:tcPr>
          <w:p w14:paraId="5287FC27" w14:textId="77777777" w:rsidR="0066279C" w:rsidRPr="006F6A64"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70,3</w:t>
            </w:r>
          </w:p>
        </w:tc>
        <w:tc>
          <w:tcPr>
            <w:tcW w:w="680" w:type="dxa"/>
            <w:noWrap/>
            <w:vAlign w:val="center"/>
          </w:tcPr>
          <w:p w14:paraId="45E149EC" w14:textId="77777777" w:rsidR="0066279C" w:rsidRPr="006F6A64"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156,6</w:t>
            </w:r>
          </w:p>
        </w:tc>
        <w:tc>
          <w:tcPr>
            <w:tcW w:w="680" w:type="dxa"/>
            <w:noWrap/>
            <w:vAlign w:val="center"/>
          </w:tcPr>
          <w:p w14:paraId="6EDDAFD5" w14:textId="77777777" w:rsidR="0066279C" w:rsidRPr="006F6A64"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73,2</w:t>
            </w:r>
          </w:p>
        </w:tc>
        <w:tc>
          <w:tcPr>
            <w:tcW w:w="680" w:type="dxa"/>
            <w:noWrap/>
            <w:vAlign w:val="center"/>
          </w:tcPr>
          <w:p w14:paraId="49AF7B0F" w14:textId="77777777" w:rsidR="0066279C" w:rsidRPr="006F6A64"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188,1</w:t>
            </w:r>
          </w:p>
        </w:tc>
        <w:tc>
          <w:tcPr>
            <w:tcW w:w="680" w:type="dxa"/>
            <w:noWrap/>
            <w:vAlign w:val="center"/>
          </w:tcPr>
          <w:p w14:paraId="6C10D1E0" w14:textId="77777777" w:rsidR="0066279C" w:rsidRPr="006F6A64"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204,2</w:t>
            </w:r>
          </w:p>
        </w:tc>
        <w:tc>
          <w:tcPr>
            <w:tcW w:w="680" w:type="dxa"/>
            <w:noWrap/>
            <w:vAlign w:val="center"/>
          </w:tcPr>
          <w:p w14:paraId="5C508000" w14:textId="77777777" w:rsidR="0066279C" w:rsidRPr="006F6A64" w:rsidRDefault="0066279C" w:rsidP="00F14377">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sidRPr="006F6A64">
              <w:rPr>
                <w:rFonts w:ascii="Segoe UI Light" w:eastAsia="Times New Roman" w:hAnsi="Segoe UI Light" w:cs="Segoe UI Light"/>
                <w:b/>
                <w:color w:val="000000"/>
                <w:sz w:val="16"/>
                <w:szCs w:val="16"/>
                <w:lang w:val="en-US"/>
              </w:rPr>
              <w:t>884,2</w:t>
            </w:r>
          </w:p>
        </w:tc>
      </w:tr>
    </w:tbl>
    <w:p w14:paraId="4226CEBE" w14:textId="77777777" w:rsidR="0066279C" w:rsidRPr="006F6A64" w:rsidRDefault="0066279C" w:rsidP="00867A48">
      <w:pPr>
        <w:spacing w:before="120" w:after="120"/>
        <w:jc w:val="both"/>
        <w:rPr>
          <w:sz w:val="16"/>
          <w:szCs w:val="16"/>
        </w:rPr>
      </w:pPr>
      <w:r w:rsidRPr="006F6A64">
        <w:rPr>
          <w:sz w:val="16"/>
          <w:szCs w:val="16"/>
        </w:rPr>
        <w:t>Avots: CSP</w:t>
      </w:r>
    </w:p>
    <w:p w14:paraId="4E437128" w14:textId="77777777" w:rsidR="00F14377" w:rsidRDefault="00F14377" w:rsidP="00867A48">
      <w:pPr>
        <w:spacing w:after="120"/>
        <w:jc w:val="both"/>
      </w:pPr>
    </w:p>
    <w:p w14:paraId="65D61C1F" w14:textId="60FBA30B" w:rsidR="0066279C" w:rsidRPr="00DC3E23" w:rsidRDefault="0066279C" w:rsidP="00867A48">
      <w:pPr>
        <w:spacing w:after="120"/>
        <w:jc w:val="both"/>
      </w:pPr>
      <w:r w:rsidRPr="00DC3E23">
        <w:t>2023.</w:t>
      </w:r>
      <w:r w:rsidR="0080669C">
        <w:t>gad</w:t>
      </w:r>
      <w:r w:rsidRPr="00DC3E23">
        <w:t xml:space="preserve">ā vislielākais nodarbināto skaits </w:t>
      </w:r>
      <w:r w:rsidR="00F91793">
        <w:t>bija</w:t>
      </w:r>
      <w:r w:rsidRPr="00DC3E23">
        <w:t xml:space="preserve"> sabiedrisko pakalpojumu nozarē (204,2 tūkst.), komercpakalpojumos (188,1 tūkst.), tirdzniecībā un izmitināšanā (156,6 tūkst.) un apstrādes rūpniecībā (111,7 tūkst.), kopumā sastādot 63</w:t>
      </w:r>
      <w:r w:rsidR="0080669C">
        <w:t>%</w:t>
      </w:r>
      <w:r w:rsidRPr="00DC3E23">
        <w:t xml:space="preserve"> no visiem nodarbinātiem. Sadalījumā pēc profesiju kvalifikācijas augstas kvalifikācijas profesiju nodarbināto skaits ir 392 tūkst. (44</w:t>
      </w:r>
      <w:r w:rsidR="0080669C">
        <w:t>%</w:t>
      </w:r>
      <w:r w:rsidRPr="00DC3E23">
        <w:t xml:space="preserve"> no kopējā nodarbināto skaita), vidējas kvalifikācijas profesiju nodarbinātie – 380 tūkst. (42</w:t>
      </w:r>
      <w:r w:rsidR="0080669C">
        <w:t>%</w:t>
      </w:r>
      <w:r w:rsidRPr="00DC3E23">
        <w:t xml:space="preserve"> no kopējā) un zemo kvalifikācijas profesiju </w:t>
      </w:r>
      <w:r w:rsidR="007D74ED">
        <w:t xml:space="preserve">– </w:t>
      </w:r>
      <w:r w:rsidRPr="00DC3E23">
        <w:t>112,1 tūkst. nodarbināto (14</w:t>
      </w:r>
      <w:r w:rsidR="0080669C">
        <w:t>%</w:t>
      </w:r>
      <w:r w:rsidRPr="00DC3E23">
        <w:t xml:space="preserve"> no kopējā).</w:t>
      </w:r>
    </w:p>
    <w:p w14:paraId="6201CDF1" w14:textId="2B111003" w:rsidR="0066279C" w:rsidRDefault="0066279C" w:rsidP="00867A48">
      <w:pPr>
        <w:spacing w:after="120"/>
        <w:jc w:val="both"/>
      </w:pPr>
      <w:r w:rsidRPr="00DC3E23">
        <w:t>Lielākais augstās kvalifikācijas profesiju nodarbināto skaits ir vecākie speciālisti sabiedrības pakalpojumu nozarē (95,6 tūkst. jeb gandrīz 11</w:t>
      </w:r>
      <w:r w:rsidR="0080669C">
        <w:t>%</w:t>
      </w:r>
      <w:r w:rsidRPr="00DC3E23">
        <w:t xml:space="preserve"> no visiem nodarbinātiem). Vidējo profesiju lielākais nodarbināto skaits ir pakalpojumu un tirdzniecības darbinieki tirdzniecības nozarē (63,9 tūkst. jeb 7,2</w:t>
      </w:r>
      <w:r w:rsidR="0080669C">
        <w:t>%</w:t>
      </w:r>
      <w:r w:rsidRPr="00DC3E23">
        <w:t xml:space="preserve"> no kopējā nodarbināto skaita).</w:t>
      </w:r>
    </w:p>
    <w:p w14:paraId="0D6D44E5" w14:textId="77777777" w:rsidR="00F14377" w:rsidRPr="0066279C" w:rsidRDefault="00F14377" w:rsidP="00867A48">
      <w:pPr>
        <w:spacing w:after="120"/>
        <w:jc w:val="both"/>
        <w:rPr>
          <w:color w:val="000000" w:themeColor="text1"/>
        </w:rPr>
      </w:pPr>
      <w:r w:rsidRPr="00932818">
        <w:t>Salīdzinot ar 2021.</w:t>
      </w:r>
      <w:r>
        <w:t>gad</w:t>
      </w:r>
      <w:r w:rsidRPr="00932818">
        <w:t>u, augstākās kvalifikācijas profesijās 2023.</w:t>
      </w:r>
      <w:r>
        <w:t>gad</w:t>
      </w:r>
      <w:r w:rsidRPr="00932818">
        <w:t>ā bija par 3,7 tūkst. vair</w:t>
      </w:r>
      <w:r w:rsidRPr="00932818">
        <w:rPr>
          <w:szCs w:val="20"/>
        </w:rPr>
        <w:t>āk nodarbināto</w:t>
      </w:r>
      <w:r w:rsidRPr="00932818">
        <w:t xml:space="preserve"> (pieaugums par 1,4</w:t>
      </w:r>
      <w:r>
        <w:t>%</w:t>
      </w:r>
      <w:r w:rsidRPr="00932818">
        <w:t xml:space="preserve">). Vecāko speciālistu profesijā ir novērojams nodarbināto pieaugums (par 14,6 tūkst.), savukārt speciālistu profesijā novērojams gandrīz tik pat liels samazinājums (-11,5 tūkst.). Apjomīgākais nodarbināto skaita pieaugums ir vidējās kvalifikācijas profesijās (+13,3 tūkst.), tai skaitā pakalpojumu tirdzniecības darbinieku skaits pieauga par 11,9 tūkstošiem, iestāžu kalpotāji par 4,2 tūkstošiem, bet samazinājums kvalificēto strādnieku skaitā (-2,8 tūkst. un iekārtu un mašīnu operatori (-0,7 tūkst.). Apjomīgākais nodarbināto skaita </w:t>
      </w:r>
      <w:r w:rsidRPr="0066279C">
        <w:rPr>
          <w:color w:val="000000" w:themeColor="text1"/>
        </w:rPr>
        <w:t>pieaugums ir apstrādes rūpniecībā (par 2,5 tūkst.) būvniecībā (1,3 tūkst.), komercpakalpojumu un sabiedrisko pakalpojumu nozarē (kopā par 2,1 tūkst.), savukārt samazinājums pārējā rūpniecībā (-1,3 tūkst.) un tirdzniecībā un izmitināšanā (-0,6 tūkst.). Kopumā nodarbināto skaits salīdzinājumā ar 2021.</w:t>
      </w:r>
      <w:r>
        <w:rPr>
          <w:color w:val="000000" w:themeColor="text1"/>
        </w:rPr>
        <w:t>gad</w:t>
      </w:r>
      <w:r w:rsidRPr="0066279C">
        <w:rPr>
          <w:color w:val="000000" w:themeColor="text1"/>
        </w:rPr>
        <w:t>u ir pieaudzis par 20,2 tūkstošiem jeb par 2,3</w:t>
      </w:r>
      <w:r>
        <w:rPr>
          <w:color w:val="000000" w:themeColor="text1"/>
        </w:rPr>
        <w:t>%</w:t>
      </w:r>
      <w:r w:rsidRPr="0066279C">
        <w:rPr>
          <w:color w:val="000000" w:themeColor="text1"/>
        </w:rPr>
        <w:t>.</w:t>
      </w:r>
    </w:p>
    <w:p w14:paraId="66501B1F" w14:textId="77777777" w:rsidR="00F14377" w:rsidRDefault="00F14377" w:rsidP="00867A48">
      <w:pPr>
        <w:spacing w:after="120"/>
        <w:rPr>
          <w:szCs w:val="20"/>
        </w:rPr>
      </w:pPr>
      <w:r>
        <w:rPr>
          <w:szCs w:val="20"/>
        </w:rPr>
        <w:br w:type="page"/>
      </w:r>
    </w:p>
    <w:p w14:paraId="7CC26D71" w14:textId="33F8AEA1" w:rsidR="0066279C" w:rsidRPr="003B4CDA" w:rsidRDefault="0066279C" w:rsidP="005349C0">
      <w:pPr>
        <w:spacing w:after="120"/>
        <w:jc w:val="right"/>
        <w:rPr>
          <w:szCs w:val="20"/>
        </w:rPr>
      </w:pPr>
      <w:r w:rsidRPr="003B4CDA">
        <w:rPr>
          <w:szCs w:val="20"/>
        </w:rPr>
        <w:lastRenderedPageBreak/>
        <w:t>2.3. tabula</w:t>
      </w:r>
    </w:p>
    <w:p w14:paraId="49ED918B" w14:textId="450445C6" w:rsidR="0066279C" w:rsidRPr="001C65E4" w:rsidRDefault="0066279C" w:rsidP="0066279C">
      <w:pPr>
        <w:spacing w:after="120"/>
        <w:jc w:val="center"/>
        <w:rPr>
          <w:rFonts w:ascii="Segoe UI Light" w:hAnsi="Segoe UI Light"/>
          <w:i/>
          <w:sz w:val="16"/>
          <w:szCs w:val="26"/>
        </w:rPr>
      </w:pPr>
      <w:r w:rsidRPr="001C65E4">
        <w:rPr>
          <w:rFonts w:ascii="Segoe UI Light" w:hAnsi="Segoe UI Light"/>
          <w:b/>
          <w:sz w:val="18"/>
          <w:szCs w:val="26"/>
        </w:rPr>
        <w:t xml:space="preserve">Nodarbināto skaits izmaiņas tautsaimniecības nozarēs sadalījumā pa profesiju grupām </w:t>
      </w:r>
      <w:r w:rsidRPr="001C65E4">
        <w:rPr>
          <w:rFonts w:ascii="Segoe UI Light" w:hAnsi="Segoe UI Light"/>
          <w:sz w:val="16"/>
          <w:szCs w:val="26"/>
        </w:rPr>
        <w:br/>
      </w:r>
      <w:r w:rsidR="005F5363" w:rsidRPr="005F5363">
        <w:rPr>
          <w:rFonts w:ascii="Segoe UI Light" w:hAnsi="Segoe UI Light"/>
          <w:i/>
          <w:sz w:val="16"/>
          <w:szCs w:val="26"/>
        </w:rPr>
        <w:t>2023.gads salīdzinājumā ar 2021.gadu</w:t>
      </w:r>
      <w:r w:rsidR="005F5363">
        <w:rPr>
          <w:rFonts w:ascii="Segoe UI Light" w:hAnsi="Segoe UI Light"/>
          <w:i/>
          <w:sz w:val="16"/>
          <w:szCs w:val="26"/>
        </w:rPr>
        <w:t xml:space="preserve">, </w:t>
      </w:r>
      <w:r w:rsidRPr="001C65E4">
        <w:rPr>
          <w:rFonts w:ascii="Segoe UI Light" w:hAnsi="Segoe UI Light"/>
          <w:i/>
          <w:sz w:val="16"/>
          <w:szCs w:val="26"/>
        </w:rPr>
        <w:t>tūkstošos</w:t>
      </w:r>
    </w:p>
    <w:tbl>
      <w:tblPr>
        <w:tblStyle w:val="GridTable4-Accent4"/>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680"/>
        <w:gridCol w:w="680"/>
        <w:gridCol w:w="680"/>
        <w:gridCol w:w="680"/>
        <w:gridCol w:w="680"/>
        <w:gridCol w:w="680"/>
        <w:gridCol w:w="680"/>
        <w:gridCol w:w="680"/>
        <w:gridCol w:w="683"/>
      </w:tblGrid>
      <w:tr w:rsidR="006A3666" w:rsidRPr="00C81CA7" w14:paraId="4A61B2D5" w14:textId="77777777" w:rsidTr="005F5363">
        <w:trPr>
          <w:cnfStyle w:val="100000000000" w:firstRow="1" w:lastRow="0" w:firstColumn="0" w:lastColumn="0" w:oddVBand="0" w:evenVBand="0" w:oddHBand="0" w:evenHBand="0" w:firstRowFirstColumn="0" w:firstRowLastColumn="0" w:lastRowFirstColumn="0" w:lastRowLastColumn="0"/>
          <w:cantSplit/>
          <w:trHeight w:val="1492"/>
        </w:trPr>
        <w:tc>
          <w:tcPr>
            <w:cnfStyle w:val="001000000000" w:firstRow="0" w:lastRow="0" w:firstColumn="1" w:lastColumn="0" w:oddVBand="0" w:evenVBand="0" w:oddHBand="0" w:evenHBand="0" w:firstRowFirstColumn="0" w:firstRowLastColumn="0" w:lastRowFirstColumn="0" w:lastRowLastColumn="0"/>
            <w:tcW w:w="2948" w:type="dxa"/>
            <w:noWrap/>
            <w:hideMark/>
          </w:tcPr>
          <w:p w14:paraId="39F56753" w14:textId="77777777" w:rsidR="0066279C" w:rsidRPr="009F6050" w:rsidRDefault="0066279C">
            <w:pPr>
              <w:spacing w:after="0"/>
              <w:rPr>
                <w:rFonts w:ascii="Segoe UI Light" w:eastAsia="Times New Roman" w:hAnsi="Segoe UI Light" w:cs="Segoe UI Light"/>
                <w:color w:val="000000"/>
                <w:sz w:val="16"/>
                <w:szCs w:val="16"/>
              </w:rPr>
            </w:pPr>
            <w:r w:rsidRPr="009F6050">
              <w:rPr>
                <w:rFonts w:ascii="Segoe UI Light" w:eastAsia="Times New Roman" w:hAnsi="Segoe UI Light" w:cs="Segoe UI Light"/>
                <w:color w:val="000000"/>
                <w:sz w:val="16"/>
                <w:szCs w:val="16"/>
              </w:rPr>
              <w:t> </w:t>
            </w:r>
          </w:p>
        </w:tc>
        <w:tc>
          <w:tcPr>
            <w:tcW w:w="680" w:type="dxa"/>
            <w:noWrap/>
            <w:textDirection w:val="btLr"/>
            <w:vAlign w:val="center"/>
            <w:hideMark/>
          </w:tcPr>
          <w:p w14:paraId="1689AF3A" w14:textId="77777777" w:rsidR="0066279C" w:rsidRPr="00C81CA7" w:rsidRDefault="0066279C" w:rsidP="005349C0">
            <w:pPr>
              <w:spacing w:after="0"/>
              <w:ind w:left="113" w:right="113"/>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Lauksaimniecība</w:t>
            </w:r>
          </w:p>
        </w:tc>
        <w:tc>
          <w:tcPr>
            <w:tcW w:w="680" w:type="dxa"/>
            <w:noWrap/>
            <w:textDirection w:val="btLr"/>
            <w:vAlign w:val="center"/>
            <w:hideMark/>
          </w:tcPr>
          <w:p w14:paraId="3B13EFE7" w14:textId="77777777" w:rsidR="0066279C" w:rsidRPr="00C81CA7"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 xml:space="preserve">Apstrādes </w:t>
            </w:r>
            <w:r w:rsidRPr="00C81CA7">
              <w:rPr>
                <w:rFonts w:ascii="Segoe UI Light" w:eastAsia="Times New Roman" w:hAnsi="Segoe UI Light"/>
                <w:sz w:val="16"/>
                <w:szCs w:val="16"/>
              </w:rPr>
              <w:br/>
              <w:t>rūpniecība</w:t>
            </w:r>
          </w:p>
        </w:tc>
        <w:tc>
          <w:tcPr>
            <w:tcW w:w="680" w:type="dxa"/>
            <w:noWrap/>
            <w:textDirection w:val="btLr"/>
            <w:vAlign w:val="center"/>
            <w:hideMark/>
          </w:tcPr>
          <w:p w14:paraId="06E754BA" w14:textId="77777777" w:rsidR="0066279C" w:rsidRPr="00C81CA7"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 xml:space="preserve">Pārējā </w:t>
            </w:r>
            <w:r w:rsidRPr="00C81CA7">
              <w:rPr>
                <w:rFonts w:ascii="Segoe UI Light" w:eastAsia="Times New Roman" w:hAnsi="Segoe UI Light"/>
                <w:sz w:val="16"/>
                <w:szCs w:val="16"/>
              </w:rPr>
              <w:br/>
              <w:t>rūpniecība</w:t>
            </w:r>
          </w:p>
        </w:tc>
        <w:tc>
          <w:tcPr>
            <w:tcW w:w="680" w:type="dxa"/>
            <w:noWrap/>
            <w:textDirection w:val="btLr"/>
            <w:vAlign w:val="center"/>
            <w:hideMark/>
          </w:tcPr>
          <w:p w14:paraId="73AA14F2" w14:textId="77777777" w:rsidR="0066279C" w:rsidRPr="00C81CA7"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Būvniecība</w:t>
            </w:r>
          </w:p>
        </w:tc>
        <w:tc>
          <w:tcPr>
            <w:tcW w:w="680" w:type="dxa"/>
            <w:noWrap/>
            <w:textDirection w:val="btLr"/>
            <w:vAlign w:val="center"/>
            <w:hideMark/>
          </w:tcPr>
          <w:p w14:paraId="5EF27CA7" w14:textId="77777777" w:rsidR="0066279C" w:rsidRPr="00C81CA7"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Tirdzniecība, izmitināšana</w:t>
            </w:r>
          </w:p>
        </w:tc>
        <w:tc>
          <w:tcPr>
            <w:tcW w:w="680" w:type="dxa"/>
            <w:noWrap/>
            <w:textDirection w:val="btLr"/>
            <w:vAlign w:val="center"/>
            <w:hideMark/>
          </w:tcPr>
          <w:p w14:paraId="17A4EC83" w14:textId="77777777" w:rsidR="0066279C" w:rsidRPr="00C81CA7"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Transports un uzglabāšana</w:t>
            </w:r>
          </w:p>
        </w:tc>
        <w:tc>
          <w:tcPr>
            <w:tcW w:w="680" w:type="dxa"/>
            <w:noWrap/>
            <w:textDirection w:val="btLr"/>
            <w:vAlign w:val="center"/>
            <w:hideMark/>
          </w:tcPr>
          <w:p w14:paraId="2D1208E6" w14:textId="77777777" w:rsidR="0066279C" w:rsidRPr="00C81CA7"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 xml:space="preserve">Citi </w:t>
            </w:r>
            <w:r w:rsidRPr="00C81CA7">
              <w:rPr>
                <w:rFonts w:ascii="Segoe UI Light" w:eastAsia="Times New Roman" w:hAnsi="Segoe UI Light"/>
                <w:sz w:val="16"/>
                <w:szCs w:val="16"/>
              </w:rPr>
              <w:br/>
              <w:t>komercpakalpojumi</w:t>
            </w:r>
          </w:p>
        </w:tc>
        <w:tc>
          <w:tcPr>
            <w:tcW w:w="680" w:type="dxa"/>
            <w:noWrap/>
            <w:textDirection w:val="btLr"/>
            <w:vAlign w:val="center"/>
            <w:hideMark/>
          </w:tcPr>
          <w:p w14:paraId="27EC38F2" w14:textId="77777777" w:rsidR="0066279C" w:rsidRPr="00C81CA7"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Times New Roman" w:hAnsi="Segoe UI Light"/>
                <w:sz w:val="16"/>
                <w:szCs w:val="16"/>
              </w:rPr>
              <w:t>Sabiedriskie pakalpojumi</w:t>
            </w:r>
          </w:p>
        </w:tc>
        <w:tc>
          <w:tcPr>
            <w:tcW w:w="683" w:type="dxa"/>
            <w:noWrap/>
            <w:textDirection w:val="btLr"/>
            <w:vAlign w:val="center"/>
            <w:hideMark/>
          </w:tcPr>
          <w:p w14:paraId="2C516A24" w14:textId="77777777" w:rsidR="0066279C" w:rsidRPr="00C81CA7" w:rsidRDefault="0066279C" w:rsidP="005349C0">
            <w:pPr>
              <w:spacing w:after="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sz w:val="16"/>
                <w:szCs w:val="16"/>
                <w:lang w:val="en-US"/>
              </w:rPr>
            </w:pPr>
            <w:r w:rsidRPr="00C81CA7">
              <w:rPr>
                <w:rFonts w:ascii="Segoe UI Light" w:eastAsia="Arial Unicode MS" w:hAnsi="Segoe UI Light"/>
                <w:sz w:val="16"/>
                <w:szCs w:val="16"/>
              </w:rPr>
              <w:t>Kopā</w:t>
            </w:r>
          </w:p>
        </w:tc>
      </w:tr>
      <w:tr w:rsidR="0066279C" w:rsidRPr="004B2DB8" w14:paraId="1C3B9F14"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4273B212" w14:textId="4FF5866F" w:rsidR="0066279C" w:rsidRPr="00643393" w:rsidRDefault="0066279C" w:rsidP="005349C0">
            <w:pPr>
              <w:spacing w:before="40" w:after="40"/>
              <w:rPr>
                <w:rFonts w:ascii="Segoe UI Light" w:eastAsia="Times New Roman" w:hAnsi="Segoe UI Light" w:cs="Segoe UI Light"/>
                <w:sz w:val="16"/>
                <w:szCs w:val="16"/>
              </w:rPr>
            </w:pPr>
            <w:r w:rsidRPr="00643393">
              <w:rPr>
                <w:rFonts w:ascii="Segoe UI Light" w:eastAsia="Times New Roman" w:hAnsi="Segoe UI Light"/>
                <w:bCs w:val="0"/>
                <w:sz w:val="16"/>
                <w:szCs w:val="16"/>
              </w:rPr>
              <w:t>Augstas kvalifikācijas profesijas, tai skaitā:</w:t>
            </w:r>
          </w:p>
        </w:tc>
        <w:tc>
          <w:tcPr>
            <w:tcW w:w="680" w:type="dxa"/>
            <w:noWrap/>
          </w:tcPr>
          <w:p w14:paraId="6B83322E"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0,9</w:t>
            </w:r>
          </w:p>
        </w:tc>
        <w:tc>
          <w:tcPr>
            <w:tcW w:w="680" w:type="dxa"/>
            <w:noWrap/>
          </w:tcPr>
          <w:p w14:paraId="23290028"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1,0</w:t>
            </w:r>
          </w:p>
        </w:tc>
        <w:tc>
          <w:tcPr>
            <w:tcW w:w="680" w:type="dxa"/>
            <w:noWrap/>
          </w:tcPr>
          <w:p w14:paraId="76F7B24E"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0,5</w:t>
            </w:r>
          </w:p>
        </w:tc>
        <w:tc>
          <w:tcPr>
            <w:tcW w:w="680" w:type="dxa"/>
            <w:noWrap/>
          </w:tcPr>
          <w:p w14:paraId="178047E2"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0,0</w:t>
            </w:r>
          </w:p>
        </w:tc>
        <w:tc>
          <w:tcPr>
            <w:tcW w:w="680" w:type="dxa"/>
            <w:noWrap/>
          </w:tcPr>
          <w:p w14:paraId="2F527228"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-4,2</w:t>
            </w:r>
          </w:p>
        </w:tc>
        <w:tc>
          <w:tcPr>
            <w:tcW w:w="680" w:type="dxa"/>
            <w:noWrap/>
          </w:tcPr>
          <w:p w14:paraId="08F24632"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1,3</w:t>
            </w:r>
          </w:p>
        </w:tc>
        <w:tc>
          <w:tcPr>
            <w:tcW w:w="680" w:type="dxa"/>
            <w:noWrap/>
          </w:tcPr>
          <w:p w14:paraId="517BA196"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7,6</w:t>
            </w:r>
          </w:p>
        </w:tc>
        <w:tc>
          <w:tcPr>
            <w:tcW w:w="680" w:type="dxa"/>
            <w:noWrap/>
          </w:tcPr>
          <w:p w14:paraId="0EF2E4E4"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-3,4</w:t>
            </w:r>
          </w:p>
        </w:tc>
        <w:tc>
          <w:tcPr>
            <w:tcW w:w="683" w:type="dxa"/>
            <w:noWrap/>
          </w:tcPr>
          <w:p w14:paraId="1743B9CD"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bCs/>
                <w:color w:val="000000"/>
                <w:sz w:val="16"/>
                <w:szCs w:val="16"/>
                <w:lang w:val="en-US"/>
              </w:rPr>
            </w:pPr>
            <w:r>
              <w:rPr>
                <w:rFonts w:ascii="Segoe UI Light" w:eastAsia="Times New Roman" w:hAnsi="Segoe UI Light" w:cs="Segoe UI Light"/>
                <w:b/>
                <w:bCs/>
                <w:color w:val="000000"/>
                <w:sz w:val="16"/>
                <w:szCs w:val="16"/>
                <w:lang w:val="en-US"/>
              </w:rPr>
              <w:t>3,7</w:t>
            </w:r>
          </w:p>
        </w:tc>
      </w:tr>
      <w:tr w:rsidR="006A3666" w:rsidRPr="004B2DB8" w14:paraId="70519E68"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36527F2F" w14:textId="77777777" w:rsidR="0066279C" w:rsidRPr="00643393" w:rsidRDefault="0066279C" w:rsidP="005349C0">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Vadītāji</w:t>
            </w:r>
          </w:p>
        </w:tc>
        <w:tc>
          <w:tcPr>
            <w:tcW w:w="680" w:type="dxa"/>
            <w:noWrap/>
            <w:vAlign w:val="center"/>
          </w:tcPr>
          <w:p w14:paraId="15E5FB67" w14:textId="77777777" w:rsidR="0066279C" w:rsidRPr="00643393"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32EA6347"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0,8</w:t>
            </w:r>
          </w:p>
        </w:tc>
        <w:tc>
          <w:tcPr>
            <w:tcW w:w="680" w:type="dxa"/>
            <w:noWrap/>
            <w:vAlign w:val="center"/>
          </w:tcPr>
          <w:p w14:paraId="64EF71DC"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0,1</w:t>
            </w:r>
          </w:p>
        </w:tc>
        <w:tc>
          <w:tcPr>
            <w:tcW w:w="680" w:type="dxa"/>
            <w:noWrap/>
            <w:vAlign w:val="center"/>
          </w:tcPr>
          <w:p w14:paraId="50EFE14F"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0,1</w:t>
            </w:r>
          </w:p>
        </w:tc>
        <w:tc>
          <w:tcPr>
            <w:tcW w:w="680" w:type="dxa"/>
            <w:noWrap/>
            <w:vAlign w:val="center"/>
          </w:tcPr>
          <w:p w14:paraId="1DA36C1E"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0,2</w:t>
            </w:r>
          </w:p>
        </w:tc>
        <w:tc>
          <w:tcPr>
            <w:tcW w:w="680" w:type="dxa"/>
            <w:noWrap/>
            <w:vAlign w:val="center"/>
          </w:tcPr>
          <w:p w14:paraId="21777B44"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0,9</w:t>
            </w:r>
          </w:p>
        </w:tc>
        <w:tc>
          <w:tcPr>
            <w:tcW w:w="680" w:type="dxa"/>
            <w:noWrap/>
            <w:vAlign w:val="center"/>
          </w:tcPr>
          <w:p w14:paraId="7FC0944D"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-0,1</w:t>
            </w:r>
          </w:p>
        </w:tc>
        <w:tc>
          <w:tcPr>
            <w:tcW w:w="680" w:type="dxa"/>
            <w:noWrap/>
            <w:vAlign w:val="center"/>
          </w:tcPr>
          <w:p w14:paraId="1A063B72"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-1,5</w:t>
            </w:r>
          </w:p>
        </w:tc>
        <w:tc>
          <w:tcPr>
            <w:tcW w:w="683" w:type="dxa"/>
            <w:noWrap/>
            <w:vAlign w:val="center"/>
          </w:tcPr>
          <w:p w14:paraId="7C23466C"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0,6</w:t>
            </w:r>
          </w:p>
        </w:tc>
      </w:tr>
      <w:tr w:rsidR="0066279C" w:rsidRPr="004B2DB8" w14:paraId="7ABF85F1"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063701AF" w14:textId="77777777" w:rsidR="0066279C" w:rsidRPr="00643393" w:rsidRDefault="0066279C" w:rsidP="005349C0">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Vecākie speciālisti</w:t>
            </w:r>
          </w:p>
        </w:tc>
        <w:tc>
          <w:tcPr>
            <w:tcW w:w="680" w:type="dxa"/>
            <w:noWrap/>
            <w:vAlign w:val="center"/>
          </w:tcPr>
          <w:p w14:paraId="07483A78"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1,0</w:t>
            </w:r>
          </w:p>
        </w:tc>
        <w:tc>
          <w:tcPr>
            <w:tcW w:w="680" w:type="dxa"/>
            <w:noWrap/>
            <w:vAlign w:val="center"/>
          </w:tcPr>
          <w:p w14:paraId="78F7C14B"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-0,8</w:t>
            </w:r>
          </w:p>
        </w:tc>
        <w:tc>
          <w:tcPr>
            <w:tcW w:w="680" w:type="dxa"/>
            <w:noWrap/>
            <w:vAlign w:val="center"/>
          </w:tcPr>
          <w:p w14:paraId="53BF40D2"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0,3</w:t>
            </w:r>
          </w:p>
        </w:tc>
        <w:tc>
          <w:tcPr>
            <w:tcW w:w="680" w:type="dxa"/>
            <w:noWrap/>
            <w:vAlign w:val="center"/>
          </w:tcPr>
          <w:p w14:paraId="6B26ABC0"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1,2</w:t>
            </w:r>
          </w:p>
        </w:tc>
        <w:tc>
          <w:tcPr>
            <w:tcW w:w="680" w:type="dxa"/>
            <w:noWrap/>
            <w:vAlign w:val="center"/>
          </w:tcPr>
          <w:p w14:paraId="4597E16E"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1,0</w:t>
            </w:r>
          </w:p>
        </w:tc>
        <w:tc>
          <w:tcPr>
            <w:tcW w:w="680" w:type="dxa"/>
            <w:noWrap/>
            <w:vAlign w:val="center"/>
          </w:tcPr>
          <w:p w14:paraId="6EB01C63"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753E0396"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8,5</w:t>
            </w:r>
          </w:p>
        </w:tc>
        <w:tc>
          <w:tcPr>
            <w:tcW w:w="680" w:type="dxa"/>
            <w:noWrap/>
            <w:vAlign w:val="center"/>
          </w:tcPr>
          <w:p w14:paraId="671C9AFC"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3,4</w:t>
            </w:r>
          </w:p>
        </w:tc>
        <w:tc>
          <w:tcPr>
            <w:tcW w:w="683" w:type="dxa"/>
            <w:noWrap/>
            <w:vAlign w:val="center"/>
          </w:tcPr>
          <w:p w14:paraId="4F729B60"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14,6</w:t>
            </w:r>
          </w:p>
        </w:tc>
      </w:tr>
      <w:tr w:rsidR="006A3666" w:rsidRPr="004B2DB8" w14:paraId="404240D9"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2082671D" w14:textId="77777777" w:rsidR="0066279C" w:rsidRPr="00643393" w:rsidRDefault="0066279C" w:rsidP="005349C0">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Speciālisti</w:t>
            </w:r>
          </w:p>
        </w:tc>
        <w:tc>
          <w:tcPr>
            <w:tcW w:w="680" w:type="dxa"/>
            <w:noWrap/>
            <w:vAlign w:val="center"/>
          </w:tcPr>
          <w:p w14:paraId="45BA810D"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-0,1</w:t>
            </w:r>
          </w:p>
        </w:tc>
        <w:tc>
          <w:tcPr>
            <w:tcW w:w="680" w:type="dxa"/>
            <w:noWrap/>
            <w:vAlign w:val="center"/>
          </w:tcPr>
          <w:p w14:paraId="1EF5AE6F"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1,1</w:t>
            </w:r>
          </w:p>
        </w:tc>
        <w:tc>
          <w:tcPr>
            <w:tcW w:w="680" w:type="dxa"/>
            <w:noWrap/>
            <w:vAlign w:val="center"/>
          </w:tcPr>
          <w:p w14:paraId="5231A294"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0,1</w:t>
            </w:r>
          </w:p>
        </w:tc>
        <w:tc>
          <w:tcPr>
            <w:tcW w:w="680" w:type="dxa"/>
            <w:noWrap/>
            <w:vAlign w:val="center"/>
          </w:tcPr>
          <w:p w14:paraId="5536E1D4"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-1,3</w:t>
            </w:r>
          </w:p>
        </w:tc>
        <w:tc>
          <w:tcPr>
            <w:tcW w:w="680" w:type="dxa"/>
            <w:noWrap/>
            <w:vAlign w:val="center"/>
          </w:tcPr>
          <w:p w14:paraId="35826898"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-5,5</w:t>
            </w:r>
          </w:p>
        </w:tc>
        <w:tc>
          <w:tcPr>
            <w:tcW w:w="680" w:type="dxa"/>
            <w:noWrap/>
            <w:vAlign w:val="center"/>
          </w:tcPr>
          <w:p w14:paraId="66F35C3E"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0,4</w:t>
            </w:r>
          </w:p>
        </w:tc>
        <w:tc>
          <w:tcPr>
            <w:tcW w:w="680" w:type="dxa"/>
            <w:noWrap/>
            <w:vAlign w:val="center"/>
          </w:tcPr>
          <w:p w14:paraId="2126AC3D"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-0,8</w:t>
            </w:r>
          </w:p>
        </w:tc>
        <w:tc>
          <w:tcPr>
            <w:tcW w:w="680" w:type="dxa"/>
            <w:noWrap/>
            <w:vAlign w:val="center"/>
          </w:tcPr>
          <w:p w14:paraId="63AA6159"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-5,3</w:t>
            </w:r>
          </w:p>
        </w:tc>
        <w:tc>
          <w:tcPr>
            <w:tcW w:w="683" w:type="dxa"/>
            <w:noWrap/>
            <w:vAlign w:val="center"/>
          </w:tcPr>
          <w:p w14:paraId="1A656E39"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-11,5</w:t>
            </w:r>
          </w:p>
        </w:tc>
      </w:tr>
      <w:tr w:rsidR="0066279C" w:rsidRPr="004B2DB8" w14:paraId="609BD9C3"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48BE8AE4" w14:textId="77777777" w:rsidR="0066279C" w:rsidRPr="00643393" w:rsidRDefault="0066279C" w:rsidP="005349C0">
            <w:pPr>
              <w:spacing w:before="40" w:after="40"/>
              <w:rPr>
                <w:rFonts w:ascii="Segoe UI Light" w:eastAsia="Times New Roman" w:hAnsi="Segoe UI Light" w:cs="Segoe UI Light"/>
                <w:sz w:val="16"/>
                <w:szCs w:val="16"/>
              </w:rPr>
            </w:pPr>
            <w:r w:rsidRPr="00643393">
              <w:rPr>
                <w:rFonts w:ascii="Segoe UI Light" w:eastAsia="Times New Roman" w:hAnsi="Segoe UI Light"/>
                <w:bCs w:val="0"/>
                <w:sz w:val="16"/>
                <w:szCs w:val="16"/>
              </w:rPr>
              <w:t>Vidējas kvalifikācijas profesijas, tai skaitā:</w:t>
            </w:r>
          </w:p>
        </w:tc>
        <w:tc>
          <w:tcPr>
            <w:tcW w:w="680" w:type="dxa"/>
            <w:noWrap/>
            <w:vAlign w:val="center"/>
          </w:tcPr>
          <w:p w14:paraId="50E3204C" w14:textId="77777777" w:rsidR="0066279C" w:rsidRPr="00643393"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-0,6</w:t>
            </w:r>
          </w:p>
        </w:tc>
        <w:tc>
          <w:tcPr>
            <w:tcW w:w="680" w:type="dxa"/>
            <w:noWrap/>
            <w:vAlign w:val="center"/>
          </w:tcPr>
          <w:p w14:paraId="345AEAC9" w14:textId="77777777" w:rsidR="0066279C" w:rsidRPr="00643393"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1,2</w:t>
            </w:r>
          </w:p>
        </w:tc>
        <w:tc>
          <w:tcPr>
            <w:tcW w:w="680" w:type="dxa"/>
            <w:noWrap/>
            <w:vAlign w:val="center"/>
          </w:tcPr>
          <w:p w14:paraId="1EEDFF6E" w14:textId="77777777" w:rsidR="0066279C" w:rsidRPr="00643393"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-0,5</w:t>
            </w:r>
          </w:p>
        </w:tc>
        <w:tc>
          <w:tcPr>
            <w:tcW w:w="680" w:type="dxa"/>
            <w:noWrap/>
            <w:vAlign w:val="center"/>
          </w:tcPr>
          <w:p w14:paraId="2B6CF3B5" w14:textId="77777777" w:rsidR="0066279C" w:rsidRPr="00643393"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-3,3</w:t>
            </w:r>
          </w:p>
        </w:tc>
        <w:tc>
          <w:tcPr>
            <w:tcW w:w="680" w:type="dxa"/>
            <w:noWrap/>
            <w:vAlign w:val="center"/>
          </w:tcPr>
          <w:p w14:paraId="0DCE2AF1" w14:textId="77777777" w:rsidR="0066279C" w:rsidRPr="00643393"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3,6</w:t>
            </w:r>
          </w:p>
        </w:tc>
        <w:tc>
          <w:tcPr>
            <w:tcW w:w="680" w:type="dxa"/>
            <w:noWrap/>
            <w:vAlign w:val="center"/>
          </w:tcPr>
          <w:p w14:paraId="39521E44" w14:textId="77777777" w:rsidR="0066279C" w:rsidRPr="00643393"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4,7</w:t>
            </w:r>
          </w:p>
        </w:tc>
        <w:tc>
          <w:tcPr>
            <w:tcW w:w="680" w:type="dxa"/>
            <w:noWrap/>
            <w:vAlign w:val="center"/>
          </w:tcPr>
          <w:p w14:paraId="1E5FF1D1" w14:textId="77777777" w:rsidR="0066279C" w:rsidRPr="00643393"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5,3</w:t>
            </w:r>
          </w:p>
        </w:tc>
        <w:tc>
          <w:tcPr>
            <w:tcW w:w="680" w:type="dxa"/>
            <w:noWrap/>
            <w:vAlign w:val="center"/>
          </w:tcPr>
          <w:p w14:paraId="61CCB3F8" w14:textId="77777777" w:rsidR="0066279C" w:rsidRPr="00643393"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3,3</w:t>
            </w:r>
          </w:p>
        </w:tc>
        <w:tc>
          <w:tcPr>
            <w:tcW w:w="683" w:type="dxa"/>
            <w:noWrap/>
            <w:vAlign w:val="center"/>
          </w:tcPr>
          <w:p w14:paraId="05211128" w14:textId="77777777" w:rsidR="0066279C" w:rsidRPr="00643393"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13,3</w:t>
            </w:r>
          </w:p>
        </w:tc>
      </w:tr>
      <w:tr w:rsidR="006A3666" w:rsidRPr="004B2DB8" w14:paraId="03E85B92"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55FDEA73" w14:textId="77777777" w:rsidR="0066279C" w:rsidRPr="00643393" w:rsidRDefault="0066279C" w:rsidP="005349C0">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Iestāžu kalpotāji</w:t>
            </w:r>
          </w:p>
        </w:tc>
        <w:tc>
          <w:tcPr>
            <w:tcW w:w="680" w:type="dxa"/>
            <w:noWrap/>
            <w:vAlign w:val="center"/>
          </w:tcPr>
          <w:p w14:paraId="09182B1A"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0,6</w:t>
            </w:r>
          </w:p>
        </w:tc>
        <w:tc>
          <w:tcPr>
            <w:tcW w:w="680" w:type="dxa"/>
            <w:noWrap/>
            <w:vAlign w:val="center"/>
          </w:tcPr>
          <w:p w14:paraId="7F3A3871"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1,4</w:t>
            </w:r>
          </w:p>
        </w:tc>
        <w:tc>
          <w:tcPr>
            <w:tcW w:w="680" w:type="dxa"/>
            <w:noWrap/>
            <w:vAlign w:val="center"/>
          </w:tcPr>
          <w:p w14:paraId="7794497F"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0,1</w:t>
            </w:r>
          </w:p>
        </w:tc>
        <w:tc>
          <w:tcPr>
            <w:tcW w:w="680" w:type="dxa"/>
            <w:noWrap/>
            <w:vAlign w:val="center"/>
          </w:tcPr>
          <w:p w14:paraId="0ED4967C"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-0,8</w:t>
            </w:r>
          </w:p>
        </w:tc>
        <w:tc>
          <w:tcPr>
            <w:tcW w:w="680" w:type="dxa"/>
            <w:noWrap/>
            <w:vAlign w:val="center"/>
          </w:tcPr>
          <w:p w14:paraId="0C9DC494"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1B8B17B7"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0,4</w:t>
            </w:r>
          </w:p>
        </w:tc>
        <w:tc>
          <w:tcPr>
            <w:tcW w:w="680" w:type="dxa"/>
            <w:noWrap/>
            <w:vAlign w:val="center"/>
          </w:tcPr>
          <w:p w14:paraId="421998ED"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2,8</w:t>
            </w:r>
          </w:p>
        </w:tc>
        <w:tc>
          <w:tcPr>
            <w:tcW w:w="680" w:type="dxa"/>
            <w:noWrap/>
            <w:vAlign w:val="center"/>
          </w:tcPr>
          <w:p w14:paraId="6B0CA6F1"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-0,3</w:t>
            </w:r>
          </w:p>
        </w:tc>
        <w:tc>
          <w:tcPr>
            <w:tcW w:w="683" w:type="dxa"/>
            <w:noWrap/>
            <w:vAlign w:val="center"/>
          </w:tcPr>
          <w:p w14:paraId="5F6D6C80"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4,2</w:t>
            </w:r>
          </w:p>
        </w:tc>
      </w:tr>
      <w:tr w:rsidR="0066279C" w:rsidRPr="004B2DB8" w14:paraId="6BA5B15A"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040DA731" w14:textId="77777777" w:rsidR="0066279C" w:rsidRPr="00643393" w:rsidRDefault="0066279C" w:rsidP="005349C0">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Pakalpojumu un tirdzniecības darbinieki</w:t>
            </w:r>
          </w:p>
        </w:tc>
        <w:tc>
          <w:tcPr>
            <w:tcW w:w="680" w:type="dxa"/>
            <w:noWrap/>
            <w:vAlign w:val="center"/>
          </w:tcPr>
          <w:p w14:paraId="1AD3AA4A"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0,5</w:t>
            </w:r>
          </w:p>
        </w:tc>
        <w:tc>
          <w:tcPr>
            <w:tcW w:w="680" w:type="dxa"/>
            <w:noWrap/>
            <w:vAlign w:val="center"/>
          </w:tcPr>
          <w:p w14:paraId="4538A828"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-0,1</w:t>
            </w:r>
          </w:p>
        </w:tc>
        <w:tc>
          <w:tcPr>
            <w:tcW w:w="680" w:type="dxa"/>
            <w:noWrap/>
            <w:vAlign w:val="center"/>
          </w:tcPr>
          <w:p w14:paraId="2997E71E"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438A228B"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-0,2</w:t>
            </w:r>
          </w:p>
        </w:tc>
        <w:tc>
          <w:tcPr>
            <w:tcW w:w="680" w:type="dxa"/>
            <w:noWrap/>
            <w:vAlign w:val="center"/>
          </w:tcPr>
          <w:p w14:paraId="255C14A0"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2,6</w:t>
            </w:r>
          </w:p>
        </w:tc>
        <w:tc>
          <w:tcPr>
            <w:tcW w:w="680" w:type="dxa"/>
            <w:noWrap/>
            <w:vAlign w:val="center"/>
          </w:tcPr>
          <w:p w14:paraId="589007B4"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0,6</w:t>
            </w:r>
          </w:p>
        </w:tc>
        <w:tc>
          <w:tcPr>
            <w:tcW w:w="680" w:type="dxa"/>
            <w:noWrap/>
            <w:vAlign w:val="center"/>
          </w:tcPr>
          <w:p w14:paraId="28846C78"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1,9</w:t>
            </w:r>
          </w:p>
        </w:tc>
        <w:tc>
          <w:tcPr>
            <w:tcW w:w="680" w:type="dxa"/>
            <w:noWrap/>
            <w:vAlign w:val="center"/>
          </w:tcPr>
          <w:p w14:paraId="7B41F688"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6,6</w:t>
            </w:r>
          </w:p>
        </w:tc>
        <w:tc>
          <w:tcPr>
            <w:tcW w:w="683" w:type="dxa"/>
            <w:noWrap/>
            <w:vAlign w:val="center"/>
          </w:tcPr>
          <w:p w14:paraId="2C9BAF6D"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11,9</w:t>
            </w:r>
          </w:p>
        </w:tc>
      </w:tr>
      <w:tr w:rsidR="006A3666" w:rsidRPr="004B2DB8" w14:paraId="369BA66E"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4E91B1D8" w14:textId="77777777" w:rsidR="0066279C" w:rsidRPr="00643393" w:rsidRDefault="0066279C" w:rsidP="005349C0">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Kvalificēti lauksaimniecības darbinieki</w:t>
            </w:r>
          </w:p>
        </w:tc>
        <w:tc>
          <w:tcPr>
            <w:tcW w:w="680" w:type="dxa"/>
            <w:noWrap/>
            <w:vAlign w:val="center"/>
          </w:tcPr>
          <w:p w14:paraId="466097E4"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0,4</w:t>
            </w:r>
          </w:p>
        </w:tc>
        <w:tc>
          <w:tcPr>
            <w:tcW w:w="680" w:type="dxa"/>
            <w:noWrap/>
            <w:vAlign w:val="center"/>
          </w:tcPr>
          <w:p w14:paraId="02AFD94D"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0,5</w:t>
            </w:r>
          </w:p>
        </w:tc>
        <w:tc>
          <w:tcPr>
            <w:tcW w:w="680" w:type="dxa"/>
            <w:noWrap/>
            <w:vAlign w:val="center"/>
          </w:tcPr>
          <w:p w14:paraId="2F301FC9"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6440406E"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0FF4A7B6"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37D2AC3D"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0" w:type="dxa"/>
            <w:noWrap/>
            <w:vAlign w:val="center"/>
          </w:tcPr>
          <w:p w14:paraId="28265FB3"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0,2</w:t>
            </w:r>
          </w:p>
        </w:tc>
        <w:tc>
          <w:tcPr>
            <w:tcW w:w="680" w:type="dxa"/>
            <w:noWrap/>
            <w:vAlign w:val="center"/>
          </w:tcPr>
          <w:p w14:paraId="63323110"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0,0</w:t>
            </w:r>
          </w:p>
        </w:tc>
        <w:tc>
          <w:tcPr>
            <w:tcW w:w="683" w:type="dxa"/>
            <w:noWrap/>
            <w:vAlign w:val="center"/>
          </w:tcPr>
          <w:p w14:paraId="17912741"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1,1</w:t>
            </w:r>
          </w:p>
        </w:tc>
      </w:tr>
      <w:tr w:rsidR="0066279C" w:rsidRPr="004B2DB8" w14:paraId="096F1776"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0C4C9E2F" w14:textId="77777777" w:rsidR="0066279C" w:rsidRPr="00643393" w:rsidRDefault="0066279C" w:rsidP="005349C0">
            <w:pPr>
              <w:spacing w:before="40" w:after="40"/>
              <w:rPr>
                <w:rFonts w:ascii="Segoe UI Light" w:eastAsia="Times New Roman" w:hAnsi="Segoe UI Light" w:cs="Segoe UI Light"/>
                <w:b w:val="0"/>
                <w:sz w:val="16"/>
                <w:szCs w:val="16"/>
              </w:rPr>
            </w:pPr>
            <w:r w:rsidRPr="00643393">
              <w:rPr>
                <w:rFonts w:ascii="Segoe UI Light" w:eastAsia="Times New Roman" w:hAnsi="Segoe UI Light"/>
                <w:b w:val="0"/>
                <w:sz w:val="16"/>
                <w:szCs w:val="16"/>
              </w:rPr>
              <w:t>Kvalificēti strādnieki</w:t>
            </w:r>
          </w:p>
        </w:tc>
        <w:tc>
          <w:tcPr>
            <w:tcW w:w="680" w:type="dxa"/>
            <w:noWrap/>
            <w:vAlign w:val="center"/>
          </w:tcPr>
          <w:p w14:paraId="725D2AD7"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-0,9</w:t>
            </w:r>
          </w:p>
        </w:tc>
        <w:tc>
          <w:tcPr>
            <w:tcW w:w="680" w:type="dxa"/>
            <w:noWrap/>
            <w:vAlign w:val="center"/>
          </w:tcPr>
          <w:p w14:paraId="7B417C07"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-1,2</w:t>
            </w:r>
          </w:p>
        </w:tc>
        <w:tc>
          <w:tcPr>
            <w:tcW w:w="680" w:type="dxa"/>
            <w:noWrap/>
            <w:vAlign w:val="center"/>
          </w:tcPr>
          <w:p w14:paraId="1A40178D"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-0,2</w:t>
            </w:r>
          </w:p>
        </w:tc>
        <w:tc>
          <w:tcPr>
            <w:tcW w:w="680" w:type="dxa"/>
            <w:noWrap/>
            <w:vAlign w:val="center"/>
          </w:tcPr>
          <w:p w14:paraId="27D42B34"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-1,2</w:t>
            </w:r>
          </w:p>
        </w:tc>
        <w:tc>
          <w:tcPr>
            <w:tcW w:w="680" w:type="dxa"/>
            <w:noWrap/>
            <w:vAlign w:val="center"/>
          </w:tcPr>
          <w:p w14:paraId="118A3F76"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0,4</w:t>
            </w:r>
          </w:p>
        </w:tc>
        <w:tc>
          <w:tcPr>
            <w:tcW w:w="680" w:type="dxa"/>
            <w:noWrap/>
            <w:vAlign w:val="center"/>
          </w:tcPr>
          <w:p w14:paraId="7FB155F9"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0,4</w:t>
            </w:r>
          </w:p>
        </w:tc>
        <w:tc>
          <w:tcPr>
            <w:tcW w:w="680" w:type="dxa"/>
            <w:noWrap/>
            <w:vAlign w:val="center"/>
          </w:tcPr>
          <w:p w14:paraId="513C35EE"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1,0</w:t>
            </w:r>
          </w:p>
        </w:tc>
        <w:tc>
          <w:tcPr>
            <w:tcW w:w="680" w:type="dxa"/>
            <w:noWrap/>
            <w:vAlign w:val="center"/>
          </w:tcPr>
          <w:p w14:paraId="0DEDCAB3"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-1,1</w:t>
            </w:r>
          </w:p>
        </w:tc>
        <w:tc>
          <w:tcPr>
            <w:tcW w:w="683" w:type="dxa"/>
            <w:noWrap/>
            <w:vAlign w:val="center"/>
          </w:tcPr>
          <w:p w14:paraId="7685E354" w14:textId="77777777" w:rsidR="0066279C" w:rsidRPr="004B2DB8"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-2,8</w:t>
            </w:r>
          </w:p>
        </w:tc>
      </w:tr>
      <w:tr w:rsidR="006A3666" w:rsidRPr="004B2DB8" w14:paraId="53581B32"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05E3CCC8" w14:textId="77777777" w:rsidR="0066279C" w:rsidRPr="00643393" w:rsidRDefault="0066279C" w:rsidP="005349C0">
            <w:pPr>
              <w:spacing w:before="40" w:after="40"/>
              <w:rPr>
                <w:rFonts w:ascii="Segoe UI Light" w:eastAsia="Times New Roman" w:hAnsi="Segoe UI Light"/>
                <w:b w:val="0"/>
                <w:sz w:val="16"/>
                <w:szCs w:val="16"/>
              </w:rPr>
            </w:pPr>
            <w:r w:rsidRPr="00643393">
              <w:rPr>
                <w:rFonts w:ascii="Segoe UI Light" w:eastAsia="Times New Roman" w:hAnsi="Segoe UI Light"/>
                <w:b w:val="0"/>
                <w:sz w:val="16"/>
                <w:szCs w:val="16"/>
              </w:rPr>
              <w:t>Iekārtu un mašīnu operatori</w:t>
            </w:r>
          </w:p>
        </w:tc>
        <w:tc>
          <w:tcPr>
            <w:tcW w:w="680" w:type="dxa"/>
            <w:noWrap/>
            <w:vAlign w:val="center"/>
          </w:tcPr>
          <w:p w14:paraId="0F33D001"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-1,2</w:t>
            </w:r>
          </w:p>
        </w:tc>
        <w:tc>
          <w:tcPr>
            <w:tcW w:w="680" w:type="dxa"/>
            <w:noWrap/>
            <w:vAlign w:val="center"/>
          </w:tcPr>
          <w:p w14:paraId="51BF6472"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0,6</w:t>
            </w:r>
          </w:p>
        </w:tc>
        <w:tc>
          <w:tcPr>
            <w:tcW w:w="680" w:type="dxa"/>
            <w:noWrap/>
            <w:vAlign w:val="center"/>
          </w:tcPr>
          <w:p w14:paraId="367D3817"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-0,4</w:t>
            </w:r>
          </w:p>
        </w:tc>
        <w:tc>
          <w:tcPr>
            <w:tcW w:w="680" w:type="dxa"/>
            <w:noWrap/>
            <w:vAlign w:val="center"/>
          </w:tcPr>
          <w:p w14:paraId="7CDD998D"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-1,2</w:t>
            </w:r>
          </w:p>
        </w:tc>
        <w:tc>
          <w:tcPr>
            <w:tcW w:w="680" w:type="dxa"/>
            <w:noWrap/>
            <w:vAlign w:val="center"/>
          </w:tcPr>
          <w:p w14:paraId="5C58B633"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0,6</w:t>
            </w:r>
          </w:p>
        </w:tc>
        <w:tc>
          <w:tcPr>
            <w:tcW w:w="680" w:type="dxa"/>
            <w:noWrap/>
            <w:vAlign w:val="center"/>
          </w:tcPr>
          <w:p w14:paraId="5252A5A8"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3,4</w:t>
            </w:r>
          </w:p>
        </w:tc>
        <w:tc>
          <w:tcPr>
            <w:tcW w:w="680" w:type="dxa"/>
            <w:noWrap/>
            <w:vAlign w:val="center"/>
          </w:tcPr>
          <w:p w14:paraId="47AA03C9"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-0,7</w:t>
            </w:r>
          </w:p>
        </w:tc>
        <w:tc>
          <w:tcPr>
            <w:tcW w:w="680" w:type="dxa"/>
            <w:noWrap/>
            <w:vAlign w:val="center"/>
          </w:tcPr>
          <w:p w14:paraId="6060031E"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-1,9</w:t>
            </w:r>
          </w:p>
        </w:tc>
        <w:tc>
          <w:tcPr>
            <w:tcW w:w="683" w:type="dxa"/>
            <w:noWrap/>
            <w:vAlign w:val="center"/>
          </w:tcPr>
          <w:p w14:paraId="5E649294" w14:textId="77777777" w:rsidR="0066279C" w:rsidRPr="004B2DB8"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val="en-US"/>
              </w:rPr>
            </w:pPr>
            <w:r>
              <w:rPr>
                <w:rFonts w:ascii="Segoe UI Light" w:eastAsia="Times New Roman" w:hAnsi="Segoe UI Light" w:cs="Segoe UI Light"/>
                <w:color w:val="000000"/>
                <w:sz w:val="16"/>
                <w:szCs w:val="16"/>
                <w:lang w:val="en-US"/>
              </w:rPr>
              <w:t>-0,7</w:t>
            </w:r>
          </w:p>
        </w:tc>
      </w:tr>
      <w:tr w:rsidR="0066279C" w:rsidRPr="004B2DB8" w14:paraId="62BC0111" w14:textId="77777777" w:rsidTr="005F536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7618286C" w14:textId="77777777" w:rsidR="0066279C" w:rsidRPr="00643393" w:rsidRDefault="0066279C" w:rsidP="005349C0">
            <w:pPr>
              <w:spacing w:before="40" w:after="40"/>
              <w:rPr>
                <w:rFonts w:ascii="Segoe UI Light" w:eastAsia="Times New Roman" w:hAnsi="Segoe UI Light"/>
                <w:sz w:val="16"/>
                <w:szCs w:val="16"/>
              </w:rPr>
            </w:pPr>
            <w:r w:rsidRPr="00643393">
              <w:rPr>
                <w:rFonts w:ascii="Segoe UI Light" w:eastAsia="Times New Roman" w:hAnsi="Segoe UI Light"/>
                <w:bCs w:val="0"/>
                <w:sz w:val="16"/>
                <w:szCs w:val="16"/>
              </w:rPr>
              <w:t>Zemas kvalifikācijas profesijas</w:t>
            </w:r>
          </w:p>
        </w:tc>
        <w:tc>
          <w:tcPr>
            <w:tcW w:w="680" w:type="dxa"/>
            <w:noWrap/>
            <w:vAlign w:val="center"/>
          </w:tcPr>
          <w:p w14:paraId="17D3C095" w14:textId="77777777" w:rsidR="0066279C" w:rsidRPr="006F6A6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0,5</w:t>
            </w:r>
          </w:p>
        </w:tc>
        <w:tc>
          <w:tcPr>
            <w:tcW w:w="680" w:type="dxa"/>
            <w:noWrap/>
            <w:vAlign w:val="center"/>
          </w:tcPr>
          <w:p w14:paraId="318FC5A8" w14:textId="77777777" w:rsidR="0066279C" w:rsidRPr="006F6A6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0,3</w:t>
            </w:r>
          </w:p>
        </w:tc>
        <w:tc>
          <w:tcPr>
            <w:tcW w:w="680" w:type="dxa"/>
            <w:noWrap/>
            <w:vAlign w:val="center"/>
          </w:tcPr>
          <w:p w14:paraId="739E9A57" w14:textId="77777777" w:rsidR="0066279C" w:rsidRPr="006F6A6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-1,3</w:t>
            </w:r>
          </w:p>
        </w:tc>
        <w:tc>
          <w:tcPr>
            <w:tcW w:w="680" w:type="dxa"/>
            <w:noWrap/>
            <w:vAlign w:val="center"/>
          </w:tcPr>
          <w:p w14:paraId="2693F36B" w14:textId="77777777" w:rsidR="0066279C" w:rsidRPr="006F6A6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1,3</w:t>
            </w:r>
          </w:p>
        </w:tc>
        <w:tc>
          <w:tcPr>
            <w:tcW w:w="680" w:type="dxa"/>
            <w:noWrap/>
            <w:vAlign w:val="center"/>
          </w:tcPr>
          <w:p w14:paraId="14EE146F" w14:textId="77777777" w:rsidR="0066279C" w:rsidRPr="006F6A6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-0,6</w:t>
            </w:r>
          </w:p>
        </w:tc>
        <w:tc>
          <w:tcPr>
            <w:tcW w:w="680" w:type="dxa"/>
            <w:noWrap/>
            <w:vAlign w:val="center"/>
          </w:tcPr>
          <w:p w14:paraId="0C92A185" w14:textId="77777777" w:rsidR="0066279C" w:rsidRPr="006F6A6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0,5</w:t>
            </w:r>
          </w:p>
        </w:tc>
        <w:tc>
          <w:tcPr>
            <w:tcW w:w="680" w:type="dxa"/>
            <w:noWrap/>
            <w:vAlign w:val="center"/>
          </w:tcPr>
          <w:p w14:paraId="704B31D2" w14:textId="77777777" w:rsidR="0066279C" w:rsidRPr="006F6A6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1,1</w:t>
            </w:r>
          </w:p>
        </w:tc>
        <w:tc>
          <w:tcPr>
            <w:tcW w:w="680" w:type="dxa"/>
            <w:noWrap/>
            <w:vAlign w:val="center"/>
          </w:tcPr>
          <w:p w14:paraId="0FC34293" w14:textId="77777777" w:rsidR="0066279C" w:rsidRPr="006F6A6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1,0</w:t>
            </w:r>
          </w:p>
        </w:tc>
        <w:tc>
          <w:tcPr>
            <w:tcW w:w="683" w:type="dxa"/>
            <w:noWrap/>
            <w:vAlign w:val="center"/>
          </w:tcPr>
          <w:p w14:paraId="50DDA97D" w14:textId="77777777" w:rsidR="0066279C" w:rsidRPr="006F6A64" w:rsidRDefault="0066279C" w:rsidP="005349C0">
            <w:pPr>
              <w:spacing w:before="40" w:after="40"/>
              <w:jc w:val="center"/>
              <w:cnfStyle w:val="000000100000" w:firstRow="0" w:lastRow="0" w:firstColumn="0" w:lastColumn="0" w:oddVBand="0" w:evenVBand="0" w:oddHBand="1"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2,8</w:t>
            </w:r>
          </w:p>
        </w:tc>
      </w:tr>
      <w:tr w:rsidR="006A3666" w:rsidRPr="004B2DB8" w14:paraId="7BD76678" w14:textId="77777777" w:rsidTr="005F5363">
        <w:trPr>
          <w:trHeight w:val="221"/>
        </w:trPr>
        <w:tc>
          <w:tcPr>
            <w:cnfStyle w:val="001000000000" w:firstRow="0" w:lastRow="0" w:firstColumn="1" w:lastColumn="0" w:oddVBand="0" w:evenVBand="0" w:oddHBand="0" w:evenHBand="0" w:firstRowFirstColumn="0" w:firstRowLastColumn="0" w:lastRowFirstColumn="0" w:lastRowLastColumn="0"/>
            <w:tcW w:w="2948" w:type="dxa"/>
            <w:noWrap/>
          </w:tcPr>
          <w:p w14:paraId="6181CF27" w14:textId="77777777" w:rsidR="0066279C" w:rsidRPr="00643393" w:rsidRDefault="0066279C" w:rsidP="005349C0">
            <w:pPr>
              <w:spacing w:before="40" w:after="40"/>
              <w:rPr>
                <w:rFonts w:ascii="Segoe UI Light" w:eastAsia="Times New Roman" w:hAnsi="Segoe UI Light"/>
                <w:sz w:val="16"/>
                <w:szCs w:val="16"/>
              </w:rPr>
            </w:pPr>
            <w:r w:rsidRPr="00643393">
              <w:rPr>
                <w:rFonts w:ascii="Segoe UI Light" w:eastAsia="Arial Unicode MS" w:hAnsi="Segoe UI Light"/>
                <w:sz w:val="16"/>
                <w:szCs w:val="16"/>
              </w:rPr>
              <w:t>Kopā</w:t>
            </w:r>
          </w:p>
        </w:tc>
        <w:tc>
          <w:tcPr>
            <w:tcW w:w="680" w:type="dxa"/>
            <w:noWrap/>
            <w:vAlign w:val="center"/>
          </w:tcPr>
          <w:p w14:paraId="4BF4ED2C" w14:textId="77777777" w:rsidR="0066279C" w:rsidRPr="006F6A6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0,8</w:t>
            </w:r>
          </w:p>
        </w:tc>
        <w:tc>
          <w:tcPr>
            <w:tcW w:w="680" w:type="dxa"/>
            <w:noWrap/>
            <w:vAlign w:val="center"/>
          </w:tcPr>
          <w:p w14:paraId="0E3BA14E" w14:textId="77777777" w:rsidR="0066279C" w:rsidRPr="006F6A6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2,5</w:t>
            </w:r>
          </w:p>
        </w:tc>
        <w:tc>
          <w:tcPr>
            <w:tcW w:w="680" w:type="dxa"/>
            <w:noWrap/>
            <w:vAlign w:val="center"/>
          </w:tcPr>
          <w:p w14:paraId="20A7EB87" w14:textId="77777777" w:rsidR="0066279C" w:rsidRPr="006F6A6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-1,3</w:t>
            </w:r>
          </w:p>
        </w:tc>
        <w:tc>
          <w:tcPr>
            <w:tcW w:w="680" w:type="dxa"/>
            <w:noWrap/>
            <w:vAlign w:val="center"/>
          </w:tcPr>
          <w:p w14:paraId="65036ABD" w14:textId="77777777" w:rsidR="0066279C" w:rsidRPr="006F6A6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1,3</w:t>
            </w:r>
          </w:p>
        </w:tc>
        <w:tc>
          <w:tcPr>
            <w:tcW w:w="680" w:type="dxa"/>
            <w:noWrap/>
            <w:vAlign w:val="center"/>
          </w:tcPr>
          <w:p w14:paraId="4F22C68D" w14:textId="77777777" w:rsidR="0066279C" w:rsidRPr="006F6A6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-0,6</w:t>
            </w:r>
          </w:p>
        </w:tc>
        <w:tc>
          <w:tcPr>
            <w:tcW w:w="680" w:type="dxa"/>
            <w:noWrap/>
            <w:vAlign w:val="center"/>
          </w:tcPr>
          <w:p w14:paraId="0427ECAA" w14:textId="77777777" w:rsidR="0066279C" w:rsidRPr="006F6A6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0,5</w:t>
            </w:r>
          </w:p>
        </w:tc>
        <w:tc>
          <w:tcPr>
            <w:tcW w:w="680" w:type="dxa"/>
            <w:noWrap/>
            <w:vAlign w:val="center"/>
          </w:tcPr>
          <w:p w14:paraId="0AAED648" w14:textId="77777777" w:rsidR="0066279C" w:rsidRPr="006F6A6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1,1</w:t>
            </w:r>
          </w:p>
        </w:tc>
        <w:tc>
          <w:tcPr>
            <w:tcW w:w="680" w:type="dxa"/>
            <w:noWrap/>
            <w:vAlign w:val="center"/>
          </w:tcPr>
          <w:p w14:paraId="705F352F" w14:textId="77777777" w:rsidR="0066279C" w:rsidRPr="006F6A6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1,0</w:t>
            </w:r>
          </w:p>
        </w:tc>
        <w:tc>
          <w:tcPr>
            <w:tcW w:w="683" w:type="dxa"/>
            <w:noWrap/>
            <w:vAlign w:val="center"/>
          </w:tcPr>
          <w:p w14:paraId="0F8852A6" w14:textId="77777777" w:rsidR="0066279C" w:rsidRPr="006F6A64" w:rsidRDefault="0066279C" w:rsidP="005349C0">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val="en-US"/>
              </w:rPr>
            </w:pPr>
            <w:r>
              <w:rPr>
                <w:rFonts w:ascii="Segoe UI Light" w:eastAsia="Times New Roman" w:hAnsi="Segoe UI Light" w:cs="Segoe UI Light"/>
                <w:b/>
                <w:color w:val="000000"/>
                <w:sz w:val="16"/>
                <w:szCs w:val="16"/>
                <w:lang w:val="en-US"/>
              </w:rPr>
              <w:t>20,2</w:t>
            </w:r>
          </w:p>
        </w:tc>
      </w:tr>
    </w:tbl>
    <w:p w14:paraId="11830454" w14:textId="77777777" w:rsidR="0066279C" w:rsidRPr="00C46045" w:rsidRDefault="0066279C" w:rsidP="00867A48">
      <w:pPr>
        <w:spacing w:before="120" w:after="120"/>
        <w:jc w:val="both"/>
        <w:rPr>
          <w:iCs/>
          <w:sz w:val="16"/>
          <w:szCs w:val="16"/>
        </w:rPr>
      </w:pPr>
      <w:bookmarkStart w:id="24" w:name="_Toc390350663"/>
      <w:bookmarkStart w:id="25" w:name="_Toc388618386"/>
      <w:bookmarkEnd w:id="24"/>
      <w:bookmarkEnd w:id="25"/>
      <w:r w:rsidRPr="001F4CF6">
        <w:rPr>
          <w:sz w:val="16"/>
          <w:szCs w:val="16"/>
        </w:rPr>
        <w:t xml:space="preserve">Avots: </w:t>
      </w:r>
      <w:r w:rsidRPr="001F4CF6">
        <w:rPr>
          <w:iCs/>
          <w:sz w:val="16"/>
          <w:szCs w:val="16"/>
        </w:rPr>
        <w:t>CSP</w:t>
      </w:r>
    </w:p>
    <w:p w14:paraId="2D1867C5" w14:textId="2A2D5CCA" w:rsidR="0066279C" w:rsidRPr="00F14377" w:rsidRDefault="0066279C" w:rsidP="00867A48">
      <w:pPr>
        <w:spacing w:after="120"/>
        <w:jc w:val="both"/>
      </w:pPr>
    </w:p>
    <w:p w14:paraId="1C51C191" w14:textId="7E1A0D5C" w:rsidR="0066279C" w:rsidRPr="00E76106" w:rsidRDefault="0066279C" w:rsidP="00867A4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jc w:val="right"/>
        <w:rPr>
          <w:rFonts w:ascii="Segoe UI Light" w:hAnsi="Segoe UI Light"/>
          <w:b/>
          <w:sz w:val="16"/>
          <w:szCs w:val="16"/>
        </w:rPr>
      </w:pPr>
      <w:r>
        <w:rPr>
          <w:rFonts w:ascii="Segoe UI Light" w:hAnsi="Segoe UI Light"/>
          <w:b/>
          <w:sz w:val="16"/>
          <w:szCs w:val="16"/>
        </w:rPr>
        <w:t>2023.</w:t>
      </w:r>
      <w:r w:rsidR="0080669C">
        <w:rPr>
          <w:rFonts w:ascii="Segoe UI Light" w:hAnsi="Segoe UI Light"/>
          <w:b/>
          <w:sz w:val="16"/>
          <w:szCs w:val="16"/>
        </w:rPr>
        <w:t>gad</w:t>
      </w:r>
      <w:r>
        <w:rPr>
          <w:rFonts w:ascii="Segoe UI Light" w:hAnsi="Segoe UI Light"/>
          <w:b/>
          <w:sz w:val="16"/>
          <w:szCs w:val="16"/>
        </w:rPr>
        <w:t>a d</w:t>
      </w:r>
      <w:r w:rsidRPr="00E76106">
        <w:rPr>
          <w:rFonts w:ascii="Segoe UI Light" w:hAnsi="Segoe UI Light"/>
          <w:b/>
          <w:sz w:val="16"/>
          <w:szCs w:val="16"/>
        </w:rPr>
        <w:t>arbaspēka piepras</w:t>
      </w:r>
      <w:r>
        <w:rPr>
          <w:rFonts w:ascii="Segoe UI Light" w:hAnsi="Segoe UI Light"/>
          <w:b/>
          <w:sz w:val="16"/>
          <w:szCs w:val="16"/>
        </w:rPr>
        <w:t>ījuma salīdzinājums ar 2021.</w:t>
      </w:r>
      <w:r w:rsidR="0080669C">
        <w:rPr>
          <w:rFonts w:ascii="Segoe UI Light" w:hAnsi="Segoe UI Light"/>
          <w:b/>
          <w:sz w:val="16"/>
          <w:szCs w:val="16"/>
        </w:rPr>
        <w:t>gad</w:t>
      </w:r>
      <w:r>
        <w:rPr>
          <w:rFonts w:ascii="Segoe UI Light" w:hAnsi="Segoe UI Light"/>
          <w:b/>
          <w:sz w:val="16"/>
          <w:szCs w:val="16"/>
        </w:rPr>
        <w:t>a darbaspēka pieprasījumu Latvijā</w:t>
      </w:r>
    </w:p>
    <w:p w14:paraId="077B98B8" w14:textId="54A70B7E" w:rsidR="0066279C" w:rsidRPr="00E76106" w:rsidRDefault="0066279C" w:rsidP="002963A9">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6"/>
        </w:rPr>
      </w:pPr>
      <w:r w:rsidRPr="00E76106">
        <w:rPr>
          <w:rFonts w:ascii="Segoe UI Light" w:hAnsi="Segoe UI Light"/>
          <w:bCs/>
          <w:sz w:val="16"/>
          <w:szCs w:val="16"/>
        </w:rPr>
        <w:t>202</w:t>
      </w:r>
      <w:r>
        <w:rPr>
          <w:rFonts w:ascii="Segoe UI Light" w:hAnsi="Segoe UI Light"/>
          <w:bCs/>
          <w:sz w:val="16"/>
          <w:szCs w:val="16"/>
        </w:rPr>
        <w:t>3.</w:t>
      </w:r>
      <w:r w:rsidR="0080669C">
        <w:rPr>
          <w:rFonts w:ascii="Segoe UI Light" w:hAnsi="Segoe UI Light"/>
          <w:bCs/>
          <w:sz w:val="16"/>
          <w:szCs w:val="16"/>
        </w:rPr>
        <w:t>gad</w:t>
      </w:r>
      <w:r>
        <w:rPr>
          <w:rFonts w:ascii="Segoe UI Light" w:hAnsi="Segoe UI Light"/>
          <w:bCs/>
          <w:sz w:val="16"/>
          <w:szCs w:val="16"/>
        </w:rPr>
        <w:t xml:space="preserve">a </w:t>
      </w:r>
      <w:r w:rsidRPr="00E76106">
        <w:rPr>
          <w:rFonts w:ascii="Segoe UI Light" w:hAnsi="Segoe UI Light"/>
          <w:bCs/>
          <w:sz w:val="16"/>
          <w:szCs w:val="16"/>
        </w:rPr>
        <w:t xml:space="preserve">lielākais darbavietu pieprasījuma samazinājums vērojams apstrādes rūpniecībā, izmitināšanas un ēdināšanas pakalpojumos, mazumtirdzniecība, izņemot automobiļus un motociklus, būvniecībā un vairumtirdzniecībā. Savukārt vislielākais darbaspēka pieprasījums ir vērojams veselības un sociālā aprūpē, sociālā aprūpe bez izmitināšanas, izmitināšana un ēdināšanas pakalpojumi. Tāpat darbaspēka pieprasījums ir vērojams dator programmēšanā, IT pakalpojumu un gaisa transporta nozarēs. </w:t>
      </w:r>
      <w:r w:rsidR="00034CD6" w:rsidRPr="00E76106">
        <w:rPr>
          <w:rFonts w:ascii="Segoe UI Light" w:hAnsi="Segoe UI Light"/>
          <w:bCs/>
          <w:sz w:val="16"/>
          <w:szCs w:val="16"/>
        </w:rPr>
        <w:t>Covid</w:t>
      </w:r>
      <w:r w:rsidRPr="00E76106">
        <w:rPr>
          <w:rFonts w:ascii="Segoe UI Light" w:hAnsi="Segoe UI Light"/>
          <w:bCs/>
          <w:sz w:val="16"/>
          <w:szCs w:val="16"/>
        </w:rPr>
        <w:t>-19 pandēmija ietekmēja izmitināšanas un ēdināšanas pakalpojumu, kā arī gaisa transporta un atpūtas nozares, un 2023.</w:t>
      </w:r>
      <w:r w:rsidR="0080669C">
        <w:rPr>
          <w:rFonts w:ascii="Segoe UI Light" w:hAnsi="Segoe UI Light"/>
          <w:bCs/>
          <w:sz w:val="16"/>
          <w:szCs w:val="16"/>
        </w:rPr>
        <w:t>gad</w:t>
      </w:r>
      <w:r w:rsidRPr="00E76106">
        <w:rPr>
          <w:rFonts w:ascii="Segoe UI Light" w:hAnsi="Segoe UI Light"/>
          <w:bCs/>
          <w:sz w:val="16"/>
          <w:szCs w:val="16"/>
        </w:rPr>
        <w:t>a beigās ir vērojama šo nozaru atkopšanās.</w:t>
      </w:r>
    </w:p>
    <w:p w14:paraId="059A4F7C" w14:textId="77777777" w:rsidR="002963A9" w:rsidRPr="00E76106" w:rsidRDefault="002963A9" w:rsidP="002963A9">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6"/>
        </w:rPr>
      </w:pPr>
    </w:p>
    <w:p w14:paraId="787277B4" w14:textId="554B87D5" w:rsidR="0066279C" w:rsidRPr="002963A9" w:rsidRDefault="0066279C" w:rsidP="00867A4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center"/>
        <w:rPr>
          <w:rFonts w:ascii="Segoe UI Light" w:hAnsi="Segoe UI Light"/>
          <w:sz w:val="16"/>
          <w:szCs w:val="18"/>
        </w:rPr>
      </w:pPr>
      <w:r w:rsidRPr="00E76106">
        <w:rPr>
          <w:rFonts w:ascii="Segoe UI Light" w:hAnsi="Segoe UI Light"/>
          <w:b/>
          <w:sz w:val="16"/>
          <w:szCs w:val="18"/>
        </w:rPr>
        <w:t>Aizņemt</w:t>
      </w:r>
      <w:r w:rsidR="00B53AC8">
        <w:rPr>
          <w:rFonts w:ascii="Segoe UI Light" w:hAnsi="Segoe UI Light"/>
          <w:b/>
          <w:sz w:val="16"/>
          <w:szCs w:val="18"/>
        </w:rPr>
        <w:t>o</w:t>
      </w:r>
      <w:r w:rsidRPr="00E76106">
        <w:rPr>
          <w:rFonts w:ascii="Segoe UI Light" w:hAnsi="Segoe UI Light"/>
          <w:b/>
          <w:sz w:val="16"/>
          <w:szCs w:val="18"/>
        </w:rPr>
        <w:t xml:space="preserve"> darbaviet</w:t>
      </w:r>
      <w:r w:rsidR="00B53AC8">
        <w:rPr>
          <w:rFonts w:ascii="Segoe UI Light" w:hAnsi="Segoe UI Light"/>
          <w:b/>
          <w:sz w:val="16"/>
          <w:szCs w:val="18"/>
        </w:rPr>
        <w:t>u</w:t>
      </w:r>
      <w:r>
        <w:rPr>
          <w:rFonts w:ascii="Segoe UI Light" w:hAnsi="Segoe UI Light"/>
          <w:b/>
          <w:sz w:val="16"/>
          <w:szCs w:val="18"/>
        </w:rPr>
        <w:t xml:space="preserve"> izmaiņas pa nozarēm</w:t>
      </w:r>
      <w:r w:rsidR="002963A9">
        <w:rPr>
          <w:rFonts w:ascii="Segoe UI Light" w:hAnsi="Segoe UI Light"/>
          <w:b/>
          <w:sz w:val="16"/>
          <w:szCs w:val="18"/>
        </w:rPr>
        <w:br/>
      </w:r>
      <w:r w:rsidRPr="002963A9">
        <w:rPr>
          <w:rFonts w:ascii="Segoe UI Light" w:hAnsi="Segoe UI Light"/>
          <w:sz w:val="16"/>
          <w:szCs w:val="18"/>
        </w:rPr>
        <w:t>2023.</w:t>
      </w:r>
      <w:r w:rsidR="0080669C" w:rsidRPr="002963A9">
        <w:rPr>
          <w:rFonts w:ascii="Segoe UI Light" w:hAnsi="Segoe UI Light"/>
          <w:sz w:val="16"/>
          <w:szCs w:val="18"/>
        </w:rPr>
        <w:t>gad</w:t>
      </w:r>
      <w:r w:rsidRPr="002963A9">
        <w:rPr>
          <w:rFonts w:ascii="Segoe UI Light" w:hAnsi="Segoe UI Light"/>
          <w:sz w:val="16"/>
          <w:szCs w:val="18"/>
        </w:rPr>
        <w:t>a 4.</w:t>
      </w:r>
      <w:r w:rsidR="0080669C" w:rsidRPr="002963A9">
        <w:rPr>
          <w:rFonts w:ascii="Segoe UI Light" w:hAnsi="Segoe UI Light"/>
          <w:bCs/>
          <w:sz w:val="16"/>
          <w:szCs w:val="18"/>
        </w:rPr>
        <w:t>ceturks</w:t>
      </w:r>
      <w:r w:rsidRPr="002963A9">
        <w:rPr>
          <w:rFonts w:ascii="Segoe UI Light" w:hAnsi="Segoe UI Light"/>
          <w:bCs/>
          <w:sz w:val="16"/>
          <w:szCs w:val="18"/>
        </w:rPr>
        <w:t>n</w:t>
      </w:r>
      <w:r w:rsidR="00B53AC8">
        <w:rPr>
          <w:rFonts w:ascii="Segoe UI Light" w:hAnsi="Segoe UI Light"/>
          <w:bCs/>
          <w:sz w:val="16"/>
          <w:szCs w:val="18"/>
        </w:rPr>
        <w:t>is</w:t>
      </w:r>
      <w:r w:rsidRPr="002963A9">
        <w:rPr>
          <w:rFonts w:ascii="Segoe UI Light" w:hAnsi="Segoe UI Light"/>
          <w:sz w:val="16"/>
          <w:szCs w:val="18"/>
        </w:rPr>
        <w:t xml:space="preserve"> pret 2021.</w:t>
      </w:r>
      <w:r w:rsidR="0080669C" w:rsidRPr="002963A9">
        <w:rPr>
          <w:rFonts w:ascii="Segoe UI Light" w:hAnsi="Segoe UI Light"/>
          <w:sz w:val="16"/>
          <w:szCs w:val="18"/>
        </w:rPr>
        <w:t>gad</w:t>
      </w:r>
      <w:r w:rsidRPr="002963A9">
        <w:rPr>
          <w:rFonts w:ascii="Segoe UI Light" w:hAnsi="Segoe UI Light"/>
          <w:sz w:val="16"/>
          <w:szCs w:val="18"/>
        </w:rPr>
        <w:t>a 4.</w:t>
      </w:r>
      <w:r w:rsidR="0080669C" w:rsidRPr="002963A9">
        <w:rPr>
          <w:rFonts w:ascii="Segoe UI Light" w:hAnsi="Segoe UI Light"/>
          <w:sz w:val="16"/>
          <w:szCs w:val="18"/>
        </w:rPr>
        <w:t>ceturks</w:t>
      </w:r>
      <w:r w:rsidRPr="002963A9">
        <w:rPr>
          <w:rFonts w:ascii="Segoe UI Light" w:hAnsi="Segoe UI Light"/>
          <w:sz w:val="16"/>
          <w:szCs w:val="18"/>
        </w:rPr>
        <w:t>ni</w:t>
      </w:r>
      <w:r w:rsidR="00B53AC8">
        <w:rPr>
          <w:rFonts w:ascii="Segoe UI Light" w:hAnsi="Segoe UI Light"/>
          <w:bCs/>
          <w:sz w:val="16"/>
          <w:szCs w:val="18"/>
        </w:rPr>
        <w:t>,</w:t>
      </w:r>
      <w:r w:rsidR="00B53AC8" w:rsidRPr="00B53AC8">
        <w:rPr>
          <w:rFonts w:ascii="Segoe UI Light" w:hAnsi="Segoe UI Light"/>
          <w:bCs/>
          <w:sz w:val="16"/>
          <w:szCs w:val="18"/>
        </w:rPr>
        <w:t xml:space="preserve"> </w:t>
      </w:r>
      <w:r w:rsidR="00B53AC8" w:rsidRPr="002963A9">
        <w:rPr>
          <w:rFonts w:ascii="Segoe UI Light" w:hAnsi="Segoe UI Light"/>
          <w:bCs/>
          <w:sz w:val="16"/>
          <w:szCs w:val="18"/>
        </w:rPr>
        <w:t>tūkstošos</w:t>
      </w:r>
    </w:p>
    <w:p w14:paraId="5A672010" w14:textId="77777777" w:rsidR="0066279C" w:rsidRPr="00195AE2" w:rsidRDefault="0066279C" w:rsidP="00B53AC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bCs/>
          <w:color w:val="000000" w:themeColor="text1"/>
          <w:sz w:val="18"/>
          <w:szCs w:val="18"/>
        </w:rPr>
      </w:pPr>
      <w:r w:rsidRPr="00195AE2">
        <w:rPr>
          <w:rFonts w:ascii="Segoe UI Light" w:hAnsi="Segoe UI Light"/>
          <w:bCs/>
          <w:noProof/>
          <w:color w:val="000000" w:themeColor="text1"/>
          <w:sz w:val="18"/>
          <w:szCs w:val="18"/>
          <w:lang w:val="en-US"/>
        </w:rPr>
        <w:drawing>
          <wp:inline distT="0" distB="0" distL="0" distR="0" wp14:anchorId="545B1275" wp14:editId="3FF516CD">
            <wp:extent cx="5580000" cy="2880000"/>
            <wp:effectExtent l="0" t="0" r="1905" b="0"/>
            <wp:docPr id="87" name="Chart 87">
              <a:extLst xmlns:a="http://schemas.openxmlformats.org/drawingml/2006/main">
                <a:ext uri="{FF2B5EF4-FFF2-40B4-BE49-F238E27FC236}">
                  <a16:creationId xmlns:a16="http://schemas.microsoft.com/office/drawing/2014/main" id="{62F47B84-0AA0-4B87-B5DF-EF69742F9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97448BF" w14:textId="7E4D9B9F" w:rsidR="00F14377" w:rsidRPr="00F14377" w:rsidRDefault="0066279C" w:rsidP="00867A4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0"/>
        <w:jc w:val="both"/>
        <w:rPr>
          <w:rFonts w:ascii="Segoe UI Light" w:hAnsi="Segoe UI Light"/>
          <w:bCs/>
          <w:color w:val="000000" w:themeColor="text1"/>
          <w:sz w:val="8"/>
          <w:szCs w:val="10"/>
        </w:rPr>
      </w:pPr>
      <w:r w:rsidRPr="00195AE2">
        <w:rPr>
          <w:rFonts w:ascii="Segoe UI Light" w:hAnsi="Segoe UI Light"/>
          <w:bCs/>
          <w:color w:val="000000" w:themeColor="text1"/>
          <w:sz w:val="12"/>
          <w:szCs w:val="12"/>
        </w:rPr>
        <w:t>Avots: CSP</w:t>
      </w:r>
    </w:p>
    <w:p w14:paraId="45A64217" w14:textId="77777777" w:rsidR="005F5363" w:rsidRDefault="005F5363">
      <w:pPr>
        <w:spacing w:after="0"/>
        <w:rPr>
          <w:szCs w:val="20"/>
        </w:rPr>
      </w:pPr>
      <w:r>
        <w:rPr>
          <w:szCs w:val="20"/>
        </w:rPr>
        <w:br w:type="page"/>
      </w:r>
    </w:p>
    <w:p w14:paraId="0B9FB367" w14:textId="7525C93E" w:rsidR="00F14377" w:rsidRPr="00F14377" w:rsidRDefault="00F14377" w:rsidP="00F14377">
      <w:pPr>
        <w:spacing w:before="120" w:after="120"/>
        <w:jc w:val="right"/>
        <w:rPr>
          <w:szCs w:val="20"/>
        </w:rPr>
      </w:pPr>
      <w:r w:rsidRPr="00F14377">
        <w:rPr>
          <w:szCs w:val="20"/>
        </w:rPr>
        <w:lastRenderedPageBreak/>
        <w:t>Ielikuma turpinājums</w:t>
      </w:r>
    </w:p>
    <w:p w14:paraId="30BE9A0C" w14:textId="500D434E" w:rsidR="0066279C" w:rsidRPr="006C2F09" w:rsidRDefault="0066279C" w:rsidP="0013603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r>
        <w:rPr>
          <w:rFonts w:ascii="Segoe UI Light" w:hAnsi="Segoe UI Light"/>
          <w:sz w:val="16"/>
          <w:szCs w:val="16"/>
        </w:rPr>
        <w:t>2023.</w:t>
      </w:r>
      <w:r w:rsidR="0080669C">
        <w:rPr>
          <w:rFonts w:ascii="Segoe UI Light" w:hAnsi="Segoe UI Light"/>
          <w:sz w:val="16"/>
          <w:szCs w:val="16"/>
        </w:rPr>
        <w:t>gad</w:t>
      </w:r>
      <w:r>
        <w:rPr>
          <w:rFonts w:ascii="Segoe UI Light" w:hAnsi="Segoe UI Light"/>
          <w:sz w:val="16"/>
          <w:szCs w:val="16"/>
        </w:rPr>
        <w:t>ā salīdzinājumā ar 2021.</w:t>
      </w:r>
      <w:r w:rsidR="0080669C">
        <w:rPr>
          <w:rFonts w:ascii="Segoe UI Light" w:hAnsi="Segoe UI Light"/>
          <w:sz w:val="16"/>
          <w:szCs w:val="16"/>
        </w:rPr>
        <w:t>gad</w:t>
      </w:r>
      <w:r>
        <w:rPr>
          <w:rFonts w:ascii="Segoe UI Light" w:hAnsi="Segoe UI Light"/>
          <w:sz w:val="16"/>
          <w:szCs w:val="16"/>
        </w:rPr>
        <w:t xml:space="preserve">u būtiski ir pieaudzis vidējās kvalifikācijas profesiju nodarbināto skaits (par </w:t>
      </w:r>
      <w:r w:rsidR="00683A96">
        <w:rPr>
          <w:rFonts w:ascii="Segoe UI Light" w:hAnsi="Segoe UI Light"/>
          <w:sz w:val="16"/>
          <w:szCs w:val="16"/>
        </w:rPr>
        <w:t xml:space="preserve">13,3 </w:t>
      </w:r>
      <w:r>
        <w:rPr>
          <w:rFonts w:ascii="Segoe UI Light" w:hAnsi="Segoe UI Light"/>
          <w:sz w:val="16"/>
          <w:szCs w:val="16"/>
        </w:rPr>
        <w:t xml:space="preserve">tūkst.), </w:t>
      </w:r>
      <w:r w:rsidR="00683A96">
        <w:rPr>
          <w:rFonts w:ascii="Segoe UI Light" w:hAnsi="Segoe UI Light"/>
          <w:sz w:val="16"/>
          <w:szCs w:val="16"/>
        </w:rPr>
        <w:t xml:space="preserve">kā arī nodarbināto skaits ir audzis gan augstākās kvalifikācijas profesijās (par 3,7 tūkst,), gan arī </w:t>
      </w:r>
      <w:r>
        <w:rPr>
          <w:rFonts w:ascii="Segoe UI Light" w:hAnsi="Segoe UI Light"/>
          <w:sz w:val="16"/>
          <w:szCs w:val="16"/>
        </w:rPr>
        <w:t>vienkārš</w:t>
      </w:r>
      <w:r w:rsidR="00683A96">
        <w:rPr>
          <w:rFonts w:ascii="Segoe UI Light" w:hAnsi="Segoe UI Light"/>
          <w:sz w:val="16"/>
          <w:szCs w:val="16"/>
        </w:rPr>
        <w:t xml:space="preserve">ās </w:t>
      </w:r>
      <w:r>
        <w:rPr>
          <w:rFonts w:ascii="Segoe UI Light" w:hAnsi="Segoe UI Light"/>
          <w:sz w:val="16"/>
          <w:szCs w:val="16"/>
        </w:rPr>
        <w:t>profesijās (par 2,</w:t>
      </w:r>
      <w:r w:rsidR="00683A96">
        <w:rPr>
          <w:rFonts w:ascii="Segoe UI Light" w:hAnsi="Segoe UI Light"/>
          <w:sz w:val="16"/>
          <w:szCs w:val="16"/>
        </w:rPr>
        <w:t>8 tūkst.</w:t>
      </w:r>
      <w:r>
        <w:rPr>
          <w:rFonts w:ascii="Segoe UI Light" w:hAnsi="Segoe UI Light"/>
          <w:sz w:val="16"/>
          <w:szCs w:val="16"/>
        </w:rPr>
        <w:t xml:space="preserve">). </w:t>
      </w:r>
    </w:p>
    <w:p w14:paraId="13A7CE90" w14:textId="77777777" w:rsidR="00843E62" w:rsidRPr="006C2F09" w:rsidRDefault="00843E62" w:rsidP="0013603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p>
    <w:p w14:paraId="1B2894E7" w14:textId="7AF81BEC" w:rsidR="0066279C" w:rsidRPr="002656ED" w:rsidRDefault="0066279C" w:rsidP="00867A4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 w:val="center" w:pos="1985"/>
          <w:tab w:val="center" w:pos="6237"/>
        </w:tabs>
        <w:spacing w:after="60"/>
        <w:jc w:val="center"/>
        <w:rPr>
          <w:rFonts w:ascii="Segoe UI Light" w:hAnsi="Segoe UI Light"/>
          <w:b/>
          <w:sz w:val="16"/>
          <w:szCs w:val="16"/>
        </w:rPr>
      </w:pPr>
      <w:r w:rsidRPr="002656ED">
        <w:rPr>
          <w:rFonts w:ascii="Segoe UI Light" w:hAnsi="Segoe UI Light"/>
          <w:b/>
          <w:sz w:val="16"/>
          <w:szCs w:val="16"/>
        </w:rPr>
        <w:t>Nodarbināto skaita izmaiņas</w:t>
      </w:r>
      <w:r w:rsidRPr="002656ED">
        <w:rPr>
          <w:rFonts w:ascii="Segoe UI Light" w:hAnsi="Segoe UI Light"/>
          <w:b/>
          <w:sz w:val="16"/>
          <w:szCs w:val="16"/>
        </w:rPr>
        <w:br/>
      </w:r>
      <w:r w:rsidRPr="00B53AC8">
        <w:rPr>
          <w:rFonts w:ascii="Segoe UI Light" w:hAnsi="Segoe UI Light"/>
          <w:sz w:val="16"/>
          <w:szCs w:val="16"/>
        </w:rPr>
        <w:t>2023.</w:t>
      </w:r>
      <w:r w:rsidR="0080669C" w:rsidRPr="00B53AC8">
        <w:rPr>
          <w:rFonts w:ascii="Segoe UI Light" w:hAnsi="Segoe UI Light"/>
          <w:sz w:val="16"/>
          <w:szCs w:val="16"/>
        </w:rPr>
        <w:t>gad</w:t>
      </w:r>
      <w:r w:rsidRPr="00B53AC8">
        <w:rPr>
          <w:rFonts w:ascii="Segoe UI Light" w:hAnsi="Segoe UI Light"/>
          <w:sz w:val="16"/>
          <w:szCs w:val="16"/>
        </w:rPr>
        <w:t>s pret 2021.</w:t>
      </w:r>
      <w:r w:rsidR="0080669C" w:rsidRPr="00B53AC8">
        <w:rPr>
          <w:rFonts w:ascii="Segoe UI Light" w:hAnsi="Segoe UI Light"/>
          <w:sz w:val="16"/>
          <w:szCs w:val="16"/>
        </w:rPr>
        <w:t>gad</w:t>
      </w:r>
      <w:r w:rsidRPr="00B53AC8">
        <w:rPr>
          <w:rFonts w:ascii="Segoe UI Light" w:hAnsi="Segoe UI Light"/>
          <w:sz w:val="16"/>
          <w:szCs w:val="16"/>
        </w:rPr>
        <w:t>u, tūkstošos</w:t>
      </w:r>
    </w:p>
    <w:p w14:paraId="7EE533E3" w14:textId="77777777" w:rsidR="0066279C" w:rsidRPr="00B53AC8" w:rsidRDefault="0066279C" w:rsidP="00867A4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 w:val="center" w:pos="1560"/>
          <w:tab w:val="center" w:pos="6096"/>
        </w:tabs>
        <w:spacing w:after="60"/>
        <w:jc w:val="both"/>
        <w:rPr>
          <w:rFonts w:ascii="Segoe UI Light" w:hAnsi="Segoe UI Light"/>
          <w:color w:val="000000" w:themeColor="text1"/>
          <w:sz w:val="16"/>
          <w:szCs w:val="16"/>
        </w:rPr>
      </w:pPr>
      <w:r w:rsidRPr="00B53AC8">
        <w:rPr>
          <w:rFonts w:ascii="Segoe UI Light" w:hAnsi="Segoe UI Light"/>
          <w:color w:val="000000" w:themeColor="text1"/>
          <w:sz w:val="16"/>
          <w:szCs w:val="16"/>
        </w:rPr>
        <w:tab/>
        <w:t xml:space="preserve">pēc profesiju kvalifikācijas līmeņa </w:t>
      </w:r>
      <w:r w:rsidRPr="00B53AC8">
        <w:rPr>
          <w:rFonts w:ascii="Segoe UI Light" w:hAnsi="Segoe UI Light"/>
          <w:color w:val="000000" w:themeColor="text1"/>
          <w:sz w:val="16"/>
          <w:szCs w:val="16"/>
        </w:rPr>
        <w:tab/>
        <w:t>pēc izglītības līmeņa</w:t>
      </w:r>
    </w:p>
    <w:p w14:paraId="3A0480BA" w14:textId="77777777" w:rsidR="0066279C" w:rsidRPr="00195AE2" w:rsidRDefault="0066279C" w:rsidP="0C92241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bCs/>
          <w:color w:val="000000" w:themeColor="text1"/>
          <w:sz w:val="16"/>
          <w:szCs w:val="16"/>
        </w:rPr>
      </w:pPr>
      <w:r w:rsidRPr="00195AE2">
        <w:rPr>
          <w:rFonts w:ascii="Segoe UI Light" w:hAnsi="Segoe UI Light"/>
          <w:b/>
          <w:noProof/>
          <w:color w:val="000000" w:themeColor="text1"/>
          <w:sz w:val="16"/>
          <w:szCs w:val="16"/>
          <w:lang w:val="en-US"/>
        </w:rPr>
        <w:drawing>
          <wp:inline distT="0" distB="0" distL="0" distR="0" wp14:anchorId="5EFBEC4F" wp14:editId="1FDC9FC9">
            <wp:extent cx="2340000" cy="1800000"/>
            <wp:effectExtent l="0" t="0" r="0" b="0"/>
            <wp:docPr id="1352" name="Chart 1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195AE2">
        <w:rPr>
          <w:rFonts w:ascii="Segoe UI Light" w:hAnsi="Segoe UI Light"/>
          <w:b/>
          <w:noProof/>
          <w:color w:val="000000" w:themeColor="text1"/>
          <w:sz w:val="16"/>
          <w:szCs w:val="16"/>
          <w:lang w:val="en-US"/>
        </w:rPr>
        <w:drawing>
          <wp:inline distT="0" distB="0" distL="0" distR="0" wp14:anchorId="45AB947D" wp14:editId="3A35AE9A">
            <wp:extent cx="3240000" cy="1800000"/>
            <wp:effectExtent l="0" t="0" r="0" b="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9CB43C0" w14:textId="77777777" w:rsidR="0066279C" w:rsidRPr="00135095" w:rsidRDefault="0066279C" w:rsidP="0013603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before="120" w:after="60"/>
        <w:jc w:val="both"/>
        <w:rPr>
          <w:rFonts w:ascii="Segoe UI Light" w:hAnsi="Segoe UI Light"/>
          <w:color w:val="000000" w:themeColor="text1"/>
          <w:sz w:val="14"/>
          <w:szCs w:val="14"/>
        </w:rPr>
      </w:pPr>
      <w:r w:rsidRPr="00135095">
        <w:rPr>
          <w:rFonts w:ascii="Segoe UI Light" w:hAnsi="Segoe UI Light"/>
          <w:color w:val="000000" w:themeColor="text1"/>
          <w:sz w:val="14"/>
          <w:szCs w:val="14"/>
        </w:rPr>
        <w:t xml:space="preserve">Avots: </w:t>
      </w:r>
      <w:proofErr w:type="spellStart"/>
      <w:r w:rsidRPr="00135095">
        <w:rPr>
          <w:rFonts w:ascii="Segoe UI Light" w:hAnsi="Segoe UI Light"/>
          <w:i/>
          <w:color w:val="000000" w:themeColor="text1"/>
          <w:sz w:val="14"/>
          <w:szCs w:val="14"/>
        </w:rPr>
        <w:t>Eurostat</w:t>
      </w:r>
      <w:proofErr w:type="spellEnd"/>
    </w:p>
    <w:p w14:paraId="6C604467" w14:textId="77777777" w:rsidR="00F14377" w:rsidRDefault="00F14377" w:rsidP="0013603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before="120" w:after="60"/>
        <w:jc w:val="both"/>
        <w:rPr>
          <w:rFonts w:ascii="Segoe UI Light" w:hAnsi="Segoe UI Light"/>
          <w:sz w:val="16"/>
          <w:szCs w:val="16"/>
        </w:rPr>
      </w:pPr>
    </w:p>
    <w:p w14:paraId="5A1B7C29" w14:textId="27DBEC1E" w:rsidR="009874A1" w:rsidRDefault="0066279C" w:rsidP="0013603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before="120" w:after="60"/>
        <w:jc w:val="both"/>
        <w:rPr>
          <w:rFonts w:ascii="Segoe UI Light" w:hAnsi="Segoe UI Light"/>
          <w:sz w:val="16"/>
          <w:szCs w:val="16"/>
        </w:rPr>
      </w:pPr>
      <w:r w:rsidRPr="00A3228A">
        <w:rPr>
          <w:rFonts w:ascii="Segoe UI Light" w:hAnsi="Segoe UI Light"/>
          <w:sz w:val="16"/>
          <w:szCs w:val="16"/>
        </w:rPr>
        <w:t>2023.</w:t>
      </w:r>
      <w:r w:rsidR="0080669C">
        <w:rPr>
          <w:rFonts w:ascii="Segoe UI Light" w:hAnsi="Segoe UI Light"/>
          <w:sz w:val="16"/>
          <w:szCs w:val="16"/>
        </w:rPr>
        <w:t>gad</w:t>
      </w:r>
      <w:r w:rsidRPr="00A3228A">
        <w:rPr>
          <w:rFonts w:ascii="Segoe UI Light" w:hAnsi="Segoe UI Light"/>
          <w:sz w:val="16"/>
          <w:szCs w:val="16"/>
        </w:rPr>
        <w:t>ā</w:t>
      </w:r>
      <w:r w:rsidR="002C71C9">
        <w:rPr>
          <w:rFonts w:ascii="Segoe UI Light" w:hAnsi="Segoe UI Light"/>
          <w:sz w:val="16"/>
          <w:szCs w:val="16"/>
        </w:rPr>
        <w:t>,</w:t>
      </w:r>
      <w:r w:rsidRPr="00A3228A">
        <w:rPr>
          <w:rFonts w:ascii="Segoe UI Light" w:hAnsi="Segoe UI Light"/>
          <w:sz w:val="16"/>
          <w:szCs w:val="16"/>
        </w:rPr>
        <w:t xml:space="preserve"> salīdzinājumā ar 2021.</w:t>
      </w:r>
      <w:r w:rsidR="0080669C">
        <w:rPr>
          <w:rFonts w:ascii="Segoe UI Light" w:hAnsi="Segoe UI Light"/>
          <w:sz w:val="16"/>
          <w:szCs w:val="16"/>
        </w:rPr>
        <w:t>gad</w:t>
      </w:r>
      <w:r w:rsidRPr="00A3228A">
        <w:rPr>
          <w:rFonts w:ascii="Segoe UI Light" w:hAnsi="Segoe UI Light"/>
          <w:sz w:val="16"/>
          <w:szCs w:val="16"/>
        </w:rPr>
        <w:t>u</w:t>
      </w:r>
      <w:r w:rsidR="002C71C9">
        <w:rPr>
          <w:rFonts w:ascii="Segoe UI Light" w:hAnsi="Segoe UI Light"/>
          <w:sz w:val="16"/>
          <w:szCs w:val="16"/>
        </w:rPr>
        <w:t xml:space="preserve">, </w:t>
      </w:r>
      <w:r w:rsidR="009874A1">
        <w:rPr>
          <w:rFonts w:ascii="Segoe UI Light" w:hAnsi="Segoe UI Light"/>
          <w:sz w:val="16"/>
          <w:szCs w:val="16"/>
        </w:rPr>
        <w:t>nodarbināto skaits audzis gan ar augstāko izglītību, gan vidējo vispārējo izglītību, gan arī pamatizglītību un zemāku izglītības līmeni. Vienlaikus nodarbināto skait</w:t>
      </w:r>
      <w:r w:rsidR="0056058D">
        <w:rPr>
          <w:rFonts w:ascii="Segoe UI Light" w:hAnsi="Segoe UI Light"/>
          <w:sz w:val="16"/>
          <w:szCs w:val="16"/>
        </w:rPr>
        <w:t>s</w:t>
      </w:r>
      <w:r w:rsidR="009874A1">
        <w:rPr>
          <w:rFonts w:ascii="Segoe UI Light" w:hAnsi="Segoe UI Light"/>
          <w:sz w:val="16"/>
          <w:szCs w:val="16"/>
        </w:rPr>
        <w:t xml:space="preserve"> samazinājies ar profesionālo izglītību, ko </w:t>
      </w:r>
      <w:r w:rsidR="0056058D">
        <w:rPr>
          <w:rFonts w:ascii="Segoe UI Light" w:hAnsi="Segoe UI Light"/>
          <w:sz w:val="16"/>
          <w:szCs w:val="16"/>
        </w:rPr>
        <w:t>galvenokārt ietekmē kopējā darbaspēka piedāvājuma samazināšanās ar profesionālo izglītību. B</w:t>
      </w:r>
      <w:r w:rsidR="002C71C9">
        <w:rPr>
          <w:rFonts w:ascii="Segoe UI Light" w:hAnsi="Segoe UI Light"/>
          <w:sz w:val="16"/>
          <w:szCs w:val="16"/>
        </w:rPr>
        <w:t xml:space="preserve">ūtiskākais nodarbināto skaita pieaugums bija </w:t>
      </w:r>
      <w:r w:rsidRPr="00A3228A">
        <w:rPr>
          <w:rFonts w:ascii="Segoe UI Light" w:hAnsi="Segoe UI Light"/>
          <w:sz w:val="16"/>
          <w:szCs w:val="16"/>
        </w:rPr>
        <w:t xml:space="preserve">novērojams </w:t>
      </w:r>
      <w:r w:rsidR="002C71C9">
        <w:rPr>
          <w:rFonts w:ascii="Segoe UI Light" w:hAnsi="Segoe UI Light"/>
          <w:sz w:val="16"/>
          <w:szCs w:val="16"/>
        </w:rPr>
        <w:t>iedzīvotājiem ar vidējo vispārējo izglītību un pamatizglītību, ko lielā mērā</w:t>
      </w:r>
      <w:r w:rsidR="009874A1">
        <w:rPr>
          <w:rFonts w:ascii="Segoe UI Light" w:hAnsi="Segoe UI Light"/>
          <w:sz w:val="16"/>
          <w:szCs w:val="16"/>
        </w:rPr>
        <w:t xml:space="preserve"> ir ietekmējis</w:t>
      </w:r>
      <w:r w:rsidR="002C71C9">
        <w:rPr>
          <w:rFonts w:ascii="Segoe UI Light" w:hAnsi="Segoe UI Light"/>
          <w:sz w:val="16"/>
          <w:szCs w:val="16"/>
        </w:rPr>
        <w:t xml:space="preserve"> zemās bāzes efekts pēc Covid-19 pandēmijas periodā, </w:t>
      </w:r>
      <w:r w:rsidR="009874A1">
        <w:rPr>
          <w:rFonts w:ascii="Segoe UI Light" w:hAnsi="Segoe UI Light"/>
          <w:sz w:val="16"/>
          <w:szCs w:val="16"/>
        </w:rPr>
        <w:t xml:space="preserve">Jāņem vērā, ka Covid-19 pandēmijas laikā (no 2020.-2021. gadam) </w:t>
      </w:r>
      <w:r w:rsidR="0056058D">
        <w:rPr>
          <w:rFonts w:ascii="Segoe UI Light" w:hAnsi="Segoe UI Light"/>
          <w:sz w:val="16"/>
          <w:szCs w:val="16"/>
        </w:rPr>
        <w:t>lielākais</w:t>
      </w:r>
      <w:r w:rsidR="009874A1">
        <w:rPr>
          <w:rFonts w:ascii="Segoe UI Light" w:hAnsi="Segoe UI Light"/>
          <w:sz w:val="16"/>
          <w:szCs w:val="16"/>
        </w:rPr>
        <w:t xml:space="preserve"> darbaspēka pieprasījuma kritums bija vērojams starp iedzīvotājiem ar vidējo vispārējo izglītību un pamatizglītību, kamēr nodarbināto skaits ar augstāko un profesionālo izglītību pieauga. </w:t>
      </w:r>
    </w:p>
    <w:p w14:paraId="7227484C" w14:textId="23175A94" w:rsidR="0066279C" w:rsidRPr="00FC0031" w:rsidRDefault="00C748E7" w:rsidP="0013603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r>
        <w:rPr>
          <w:rFonts w:ascii="Segoe UI Light" w:hAnsi="Segoe UI Light"/>
          <w:sz w:val="16"/>
          <w:szCs w:val="16"/>
        </w:rPr>
        <w:t xml:space="preserve">Jāatzīmē, ka lielākā daļā Eiropas valstu arī </w:t>
      </w:r>
      <w:proofErr w:type="spellStart"/>
      <w:r>
        <w:rPr>
          <w:rFonts w:ascii="Segoe UI Light" w:hAnsi="Segoe UI Light"/>
          <w:sz w:val="16"/>
          <w:szCs w:val="16"/>
        </w:rPr>
        <w:t>pēcpandēmijas</w:t>
      </w:r>
      <w:proofErr w:type="spellEnd"/>
      <w:r>
        <w:rPr>
          <w:rFonts w:ascii="Segoe UI Light" w:hAnsi="Segoe UI Light"/>
          <w:sz w:val="16"/>
          <w:szCs w:val="16"/>
        </w:rPr>
        <w:t xml:space="preserve"> periodā saglabājusies tendence darbaspēka pieprasījumam pārstrukturizēties par labu augstākās kvalifikācijas </w:t>
      </w:r>
      <w:r w:rsidR="001651D5">
        <w:rPr>
          <w:rFonts w:ascii="Segoe UI Light" w:hAnsi="Segoe UI Light"/>
          <w:sz w:val="16"/>
          <w:szCs w:val="16"/>
        </w:rPr>
        <w:t>profesijām</w:t>
      </w:r>
      <w:r>
        <w:rPr>
          <w:rFonts w:ascii="Segoe UI Light" w:hAnsi="Segoe UI Light"/>
          <w:sz w:val="16"/>
          <w:szCs w:val="16"/>
        </w:rPr>
        <w:t xml:space="preserve">. </w:t>
      </w:r>
      <w:r w:rsidR="0066279C" w:rsidRPr="00FC0031">
        <w:rPr>
          <w:rFonts w:ascii="Segoe UI Light" w:hAnsi="Segoe UI Light"/>
          <w:sz w:val="16"/>
          <w:szCs w:val="16"/>
        </w:rPr>
        <w:t>2023.</w:t>
      </w:r>
      <w:r w:rsidR="0080669C">
        <w:rPr>
          <w:rFonts w:ascii="Segoe UI Light" w:hAnsi="Segoe UI Light"/>
          <w:sz w:val="16"/>
          <w:szCs w:val="16"/>
        </w:rPr>
        <w:t>gad</w:t>
      </w:r>
      <w:r w:rsidR="0066279C" w:rsidRPr="00FC0031">
        <w:rPr>
          <w:rFonts w:ascii="Segoe UI Light" w:hAnsi="Segoe UI Light"/>
          <w:sz w:val="16"/>
          <w:szCs w:val="16"/>
        </w:rPr>
        <w:t>ā, salīdzinot ar 2021.</w:t>
      </w:r>
      <w:r w:rsidR="0080669C">
        <w:rPr>
          <w:rFonts w:ascii="Segoe UI Light" w:hAnsi="Segoe UI Light"/>
          <w:sz w:val="16"/>
          <w:szCs w:val="16"/>
        </w:rPr>
        <w:t>gad</w:t>
      </w:r>
      <w:r w:rsidR="0066279C" w:rsidRPr="00FC0031">
        <w:rPr>
          <w:rFonts w:ascii="Segoe UI Light" w:hAnsi="Segoe UI Light"/>
          <w:sz w:val="16"/>
          <w:szCs w:val="16"/>
        </w:rPr>
        <w:t xml:space="preserve">u, vidēji ES-27 augstākās kvalifikācijas profesijās nodarbināto īpatsvars pieaudzis par </w:t>
      </w:r>
      <w:r>
        <w:rPr>
          <w:rFonts w:ascii="Segoe UI Light" w:hAnsi="Segoe UI Light"/>
          <w:sz w:val="16"/>
          <w:szCs w:val="16"/>
        </w:rPr>
        <w:t xml:space="preserve">aptuveni </w:t>
      </w:r>
      <w:r w:rsidR="0066279C" w:rsidRPr="00FC0031">
        <w:rPr>
          <w:rFonts w:ascii="Segoe UI Light" w:hAnsi="Segoe UI Light"/>
          <w:sz w:val="16"/>
          <w:szCs w:val="16"/>
        </w:rPr>
        <w:t>0,8 procent</w:t>
      </w:r>
      <w:r w:rsidR="0066279C" w:rsidRPr="00FC0031">
        <w:rPr>
          <w:rFonts w:ascii="Segoe UI Light" w:hAnsi="Segoe UI Light"/>
          <w:bCs/>
          <w:sz w:val="16"/>
          <w:szCs w:val="16"/>
        </w:rPr>
        <w:softHyphen/>
      </w:r>
      <w:r w:rsidR="0066279C" w:rsidRPr="00FC0031">
        <w:rPr>
          <w:rFonts w:ascii="Segoe UI Light" w:hAnsi="Segoe UI Light"/>
          <w:sz w:val="16"/>
          <w:szCs w:val="16"/>
        </w:rPr>
        <w:t xml:space="preserve">punktiem. Tajā pašā laikā vidējās kvalifikācijas </w:t>
      </w:r>
      <w:r w:rsidR="001651D5">
        <w:rPr>
          <w:rFonts w:ascii="Segoe UI Light" w:hAnsi="Segoe UI Light"/>
          <w:sz w:val="16"/>
          <w:szCs w:val="16"/>
        </w:rPr>
        <w:t xml:space="preserve">profesijās </w:t>
      </w:r>
      <w:r>
        <w:rPr>
          <w:rFonts w:ascii="Segoe UI Light" w:hAnsi="Segoe UI Light"/>
          <w:sz w:val="16"/>
          <w:szCs w:val="16"/>
        </w:rPr>
        <w:t>nodarb</w:t>
      </w:r>
      <w:r w:rsidR="001651D5">
        <w:rPr>
          <w:rFonts w:ascii="Segoe UI Light" w:hAnsi="Segoe UI Light"/>
          <w:sz w:val="16"/>
          <w:szCs w:val="16"/>
        </w:rPr>
        <w:t xml:space="preserve">ināto </w:t>
      </w:r>
      <w:r w:rsidR="0066279C" w:rsidRPr="00FC0031">
        <w:rPr>
          <w:rFonts w:ascii="Segoe UI Light" w:hAnsi="Segoe UI Light"/>
          <w:sz w:val="16"/>
          <w:szCs w:val="16"/>
        </w:rPr>
        <w:t>īpatsvars samazinājies par 0,</w:t>
      </w:r>
      <w:r w:rsidR="001651D5">
        <w:rPr>
          <w:rFonts w:ascii="Segoe UI Light" w:hAnsi="Segoe UI Light"/>
          <w:sz w:val="16"/>
          <w:szCs w:val="16"/>
        </w:rPr>
        <w:t>6</w:t>
      </w:r>
      <w:r w:rsidR="0066279C" w:rsidRPr="00FC0031">
        <w:rPr>
          <w:rFonts w:ascii="Segoe UI Light" w:hAnsi="Segoe UI Light"/>
          <w:sz w:val="16"/>
          <w:szCs w:val="16"/>
        </w:rPr>
        <w:t xml:space="preserve"> procentpunktiem. ES-27 visstraujākais kāpums augstākās kvalifikācijas profesiju īpatsvarā vērojams Horvātijā (+3,7</w:t>
      </w:r>
      <w:r w:rsidR="001651D5">
        <w:rPr>
          <w:rFonts w:ascii="Segoe UI Light" w:hAnsi="Segoe UI Light"/>
          <w:sz w:val="16"/>
          <w:szCs w:val="16"/>
        </w:rPr>
        <w:t>pp</w:t>
      </w:r>
      <w:r w:rsidR="0066279C" w:rsidRPr="00FC0031">
        <w:rPr>
          <w:rFonts w:ascii="Segoe UI Light" w:hAnsi="Segoe UI Light"/>
          <w:sz w:val="16"/>
          <w:szCs w:val="16"/>
        </w:rPr>
        <w:t>), Kiprā (+3,</w:t>
      </w:r>
      <w:r w:rsidR="001651D5">
        <w:rPr>
          <w:rFonts w:ascii="Segoe UI Light" w:hAnsi="Segoe UI Light"/>
          <w:sz w:val="16"/>
          <w:szCs w:val="16"/>
        </w:rPr>
        <w:t>2pp</w:t>
      </w:r>
      <w:r w:rsidR="0066279C" w:rsidRPr="00FC0031">
        <w:rPr>
          <w:rFonts w:ascii="Segoe UI Light" w:hAnsi="Segoe UI Light"/>
          <w:sz w:val="16"/>
          <w:szCs w:val="16"/>
        </w:rPr>
        <w:t>), Lietuvā (+2,</w:t>
      </w:r>
      <w:r w:rsidR="001651D5">
        <w:rPr>
          <w:rFonts w:ascii="Segoe UI Light" w:hAnsi="Segoe UI Light"/>
          <w:sz w:val="16"/>
          <w:szCs w:val="16"/>
        </w:rPr>
        <w:t>4pp</w:t>
      </w:r>
      <w:r w:rsidR="0066279C" w:rsidRPr="00FC0031">
        <w:rPr>
          <w:rFonts w:ascii="Segoe UI Light" w:hAnsi="Segoe UI Light"/>
          <w:sz w:val="16"/>
          <w:szCs w:val="16"/>
        </w:rPr>
        <w:t>) un Polijā (+2,1</w:t>
      </w:r>
      <w:r w:rsidR="001651D5">
        <w:rPr>
          <w:rFonts w:ascii="Segoe UI Light" w:hAnsi="Segoe UI Light"/>
          <w:sz w:val="16"/>
          <w:szCs w:val="16"/>
        </w:rPr>
        <w:t>pp</w:t>
      </w:r>
      <w:r w:rsidR="0066279C" w:rsidRPr="00FC0031">
        <w:rPr>
          <w:rFonts w:ascii="Segoe UI Light" w:hAnsi="Segoe UI Light"/>
          <w:sz w:val="16"/>
          <w:szCs w:val="16"/>
        </w:rPr>
        <w:t xml:space="preserve">). </w:t>
      </w:r>
      <w:r w:rsidR="001651D5">
        <w:rPr>
          <w:rFonts w:ascii="Segoe UI Light" w:hAnsi="Segoe UI Light"/>
          <w:sz w:val="16"/>
          <w:szCs w:val="16"/>
        </w:rPr>
        <w:t>Vienlaikus s</w:t>
      </w:r>
      <w:r w:rsidR="0066279C" w:rsidRPr="00FC0031">
        <w:rPr>
          <w:rFonts w:ascii="Segoe UI Light" w:hAnsi="Segoe UI Light"/>
          <w:sz w:val="16"/>
          <w:szCs w:val="16"/>
        </w:rPr>
        <w:t>traujākais augst</w:t>
      </w:r>
      <w:r w:rsidR="001651D5">
        <w:rPr>
          <w:rFonts w:ascii="Segoe UI Light" w:hAnsi="Segoe UI Light"/>
          <w:sz w:val="16"/>
          <w:szCs w:val="16"/>
        </w:rPr>
        <w:t xml:space="preserve">ākās kvalifikācijas darbavietu īpatsvara samazinājums </w:t>
      </w:r>
      <w:r w:rsidR="0066279C" w:rsidRPr="00FC0031">
        <w:rPr>
          <w:rFonts w:ascii="Segoe UI Light" w:hAnsi="Segoe UI Light"/>
          <w:sz w:val="16"/>
          <w:szCs w:val="16"/>
        </w:rPr>
        <w:t>vērojams Slovēnijā (-6,7</w:t>
      </w:r>
      <w:r w:rsidR="001651D5">
        <w:rPr>
          <w:rFonts w:ascii="Segoe UI Light" w:hAnsi="Segoe UI Light"/>
          <w:sz w:val="16"/>
          <w:szCs w:val="16"/>
        </w:rPr>
        <w:t>pp</w:t>
      </w:r>
      <w:r w:rsidR="0066279C" w:rsidRPr="00FC0031">
        <w:rPr>
          <w:rFonts w:ascii="Segoe UI Light" w:hAnsi="Segoe UI Light"/>
          <w:sz w:val="16"/>
          <w:szCs w:val="16"/>
        </w:rPr>
        <w:t>), Maltā (-1,</w:t>
      </w:r>
      <w:r w:rsidR="001651D5">
        <w:rPr>
          <w:rFonts w:ascii="Segoe UI Light" w:hAnsi="Segoe UI Light"/>
          <w:sz w:val="16"/>
          <w:szCs w:val="16"/>
        </w:rPr>
        <w:t>5pp</w:t>
      </w:r>
      <w:r w:rsidR="0066279C" w:rsidRPr="00FC0031">
        <w:rPr>
          <w:rFonts w:ascii="Segoe UI Light" w:hAnsi="Segoe UI Light"/>
          <w:sz w:val="16"/>
          <w:szCs w:val="16"/>
        </w:rPr>
        <w:t>) un Portugālē (-1,</w:t>
      </w:r>
      <w:r w:rsidR="001651D5">
        <w:rPr>
          <w:rFonts w:ascii="Segoe UI Light" w:hAnsi="Segoe UI Light"/>
          <w:sz w:val="16"/>
          <w:szCs w:val="16"/>
        </w:rPr>
        <w:t>2pp</w:t>
      </w:r>
      <w:r w:rsidR="0066279C" w:rsidRPr="00FC0031">
        <w:rPr>
          <w:rFonts w:ascii="Segoe UI Light" w:hAnsi="Segoe UI Light"/>
          <w:sz w:val="16"/>
          <w:szCs w:val="16"/>
        </w:rPr>
        <w:t>). Tāpat dažās valstīs pieaudzis nodarbināto skaita īpatsvars zemas un vidējas kvalifikācijas profesijās. Straujākais zemo un vidējo profesiju nodarbināto pieaugums ir vērojams Slovēnijā (+4,4 vidējas un 2,3 zemas). Latvijā augsto kvalifikācijas profesiju nodarbināto skaits ir samazinājies par 0,8 procentpunktiem, bet vidējās un zemās kvalifikācijas profesiju nodarbināto īpatsvars pieaudzis par attiecīgi 0,7 un 0,1 procentpunktu.</w:t>
      </w:r>
    </w:p>
    <w:p w14:paraId="1E12B0BA" w14:textId="77777777" w:rsidR="00843E62" w:rsidRPr="00FC0031" w:rsidRDefault="00843E62" w:rsidP="0013603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p>
    <w:p w14:paraId="680D88D0" w14:textId="0D440F85" w:rsidR="0066279C" w:rsidRPr="009F6A34" w:rsidRDefault="0066279C" w:rsidP="0013603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center"/>
        <w:rPr>
          <w:rFonts w:ascii="Segoe UI Light" w:hAnsi="Segoe UI Light"/>
          <w:bCs/>
          <w:sz w:val="16"/>
          <w:szCs w:val="16"/>
        </w:rPr>
      </w:pPr>
      <w:r w:rsidRPr="009F6A34">
        <w:rPr>
          <w:rFonts w:ascii="Segoe UI Light" w:hAnsi="Segoe UI Light"/>
          <w:b/>
          <w:sz w:val="16"/>
          <w:szCs w:val="16"/>
        </w:rPr>
        <w:t xml:space="preserve">Augstākās, vidējās un zemas kvalifikācijas profesijās nodarbināto Īpatsvara izmaiņas ES-27 valstīs </w:t>
      </w:r>
      <w:r w:rsidRPr="009F6A34">
        <w:rPr>
          <w:rFonts w:ascii="Segoe UI Light" w:hAnsi="Segoe UI Light"/>
          <w:b/>
          <w:sz w:val="16"/>
          <w:szCs w:val="16"/>
        </w:rPr>
        <w:br/>
      </w:r>
      <w:r w:rsidRPr="009F6A34">
        <w:rPr>
          <w:rFonts w:ascii="Segoe UI Light" w:hAnsi="Segoe UI Light"/>
          <w:bCs/>
          <w:sz w:val="16"/>
          <w:szCs w:val="16"/>
        </w:rPr>
        <w:t>2023.</w:t>
      </w:r>
      <w:r w:rsidR="0080669C">
        <w:rPr>
          <w:rFonts w:ascii="Segoe UI Light" w:hAnsi="Segoe UI Light"/>
          <w:bCs/>
          <w:sz w:val="16"/>
          <w:szCs w:val="16"/>
        </w:rPr>
        <w:t>gad</w:t>
      </w:r>
      <w:r w:rsidRPr="009F6A34">
        <w:rPr>
          <w:rFonts w:ascii="Segoe UI Light" w:hAnsi="Segoe UI Light"/>
          <w:bCs/>
          <w:sz w:val="16"/>
          <w:szCs w:val="16"/>
        </w:rPr>
        <w:t>ā, salīdzinot ar 2021.</w:t>
      </w:r>
      <w:r w:rsidR="0080669C">
        <w:rPr>
          <w:rFonts w:ascii="Segoe UI Light" w:hAnsi="Segoe UI Light"/>
          <w:bCs/>
          <w:sz w:val="16"/>
          <w:szCs w:val="16"/>
        </w:rPr>
        <w:t>gad</w:t>
      </w:r>
      <w:r w:rsidRPr="009F6A34">
        <w:rPr>
          <w:rFonts w:ascii="Segoe UI Light" w:hAnsi="Segoe UI Light"/>
          <w:bCs/>
          <w:sz w:val="16"/>
          <w:szCs w:val="16"/>
        </w:rPr>
        <w:t>u, procentpunkt</w:t>
      </w:r>
      <w:r w:rsidR="00843E62">
        <w:rPr>
          <w:rFonts w:ascii="Segoe UI Light" w:hAnsi="Segoe UI Light"/>
          <w:bCs/>
          <w:sz w:val="16"/>
          <w:szCs w:val="16"/>
        </w:rPr>
        <w:t>os</w:t>
      </w:r>
    </w:p>
    <w:p w14:paraId="6A46817B" w14:textId="77777777" w:rsidR="0066279C" w:rsidRPr="00FF302E" w:rsidRDefault="0066279C" w:rsidP="0013603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bCs/>
          <w:color w:val="FF0000"/>
          <w:sz w:val="16"/>
          <w:szCs w:val="16"/>
        </w:rPr>
      </w:pPr>
      <w:r>
        <w:rPr>
          <w:rFonts w:ascii="Segoe UI Light" w:hAnsi="Segoe UI Light"/>
          <w:bCs/>
          <w:noProof/>
          <w:color w:val="FF0000"/>
          <w:sz w:val="16"/>
          <w:szCs w:val="16"/>
          <w:lang w:val="en-US"/>
        </w:rPr>
        <w:drawing>
          <wp:inline distT="0" distB="0" distL="0" distR="0" wp14:anchorId="73917366" wp14:editId="74833040">
            <wp:extent cx="5580000" cy="2520000"/>
            <wp:effectExtent l="0" t="0" r="0" b="0"/>
            <wp:docPr id="1353" name="Chart 1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2CECCF4" w14:textId="459FE26A" w:rsidR="0066279C" w:rsidRPr="009332B7" w:rsidRDefault="0066279C" w:rsidP="00136038">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4"/>
          <w:szCs w:val="14"/>
        </w:rPr>
      </w:pPr>
      <w:r w:rsidRPr="009332B7">
        <w:rPr>
          <w:rFonts w:ascii="Segoe UI Light" w:hAnsi="Segoe UI Light"/>
          <w:sz w:val="14"/>
          <w:szCs w:val="14"/>
        </w:rPr>
        <w:t xml:space="preserve">Avots: </w:t>
      </w:r>
      <w:proofErr w:type="spellStart"/>
      <w:r w:rsidRPr="00914892">
        <w:rPr>
          <w:rFonts w:ascii="Segoe UI Light" w:hAnsi="Segoe UI Light"/>
          <w:i/>
          <w:sz w:val="14"/>
          <w:szCs w:val="14"/>
        </w:rPr>
        <w:t>Eurostat</w:t>
      </w:r>
      <w:proofErr w:type="spellEnd"/>
    </w:p>
    <w:p w14:paraId="7C62F657" w14:textId="77777777" w:rsidR="00F14377" w:rsidRDefault="00F14377">
      <w:pPr>
        <w:spacing w:after="0"/>
        <w:rPr>
          <w:b/>
          <w:bCs/>
          <w:szCs w:val="28"/>
        </w:rPr>
      </w:pPr>
      <w:r>
        <w:rPr>
          <w:b/>
          <w:bCs/>
          <w:szCs w:val="28"/>
        </w:rPr>
        <w:br w:type="page"/>
      </w:r>
    </w:p>
    <w:p w14:paraId="329987AE" w14:textId="1811C298" w:rsidR="0066279C" w:rsidRPr="005F5363" w:rsidRDefault="0066279C" w:rsidP="00867A48">
      <w:pPr>
        <w:spacing w:after="120"/>
        <w:jc w:val="both"/>
        <w:rPr>
          <w:rFonts w:ascii="Aptos Narrow" w:hAnsi="Aptos Narrow"/>
          <w:b/>
          <w:color w:val="5F497A" w:themeColor="accent4" w:themeShade="BF"/>
          <w:sz w:val="28"/>
          <w:szCs w:val="28"/>
        </w:rPr>
      </w:pPr>
      <w:r w:rsidRPr="005F5363">
        <w:rPr>
          <w:rFonts w:ascii="Aptos Narrow" w:hAnsi="Aptos Narrow"/>
          <w:b/>
          <w:color w:val="5F497A" w:themeColor="accent4" w:themeShade="BF"/>
          <w:sz w:val="28"/>
          <w:szCs w:val="28"/>
        </w:rPr>
        <w:lastRenderedPageBreak/>
        <w:t>Aizņemto darbavietu izmaiņas</w:t>
      </w:r>
    </w:p>
    <w:p w14:paraId="46F6EC49" w14:textId="432F1F7A" w:rsidR="0066279C" w:rsidRPr="00C46045" w:rsidRDefault="0066279C" w:rsidP="00867A48">
      <w:pPr>
        <w:spacing w:after="120"/>
        <w:jc w:val="both"/>
      </w:pPr>
      <w:r w:rsidRPr="00C46045">
        <w:t>2010.-2023.</w:t>
      </w:r>
      <w:r w:rsidR="0080669C">
        <w:t>gad</w:t>
      </w:r>
      <w:r w:rsidR="00681D19">
        <w:t>os</w:t>
      </w:r>
      <w:r w:rsidRPr="00C46045">
        <w:t xml:space="preserve"> gandrīz visās tautsaimniecības </w:t>
      </w:r>
      <w:proofErr w:type="spellStart"/>
      <w:r w:rsidRPr="00C46045">
        <w:t>pamatnozarēs</w:t>
      </w:r>
      <w:proofErr w:type="spellEnd"/>
      <w:r w:rsidRPr="00C46045">
        <w:t xml:space="preserve"> pieauga arī </w:t>
      </w:r>
      <w:r w:rsidRPr="00C46045">
        <w:rPr>
          <w:b/>
          <w:bCs/>
        </w:rPr>
        <w:t>aizņemto darbavietu</w:t>
      </w:r>
      <w:r w:rsidRPr="00C46045">
        <w:t xml:space="preserve"> skaits (izņemot transportu un uzglabāšanu, kurā aizņemto darba vietu skaits nemainījās). Salīdzinājumā </w:t>
      </w:r>
      <w:r w:rsidR="00681D19">
        <w:t>ar</w:t>
      </w:r>
      <w:r w:rsidRPr="00C46045">
        <w:t xml:space="preserve"> 2021.</w:t>
      </w:r>
      <w:r w:rsidR="0080669C">
        <w:t>gad</w:t>
      </w:r>
      <w:r w:rsidRPr="00C46045">
        <w:t xml:space="preserve">u aizņemto darba vietu </w:t>
      </w:r>
      <w:r>
        <w:t>samazinājās par 6,2 tūkstošiem (samazinājums bija privātajā sektorā). S</w:t>
      </w:r>
      <w:r w:rsidRPr="00C46045">
        <w:t>trauj</w:t>
      </w:r>
      <w:r>
        <w:t>ākais pieaugums bija</w:t>
      </w:r>
      <w:r w:rsidRPr="00C46045">
        <w:t xml:space="preserve"> lauksaimniecībā (par 3,2</w:t>
      </w:r>
      <w:r w:rsidR="0080669C">
        <w:t>%</w:t>
      </w:r>
      <w:r w:rsidRPr="00C46045">
        <w:t>), savukārt straujākais samazinājums – būvniecībā (-6,12</w:t>
      </w:r>
      <w:r w:rsidR="0080669C">
        <w:t>%</w:t>
      </w:r>
      <w:r w:rsidRPr="00C46045">
        <w:t>), rūpniecībā (-3,45</w:t>
      </w:r>
      <w:r w:rsidR="0080669C">
        <w:t>%</w:t>
      </w:r>
      <w:r w:rsidRPr="00C46045">
        <w:t>) un transports un uzglabāšana (-3,4</w:t>
      </w:r>
      <w:r w:rsidR="0080669C">
        <w:t>%</w:t>
      </w:r>
      <w:r w:rsidRPr="00C46045">
        <w:t>).</w:t>
      </w:r>
    </w:p>
    <w:p w14:paraId="09D390B4" w14:textId="77777777" w:rsidR="0066279C" w:rsidRPr="00CE29F6" w:rsidRDefault="0066279C" w:rsidP="00867A48">
      <w:pPr>
        <w:pStyle w:val="BodyTextIndent"/>
        <w:numPr>
          <w:ilvl w:val="12"/>
          <w:numId w:val="0"/>
        </w:numPr>
        <w:jc w:val="right"/>
        <w:rPr>
          <w:szCs w:val="26"/>
        </w:rPr>
      </w:pPr>
      <w:r w:rsidRPr="00CE29F6">
        <w:rPr>
          <w:szCs w:val="26"/>
        </w:rPr>
        <w:t>2.2. attēls</w:t>
      </w:r>
    </w:p>
    <w:p w14:paraId="1462F740" w14:textId="77777777" w:rsidR="0066279C" w:rsidRPr="00CE29F6" w:rsidRDefault="0066279C" w:rsidP="00867A48">
      <w:pPr>
        <w:spacing w:after="120"/>
        <w:jc w:val="center"/>
        <w:rPr>
          <w:rFonts w:ascii="Segoe UI Light" w:hAnsi="Segoe UI Light"/>
          <w:bCs/>
          <w:i/>
          <w:sz w:val="16"/>
          <w:szCs w:val="26"/>
        </w:rPr>
      </w:pPr>
      <w:r w:rsidRPr="00CE29F6">
        <w:rPr>
          <w:rFonts w:ascii="Segoe UI Light" w:hAnsi="Segoe UI Light"/>
          <w:b/>
          <w:bCs/>
          <w:sz w:val="18"/>
          <w:szCs w:val="26"/>
        </w:rPr>
        <w:t>Aizņemto darbavietu skaits</w:t>
      </w:r>
      <w:r w:rsidRPr="00CE29F6">
        <w:rPr>
          <w:rFonts w:ascii="Segoe UI Light" w:hAnsi="Segoe UI Light"/>
          <w:b/>
          <w:bCs/>
          <w:sz w:val="18"/>
          <w:szCs w:val="26"/>
        </w:rPr>
        <w:br/>
      </w:r>
      <w:r w:rsidRPr="00CE29F6">
        <w:rPr>
          <w:rFonts w:ascii="Segoe UI Light" w:hAnsi="Segoe UI Light"/>
          <w:bCs/>
          <w:i/>
          <w:sz w:val="16"/>
          <w:szCs w:val="26"/>
        </w:rPr>
        <w:t>tūkstošos</w:t>
      </w:r>
    </w:p>
    <w:p w14:paraId="33B40C05" w14:textId="77777777" w:rsidR="0066279C" w:rsidRPr="00FF302E" w:rsidRDefault="0066279C" w:rsidP="00867A48">
      <w:pPr>
        <w:tabs>
          <w:tab w:val="left" w:pos="4643"/>
        </w:tabs>
        <w:spacing w:after="120"/>
        <w:jc w:val="right"/>
        <w:rPr>
          <w:rFonts w:cs="Segoe UI"/>
          <w:color w:val="FF0000"/>
        </w:rPr>
      </w:pPr>
      <w:r w:rsidRPr="00FF302E">
        <w:rPr>
          <w:noProof/>
          <w:color w:val="FF0000"/>
          <w:szCs w:val="20"/>
          <w:lang w:val="en-US"/>
        </w:rPr>
        <w:drawing>
          <wp:inline distT="0" distB="0" distL="0" distR="0" wp14:anchorId="10878598" wp14:editId="0C50076E">
            <wp:extent cx="1368000" cy="2159635"/>
            <wp:effectExtent l="0" t="0" r="0" b="0"/>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Pr>
          <w:rFonts w:cs="Segoe UI"/>
          <w:noProof/>
          <w:color w:val="FF0000"/>
          <w:szCs w:val="20"/>
          <w:lang w:val="en-US"/>
        </w:rPr>
        <w:drawing>
          <wp:inline distT="0" distB="0" distL="0" distR="0" wp14:anchorId="00BEBACF" wp14:editId="1B855DEF">
            <wp:extent cx="4320000" cy="2160000"/>
            <wp:effectExtent l="0" t="0" r="444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D3DF762" w14:textId="77777777" w:rsidR="0066279C" w:rsidRDefault="0066279C" w:rsidP="00867A48">
      <w:pPr>
        <w:spacing w:before="120" w:after="120"/>
        <w:jc w:val="both"/>
        <w:rPr>
          <w:sz w:val="16"/>
          <w:szCs w:val="16"/>
        </w:rPr>
      </w:pPr>
      <w:r w:rsidRPr="00F14377">
        <w:rPr>
          <w:sz w:val="16"/>
          <w:szCs w:val="16"/>
        </w:rPr>
        <w:t>Avots: CSP</w:t>
      </w:r>
    </w:p>
    <w:p w14:paraId="1C3BA5C6" w14:textId="77777777" w:rsidR="00F14377" w:rsidRPr="00F14377" w:rsidRDefault="00F14377" w:rsidP="00867A48">
      <w:pPr>
        <w:spacing w:after="120"/>
        <w:jc w:val="both"/>
        <w:rPr>
          <w:sz w:val="16"/>
          <w:szCs w:val="16"/>
        </w:rPr>
      </w:pPr>
    </w:p>
    <w:p w14:paraId="6D481CBA" w14:textId="77777777" w:rsidR="0066279C" w:rsidRPr="004075CB" w:rsidRDefault="0066279C" w:rsidP="006627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jc w:val="right"/>
        <w:rPr>
          <w:rFonts w:ascii="Segoe UI Light" w:hAnsi="Segoe UI Light"/>
          <w:b/>
          <w:sz w:val="16"/>
          <w:szCs w:val="16"/>
        </w:rPr>
      </w:pPr>
      <w:r w:rsidRPr="004075CB">
        <w:rPr>
          <w:rFonts w:ascii="Segoe UI Light" w:hAnsi="Segoe UI Light"/>
          <w:b/>
          <w:sz w:val="16"/>
          <w:szCs w:val="16"/>
        </w:rPr>
        <w:t>Nodarbināto iedzīvotāju un aizņemto darba vietu jēdzienu skaidrojums</w:t>
      </w:r>
    </w:p>
    <w:p w14:paraId="0282F945" w14:textId="77777777" w:rsidR="0066279C" w:rsidRPr="003B4CDA" w:rsidRDefault="0066279C" w:rsidP="006627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b/>
          <w:sz w:val="16"/>
          <w:szCs w:val="18"/>
        </w:rPr>
      </w:pPr>
      <w:r w:rsidRPr="003B4CDA">
        <w:rPr>
          <w:rFonts w:ascii="Segoe UI Light" w:hAnsi="Segoe UI Light"/>
          <w:b/>
          <w:sz w:val="16"/>
          <w:szCs w:val="18"/>
        </w:rPr>
        <w:t>Nodarbinātie iedzīvotāji</w:t>
      </w:r>
    </w:p>
    <w:p w14:paraId="75A17C8B" w14:textId="77777777" w:rsidR="0066279C" w:rsidRPr="003B4CDA" w:rsidRDefault="0066279C" w:rsidP="006627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r w:rsidRPr="003B4CDA">
        <w:rPr>
          <w:rFonts w:ascii="Segoe UI Light" w:hAnsi="Segoe UI Light"/>
          <w:sz w:val="16"/>
          <w:szCs w:val="18"/>
        </w:rPr>
        <w:t>Saskaņā ar Starptautiskās Darba organizācijas (SDO) izveidotajām definīcijām nodarbinātie iedzīvotāji ir visas tās personas, kuras pārskata nedēļā veica jebkādu darbu par samaksu naudā vai par atlīdzību precēs vai pakalpojumos.</w:t>
      </w:r>
    </w:p>
    <w:p w14:paraId="4F33CE58" w14:textId="77777777" w:rsidR="0066279C" w:rsidRPr="003B4CDA" w:rsidRDefault="0066279C" w:rsidP="006627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r w:rsidRPr="003B4CDA">
        <w:rPr>
          <w:rFonts w:ascii="Segoe UI Light" w:hAnsi="Segoe UI Light"/>
          <w:sz w:val="16"/>
          <w:szCs w:val="18"/>
        </w:rPr>
        <w:t xml:space="preserve">Par nodarbinātajiem uzskata arī </w:t>
      </w:r>
      <w:proofErr w:type="spellStart"/>
      <w:r w:rsidRPr="003B4CDA">
        <w:rPr>
          <w:rFonts w:ascii="Segoe UI Light" w:hAnsi="Segoe UI Light"/>
          <w:sz w:val="16"/>
          <w:szCs w:val="18"/>
        </w:rPr>
        <w:t>pašnodarbinātās</w:t>
      </w:r>
      <w:proofErr w:type="spellEnd"/>
      <w:r w:rsidRPr="003B4CDA">
        <w:rPr>
          <w:rFonts w:ascii="Segoe UI Light" w:hAnsi="Segoe UI Light"/>
          <w:sz w:val="16"/>
          <w:szCs w:val="18"/>
        </w:rPr>
        <w:t xml:space="preserve"> personas uzņēmējdarbībā, lauku saimniecībā vai profesionālajā praksē. Personas, kuras atrodas pagaidu prombūtnē no darba grūtniecības vai dzemdību atvaļinājuma dēļ, kā arī bērna kopšanas atvaļinājumā, uzskata par nodarbinātām, ja pēc atvaļinājuma beigām personai ir garantija atgriezties iepriekšējā darba vietā. Nodarbināto skaitā ietver arī tās personas, kuras strādā savā lauku saimniecībā (zemnieku vai piemājas), lai saražotu produkciju pašu patēriņam vai pārdošanai.</w:t>
      </w:r>
    </w:p>
    <w:p w14:paraId="117FDB77" w14:textId="77777777" w:rsidR="0066279C" w:rsidRPr="003B4CDA" w:rsidRDefault="0066279C" w:rsidP="006627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4398C881">
        <w:rPr>
          <w:rFonts w:ascii="Segoe UI Light" w:hAnsi="Segoe UI Light"/>
          <w:sz w:val="16"/>
          <w:szCs w:val="16"/>
        </w:rPr>
        <w:t>Informācija par Latvijas iedzīvotāju ekonomisko aktivitāti (nodarbinātību un bezdarbu) iegūta no Latvijas nepārtrauktā DSA.</w:t>
      </w:r>
    </w:p>
    <w:p w14:paraId="7113215F" w14:textId="4EAAB4FD" w:rsidR="0066279C" w:rsidRDefault="0066279C" w:rsidP="006627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4398C881">
        <w:rPr>
          <w:rFonts w:ascii="Segoe UI Light" w:hAnsi="Segoe UI Light"/>
          <w:sz w:val="16"/>
          <w:szCs w:val="16"/>
        </w:rPr>
        <w:t>Latvijas DSA informācija par ekonomisko aktivitāti (tai skaitā nodarbinātību) saskaņā ar metodoloģiju tiek jautāta personām vecumā no 15 līdz 74</w:t>
      </w:r>
      <w:r w:rsidR="00314CE1">
        <w:rPr>
          <w:rFonts w:ascii="Segoe UI Light" w:hAnsi="Segoe UI Light"/>
          <w:sz w:val="16"/>
          <w:szCs w:val="16"/>
        </w:rPr>
        <w:t xml:space="preserve"> </w:t>
      </w:r>
      <w:r w:rsidR="0080669C">
        <w:rPr>
          <w:rFonts w:ascii="Segoe UI Light" w:hAnsi="Segoe UI Light"/>
          <w:sz w:val="16"/>
          <w:szCs w:val="16"/>
        </w:rPr>
        <w:t>gad</w:t>
      </w:r>
      <w:r w:rsidRPr="4398C881">
        <w:rPr>
          <w:rFonts w:ascii="Segoe UI Light" w:hAnsi="Segoe UI Light"/>
          <w:sz w:val="16"/>
          <w:szCs w:val="16"/>
        </w:rPr>
        <w:t>iem. Datu starptautiskai salīdzināmībai daļa nodarbinātības rādītāju tiek aprēķināti arī par vecuma grupu 15-64</w:t>
      </w:r>
      <w:r w:rsidR="00314CE1">
        <w:rPr>
          <w:rFonts w:ascii="Segoe UI Light" w:hAnsi="Segoe UI Light"/>
          <w:sz w:val="16"/>
          <w:szCs w:val="16"/>
        </w:rPr>
        <w:t xml:space="preserve"> </w:t>
      </w:r>
      <w:r w:rsidR="0080669C">
        <w:rPr>
          <w:rFonts w:ascii="Segoe UI Light" w:hAnsi="Segoe UI Light"/>
          <w:sz w:val="16"/>
          <w:szCs w:val="16"/>
        </w:rPr>
        <w:t>gad</w:t>
      </w:r>
      <w:r w:rsidRPr="4398C881">
        <w:rPr>
          <w:rFonts w:ascii="Segoe UI Light" w:hAnsi="Segoe UI Light"/>
          <w:sz w:val="16"/>
          <w:szCs w:val="16"/>
        </w:rPr>
        <w:t>i. Starptautiski vecuma grupa 15–64</w:t>
      </w:r>
      <w:r w:rsidR="00314CE1">
        <w:rPr>
          <w:rFonts w:ascii="Segoe UI Light" w:hAnsi="Segoe UI Light"/>
          <w:sz w:val="16"/>
          <w:szCs w:val="16"/>
        </w:rPr>
        <w:t xml:space="preserve"> </w:t>
      </w:r>
      <w:r w:rsidR="0080669C">
        <w:rPr>
          <w:rFonts w:ascii="Segoe UI Light" w:hAnsi="Segoe UI Light"/>
          <w:sz w:val="16"/>
          <w:szCs w:val="16"/>
        </w:rPr>
        <w:t>gad</w:t>
      </w:r>
      <w:r w:rsidRPr="4398C881">
        <w:rPr>
          <w:rFonts w:ascii="Segoe UI Light" w:hAnsi="Segoe UI Light"/>
          <w:sz w:val="16"/>
          <w:szCs w:val="16"/>
        </w:rPr>
        <w:t xml:space="preserve">i ir pieņemta kā darbspējas vecums, ko datu publicēšanai izmanto gan </w:t>
      </w:r>
      <w:proofErr w:type="spellStart"/>
      <w:r w:rsidRPr="00314CE1">
        <w:rPr>
          <w:rFonts w:ascii="Segoe UI Light" w:hAnsi="Segoe UI Light"/>
          <w:i/>
          <w:sz w:val="16"/>
          <w:szCs w:val="16"/>
        </w:rPr>
        <w:t>Eurostat</w:t>
      </w:r>
      <w:proofErr w:type="spellEnd"/>
      <w:r w:rsidRPr="4398C881">
        <w:rPr>
          <w:rFonts w:ascii="Segoe UI Light" w:hAnsi="Segoe UI Light"/>
          <w:sz w:val="16"/>
          <w:szCs w:val="16"/>
        </w:rPr>
        <w:t xml:space="preserve">, gan SDO, līdz ar to arī Latvijā galvenie ekonomisko aktivitāti raksturojošie rādītāji ir publicēti par divām vecuma grupām: 15-64 </w:t>
      </w:r>
      <w:proofErr w:type="spellStart"/>
      <w:r>
        <w:rPr>
          <w:rFonts w:ascii="Segoe UI Light" w:hAnsi="Segoe UI Light"/>
          <w:sz w:val="16"/>
          <w:szCs w:val="16"/>
        </w:rPr>
        <w:t>g.v</w:t>
      </w:r>
      <w:proofErr w:type="spellEnd"/>
      <w:r>
        <w:rPr>
          <w:rFonts w:ascii="Segoe UI Light" w:hAnsi="Segoe UI Light"/>
          <w:sz w:val="16"/>
          <w:szCs w:val="16"/>
        </w:rPr>
        <w:t xml:space="preserve">. </w:t>
      </w:r>
      <w:r w:rsidRPr="4398C881">
        <w:rPr>
          <w:rFonts w:ascii="Segoe UI Light" w:hAnsi="Segoe UI Light"/>
          <w:sz w:val="16"/>
          <w:szCs w:val="16"/>
        </w:rPr>
        <w:t>un 15-74</w:t>
      </w:r>
      <w:r>
        <w:rPr>
          <w:rFonts w:ascii="Segoe UI Light" w:hAnsi="Segoe UI Light"/>
          <w:sz w:val="16"/>
          <w:szCs w:val="16"/>
        </w:rPr>
        <w:t xml:space="preserve"> </w:t>
      </w:r>
      <w:proofErr w:type="spellStart"/>
      <w:r>
        <w:rPr>
          <w:rFonts w:ascii="Segoe UI Light" w:hAnsi="Segoe UI Light"/>
          <w:sz w:val="16"/>
          <w:szCs w:val="16"/>
        </w:rPr>
        <w:t>g.v</w:t>
      </w:r>
      <w:proofErr w:type="spellEnd"/>
      <w:r>
        <w:rPr>
          <w:rFonts w:ascii="Segoe UI Light" w:hAnsi="Segoe UI Light"/>
          <w:sz w:val="16"/>
          <w:szCs w:val="16"/>
        </w:rPr>
        <w:t>.</w:t>
      </w:r>
    </w:p>
    <w:p w14:paraId="05F41BBF" w14:textId="77777777" w:rsidR="0066279C" w:rsidRPr="003B4CDA" w:rsidRDefault="0066279C" w:rsidP="006627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p>
    <w:p w14:paraId="00D926F6" w14:textId="77777777" w:rsidR="0066279C" w:rsidRPr="003B4CDA" w:rsidRDefault="0066279C" w:rsidP="006627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b/>
          <w:sz w:val="16"/>
          <w:szCs w:val="18"/>
        </w:rPr>
      </w:pPr>
      <w:r w:rsidRPr="003B4CDA">
        <w:rPr>
          <w:rFonts w:ascii="Segoe UI Light" w:hAnsi="Segoe UI Light"/>
          <w:b/>
          <w:sz w:val="16"/>
          <w:szCs w:val="18"/>
        </w:rPr>
        <w:t>Aizņemtās darba vietas</w:t>
      </w:r>
    </w:p>
    <w:p w14:paraId="25B8642A" w14:textId="315567AE" w:rsidR="0066279C" w:rsidRPr="003B4CDA" w:rsidRDefault="00A607A6" w:rsidP="006627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r w:rsidRPr="00807FF9">
        <w:rPr>
          <w:rFonts w:ascii="Segoe UI Light" w:hAnsi="Segoe UI Light"/>
          <w:sz w:val="16"/>
          <w:szCs w:val="18"/>
        </w:rPr>
        <w:t>Algota darbvieta, kurā darbinieks ir pieņemts darbā. Aizņemto darbvietu skaitā tiek ietverti gan pilna un nepilna darba laika darbinieki, par kuriem saskaņā ar Darba likumu ir jāveic darba laika uzskaite, gan tie darbinieki, kuriem darba laika uzskaite netiek veikta.</w:t>
      </w:r>
      <w:r>
        <w:rPr>
          <w:rStyle w:val="FootnoteReference"/>
          <w:rFonts w:ascii="Segoe UI Light" w:hAnsi="Segoe UI Light"/>
          <w:sz w:val="16"/>
          <w:szCs w:val="18"/>
        </w:rPr>
        <w:footnoteReference w:id="2"/>
      </w:r>
      <w:r>
        <w:rPr>
          <w:rFonts w:ascii="Segoe UI Light" w:hAnsi="Segoe UI Light"/>
          <w:sz w:val="16"/>
          <w:szCs w:val="18"/>
        </w:rPr>
        <w:t xml:space="preserve"> </w:t>
      </w:r>
      <w:r w:rsidR="0066279C" w:rsidRPr="003B4CDA">
        <w:rPr>
          <w:rFonts w:ascii="Segoe UI Light" w:hAnsi="Segoe UI Light"/>
          <w:sz w:val="16"/>
          <w:szCs w:val="18"/>
          <w:u w:val="single"/>
        </w:rPr>
        <w:t>Viens cilvēks var būt nodarbināts vairākās darbavietās.</w:t>
      </w:r>
    </w:p>
    <w:p w14:paraId="2DE76CF6" w14:textId="77777777" w:rsidR="0066279C" w:rsidRPr="003B4CDA" w:rsidRDefault="0066279C" w:rsidP="006627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r w:rsidRPr="003B4CDA">
        <w:rPr>
          <w:rFonts w:ascii="Segoe UI Light" w:hAnsi="Segoe UI Light"/>
          <w:sz w:val="16"/>
          <w:szCs w:val="18"/>
        </w:rPr>
        <w:t xml:space="preserve">Aizņemto darba vietu dati tiek iegūti, veicot uzņēmumu, centrālo valdības institūciju, pašvaldību un to institūciju un institucionālo vienību </w:t>
      </w:r>
      <w:proofErr w:type="spellStart"/>
      <w:r w:rsidRPr="003B4CDA">
        <w:rPr>
          <w:rFonts w:ascii="Segoe UI Light" w:hAnsi="Segoe UI Light"/>
          <w:sz w:val="16"/>
          <w:szCs w:val="18"/>
        </w:rPr>
        <w:t>apsekojumu</w:t>
      </w:r>
      <w:proofErr w:type="spellEnd"/>
      <w:r w:rsidRPr="003B4CDA">
        <w:rPr>
          <w:rFonts w:ascii="Segoe UI Light" w:hAnsi="Segoe UI Light"/>
          <w:sz w:val="16"/>
          <w:szCs w:val="18"/>
        </w:rPr>
        <w:t>. Informācija tiek iegūta, apkopojot CSP izstrādātās ceturkšņa statistikas pārskata veidlapas par komersantu, iestāžu, nodibinājumu, biedrību un fondu darbību datus un administratīvos datus.</w:t>
      </w:r>
      <w:r w:rsidRPr="003B4CDA">
        <w:rPr>
          <w:rFonts w:ascii="Segoe UI Light" w:hAnsi="Segoe UI Light"/>
          <w:sz w:val="18"/>
        </w:rPr>
        <w:t xml:space="preserve"> </w:t>
      </w:r>
      <w:r w:rsidRPr="003B4CDA">
        <w:rPr>
          <w:rFonts w:ascii="Segoe UI Light" w:hAnsi="Segoe UI Light"/>
          <w:sz w:val="16"/>
          <w:szCs w:val="18"/>
        </w:rPr>
        <w:t>Administratīvie dati tiek iegūti CSP aprēķinu rezultātā no Valsts ieņēmuma dienesta datiem.</w:t>
      </w:r>
    </w:p>
    <w:p w14:paraId="54CB505D" w14:textId="77777777" w:rsidR="0066279C" w:rsidRPr="003B4CDA" w:rsidRDefault="0066279C" w:rsidP="0066279C">
      <w:pPr>
        <w:spacing w:after="0"/>
        <w:jc w:val="right"/>
        <w:rPr>
          <w:color w:val="000000"/>
          <w:szCs w:val="26"/>
        </w:rPr>
      </w:pPr>
    </w:p>
    <w:p w14:paraId="16D6DE76" w14:textId="77777777" w:rsidR="0066279C" w:rsidRDefault="0066279C" w:rsidP="0066279C">
      <w:pPr>
        <w:spacing w:after="0"/>
        <w:rPr>
          <w:color w:val="000000"/>
          <w:szCs w:val="26"/>
        </w:rPr>
      </w:pPr>
      <w:r>
        <w:rPr>
          <w:color w:val="000000"/>
          <w:szCs w:val="26"/>
        </w:rPr>
        <w:br w:type="page"/>
      </w:r>
    </w:p>
    <w:p w14:paraId="4C21086B" w14:textId="77777777" w:rsidR="0066279C" w:rsidRPr="003B4CDA" w:rsidRDefault="0066279C" w:rsidP="00867A48">
      <w:pPr>
        <w:spacing w:after="120"/>
        <w:jc w:val="right"/>
        <w:rPr>
          <w:color w:val="000000"/>
          <w:szCs w:val="26"/>
        </w:rPr>
      </w:pPr>
      <w:r w:rsidRPr="003B4CDA">
        <w:rPr>
          <w:color w:val="000000"/>
          <w:szCs w:val="26"/>
        </w:rPr>
        <w:lastRenderedPageBreak/>
        <w:t>2.3. attēls</w:t>
      </w:r>
    </w:p>
    <w:p w14:paraId="2A4CC983" w14:textId="4CDF122F" w:rsidR="0066279C" w:rsidRPr="003B4CDA" w:rsidRDefault="0066279C" w:rsidP="00867A48">
      <w:pPr>
        <w:spacing w:after="120"/>
        <w:jc w:val="center"/>
        <w:rPr>
          <w:rFonts w:ascii="Segoe UI Light" w:hAnsi="Segoe UI Light"/>
          <w:i/>
          <w:sz w:val="16"/>
        </w:rPr>
      </w:pPr>
      <w:r w:rsidRPr="003B4CDA">
        <w:rPr>
          <w:rFonts w:ascii="Segoe UI Light" w:hAnsi="Segoe UI Light"/>
          <w:b/>
          <w:bCs/>
          <w:sz w:val="18"/>
          <w:szCs w:val="26"/>
        </w:rPr>
        <w:t>Aizņemtās darbavietas pa nozarēm</w:t>
      </w:r>
      <w:r w:rsidRPr="003B4CDA">
        <w:rPr>
          <w:rFonts w:ascii="Segoe UI Light" w:hAnsi="Segoe UI Light"/>
          <w:b/>
          <w:bCs/>
          <w:sz w:val="18"/>
          <w:szCs w:val="26"/>
        </w:rPr>
        <w:br/>
      </w:r>
      <w:r w:rsidRPr="003B4CDA">
        <w:rPr>
          <w:rFonts w:ascii="Segoe UI Light" w:hAnsi="Segoe UI Light"/>
          <w:i/>
          <w:sz w:val="16"/>
        </w:rPr>
        <w:t>struktūra 20</w:t>
      </w:r>
      <w:r>
        <w:rPr>
          <w:rFonts w:ascii="Segoe UI Light" w:hAnsi="Segoe UI Light"/>
          <w:i/>
          <w:sz w:val="16"/>
        </w:rPr>
        <w:t>23</w:t>
      </w:r>
      <w:r w:rsidRPr="003B4CDA">
        <w:rPr>
          <w:rFonts w:ascii="Segoe UI Light" w:hAnsi="Segoe UI Light"/>
          <w:i/>
          <w:sz w:val="16"/>
        </w:rPr>
        <w:t>.</w:t>
      </w:r>
      <w:r w:rsidR="0080669C">
        <w:rPr>
          <w:rFonts w:ascii="Segoe UI Light" w:hAnsi="Segoe UI Light"/>
          <w:i/>
          <w:sz w:val="16"/>
        </w:rPr>
        <w:t>gad</w:t>
      </w:r>
      <w:r w:rsidRPr="003B4CDA">
        <w:rPr>
          <w:rFonts w:ascii="Segoe UI Light" w:hAnsi="Segoe UI Light"/>
          <w:i/>
          <w:sz w:val="16"/>
        </w:rPr>
        <w:t>ā, procentos</w:t>
      </w:r>
    </w:p>
    <w:p w14:paraId="5F4B591A" w14:textId="77777777" w:rsidR="005F5363" w:rsidRPr="003B4CDA" w:rsidRDefault="005F5363" w:rsidP="005F5363">
      <w:pPr>
        <w:spacing w:after="0"/>
        <w:jc w:val="center"/>
        <w:rPr>
          <w:rFonts w:eastAsiaTheme="minorHAnsi" w:cs="Segoe UI"/>
          <w:szCs w:val="20"/>
        </w:rPr>
      </w:pPr>
      <w:r w:rsidRPr="0048099C">
        <w:rPr>
          <w:rFonts w:ascii="Candara" w:hAnsi="Candara"/>
          <w:noProof/>
          <w:sz w:val="14"/>
          <w:szCs w:val="14"/>
          <w:lang w:val="en-US"/>
        </w:rPr>
        <mc:AlternateContent>
          <mc:Choice Requires="wps">
            <w:drawing>
              <wp:anchor distT="0" distB="0" distL="114300" distR="114300" simplePos="0" relativeHeight="251817175" behindDoc="0" locked="0" layoutInCell="1" allowOverlap="1" wp14:anchorId="68A62777" wp14:editId="4944E515">
                <wp:simplePos x="0" y="0"/>
                <wp:positionH relativeFrom="column">
                  <wp:posOffset>5321300</wp:posOffset>
                </wp:positionH>
                <wp:positionV relativeFrom="paragraph">
                  <wp:posOffset>6850380</wp:posOffset>
                </wp:positionV>
                <wp:extent cx="360000" cy="267582"/>
                <wp:effectExtent l="0" t="0" r="2540"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267582"/>
                        </a:xfrm>
                        <a:prstGeom prst="rect">
                          <a:avLst/>
                        </a:prstGeom>
                        <a:noFill/>
                        <a:ln w="6350">
                          <a:noFill/>
                        </a:ln>
                      </wps:spPr>
                      <wps:txbx>
                        <w:txbxContent>
                          <w:p w14:paraId="14FEBA89"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8A62777" id="Text Box 203" o:spid="_x0000_s1098" type="#_x0000_t202" style="position:absolute;left:0;text-align:left;margin-left:419pt;margin-top:539.4pt;width:28.35pt;height:21.05pt;z-index:251817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" filled="f" stroked="f" strokeweight=".5pt">
                <v:textbox inset="1mm,1mm,1mm,1mm">
                  <w:txbxContent>
                    <w:p w14:paraId="14FEBA89"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16151" behindDoc="0" locked="0" layoutInCell="1" allowOverlap="1" wp14:anchorId="73154332" wp14:editId="11BFDCF0">
                <wp:simplePos x="0" y="0"/>
                <wp:positionH relativeFrom="column">
                  <wp:posOffset>5321607</wp:posOffset>
                </wp:positionH>
                <wp:positionV relativeFrom="paragraph">
                  <wp:posOffset>6731000</wp:posOffset>
                </wp:positionV>
                <wp:extent cx="310317" cy="198603"/>
                <wp:effectExtent l="0" t="0" r="0"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317" cy="198603"/>
                        </a:xfrm>
                        <a:prstGeom prst="rect">
                          <a:avLst/>
                        </a:prstGeom>
                        <a:noFill/>
                        <a:ln w="6350">
                          <a:noFill/>
                        </a:ln>
                      </wps:spPr>
                      <wps:txbx>
                        <w:txbxContent>
                          <w:p w14:paraId="0B46CDEC"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B</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3154332" id="Text Box 202" o:spid="_x0000_s1099" type="#_x0000_t202" style="position:absolute;left:0;text-align:left;margin-left:419pt;margin-top:530pt;width:24.45pt;height:15.65pt;z-index:251816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" filled="f" stroked="f" strokeweight=".5pt">
                <v:textbox inset="2mm,1mm,1mm,1mm">
                  <w:txbxContent>
                    <w:p w14:paraId="0B46CDEC"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B</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15127" behindDoc="0" locked="0" layoutInCell="1" allowOverlap="1" wp14:anchorId="088B9BC3" wp14:editId="6EE340A2">
                <wp:simplePos x="0" y="0"/>
                <wp:positionH relativeFrom="column">
                  <wp:posOffset>4578580</wp:posOffset>
                </wp:positionH>
                <wp:positionV relativeFrom="paragraph">
                  <wp:posOffset>6850380</wp:posOffset>
                </wp:positionV>
                <wp:extent cx="388930" cy="267582"/>
                <wp:effectExtent l="0" t="0" r="0" b="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930" cy="267582"/>
                        </a:xfrm>
                        <a:prstGeom prst="rect">
                          <a:avLst/>
                        </a:prstGeom>
                        <a:noFill/>
                        <a:ln w="6350">
                          <a:noFill/>
                        </a:ln>
                      </wps:spPr>
                      <wps:txbx>
                        <w:txbxContent>
                          <w:p w14:paraId="36569A65"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88B9BC3" id="Text Box 201" o:spid="_x0000_s1100" type="#_x0000_t202" style="position:absolute;left:0;text-align:left;margin-left:360.5pt;margin-top:539.4pt;width:30.6pt;height:21.05pt;z-index:251815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" filled="f" stroked="f" strokeweight=".5pt">
                <v:textbox inset="1mm,1mm,1mm,1mm">
                  <w:txbxContent>
                    <w:p w14:paraId="36569A65"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13079" behindDoc="0" locked="0" layoutInCell="1" allowOverlap="1" wp14:anchorId="1F337AEB" wp14:editId="14FF4AC9">
                <wp:simplePos x="0" y="0"/>
                <wp:positionH relativeFrom="column">
                  <wp:posOffset>5142750</wp:posOffset>
                </wp:positionH>
                <wp:positionV relativeFrom="paragraph">
                  <wp:posOffset>6429093</wp:posOffset>
                </wp:positionV>
                <wp:extent cx="446405" cy="296896"/>
                <wp:effectExtent l="0" t="0" r="0" b="8255"/>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405" cy="296896"/>
                        </a:xfrm>
                        <a:prstGeom prst="rect">
                          <a:avLst/>
                        </a:prstGeom>
                        <a:noFill/>
                        <a:ln w="6350">
                          <a:noFill/>
                        </a:ln>
                      </wps:spPr>
                      <wps:txbx>
                        <w:txbxContent>
                          <w:p w14:paraId="336DEF5B"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1,2</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F337AEB" id="Text Box 197" o:spid="_x0000_s1101" type="#_x0000_t202" style="position:absolute;left:0;text-align:left;margin-left:404.95pt;margin-top:506.25pt;width:35.15pt;height:23.4pt;z-index:251813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" filled="f" stroked="f" strokeweight=".5pt">
                <v:textbox inset="1mm,1mm,1mm,1mm">
                  <w:txbxContent>
                    <w:p w14:paraId="336DEF5B"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1,2</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14103" behindDoc="0" locked="0" layoutInCell="1" allowOverlap="1" wp14:anchorId="20E4CA74" wp14:editId="043777EC">
                <wp:simplePos x="0" y="0"/>
                <wp:positionH relativeFrom="column">
                  <wp:posOffset>4555490</wp:posOffset>
                </wp:positionH>
                <wp:positionV relativeFrom="paragraph">
                  <wp:posOffset>6731328</wp:posOffset>
                </wp:positionV>
                <wp:extent cx="310317" cy="198603"/>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317" cy="198603"/>
                        </a:xfrm>
                        <a:prstGeom prst="rect">
                          <a:avLst/>
                        </a:prstGeom>
                        <a:noFill/>
                        <a:ln w="6350">
                          <a:noFill/>
                        </a:ln>
                      </wps:spPr>
                      <wps:txbx>
                        <w:txbxContent>
                          <w:p w14:paraId="1B8447A8"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E</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0E4CA74" id="Text Box 198" o:spid="_x0000_s1102" type="#_x0000_t202" style="position:absolute;left:0;text-align:left;margin-left:358.7pt;margin-top:530.05pt;width:24.45pt;height:15.65pt;z-index:2518141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" filled="f" stroked="f" strokeweight=".5pt">
                <v:textbox inset="2mm,1mm,1mm,1mm">
                  <w:txbxContent>
                    <w:p w14:paraId="1B8447A8"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E</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12055" behindDoc="0" locked="0" layoutInCell="1" allowOverlap="1" wp14:anchorId="5F00398D" wp14:editId="26ACC57E">
                <wp:simplePos x="0" y="0"/>
                <wp:positionH relativeFrom="column">
                  <wp:posOffset>5141267</wp:posOffset>
                </wp:positionH>
                <wp:positionV relativeFrom="paragraph">
                  <wp:posOffset>5881370</wp:posOffset>
                </wp:positionV>
                <wp:extent cx="310317" cy="198603"/>
                <wp:effectExtent l="0" t="0" r="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317" cy="198603"/>
                        </a:xfrm>
                        <a:prstGeom prst="rect">
                          <a:avLst/>
                        </a:prstGeom>
                        <a:noFill/>
                        <a:ln w="6350">
                          <a:noFill/>
                        </a:ln>
                      </wps:spPr>
                      <wps:txbx>
                        <w:txbxContent>
                          <w:p w14:paraId="3CBDCA74"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D</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F00398D" id="Text Box 196" o:spid="_x0000_s1103" type="#_x0000_t202" style="position:absolute;left:0;text-align:left;margin-left:404.8pt;margin-top:463.1pt;width:24.45pt;height:15.65pt;z-index:2518120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" filled="f" stroked="f" strokeweight=".5pt">
                <v:textbox inset="2mm,1mm,1mm,1mm">
                  <w:txbxContent>
                    <w:p w14:paraId="3CBDCA74"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D</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11031" behindDoc="0" locked="0" layoutInCell="1" allowOverlap="1" wp14:anchorId="4D21427F" wp14:editId="1000E62B">
                <wp:simplePos x="0" y="0"/>
                <wp:positionH relativeFrom="column">
                  <wp:posOffset>4554361</wp:posOffset>
                </wp:positionH>
                <wp:positionV relativeFrom="paragraph">
                  <wp:posOffset>6365941</wp:posOffset>
                </wp:positionV>
                <wp:extent cx="288000" cy="360000"/>
                <wp:effectExtent l="0" t="0" r="0" b="254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60000"/>
                        </a:xfrm>
                        <a:prstGeom prst="rect">
                          <a:avLst/>
                        </a:prstGeom>
                        <a:noFill/>
                        <a:ln w="6350">
                          <a:noFill/>
                        </a:ln>
                      </wps:spPr>
                      <wps:txbx>
                        <w:txbxContent>
                          <w:p w14:paraId="580C967C"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S96</w:t>
                            </w:r>
                          </w:p>
                          <w:p w14:paraId="75F604C9"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D21427F" id="Text Box 195" o:spid="_x0000_s1104" type="#_x0000_t202" style="position:absolute;left:0;text-align:left;margin-left:358.6pt;margin-top:501.25pt;width:22.7pt;height:28.35pt;z-index:251811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" filled="f" stroked="f" strokeweight=".5pt">
                <v:textbox inset="1mm,1mm,1mm,1mm">
                  <w:txbxContent>
                    <w:p w14:paraId="580C967C"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S96</w:t>
                      </w:r>
                    </w:p>
                    <w:p w14:paraId="75F604C9"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10007" behindDoc="0" locked="0" layoutInCell="1" allowOverlap="1" wp14:anchorId="0D8AC5E8" wp14:editId="1FD7174C">
                <wp:simplePos x="0" y="0"/>
                <wp:positionH relativeFrom="column">
                  <wp:posOffset>4556125</wp:posOffset>
                </wp:positionH>
                <wp:positionV relativeFrom="paragraph">
                  <wp:posOffset>6073447</wp:posOffset>
                </wp:positionV>
                <wp:extent cx="576000" cy="216000"/>
                <wp:effectExtent l="0" t="0" r="0"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0" cy="216000"/>
                        </a:xfrm>
                        <a:prstGeom prst="rect">
                          <a:avLst/>
                        </a:prstGeom>
                        <a:noFill/>
                        <a:ln w="6350">
                          <a:noFill/>
                        </a:ln>
                      </wps:spPr>
                      <wps:txbx>
                        <w:txbxContent>
                          <w:p w14:paraId="7A2288E1" w14:textId="77777777" w:rsidR="00B83D7D" w:rsidRPr="00176803" w:rsidRDefault="00B83D7D" w:rsidP="005F5363">
                            <w:pPr>
                              <w:tabs>
                                <w:tab w:val="center" w:pos="709"/>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S94</w:t>
                            </w:r>
                            <w:r>
                              <w:rPr>
                                <w:rFonts w:ascii="Segoe UI Light" w:hAnsi="Segoe UI Light" w:cs="Segoe UI Light"/>
                                <w:color w:val="FFFFFF" w:themeColor="background1"/>
                                <w:sz w:val="16"/>
                                <w:szCs w:val="16"/>
                              </w:rPr>
                              <w:tab/>
                              <w:t>0,6</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D8AC5E8" id="Text Box 194" o:spid="_x0000_s1105" type="#_x0000_t202" style="position:absolute;left:0;text-align:left;margin-left:358.75pt;margin-top:478.2pt;width:45.35pt;height:17pt;z-index:2518100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" filled="f" stroked="f" strokeweight=".5pt">
                <v:textbox inset="1mm,1mm,1mm,1mm">
                  <w:txbxContent>
                    <w:p w14:paraId="7A2288E1" w14:textId="77777777" w:rsidR="00B83D7D" w:rsidRPr="00176803" w:rsidRDefault="00B83D7D" w:rsidP="005F5363">
                      <w:pPr>
                        <w:tabs>
                          <w:tab w:val="center" w:pos="709"/>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S94</w:t>
                      </w:r>
                      <w:r>
                        <w:rPr>
                          <w:rFonts w:ascii="Segoe UI Light" w:hAnsi="Segoe UI Light" w:cs="Segoe UI Light"/>
                          <w:color w:val="FFFFFF" w:themeColor="background1"/>
                          <w:sz w:val="16"/>
                          <w:szCs w:val="16"/>
                        </w:rPr>
                        <w:tab/>
                        <w:t>0,6</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08983" behindDoc="0" locked="0" layoutInCell="1" allowOverlap="1" wp14:anchorId="19A57310" wp14:editId="7B3BE5FB">
                <wp:simplePos x="0" y="0"/>
                <wp:positionH relativeFrom="column">
                  <wp:posOffset>4555217</wp:posOffset>
                </wp:positionH>
                <wp:positionV relativeFrom="paragraph">
                  <wp:posOffset>5882485</wp:posOffset>
                </wp:positionV>
                <wp:extent cx="310317" cy="198603"/>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317" cy="198603"/>
                        </a:xfrm>
                        <a:prstGeom prst="rect">
                          <a:avLst/>
                        </a:prstGeom>
                        <a:noFill/>
                        <a:ln w="6350">
                          <a:noFill/>
                        </a:ln>
                      </wps:spPr>
                      <wps:txbx>
                        <w:txbxContent>
                          <w:p w14:paraId="19EA154E"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S</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9A57310" id="Text Box 193" o:spid="_x0000_s1106" type="#_x0000_t202" style="position:absolute;left:0;text-align:left;margin-left:358.7pt;margin-top:463.2pt;width:24.45pt;height:15.65pt;z-index:251808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" filled="f" stroked="f" strokeweight=".5pt">
                <v:textbox inset="2mm,1mm,1mm,1mm">
                  <w:txbxContent>
                    <w:p w14:paraId="19EA154E"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S</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07959" behindDoc="0" locked="0" layoutInCell="1" allowOverlap="1" wp14:anchorId="43F2BEBA" wp14:editId="528BB8D1">
                <wp:simplePos x="0" y="0"/>
                <wp:positionH relativeFrom="column">
                  <wp:posOffset>4286885</wp:posOffset>
                </wp:positionH>
                <wp:positionV relativeFrom="paragraph">
                  <wp:posOffset>6761787</wp:posOffset>
                </wp:positionV>
                <wp:extent cx="288000" cy="360000"/>
                <wp:effectExtent l="0" t="0" r="0" b="254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60000"/>
                        </a:xfrm>
                        <a:prstGeom prst="rect">
                          <a:avLst/>
                        </a:prstGeom>
                        <a:noFill/>
                        <a:ln w="6350">
                          <a:noFill/>
                        </a:ln>
                      </wps:spPr>
                      <wps:txbx>
                        <w:txbxContent>
                          <w:p w14:paraId="444004A9"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K65</w:t>
                            </w:r>
                          </w:p>
                          <w:p w14:paraId="66FFB17E"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0,3</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3F2BEBA" id="Text Box 192" o:spid="_x0000_s1107" type="#_x0000_t202" style="position:absolute;left:0;text-align:left;margin-left:337.55pt;margin-top:532.4pt;width:22.7pt;height:28.35pt;z-index:2518079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" filled="f" stroked="f" strokeweight=".5pt">
                <v:textbox inset="1mm,1mm,1mm,1mm">
                  <w:txbxContent>
                    <w:p w14:paraId="444004A9"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K65</w:t>
                      </w:r>
                    </w:p>
                    <w:p w14:paraId="66FFB17E"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0,3</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06935" behindDoc="0" locked="0" layoutInCell="1" allowOverlap="1" wp14:anchorId="553DFC32" wp14:editId="4600F4F0">
                <wp:simplePos x="0" y="0"/>
                <wp:positionH relativeFrom="column">
                  <wp:posOffset>3953510</wp:posOffset>
                </wp:positionH>
                <wp:positionV relativeFrom="paragraph">
                  <wp:posOffset>6760845</wp:posOffset>
                </wp:positionV>
                <wp:extent cx="288000" cy="360000"/>
                <wp:effectExtent l="0" t="0" r="0" b="254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60000"/>
                        </a:xfrm>
                        <a:prstGeom prst="rect">
                          <a:avLst/>
                        </a:prstGeom>
                        <a:noFill/>
                        <a:ln w="6350">
                          <a:noFill/>
                        </a:ln>
                      </wps:spPr>
                      <wps:txbx>
                        <w:txbxContent>
                          <w:p w14:paraId="7A491067"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K66</w:t>
                            </w:r>
                          </w:p>
                          <w:p w14:paraId="60073341"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53DFC32" id="Text Box 191" o:spid="_x0000_s1108" type="#_x0000_t202" style="position:absolute;left:0;text-align:left;margin-left:311.3pt;margin-top:532.35pt;width:22.7pt;height:28.35pt;z-index:251806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" filled="f" stroked="f" strokeweight=".5pt">
                <v:textbox inset="1mm,1mm,1mm,1mm">
                  <w:txbxContent>
                    <w:p w14:paraId="7A491067"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K66</w:t>
                      </w:r>
                    </w:p>
                    <w:p w14:paraId="60073341"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05911" behindDoc="0" locked="0" layoutInCell="1" allowOverlap="1" wp14:anchorId="2DC16ECF" wp14:editId="70C4C9F2">
                <wp:simplePos x="0" y="0"/>
                <wp:positionH relativeFrom="column">
                  <wp:posOffset>3957320</wp:posOffset>
                </wp:positionH>
                <wp:positionV relativeFrom="paragraph">
                  <wp:posOffset>6393815</wp:posOffset>
                </wp:positionV>
                <wp:extent cx="576000" cy="252000"/>
                <wp:effectExtent l="0" t="0" r="0" b="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0" cy="252000"/>
                        </a:xfrm>
                        <a:prstGeom prst="rect">
                          <a:avLst/>
                        </a:prstGeom>
                        <a:noFill/>
                        <a:ln w="6350">
                          <a:noFill/>
                        </a:ln>
                      </wps:spPr>
                      <wps:txbx>
                        <w:txbxContent>
                          <w:p w14:paraId="0F463DED" w14:textId="77777777" w:rsidR="00B83D7D" w:rsidRPr="00176803" w:rsidRDefault="00B83D7D" w:rsidP="005F5363">
                            <w:pPr>
                              <w:tabs>
                                <w:tab w:val="center" w:pos="709"/>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K64</w:t>
                            </w:r>
                            <w:r>
                              <w:rPr>
                                <w:rFonts w:ascii="Segoe UI Light" w:hAnsi="Segoe UI Light" w:cs="Segoe UI Light"/>
                                <w:color w:val="FFFFFF" w:themeColor="background1"/>
                                <w:sz w:val="16"/>
                                <w:szCs w:val="16"/>
                              </w:rPr>
                              <w:tab/>
                              <w:t>1,1</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DC16ECF" id="Text Box 190" o:spid="_x0000_s1109" type="#_x0000_t202" style="position:absolute;left:0;text-align:left;margin-left:311.6pt;margin-top:503.45pt;width:45.35pt;height:19.85pt;z-index:251805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" filled="f" stroked="f" strokeweight=".5pt">
                <v:textbox inset="1mm,1mm,1mm,1mm">
                  <w:txbxContent>
                    <w:p w14:paraId="0F463DED" w14:textId="77777777" w:rsidR="00B83D7D" w:rsidRPr="00176803" w:rsidRDefault="00B83D7D" w:rsidP="005F5363">
                      <w:pPr>
                        <w:tabs>
                          <w:tab w:val="center" w:pos="709"/>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K64</w:t>
                      </w:r>
                      <w:r>
                        <w:rPr>
                          <w:rFonts w:ascii="Segoe UI Light" w:hAnsi="Segoe UI Light" w:cs="Segoe UI Light"/>
                          <w:color w:val="FFFFFF" w:themeColor="background1"/>
                          <w:sz w:val="16"/>
                          <w:szCs w:val="16"/>
                        </w:rPr>
                        <w:tab/>
                        <w:t>1,1</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04887" behindDoc="0" locked="0" layoutInCell="1" allowOverlap="1" wp14:anchorId="48844572" wp14:editId="1568FC0F">
                <wp:simplePos x="0" y="0"/>
                <wp:positionH relativeFrom="column">
                  <wp:posOffset>3931920</wp:posOffset>
                </wp:positionH>
                <wp:positionV relativeFrom="paragraph">
                  <wp:posOffset>5884545</wp:posOffset>
                </wp:positionV>
                <wp:extent cx="648000" cy="612000"/>
                <wp:effectExtent l="0" t="0" r="0" b="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000" cy="612000"/>
                        </a:xfrm>
                        <a:prstGeom prst="rect">
                          <a:avLst/>
                        </a:prstGeom>
                        <a:noFill/>
                        <a:ln w="6350">
                          <a:noFill/>
                        </a:ln>
                      </wps:spPr>
                      <wps:txbx>
                        <w:txbxContent>
                          <w:p w14:paraId="14C26380"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Finanšu un apdrošinā-šanas darbības</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8844572" id="Text Box 189" o:spid="_x0000_s1110" type="#_x0000_t202" style="position:absolute;left:0;text-align:left;margin-left:309.6pt;margin-top:463.35pt;width:51pt;height:48.2pt;z-index:251804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" filled="f" stroked="f" strokeweight=".5pt">
                <v:textbox inset="2mm,1mm,1mm,1mm">
                  <w:txbxContent>
                    <w:p w14:paraId="14C26380"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Finanšu un apdrošinā-šanas darbības</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03863" behindDoc="0" locked="0" layoutInCell="1" allowOverlap="1" wp14:anchorId="779A9686" wp14:editId="008D9309">
                <wp:simplePos x="0" y="0"/>
                <wp:positionH relativeFrom="column">
                  <wp:posOffset>4832985</wp:posOffset>
                </wp:positionH>
                <wp:positionV relativeFrom="paragraph">
                  <wp:posOffset>5086985</wp:posOffset>
                </wp:positionV>
                <wp:extent cx="828000" cy="252000"/>
                <wp:effectExtent l="0" t="0" r="0" b="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000" cy="252000"/>
                        </a:xfrm>
                        <a:prstGeom prst="rect">
                          <a:avLst/>
                        </a:prstGeom>
                        <a:noFill/>
                        <a:ln w="6350">
                          <a:noFill/>
                        </a:ln>
                      </wps:spPr>
                      <wps:txbx>
                        <w:txbxContent>
                          <w:p w14:paraId="006FD409" w14:textId="77777777" w:rsidR="00B83D7D" w:rsidRPr="00176803" w:rsidRDefault="00B83D7D" w:rsidP="005F5363">
                            <w:pPr>
                              <w:tabs>
                                <w:tab w:val="center" w:pos="993"/>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A02</w:t>
                            </w:r>
                            <w:r>
                              <w:rPr>
                                <w:rFonts w:ascii="Segoe UI Light" w:hAnsi="Segoe UI Light" w:cs="Segoe UI Light"/>
                                <w:color w:val="FFFFFF" w:themeColor="background1"/>
                                <w:sz w:val="16"/>
                                <w:szCs w:val="16"/>
                              </w:rPr>
                              <w:tab/>
                              <w:t>1,1</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79A9686" id="Text Box 188" o:spid="_x0000_s1111" type="#_x0000_t202" style="position:absolute;left:0;text-align:left;margin-left:380.55pt;margin-top:400.55pt;width:65.2pt;height:19.85pt;z-index:251803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" filled="f" stroked="f" strokeweight=".5pt">
                <v:textbox inset="1mm,1mm,1mm,1mm">
                  <w:txbxContent>
                    <w:p w14:paraId="006FD409" w14:textId="77777777" w:rsidR="00B83D7D" w:rsidRPr="00176803" w:rsidRDefault="00B83D7D" w:rsidP="005F5363">
                      <w:pPr>
                        <w:tabs>
                          <w:tab w:val="center" w:pos="993"/>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A02</w:t>
                      </w:r>
                      <w:r>
                        <w:rPr>
                          <w:rFonts w:ascii="Segoe UI Light" w:hAnsi="Segoe UI Light" w:cs="Segoe UI Light"/>
                          <w:color w:val="FFFFFF" w:themeColor="background1"/>
                          <w:sz w:val="16"/>
                          <w:szCs w:val="16"/>
                        </w:rPr>
                        <w:tab/>
                        <w:t>1,1</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02839" behindDoc="0" locked="0" layoutInCell="1" allowOverlap="1" wp14:anchorId="524E7997" wp14:editId="279B6DF9">
                <wp:simplePos x="0" y="0"/>
                <wp:positionH relativeFrom="column">
                  <wp:posOffset>4831715</wp:posOffset>
                </wp:positionH>
                <wp:positionV relativeFrom="paragraph">
                  <wp:posOffset>5394325</wp:posOffset>
                </wp:positionV>
                <wp:extent cx="720000" cy="486000"/>
                <wp:effectExtent l="0" t="0" r="4445" b="9525"/>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00" cy="486000"/>
                        </a:xfrm>
                        <a:prstGeom prst="rect">
                          <a:avLst/>
                        </a:prstGeom>
                        <a:noFill/>
                        <a:ln w="6350">
                          <a:noFill/>
                        </a:ln>
                      </wps:spPr>
                      <wps:txbx>
                        <w:txbxContent>
                          <w:p w14:paraId="5D260907"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Augkopība un lopkopība</w:t>
                            </w:r>
                          </w:p>
                          <w:p w14:paraId="17352E62"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1,1</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24E7997" id="Text Box 187" o:spid="_x0000_s1112" type="#_x0000_t202" style="position:absolute;left:0;text-align:left;margin-left:380.45pt;margin-top:424.75pt;width:56.7pt;height:38.25pt;z-index:251802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" filled="f" stroked="f" strokeweight=".5pt">
                <v:textbox inset="1mm,1mm,1mm,1mm">
                  <w:txbxContent>
                    <w:p w14:paraId="5D260907"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Augkopība un lopkopība</w:t>
                      </w:r>
                    </w:p>
                    <w:p w14:paraId="17352E62"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1,1</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01815" behindDoc="0" locked="0" layoutInCell="1" allowOverlap="1" wp14:anchorId="10D6BFC7" wp14:editId="1987F25D">
                <wp:simplePos x="0" y="0"/>
                <wp:positionH relativeFrom="column">
                  <wp:posOffset>4831080</wp:posOffset>
                </wp:positionH>
                <wp:positionV relativeFrom="paragraph">
                  <wp:posOffset>4729480</wp:posOffset>
                </wp:positionV>
                <wp:extent cx="864000" cy="504000"/>
                <wp:effectExtent l="0" t="0" r="0"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4000" cy="504000"/>
                        </a:xfrm>
                        <a:prstGeom prst="rect">
                          <a:avLst/>
                        </a:prstGeom>
                        <a:noFill/>
                        <a:ln w="6350">
                          <a:noFill/>
                        </a:ln>
                      </wps:spPr>
                      <wps:txbx>
                        <w:txbxContent>
                          <w:p w14:paraId="6E412690"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sidRPr="00F5624A">
                              <w:rPr>
                                <w:rFonts w:ascii="Segoe UI Light" w:hAnsi="Segoe UI Light" w:cs="Segoe UI Light"/>
                                <w:b/>
                                <w:bCs/>
                                <w:color w:val="FFFFFF" w:themeColor="background1"/>
                                <w:sz w:val="16"/>
                                <w:szCs w:val="16"/>
                              </w:rPr>
                              <w:t>Lauksaimniecība, mežsaimniecība un zivsaimniecība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0D6BFC7" id="Text Box 186" o:spid="_x0000_s1113" type="#_x0000_t202" style="position:absolute;left:0;text-align:left;margin-left:380.4pt;margin-top:372.4pt;width:68.05pt;height:39.7pt;z-index:251801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" filled="f" stroked="f" strokeweight=".5pt">
                <v:textbox inset="2mm,1mm,1mm,1mm">
                  <w:txbxContent>
                    <w:p w14:paraId="6E412690"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sidRPr="00F5624A">
                        <w:rPr>
                          <w:rFonts w:ascii="Segoe UI Light" w:hAnsi="Segoe UI Light" w:cs="Segoe UI Light"/>
                          <w:b/>
                          <w:bCs/>
                          <w:color w:val="FFFFFF" w:themeColor="background1"/>
                          <w:sz w:val="16"/>
                          <w:szCs w:val="16"/>
                        </w:rPr>
                        <w:t>Lauksaimniecība, mežsaimniecība un zivsaimniecība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800791" behindDoc="0" locked="0" layoutInCell="1" allowOverlap="1" wp14:anchorId="0F698EB0" wp14:editId="5F93B28E">
                <wp:simplePos x="0" y="0"/>
                <wp:positionH relativeFrom="column">
                  <wp:posOffset>4526608</wp:posOffset>
                </wp:positionH>
                <wp:positionV relativeFrom="paragraph">
                  <wp:posOffset>5520055</wp:posOffset>
                </wp:positionV>
                <wp:extent cx="288000" cy="360000"/>
                <wp:effectExtent l="0" t="0" r="0" b="254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60000"/>
                        </a:xfrm>
                        <a:prstGeom prst="rect">
                          <a:avLst/>
                        </a:prstGeom>
                        <a:noFill/>
                        <a:ln w="6350">
                          <a:noFill/>
                        </a:ln>
                      </wps:spPr>
                      <wps:txbx>
                        <w:txbxContent>
                          <w:p w14:paraId="54714EA8"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R92</w:t>
                            </w:r>
                          </w:p>
                          <w:p w14:paraId="19E3760C"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F698EB0" id="Text Box 185" o:spid="_x0000_s1114" type="#_x0000_t202" style="position:absolute;left:0;text-align:left;margin-left:356.45pt;margin-top:434.65pt;width:22.7pt;height:28.35pt;z-index:251800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" filled="f" stroked="f" strokeweight=".5pt">
                <v:textbox inset="1mm,1mm,1mm,1mm">
                  <w:txbxContent>
                    <w:p w14:paraId="54714EA8"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R92</w:t>
                      </w:r>
                    </w:p>
                    <w:p w14:paraId="19E3760C"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99767" behindDoc="0" locked="0" layoutInCell="1" allowOverlap="1" wp14:anchorId="4035C967" wp14:editId="6A7C49C2">
                <wp:simplePos x="0" y="0"/>
                <wp:positionH relativeFrom="column">
                  <wp:posOffset>4516755</wp:posOffset>
                </wp:positionH>
                <wp:positionV relativeFrom="paragraph">
                  <wp:posOffset>5130165</wp:posOffset>
                </wp:positionV>
                <wp:extent cx="288000" cy="360000"/>
                <wp:effectExtent l="0" t="0" r="0" b="254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60000"/>
                        </a:xfrm>
                        <a:prstGeom prst="rect">
                          <a:avLst/>
                        </a:prstGeom>
                        <a:noFill/>
                        <a:ln w="6350">
                          <a:noFill/>
                        </a:ln>
                      </wps:spPr>
                      <wps:txbx>
                        <w:txbxContent>
                          <w:p w14:paraId="46347D3B"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R93</w:t>
                            </w:r>
                          </w:p>
                          <w:p w14:paraId="66B51639"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035C967" id="Text Box 184" o:spid="_x0000_s1115" type="#_x0000_t202" style="position:absolute;left:0;text-align:left;margin-left:355.65pt;margin-top:403.95pt;width:22.7pt;height:28.35pt;z-index:251799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" filled="f" stroked="f" strokeweight=".5pt">
                <v:textbox inset="1mm,1mm,1mm,1mm">
                  <w:txbxContent>
                    <w:p w14:paraId="46347D3B"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R93</w:t>
                      </w:r>
                    </w:p>
                    <w:p w14:paraId="66B51639"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98743" behindDoc="0" locked="0" layoutInCell="1" allowOverlap="1" wp14:anchorId="3D269369" wp14:editId="0BF1E742">
                <wp:simplePos x="0" y="0"/>
                <wp:positionH relativeFrom="column">
                  <wp:posOffset>3954780</wp:posOffset>
                </wp:positionH>
                <wp:positionV relativeFrom="paragraph">
                  <wp:posOffset>5516880</wp:posOffset>
                </wp:positionV>
                <wp:extent cx="360000" cy="360000"/>
                <wp:effectExtent l="0" t="0" r="2540" b="254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60000"/>
                        </a:xfrm>
                        <a:prstGeom prst="rect">
                          <a:avLst/>
                        </a:prstGeom>
                        <a:noFill/>
                        <a:ln w="6350">
                          <a:noFill/>
                        </a:ln>
                      </wps:spPr>
                      <wps:txbx>
                        <w:txbxContent>
                          <w:p w14:paraId="4C228816"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R91</w:t>
                            </w:r>
                          </w:p>
                          <w:p w14:paraId="63CB85BD"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D269369" id="Text Box 183" o:spid="_x0000_s1116" type="#_x0000_t202" style="position:absolute;left:0;text-align:left;margin-left:311.4pt;margin-top:434.4pt;width:28.35pt;height:28.35pt;z-index:251798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" filled="f" stroked="f" strokeweight=".5pt">
                <v:textbox inset="1mm,1mm,1mm,1mm">
                  <w:txbxContent>
                    <w:p w14:paraId="4C228816"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R91</w:t>
                      </w:r>
                    </w:p>
                    <w:p w14:paraId="63CB85BD"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97719" behindDoc="0" locked="0" layoutInCell="1" allowOverlap="1" wp14:anchorId="5A4186B9" wp14:editId="1EDA4671">
                <wp:simplePos x="0" y="0"/>
                <wp:positionH relativeFrom="column">
                  <wp:posOffset>3956685</wp:posOffset>
                </wp:positionH>
                <wp:positionV relativeFrom="paragraph">
                  <wp:posOffset>5006975</wp:posOffset>
                </wp:positionV>
                <wp:extent cx="540000" cy="486000"/>
                <wp:effectExtent l="0" t="0" r="0" b="9525"/>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0" cy="486000"/>
                        </a:xfrm>
                        <a:prstGeom prst="rect">
                          <a:avLst/>
                        </a:prstGeom>
                        <a:noFill/>
                        <a:ln w="6350">
                          <a:noFill/>
                        </a:ln>
                      </wps:spPr>
                      <wps:txbx>
                        <w:txbxContent>
                          <w:p w14:paraId="11D68405"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Izklaides darbības</w:t>
                            </w:r>
                          </w:p>
                          <w:p w14:paraId="6D937DEB"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1,1</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A4186B9" id="Text Box 182" o:spid="_x0000_s1117" type="#_x0000_t202" style="position:absolute;left:0;text-align:left;margin-left:311.55pt;margin-top:394.25pt;width:42.5pt;height:38.25pt;z-index:251797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" filled="f" stroked="f" strokeweight=".5pt">
                <v:textbox inset="1mm,1mm,1mm,1mm">
                  <w:txbxContent>
                    <w:p w14:paraId="11D68405"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Izklaides darbības</w:t>
                      </w:r>
                    </w:p>
                    <w:p w14:paraId="6D937DEB"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1,1</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96695" behindDoc="0" locked="0" layoutInCell="1" allowOverlap="1" wp14:anchorId="36CD31B8" wp14:editId="78F9436C">
                <wp:simplePos x="0" y="0"/>
                <wp:positionH relativeFrom="column">
                  <wp:posOffset>3954145</wp:posOffset>
                </wp:positionH>
                <wp:positionV relativeFrom="paragraph">
                  <wp:posOffset>4726940</wp:posOffset>
                </wp:positionV>
                <wp:extent cx="792000" cy="360000"/>
                <wp:effectExtent l="0" t="0" r="8255" b="254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2000" cy="360000"/>
                        </a:xfrm>
                        <a:prstGeom prst="rect">
                          <a:avLst/>
                        </a:prstGeom>
                        <a:noFill/>
                        <a:ln w="6350">
                          <a:noFill/>
                        </a:ln>
                      </wps:spPr>
                      <wps:txbx>
                        <w:txbxContent>
                          <w:p w14:paraId="4E5292DC" w14:textId="77777777" w:rsidR="00B83D7D" w:rsidRPr="0080669C" w:rsidRDefault="00B83D7D" w:rsidP="005F5363">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Māksla, izklaide un atpūta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6CD31B8" id="Text Box 181" o:spid="_x0000_s1118" type="#_x0000_t202" style="position:absolute;left:0;text-align:left;margin-left:311.35pt;margin-top:372.2pt;width:62.35pt;height:28.35pt;z-index:251796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" filled="f" stroked="f" strokeweight=".5pt">
                <v:textbox inset="2mm,1mm,1mm,1mm">
                  <w:txbxContent>
                    <w:p w14:paraId="4E5292DC" w14:textId="77777777" w:rsidR="00B83D7D" w:rsidRPr="0080669C" w:rsidRDefault="00B83D7D" w:rsidP="005F5363">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Māksla, izklaide un atpūta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95671" behindDoc="0" locked="0" layoutInCell="1" allowOverlap="1" wp14:anchorId="0D9C6F70" wp14:editId="456BD010">
                <wp:simplePos x="0" y="0"/>
                <wp:positionH relativeFrom="column">
                  <wp:posOffset>2858324</wp:posOffset>
                </wp:positionH>
                <wp:positionV relativeFrom="paragraph">
                  <wp:posOffset>6759727</wp:posOffset>
                </wp:positionV>
                <wp:extent cx="900000" cy="359410"/>
                <wp:effectExtent l="0" t="0" r="0" b="254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359410"/>
                        </a:xfrm>
                        <a:prstGeom prst="rect">
                          <a:avLst/>
                        </a:prstGeom>
                        <a:noFill/>
                        <a:ln w="6350">
                          <a:noFill/>
                        </a:ln>
                      </wps:spPr>
                      <wps:txbx>
                        <w:txbxContent>
                          <w:p w14:paraId="50D8F0BD"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3,1</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D9C6F70" id="Text Box 180" o:spid="_x0000_s1119" type="#_x0000_t202" style="position:absolute;left:0;text-align:left;margin-left:225.05pt;margin-top:532.25pt;width:70.85pt;height:28.3pt;z-index:251795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" filled="f" stroked="f" strokeweight=".5pt">
                <v:textbox inset="1mm,1mm,1mm,1mm">
                  <w:txbxContent>
                    <w:p w14:paraId="50D8F0BD"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3,1</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94647" behindDoc="0" locked="0" layoutInCell="1" allowOverlap="1" wp14:anchorId="5419CE60" wp14:editId="7D0F2D89">
                <wp:simplePos x="0" y="0"/>
                <wp:positionH relativeFrom="column">
                  <wp:posOffset>2858135</wp:posOffset>
                </wp:positionH>
                <wp:positionV relativeFrom="paragraph">
                  <wp:posOffset>6003618</wp:posOffset>
                </wp:positionV>
                <wp:extent cx="1080000" cy="504000"/>
                <wp:effectExtent l="0" t="0" r="635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000" cy="504000"/>
                        </a:xfrm>
                        <a:prstGeom prst="rect">
                          <a:avLst/>
                        </a:prstGeom>
                        <a:noFill/>
                        <a:ln w="6350">
                          <a:noFill/>
                        </a:ln>
                      </wps:spPr>
                      <wps:txbx>
                        <w:txbxContent>
                          <w:p w14:paraId="2D98754D"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Operācijas ar nekustamo īpašumu</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419CE60" id="Text Box 179" o:spid="_x0000_s1120" type="#_x0000_t202" style="position:absolute;left:0;text-align:left;margin-left:225.05pt;margin-top:472.75pt;width:85.05pt;height:39.7pt;z-index:251794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" filled="f" stroked="f" strokeweight=".5pt">
                <v:textbox inset="2mm,1mm,1mm,1mm">
                  <w:txbxContent>
                    <w:p w14:paraId="2D98754D"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Operācijas ar nekustamo īpašumu</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93623" behindDoc="0" locked="0" layoutInCell="1" allowOverlap="1" wp14:anchorId="4A52D9DA" wp14:editId="677C6E6A">
                <wp:simplePos x="0" y="0"/>
                <wp:positionH relativeFrom="column">
                  <wp:posOffset>2859077</wp:posOffset>
                </wp:positionH>
                <wp:positionV relativeFrom="paragraph">
                  <wp:posOffset>5744210</wp:posOffset>
                </wp:positionV>
                <wp:extent cx="1080000" cy="252000"/>
                <wp:effectExtent l="0" t="0" r="635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000" cy="252000"/>
                        </a:xfrm>
                        <a:prstGeom prst="rect">
                          <a:avLst/>
                        </a:prstGeom>
                        <a:noFill/>
                        <a:ln w="6350">
                          <a:noFill/>
                        </a:ln>
                      </wps:spPr>
                      <wps:txbx>
                        <w:txbxContent>
                          <w:p w14:paraId="4CD8E15D" w14:textId="77777777" w:rsidR="00B83D7D" w:rsidRPr="00176803" w:rsidRDefault="00B83D7D" w:rsidP="005F5363">
                            <w:pPr>
                              <w:tabs>
                                <w:tab w:val="center" w:pos="1386"/>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Izmitināšana</w:t>
                            </w:r>
                            <w:r>
                              <w:rPr>
                                <w:rFonts w:ascii="Segoe UI Light" w:hAnsi="Segoe UI Light" w:cs="Segoe UI Light"/>
                                <w:color w:val="FFFFFF" w:themeColor="background1"/>
                                <w:sz w:val="16"/>
                                <w:szCs w:val="16"/>
                              </w:rPr>
                              <w:tab/>
                              <w:t>0,7</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A52D9DA" id="Text Box 178" o:spid="_x0000_s1121" type="#_x0000_t202" style="position:absolute;left:0;text-align:left;margin-left:225.1pt;margin-top:452.3pt;width:85.05pt;height:19.85pt;z-index:251793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" filled="f" stroked="f" strokeweight=".5pt">
                <v:textbox inset="1mm,1mm,1mm,1mm">
                  <w:txbxContent>
                    <w:p w14:paraId="4CD8E15D" w14:textId="77777777" w:rsidR="00B83D7D" w:rsidRPr="00176803" w:rsidRDefault="00B83D7D" w:rsidP="005F5363">
                      <w:pPr>
                        <w:tabs>
                          <w:tab w:val="center" w:pos="1386"/>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Izmitināšana</w:t>
                      </w:r>
                      <w:r>
                        <w:rPr>
                          <w:rFonts w:ascii="Segoe UI Light" w:hAnsi="Segoe UI Light" w:cs="Segoe UI Light"/>
                          <w:color w:val="FFFFFF" w:themeColor="background1"/>
                          <w:sz w:val="16"/>
                          <w:szCs w:val="16"/>
                        </w:rPr>
                        <w:tab/>
                        <w:t>0,7</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92599" behindDoc="0" locked="0" layoutInCell="1" allowOverlap="1" wp14:anchorId="2BA4B9C4" wp14:editId="69776533">
                <wp:simplePos x="0" y="0"/>
                <wp:positionH relativeFrom="column">
                  <wp:posOffset>2857500</wp:posOffset>
                </wp:positionH>
                <wp:positionV relativeFrom="paragraph">
                  <wp:posOffset>5278120</wp:posOffset>
                </wp:positionV>
                <wp:extent cx="1080000" cy="468000"/>
                <wp:effectExtent l="0" t="0" r="6350" b="8255"/>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000" cy="468000"/>
                        </a:xfrm>
                        <a:prstGeom prst="rect">
                          <a:avLst/>
                        </a:prstGeom>
                        <a:noFill/>
                        <a:ln w="6350">
                          <a:noFill/>
                        </a:ln>
                      </wps:spPr>
                      <wps:txbx>
                        <w:txbxContent>
                          <w:p w14:paraId="374A972F"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Ēdināšanas pakalpojumi</w:t>
                            </w:r>
                          </w:p>
                          <w:p w14:paraId="4396BD37"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2,8</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BA4B9C4" id="Text Box 177" o:spid="_x0000_s1122" type="#_x0000_t202" style="position:absolute;left:0;text-align:left;margin-left:225pt;margin-top:415.6pt;width:85.05pt;height:36.85pt;z-index:2517925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" filled="f" stroked="f" strokeweight=".5pt">
                <v:textbox inset="1mm,1mm,1mm,1mm">
                  <w:txbxContent>
                    <w:p w14:paraId="374A972F"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Ēdināšanas pakalpojumi</w:t>
                      </w:r>
                    </w:p>
                    <w:p w14:paraId="4396BD37"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2,8</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91575" behindDoc="0" locked="0" layoutInCell="1" allowOverlap="1" wp14:anchorId="24723CEE" wp14:editId="4D984369">
                <wp:simplePos x="0" y="0"/>
                <wp:positionH relativeFrom="column">
                  <wp:posOffset>2859405</wp:posOffset>
                </wp:positionH>
                <wp:positionV relativeFrom="paragraph">
                  <wp:posOffset>4726305</wp:posOffset>
                </wp:positionV>
                <wp:extent cx="1080000" cy="504000"/>
                <wp:effectExtent l="0" t="0" r="6350" b="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000" cy="504000"/>
                        </a:xfrm>
                        <a:prstGeom prst="rect">
                          <a:avLst/>
                        </a:prstGeom>
                        <a:noFill/>
                        <a:ln w="6350">
                          <a:noFill/>
                        </a:ln>
                      </wps:spPr>
                      <wps:txbx>
                        <w:txbxContent>
                          <w:p w14:paraId="08E5CA57"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 xml:space="preserve">Izmitināšana un ēdināšanas </w:t>
                            </w:r>
                            <w:r w:rsidRPr="00574306">
                              <w:rPr>
                                <w:rFonts w:ascii="Segoe UI Light" w:hAnsi="Segoe UI Light" w:cs="Segoe UI Light"/>
                                <w:b/>
                                <w:bCs/>
                                <w:color w:val="FFFFFF" w:themeColor="background1"/>
                                <w:sz w:val="16"/>
                                <w:szCs w:val="16"/>
                              </w:rPr>
                              <w:t>pakalpojumi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4723CEE" id="Text Box 176" o:spid="_x0000_s1123" type="#_x0000_t202" style="position:absolute;left:0;text-align:left;margin-left:225.15pt;margin-top:372.15pt;width:85.05pt;height:39.7pt;z-index:251791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" filled="f" stroked="f" strokeweight=".5pt">
                <v:textbox inset="2mm,1mm,1mm,1mm">
                  <w:txbxContent>
                    <w:p w14:paraId="08E5CA57" w14:textId="77777777" w:rsidR="00B83D7D" w:rsidRPr="00574306"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 xml:space="preserve">Izmitināšana un ēdināšanas </w:t>
                      </w:r>
                      <w:r w:rsidRPr="00574306">
                        <w:rPr>
                          <w:rFonts w:ascii="Segoe UI Light" w:hAnsi="Segoe UI Light" w:cs="Segoe UI Light"/>
                          <w:b/>
                          <w:bCs/>
                          <w:color w:val="FFFFFF" w:themeColor="background1"/>
                          <w:sz w:val="16"/>
                          <w:szCs w:val="16"/>
                        </w:rPr>
                        <w:t>pakalpojumi</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90551" behindDoc="0" locked="0" layoutInCell="1" allowOverlap="1" wp14:anchorId="655F01E3" wp14:editId="08D84D24">
                <wp:simplePos x="0" y="0"/>
                <wp:positionH relativeFrom="column">
                  <wp:posOffset>5088890</wp:posOffset>
                </wp:positionH>
                <wp:positionV relativeFrom="paragraph">
                  <wp:posOffset>4538673</wp:posOffset>
                </wp:positionV>
                <wp:extent cx="597621" cy="198602"/>
                <wp:effectExtent l="0"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21" cy="198602"/>
                        </a:xfrm>
                        <a:prstGeom prst="rect">
                          <a:avLst/>
                        </a:prstGeom>
                        <a:noFill/>
                        <a:ln w="6350">
                          <a:noFill/>
                        </a:ln>
                      </wps:spPr>
                      <wps:txbx>
                        <w:txbxContent>
                          <w:p w14:paraId="72901989"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N79    0,2</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55F01E3" id="Text Box 175" o:spid="_x0000_s1124" type="#_x0000_t202" style="position:absolute;left:0;text-align:left;margin-left:400.7pt;margin-top:357.4pt;width:47.05pt;height:15.65pt;z-index:251790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" filled="f" stroked="f" strokeweight=".5pt">
                <v:textbox inset="1mm,1mm,1mm,1mm">
                  <w:txbxContent>
                    <w:p w14:paraId="72901989"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N79    0,2</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89527" behindDoc="0" locked="0" layoutInCell="1" allowOverlap="1" wp14:anchorId="6D14123A" wp14:editId="360C2518">
                <wp:simplePos x="0" y="0"/>
                <wp:positionH relativeFrom="column">
                  <wp:posOffset>5400368</wp:posOffset>
                </wp:positionH>
                <wp:positionV relativeFrom="paragraph">
                  <wp:posOffset>4224020</wp:posOffset>
                </wp:positionV>
                <wp:extent cx="360000" cy="359410"/>
                <wp:effectExtent l="0" t="0" r="2540" b="254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1D3083E0"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N82</w:t>
                            </w:r>
                          </w:p>
                          <w:p w14:paraId="693FD973"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D14123A" id="Text Box 173" o:spid="_x0000_s1125" type="#_x0000_t202" style="position:absolute;left:0;text-align:left;margin-left:425.25pt;margin-top:332.6pt;width:28.35pt;height:28.3pt;z-index:251789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" filled="f" stroked="f" strokeweight=".5pt">
                <v:textbox inset="1mm,1mm,1mm,1mm">
                  <w:txbxContent>
                    <w:p w14:paraId="1D3083E0"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N82</w:t>
                      </w:r>
                    </w:p>
                    <w:p w14:paraId="693FD973"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88503" behindDoc="0" locked="0" layoutInCell="1" allowOverlap="1" wp14:anchorId="0AF7E476" wp14:editId="63043511">
                <wp:simplePos x="0" y="0"/>
                <wp:positionH relativeFrom="column">
                  <wp:posOffset>5089197</wp:posOffset>
                </wp:positionH>
                <wp:positionV relativeFrom="paragraph">
                  <wp:posOffset>4224655</wp:posOffset>
                </wp:positionV>
                <wp:extent cx="360000" cy="359410"/>
                <wp:effectExtent l="0" t="0" r="2540" b="254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51861001"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N77</w:t>
                            </w:r>
                          </w:p>
                          <w:p w14:paraId="1F20E08A"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AF7E476" id="Text Box 172" o:spid="_x0000_s1126" type="#_x0000_t202" style="position:absolute;left:0;text-align:left;margin-left:400.7pt;margin-top:332.65pt;width:28.35pt;height:28.3pt;z-index:25178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" filled="f" stroked="f" strokeweight=".5pt">
                <v:textbox inset="1mm,1mm,1mm,1mm">
                  <w:txbxContent>
                    <w:p w14:paraId="51861001"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N77</w:t>
                      </w:r>
                    </w:p>
                    <w:p w14:paraId="1F20E08A"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87479" behindDoc="0" locked="0" layoutInCell="1" allowOverlap="1" wp14:anchorId="3374C1D7" wp14:editId="213D27D4">
                <wp:simplePos x="0" y="0"/>
                <wp:positionH relativeFrom="column">
                  <wp:posOffset>4279265</wp:posOffset>
                </wp:positionH>
                <wp:positionV relativeFrom="paragraph">
                  <wp:posOffset>4238625</wp:posOffset>
                </wp:positionV>
                <wp:extent cx="720000" cy="486000"/>
                <wp:effectExtent l="0" t="0" r="4445" b="9525"/>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00" cy="486000"/>
                        </a:xfrm>
                        <a:prstGeom prst="rect">
                          <a:avLst/>
                        </a:prstGeom>
                        <a:noFill/>
                        <a:ln w="6350">
                          <a:noFill/>
                        </a:ln>
                      </wps:spPr>
                      <wps:txbx>
                        <w:txbxContent>
                          <w:p w14:paraId="4B52D05E"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Apsardzes pakalpojumi</w:t>
                            </w:r>
                          </w:p>
                          <w:p w14:paraId="431095DE"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1,1</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374C1D7" id="Text Box 171" o:spid="_x0000_s1127" type="#_x0000_t202" style="position:absolute;left:0;text-align:left;margin-left:336.95pt;margin-top:333.75pt;width:56.7pt;height:38.25pt;z-index:251787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" filled="f" stroked="f" strokeweight=".5pt">
                <v:textbox inset="1mm,1mm,1mm,1mm">
                  <w:txbxContent>
                    <w:p w14:paraId="4B52D05E"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Apsardzes pakalpojumi</w:t>
                      </w:r>
                    </w:p>
                    <w:p w14:paraId="431095DE"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1,1</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86455" behindDoc="0" locked="0" layoutInCell="1" allowOverlap="1" wp14:anchorId="422DB7DF" wp14:editId="6EF3C744">
                <wp:simplePos x="0" y="0"/>
                <wp:positionH relativeFrom="column">
                  <wp:posOffset>4277688</wp:posOffset>
                </wp:positionH>
                <wp:positionV relativeFrom="paragraph">
                  <wp:posOffset>3496310</wp:posOffset>
                </wp:positionV>
                <wp:extent cx="1368000" cy="360000"/>
                <wp:effectExtent l="0" t="0" r="3810" b="254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000" cy="360000"/>
                        </a:xfrm>
                        <a:prstGeom prst="rect">
                          <a:avLst/>
                        </a:prstGeom>
                        <a:noFill/>
                        <a:ln w="6350">
                          <a:noFill/>
                        </a:ln>
                      </wps:spPr>
                      <wps:txbx>
                        <w:txbxContent>
                          <w:p w14:paraId="6E5238D1" w14:textId="77777777" w:rsidR="00B83D7D" w:rsidRPr="0080669C" w:rsidRDefault="00B83D7D" w:rsidP="005F5363">
                            <w:pPr>
                              <w:tabs>
                                <w:tab w:val="left" w:pos="4820"/>
                              </w:tabs>
                              <w:spacing w:after="0"/>
                              <w:rPr>
                                <w:rFonts w:ascii="Segoe UI Light" w:hAnsi="Segoe UI Light" w:cs="Segoe UI Light"/>
                                <w:b/>
                                <w:bCs/>
                                <w:sz w:val="16"/>
                                <w:szCs w:val="16"/>
                              </w:rPr>
                            </w:pPr>
                            <w:r w:rsidRPr="00574306">
                              <w:rPr>
                                <w:rFonts w:ascii="Segoe UI Light" w:hAnsi="Segoe UI Light" w:cs="Segoe UI Light"/>
                                <w:b/>
                                <w:bCs/>
                                <w:sz w:val="16"/>
                                <w:szCs w:val="16"/>
                              </w:rPr>
                              <w:t>Administratīvo un apkalpojošo dienestu darbība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22DB7DF" id="Text Box 170" o:spid="_x0000_s1128" type="#_x0000_t202" style="position:absolute;left:0;text-align:left;margin-left:336.85pt;margin-top:275.3pt;width:107.7pt;height:28.35pt;z-index:251786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" filled="f" stroked="f" strokeweight=".5pt">
                <v:textbox inset="2mm,1mm,1mm,1mm">
                  <w:txbxContent>
                    <w:p w14:paraId="6E5238D1" w14:textId="77777777" w:rsidR="00B83D7D" w:rsidRPr="0080669C" w:rsidRDefault="00B83D7D" w:rsidP="005F5363">
                      <w:pPr>
                        <w:tabs>
                          <w:tab w:val="left" w:pos="4820"/>
                        </w:tabs>
                        <w:spacing w:after="0"/>
                        <w:rPr>
                          <w:rFonts w:ascii="Segoe UI Light" w:hAnsi="Segoe UI Light" w:cs="Segoe UI Light"/>
                          <w:b/>
                          <w:bCs/>
                          <w:sz w:val="16"/>
                          <w:szCs w:val="16"/>
                        </w:rPr>
                      </w:pPr>
                      <w:r w:rsidRPr="00574306">
                        <w:rPr>
                          <w:rFonts w:ascii="Segoe UI Light" w:hAnsi="Segoe UI Light" w:cs="Segoe UI Light"/>
                          <w:b/>
                          <w:bCs/>
                          <w:sz w:val="16"/>
                          <w:szCs w:val="16"/>
                        </w:rPr>
                        <w:t>Administratīvo un apkalpojošo dienestu darbība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85431" behindDoc="0" locked="0" layoutInCell="1" allowOverlap="1" wp14:anchorId="19307311" wp14:editId="72BB1449">
                <wp:simplePos x="0" y="0"/>
                <wp:positionH relativeFrom="column">
                  <wp:posOffset>4279265</wp:posOffset>
                </wp:positionH>
                <wp:positionV relativeFrom="paragraph">
                  <wp:posOffset>3821123</wp:posOffset>
                </wp:positionV>
                <wp:extent cx="360000" cy="359410"/>
                <wp:effectExtent l="0" t="0" r="2540" b="254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635A9B97"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N81</w:t>
                            </w:r>
                          </w:p>
                          <w:p w14:paraId="260FDED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1,4</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9307311" id="Text Box 169" o:spid="_x0000_s1129" type="#_x0000_t202" style="position:absolute;left:0;text-align:left;margin-left:336.95pt;margin-top:300.9pt;width:28.35pt;height:28.3pt;z-index:251785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" filled="f" stroked="f" strokeweight=".5pt">
                <v:textbox inset="1mm,1mm,1mm,1mm">
                  <w:txbxContent>
                    <w:p w14:paraId="635A9B97"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N81</w:t>
                      </w:r>
                    </w:p>
                    <w:p w14:paraId="260FDED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1,4</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84407" behindDoc="0" locked="0" layoutInCell="1" allowOverlap="1" wp14:anchorId="0E062ECE" wp14:editId="1E3E5919">
                <wp:simplePos x="0" y="0"/>
                <wp:positionH relativeFrom="column">
                  <wp:posOffset>3985260</wp:posOffset>
                </wp:positionH>
                <wp:positionV relativeFrom="paragraph">
                  <wp:posOffset>4261485</wp:posOffset>
                </wp:positionV>
                <wp:extent cx="288000" cy="359410"/>
                <wp:effectExtent l="0" t="0" r="0" b="254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00" cy="359410"/>
                        </a:xfrm>
                        <a:prstGeom prst="rect">
                          <a:avLst/>
                        </a:prstGeom>
                        <a:noFill/>
                        <a:ln w="6350">
                          <a:noFill/>
                        </a:ln>
                      </wps:spPr>
                      <wps:txbx>
                        <w:txbxContent>
                          <w:p w14:paraId="49E41EDE"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M72</w:t>
                            </w:r>
                          </w:p>
                          <w:p w14:paraId="4F80F8CC"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E062ECE" id="Text Box 168" o:spid="_x0000_s1130" type="#_x0000_t202" style="position:absolute;left:0;text-align:left;margin-left:313.8pt;margin-top:335.55pt;width:22.7pt;height:28.3pt;z-index:251784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" filled="f" stroked="f" strokeweight=".5pt">
                <v:textbox inset="1mm,1mm,1mm,1mm">
                  <w:txbxContent>
                    <w:p w14:paraId="49E41EDE"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M72</w:t>
                      </w:r>
                    </w:p>
                    <w:p w14:paraId="4F80F8CC"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83383" behindDoc="0" locked="0" layoutInCell="1" allowOverlap="1" wp14:anchorId="58ECD9C4" wp14:editId="116B0B33">
                <wp:simplePos x="0" y="0"/>
                <wp:positionH relativeFrom="column">
                  <wp:posOffset>3583612</wp:posOffset>
                </wp:positionH>
                <wp:positionV relativeFrom="paragraph">
                  <wp:posOffset>4363085</wp:posOffset>
                </wp:positionV>
                <wp:extent cx="360000" cy="359410"/>
                <wp:effectExtent l="0" t="0" r="2540" b="254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21D59542"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M74</w:t>
                            </w:r>
                          </w:p>
                          <w:p w14:paraId="19CBD51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8ECD9C4" id="Text Box 167" o:spid="_x0000_s1131" type="#_x0000_t202" style="position:absolute;left:0;text-align:left;margin-left:282.15pt;margin-top:343.55pt;width:28.35pt;height:28.3pt;z-index:251783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" filled="f" stroked="f" strokeweight=".5pt">
                <v:textbox inset="1mm,1mm,1mm,1mm">
                  <w:txbxContent>
                    <w:p w14:paraId="21D59542"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M74</w:t>
                      </w:r>
                    </w:p>
                    <w:p w14:paraId="19CBD51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82359" behindDoc="0" locked="0" layoutInCell="1" allowOverlap="1" wp14:anchorId="52995295" wp14:editId="5F01FAAA">
                <wp:simplePos x="0" y="0"/>
                <wp:positionH relativeFrom="column">
                  <wp:posOffset>3944313</wp:posOffset>
                </wp:positionH>
                <wp:positionV relativeFrom="paragraph">
                  <wp:posOffset>3876040</wp:posOffset>
                </wp:positionV>
                <wp:extent cx="360000" cy="359410"/>
                <wp:effectExtent l="0" t="0" r="2540" b="254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3BBA1A69"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M73</w:t>
                            </w:r>
                          </w:p>
                          <w:p w14:paraId="6D94062F"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2995295" id="Text Box 166" o:spid="_x0000_s1132" type="#_x0000_t202" style="position:absolute;left:0;text-align:left;margin-left:310.6pt;margin-top:305.2pt;width:28.35pt;height:28.3pt;z-index:251782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" filled="f" stroked="f" strokeweight=".5pt">
                <v:textbox inset="1mm,1mm,1mm,1mm">
                  <w:txbxContent>
                    <w:p w14:paraId="3BBA1A69"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M73</w:t>
                      </w:r>
                    </w:p>
                    <w:p w14:paraId="6D94062F"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81335" behindDoc="0" locked="0" layoutInCell="1" allowOverlap="1" wp14:anchorId="69FA321C" wp14:editId="3E613AA8">
                <wp:simplePos x="0" y="0"/>
                <wp:positionH relativeFrom="column">
                  <wp:posOffset>3584882</wp:posOffset>
                </wp:positionH>
                <wp:positionV relativeFrom="paragraph">
                  <wp:posOffset>3876040</wp:posOffset>
                </wp:positionV>
                <wp:extent cx="360000" cy="359410"/>
                <wp:effectExtent l="0" t="0" r="2540" b="254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62BE2352"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M70</w:t>
                            </w:r>
                          </w:p>
                          <w:p w14:paraId="335DF082"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9FA321C" id="Text Box 165" o:spid="_x0000_s1133" type="#_x0000_t202" style="position:absolute;left:0;text-align:left;margin-left:282.25pt;margin-top:305.2pt;width:28.35pt;height:28.3pt;z-index:251781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" filled="f" stroked="f" strokeweight=".5pt">
                <v:textbox inset="1mm,1mm,1mm,1mm">
                  <w:txbxContent>
                    <w:p w14:paraId="62BE2352"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M70</w:t>
                      </w:r>
                    </w:p>
                    <w:p w14:paraId="335DF082"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80311" behindDoc="0" locked="0" layoutInCell="1" allowOverlap="1" wp14:anchorId="33141ABF" wp14:editId="2552D174">
                <wp:simplePos x="0" y="0"/>
                <wp:positionH relativeFrom="column">
                  <wp:posOffset>2858135</wp:posOffset>
                </wp:positionH>
                <wp:positionV relativeFrom="paragraph">
                  <wp:posOffset>4364048</wp:posOffset>
                </wp:positionV>
                <wp:extent cx="360000" cy="359410"/>
                <wp:effectExtent l="0" t="0" r="2540" b="254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35E07E66"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M71</w:t>
                            </w:r>
                          </w:p>
                          <w:p w14:paraId="005DDA5D"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1,1</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3141ABF" id="Text Box 164" o:spid="_x0000_s1134" type="#_x0000_t202" style="position:absolute;left:0;text-align:left;margin-left:225.05pt;margin-top:343.65pt;width:28.35pt;height:28.3pt;z-index:251780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" filled="f" stroked="f" strokeweight=".5pt">
                <v:textbox inset="1mm,1mm,1mm,1mm">
                  <w:txbxContent>
                    <w:p w14:paraId="35E07E66"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M71</w:t>
                      </w:r>
                    </w:p>
                    <w:p w14:paraId="005DDA5D"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1,1</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79287" behindDoc="0" locked="0" layoutInCell="1" allowOverlap="1" wp14:anchorId="753A0E3A" wp14:editId="4F40C506">
                <wp:simplePos x="0" y="0"/>
                <wp:positionH relativeFrom="column">
                  <wp:posOffset>2858135</wp:posOffset>
                </wp:positionH>
                <wp:positionV relativeFrom="paragraph">
                  <wp:posOffset>3751580</wp:posOffset>
                </wp:positionV>
                <wp:extent cx="360000" cy="359410"/>
                <wp:effectExtent l="0" t="0" r="2540" b="254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2B8EC3F4"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M69</w:t>
                            </w:r>
                          </w:p>
                          <w:p w14:paraId="1F003AE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1,1</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53A0E3A" id="Text Box 163" o:spid="_x0000_s1135" type="#_x0000_t202" style="position:absolute;left:0;text-align:left;margin-left:225.05pt;margin-top:295.4pt;width:28.35pt;height:28.3pt;z-index:251779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" filled="f" stroked="f" strokeweight=".5pt">
                <v:textbox inset="1mm,1mm,1mm,1mm">
                  <w:txbxContent>
                    <w:p w14:paraId="2B8EC3F4"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M69</w:t>
                      </w:r>
                    </w:p>
                    <w:p w14:paraId="1F003AE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1,1</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78263" behindDoc="0" locked="0" layoutInCell="1" allowOverlap="1" wp14:anchorId="02D35E0F" wp14:editId="01CC27FD">
                <wp:simplePos x="0" y="0"/>
                <wp:positionH relativeFrom="column">
                  <wp:posOffset>2857500</wp:posOffset>
                </wp:positionH>
                <wp:positionV relativeFrom="paragraph">
                  <wp:posOffset>3496310</wp:posOffset>
                </wp:positionV>
                <wp:extent cx="1368000" cy="360000"/>
                <wp:effectExtent l="0" t="0" r="3810" b="254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000" cy="360000"/>
                        </a:xfrm>
                        <a:prstGeom prst="rect">
                          <a:avLst/>
                        </a:prstGeom>
                        <a:noFill/>
                        <a:ln w="6350">
                          <a:noFill/>
                        </a:ln>
                      </wps:spPr>
                      <wps:txbx>
                        <w:txbxContent>
                          <w:p w14:paraId="66DFF71F" w14:textId="77777777" w:rsidR="00B83D7D" w:rsidRPr="0080669C" w:rsidRDefault="00B83D7D" w:rsidP="005F5363">
                            <w:pPr>
                              <w:tabs>
                                <w:tab w:val="left" w:pos="4820"/>
                              </w:tabs>
                              <w:spacing w:after="0"/>
                              <w:rPr>
                                <w:rFonts w:ascii="Segoe UI Light" w:hAnsi="Segoe UI Light" w:cs="Segoe UI Light"/>
                                <w:b/>
                                <w:bCs/>
                                <w:sz w:val="16"/>
                                <w:szCs w:val="16"/>
                              </w:rPr>
                            </w:pPr>
                            <w:r w:rsidRPr="003C610E">
                              <w:rPr>
                                <w:rFonts w:ascii="Segoe UI Light" w:hAnsi="Segoe UI Light" w:cs="Segoe UI Light"/>
                                <w:b/>
                                <w:bCs/>
                                <w:sz w:val="16"/>
                                <w:szCs w:val="16"/>
                              </w:rPr>
                              <w:t>Profesionālie, zinātniskie un tehniskie pakalpojum</w:t>
                            </w:r>
                            <w:r>
                              <w:rPr>
                                <w:rFonts w:ascii="Segoe UI Light" w:hAnsi="Segoe UI Light" w:cs="Segoe UI Light"/>
                                <w:b/>
                                <w:bCs/>
                                <w:sz w:val="16"/>
                                <w:szCs w:val="16"/>
                              </w:rPr>
                              <w:t>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2D35E0F" id="Text Box 162" o:spid="_x0000_s1136" type="#_x0000_t202" style="position:absolute;left:0;text-align:left;margin-left:225pt;margin-top:275.3pt;width:107.7pt;height:28.35pt;z-index:25177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" filled="f" stroked="f" strokeweight=".5pt">
                <v:textbox inset="2mm,1mm,1mm,1mm">
                  <w:txbxContent>
                    <w:p w14:paraId="66DFF71F" w14:textId="77777777" w:rsidR="00B83D7D" w:rsidRPr="0080669C" w:rsidRDefault="00B83D7D" w:rsidP="005F5363">
                      <w:pPr>
                        <w:tabs>
                          <w:tab w:val="left" w:pos="4820"/>
                        </w:tabs>
                        <w:spacing w:after="0"/>
                        <w:rPr>
                          <w:rFonts w:ascii="Segoe UI Light" w:hAnsi="Segoe UI Light" w:cs="Segoe UI Light"/>
                          <w:b/>
                          <w:bCs/>
                          <w:sz w:val="16"/>
                          <w:szCs w:val="16"/>
                        </w:rPr>
                      </w:pPr>
                      <w:r w:rsidRPr="003C610E">
                        <w:rPr>
                          <w:rFonts w:ascii="Segoe UI Light" w:hAnsi="Segoe UI Light" w:cs="Segoe UI Light"/>
                          <w:b/>
                          <w:bCs/>
                          <w:sz w:val="16"/>
                          <w:szCs w:val="16"/>
                        </w:rPr>
                        <w:t>Profesionālie, zinātniskie un tehniskie pakalpojum</w:t>
                      </w:r>
                      <w:r>
                        <w:rPr>
                          <w:rFonts w:ascii="Segoe UI Light" w:hAnsi="Segoe UI Light" w:cs="Segoe UI Light"/>
                          <w:b/>
                          <w:bCs/>
                          <w:sz w:val="16"/>
                          <w:szCs w:val="16"/>
                        </w:rPr>
                        <w:t>i</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76215" behindDoc="0" locked="0" layoutInCell="1" allowOverlap="1" wp14:anchorId="1026D3C8" wp14:editId="3C9752FA">
                <wp:simplePos x="0" y="0"/>
                <wp:positionH relativeFrom="column">
                  <wp:posOffset>2262505</wp:posOffset>
                </wp:positionH>
                <wp:positionV relativeFrom="paragraph">
                  <wp:posOffset>6589395</wp:posOffset>
                </wp:positionV>
                <wp:extent cx="612000" cy="531288"/>
                <wp:effectExtent l="0" t="0" r="0" b="254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00" cy="531288"/>
                        </a:xfrm>
                        <a:prstGeom prst="rect">
                          <a:avLst/>
                        </a:prstGeom>
                        <a:noFill/>
                        <a:ln w="6350">
                          <a:noFill/>
                        </a:ln>
                      </wps:spPr>
                      <wps:txbx>
                        <w:txbxContent>
                          <w:p w14:paraId="3918463D"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Pārējie IKT pakalpojumi</w:t>
                            </w:r>
                          </w:p>
                          <w:p w14:paraId="734B742A"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1,0</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026D3C8" id="Text Box 160" o:spid="_x0000_s1137" type="#_x0000_t202" style="position:absolute;left:0;text-align:left;margin-left:178.15pt;margin-top:518.85pt;width:48.2pt;height:41.85pt;z-index:251776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" filled="f" stroked="f" strokeweight=".5pt">
                <v:textbox inset="1mm,1mm,1mm,1mm">
                  <w:txbxContent>
                    <w:p w14:paraId="3918463D"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Pārējie IKT pakalpojumi</w:t>
                      </w:r>
                    </w:p>
                    <w:p w14:paraId="734B742A"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1,0</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77239" behindDoc="0" locked="0" layoutInCell="1" allowOverlap="1" wp14:anchorId="1457234C" wp14:editId="6DF1E024">
                <wp:simplePos x="0" y="0"/>
                <wp:positionH relativeFrom="column">
                  <wp:posOffset>1656080</wp:posOffset>
                </wp:positionH>
                <wp:positionV relativeFrom="paragraph">
                  <wp:posOffset>5657850</wp:posOffset>
                </wp:positionV>
                <wp:extent cx="1152000" cy="504000"/>
                <wp:effectExtent l="0" t="0"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000" cy="504000"/>
                        </a:xfrm>
                        <a:prstGeom prst="rect">
                          <a:avLst/>
                        </a:prstGeom>
                        <a:noFill/>
                        <a:ln w="6350">
                          <a:noFill/>
                        </a:ln>
                      </wps:spPr>
                      <wps:txbx>
                        <w:txbxContent>
                          <w:p w14:paraId="30B45F94" w14:textId="77777777" w:rsidR="00B83D7D" w:rsidRPr="00176803"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Informācijas un komunikācijas pakalpojumi</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457234C" id="Text Box 161" o:spid="_x0000_s1138" type="#_x0000_t202" style="position:absolute;left:0;text-align:left;margin-left:130.4pt;margin-top:445.5pt;width:90.7pt;height:39.7pt;z-index:251777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" filled="f" stroked="f" strokeweight=".5pt">
                <v:textbox inset="2mm,1mm,1mm,1mm">
                  <w:txbxContent>
                    <w:p w14:paraId="30B45F94" w14:textId="77777777" w:rsidR="00B83D7D" w:rsidRPr="00176803"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Informācijas un komunikācijas pakalpojumi</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75191" behindDoc="0" locked="0" layoutInCell="1" allowOverlap="1" wp14:anchorId="7330B47E" wp14:editId="2E8949E0">
                <wp:simplePos x="0" y="0"/>
                <wp:positionH relativeFrom="column">
                  <wp:posOffset>1655445</wp:posOffset>
                </wp:positionH>
                <wp:positionV relativeFrom="paragraph">
                  <wp:posOffset>6639232</wp:posOffset>
                </wp:positionV>
                <wp:extent cx="612000" cy="486000"/>
                <wp:effectExtent l="0" t="0" r="0" b="952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00" cy="486000"/>
                        </a:xfrm>
                        <a:prstGeom prst="rect">
                          <a:avLst/>
                        </a:prstGeom>
                        <a:noFill/>
                        <a:ln w="6350">
                          <a:noFill/>
                        </a:ln>
                      </wps:spPr>
                      <wps:txbx>
                        <w:txbxContent>
                          <w:p w14:paraId="12C36F09"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Informācijas pakalpojumi</w:t>
                            </w:r>
                          </w:p>
                          <w:p w14:paraId="6E875D92"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1,1</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330B47E" id="Text Box 159" o:spid="_x0000_s1139" type="#_x0000_t202" style="position:absolute;left:0;text-align:left;margin-left:130.35pt;margin-top:522.75pt;width:48.2pt;height:38.25pt;z-index:251775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" filled="f" stroked="f" strokeweight=".5pt">
                <v:textbox inset="1mm,1mm,1mm,1mm">
                  <w:txbxContent>
                    <w:p w14:paraId="12C36F09"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Informācijas pakalpojumi</w:t>
                      </w:r>
                    </w:p>
                    <w:p w14:paraId="6E875D92"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1,1</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74167" behindDoc="0" locked="0" layoutInCell="1" allowOverlap="1" wp14:anchorId="63E3D2D7" wp14:editId="361C7259">
                <wp:simplePos x="0" y="0"/>
                <wp:positionH relativeFrom="column">
                  <wp:posOffset>1655445</wp:posOffset>
                </wp:positionH>
                <wp:positionV relativeFrom="paragraph">
                  <wp:posOffset>5962957</wp:posOffset>
                </wp:positionV>
                <wp:extent cx="1152000" cy="468000"/>
                <wp:effectExtent l="0" t="0" r="0" b="825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000" cy="468000"/>
                        </a:xfrm>
                        <a:prstGeom prst="rect">
                          <a:avLst/>
                        </a:prstGeom>
                        <a:noFill/>
                        <a:ln w="6350">
                          <a:noFill/>
                        </a:ln>
                      </wps:spPr>
                      <wps:txbx>
                        <w:txbxContent>
                          <w:p w14:paraId="5A1D97CF"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Datorprogrammēšana</w:t>
                            </w:r>
                          </w:p>
                          <w:p w14:paraId="3C55BE16"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2,3</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3E3D2D7" id="Text Box 158" o:spid="_x0000_s1140" type="#_x0000_t202" style="position:absolute;left:0;text-align:left;margin-left:130.35pt;margin-top:469.5pt;width:90.7pt;height:36.85pt;z-index:251774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" filled="f" stroked="f" strokeweight=".5pt">
                <v:textbox inset="1mm,1mm,1mm,1mm">
                  <w:txbxContent>
                    <w:p w14:paraId="5A1D97CF"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Datorprogrammēšana</w:t>
                      </w:r>
                    </w:p>
                    <w:p w14:paraId="3C55BE16"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2,3</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73143" behindDoc="0" locked="0" layoutInCell="1" allowOverlap="1" wp14:anchorId="7C5B9DEA" wp14:editId="61C61530">
                <wp:simplePos x="0" y="0"/>
                <wp:positionH relativeFrom="column">
                  <wp:posOffset>2348865</wp:posOffset>
                </wp:positionH>
                <wp:positionV relativeFrom="paragraph">
                  <wp:posOffset>5120640</wp:posOffset>
                </wp:positionV>
                <wp:extent cx="540000" cy="533188"/>
                <wp:effectExtent l="0" t="0" r="0" b="635"/>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0" cy="533188"/>
                        </a:xfrm>
                        <a:prstGeom prst="rect">
                          <a:avLst/>
                        </a:prstGeom>
                        <a:noFill/>
                        <a:ln w="6350">
                          <a:noFill/>
                        </a:ln>
                      </wps:spPr>
                      <wps:txbx>
                        <w:txbxContent>
                          <w:p w14:paraId="406A1C52"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Inženier- būvniecība</w:t>
                            </w:r>
                          </w:p>
                          <w:p w14:paraId="41CD56D2"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1,6</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C5B9DEA" id="Text Box 157" o:spid="_x0000_s1141" type="#_x0000_t202" style="position:absolute;left:0;text-align:left;margin-left:184.95pt;margin-top:403.2pt;width:42.5pt;height:42pt;z-index:251773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" filled="f" stroked="f" strokeweight=".5pt">
                <v:textbox inset="1mm,1mm,1mm,1mm">
                  <w:txbxContent>
                    <w:p w14:paraId="406A1C52"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Inženier- būvniecība</w:t>
                      </w:r>
                    </w:p>
                    <w:p w14:paraId="41CD56D2"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1,6</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72119" behindDoc="0" locked="0" layoutInCell="1" allowOverlap="1" wp14:anchorId="0727C3F5" wp14:editId="1B95489A">
                <wp:simplePos x="0" y="0"/>
                <wp:positionH relativeFrom="column">
                  <wp:posOffset>1654790</wp:posOffset>
                </wp:positionH>
                <wp:positionV relativeFrom="paragraph">
                  <wp:posOffset>5121174</wp:posOffset>
                </wp:positionV>
                <wp:extent cx="666146" cy="533188"/>
                <wp:effectExtent l="0" t="0" r="635" b="635"/>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46" cy="533188"/>
                        </a:xfrm>
                        <a:prstGeom prst="rect">
                          <a:avLst/>
                        </a:prstGeom>
                        <a:noFill/>
                        <a:ln w="6350">
                          <a:noFill/>
                        </a:ln>
                      </wps:spPr>
                      <wps:txbx>
                        <w:txbxContent>
                          <w:p w14:paraId="7D8898BE"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Ēku būvniecība</w:t>
                            </w:r>
                          </w:p>
                          <w:p w14:paraId="7C58A4C9"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2,2</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727C3F5" id="Text Box 156" o:spid="_x0000_s1142" type="#_x0000_t202" style="position:absolute;left:0;text-align:left;margin-left:130.3pt;margin-top:403.25pt;width:52.45pt;height:42pt;z-index:251772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" filled="f" stroked="f" strokeweight=".5pt">
                <v:textbox inset="1mm,1mm,1mm,1mm">
                  <w:txbxContent>
                    <w:p w14:paraId="7D8898BE"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Ēku būvniecība</w:t>
                      </w:r>
                    </w:p>
                    <w:p w14:paraId="7C58A4C9"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2,2</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71095" behindDoc="0" locked="0" layoutInCell="1" allowOverlap="1" wp14:anchorId="490EF112" wp14:editId="5D43110F">
                <wp:simplePos x="0" y="0"/>
                <wp:positionH relativeFrom="column">
                  <wp:posOffset>1652905</wp:posOffset>
                </wp:positionH>
                <wp:positionV relativeFrom="paragraph">
                  <wp:posOffset>4022725</wp:posOffset>
                </wp:positionV>
                <wp:extent cx="1152000" cy="359410"/>
                <wp:effectExtent l="0" t="0" r="0" b="254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000" cy="359410"/>
                        </a:xfrm>
                        <a:prstGeom prst="rect">
                          <a:avLst/>
                        </a:prstGeom>
                        <a:noFill/>
                        <a:ln w="6350">
                          <a:noFill/>
                        </a:ln>
                      </wps:spPr>
                      <wps:txbx>
                        <w:txbxContent>
                          <w:p w14:paraId="6FB6A548"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Specializētie būvdarbi</w:t>
                            </w:r>
                          </w:p>
                          <w:p w14:paraId="4CEFBB82"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2,7</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90EF112" id="Text Box 155" o:spid="_x0000_s1143" type="#_x0000_t202" style="position:absolute;left:0;text-align:left;margin-left:130.15pt;margin-top:316.75pt;width:90.7pt;height:28.3pt;z-index:251771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" filled="f" stroked="f" strokeweight=".5pt">
                <v:textbox inset="1mm,1mm,1mm,1mm">
                  <w:txbxContent>
                    <w:p w14:paraId="6FB6A548"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Specializētie būvdarbi</w:t>
                      </w:r>
                    </w:p>
                    <w:p w14:paraId="4CEFBB82"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2,7</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70071" behindDoc="0" locked="0" layoutInCell="1" allowOverlap="1" wp14:anchorId="70F25E43" wp14:editId="1D172D2C">
                <wp:simplePos x="0" y="0"/>
                <wp:positionH relativeFrom="column">
                  <wp:posOffset>1655445</wp:posOffset>
                </wp:positionH>
                <wp:positionV relativeFrom="paragraph">
                  <wp:posOffset>3496310</wp:posOffset>
                </wp:positionV>
                <wp:extent cx="720000" cy="252000"/>
                <wp:effectExtent l="0" t="0" r="4445"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00" cy="252000"/>
                        </a:xfrm>
                        <a:prstGeom prst="rect">
                          <a:avLst/>
                        </a:prstGeom>
                        <a:noFill/>
                        <a:ln w="6350">
                          <a:noFill/>
                        </a:ln>
                      </wps:spPr>
                      <wps:txbx>
                        <w:txbxContent>
                          <w:p w14:paraId="23F949E9" w14:textId="77777777" w:rsidR="00B83D7D" w:rsidRPr="0080669C" w:rsidRDefault="00B83D7D" w:rsidP="005F5363">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Būvniecība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0F25E43" id="Text Box 154" o:spid="_x0000_s1144" type="#_x0000_t202" style="position:absolute;left:0;text-align:left;margin-left:130.35pt;margin-top:275.3pt;width:56.7pt;height:19.85pt;z-index:2517700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" filled="f" stroked="f" strokeweight=".5pt">
                <v:textbox inset="2mm,1mm,1mm,1mm">
                  <w:txbxContent>
                    <w:p w14:paraId="23F949E9" w14:textId="77777777" w:rsidR="00B83D7D" w:rsidRPr="0080669C" w:rsidRDefault="00B83D7D" w:rsidP="005F5363">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Būvniecība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69047" behindDoc="0" locked="0" layoutInCell="1" allowOverlap="1" wp14:anchorId="1D2CBC24" wp14:editId="583A6BAC">
                <wp:simplePos x="0" y="0"/>
                <wp:positionH relativeFrom="column">
                  <wp:posOffset>1187246</wp:posOffset>
                </wp:positionH>
                <wp:positionV relativeFrom="paragraph">
                  <wp:posOffset>6366579</wp:posOffset>
                </wp:positionV>
                <wp:extent cx="467544" cy="759198"/>
                <wp:effectExtent l="0" t="0" r="8890" b="3175"/>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544" cy="759198"/>
                        </a:xfrm>
                        <a:prstGeom prst="rect">
                          <a:avLst/>
                        </a:prstGeom>
                        <a:noFill/>
                        <a:ln w="6350">
                          <a:noFill/>
                        </a:ln>
                      </wps:spPr>
                      <wps:txbx>
                        <w:txbxContent>
                          <w:p w14:paraId="2D9547C3"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Sociālā aprūpe ar izmiti-nāšanu</w:t>
                            </w:r>
                          </w:p>
                          <w:p w14:paraId="52EECEB1"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1,0</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2CBC24" id="Text Box 153" o:spid="_x0000_s1145" type="#_x0000_t202" style="position:absolute;left:0;text-align:left;margin-left:93.5pt;margin-top:501.3pt;width:36.8pt;height:59.8pt;z-index:2517690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" filled="f" stroked="f" strokeweight=".5pt">
                <v:textbox inset="1mm,1mm,1mm,1mm">
                  <w:txbxContent>
                    <w:p w14:paraId="2D9547C3"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Sociālā aprūpe ar izmiti-nāšanu</w:t>
                      </w:r>
                    </w:p>
                    <w:p w14:paraId="52EECEB1"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1,0</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68023" behindDoc="0" locked="0" layoutInCell="1" allowOverlap="1" wp14:anchorId="544180F9" wp14:editId="6FFDA1FA">
                <wp:simplePos x="0" y="0"/>
                <wp:positionH relativeFrom="column">
                  <wp:posOffset>80010</wp:posOffset>
                </wp:positionH>
                <wp:positionV relativeFrom="paragraph">
                  <wp:posOffset>6635115</wp:posOffset>
                </wp:positionV>
                <wp:extent cx="1080000" cy="486000"/>
                <wp:effectExtent l="0" t="0" r="635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000" cy="486000"/>
                        </a:xfrm>
                        <a:prstGeom prst="rect">
                          <a:avLst/>
                        </a:prstGeom>
                        <a:noFill/>
                        <a:ln w="6350">
                          <a:noFill/>
                        </a:ln>
                      </wps:spPr>
                      <wps:txbx>
                        <w:txbxContent>
                          <w:p w14:paraId="2E7C47C0"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Sociālā aprūpe bez izmitināšanas</w:t>
                            </w:r>
                          </w:p>
                          <w:p w14:paraId="70D9565B"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2,4</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44180F9" id="Text Box 152" o:spid="_x0000_s1146" type="#_x0000_t202" style="position:absolute;left:0;text-align:left;margin-left:6.3pt;margin-top:522.45pt;width:85.05pt;height:38.25pt;z-index:2517680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" filled="f" stroked="f" strokeweight=".5pt">
                <v:textbox inset="1mm,1mm,1mm,1mm">
                  <w:txbxContent>
                    <w:p w14:paraId="2E7C47C0"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Sociālā aprūpe bez izmitināšanas</w:t>
                      </w:r>
                    </w:p>
                    <w:p w14:paraId="70D9565B"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2,4</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66999" behindDoc="0" locked="0" layoutInCell="1" allowOverlap="1" wp14:anchorId="703BE5A2" wp14:editId="44E574C2">
                <wp:simplePos x="0" y="0"/>
                <wp:positionH relativeFrom="column">
                  <wp:posOffset>80010</wp:posOffset>
                </wp:positionH>
                <wp:positionV relativeFrom="paragraph">
                  <wp:posOffset>5899785</wp:posOffset>
                </wp:positionV>
                <wp:extent cx="1440000" cy="359410"/>
                <wp:effectExtent l="0" t="0" r="8255" b="254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000" cy="359410"/>
                        </a:xfrm>
                        <a:prstGeom prst="rect">
                          <a:avLst/>
                        </a:prstGeom>
                        <a:noFill/>
                        <a:ln w="6350">
                          <a:noFill/>
                        </a:ln>
                      </wps:spPr>
                      <wps:txbx>
                        <w:txbxContent>
                          <w:p w14:paraId="5CD2D772"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Veselības aizsardzība</w:t>
                            </w:r>
                          </w:p>
                          <w:p w14:paraId="1FA009F5"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5,9</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03BE5A2" id="Text Box 151" o:spid="_x0000_s1147" type="#_x0000_t202" style="position:absolute;left:0;text-align:left;margin-left:6.3pt;margin-top:464.55pt;width:113.4pt;height:28.3pt;z-index:251766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" filled="f" stroked="f" strokeweight=".5pt">
                <v:textbox inset="1mm,1mm,1mm,1mm">
                  <w:txbxContent>
                    <w:p w14:paraId="5CD2D772" w14:textId="77777777" w:rsidR="00B83D7D"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Veselības aizsardzība</w:t>
                      </w:r>
                    </w:p>
                    <w:p w14:paraId="1FA009F5"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5,9</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65975" behindDoc="0" locked="0" layoutInCell="1" allowOverlap="1" wp14:anchorId="31BD0886" wp14:editId="3BFCD28C">
                <wp:simplePos x="0" y="0"/>
                <wp:positionH relativeFrom="column">
                  <wp:posOffset>81280</wp:posOffset>
                </wp:positionH>
                <wp:positionV relativeFrom="paragraph">
                  <wp:posOffset>4776163</wp:posOffset>
                </wp:positionV>
                <wp:extent cx="1440000" cy="252000"/>
                <wp:effectExtent l="0" t="0" r="8255"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000" cy="252000"/>
                        </a:xfrm>
                        <a:prstGeom prst="rect">
                          <a:avLst/>
                        </a:prstGeom>
                        <a:noFill/>
                        <a:ln w="6350">
                          <a:noFill/>
                        </a:ln>
                      </wps:spPr>
                      <wps:txbx>
                        <w:txbxContent>
                          <w:p w14:paraId="59AAB1CD" w14:textId="77777777" w:rsidR="00B83D7D" w:rsidRPr="0080669C" w:rsidRDefault="00B83D7D" w:rsidP="005F5363">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Veselība un sociālā aprūpe</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1BD0886" id="Text Box 150" o:spid="_x0000_s1148" type="#_x0000_t202" style="position:absolute;left:0;text-align:left;margin-left:6.4pt;margin-top:376.1pt;width:113.4pt;height:19.85pt;z-index:251765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" filled="f" stroked="f" strokeweight=".5pt">
                <v:textbox inset="2mm,1mm,1mm,1mm">
                  <w:txbxContent>
                    <w:p w14:paraId="59AAB1CD" w14:textId="77777777" w:rsidR="00B83D7D" w:rsidRPr="0080669C" w:rsidRDefault="00B83D7D" w:rsidP="005F5363">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Veselība un sociālā aprūpe</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64951" behindDoc="0" locked="0" layoutInCell="1" allowOverlap="1" wp14:anchorId="6D2624D7" wp14:editId="6B604018">
                <wp:simplePos x="0" y="0"/>
                <wp:positionH relativeFrom="column">
                  <wp:posOffset>3744267</wp:posOffset>
                </wp:positionH>
                <wp:positionV relativeFrom="paragraph">
                  <wp:posOffset>3130550</wp:posOffset>
                </wp:positionV>
                <wp:extent cx="360000" cy="359410"/>
                <wp:effectExtent l="0" t="0" r="2540" b="254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0473EF5A"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7,0</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D2624D7" id="Text Box 149" o:spid="_x0000_s1149" type="#_x0000_t202" style="position:absolute;left:0;text-align:left;margin-left:294.8pt;margin-top:246.5pt;width:28.35pt;height:28.3pt;z-index:251764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" filled="f" stroked="f" strokeweight=".5pt">
                <v:textbox inset="1mm,1mm,1mm,1mm">
                  <w:txbxContent>
                    <w:p w14:paraId="0473EF5A"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7,0</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63927" behindDoc="0" locked="0" layoutInCell="1" allowOverlap="1" wp14:anchorId="6687B973" wp14:editId="7FE25DCB">
                <wp:simplePos x="0" y="0"/>
                <wp:positionH relativeFrom="column">
                  <wp:posOffset>3743325</wp:posOffset>
                </wp:positionH>
                <wp:positionV relativeFrom="paragraph">
                  <wp:posOffset>2067560</wp:posOffset>
                </wp:positionV>
                <wp:extent cx="1440000" cy="252000"/>
                <wp:effectExtent l="0" t="0" r="8255"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000" cy="252000"/>
                        </a:xfrm>
                        <a:prstGeom prst="rect">
                          <a:avLst/>
                        </a:prstGeom>
                        <a:noFill/>
                        <a:ln w="6350">
                          <a:noFill/>
                        </a:ln>
                      </wps:spPr>
                      <wps:txbx>
                        <w:txbxContent>
                          <w:p w14:paraId="6EB1F60E" w14:textId="77777777" w:rsidR="00B83D7D" w:rsidRPr="0080669C" w:rsidRDefault="00B83D7D" w:rsidP="005F5363">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Valsts pārvalde un aizsardzība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687B973" id="Text Box 148" o:spid="_x0000_s1150" type="#_x0000_t202" style="position:absolute;left:0;text-align:left;margin-left:294.75pt;margin-top:162.8pt;width:113.4pt;height:19.85pt;z-index:2517639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" filled="f" stroked="f" strokeweight=".5pt">
                <v:textbox inset="2mm,1mm,1mm,1mm">
                  <w:txbxContent>
                    <w:p w14:paraId="6EB1F60E" w14:textId="77777777" w:rsidR="00B83D7D" w:rsidRPr="0080669C" w:rsidRDefault="00B83D7D" w:rsidP="005F5363">
                      <w:pPr>
                        <w:tabs>
                          <w:tab w:val="left" w:pos="4820"/>
                        </w:tabs>
                        <w:spacing w:after="0"/>
                        <w:rPr>
                          <w:rFonts w:ascii="Segoe UI Light" w:hAnsi="Segoe UI Light" w:cs="Segoe UI Light"/>
                          <w:b/>
                          <w:bCs/>
                          <w:sz w:val="16"/>
                          <w:szCs w:val="16"/>
                        </w:rPr>
                      </w:pPr>
                      <w:r>
                        <w:rPr>
                          <w:rFonts w:ascii="Segoe UI Light" w:hAnsi="Segoe UI Light" w:cs="Segoe UI Light"/>
                          <w:b/>
                          <w:bCs/>
                          <w:sz w:val="16"/>
                          <w:szCs w:val="16"/>
                        </w:rPr>
                        <w:t>Valsts pārvalde un aizsardzība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62903" behindDoc="0" locked="0" layoutInCell="1" allowOverlap="1" wp14:anchorId="2A353FF7" wp14:editId="57E3AD16">
                <wp:simplePos x="0" y="0"/>
                <wp:positionH relativeFrom="column">
                  <wp:posOffset>3313737</wp:posOffset>
                </wp:positionH>
                <wp:positionV relativeFrom="paragraph">
                  <wp:posOffset>3130550</wp:posOffset>
                </wp:positionV>
                <wp:extent cx="360000" cy="360000"/>
                <wp:effectExtent l="0" t="0" r="2540" b="254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60000"/>
                        </a:xfrm>
                        <a:prstGeom prst="rect">
                          <a:avLst/>
                        </a:prstGeom>
                        <a:noFill/>
                        <a:ln w="6350">
                          <a:noFill/>
                        </a:ln>
                      </wps:spPr>
                      <wps:txbx>
                        <w:txbxContent>
                          <w:p w14:paraId="3C39774A"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H51</w:t>
                            </w:r>
                          </w:p>
                          <w:p w14:paraId="03A223A2"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0,3</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A353FF7" id="Text Box 147" o:spid="_x0000_s1151" type="#_x0000_t202" style="position:absolute;left:0;text-align:left;margin-left:260.9pt;margin-top:246.5pt;width:28.35pt;height:28.35pt;z-index:2517629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" filled="f" stroked="f" strokeweight=".5pt">
                <v:textbox inset="1mm,1mm,1mm,1mm">
                  <w:txbxContent>
                    <w:p w14:paraId="3C39774A"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H51</w:t>
                      </w:r>
                    </w:p>
                    <w:p w14:paraId="03A223A2"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0,3</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61879" behindDoc="0" locked="0" layoutInCell="1" allowOverlap="1" wp14:anchorId="54741456" wp14:editId="043CFDF0">
                <wp:simplePos x="0" y="0"/>
                <wp:positionH relativeFrom="column">
                  <wp:posOffset>2810838</wp:posOffset>
                </wp:positionH>
                <wp:positionV relativeFrom="paragraph">
                  <wp:posOffset>3132455</wp:posOffset>
                </wp:positionV>
                <wp:extent cx="360000" cy="360000"/>
                <wp:effectExtent l="0" t="0" r="2540" b="254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60000"/>
                        </a:xfrm>
                        <a:prstGeom prst="rect">
                          <a:avLst/>
                        </a:prstGeom>
                        <a:noFill/>
                        <a:ln w="6350">
                          <a:noFill/>
                        </a:ln>
                      </wps:spPr>
                      <wps:txbx>
                        <w:txbxContent>
                          <w:p w14:paraId="7E3DB7D8"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H53</w:t>
                            </w:r>
                          </w:p>
                          <w:p w14:paraId="20C2C9F0"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4741456" id="Text Box 146" o:spid="_x0000_s1152" type="#_x0000_t202" style="position:absolute;left:0;text-align:left;margin-left:221.35pt;margin-top:246.65pt;width:28.35pt;height:28.35pt;z-index:2517618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" filled="f" stroked="f" strokeweight=".5pt">
                <v:textbox inset="1mm,1mm,1mm,1mm">
                  <w:txbxContent>
                    <w:p w14:paraId="7E3DB7D8"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H53</w:t>
                      </w:r>
                    </w:p>
                    <w:p w14:paraId="20C2C9F0"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0,4</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60855" behindDoc="0" locked="0" layoutInCell="1" allowOverlap="1" wp14:anchorId="32E699BC" wp14:editId="53A487F4">
                <wp:simplePos x="0" y="0"/>
                <wp:positionH relativeFrom="column">
                  <wp:posOffset>2809875</wp:posOffset>
                </wp:positionH>
                <wp:positionV relativeFrom="paragraph">
                  <wp:posOffset>2529512</wp:posOffset>
                </wp:positionV>
                <wp:extent cx="900000" cy="612000"/>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612000"/>
                        </a:xfrm>
                        <a:prstGeom prst="rect">
                          <a:avLst/>
                        </a:prstGeom>
                        <a:noFill/>
                        <a:ln w="6350">
                          <a:noFill/>
                        </a:ln>
                      </wps:spPr>
                      <wps:txbx>
                        <w:txbxContent>
                          <w:p w14:paraId="6BC9C863"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Uzglabāšanas un transporta palīgdarbības</w:t>
                            </w:r>
                          </w:p>
                          <w:p w14:paraId="371973C1"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2,6</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2E699BC" id="Text Box 145" o:spid="_x0000_s1153" type="#_x0000_t202" style="position:absolute;left:0;text-align:left;margin-left:221.25pt;margin-top:199.15pt;width:70.85pt;height:48.2pt;z-index:251760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" filled="f" stroked="f" strokeweight=".5pt">
                <v:textbox inset="1mm,1mm,1mm,1mm">
                  <w:txbxContent>
                    <w:p w14:paraId="6BC9C863"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Uzglabāšanas un transporta palīgdarbības</w:t>
                      </w:r>
                    </w:p>
                    <w:p w14:paraId="371973C1"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2,6</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59831" behindDoc="0" locked="0" layoutInCell="1" allowOverlap="1" wp14:anchorId="6A00807E" wp14:editId="304E4E59">
                <wp:simplePos x="0" y="0"/>
                <wp:positionH relativeFrom="column">
                  <wp:posOffset>1653540</wp:posOffset>
                </wp:positionH>
                <wp:positionV relativeFrom="paragraph">
                  <wp:posOffset>3025468</wp:posOffset>
                </wp:positionV>
                <wp:extent cx="1152000" cy="468000"/>
                <wp:effectExtent l="0" t="0" r="0" b="8255"/>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000" cy="468000"/>
                        </a:xfrm>
                        <a:prstGeom prst="rect">
                          <a:avLst/>
                        </a:prstGeom>
                        <a:noFill/>
                        <a:ln w="6350">
                          <a:noFill/>
                        </a:ln>
                      </wps:spPr>
                      <wps:txbx>
                        <w:txbxContent>
                          <w:p w14:paraId="667A7B44"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Sauszemes un cauruļvadu transports</w:t>
                            </w:r>
                          </w:p>
                          <w:p w14:paraId="03D7DCD6"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4,2</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A00807E" id="Text Box 144" o:spid="_x0000_s1154" type="#_x0000_t202" style="position:absolute;left:0;text-align:left;margin-left:130.2pt;margin-top:238.25pt;width:90.7pt;height:36.85pt;z-index:251759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" filled="f" stroked="f" strokeweight=".5pt">
                <v:textbox inset="1mm,1mm,1mm,1mm">
                  <w:txbxContent>
                    <w:p w14:paraId="667A7B44"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Sauszemes un cauruļvadu transports</w:t>
                      </w:r>
                    </w:p>
                    <w:p w14:paraId="03D7DCD6"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4,2</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58807" behindDoc="0" locked="0" layoutInCell="1" allowOverlap="1" wp14:anchorId="47206760" wp14:editId="412AACCF">
                <wp:simplePos x="0" y="0"/>
                <wp:positionH relativeFrom="column">
                  <wp:posOffset>1656408</wp:posOffset>
                </wp:positionH>
                <wp:positionV relativeFrom="paragraph">
                  <wp:posOffset>2065655</wp:posOffset>
                </wp:positionV>
                <wp:extent cx="1225550" cy="252000"/>
                <wp:effectExtent l="0" t="0" r="0"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0B3FBE42" w14:textId="77777777" w:rsidR="00B83D7D" w:rsidRPr="00176803"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Transports</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7206760" id="Text Box 143" o:spid="_x0000_s1155" type="#_x0000_t202" style="position:absolute;left:0;text-align:left;margin-left:130.45pt;margin-top:162.65pt;width:96.5pt;height:19.85pt;z-index:251758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" filled="f" stroked="f" strokeweight=".5pt">
                <v:textbox inset="2mm,1mm,1mm,1mm">
                  <w:txbxContent>
                    <w:p w14:paraId="0B3FBE42" w14:textId="77777777" w:rsidR="00B83D7D" w:rsidRPr="00176803"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Transports</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57783" behindDoc="0" locked="0" layoutInCell="1" allowOverlap="1" wp14:anchorId="1D34605C" wp14:editId="7D61771E">
                <wp:simplePos x="0" y="0"/>
                <wp:positionH relativeFrom="column">
                  <wp:posOffset>79375</wp:posOffset>
                </wp:positionH>
                <wp:positionV relativeFrom="paragraph">
                  <wp:posOffset>4413557</wp:posOffset>
                </wp:positionV>
                <wp:extent cx="900000" cy="359410"/>
                <wp:effectExtent l="0" t="0" r="0" b="254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359410"/>
                        </a:xfrm>
                        <a:prstGeom prst="rect">
                          <a:avLst/>
                        </a:prstGeom>
                        <a:noFill/>
                        <a:ln w="6350">
                          <a:noFill/>
                        </a:ln>
                      </wps:spPr>
                      <wps:txbx>
                        <w:txbxContent>
                          <w:p w14:paraId="2772AC84"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10,8</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34605C" id="Text Box 142" o:spid="_x0000_s1156" type="#_x0000_t202" style="position:absolute;left:0;text-align:left;margin-left:6.25pt;margin-top:347.5pt;width:70.85pt;height:28.3pt;z-index:251757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" filled="f" stroked="f" strokeweight=".5pt">
                <v:textbox inset="1mm,1mm,1mm,1mm">
                  <w:txbxContent>
                    <w:p w14:paraId="2772AC84"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10,8</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56759" behindDoc="0" locked="0" layoutInCell="1" allowOverlap="1" wp14:anchorId="1F23C7F7" wp14:editId="3ABB1131">
                <wp:simplePos x="0" y="0"/>
                <wp:positionH relativeFrom="column">
                  <wp:posOffset>81225</wp:posOffset>
                </wp:positionH>
                <wp:positionV relativeFrom="paragraph">
                  <wp:posOffset>2065997</wp:posOffset>
                </wp:positionV>
                <wp:extent cx="1225550" cy="252000"/>
                <wp:effectExtent l="0" t="0"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755102D1" w14:textId="77777777" w:rsidR="00B83D7D" w:rsidRPr="00176803"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Izglītība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F23C7F7" id="Text Box 141" o:spid="_x0000_s1157" type="#_x0000_t202" style="position:absolute;left:0;text-align:left;margin-left:6.4pt;margin-top:162.7pt;width:96.5pt;height:19.85pt;z-index:251756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" filled="f" stroked="f" strokeweight=".5pt">
                <v:textbox inset="2mm,1mm,1mm,1mm">
                  <w:txbxContent>
                    <w:p w14:paraId="755102D1" w14:textId="77777777" w:rsidR="00B83D7D" w:rsidRPr="00176803"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Izglītība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55735" behindDoc="0" locked="0" layoutInCell="1" allowOverlap="1" wp14:anchorId="358F6310" wp14:editId="58D8239E">
                <wp:simplePos x="0" y="0"/>
                <wp:positionH relativeFrom="column">
                  <wp:posOffset>4993798</wp:posOffset>
                </wp:positionH>
                <wp:positionV relativeFrom="paragraph">
                  <wp:posOffset>1438749</wp:posOffset>
                </wp:positionV>
                <wp:extent cx="692840" cy="624214"/>
                <wp:effectExtent l="0" t="0" r="0" b="444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840" cy="624214"/>
                        </a:xfrm>
                        <a:prstGeom prst="rect">
                          <a:avLst/>
                        </a:prstGeom>
                        <a:noFill/>
                        <a:ln w="6350">
                          <a:noFill/>
                        </a:ln>
                      </wps:spPr>
                      <wps:txbx>
                        <w:txbxContent>
                          <w:p w14:paraId="3FE5F4FA"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Pārējās apakšnozares</w:t>
                            </w:r>
                          </w:p>
                          <w:p w14:paraId="73F3E7C5"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1,2</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58F6310" id="Text Box 140" o:spid="_x0000_s1158" type="#_x0000_t202" style="position:absolute;left:0;text-align:left;margin-left:393.2pt;margin-top:113.3pt;width:54.55pt;height:49.15pt;z-index:251755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" filled="f" stroked="f" strokeweight=".5pt">
                <v:textbox inset="1mm,1mm,1mm,1mm">
                  <w:txbxContent>
                    <w:p w14:paraId="3FE5F4FA"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Pārējās apakšnozares</w:t>
                      </w:r>
                    </w:p>
                    <w:p w14:paraId="73F3E7C5"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1,2</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54711" behindDoc="0" locked="0" layoutInCell="1" allowOverlap="1" wp14:anchorId="76DB5730" wp14:editId="57ACB0C4">
                <wp:simplePos x="0" y="0"/>
                <wp:positionH relativeFrom="column">
                  <wp:posOffset>5340657</wp:posOffset>
                </wp:positionH>
                <wp:positionV relativeFrom="paragraph">
                  <wp:posOffset>995045</wp:posOffset>
                </wp:positionV>
                <wp:extent cx="360000" cy="359410"/>
                <wp:effectExtent l="0" t="0" r="2540" b="254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6F0F5F4F"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C11</w:t>
                            </w:r>
                          </w:p>
                          <w:p w14:paraId="3BC84586"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6DB5730" id="Text Box 136" o:spid="_x0000_s1159" type="#_x0000_t202" style="position:absolute;left:0;text-align:left;margin-left:420.5pt;margin-top:78.35pt;width:28.35pt;height:28.3pt;z-index:251754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" filled="f" stroked="f" strokeweight=".5pt">
                <v:textbox inset="1mm,1mm,1mm,1mm">
                  <w:txbxContent>
                    <w:p w14:paraId="6F0F5F4F"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C11</w:t>
                      </w:r>
                    </w:p>
                    <w:p w14:paraId="3BC84586"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53687" behindDoc="0" locked="0" layoutInCell="1" allowOverlap="1" wp14:anchorId="17063170" wp14:editId="63A34E2E">
                <wp:simplePos x="0" y="0"/>
                <wp:positionH relativeFrom="column">
                  <wp:posOffset>4995028</wp:posOffset>
                </wp:positionH>
                <wp:positionV relativeFrom="paragraph">
                  <wp:posOffset>996818</wp:posOffset>
                </wp:positionV>
                <wp:extent cx="360000" cy="359410"/>
                <wp:effectExtent l="0" t="0" r="2540" b="254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0D1FE7D8"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C13</w:t>
                            </w:r>
                          </w:p>
                          <w:p w14:paraId="1C0E0BDC"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7063170" id="Text Box 135" o:spid="_x0000_s1160" type="#_x0000_t202" style="position:absolute;left:0;text-align:left;margin-left:393.3pt;margin-top:78.5pt;width:28.35pt;height:28.3pt;z-index:251753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" filled="f" stroked="f" strokeweight=".5pt">
                <v:textbox inset="1mm,1mm,1mm,1mm">
                  <w:txbxContent>
                    <w:p w14:paraId="0D1FE7D8"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C13</w:t>
                      </w:r>
                    </w:p>
                    <w:p w14:paraId="1C0E0BDC"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52663" behindDoc="0" locked="0" layoutInCell="1" allowOverlap="1" wp14:anchorId="0AFB3945" wp14:editId="62D0B786">
                <wp:simplePos x="0" y="0"/>
                <wp:positionH relativeFrom="column">
                  <wp:posOffset>5357182</wp:posOffset>
                </wp:positionH>
                <wp:positionV relativeFrom="paragraph">
                  <wp:posOffset>671830</wp:posOffset>
                </wp:positionV>
                <wp:extent cx="360000" cy="359410"/>
                <wp:effectExtent l="0" t="0" r="2540" b="254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61E9A7D9"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C22</w:t>
                            </w:r>
                          </w:p>
                          <w:p w14:paraId="5BD9211F"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AFB3945" id="Text Box 134" o:spid="_x0000_s1161" type="#_x0000_t202" style="position:absolute;left:0;text-align:left;margin-left:421.85pt;margin-top:52.9pt;width:28.35pt;height:28.3pt;z-index:251752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" filled="f" stroked="f" strokeweight=".5pt">
                <v:textbox inset="1mm,1mm,1mm,1mm">
                  <w:txbxContent>
                    <w:p w14:paraId="61E9A7D9"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C22</w:t>
                      </w:r>
                    </w:p>
                    <w:p w14:paraId="5BD9211F"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51639" behindDoc="0" locked="0" layoutInCell="1" allowOverlap="1" wp14:anchorId="7C1D7701" wp14:editId="116B4DB6">
                <wp:simplePos x="0" y="0"/>
                <wp:positionH relativeFrom="column">
                  <wp:posOffset>5016193</wp:posOffset>
                </wp:positionH>
                <wp:positionV relativeFrom="paragraph">
                  <wp:posOffset>671830</wp:posOffset>
                </wp:positionV>
                <wp:extent cx="360000" cy="359410"/>
                <wp:effectExtent l="0" t="0" r="2540" b="254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33D894AE"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C18</w:t>
                            </w:r>
                          </w:p>
                          <w:p w14:paraId="16CC98B3"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C1D7701" id="Text Box 133" o:spid="_x0000_s1162" type="#_x0000_t202" style="position:absolute;left:0;text-align:left;margin-left:395pt;margin-top:52.9pt;width:28.35pt;height:28.3pt;z-index:251751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" filled="f" stroked="f" strokeweight=".5pt">
                <v:textbox inset="1mm,1mm,1mm,1mm">
                  <w:txbxContent>
                    <w:p w14:paraId="33D894AE"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C18</w:t>
                      </w:r>
                    </w:p>
                    <w:p w14:paraId="16CC98B3"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50615" behindDoc="0" locked="0" layoutInCell="1" allowOverlap="1" wp14:anchorId="5C910BC4" wp14:editId="437D5770">
                <wp:simplePos x="0" y="0"/>
                <wp:positionH relativeFrom="column">
                  <wp:posOffset>4603750</wp:posOffset>
                </wp:positionH>
                <wp:positionV relativeFrom="paragraph">
                  <wp:posOffset>1704647</wp:posOffset>
                </wp:positionV>
                <wp:extent cx="360000" cy="359410"/>
                <wp:effectExtent l="0" t="0" r="2540" b="254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420ADB6D"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C26</w:t>
                            </w:r>
                          </w:p>
                          <w:p w14:paraId="3590BA9E"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C910BC4" id="Text Box 132" o:spid="_x0000_s1163" type="#_x0000_t202" style="position:absolute;left:0;text-align:left;margin-left:362.5pt;margin-top:134.2pt;width:28.35pt;height:28.3pt;z-index:251750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" filled="f" stroked="f" strokeweight=".5pt">
                <v:textbox inset="1mm,1mm,1mm,1mm">
                  <w:txbxContent>
                    <w:p w14:paraId="420ADB6D"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C26</w:t>
                      </w:r>
                    </w:p>
                    <w:p w14:paraId="3590BA9E"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49591" behindDoc="0" locked="0" layoutInCell="1" allowOverlap="1" wp14:anchorId="3A90397B" wp14:editId="49F9FCB3">
                <wp:simplePos x="0" y="0"/>
                <wp:positionH relativeFrom="column">
                  <wp:posOffset>4603750</wp:posOffset>
                </wp:positionH>
                <wp:positionV relativeFrom="paragraph">
                  <wp:posOffset>1382088</wp:posOffset>
                </wp:positionV>
                <wp:extent cx="360000" cy="359410"/>
                <wp:effectExtent l="0" t="0" r="2540" b="254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0C5406F5"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C20</w:t>
                            </w:r>
                          </w:p>
                          <w:p w14:paraId="0E9BAA6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A90397B" id="Text Box 130" o:spid="_x0000_s1164" type="#_x0000_t202" style="position:absolute;left:0;text-align:left;margin-left:362.5pt;margin-top:108.85pt;width:28.35pt;height:28.3pt;z-index:251749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" filled="f" stroked="f" strokeweight=".5pt">
                <v:textbox inset="1mm,1mm,1mm,1mm">
                  <w:txbxContent>
                    <w:p w14:paraId="0C5406F5"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C20</w:t>
                      </w:r>
                    </w:p>
                    <w:p w14:paraId="0E9BAA6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0,3</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48567" behindDoc="0" locked="0" layoutInCell="1" allowOverlap="1" wp14:anchorId="166030C7" wp14:editId="033BFC4B">
                <wp:simplePos x="0" y="0"/>
                <wp:positionH relativeFrom="column">
                  <wp:posOffset>4603750</wp:posOffset>
                </wp:positionH>
                <wp:positionV relativeFrom="paragraph">
                  <wp:posOffset>1060143</wp:posOffset>
                </wp:positionV>
                <wp:extent cx="360000" cy="359410"/>
                <wp:effectExtent l="0" t="0" r="2540" b="254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04E47973"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C28</w:t>
                            </w:r>
                          </w:p>
                          <w:p w14:paraId="4C13F051"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66030C7" id="Text Box 129" o:spid="_x0000_s1165" type="#_x0000_t202" style="position:absolute;left:0;text-align:left;margin-left:362.5pt;margin-top:83.5pt;width:28.35pt;height:28.3pt;z-index:251748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" filled="f" stroked="f" strokeweight=".5pt">
                <v:textbox inset="1mm,1mm,1mm,1mm">
                  <w:txbxContent>
                    <w:p w14:paraId="04E47973"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C28</w:t>
                      </w:r>
                    </w:p>
                    <w:p w14:paraId="4C13F051"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0,4</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47543" behindDoc="0" locked="0" layoutInCell="1" allowOverlap="1" wp14:anchorId="2F4A6CFD" wp14:editId="5543F20A">
                <wp:simplePos x="0" y="0"/>
                <wp:positionH relativeFrom="column">
                  <wp:posOffset>4604057</wp:posOffset>
                </wp:positionH>
                <wp:positionV relativeFrom="paragraph">
                  <wp:posOffset>675005</wp:posOffset>
                </wp:positionV>
                <wp:extent cx="360000" cy="359410"/>
                <wp:effectExtent l="0" t="0" r="2540" b="254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33F72E77"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C27</w:t>
                            </w:r>
                          </w:p>
                          <w:p w14:paraId="2CBE594F"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F4A6CFD" id="Text Box 127" o:spid="_x0000_s1166" type="#_x0000_t202" style="position:absolute;left:0;text-align:left;margin-left:362.5pt;margin-top:53.15pt;width:28.35pt;height:28.3pt;z-index:251747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" filled="f" stroked="f" strokeweight=".5pt">
                <v:textbox inset="1mm,1mm,1mm,1mm">
                  <w:txbxContent>
                    <w:p w14:paraId="33F72E77"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C27</w:t>
                      </w:r>
                    </w:p>
                    <w:p w14:paraId="2CBE594F"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0,5</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46519" behindDoc="0" locked="0" layoutInCell="1" allowOverlap="1" wp14:anchorId="2AA94918" wp14:editId="3B65E0EE">
                <wp:simplePos x="0" y="0"/>
                <wp:positionH relativeFrom="column">
                  <wp:posOffset>4104640</wp:posOffset>
                </wp:positionH>
                <wp:positionV relativeFrom="paragraph">
                  <wp:posOffset>1704647</wp:posOffset>
                </wp:positionV>
                <wp:extent cx="360000" cy="359410"/>
                <wp:effectExtent l="0" t="0" r="2540" b="254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1D74E98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C33</w:t>
                            </w:r>
                          </w:p>
                          <w:p w14:paraId="292F412D"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AA94918" id="Text Box 126" o:spid="_x0000_s1167" type="#_x0000_t202" style="position:absolute;left:0;text-align:left;margin-left:323.2pt;margin-top:134.2pt;width:28.35pt;height:28.3pt;z-index:251746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" filled="f" stroked="f" strokeweight=".5pt">
                <v:textbox inset="1mm,1mm,1mm,1mm">
                  <w:txbxContent>
                    <w:p w14:paraId="1D74E98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C33</w:t>
                      </w:r>
                    </w:p>
                    <w:p w14:paraId="292F412D"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45495" behindDoc="0" locked="0" layoutInCell="1" allowOverlap="1" wp14:anchorId="4E72E1AD" wp14:editId="2848942C">
                <wp:simplePos x="0" y="0"/>
                <wp:positionH relativeFrom="column">
                  <wp:posOffset>4104640</wp:posOffset>
                </wp:positionH>
                <wp:positionV relativeFrom="paragraph">
                  <wp:posOffset>1260168</wp:posOffset>
                </wp:positionV>
                <wp:extent cx="360000" cy="359410"/>
                <wp:effectExtent l="0" t="0" r="2540" b="254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00" cy="359410"/>
                        </a:xfrm>
                        <a:prstGeom prst="rect">
                          <a:avLst/>
                        </a:prstGeom>
                        <a:noFill/>
                        <a:ln w="6350">
                          <a:noFill/>
                        </a:ln>
                      </wps:spPr>
                      <wps:txbx>
                        <w:txbxContent>
                          <w:p w14:paraId="14E4151F"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C23</w:t>
                            </w:r>
                          </w:p>
                          <w:p w14:paraId="0D0AFB77"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E72E1AD" id="Text Box 121" o:spid="_x0000_s1168" type="#_x0000_t202" style="position:absolute;left:0;text-align:left;margin-left:323.2pt;margin-top:99.25pt;width:28.35pt;height:28.3pt;z-index:251745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" filled="f" stroked="f" strokeweight=".5pt">
                <v:textbox inset="1mm,1mm,1mm,1mm">
                  <w:txbxContent>
                    <w:p w14:paraId="14E4151F"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C23</w:t>
                      </w:r>
                    </w:p>
                    <w:p w14:paraId="0D0AFB77"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0,6</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44471" behindDoc="0" locked="0" layoutInCell="1" allowOverlap="1" wp14:anchorId="03692C29" wp14:editId="74CFE201">
                <wp:simplePos x="0" y="0"/>
                <wp:positionH relativeFrom="column">
                  <wp:posOffset>4106217</wp:posOffset>
                </wp:positionH>
                <wp:positionV relativeFrom="paragraph">
                  <wp:posOffset>655955</wp:posOffset>
                </wp:positionV>
                <wp:extent cx="540000" cy="468000"/>
                <wp:effectExtent l="0" t="0" r="0" b="8255"/>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0" cy="468000"/>
                        </a:xfrm>
                        <a:prstGeom prst="rect">
                          <a:avLst/>
                        </a:prstGeom>
                        <a:noFill/>
                        <a:ln w="6350">
                          <a:noFill/>
                        </a:ln>
                      </wps:spPr>
                      <wps:txbx>
                        <w:txbxContent>
                          <w:p w14:paraId="795DB65B"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Mēbeļu ražošana</w:t>
                            </w:r>
                          </w:p>
                          <w:p w14:paraId="1B29AEC2"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3692C29" id="Text Box 119" o:spid="_x0000_s1169" type="#_x0000_t202" style="position:absolute;left:0;text-align:left;margin-left:323.3pt;margin-top:51.65pt;width:42.5pt;height:36.85pt;z-index:251744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" filled="f" stroked="f" strokeweight=".5pt">
                <v:textbox inset="1mm,1mm,1mm,1mm">
                  <w:txbxContent>
                    <w:p w14:paraId="795DB65B"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Mēbeļu ražošana</w:t>
                      </w:r>
                    </w:p>
                    <w:p w14:paraId="1B29AEC2"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43447" behindDoc="0" locked="0" layoutInCell="1" allowOverlap="1" wp14:anchorId="661E3AA5" wp14:editId="30BCB691">
                <wp:simplePos x="0" y="0"/>
                <wp:positionH relativeFrom="column">
                  <wp:posOffset>5147310</wp:posOffset>
                </wp:positionH>
                <wp:positionV relativeFrom="paragraph">
                  <wp:posOffset>116512</wp:posOffset>
                </wp:positionV>
                <wp:extent cx="540000" cy="468000"/>
                <wp:effectExtent l="0" t="0" r="0" b="825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0" cy="468000"/>
                        </a:xfrm>
                        <a:prstGeom prst="rect">
                          <a:avLst/>
                        </a:prstGeom>
                        <a:noFill/>
                        <a:ln w="6350">
                          <a:noFill/>
                        </a:ln>
                      </wps:spPr>
                      <wps:txbx>
                        <w:txbxContent>
                          <w:p w14:paraId="2921F8F5"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Apģērbu ražošana</w:t>
                            </w:r>
                          </w:p>
                          <w:p w14:paraId="1758967D"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61E3AA5" id="Text Box 115" o:spid="_x0000_s1170" type="#_x0000_t202" style="position:absolute;left:0;text-align:left;margin-left:405.3pt;margin-top:9.15pt;width:42.5pt;height:36.85pt;z-index:251743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" filled="f" stroked="f" strokeweight=".5pt">
                <v:textbox inset="1mm,1mm,1mm,1mm">
                  <w:txbxContent>
                    <w:p w14:paraId="2921F8F5"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Apģērbu ražošana</w:t>
                      </w:r>
                    </w:p>
                    <w:p w14:paraId="1758967D"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0,7</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42423" behindDoc="0" locked="0" layoutInCell="1" allowOverlap="1" wp14:anchorId="52B49E5C" wp14:editId="762C0669">
                <wp:simplePos x="0" y="0"/>
                <wp:positionH relativeFrom="column">
                  <wp:posOffset>4104312</wp:posOffset>
                </wp:positionH>
                <wp:positionV relativeFrom="paragraph">
                  <wp:posOffset>222885</wp:posOffset>
                </wp:positionV>
                <wp:extent cx="791845" cy="359410"/>
                <wp:effectExtent l="0" t="0" r="8255" b="254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845" cy="359410"/>
                        </a:xfrm>
                        <a:prstGeom prst="rect">
                          <a:avLst/>
                        </a:prstGeom>
                        <a:noFill/>
                        <a:ln w="6350">
                          <a:noFill/>
                        </a:ln>
                      </wps:spPr>
                      <wps:txbx>
                        <w:txbxContent>
                          <w:p w14:paraId="3C91F7D3"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Metāl</w:t>
                            </w:r>
                            <w:r w:rsidRPr="0080669C">
                              <w:rPr>
                                <w:rFonts w:ascii="Segoe UI Light" w:hAnsi="Segoe UI Light" w:cs="Segoe UI Light"/>
                                <w:sz w:val="16"/>
                                <w:szCs w:val="16"/>
                              </w:rPr>
                              <w:t>apstrāde</w:t>
                            </w:r>
                          </w:p>
                          <w:p w14:paraId="46DD3F41"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1,3</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2B49E5C" id="Text Box 107" o:spid="_x0000_s1171" type="#_x0000_t202" style="position:absolute;left:0;text-align:left;margin-left:323.15pt;margin-top:17.55pt;width:62.35pt;height:28.3pt;z-index:251742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" filled="f" stroked="f" strokeweight=".5pt">
                <v:textbox inset="1mm,1mm,1mm,1mm">
                  <w:txbxContent>
                    <w:p w14:paraId="3C91F7D3"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Metāl</w:t>
                      </w:r>
                      <w:r w:rsidRPr="0080669C">
                        <w:rPr>
                          <w:rFonts w:ascii="Segoe UI Light" w:hAnsi="Segoe UI Light" w:cs="Segoe UI Light"/>
                          <w:sz w:val="16"/>
                          <w:szCs w:val="16"/>
                        </w:rPr>
                        <w:t>apstrāde</w:t>
                      </w:r>
                    </w:p>
                    <w:p w14:paraId="46DD3F41"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1,3</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41399" behindDoc="0" locked="0" layoutInCell="1" allowOverlap="1" wp14:anchorId="11FEE5EE" wp14:editId="7AC791A1">
                <wp:simplePos x="0" y="0"/>
                <wp:positionH relativeFrom="column">
                  <wp:posOffset>3175000</wp:posOffset>
                </wp:positionH>
                <wp:positionV relativeFrom="paragraph">
                  <wp:posOffset>1704340</wp:posOffset>
                </wp:positionV>
                <wp:extent cx="900000" cy="359410"/>
                <wp:effectExtent l="0" t="0" r="0" b="254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359410"/>
                        </a:xfrm>
                        <a:prstGeom prst="rect">
                          <a:avLst/>
                        </a:prstGeom>
                        <a:noFill/>
                        <a:ln w="6350">
                          <a:noFill/>
                        </a:ln>
                      </wps:spPr>
                      <wps:txbx>
                        <w:txbxContent>
                          <w:p w14:paraId="30D0862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Pārtikas rūpniecība</w:t>
                            </w:r>
                          </w:p>
                          <w:p w14:paraId="4AB6F1A3"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2,2</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1FEE5EE" id="Text Box 104" o:spid="_x0000_s1172" type="#_x0000_t202" style="position:absolute;left:0;text-align:left;margin-left:250pt;margin-top:134.2pt;width:70.85pt;height:28.3pt;z-index:251741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" filled="f" stroked="f" strokeweight=".5pt">
                <v:textbox inset="1mm,1mm,1mm,1mm">
                  <w:txbxContent>
                    <w:p w14:paraId="30D08624"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Pārtikas rūpniecība</w:t>
                      </w:r>
                    </w:p>
                    <w:p w14:paraId="4AB6F1A3"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2,2</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35255" behindDoc="0" locked="0" layoutInCell="1" allowOverlap="1" wp14:anchorId="552ADA34" wp14:editId="6801DB86">
                <wp:simplePos x="0" y="0"/>
                <wp:positionH relativeFrom="column">
                  <wp:posOffset>3175328</wp:posOffset>
                </wp:positionH>
                <wp:positionV relativeFrom="paragraph">
                  <wp:posOffset>779145</wp:posOffset>
                </wp:positionV>
                <wp:extent cx="791845" cy="359410"/>
                <wp:effectExtent l="0" t="0" r="8255" b="254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845" cy="359410"/>
                        </a:xfrm>
                        <a:prstGeom prst="rect">
                          <a:avLst/>
                        </a:prstGeom>
                        <a:noFill/>
                        <a:ln w="6350">
                          <a:noFill/>
                        </a:ln>
                      </wps:spPr>
                      <wps:txbx>
                        <w:txbxContent>
                          <w:p w14:paraId="6760DCE5" w14:textId="77777777" w:rsidR="00B83D7D" w:rsidRPr="0080669C" w:rsidRDefault="00B83D7D" w:rsidP="005F5363">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Kokapstrāde</w:t>
                            </w:r>
                          </w:p>
                          <w:p w14:paraId="0A071F80"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2,5</w:t>
                            </w:r>
                            <w:r w:rsidRPr="0080669C">
                              <w:rPr>
                                <w:rFonts w:ascii="Segoe UI Light" w:hAnsi="Segoe UI Light" w:cs="Segoe UI Light"/>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52ADA34" id="Text Box 75" o:spid="_x0000_s1173" type="#_x0000_t202" style="position:absolute;left:0;text-align:left;margin-left:250.05pt;margin-top:61.35pt;width:62.35pt;height:28.3pt;z-index:251735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" filled="f" stroked="f" strokeweight=".5pt">
                <v:textbox inset="1mm,1mm,1mm,1mm">
                  <w:txbxContent>
                    <w:p w14:paraId="6760DCE5" w14:textId="77777777" w:rsidR="00B83D7D" w:rsidRPr="0080669C" w:rsidRDefault="00B83D7D" w:rsidP="005F5363">
                      <w:pPr>
                        <w:tabs>
                          <w:tab w:val="left" w:pos="4820"/>
                        </w:tabs>
                        <w:spacing w:after="0"/>
                        <w:rPr>
                          <w:rFonts w:ascii="Segoe UI Light" w:hAnsi="Segoe UI Light" w:cs="Segoe UI Light"/>
                          <w:sz w:val="16"/>
                          <w:szCs w:val="16"/>
                        </w:rPr>
                      </w:pPr>
                      <w:r w:rsidRPr="0080669C">
                        <w:rPr>
                          <w:rFonts w:ascii="Segoe UI Light" w:hAnsi="Segoe UI Light" w:cs="Segoe UI Light"/>
                          <w:sz w:val="16"/>
                          <w:szCs w:val="16"/>
                        </w:rPr>
                        <w:t>Kokapstrāde</w:t>
                      </w:r>
                    </w:p>
                    <w:p w14:paraId="0A071F80" w14:textId="77777777" w:rsidR="00B83D7D" w:rsidRPr="0080669C" w:rsidRDefault="00B83D7D" w:rsidP="005F5363">
                      <w:pPr>
                        <w:tabs>
                          <w:tab w:val="left" w:pos="4820"/>
                        </w:tabs>
                        <w:spacing w:after="0"/>
                        <w:rPr>
                          <w:rFonts w:ascii="Segoe UI Light" w:hAnsi="Segoe UI Light" w:cs="Segoe UI Light"/>
                          <w:sz w:val="16"/>
                          <w:szCs w:val="16"/>
                        </w:rPr>
                      </w:pPr>
                      <w:r>
                        <w:rPr>
                          <w:rFonts w:ascii="Segoe UI Light" w:hAnsi="Segoe UI Light" w:cs="Segoe UI Light"/>
                          <w:sz w:val="16"/>
                          <w:szCs w:val="16"/>
                        </w:rPr>
                        <w:t>2,5</w:t>
                      </w:r>
                      <w:r w:rsidRPr="0080669C">
                        <w:rPr>
                          <w:rFonts w:ascii="Segoe UI Light" w:hAnsi="Segoe UI Light" w:cs="Segoe UI Light"/>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36279" behindDoc="0" locked="0" layoutInCell="1" allowOverlap="1" wp14:anchorId="2A4F8D55" wp14:editId="48EDADB3">
                <wp:simplePos x="0" y="0"/>
                <wp:positionH relativeFrom="column">
                  <wp:posOffset>3174724</wp:posOffset>
                </wp:positionH>
                <wp:positionV relativeFrom="paragraph">
                  <wp:posOffset>79045</wp:posOffset>
                </wp:positionV>
                <wp:extent cx="1225550" cy="252000"/>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4E5030F7" w14:textId="77777777" w:rsidR="00B83D7D" w:rsidRPr="0080669C" w:rsidRDefault="00B83D7D" w:rsidP="005F5363">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Apstrādes rūpniecība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A4F8D55" id="Text Box 76" o:spid="_x0000_s1174" type="#_x0000_t202" style="position:absolute;left:0;text-align:left;margin-left:250pt;margin-top:6.2pt;width:96.5pt;height:19.85pt;z-index:251736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" filled="f" stroked="f" strokeweight=".5pt">
                <v:textbox inset="2mm,1mm,1mm,1mm">
                  <w:txbxContent>
                    <w:p w14:paraId="4E5030F7" w14:textId="77777777" w:rsidR="00B83D7D" w:rsidRPr="0080669C" w:rsidRDefault="00B83D7D" w:rsidP="005F5363">
                      <w:pPr>
                        <w:tabs>
                          <w:tab w:val="left" w:pos="4820"/>
                        </w:tabs>
                        <w:spacing w:after="0"/>
                        <w:rPr>
                          <w:rFonts w:ascii="Segoe UI Light" w:hAnsi="Segoe UI Light" w:cs="Segoe UI Light"/>
                          <w:b/>
                          <w:bCs/>
                          <w:sz w:val="16"/>
                          <w:szCs w:val="16"/>
                        </w:rPr>
                      </w:pPr>
                      <w:r w:rsidRPr="0080669C">
                        <w:rPr>
                          <w:rFonts w:ascii="Segoe UI Light" w:hAnsi="Segoe UI Light" w:cs="Segoe UI Light"/>
                          <w:b/>
                          <w:bCs/>
                          <w:sz w:val="16"/>
                          <w:szCs w:val="16"/>
                        </w:rPr>
                        <w:t>Apstrādes rūpniecība</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40375" behindDoc="0" locked="0" layoutInCell="1" allowOverlap="1" wp14:anchorId="612D923A" wp14:editId="2C4FB1FC">
                <wp:simplePos x="0" y="0"/>
                <wp:positionH relativeFrom="column">
                  <wp:posOffset>1790700</wp:posOffset>
                </wp:positionH>
                <wp:positionV relativeFrom="paragraph">
                  <wp:posOffset>1704975</wp:posOffset>
                </wp:positionV>
                <wp:extent cx="1260000" cy="359410"/>
                <wp:effectExtent l="0" t="0" r="0" b="254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0000" cy="359410"/>
                        </a:xfrm>
                        <a:prstGeom prst="rect">
                          <a:avLst/>
                        </a:prstGeom>
                        <a:noFill/>
                        <a:ln w="6350">
                          <a:noFill/>
                        </a:ln>
                      </wps:spPr>
                      <wps:txbx>
                        <w:txbxContent>
                          <w:p w14:paraId="757347CC"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Auto un moto tirdzniecība</w:t>
                            </w:r>
                          </w:p>
                          <w:p w14:paraId="629655AB"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1,9</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12D923A" id="Text Box 103" o:spid="_x0000_s1175" type="#_x0000_t202" style="position:absolute;left:0;text-align:left;margin-left:141pt;margin-top:134.25pt;width:99.2pt;height:28.3pt;z-index:251740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" filled="f" stroked="f" strokeweight=".5pt">
                <v:textbox inset="1mm,1mm,1mm,1mm">
                  <w:txbxContent>
                    <w:p w14:paraId="757347CC"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Auto un moto tirdzniecība</w:t>
                      </w:r>
                    </w:p>
                    <w:p w14:paraId="629655AB"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1,9</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39351" behindDoc="0" locked="0" layoutInCell="1" allowOverlap="1" wp14:anchorId="086BCE24" wp14:editId="2ACFFA65">
                <wp:simplePos x="0" y="0"/>
                <wp:positionH relativeFrom="column">
                  <wp:posOffset>1791007</wp:posOffset>
                </wp:positionH>
                <wp:positionV relativeFrom="paragraph">
                  <wp:posOffset>1164590</wp:posOffset>
                </wp:positionV>
                <wp:extent cx="900000" cy="359410"/>
                <wp:effectExtent l="0" t="0" r="0" b="254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359410"/>
                        </a:xfrm>
                        <a:prstGeom prst="rect">
                          <a:avLst/>
                        </a:prstGeom>
                        <a:noFill/>
                        <a:ln w="6350">
                          <a:noFill/>
                        </a:ln>
                      </wps:spPr>
                      <wps:txbx>
                        <w:txbxContent>
                          <w:p w14:paraId="3C616500"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Vairumtirdzniecība</w:t>
                            </w:r>
                          </w:p>
                          <w:p w14:paraId="7F6C8FB5"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5,1</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86BCE24" id="Text Box 99" o:spid="_x0000_s1176" type="#_x0000_t202" style="position:absolute;left:0;text-align:left;margin-left:141pt;margin-top:91.7pt;width:70.85pt;height:28.3pt;z-index:251739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" filled="f" stroked="f" strokeweight=".5pt">
                <v:textbox inset="1mm,1mm,1mm,1mm">
                  <w:txbxContent>
                    <w:p w14:paraId="3C616500"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Vairumtirdzniecība</w:t>
                      </w:r>
                    </w:p>
                    <w:p w14:paraId="7F6C8FB5"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5,1</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38327" behindDoc="0" locked="0" layoutInCell="1" allowOverlap="1" wp14:anchorId="07C5BAD4" wp14:editId="479D0B17">
                <wp:simplePos x="0" y="0"/>
                <wp:positionH relativeFrom="column">
                  <wp:posOffset>79375</wp:posOffset>
                </wp:positionH>
                <wp:positionV relativeFrom="paragraph">
                  <wp:posOffset>1704340</wp:posOffset>
                </wp:positionV>
                <wp:extent cx="900000" cy="359410"/>
                <wp:effectExtent l="0" t="0" r="0" b="254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00" cy="359410"/>
                        </a:xfrm>
                        <a:prstGeom prst="rect">
                          <a:avLst/>
                        </a:prstGeom>
                        <a:noFill/>
                        <a:ln w="6350">
                          <a:noFill/>
                        </a:ln>
                      </wps:spPr>
                      <wps:txbx>
                        <w:txbxContent>
                          <w:p w14:paraId="02D20360"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Mazumtirdzniecība</w:t>
                            </w:r>
                          </w:p>
                          <w:p w14:paraId="4DD82DA6"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8,7</w:t>
                            </w:r>
                            <w:r w:rsidRPr="00176803">
                              <w:rPr>
                                <w:rFonts w:ascii="Segoe UI Light" w:hAnsi="Segoe UI Light" w:cs="Segoe UI Light"/>
                                <w:color w:val="FFFFFF" w:themeColor="background1"/>
                                <w:sz w:val="16"/>
                                <w:szCs w:val="16"/>
                              </w:rPr>
                              <w:t>%</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7C5BAD4" id="Text Box 98" o:spid="_x0000_s1177" type="#_x0000_t202" style="position:absolute;left:0;text-align:left;margin-left:6.25pt;margin-top:134.2pt;width:70.85pt;height:28.3pt;z-index:25173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" filled="f" stroked="f" strokeweight=".5pt">
                <v:textbox inset="1mm,1mm,1mm,1mm">
                  <w:txbxContent>
                    <w:p w14:paraId="02D20360"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Mazumtirdzniecība</w:t>
                      </w:r>
                    </w:p>
                    <w:p w14:paraId="4DD82DA6" w14:textId="77777777" w:rsidR="00B83D7D" w:rsidRPr="00176803" w:rsidRDefault="00B83D7D" w:rsidP="005F5363">
                      <w:pPr>
                        <w:tabs>
                          <w:tab w:val="left" w:pos="4820"/>
                        </w:tabs>
                        <w:spacing w:after="0"/>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8,7</w:t>
                      </w:r>
                      <w:r w:rsidRPr="00176803">
                        <w:rPr>
                          <w:rFonts w:ascii="Segoe UI Light" w:hAnsi="Segoe UI Light" w:cs="Segoe UI Light"/>
                          <w:color w:val="FFFFFF" w:themeColor="background1"/>
                          <w:sz w:val="16"/>
                          <w:szCs w:val="16"/>
                        </w:rPr>
                        <w:t>%</w:t>
                      </w:r>
                    </w:p>
                  </w:txbxContent>
                </v:textbox>
              </v:shape>
            </w:pict>
          </mc:Fallback>
        </mc:AlternateContent>
      </w:r>
      <w:r w:rsidRPr="0048099C">
        <w:rPr>
          <w:rFonts w:ascii="Candara" w:hAnsi="Candara"/>
          <w:noProof/>
          <w:sz w:val="14"/>
          <w:szCs w:val="14"/>
          <w:lang w:val="en-US"/>
        </w:rPr>
        <mc:AlternateContent>
          <mc:Choice Requires="wps">
            <w:drawing>
              <wp:anchor distT="0" distB="0" distL="114300" distR="114300" simplePos="0" relativeHeight="251737303" behindDoc="0" locked="0" layoutInCell="1" allowOverlap="1" wp14:anchorId="6EBF5468" wp14:editId="3D161EEE">
                <wp:simplePos x="0" y="0"/>
                <wp:positionH relativeFrom="column">
                  <wp:posOffset>82243</wp:posOffset>
                </wp:positionH>
                <wp:positionV relativeFrom="paragraph">
                  <wp:posOffset>76835</wp:posOffset>
                </wp:positionV>
                <wp:extent cx="1225550" cy="25200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252000"/>
                        </a:xfrm>
                        <a:prstGeom prst="rect">
                          <a:avLst/>
                        </a:prstGeom>
                        <a:noFill/>
                        <a:ln w="6350">
                          <a:noFill/>
                        </a:ln>
                      </wps:spPr>
                      <wps:txbx>
                        <w:txbxContent>
                          <w:p w14:paraId="795C26D9" w14:textId="77777777" w:rsidR="00B83D7D" w:rsidRPr="00176803"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Tirdzniecība</w:t>
                            </w:r>
                          </w:p>
                        </w:txbxContent>
                      </wps:txbx>
                      <wps:bodyPr rot="0" spcFirstLastPara="0" vertOverflow="overflow" horzOverflow="overflow" vert="horz" wrap="square" lIns="72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EBF5468" id="Text Box 94" o:spid="_x0000_s1178" type="#_x0000_t202" style="position:absolute;left:0;text-align:left;margin-left:6.5pt;margin-top:6.05pt;width:96.5pt;height:19.85pt;z-index:251737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" filled="f" stroked="f" strokeweight=".5pt">
                <v:textbox inset="2mm,1mm,1mm,1mm">
                  <w:txbxContent>
                    <w:p w14:paraId="795C26D9" w14:textId="77777777" w:rsidR="00B83D7D" w:rsidRPr="00176803" w:rsidRDefault="00B83D7D" w:rsidP="005F5363">
                      <w:pPr>
                        <w:tabs>
                          <w:tab w:val="left" w:pos="4820"/>
                        </w:tabs>
                        <w:spacing w:after="0"/>
                        <w:rPr>
                          <w:rFonts w:ascii="Segoe UI Light" w:hAnsi="Segoe UI Light" w:cs="Segoe UI Light"/>
                          <w:b/>
                          <w:bCs/>
                          <w:color w:val="FFFFFF" w:themeColor="background1"/>
                          <w:sz w:val="16"/>
                          <w:szCs w:val="16"/>
                        </w:rPr>
                      </w:pPr>
                      <w:r>
                        <w:rPr>
                          <w:rFonts w:ascii="Segoe UI Light" w:hAnsi="Segoe UI Light" w:cs="Segoe UI Light"/>
                          <w:b/>
                          <w:bCs/>
                          <w:color w:val="FFFFFF" w:themeColor="background1"/>
                          <w:sz w:val="16"/>
                          <w:szCs w:val="16"/>
                        </w:rPr>
                        <w:t>Tirdzniecība</w:t>
                      </w:r>
                    </w:p>
                  </w:txbxContent>
                </v:textbox>
              </v:shape>
            </w:pict>
          </mc:Fallback>
        </mc:AlternateContent>
      </w:r>
      <w:r w:rsidRPr="003B4CDA">
        <w:rPr>
          <w:noProof/>
          <w:lang w:val="en-US"/>
        </w:rPr>
        <mc:AlternateContent>
          <mc:Choice Requires="cx1">
            <w:drawing>
              <wp:inline distT="0" distB="0" distL="0" distR="0" wp14:anchorId="14AD61C3" wp14:editId="5A8C2C63">
                <wp:extent cx="5760085" cy="7200000"/>
                <wp:effectExtent l="0" t="0" r="0" b="0"/>
                <wp:docPr id="357" name="Chart 357"/>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9"/>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drawing>
              <wp:inline distT="0" distB="0" distL="0" distR="0" wp14:anchorId="14AD61C3" wp14:editId="5A8C2C63">
                <wp:extent cx="5760085" cy="7200000"/>
                <wp:effectExtent l="0" t="0" r="0" b="0"/>
                <wp:docPr id="357" name="Chart 35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57" name="Chart 357"/>
                        <pic:cNvPicPr>
                          <a:picLocks noGrp="1" noRot="1" noChangeAspect="1" noMove="1" noResize="1" noEditPoints="1" noAdjustHandles="1" noChangeArrowheads="1" noChangeShapeType="1"/>
                        </pic:cNvPicPr>
                      </pic:nvPicPr>
                      <pic:blipFill>
                        <a:blip r:embed="rId60"/>
                        <a:stretch>
                          <a:fillRect/>
                        </a:stretch>
                      </pic:blipFill>
                      <pic:spPr>
                        <a:xfrm>
                          <a:off x="0" y="0"/>
                          <a:ext cx="5760085" cy="7199630"/>
                        </a:xfrm>
                        <a:prstGeom prst="rect">
                          <a:avLst/>
                        </a:prstGeom>
                      </pic:spPr>
                    </pic:pic>
                  </a:graphicData>
                </a:graphic>
              </wp:inline>
            </w:drawing>
          </mc:Fallback>
        </mc:AlternateContent>
      </w:r>
    </w:p>
    <w:p w14:paraId="2E731CC5" w14:textId="577A4E9D" w:rsidR="003163B8" w:rsidRDefault="00F5624A" w:rsidP="002834CE">
      <w:pPr>
        <w:spacing w:after="120"/>
        <w:jc w:val="both"/>
        <w:rPr>
          <w:rFonts w:ascii="Segoe UI Light" w:hAnsi="Segoe UI Light" w:cs="Segoe UI Light"/>
          <w:sz w:val="16"/>
          <w:szCs w:val="16"/>
        </w:rPr>
      </w:pPr>
      <w:r>
        <w:rPr>
          <w:rFonts w:ascii="Segoe UI Light" w:hAnsi="Segoe UI Light" w:cs="Segoe UI Light"/>
          <w:sz w:val="16"/>
          <w:szCs w:val="16"/>
        </w:rPr>
        <w:t xml:space="preserve">A02 – Mežsaimniecība; A03 – Zivsaimniecība; </w:t>
      </w:r>
      <w:r w:rsidR="003163B8">
        <w:rPr>
          <w:rFonts w:ascii="Segoe UI Light" w:hAnsi="Segoe UI Light" w:cs="Segoe UI Light"/>
          <w:sz w:val="16"/>
          <w:szCs w:val="16"/>
        </w:rPr>
        <w:t xml:space="preserve">B – </w:t>
      </w:r>
      <w:r w:rsidR="003163B8" w:rsidRPr="003163B8">
        <w:rPr>
          <w:rFonts w:ascii="Segoe UI Light" w:hAnsi="Segoe UI Light" w:cs="Segoe UI Light"/>
          <w:sz w:val="16"/>
          <w:szCs w:val="16"/>
        </w:rPr>
        <w:t>Ieguves rūpniecība</w:t>
      </w:r>
      <w:r w:rsidR="002834CE">
        <w:rPr>
          <w:rFonts w:ascii="Segoe UI Light" w:hAnsi="Segoe UI Light" w:cs="Segoe UI Light"/>
          <w:sz w:val="16"/>
          <w:szCs w:val="16"/>
        </w:rPr>
        <w:t>,</w:t>
      </w:r>
      <w:r w:rsidR="003163B8" w:rsidRPr="003163B8">
        <w:rPr>
          <w:rFonts w:ascii="Segoe UI Light" w:hAnsi="Segoe UI Light" w:cs="Segoe UI Light"/>
          <w:sz w:val="16"/>
          <w:szCs w:val="16"/>
        </w:rPr>
        <w:t xml:space="preserve"> karjer</w:t>
      </w:r>
      <w:r w:rsidR="002834CE">
        <w:rPr>
          <w:rFonts w:ascii="Segoe UI Light" w:hAnsi="Segoe UI Light" w:cs="Segoe UI Light"/>
          <w:sz w:val="16"/>
          <w:szCs w:val="16"/>
        </w:rPr>
        <w:t>i</w:t>
      </w:r>
      <w:r w:rsidR="003163B8">
        <w:rPr>
          <w:rFonts w:ascii="Segoe UI Light" w:hAnsi="Segoe UI Light" w:cs="Segoe UI Light"/>
          <w:sz w:val="16"/>
          <w:szCs w:val="16"/>
        </w:rPr>
        <w:t xml:space="preserve">; C11 – </w:t>
      </w:r>
      <w:r w:rsidR="003163B8" w:rsidRPr="003163B8">
        <w:rPr>
          <w:rFonts w:ascii="Segoe UI Light" w:hAnsi="Segoe UI Light" w:cs="Segoe UI Light"/>
          <w:sz w:val="16"/>
          <w:szCs w:val="16"/>
        </w:rPr>
        <w:t>Dzērienu ražošana</w:t>
      </w:r>
      <w:r w:rsidR="003163B8">
        <w:rPr>
          <w:rFonts w:ascii="Segoe UI Light" w:hAnsi="Segoe UI Light" w:cs="Segoe UI Light"/>
          <w:sz w:val="16"/>
          <w:szCs w:val="16"/>
        </w:rPr>
        <w:t xml:space="preserve">; </w:t>
      </w:r>
      <w:r w:rsidR="003163B8" w:rsidRPr="003163B8">
        <w:rPr>
          <w:rFonts w:ascii="Segoe UI Light" w:hAnsi="Segoe UI Light" w:cs="Segoe UI Light"/>
          <w:sz w:val="16"/>
          <w:szCs w:val="16"/>
        </w:rPr>
        <w:t>C1</w:t>
      </w:r>
      <w:r w:rsidR="003163B8">
        <w:rPr>
          <w:rFonts w:ascii="Segoe UI Light" w:hAnsi="Segoe UI Light" w:cs="Segoe UI Light"/>
          <w:sz w:val="16"/>
          <w:szCs w:val="16"/>
        </w:rPr>
        <w:t>3 –</w:t>
      </w:r>
      <w:r w:rsidR="003163B8" w:rsidRPr="003163B8">
        <w:rPr>
          <w:rFonts w:ascii="Segoe UI Light" w:hAnsi="Segoe UI Light" w:cs="Segoe UI Light"/>
          <w:sz w:val="16"/>
          <w:szCs w:val="16"/>
        </w:rPr>
        <w:t xml:space="preserve"> Tekstilizstrādājumu ražošana</w:t>
      </w:r>
      <w:r w:rsidR="003163B8">
        <w:rPr>
          <w:rFonts w:ascii="Segoe UI Light" w:hAnsi="Segoe UI Light" w:cs="Segoe UI Light"/>
          <w:sz w:val="16"/>
          <w:szCs w:val="16"/>
        </w:rPr>
        <w:t xml:space="preserve">; </w:t>
      </w:r>
      <w:r w:rsidR="003163B8" w:rsidRPr="0080669C">
        <w:rPr>
          <w:rFonts w:ascii="Segoe UI Light" w:hAnsi="Segoe UI Light" w:cs="Segoe UI Light"/>
          <w:sz w:val="16"/>
          <w:szCs w:val="16"/>
        </w:rPr>
        <w:t>C18 – Poligrāfija; C20 – Ķīmiskā rūpniecība; C22 – Gumijas un plastmasas izstr</w:t>
      </w:r>
      <w:r w:rsidR="003163B8">
        <w:rPr>
          <w:rFonts w:ascii="Segoe UI Light" w:hAnsi="Segoe UI Light" w:cs="Segoe UI Light"/>
          <w:sz w:val="16"/>
          <w:szCs w:val="16"/>
        </w:rPr>
        <w:t>ādājumu</w:t>
      </w:r>
      <w:r w:rsidR="003163B8" w:rsidRPr="0080669C">
        <w:rPr>
          <w:rFonts w:ascii="Segoe UI Light" w:hAnsi="Segoe UI Light" w:cs="Segoe UI Light"/>
          <w:sz w:val="16"/>
          <w:szCs w:val="16"/>
        </w:rPr>
        <w:t xml:space="preserve"> ražošana;</w:t>
      </w:r>
      <w:r w:rsidR="003163B8" w:rsidRPr="003163B8">
        <w:rPr>
          <w:rFonts w:ascii="Segoe UI Light" w:hAnsi="Segoe UI Light" w:cs="Segoe UI Light"/>
          <w:sz w:val="16"/>
          <w:szCs w:val="16"/>
        </w:rPr>
        <w:t xml:space="preserve"> </w:t>
      </w:r>
      <w:r w:rsidR="003163B8" w:rsidRPr="0080669C">
        <w:rPr>
          <w:rFonts w:ascii="Segoe UI Light" w:hAnsi="Segoe UI Light" w:cs="Segoe UI Light"/>
          <w:sz w:val="16"/>
          <w:szCs w:val="16"/>
        </w:rPr>
        <w:t>C23 – Nemetālisko minerālu izstr</w:t>
      </w:r>
      <w:r w:rsidR="003163B8">
        <w:rPr>
          <w:rFonts w:ascii="Segoe UI Light" w:hAnsi="Segoe UI Light" w:cs="Segoe UI Light"/>
          <w:sz w:val="16"/>
          <w:szCs w:val="16"/>
        </w:rPr>
        <w:t>ādājumu</w:t>
      </w:r>
      <w:r w:rsidR="003163B8" w:rsidRPr="0080669C">
        <w:rPr>
          <w:rFonts w:ascii="Segoe UI Light" w:hAnsi="Segoe UI Light" w:cs="Segoe UI Light"/>
          <w:sz w:val="16"/>
          <w:szCs w:val="16"/>
        </w:rPr>
        <w:t xml:space="preserve"> ražošana; C26 – Datoru</w:t>
      </w:r>
      <w:r w:rsidR="002834CE">
        <w:rPr>
          <w:rFonts w:ascii="Segoe UI Light" w:hAnsi="Segoe UI Light" w:cs="Segoe UI Light"/>
          <w:sz w:val="16"/>
          <w:szCs w:val="16"/>
        </w:rPr>
        <w:t>,</w:t>
      </w:r>
      <w:r w:rsidR="003163B8" w:rsidRPr="0080669C">
        <w:rPr>
          <w:rFonts w:ascii="Segoe UI Light" w:hAnsi="Segoe UI Light" w:cs="Segoe UI Light"/>
          <w:sz w:val="16"/>
          <w:szCs w:val="16"/>
        </w:rPr>
        <w:t xml:space="preserve"> elektronisko iekārtu ražošana; C27 – Elektrisko iekārtu ražošana; C28 – Iekārtu, mehānismu un mašīnu ražošana;</w:t>
      </w:r>
      <w:r w:rsidR="003163B8">
        <w:rPr>
          <w:rFonts w:ascii="Segoe UI Light" w:hAnsi="Segoe UI Light" w:cs="Segoe UI Light"/>
          <w:sz w:val="16"/>
          <w:szCs w:val="16"/>
        </w:rPr>
        <w:t xml:space="preserve"> C33 – </w:t>
      </w:r>
      <w:r w:rsidR="003163B8" w:rsidRPr="003163B8">
        <w:rPr>
          <w:rFonts w:ascii="Segoe UI Light" w:hAnsi="Segoe UI Light" w:cs="Segoe UI Light"/>
          <w:sz w:val="16"/>
          <w:szCs w:val="16"/>
        </w:rPr>
        <w:t>Iekārtu remonts</w:t>
      </w:r>
      <w:r w:rsidR="003163B8">
        <w:rPr>
          <w:rFonts w:ascii="Segoe UI Light" w:hAnsi="Segoe UI Light" w:cs="Segoe UI Light"/>
          <w:sz w:val="16"/>
          <w:szCs w:val="16"/>
        </w:rPr>
        <w:t xml:space="preserve">; D – </w:t>
      </w:r>
      <w:r w:rsidR="003163B8" w:rsidRPr="003163B8">
        <w:rPr>
          <w:rFonts w:ascii="Segoe UI Light" w:hAnsi="Segoe UI Light" w:cs="Segoe UI Light"/>
          <w:sz w:val="16"/>
          <w:szCs w:val="16"/>
        </w:rPr>
        <w:t>Elektroenerģija, gāzes</w:t>
      </w:r>
      <w:r w:rsidR="002834CE">
        <w:rPr>
          <w:rFonts w:ascii="Segoe UI Light" w:hAnsi="Segoe UI Light" w:cs="Segoe UI Light"/>
          <w:sz w:val="16"/>
          <w:szCs w:val="16"/>
        </w:rPr>
        <w:t>,</w:t>
      </w:r>
      <w:r w:rsidR="003163B8" w:rsidRPr="003163B8">
        <w:rPr>
          <w:rFonts w:ascii="Segoe UI Light" w:hAnsi="Segoe UI Light" w:cs="Segoe UI Light"/>
          <w:sz w:val="16"/>
          <w:szCs w:val="16"/>
        </w:rPr>
        <w:t xml:space="preserve"> siltumapgāde</w:t>
      </w:r>
      <w:r w:rsidR="003163B8">
        <w:rPr>
          <w:rFonts w:ascii="Segoe UI Light" w:hAnsi="Segoe UI Light" w:cs="Segoe UI Light"/>
          <w:sz w:val="16"/>
          <w:szCs w:val="16"/>
        </w:rPr>
        <w:t xml:space="preserve">; E – </w:t>
      </w:r>
      <w:r w:rsidR="003163B8" w:rsidRPr="003163B8">
        <w:rPr>
          <w:rFonts w:ascii="Segoe UI Light" w:hAnsi="Segoe UI Light" w:cs="Segoe UI Light"/>
          <w:sz w:val="16"/>
          <w:szCs w:val="16"/>
        </w:rPr>
        <w:t>Ūdens apgāde</w:t>
      </w:r>
      <w:r w:rsidR="003163B8">
        <w:rPr>
          <w:rFonts w:ascii="Segoe UI Light" w:hAnsi="Segoe UI Light" w:cs="Segoe UI Light"/>
          <w:sz w:val="16"/>
          <w:szCs w:val="16"/>
        </w:rPr>
        <w:t>,</w:t>
      </w:r>
      <w:r w:rsidR="003163B8" w:rsidRPr="003163B8">
        <w:rPr>
          <w:rFonts w:ascii="Segoe UI Light" w:hAnsi="Segoe UI Light" w:cs="Segoe UI Light"/>
          <w:sz w:val="16"/>
          <w:szCs w:val="16"/>
        </w:rPr>
        <w:t xml:space="preserve"> notekūdeņu</w:t>
      </w:r>
      <w:r w:rsidR="002834CE">
        <w:rPr>
          <w:rFonts w:ascii="Segoe UI Light" w:hAnsi="Segoe UI Light" w:cs="Segoe UI Light"/>
          <w:sz w:val="16"/>
          <w:szCs w:val="16"/>
        </w:rPr>
        <w:t>,</w:t>
      </w:r>
      <w:r w:rsidR="003163B8" w:rsidRPr="003163B8">
        <w:rPr>
          <w:rFonts w:ascii="Segoe UI Light" w:hAnsi="Segoe UI Light" w:cs="Segoe UI Light"/>
          <w:sz w:val="16"/>
          <w:szCs w:val="16"/>
        </w:rPr>
        <w:t xml:space="preserve"> atkritumu apsaimniekoš</w:t>
      </w:r>
      <w:r w:rsidR="003163B8">
        <w:rPr>
          <w:rFonts w:ascii="Segoe UI Light" w:hAnsi="Segoe UI Light" w:cs="Segoe UI Light"/>
          <w:sz w:val="16"/>
          <w:szCs w:val="16"/>
        </w:rPr>
        <w:t xml:space="preserve">ana; </w:t>
      </w:r>
      <w:r w:rsidR="003163B8" w:rsidRPr="0080669C">
        <w:rPr>
          <w:rFonts w:ascii="Segoe UI Light" w:hAnsi="Segoe UI Light" w:cs="Segoe UI Light"/>
          <w:sz w:val="16"/>
          <w:szCs w:val="16"/>
        </w:rPr>
        <w:t>H51 – Gaisa transports; H53 – Pasta un kurjeru darbība;</w:t>
      </w:r>
      <w:r w:rsidR="003163B8" w:rsidRPr="003163B8">
        <w:rPr>
          <w:rFonts w:ascii="Segoe UI Light" w:hAnsi="Segoe UI Light" w:cs="Segoe UI Light"/>
          <w:sz w:val="16"/>
          <w:szCs w:val="16"/>
        </w:rPr>
        <w:t xml:space="preserve"> K64 </w:t>
      </w:r>
      <w:r w:rsidR="003163B8">
        <w:rPr>
          <w:rFonts w:ascii="Segoe UI Light" w:hAnsi="Segoe UI Light" w:cs="Segoe UI Light"/>
          <w:sz w:val="16"/>
          <w:szCs w:val="16"/>
        </w:rPr>
        <w:t xml:space="preserve">– </w:t>
      </w:r>
      <w:r w:rsidR="003163B8" w:rsidRPr="003163B8">
        <w:rPr>
          <w:rFonts w:ascii="Segoe UI Light" w:hAnsi="Segoe UI Light" w:cs="Segoe UI Light"/>
          <w:sz w:val="16"/>
          <w:szCs w:val="16"/>
        </w:rPr>
        <w:t>Finanšu pakalpojumi</w:t>
      </w:r>
      <w:r w:rsidR="003163B8">
        <w:rPr>
          <w:rFonts w:ascii="Segoe UI Light" w:hAnsi="Segoe UI Light" w:cs="Segoe UI Light"/>
          <w:sz w:val="16"/>
          <w:szCs w:val="16"/>
        </w:rPr>
        <w:t xml:space="preserve">; </w:t>
      </w:r>
      <w:r w:rsidR="003163B8" w:rsidRPr="003163B8">
        <w:rPr>
          <w:rFonts w:ascii="Segoe UI Light" w:hAnsi="Segoe UI Light" w:cs="Segoe UI Light"/>
          <w:sz w:val="16"/>
          <w:szCs w:val="16"/>
        </w:rPr>
        <w:t xml:space="preserve">K65 </w:t>
      </w:r>
      <w:r w:rsidR="003163B8">
        <w:rPr>
          <w:rFonts w:ascii="Segoe UI Light" w:hAnsi="Segoe UI Light" w:cs="Segoe UI Light"/>
          <w:sz w:val="16"/>
          <w:szCs w:val="16"/>
        </w:rPr>
        <w:t xml:space="preserve">– </w:t>
      </w:r>
      <w:r w:rsidR="003163B8" w:rsidRPr="003163B8">
        <w:rPr>
          <w:rFonts w:ascii="Segoe UI Light" w:hAnsi="Segoe UI Light" w:cs="Segoe UI Light"/>
          <w:sz w:val="16"/>
          <w:szCs w:val="16"/>
        </w:rPr>
        <w:t>Apdrošināšana</w:t>
      </w:r>
      <w:r w:rsidR="002834CE">
        <w:rPr>
          <w:rFonts w:ascii="Segoe UI Light" w:hAnsi="Segoe UI Light" w:cs="Segoe UI Light"/>
          <w:sz w:val="16"/>
          <w:szCs w:val="16"/>
        </w:rPr>
        <w:t xml:space="preserve">; K66 </w:t>
      </w:r>
      <w:r w:rsidR="003163B8" w:rsidRPr="0080669C">
        <w:rPr>
          <w:rFonts w:ascii="Segoe UI Light" w:hAnsi="Segoe UI Light" w:cs="Segoe UI Light"/>
          <w:sz w:val="16"/>
          <w:szCs w:val="16"/>
        </w:rPr>
        <w:t>– Finanšu palīgdarbības;</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M69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Juridiskie</w:t>
      </w:r>
      <w:r w:rsidR="002834CE">
        <w:rPr>
          <w:rFonts w:ascii="Segoe UI Light" w:hAnsi="Segoe UI Light" w:cs="Segoe UI Light"/>
          <w:sz w:val="16"/>
          <w:szCs w:val="16"/>
        </w:rPr>
        <w:t>,</w:t>
      </w:r>
      <w:r w:rsidR="002834CE" w:rsidRPr="002834CE">
        <w:rPr>
          <w:rFonts w:ascii="Segoe UI Light" w:hAnsi="Segoe UI Light" w:cs="Segoe UI Light"/>
          <w:sz w:val="16"/>
          <w:szCs w:val="16"/>
        </w:rPr>
        <w:t xml:space="preserve"> grāmatvedības pakalpojumi</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M70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Centrālo biroju darbība, konsultēšana</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M71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Arhitektūras, inženiertehniski pakalpojumi</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M72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Zinātniskās pētniecības darbs</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M73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Reklāmas</w:t>
      </w:r>
      <w:r w:rsidR="002834CE">
        <w:rPr>
          <w:rFonts w:ascii="Segoe UI Light" w:hAnsi="Segoe UI Light" w:cs="Segoe UI Light"/>
          <w:sz w:val="16"/>
          <w:szCs w:val="16"/>
        </w:rPr>
        <w:t>,</w:t>
      </w:r>
      <w:r w:rsidR="002834CE" w:rsidRPr="002834CE">
        <w:rPr>
          <w:rFonts w:ascii="Segoe UI Light" w:hAnsi="Segoe UI Light" w:cs="Segoe UI Light"/>
          <w:sz w:val="16"/>
          <w:szCs w:val="16"/>
        </w:rPr>
        <w:t xml:space="preserve"> tirgus izpēte</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M74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Citi profesionālie, zinātniskie un tehniskie pakalpojumi</w:t>
      </w:r>
      <w:r w:rsidR="002834CE">
        <w:rPr>
          <w:rFonts w:ascii="Segoe UI Light" w:hAnsi="Segoe UI Light" w:cs="Segoe UI Light"/>
          <w:sz w:val="16"/>
          <w:szCs w:val="16"/>
        </w:rPr>
        <w:t xml:space="preserve">; </w:t>
      </w:r>
      <w:r w:rsidR="002834CE" w:rsidRPr="0080669C">
        <w:rPr>
          <w:rFonts w:ascii="Segoe UI Light" w:hAnsi="Segoe UI Light" w:cs="Segoe UI Light"/>
          <w:sz w:val="16"/>
          <w:szCs w:val="16"/>
        </w:rPr>
        <w:t>N77 – Iznomāšana un līzings; N79 – Ceļojumu biroju darbība;</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N81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Ēku uzturēšana</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N82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Biroju darbība</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R91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Kultūras iestāžu darbība</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R92</w:t>
      </w:r>
      <w:r w:rsidR="00C27D82">
        <w:rPr>
          <w:rFonts w:ascii="Segoe UI Light" w:hAnsi="Segoe UI Light" w:cs="Segoe UI Light"/>
          <w:sz w:val="16"/>
          <w:szCs w:val="16"/>
        </w:rPr>
        <w:t>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Azartspēles un derības</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R93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Sporta</w:t>
      </w:r>
      <w:r w:rsidR="002834CE">
        <w:rPr>
          <w:rFonts w:ascii="Segoe UI Light" w:hAnsi="Segoe UI Light" w:cs="Segoe UI Light"/>
          <w:sz w:val="16"/>
          <w:szCs w:val="16"/>
        </w:rPr>
        <w:t>,</w:t>
      </w:r>
      <w:r w:rsidR="002834CE" w:rsidRPr="002834CE">
        <w:rPr>
          <w:rFonts w:ascii="Segoe UI Light" w:hAnsi="Segoe UI Light" w:cs="Segoe UI Light"/>
          <w:sz w:val="16"/>
          <w:szCs w:val="16"/>
        </w:rPr>
        <w:t xml:space="preserve"> atpūtas darbības</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S94 Sabiedrisko</w:t>
      </w:r>
      <w:r w:rsidR="002834CE">
        <w:rPr>
          <w:rFonts w:ascii="Segoe UI Light" w:hAnsi="Segoe UI Light" w:cs="Segoe UI Light"/>
          <w:sz w:val="16"/>
          <w:szCs w:val="16"/>
        </w:rPr>
        <w:t>,</w:t>
      </w:r>
      <w:r w:rsidR="002834CE" w:rsidRPr="002834CE">
        <w:rPr>
          <w:rFonts w:ascii="Segoe UI Light" w:hAnsi="Segoe UI Light" w:cs="Segoe UI Light"/>
          <w:sz w:val="16"/>
          <w:szCs w:val="16"/>
        </w:rPr>
        <w:t xml:space="preserve"> politisko organizāciju darbība</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 xml:space="preserve">S96 </w:t>
      </w:r>
      <w:r w:rsidR="002834CE">
        <w:rPr>
          <w:rFonts w:ascii="Segoe UI Light" w:hAnsi="Segoe UI Light" w:cs="Segoe UI Light"/>
          <w:sz w:val="16"/>
          <w:szCs w:val="16"/>
        </w:rPr>
        <w:t xml:space="preserve">– </w:t>
      </w:r>
      <w:r w:rsidR="002834CE" w:rsidRPr="002834CE">
        <w:rPr>
          <w:rFonts w:ascii="Segoe UI Light" w:hAnsi="Segoe UI Light" w:cs="Segoe UI Light"/>
          <w:sz w:val="16"/>
          <w:szCs w:val="16"/>
        </w:rPr>
        <w:t>Individuālie pakalpojumi</w:t>
      </w:r>
    </w:p>
    <w:p w14:paraId="252B7586" w14:textId="77777777" w:rsidR="0066279C" w:rsidRPr="00CF4F29" w:rsidRDefault="0066279C" w:rsidP="005349C0">
      <w:pPr>
        <w:spacing w:after="120"/>
        <w:jc w:val="both"/>
        <w:rPr>
          <w:sz w:val="16"/>
          <w:szCs w:val="16"/>
        </w:rPr>
      </w:pPr>
      <w:r w:rsidRPr="00CF4F29">
        <w:rPr>
          <w:sz w:val="16"/>
          <w:szCs w:val="16"/>
        </w:rPr>
        <w:t>Avots: CSP</w:t>
      </w:r>
    </w:p>
    <w:p w14:paraId="66479161" w14:textId="77777777" w:rsidR="0066279C" w:rsidRPr="004753BA" w:rsidRDefault="0066279C" w:rsidP="00867A48">
      <w:pPr>
        <w:spacing w:after="120"/>
        <w:jc w:val="right"/>
        <w:rPr>
          <w:szCs w:val="20"/>
        </w:rPr>
      </w:pPr>
      <w:r w:rsidRPr="004753BA">
        <w:rPr>
          <w:szCs w:val="20"/>
        </w:rPr>
        <w:lastRenderedPageBreak/>
        <w:t>2.4. attēls</w:t>
      </w:r>
    </w:p>
    <w:p w14:paraId="62A118FE" w14:textId="1723CDC1" w:rsidR="0066279C" w:rsidRPr="004753BA" w:rsidRDefault="0066279C" w:rsidP="00867A48">
      <w:pPr>
        <w:tabs>
          <w:tab w:val="center" w:pos="1560"/>
          <w:tab w:val="center" w:pos="3261"/>
          <w:tab w:val="center" w:pos="4536"/>
          <w:tab w:val="center" w:pos="5670"/>
          <w:tab w:val="center" w:pos="8080"/>
        </w:tabs>
        <w:spacing w:after="120"/>
        <w:jc w:val="center"/>
        <w:rPr>
          <w:rFonts w:ascii="Segoe UI Light" w:hAnsi="Segoe UI Light"/>
          <w:bCs/>
          <w:i/>
          <w:sz w:val="16"/>
          <w:szCs w:val="20"/>
        </w:rPr>
      </w:pPr>
      <w:r w:rsidRPr="004753BA">
        <w:rPr>
          <w:rFonts w:ascii="Segoe UI Light" w:hAnsi="Segoe UI Light"/>
          <w:b/>
          <w:bCs/>
          <w:sz w:val="18"/>
          <w:szCs w:val="24"/>
        </w:rPr>
        <w:t>Aizņemto darbavietu skaita izmaiņas</w:t>
      </w:r>
      <w:r w:rsidRPr="004753BA">
        <w:rPr>
          <w:rFonts w:ascii="Segoe UI Light" w:hAnsi="Segoe UI Light"/>
          <w:b/>
          <w:bCs/>
          <w:sz w:val="18"/>
          <w:szCs w:val="24"/>
        </w:rPr>
        <w:br/>
      </w:r>
      <w:r w:rsidRPr="004753BA">
        <w:rPr>
          <w:rFonts w:ascii="Segoe UI Light" w:hAnsi="Segoe UI Light"/>
          <w:bCs/>
          <w:i/>
          <w:sz w:val="16"/>
          <w:szCs w:val="20"/>
        </w:rPr>
        <w:tab/>
        <w:t>2023.</w:t>
      </w:r>
      <w:r w:rsidR="0080669C">
        <w:rPr>
          <w:rFonts w:ascii="Segoe UI Light" w:hAnsi="Segoe UI Light"/>
          <w:bCs/>
          <w:i/>
          <w:sz w:val="16"/>
          <w:szCs w:val="20"/>
        </w:rPr>
        <w:t>gad</w:t>
      </w:r>
      <w:r w:rsidRPr="004753BA">
        <w:rPr>
          <w:rFonts w:ascii="Segoe UI Light" w:hAnsi="Segoe UI Light"/>
          <w:bCs/>
          <w:i/>
          <w:sz w:val="16"/>
          <w:szCs w:val="20"/>
        </w:rPr>
        <w:t>s salīdzinājumā ar 2021.</w:t>
      </w:r>
      <w:r w:rsidR="0080669C">
        <w:rPr>
          <w:rFonts w:ascii="Segoe UI Light" w:hAnsi="Segoe UI Light"/>
          <w:bCs/>
          <w:i/>
          <w:sz w:val="16"/>
          <w:szCs w:val="20"/>
        </w:rPr>
        <w:t>gad</w:t>
      </w:r>
      <w:r w:rsidRPr="004753BA">
        <w:rPr>
          <w:rFonts w:ascii="Segoe UI Light" w:hAnsi="Segoe UI Light"/>
          <w:bCs/>
          <w:i/>
          <w:sz w:val="16"/>
          <w:szCs w:val="20"/>
        </w:rPr>
        <w:t>u, tūkstošos</w:t>
      </w:r>
    </w:p>
    <w:p w14:paraId="5948B18C" w14:textId="77777777" w:rsidR="0066279C" w:rsidRPr="00FF302E" w:rsidRDefault="0066279C" w:rsidP="00867A48">
      <w:pPr>
        <w:tabs>
          <w:tab w:val="center" w:pos="1560"/>
          <w:tab w:val="center" w:pos="3261"/>
          <w:tab w:val="center" w:pos="4536"/>
          <w:tab w:val="center" w:pos="5670"/>
          <w:tab w:val="center" w:pos="8080"/>
        </w:tabs>
        <w:spacing w:after="120"/>
        <w:jc w:val="center"/>
        <w:rPr>
          <w:rFonts w:cs="Segoe UI"/>
          <w:color w:val="FF0000"/>
          <w:sz w:val="14"/>
          <w:szCs w:val="14"/>
        </w:rPr>
      </w:pPr>
      <w:r w:rsidRPr="00FF302E">
        <w:rPr>
          <w:noProof/>
          <w:color w:val="FF0000"/>
          <w:sz w:val="12"/>
          <w:lang w:val="en-US"/>
        </w:rPr>
        <w:drawing>
          <wp:inline distT="0" distB="0" distL="0" distR="0" wp14:anchorId="78F844F5" wp14:editId="1924248D">
            <wp:extent cx="5759450" cy="3600000"/>
            <wp:effectExtent l="0" t="0" r="0" b="635"/>
            <wp:docPr id="100" name="Chart 10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4D02991" w14:textId="77777777" w:rsidR="0066279C" w:rsidRPr="00B92903" w:rsidRDefault="0066279C" w:rsidP="00867A48">
      <w:pPr>
        <w:spacing w:after="120"/>
        <w:jc w:val="both"/>
        <w:rPr>
          <w:sz w:val="16"/>
          <w:szCs w:val="16"/>
        </w:rPr>
      </w:pPr>
      <w:r w:rsidRPr="00B92903">
        <w:rPr>
          <w:sz w:val="16"/>
          <w:szCs w:val="16"/>
        </w:rPr>
        <w:t>Avots: CSP</w:t>
      </w:r>
    </w:p>
    <w:p w14:paraId="621BD6ED" w14:textId="61112F57" w:rsidR="0066279C" w:rsidRDefault="0066279C" w:rsidP="00867A48">
      <w:pPr>
        <w:spacing w:after="120"/>
        <w:jc w:val="both"/>
        <w:rPr>
          <w:szCs w:val="26"/>
        </w:rPr>
      </w:pPr>
    </w:p>
    <w:p w14:paraId="50D7741F" w14:textId="1A9AEC13" w:rsidR="0066279C" w:rsidRDefault="0066279C" w:rsidP="00867A48">
      <w:pPr>
        <w:spacing w:after="120"/>
        <w:jc w:val="both"/>
        <w:rPr>
          <w:color w:val="000000" w:themeColor="text1"/>
          <w:szCs w:val="26"/>
        </w:rPr>
      </w:pPr>
      <w:r w:rsidRPr="004753BA">
        <w:rPr>
          <w:szCs w:val="26"/>
        </w:rPr>
        <w:t>Aizņemto darbavietu skaits 2023.</w:t>
      </w:r>
      <w:r w:rsidR="0080669C">
        <w:rPr>
          <w:szCs w:val="26"/>
        </w:rPr>
        <w:t>gad</w:t>
      </w:r>
      <w:r w:rsidRPr="004753BA">
        <w:rPr>
          <w:szCs w:val="26"/>
        </w:rPr>
        <w:t>ā salīdzinājumā ar 2021.</w:t>
      </w:r>
      <w:r w:rsidR="0080669C">
        <w:rPr>
          <w:szCs w:val="26"/>
        </w:rPr>
        <w:t>gad</w:t>
      </w:r>
      <w:r w:rsidRPr="004753BA">
        <w:rPr>
          <w:szCs w:val="26"/>
        </w:rPr>
        <w:t>u kopumā samazinājās par 6,2 tūkstošiem. Lielākais darba vietu samazinājums ir bijis apstrādes rūpniecībā, būvniecībā izglītībā, savukārt lielākais pieaugums</w:t>
      </w:r>
      <w:r>
        <w:rPr>
          <w:szCs w:val="26"/>
        </w:rPr>
        <w:t> </w:t>
      </w:r>
      <w:r w:rsidRPr="004753BA">
        <w:rPr>
          <w:szCs w:val="26"/>
        </w:rPr>
        <w:t xml:space="preserve">– veselības un </w:t>
      </w:r>
      <w:r w:rsidRPr="0066279C">
        <w:rPr>
          <w:color w:val="000000" w:themeColor="text1"/>
          <w:szCs w:val="26"/>
        </w:rPr>
        <w:t>sociālās aprūpes nozarē, izmitināšanas un ēdināšanas pakalpojumu nozarē un administratīvo un apkalpojošo dienestu darbībā.</w:t>
      </w:r>
    </w:p>
    <w:p w14:paraId="162F0580" w14:textId="77777777" w:rsidR="00B92903" w:rsidRDefault="00B92903" w:rsidP="00867A48">
      <w:pPr>
        <w:spacing w:after="120"/>
        <w:jc w:val="both"/>
        <w:rPr>
          <w:color w:val="000000" w:themeColor="text1"/>
          <w:szCs w:val="26"/>
        </w:rPr>
      </w:pPr>
    </w:p>
    <w:p w14:paraId="0E922971" w14:textId="77777777" w:rsidR="00B92903" w:rsidRPr="0066279C" w:rsidRDefault="00B92903" w:rsidP="00867A48">
      <w:pPr>
        <w:spacing w:after="120"/>
        <w:jc w:val="both"/>
        <w:rPr>
          <w:color w:val="000000" w:themeColor="text1"/>
          <w:szCs w:val="26"/>
        </w:rPr>
      </w:pPr>
    </w:p>
    <w:p w14:paraId="0A512095" w14:textId="77777777" w:rsidR="000A1F99" w:rsidRPr="00080A71" w:rsidRDefault="000A1F99" w:rsidP="00080A71">
      <w:pPr>
        <w:pStyle w:val="Heading2"/>
      </w:pPr>
      <w:bookmarkStart w:id="26" w:name="_Toc453924341"/>
      <w:bookmarkStart w:id="27" w:name="_Toc517876431"/>
      <w:bookmarkStart w:id="28" w:name="_Toc183620094"/>
      <w:r w:rsidRPr="00080A71">
        <w:t>2.2. Demogrāfiskā situācija un darbaspēka piedāvājums</w:t>
      </w:r>
      <w:bookmarkEnd w:id="26"/>
      <w:bookmarkEnd w:id="27"/>
      <w:bookmarkEnd w:id="28"/>
    </w:p>
    <w:p w14:paraId="655BA2A8" w14:textId="77777777" w:rsidR="000A1F99" w:rsidRPr="00080A71" w:rsidRDefault="000A1F99" w:rsidP="00080A71">
      <w:pPr>
        <w:pStyle w:val="Heading3"/>
      </w:pPr>
      <w:bookmarkStart w:id="29" w:name="_Toc390350664"/>
      <w:bookmarkStart w:id="30" w:name="_Toc453924342"/>
      <w:bookmarkStart w:id="31" w:name="_Toc517876432"/>
      <w:bookmarkStart w:id="32" w:name="_Toc183620095"/>
      <w:r w:rsidRPr="00080A71">
        <w:t>2.2.1. Demogrāfijas tendences</w:t>
      </w:r>
      <w:bookmarkEnd w:id="29"/>
      <w:bookmarkEnd w:id="30"/>
      <w:bookmarkEnd w:id="31"/>
      <w:bookmarkEnd w:id="32"/>
    </w:p>
    <w:p w14:paraId="78B8BB95" w14:textId="712CCFB3" w:rsidR="00E13662" w:rsidRPr="001A0825" w:rsidRDefault="00E13662" w:rsidP="00B10C49">
      <w:pPr>
        <w:shd w:val="clear" w:color="auto" w:fill="FFFFFF" w:themeFill="background1"/>
        <w:spacing w:after="120"/>
        <w:jc w:val="both"/>
      </w:pPr>
      <w:bookmarkStart w:id="33" w:name="_Toc390350665"/>
      <w:bookmarkStart w:id="34" w:name="_Toc453924343"/>
      <w:bookmarkStart w:id="35" w:name="_Toc517876433"/>
      <w:bookmarkStart w:id="36" w:name="_Toc390350667"/>
      <w:bookmarkStart w:id="37" w:name="_Toc453924345"/>
      <w:bookmarkStart w:id="38" w:name="_Toc517876435"/>
      <w:r>
        <w:t>Ilgtermiņa tendences rāda, ka iedzīvotāju skaits Latvijā turpina sarukt. Kopējais iedzīvotāju skaita samazinājums Latvijā kopš 2000.gada pārsniedz 500 tūkst., kas ir aptuveni 1/5 no iedzīvotāju skaita 2000.gada sākumā. Demogrāfisko tendenču būtiskākie ietekmējošie faktori ir sabiedrības novecošanās, zems dzimstības līmenis un iedzīvotāju emigrācija.</w:t>
      </w:r>
    </w:p>
    <w:p w14:paraId="6201425B" w14:textId="3D5E5DC1" w:rsidR="00E13662" w:rsidRPr="001A0825" w:rsidRDefault="00E13662" w:rsidP="00B10C49">
      <w:pPr>
        <w:shd w:val="clear" w:color="auto" w:fill="FFFFFF" w:themeFill="background1"/>
        <w:spacing w:after="120"/>
        <w:jc w:val="both"/>
      </w:pPr>
      <w:r>
        <w:t>2023.gada sākumā Latvijā dzīvoja 1 883 tūkst. iedzīvotāju, to skaits palielinājies par 7,3 tūkst. salīdzinājumā ar 2022.gada sākumu.</w:t>
      </w:r>
    </w:p>
    <w:p w14:paraId="655B8761" w14:textId="4D1E464D" w:rsidR="00E13662" w:rsidRPr="001A0825" w:rsidRDefault="00E13662" w:rsidP="00B10C49">
      <w:pPr>
        <w:shd w:val="clear" w:color="auto" w:fill="FFFFFF" w:themeFill="background1"/>
        <w:spacing w:after="120"/>
        <w:jc w:val="both"/>
      </w:pPr>
      <w:r>
        <w:t>Dzimstības rādītāji Latvijā ilgstoši saglabājas zemā līmenī un nav pietiekami esošā iedzīvotāju skaita atražošanai. Pēc straujas dzimstības samazinājuma pagājušā gadsimta 90-tos gados, s</w:t>
      </w:r>
      <w:r w:rsidR="0030723C">
        <w:t>ā</w:t>
      </w:r>
      <w:r>
        <w:t xml:space="preserve">kot ar 1999.gadu, uzlabojoties gan sociālekonomiskajai situācijai valstī, gan arī reproduktīvajā vecumā ienākot 80-to gados dzimušajiem (no 1980.-1990.gadam Latvijā augstas dzimstības periods), dzimstības rādītājiem kopumā Latvijā bija novērojama pieaugoša tendence (palielinājās gan dzimušo skaits, gan dzimstības koeficients), kas saglabājās līdz pat 2008.gadam. Ekonomiskās krīzes ietekmē no 2009.gada dzimušo skaits samazinājās un dzimstības pieaugums atsākās tikai 2012.gadā – 2015. un 2016.gadā sasniedzot pēdējā desmitgadē lielāko dzimušo skaitu. </w:t>
      </w:r>
      <w:r w:rsidR="00892222">
        <w:t>K</w:t>
      </w:r>
      <w:r>
        <w:t xml:space="preserve">opš 2017.gada vērojama dzimstības rādītāju samazināšanās un kopumā </w:t>
      </w:r>
      <w:r w:rsidR="00AD5337">
        <w:t xml:space="preserve">šāda </w:t>
      </w:r>
      <w:r>
        <w:t xml:space="preserve">tendence saglabājās arī 2021.gadā – dzimstības koeficientam </w:t>
      </w:r>
      <w:r>
        <w:lastRenderedPageBreak/>
        <w:t>nokrītot līdz zemākajam līmenim kopš 2011.gada. Pēdējo gadu negatīvā dzimstības dinamika norāda uz mērķtiecīgu dzimstības stimulēšanas pasākumu aktivizēšanas nepieciešamību.</w:t>
      </w:r>
    </w:p>
    <w:p w14:paraId="03658AC7" w14:textId="17C53910" w:rsidR="00E13662" w:rsidRPr="001A0825" w:rsidRDefault="00E13662" w:rsidP="00B10C49">
      <w:pPr>
        <w:shd w:val="clear" w:color="auto" w:fill="FFFFFF" w:themeFill="background1"/>
        <w:spacing w:after="120"/>
        <w:jc w:val="both"/>
      </w:pPr>
      <w:r>
        <w:t>Mirušo skaits pakāpeniski samazinās kopš 2007.gada. Kopš 2014.gada rādītājs bija nostabilizējies. Covid-19 pandēmijas ietekmē mirstības rādītāji kopš 2020.gada ir krasi pasliktinājušies. 2021.gadā mirušo skaits pieauga par gandrīz 1/4, salīdzinot ar pirms pandēmijas periodu 2019.gadā.</w:t>
      </w:r>
    </w:p>
    <w:p w14:paraId="6989B567" w14:textId="1E244651" w:rsidR="00E13662" w:rsidRPr="001A0825" w:rsidRDefault="00E13662" w:rsidP="00B10C49">
      <w:pPr>
        <w:shd w:val="clear" w:color="auto" w:fill="FFFFFF" w:themeFill="background1"/>
        <w:spacing w:after="120"/>
        <w:jc w:val="both"/>
      </w:pPr>
      <w:r>
        <w:t>Iedzīvotāju dabisko kustību raksturo dabiskā pieauguma koeficients, kas uzlabojās kopš 2011.gada. Pēdējo gadu dzimstības rādītāju negatīvās attīstības rezultātā tas izteikti pasliktinās kopš 2017.gada. Apvienojumā ar pēdējo gadu mirstības tendencēm, dabiskā pieauguma koeficients 2021.gadā ir nokrities līdz vēsturiski zemākajam negatīvajam līmenim -9,0 uz 1000 iedzīvotājiem.</w:t>
      </w:r>
    </w:p>
    <w:p w14:paraId="42B23055" w14:textId="77777777" w:rsidR="00476196" w:rsidRPr="001A0825" w:rsidRDefault="00476196" w:rsidP="00476196">
      <w:pPr>
        <w:spacing w:after="120"/>
        <w:jc w:val="right"/>
        <w:rPr>
          <w:szCs w:val="26"/>
        </w:rPr>
      </w:pPr>
      <w:r w:rsidRPr="001A0825">
        <w:rPr>
          <w:szCs w:val="26"/>
        </w:rPr>
        <w:t>2.5. attēls</w:t>
      </w:r>
    </w:p>
    <w:p w14:paraId="48F50C56" w14:textId="77777777" w:rsidR="00476196" w:rsidRPr="001A0825" w:rsidRDefault="00476196" w:rsidP="00476196">
      <w:pPr>
        <w:tabs>
          <w:tab w:val="center" w:pos="2268"/>
          <w:tab w:val="center" w:pos="4536"/>
          <w:tab w:val="center" w:pos="6804"/>
        </w:tabs>
        <w:spacing w:after="120"/>
        <w:rPr>
          <w:rFonts w:ascii="Segoe UI Light" w:hAnsi="Segoe UI Light"/>
          <w:i/>
          <w:sz w:val="16"/>
        </w:rPr>
      </w:pPr>
      <w:r w:rsidRPr="001A0825">
        <w:rPr>
          <w:rFonts w:ascii="Segoe UI Light" w:hAnsi="Segoe UI Light"/>
          <w:b/>
          <w:bCs/>
          <w:sz w:val="18"/>
          <w:szCs w:val="26"/>
        </w:rPr>
        <w:tab/>
      </w:r>
      <w:r w:rsidRPr="001A0825">
        <w:rPr>
          <w:rFonts w:ascii="Segoe UI Light" w:hAnsi="Segoe UI Light"/>
          <w:b/>
          <w:bCs/>
          <w:sz w:val="18"/>
          <w:szCs w:val="26"/>
        </w:rPr>
        <w:tab/>
        <w:t>Iedzīvotāju vecumstruktūra</w:t>
      </w:r>
      <w:r w:rsidRPr="001A0825">
        <w:rPr>
          <w:rFonts w:ascii="Segoe UI Light" w:hAnsi="Segoe UI Light"/>
          <w:sz w:val="16"/>
        </w:rPr>
        <w:br/>
      </w:r>
      <w:r w:rsidRPr="001A0825">
        <w:rPr>
          <w:rFonts w:ascii="Segoe UI Light" w:hAnsi="Segoe UI Light"/>
          <w:bCs/>
          <w:i/>
          <w:sz w:val="16"/>
        </w:rPr>
        <w:tab/>
      </w:r>
      <w:r w:rsidRPr="0095612C">
        <w:rPr>
          <w:rFonts w:ascii="Segoe UI Light" w:hAnsi="Segoe UI Light"/>
          <w:bCs/>
          <w:i/>
          <w:sz w:val="16"/>
        </w:rPr>
        <w:t>tūkstošos,</w:t>
      </w:r>
      <w:r>
        <w:rPr>
          <w:rFonts w:ascii="Segoe UI Light" w:hAnsi="Segoe UI Light"/>
          <w:bCs/>
          <w:i/>
          <w:sz w:val="16"/>
        </w:rPr>
        <w:t xml:space="preserve"> gad</w:t>
      </w:r>
      <w:r w:rsidRPr="0095612C">
        <w:rPr>
          <w:rFonts w:ascii="Segoe UI Light" w:hAnsi="Segoe UI Light"/>
          <w:bCs/>
          <w:i/>
          <w:sz w:val="16"/>
        </w:rPr>
        <w:t>a sākumā</w:t>
      </w:r>
      <w:r w:rsidRPr="001A0825">
        <w:rPr>
          <w:rFonts w:ascii="Segoe UI Light" w:hAnsi="Segoe UI Light"/>
          <w:i/>
          <w:noProof/>
          <w:sz w:val="16"/>
          <w:lang w:eastAsia="lv-LV"/>
        </w:rPr>
        <w:tab/>
      </w:r>
      <w:r w:rsidRPr="001A0825">
        <w:rPr>
          <w:rFonts w:ascii="Segoe UI Light" w:hAnsi="Segoe UI Light"/>
          <w:i/>
          <w:noProof/>
          <w:sz w:val="16"/>
          <w:lang w:eastAsia="lv-LV"/>
        </w:rPr>
        <w:tab/>
        <w:t xml:space="preserve">tūkstošos, </w:t>
      </w:r>
      <w:r w:rsidRPr="001A0825">
        <w:rPr>
          <w:rFonts w:ascii="Segoe UI Light" w:hAnsi="Segoe UI Light"/>
          <w:bCs/>
          <w:i/>
          <w:sz w:val="16"/>
        </w:rPr>
        <w:t>202</w:t>
      </w:r>
      <w:r>
        <w:rPr>
          <w:rFonts w:ascii="Segoe UI Light" w:hAnsi="Segoe UI Light"/>
          <w:bCs/>
          <w:i/>
          <w:sz w:val="16"/>
        </w:rPr>
        <w:t>4. gad</w:t>
      </w:r>
      <w:r w:rsidRPr="001A0825">
        <w:rPr>
          <w:rFonts w:ascii="Segoe UI Light" w:hAnsi="Segoe UI Light"/>
          <w:bCs/>
          <w:i/>
          <w:sz w:val="16"/>
        </w:rPr>
        <w:t>a sākumā</w:t>
      </w:r>
    </w:p>
    <w:p w14:paraId="7BE728D0" w14:textId="77777777" w:rsidR="00476196" w:rsidRPr="001A0825" w:rsidRDefault="00476196" w:rsidP="00476196">
      <w:pPr>
        <w:tabs>
          <w:tab w:val="left" w:pos="4075"/>
        </w:tabs>
        <w:rPr>
          <w:rFonts w:ascii="Arial Narrow" w:hAnsi="Arial Narrow"/>
          <w:sz w:val="16"/>
          <w:szCs w:val="16"/>
        </w:rPr>
      </w:pPr>
      <w:r w:rsidRPr="001A0825">
        <w:rPr>
          <w:rFonts w:ascii="Arial Narrow" w:hAnsi="Arial Narrow"/>
          <w:noProof/>
          <w:sz w:val="22"/>
          <w:szCs w:val="26"/>
          <w:lang w:eastAsia="lv-LV"/>
        </w:rPr>
        <w:drawing>
          <wp:inline distT="0" distB="0" distL="0" distR="0" wp14:anchorId="51399C67" wp14:editId="2A31EBAB">
            <wp:extent cx="2880000" cy="2160000"/>
            <wp:effectExtent l="0" t="0" r="0" b="0"/>
            <wp:docPr id="278" name="Objec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1A0825">
        <w:rPr>
          <w:rFonts w:ascii="Arial Narrow" w:eastAsia="Arial Unicode MS" w:hAnsi="Arial Narrow"/>
          <w:b/>
          <w:iCs/>
          <w:noProof/>
          <w:sz w:val="22"/>
          <w:szCs w:val="26"/>
          <w:lang w:eastAsia="lv-LV"/>
        </w:rPr>
        <w:drawing>
          <wp:inline distT="0" distB="0" distL="0" distR="0" wp14:anchorId="582AC733" wp14:editId="7C28E5B0">
            <wp:extent cx="2880000" cy="2160000"/>
            <wp:effectExtent l="0" t="0" r="0" b="0"/>
            <wp:docPr id="279" name="Chart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01E139E" w14:textId="5AE387EB" w:rsidR="00692D05" w:rsidRDefault="00476196" w:rsidP="00476196">
      <w:pPr>
        <w:spacing w:after="120"/>
        <w:jc w:val="both"/>
        <w:rPr>
          <w:sz w:val="16"/>
          <w:szCs w:val="16"/>
        </w:rPr>
      </w:pPr>
      <w:r w:rsidRPr="00692D05">
        <w:rPr>
          <w:sz w:val="16"/>
          <w:szCs w:val="16"/>
        </w:rPr>
        <w:t xml:space="preserve">Avots: CSP </w:t>
      </w:r>
    </w:p>
    <w:p w14:paraId="65E233A9" w14:textId="77777777" w:rsidR="00476196" w:rsidRPr="00476196" w:rsidRDefault="00476196" w:rsidP="00476196">
      <w:pPr>
        <w:spacing w:after="120"/>
        <w:jc w:val="both"/>
        <w:rPr>
          <w:sz w:val="16"/>
          <w:szCs w:val="16"/>
        </w:rPr>
      </w:pPr>
    </w:p>
    <w:p w14:paraId="08A7220C" w14:textId="31E4CCD0" w:rsidR="00B10C49" w:rsidRPr="001A0825" w:rsidRDefault="00B10C49" w:rsidP="00B10C49">
      <w:pPr>
        <w:shd w:val="clear" w:color="auto" w:fill="FFFFFF" w:themeFill="background1"/>
        <w:spacing w:after="120"/>
        <w:jc w:val="both"/>
      </w:pPr>
      <w:r>
        <w:t xml:space="preserve">Turpinās sabiedrības novecošanās process – pieaug Latvijas sabiedrības vidējais vecums. Periodā no 2000. līdz 2023.gadam tas ir palielinājies par 4,6 gadiem un 2020.gada sākumā sasniedza 42,9 gadus. Novecošanās ietekmē darba tirgu, palielinot iedzīvotāju skaitu virs darbspējas vecuma. Samazinoties iedzīvotāju skaitam darbspējas vecumā, iedzīvotāju virs darbspējas vecuma attiecība pret iedzīvotājiem darbspējas vecumā kļūst lielāka. Nelielā dzimstības pieauguma rezultātā no 2012.gada bija apstājies iedzīvotāju skaita samazinājums līdz darbspējas vecumam. </w:t>
      </w:r>
    </w:p>
    <w:p w14:paraId="0ED1D591" w14:textId="01FE7B36" w:rsidR="00B10C49" w:rsidRDefault="00B10C49" w:rsidP="00B10C49">
      <w:pPr>
        <w:spacing w:after="120"/>
        <w:jc w:val="both"/>
      </w:pPr>
      <w:r w:rsidRPr="001A0825">
        <w:t>2021</w:t>
      </w:r>
      <w:r w:rsidR="00384FC8" w:rsidRPr="001A0825">
        <w:t>.</w:t>
      </w:r>
      <w:r w:rsidR="0080669C">
        <w:t>gad</w:t>
      </w:r>
      <w:r w:rsidR="00384FC8" w:rsidRPr="001A0825">
        <w:t>ā darbspējas vecuma iedzīvotāju skaits turpināja samazināties. Iedzīvotāju skaits 15-</w:t>
      </w:r>
      <w:r w:rsidRPr="001A0825">
        <w:t>74 gadu</w:t>
      </w:r>
      <w:r w:rsidR="00384FC8" w:rsidRPr="001A0825">
        <w:t xml:space="preserve"> vecumā </w:t>
      </w:r>
      <w:r w:rsidRPr="001A0825">
        <w:t>202</w:t>
      </w:r>
      <w:r>
        <w:t>3</w:t>
      </w:r>
      <w:r w:rsidR="00384FC8" w:rsidRPr="001A0825">
        <w:t>.</w:t>
      </w:r>
      <w:r w:rsidR="0080669C">
        <w:t>gad</w:t>
      </w:r>
      <w:r w:rsidR="00384FC8" w:rsidRPr="001A0825">
        <w:t xml:space="preserve">a sākumā veidoja </w:t>
      </w:r>
      <w:r w:rsidRPr="001A0825">
        <w:t>1</w:t>
      </w:r>
      <w:r>
        <w:t xml:space="preserve">,4 </w:t>
      </w:r>
      <w:r w:rsidR="00D22351">
        <w:t>milj</w:t>
      </w:r>
      <w:r w:rsidRPr="001A0825">
        <w:t xml:space="preserve">., </w:t>
      </w:r>
      <w:r>
        <w:t>palielinoties</w:t>
      </w:r>
      <w:r w:rsidRPr="001A0825">
        <w:t xml:space="preserve"> par </w:t>
      </w:r>
      <w:r>
        <w:t>7,3</w:t>
      </w:r>
      <w:r w:rsidRPr="001A0825">
        <w:t xml:space="preserve"> tūkst. </w:t>
      </w:r>
      <w:r w:rsidR="00384FC8" w:rsidRPr="001A0825">
        <w:t xml:space="preserve">salīdzinājumā ar </w:t>
      </w:r>
      <w:r w:rsidRPr="001A0825">
        <w:t>202</w:t>
      </w:r>
      <w:r>
        <w:t>2</w:t>
      </w:r>
      <w:r w:rsidR="00384FC8" w:rsidRPr="001A0825">
        <w:t>.</w:t>
      </w:r>
      <w:r w:rsidR="0080669C">
        <w:t>gad</w:t>
      </w:r>
      <w:r w:rsidR="00384FC8" w:rsidRPr="001A0825">
        <w:t>a sākumu. Ievērojamākais iedzīvotāju skaita sarukums bija šādās darbspējas vecuma grupās: 25-</w:t>
      </w:r>
      <w:r w:rsidRPr="001A0825">
        <w:t>29 gadi</w:t>
      </w:r>
      <w:r w:rsidR="00384FC8" w:rsidRPr="001A0825">
        <w:t xml:space="preserve"> (par </w:t>
      </w:r>
      <w:r>
        <w:t>7,1</w:t>
      </w:r>
      <w:r w:rsidR="00384FC8" w:rsidRPr="001A0825">
        <w:t xml:space="preserve"> tūkst. jeb </w:t>
      </w:r>
      <w:r>
        <w:t>7</w:t>
      </w:r>
      <w:r w:rsidRPr="001A0825">
        <w:t>,3</w:t>
      </w:r>
      <w:r w:rsidR="0080669C">
        <w:t>%</w:t>
      </w:r>
      <w:r w:rsidR="00384FC8" w:rsidRPr="001A0825">
        <w:t>), 30-</w:t>
      </w:r>
      <w:r w:rsidRPr="001A0825">
        <w:t>34 gadi</w:t>
      </w:r>
      <w:r w:rsidR="00384FC8" w:rsidRPr="001A0825">
        <w:t xml:space="preserve"> (par </w:t>
      </w:r>
      <w:r>
        <w:t>2</w:t>
      </w:r>
      <w:r w:rsidRPr="001A0825">
        <w:t>,</w:t>
      </w:r>
      <w:r w:rsidR="002B1461">
        <w:t>7</w:t>
      </w:r>
      <w:r w:rsidR="00384FC8" w:rsidRPr="001A0825">
        <w:t xml:space="preserve"> tūkst. jeb </w:t>
      </w:r>
      <w:r>
        <w:t>2,1</w:t>
      </w:r>
      <w:r w:rsidR="0080669C">
        <w:t>%</w:t>
      </w:r>
      <w:r w:rsidR="00384FC8" w:rsidRPr="001A0825">
        <w:t xml:space="preserve">), un </w:t>
      </w:r>
      <w:r w:rsidR="002B1461">
        <w:t>5</w:t>
      </w:r>
      <w:r w:rsidR="00384FC8" w:rsidRPr="001A0825">
        <w:t>5-</w:t>
      </w:r>
      <w:r w:rsidRPr="001A0825">
        <w:t>59 gadi</w:t>
      </w:r>
      <w:r w:rsidR="00384FC8" w:rsidRPr="001A0825">
        <w:t xml:space="preserve"> (par </w:t>
      </w:r>
      <w:r>
        <w:t>2</w:t>
      </w:r>
      <w:r w:rsidRPr="001A0825">
        <w:t>,</w:t>
      </w:r>
      <w:r>
        <w:t>3</w:t>
      </w:r>
      <w:r w:rsidR="00384FC8" w:rsidRPr="001A0825">
        <w:t xml:space="preserve"> tūkst. </w:t>
      </w:r>
      <w:r w:rsidRPr="001A0825">
        <w:t xml:space="preserve">jeb </w:t>
      </w:r>
      <w:r>
        <w:t>1</w:t>
      </w:r>
      <w:r w:rsidRPr="001A0825">
        <w:t>,</w:t>
      </w:r>
      <w:r>
        <w:t>7</w:t>
      </w:r>
      <w:r w:rsidRPr="001A0825">
        <w:t>%).</w:t>
      </w:r>
    </w:p>
    <w:p w14:paraId="22FADFCA" w14:textId="3C89D473" w:rsidR="00B10C49" w:rsidRPr="001A0825" w:rsidRDefault="00B10C49" w:rsidP="00B10C49">
      <w:pPr>
        <w:spacing w:after="120"/>
        <w:jc w:val="both"/>
      </w:pPr>
      <w:r>
        <w:t>Apskatot laika periodu no 2000.gada, kopumā ievērojamāko ietekmi uz iedzīvotāju skaita dinamiku ir atstājusi negatīvā starptautiskās migrācijas bilance. Pieaugot iedzīvotāju labklājībai, tikai pēdējos gados migrācijas plūsmu intensitāte ir mazinājusies. Iedzīvotāju skaits laika periodā no 2000. līdz 2022.gada sākumam ir sarucis kopumā par 509 tūkst., no kuriem uz migrāciju attiecas 292 tūkst. jeb gandrīz 3/5 no kopējā samazinājuma.</w:t>
      </w:r>
    </w:p>
    <w:p w14:paraId="3CA5B16C" w14:textId="3CC503B4" w:rsidR="00384FC8" w:rsidRDefault="00384FC8" w:rsidP="00867A48">
      <w:pPr>
        <w:spacing w:after="120"/>
        <w:jc w:val="both"/>
      </w:pPr>
      <w:r w:rsidRPr="001A0825">
        <w:t>202</w:t>
      </w:r>
      <w:r>
        <w:t>3</w:t>
      </w:r>
      <w:r w:rsidRPr="001A0825">
        <w:t>.</w:t>
      </w:r>
      <w:r w:rsidR="0080669C">
        <w:t>gad</w:t>
      </w:r>
      <w:r w:rsidRPr="001A0825">
        <w:t>ā darbspējas vecuma iedzīvotāju skaits turpināja samazināties. Iedzīvotāju skaits 15-74</w:t>
      </w:r>
      <w:r w:rsidR="00E32F49">
        <w:t xml:space="preserve"> </w:t>
      </w:r>
      <w:r w:rsidR="0080669C">
        <w:t>gad</w:t>
      </w:r>
      <w:r w:rsidRPr="001A0825">
        <w:t>u vecumā 202</w:t>
      </w:r>
      <w:r>
        <w:t>4</w:t>
      </w:r>
      <w:r w:rsidRPr="001A0825">
        <w:t>.</w:t>
      </w:r>
      <w:r w:rsidR="0080669C">
        <w:t>gad</w:t>
      </w:r>
      <w:r w:rsidRPr="001A0825">
        <w:t>a sākumā veidoja 1</w:t>
      </w:r>
      <w:r w:rsidR="00B57F35">
        <w:t> </w:t>
      </w:r>
      <w:r>
        <w:t>39</w:t>
      </w:r>
      <w:r w:rsidR="002B1461">
        <w:t>5</w:t>
      </w:r>
      <w:r>
        <w:t xml:space="preserve"> </w:t>
      </w:r>
      <w:r w:rsidRPr="001A0825">
        <w:t xml:space="preserve">tūkst., </w:t>
      </w:r>
      <w:r>
        <w:t>samazinoties</w:t>
      </w:r>
      <w:r w:rsidRPr="001A0825">
        <w:t xml:space="preserve"> par </w:t>
      </w:r>
      <w:r w:rsidR="002B1461">
        <w:t>5,4</w:t>
      </w:r>
      <w:r w:rsidRPr="001A0825">
        <w:t xml:space="preserve"> tūkst. salīdzinājumā ar 202</w:t>
      </w:r>
      <w:r>
        <w:t>3</w:t>
      </w:r>
      <w:r w:rsidRPr="001A0825">
        <w:t>.</w:t>
      </w:r>
      <w:r w:rsidR="0080669C">
        <w:t>gad</w:t>
      </w:r>
      <w:r w:rsidRPr="001A0825">
        <w:t>a sākumu. Ievērojamākais iedzīvotāju skaita sarukums bija šādās darbspējas vecuma grupās: 25-29</w:t>
      </w:r>
      <w:r w:rsidR="00E32F49">
        <w:t xml:space="preserve"> </w:t>
      </w:r>
      <w:r w:rsidR="0080669C">
        <w:t>gad</w:t>
      </w:r>
      <w:r w:rsidRPr="001A0825">
        <w:t xml:space="preserve">i (par </w:t>
      </w:r>
      <w:r>
        <w:t>5,</w:t>
      </w:r>
      <w:r w:rsidR="002B1461">
        <w:t>3</w:t>
      </w:r>
      <w:r w:rsidRPr="001A0825">
        <w:t xml:space="preserve"> tūkst. jeb </w:t>
      </w:r>
      <w:r>
        <w:t>5</w:t>
      </w:r>
      <w:r w:rsidR="002B1461">
        <w:t>,9</w:t>
      </w:r>
      <w:r w:rsidR="0080669C">
        <w:t>%</w:t>
      </w:r>
      <w:r w:rsidRPr="001A0825">
        <w:t>), 30-34</w:t>
      </w:r>
      <w:r w:rsidR="00E32F49">
        <w:t xml:space="preserve"> </w:t>
      </w:r>
      <w:r w:rsidR="0080669C">
        <w:t>gad</w:t>
      </w:r>
      <w:r w:rsidRPr="001A0825">
        <w:t xml:space="preserve">i (par </w:t>
      </w:r>
      <w:r w:rsidR="002B1461">
        <w:t>7,4</w:t>
      </w:r>
      <w:r w:rsidRPr="001A0825">
        <w:t xml:space="preserve"> tūkst. jeb </w:t>
      </w:r>
      <w:r w:rsidR="002B1461">
        <w:t>5,</w:t>
      </w:r>
      <w:r>
        <w:t>6</w:t>
      </w:r>
      <w:r w:rsidR="0080669C">
        <w:t>%</w:t>
      </w:r>
      <w:r w:rsidRPr="001A0825">
        <w:t xml:space="preserve">), un </w:t>
      </w:r>
      <w:r w:rsidR="002B1461">
        <w:t>5</w:t>
      </w:r>
      <w:r w:rsidRPr="001A0825">
        <w:t>5-</w:t>
      </w:r>
      <w:r w:rsidR="002B1461">
        <w:t>5</w:t>
      </w:r>
      <w:r w:rsidRPr="001A0825">
        <w:t>9</w:t>
      </w:r>
      <w:r w:rsidR="00E32F49">
        <w:t xml:space="preserve"> </w:t>
      </w:r>
      <w:r w:rsidR="0080669C">
        <w:t>gad</w:t>
      </w:r>
      <w:r w:rsidRPr="001A0825">
        <w:t xml:space="preserve">i (par </w:t>
      </w:r>
      <w:r w:rsidR="002B1461">
        <w:t>1,9</w:t>
      </w:r>
      <w:r w:rsidRPr="001A0825">
        <w:t xml:space="preserve"> tūkst. jeb </w:t>
      </w:r>
      <w:r>
        <w:t>1</w:t>
      </w:r>
      <w:r w:rsidRPr="001A0825">
        <w:t>,</w:t>
      </w:r>
      <w:r w:rsidR="002B1461">
        <w:t>5</w:t>
      </w:r>
      <w:r w:rsidR="0080669C">
        <w:t>%</w:t>
      </w:r>
      <w:r w:rsidRPr="001A0825">
        <w:t>).</w:t>
      </w:r>
    </w:p>
    <w:p w14:paraId="0D680022" w14:textId="65591F5F" w:rsidR="00384FC8" w:rsidRPr="001A0825" w:rsidRDefault="00384FC8" w:rsidP="00867A48">
      <w:pPr>
        <w:spacing w:after="120"/>
        <w:jc w:val="both"/>
        <w:rPr>
          <w:szCs w:val="26"/>
        </w:rPr>
      </w:pPr>
      <w:r w:rsidRPr="001A0825">
        <w:rPr>
          <w:szCs w:val="26"/>
        </w:rPr>
        <w:t>Latvijā migrācijas plūsmas uz ārvalstīm strauji pieauga globālās finanšu krīzes ietekmē, pasliktinoties ekonomiskajai situācijai. Negatīvā migrācijas saldo kulminācija tika sasniegta 2009. un 2010.</w:t>
      </w:r>
      <w:r w:rsidR="0080669C">
        <w:rPr>
          <w:szCs w:val="26"/>
        </w:rPr>
        <w:t>gad</w:t>
      </w:r>
      <w:r w:rsidRPr="001A0825">
        <w:rPr>
          <w:szCs w:val="26"/>
        </w:rPr>
        <w:t xml:space="preserve">ā. Galvenais izbraukšanas mērķis šajā laikā bija darba meklējumi ārvalstīs </w:t>
      </w:r>
      <w:r>
        <w:rPr>
          <w:szCs w:val="26"/>
        </w:rPr>
        <w:t xml:space="preserve">– </w:t>
      </w:r>
      <w:r w:rsidRPr="001A0825">
        <w:rPr>
          <w:szCs w:val="26"/>
        </w:rPr>
        <w:t>no valsts emigrēja galvenokārt darbspējas vecuma iedzīvotāji, izteikti mobilāki ir jaunāk</w:t>
      </w:r>
      <w:r>
        <w:rPr>
          <w:szCs w:val="26"/>
        </w:rPr>
        <w:t>o</w:t>
      </w:r>
      <w:r w:rsidRPr="001A0825">
        <w:rPr>
          <w:szCs w:val="26"/>
        </w:rPr>
        <w:t xml:space="preserve"> vecum</w:t>
      </w:r>
      <w:r>
        <w:rPr>
          <w:szCs w:val="26"/>
        </w:rPr>
        <w:t>a</w:t>
      </w:r>
      <w:r w:rsidRPr="001A0825">
        <w:rPr>
          <w:szCs w:val="26"/>
        </w:rPr>
        <w:t xml:space="preserve"> grupu iedzīvotāji.</w:t>
      </w:r>
    </w:p>
    <w:p w14:paraId="69D9D138" w14:textId="2FFFD13D" w:rsidR="00384FC8" w:rsidRPr="001A0825" w:rsidRDefault="00384FC8" w:rsidP="00867A48">
      <w:pPr>
        <w:spacing w:after="120"/>
        <w:jc w:val="both"/>
      </w:pPr>
      <w:r w:rsidRPr="4398C881">
        <w:t>Kopš 2011.</w:t>
      </w:r>
      <w:r w:rsidR="0080669C">
        <w:t>gad</w:t>
      </w:r>
      <w:r w:rsidRPr="4398C881">
        <w:t>a migrācijas rādītāji pakāpeniski uzlabojas. Negatīvo migrācijas saldo mazināja ne tikai izbraukušo skaita samazinājums, bet arī imigrējušo iedzīvotāju skaita pieaugums. Taču kopš 2014.</w:t>
      </w:r>
      <w:r w:rsidR="0080669C">
        <w:t>gad</w:t>
      </w:r>
      <w:r w:rsidRPr="4398C881">
        <w:t>a ir vērojama neliela imigrējušo skaita samazināšanās un izbraukušo skaita pieauguma tendence. Situācija uzlabojās 2017.</w:t>
      </w:r>
      <w:r w:rsidR="0080669C">
        <w:t>gad</w:t>
      </w:r>
      <w:r w:rsidRPr="4398C881">
        <w:t xml:space="preserve">ā, </w:t>
      </w:r>
      <w:r w:rsidRPr="4398C881">
        <w:lastRenderedPageBreak/>
        <w:t>palielinoties imigrējušo iedzīvotāju skaitam un samazinoties emigrējušo skaitam. Līdz ar ekonomikas izaugsmi, paplašinoties darba iespējām un pieaugot darba samaksai, kopumā mazinās arī iedzīvotāju ekonomiskās emigrācijas stimuli un negatīvais migrācijas saldo pēdējos</w:t>
      </w:r>
      <w:r w:rsidR="00692D05">
        <w:t xml:space="preserve"> </w:t>
      </w:r>
      <w:r w:rsidR="0080669C">
        <w:t>gad</w:t>
      </w:r>
      <w:r w:rsidRPr="4398C881">
        <w:t xml:space="preserve">os ir būtiski sarucis. </w:t>
      </w:r>
      <w:r w:rsidR="00B10C49" w:rsidRPr="4398C881">
        <w:t>Iedzīvotāju skaits 202</w:t>
      </w:r>
      <w:r w:rsidR="00B10C49">
        <w:t>2</w:t>
      </w:r>
      <w:r w:rsidR="00B10C49" w:rsidRPr="4398C881">
        <w:t xml:space="preserve">.gadā migrācijas dēļ </w:t>
      </w:r>
      <w:r w:rsidR="00B10C49">
        <w:t>ir būtiski pieaudzis.</w:t>
      </w:r>
      <w:r w:rsidR="00B10C49">
        <w:rPr>
          <w:szCs w:val="26"/>
        </w:rPr>
        <w:t xml:space="preserve"> Salīdzinot ar 2021.gadu, ilgtermiņa imigrantu skaits ir palielinājies par 26 tūkst.</w:t>
      </w:r>
    </w:p>
    <w:p w14:paraId="59F5E3FF" w14:textId="77777777" w:rsidR="00384FC8" w:rsidRPr="001A0825" w:rsidRDefault="00384FC8" w:rsidP="00867A48">
      <w:pPr>
        <w:spacing w:after="120"/>
        <w:jc w:val="right"/>
        <w:rPr>
          <w:szCs w:val="28"/>
        </w:rPr>
      </w:pPr>
      <w:r w:rsidRPr="001A0825">
        <w:rPr>
          <w:szCs w:val="28"/>
        </w:rPr>
        <w:t>2.6. attēls</w:t>
      </w:r>
    </w:p>
    <w:p w14:paraId="4938A2E6" w14:textId="77777777" w:rsidR="00384FC8" w:rsidRPr="001A0825" w:rsidRDefault="00384FC8" w:rsidP="00867A48">
      <w:pPr>
        <w:tabs>
          <w:tab w:val="center" w:pos="2410"/>
          <w:tab w:val="center" w:pos="6804"/>
        </w:tabs>
        <w:spacing w:after="120"/>
        <w:rPr>
          <w:rFonts w:ascii="Segoe UI Light" w:hAnsi="Segoe UI Light"/>
          <w:i/>
          <w:sz w:val="16"/>
        </w:rPr>
      </w:pPr>
      <w:r w:rsidRPr="001A0825">
        <w:rPr>
          <w:rFonts w:ascii="Segoe UI Light" w:hAnsi="Segoe UI Light"/>
          <w:b/>
          <w:sz w:val="18"/>
          <w:szCs w:val="24"/>
        </w:rPr>
        <w:tab/>
        <w:t>Iedzīvotāju skaita izmaiņu ietekmējošie faktori</w:t>
      </w:r>
      <w:r w:rsidRPr="001A0825">
        <w:rPr>
          <w:rFonts w:ascii="Segoe UI Light" w:hAnsi="Segoe UI Light"/>
          <w:sz w:val="18"/>
        </w:rPr>
        <w:tab/>
      </w:r>
      <w:r w:rsidRPr="001A0825">
        <w:rPr>
          <w:rFonts w:ascii="Segoe UI Light" w:hAnsi="Segoe UI Light"/>
          <w:b/>
          <w:bCs/>
          <w:sz w:val="18"/>
          <w:szCs w:val="24"/>
        </w:rPr>
        <w:t>Ilgtermiņa imigranti pēc valstiskās piederības</w:t>
      </w:r>
      <w:r w:rsidRPr="001A0825">
        <w:rPr>
          <w:rFonts w:ascii="Segoe UI Light" w:hAnsi="Segoe UI Light"/>
          <w:bCs/>
          <w:sz w:val="18"/>
        </w:rPr>
        <w:br/>
      </w:r>
      <w:r w:rsidRPr="001A0825">
        <w:rPr>
          <w:rFonts w:ascii="Segoe UI Light" w:hAnsi="Segoe UI Light"/>
          <w:i/>
          <w:sz w:val="16"/>
        </w:rPr>
        <w:tab/>
        <w:t>tūkstoši</w:t>
      </w:r>
      <w:r w:rsidRPr="001A0825">
        <w:rPr>
          <w:rFonts w:ascii="Segoe UI Light" w:hAnsi="Segoe UI Light"/>
          <w:i/>
          <w:sz w:val="16"/>
        </w:rPr>
        <w:tab/>
      </w:r>
      <w:proofErr w:type="spellStart"/>
      <w:r w:rsidRPr="00B611D9">
        <w:rPr>
          <w:rFonts w:ascii="Segoe UI Light" w:hAnsi="Segoe UI Light"/>
          <w:i/>
          <w:sz w:val="16"/>
        </w:rPr>
        <w:t>tūkstoši</w:t>
      </w:r>
      <w:proofErr w:type="spellEnd"/>
    </w:p>
    <w:p w14:paraId="1CCE35A9" w14:textId="77777777" w:rsidR="00384FC8" w:rsidRPr="001A0825" w:rsidRDefault="00384FC8" w:rsidP="00867A48">
      <w:pPr>
        <w:tabs>
          <w:tab w:val="left" w:pos="4753"/>
        </w:tabs>
        <w:spacing w:after="120"/>
        <w:rPr>
          <w:rFonts w:ascii="Arial Narrow" w:hAnsi="Arial Narrow"/>
        </w:rPr>
      </w:pPr>
      <w:r w:rsidRPr="001A0825">
        <w:rPr>
          <w:rFonts w:ascii="Arial Narrow" w:hAnsi="Arial Narrow"/>
          <w:noProof/>
          <w:szCs w:val="20"/>
          <w:lang w:eastAsia="lv-LV"/>
        </w:rPr>
        <w:drawing>
          <wp:inline distT="0" distB="0" distL="0" distR="0" wp14:anchorId="38C03FFF" wp14:editId="05E3F332">
            <wp:extent cx="2881223" cy="1980000"/>
            <wp:effectExtent l="0" t="0" r="0" b="1270"/>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1A0825">
        <w:rPr>
          <w:rFonts w:ascii="Arial Narrow" w:hAnsi="Arial Narrow"/>
          <w:noProof/>
          <w:szCs w:val="20"/>
          <w:lang w:eastAsia="lv-LV"/>
        </w:rPr>
        <w:drawing>
          <wp:inline distT="0" distB="0" distL="0" distR="0" wp14:anchorId="0DB475B0" wp14:editId="27CC26A7">
            <wp:extent cx="2844000" cy="1980000"/>
            <wp:effectExtent l="0" t="0" r="0" b="1270"/>
            <wp:docPr id="281" name="Chart 28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DED61A6" w14:textId="258117E3" w:rsidR="00384FC8" w:rsidRPr="00692D05" w:rsidRDefault="00384FC8" w:rsidP="00B43E57">
      <w:pPr>
        <w:spacing w:before="120" w:after="120"/>
        <w:rPr>
          <w:sz w:val="16"/>
          <w:szCs w:val="16"/>
        </w:rPr>
      </w:pPr>
      <w:r w:rsidRPr="00692D05">
        <w:rPr>
          <w:sz w:val="16"/>
          <w:szCs w:val="16"/>
        </w:rPr>
        <w:t>Avots: CSP</w:t>
      </w:r>
    </w:p>
    <w:p w14:paraId="5791961F" w14:textId="77777777" w:rsidR="00692D05" w:rsidRDefault="00692D05" w:rsidP="00867A48">
      <w:pPr>
        <w:spacing w:after="120"/>
        <w:jc w:val="both"/>
      </w:pPr>
    </w:p>
    <w:p w14:paraId="4F22AAF8" w14:textId="1027922E" w:rsidR="00CB788E" w:rsidRDefault="00CB788E" w:rsidP="00CB788E">
      <w:pPr>
        <w:spacing w:after="120"/>
        <w:jc w:val="both"/>
        <w:rPr>
          <w:szCs w:val="20"/>
        </w:rPr>
      </w:pPr>
      <w:r>
        <w:t xml:space="preserve">Darbaspēka nepietiekamības pieaugums, kā arī atvērtāka migrācijas politika, kopumā ir mainījusi imigrējušo nacionālo sastāvu. Līdz 2017.gadam kopumā imigrējušo iedzīvotāju plūsmā galvenokārt dominēja Latvijas </w:t>
      </w:r>
      <w:proofErr w:type="spellStart"/>
      <w:r>
        <w:t>valstspiederīgie</w:t>
      </w:r>
      <w:proofErr w:type="spellEnd"/>
      <w:r>
        <w:t xml:space="preserve"> – Latvijas pilsoņi un </w:t>
      </w:r>
      <w:proofErr w:type="spellStart"/>
      <w:r>
        <w:t>nepilsoņi</w:t>
      </w:r>
      <w:proofErr w:type="spellEnd"/>
      <w:r>
        <w:t>. 2018.-2019.gadā to skaits bija mazāks par pusi, taču</w:t>
      </w:r>
      <w:r w:rsidRPr="4398C881">
        <w:rPr>
          <w:rFonts w:eastAsia="Calibri Light" w:cs="Calibri Light"/>
          <w:szCs w:val="20"/>
        </w:rPr>
        <w:t xml:space="preserve"> kopš 2020.gada Latvijas un </w:t>
      </w:r>
      <w:proofErr w:type="spellStart"/>
      <w:r w:rsidRPr="4398C881">
        <w:rPr>
          <w:rFonts w:eastAsia="Calibri Light" w:cs="Calibri Light"/>
          <w:szCs w:val="20"/>
        </w:rPr>
        <w:t>nepilsoņu</w:t>
      </w:r>
      <w:proofErr w:type="spellEnd"/>
      <w:r w:rsidRPr="4398C881">
        <w:rPr>
          <w:rFonts w:eastAsia="Calibri Light" w:cs="Calibri Light"/>
          <w:szCs w:val="20"/>
        </w:rPr>
        <w:t xml:space="preserve"> īpatsvars kopējā ilgtermiņa imigrantu skaitā atkal pārsniedz pusi.</w:t>
      </w:r>
    </w:p>
    <w:p w14:paraId="3C30E85A" w14:textId="77777777" w:rsidR="00384FC8" w:rsidRDefault="00384FC8" w:rsidP="00867A48">
      <w:pPr>
        <w:spacing w:after="120"/>
        <w:jc w:val="both"/>
        <w:rPr>
          <w:szCs w:val="20"/>
        </w:rPr>
      </w:pPr>
      <w:r w:rsidRPr="001A0825">
        <w:rPr>
          <w:szCs w:val="20"/>
        </w:rPr>
        <w:t>Jāatzīmē, ka, ņemot vērā brīvo darbaspēka kustību ES, emigrācijas plūsmas nav iespējams uztvert pilnīgi precīzi. Ne tikai Latvija, bet arī citas ES dalībvalstis saskaras ar problēmām precīzi raksturot iedzīvotāju struktūru, kas izbraukuši no valsts darba meklējumu dēļ.</w:t>
      </w:r>
    </w:p>
    <w:p w14:paraId="3B4EA0B5" w14:textId="77777777" w:rsidR="00384FC8" w:rsidRDefault="00384FC8" w:rsidP="00867A48">
      <w:pPr>
        <w:spacing w:after="120"/>
        <w:jc w:val="both"/>
        <w:rPr>
          <w:szCs w:val="20"/>
        </w:rPr>
      </w:pPr>
    </w:p>
    <w:p w14:paraId="03599CEC" w14:textId="77777777" w:rsidR="00867A48" w:rsidRPr="001A0825" w:rsidRDefault="00867A48" w:rsidP="00867A48">
      <w:pPr>
        <w:spacing w:after="120"/>
        <w:jc w:val="both"/>
        <w:rPr>
          <w:szCs w:val="20"/>
        </w:rPr>
      </w:pPr>
    </w:p>
    <w:p w14:paraId="64CB2A44" w14:textId="77777777" w:rsidR="00384FC8" w:rsidRPr="00080A71" w:rsidRDefault="00384FC8" w:rsidP="00080A71">
      <w:pPr>
        <w:pStyle w:val="Heading3"/>
      </w:pPr>
      <w:bookmarkStart w:id="39" w:name="_Toc183620096"/>
      <w:r w:rsidRPr="00080A71">
        <w:t>2.2.2. Iedzīvotāju līdzdalība darba tirgū un darbaspēka piedāvājums</w:t>
      </w:r>
      <w:bookmarkEnd w:id="33"/>
      <w:bookmarkEnd w:id="34"/>
      <w:bookmarkEnd w:id="35"/>
      <w:bookmarkEnd w:id="39"/>
    </w:p>
    <w:p w14:paraId="61217228" w14:textId="77777777" w:rsidR="00384FC8" w:rsidRPr="003B4CDA" w:rsidRDefault="00384FC8" w:rsidP="00867A48">
      <w:pPr>
        <w:spacing w:after="120"/>
        <w:jc w:val="both"/>
        <w:rPr>
          <w:szCs w:val="20"/>
        </w:rPr>
      </w:pPr>
      <w:bookmarkStart w:id="40" w:name="_Toc390350666"/>
      <w:bookmarkStart w:id="41" w:name="_Toc453924344"/>
      <w:bookmarkStart w:id="42" w:name="_Toc517876434"/>
      <w:r w:rsidRPr="003B4CDA">
        <w:rPr>
          <w:szCs w:val="20"/>
        </w:rPr>
        <w:t>Darba tirgus piedāvājuma pusi pārstāv ekonomiski aktīvie iedzīvotāji, kurus veido nodarbinātie iedzīvotāji un darba meklētāji.</w:t>
      </w:r>
    </w:p>
    <w:p w14:paraId="5B25413F" w14:textId="77777777" w:rsidR="00384FC8" w:rsidRPr="003B4CDA" w:rsidRDefault="00384FC8" w:rsidP="00867A48">
      <w:pPr>
        <w:spacing w:after="120"/>
        <w:jc w:val="right"/>
        <w:rPr>
          <w:szCs w:val="20"/>
        </w:rPr>
      </w:pPr>
      <w:r w:rsidRPr="003B4CDA">
        <w:rPr>
          <w:szCs w:val="20"/>
        </w:rPr>
        <w:t>2.7. attēls</w:t>
      </w:r>
    </w:p>
    <w:p w14:paraId="3F44EA20" w14:textId="77777777" w:rsidR="00384FC8" w:rsidRPr="003B4CDA" w:rsidRDefault="00384FC8" w:rsidP="00867A48">
      <w:pPr>
        <w:spacing w:after="120"/>
        <w:jc w:val="center"/>
        <w:rPr>
          <w:rFonts w:ascii="Segoe UI Light" w:hAnsi="Segoe UI Light"/>
          <w:b/>
          <w:sz w:val="18"/>
          <w:szCs w:val="26"/>
        </w:rPr>
      </w:pPr>
      <w:r w:rsidRPr="003B4CDA">
        <w:rPr>
          <w:rFonts w:ascii="Segoe UI Light" w:hAnsi="Segoe UI Light"/>
          <w:b/>
          <w:sz w:val="18"/>
          <w:szCs w:val="26"/>
        </w:rPr>
        <w:t>Ekonomiskās aktivitātes rādītāji</w:t>
      </w:r>
    </w:p>
    <w:p w14:paraId="51D6981A" w14:textId="77777777" w:rsidR="00384FC8" w:rsidRPr="003B4CDA" w:rsidRDefault="00384FC8" w:rsidP="00867A48">
      <w:pPr>
        <w:spacing w:after="120"/>
        <w:jc w:val="center"/>
      </w:pPr>
      <w:r w:rsidRPr="003B4CDA">
        <w:rPr>
          <w:noProof/>
          <w:szCs w:val="20"/>
          <w:lang w:eastAsia="lv-LV"/>
        </w:rPr>
        <w:drawing>
          <wp:inline distT="0" distB="0" distL="0" distR="0" wp14:anchorId="0E342C8B" wp14:editId="029D9044">
            <wp:extent cx="5760000" cy="2159635"/>
            <wp:effectExtent l="0" t="0" r="0" b="0"/>
            <wp:docPr id="282" name="Chart 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0960C6A" w14:textId="77777777" w:rsidR="00384FC8" w:rsidRPr="00692D05" w:rsidRDefault="00384FC8" w:rsidP="00867A48">
      <w:pPr>
        <w:spacing w:after="120"/>
        <w:jc w:val="both"/>
        <w:rPr>
          <w:sz w:val="16"/>
          <w:szCs w:val="16"/>
        </w:rPr>
      </w:pPr>
      <w:r w:rsidRPr="00692D05">
        <w:rPr>
          <w:sz w:val="16"/>
          <w:szCs w:val="16"/>
        </w:rPr>
        <w:t>Avots: CSP</w:t>
      </w:r>
    </w:p>
    <w:p w14:paraId="1FA89584" w14:textId="098C7412" w:rsidR="00AD54BA" w:rsidRDefault="00AD54BA" w:rsidP="00AD54BA">
      <w:pPr>
        <w:spacing w:after="120"/>
        <w:jc w:val="both"/>
      </w:pPr>
      <w:r>
        <w:lastRenderedPageBreak/>
        <w:t>Valstī notiekošie demogrāfiskie procesi tieši atspoguļojas darbaspēka piedāvājuma tendencēs. Iedzīvotāju skaits darbspējas vecumā sarūk gan novecošanās, gan emigrācijas rezultātā, negatīvi ietekmējot arī ekonomiski aktīvo iedzīvotāju skaitu. Laika posmā no 2008. līdz 2021.gadam ekonomiski aktīvo iedzīvotāju skaits samazinājies par aptuveni 209 tūkst. Ekonomiski aktīvo iedzīvotāju skaits Latvijā samazinās jau kopš 2008.gada globālās finanšu krīzes. Periodā no 2015. līdz 2020.gadam negatīvā tendence kopumā palēninājās, ņemot vērā iedzīvotāju ekonomiskās aktivitātes pieaugumu, tomēr līdz ar Covid-19 pandēmijas atnākšanu arī ekonomiski aktīvo iedzīvotāju skaita samazinājuma temps ir pieaudzis. 2021.gadā ekonomiski aktīvo iedzīvotāju skaits saruka par 37,1 tūkst., ko galvenokārt ietekmēja iedzīvotāju ekonomiskās aktivitātes samazināšanās Covid-19 pandēmijas laikā. 2023.gadā, salīdzinot ar pirms-pandēmijas līmeni 2019.gadā, ekonomiski aktīvo iedzīvotāju skaits ir samazinājies par 36,5 tūkst. Iedzīvotāju līdzdalības līmenis darba tirgū 2023.gadā, salīdzinot ar 2022.gadu, nav mainījies vecuma grupā no 15 līdz 74 gadiem, sasniedzot 68,6%.</w:t>
      </w:r>
    </w:p>
    <w:p w14:paraId="244C3A15" w14:textId="2C5E1142" w:rsidR="0090095B" w:rsidRPr="00DA1AF0" w:rsidRDefault="007A5910" w:rsidP="0090095B">
      <w:pPr>
        <w:spacing w:before="120" w:after="120"/>
        <w:jc w:val="right"/>
        <w:rPr>
          <w:szCs w:val="20"/>
        </w:rPr>
      </w:pPr>
      <w:r>
        <w:rPr>
          <w:szCs w:val="20"/>
        </w:rPr>
        <w:t>2</w:t>
      </w:r>
      <w:r w:rsidR="0090095B" w:rsidRPr="00DA1AF0">
        <w:rPr>
          <w:szCs w:val="20"/>
        </w:rPr>
        <w:t>.</w:t>
      </w:r>
      <w:r>
        <w:rPr>
          <w:szCs w:val="20"/>
        </w:rPr>
        <w:t>8</w:t>
      </w:r>
      <w:r w:rsidR="0090095B" w:rsidRPr="00DA1AF0">
        <w:rPr>
          <w:szCs w:val="20"/>
        </w:rPr>
        <w:t>. attēls</w:t>
      </w:r>
    </w:p>
    <w:p w14:paraId="1B5D0A47" w14:textId="60A122B8" w:rsidR="0090095B" w:rsidRPr="00DA1AF0" w:rsidRDefault="0090095B" w:rsidP="0090095B">
      <w:pPr>
        <w:spacing w:before="120" w:after="120"/>
        <w:jc w:val="center"/>
        <w:rPr>
          <w:rFonts w:ascii="Cambria" w:hAnsi="Cambria"/>
          <w:i/>
          <w:sz w:val="18"/>
          <w:szCs w:val="24"/>
        </w:rPr>
      </w:pPr>
      <w:r w:rsidRPr="00DA1AF0">
        <w:rPr>
          <w:rFonts w:ascii="Segoe UI Light" w:hAnsi="Segoe UI Light"/>
          <w:b/>
          <w:sz w:val="18"/>
          <w:szCs w:val="26"/>
        </w:rPr>
        <w:t xml:space="preserve">Līdzdalības līmenis ES valstīs </w:t>
      </w:r>
      <w:r w:rsidRPr="00DA1AF0">
        <w:rPr>
          <w:rFonts w:ascii="Segoe UI Light" w:hAnsi="Segoe UI Light"/>
          <w:b/>
          <w:sz w:val="18"/>
          <w:szCs w:val="26"/>
        </w:rPr>
        <w:br/>
      </w:r>
      <w:r w:rsidRPr="00DA1AF0">
        <w:rPr>
          <w:rFonts w:ascii="Segoe UI Light" w:hAnsi="Segoe UI Light"/>
          <w:i/>
          <w:sz w:val="16"/>
          <w:szCs w:val="26"/>
        </w:rPr>
        <w:t>15-74 gadu vecuma grupā, procentos</w:t>
      </w:r>
    </w:p>
    <w:p w14:paraId="5B6006AE" w14:textId="77777777" w:rsidR="0090095B" w:rsidRPr="00DA1AF0" w:rsidRDefault="0090095B" w:rsidP="0090095B">
      <w:pPr>
        <w:spacing w:after="120"/>
        <w:jc w:val="right"/>
      </w:pPr>
      <w:r w:rsidRPr="00DA1AF0">
        <w:rPr>
          <w:noProof/>
        </w:rPr>
        <w:drawing>
          <wp:inline distT="0" distB="0" distL="0" distR="0" wp14:anchorId="01AB2E24" wp14:editId="1F15CBA2">
            <wp:extent cx="5759450" cy="2160000"/>
            <wp:effectExtent l="0" t="0" r="0" b="0"/>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DED2698" w14:textId="77777777" w:rsidR="0090095B" w:rsidRPr="00DA1AF0" w:rsidRDefault="0090095B" w:rsidP="0090095B">
      <w:pPr>
        <w:spacing w:after="120"/>
        <w:jc w:val="both"/>
        <w:rPr>
          <w:sz w:val="16"/>
          <w:szCs w:val="16"/>
        </w:rPr>
      </w:pPr>
      <w:r w:rsidRPr="00DA1AF0">
        <w:rPr>
          <w:sz w:val="16"/>
          <w:szCs w:val="16"/>
        </w:rPr>
        <w:t xml:space="preserve">Avots: </w:t>
      </w:r>
      <w:proofErr w:type="spellStart"/>
      <w:r w:rsidRPr="00DA1AF0">
        <w:rPr>
          <w:i/>
          <w:sz w:val="16"/>
          <w:szCs w:val="16"/>
        </w:rPr>
        <w:t>Eurostat</w:t>
      </w:r>
      <w:proofErr w:type="spellEnd"/>
    </w:p>
    <w:p w14:paraId="5DEE3F7A" w14:textId="77777777" w:rsidR="0090095B" w:rsidRPr="00DA1AF0" w:rsidRDefault="0090095B" w:rsidP="0090095B">
      <w:pPr>
        <w:spacing w:after="0"/>
        <w:rPr>
          <w:highlight w:val="yellow"/>
        </w:rPr>
      </w:pPr>
    </w:p>
    <w:p w14:paraId="1806163F" w14:textId="57C7D603" w:rsidR="0090095B" w:rsidRPr="00DA1AF0" w:rsidRDefault="00801E1C" w:rsidP="0090095B">
      <w:pPr>
        <w:spacing w:after="120"/>
        <w:jc w:val="both"/>
        <w:rPr>
          <w:szCs w:val="20"/>
        </w:rPr>
      </w:pPr>
      <w:r>
        <w:rPr>
          <w:szCs w:val="20"/>
        </w:rPr>
        <w:t xml:space="preserve">Kopumā </w:t>
      </w:r>
      <w:r w:rsidR="0090095B" w:rsidRPr="00DA1AF0">
        <w:rPr>
          <w:szCs w:val="20"/>
        </w:rPr>
        <w:t xml:space="preserve">Latvijā </w:t>
      </w:r>
      <w:r w:rsidR="00D83832">
        <w:rPr>
          <w:szCs w:val="20"/>
        </w:rPr>
        <w:t xml:space="preserve">iedzīvotāju </w:t>
      </w:r>
      <w:r w:rsidR="0090095B" w:rsidRPr="00DA1AF0">
        <w:rPr>
          <w:szCs w:val="20"/>
        </w:rPr>
        <w:t>līdzdalība</w:t>
      </w:r>
      <w:r w:rsidR="00D83832">
        <w:rPr>
          <w:szCs w:val="20"/>
        </w:rPr>
        <w:t xml:space="preserve"> darba </w:t>
      </w:r>
      <w:r w:rsidR="00076F9B">
        <w:rPr>
          <w:szCs w:val="20"/>
        </w:rPr>
        <w:t>saglabājās</w:t>
      </w:r>
      <w:r w:rsidR="00293103">
        <w:rPr>
          <w:szCs w:val="20"/>
        </w:rPr>
        <w:t xml:space="preserve"> augstākā līmenī nekā </w:t>
      </w:r>
      <w:r w:rsidR="004F7B7D">
        <w:rPr>
          <w:szCs w:val="20"/>
        </w:rPr>
        <w:t xml:space="preserve">vidēji </w:t>
      </w:r>
      <w:r w:rsidR="0090095B" w:rsidRPr="00DA1AF0">
        <w:rPr>
          <w:szCs w:val="20"/>
        </w:rPr>
        <w:t>ES valstīs</w:t>
      </w:r>
      <w:r w:rsidR="004F7B7D">
        <w:rPr>
          <w:szCs w:val="20"/>
        </w:rPr>
        <w:t xml:space="preserve">. </w:t>
      </w:r>
      <w:r w:rsidR="0090095B" w:rsidRPr="00DA1AF0">
        <w:rPr>
          <w:szCs w:val="20"/>
        </w:rPr>
        <w:t>2023.gadā iedzīvotāju ekonomiskā aktivitāte bija par 3,3 procentpunktiem augstāka nekā vidēji ES</w:t>
      </w:r>
      <w:r w:rsidR="004F7B7D">
        <w:rPr>
          <w:szCs w:val="20"/>
        </w:rPr>
        <w:t>27</w:t>
      </w:r>
      <w:r w:rsidR="0090095B" w:rsidRPr="00DA1AF0">
        <w:rPr>
          <w:szCs w:val="20"/>
        </w:rPr>
        <w:t xml:space="preserve"> (65,3%).</w:t>
      </w:r>
    </w:p>
    <w:p w14:paraId="192C3F5C" w14:textId="46F9C739" w:rsidR="00384FC8" w:rsidRPr="003B4CDA" w:rsidRDefault="00384FC8" w:rsidP="00867A48">
      <w:pPr>
        <w:spacing w:after="120"/>
        <w:jc w:val="right"/>
        <w:rPr>
          <w:szCs w:val="20"/>
        </w:rPr>
      </w:pPr>
      <w:r w:rsidRPr="003B4CDA">
        <w:rPr>
          <w:szCs w:val="20"/>
        </w:rPr>
        <w:t>2.</w:t>
      </w:r>
      <w:r w:rsidR="007A5910">
        <w:rPr>
          <w:szCs w:val="20"/>
        </w:rPr>
        <w:t>9</w:t>
      </w:r>
      <w:r w:rsidRPr="003B4CDA">
        <w:rPr>
          <w:szCs w:val="20"/>
        </w:rPr>
        <w:t>. attēls</w:t>
      </w:r>
    </w:p>
    <w:p w14:paraId="51877135" w14:textId="19B6D0FB" w:rsidR="00384FC8" w:rsidRPr="003B4CDA" w:rsidRDefault="00384FC8" w:rsidP="00867A48">
      <w:pPr>
        <w:spacing w:after="120"/>
        <w:jc w:val="center"/>
        <w:rPr>
          <w:rFonts w:ascii="Segoe UI Light" w:hAnsi="Segoe UI Light"/>
          <w:i/>
          <w:sz w:val="16"/>
          <w:szCs w:val="18"/>
        </w:rPr>
      </w:pPr>
      <w:r w:rsidRPr="003B4CDA">
        <w:rPr>
          <w:rFonts w:ascii="Segoe UI Light" w:hAnsi="Segoe UI Light"/>
          <w:b/>
          <w:bCs/>
          <w:sz w:val="18"/>
          <w:szCs w:val="18"/>
        </w:rPr>
        <w:t xml:space="preserve">Situācija darba tirgū </w:t>
      </w:r>
      <w:r w:rsidRPr="003B4CDA">
        <w:rPr>
          <w:rFonts w:ascii="Segoe UI Light" w:hAnsi="Segoe UI Light"/>
          <w:b/>
          <w:sz w:val="18"/>
          <w:szCs w:val="18"/>
        </w:rPr>
        <w:t>20</w:t>
      </w:r>
      <w:r>
        <w:rPr>
          <w:rFonts w:ascii="Segoe UI Light" w:hAnsi="Segoe UI Light"/>
          <w:b/>
          <w:sz w:val="18"/>
          <w:szCs w:val="18"/>
        </w:rPr>
        <w:t>23</w:t>
      </w:r>
      <w:r w:rsidRPr="003B4CDA">
        <w:rPr>
          <w:rFonts w:ascii="Segoe UI Light" w:hAnsi="Segoe UI Light"/>
          <w:b/>
          <w:sz w:val="18"/>
          <w:szCs w:val="18"/>
        </w:rPr>
        <w:t>.</w:t>
      </w:r>
      <w:r w:rsidR="0080669C">
        <w:rPr>
          <w:rFonts w:ascii="Segoe UI Light" w:hAnsi="Segoe UI Light"/>
          <w:b/>
          <w:sz w:val="18"/>
          <w:szCs w:val="18"/>
        </w:rPr>
        <w:t>gad</w:t>
      </w:r>
      <w:r w:rsidRPr="003B4CDA">
        <w:rPr>
          <w:rFonts w:ascii="Segoe UI Light" w:hAnsi="Segoe UI Light"/>
          <w:b/>
          <w:sz w:val="18"/>
          <w:szCs w:val="18"/>
        </w:rPr>
        <w:t>ā</w:t>
      </w:r>
      <w:r w:rsidRPr="003B4CDA">
        <w:rPr>
          <w:rFonts w:ascii="Segoe UI Light" w:hAnsi="Segoe UI Light"/>
          <w:b/>
          <w:sz w:val="18"/>
          <w:szCs w:val="18"/>
        </w:rPr>
        <w:br/>
      </w:r>
      <w:r w:rsidRPr="003B4CDA">
        <w:rPr>
          <w:rFonts w:ascii="Segoe UI Light" w:hAnsi="Segoe UI Light"/>
          <w:i/>
          <w:sz w:val="16"/>
          <w:szCs w:val="18"/>
        </w:rPr>
        <w:t>tūkstošos</w:t>
      </w:r>
    </w:p>
    <w:tbl>
      <w:tblPr>
        <w:tblStyle w:val="TableGrid"/>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8107"/>
        <w:gridCol w:w="681"/>
      </w:tblGrid>
      <w:tr w:rsidR="00384FC8" w:rsidRPr="003B4CDA" w14:paraId="570F3334" w14:textId="77777777">
        <w:trPr>
          <w:jc w:val="center"/>
        </w:trPr>
        <w:tc>
          <w:tcPr>
            <w:tcW w:w="8788" w:type="dxa"/>
            <w:gridSpan w:val="2"/>
          </w:tcPr>
          <w:p w14:paraId="53F7F8C8" w14:textId="77777777" w:rsidR="00384FC8" w:rsidRDefault="00384FC8">
            <w:pPr>
              <w:spacing w:after="120"/>
              <w:jc w:val="center"/>
              <w:rPr>
                <w:rFonts w:ascii="Segoe UI Light" w:hAnsi="Segoe UI Light" w:cs="Arial"/>
                <w:sz w:val="16"/>
                <w:szCs w:val="16"/>
              </w:rPr>
            </w:pPr>
            <w:r w:rsidRPr="003B4CDA">
              <w:rPr>
                <w:rFonts w:ascii="Segoe UI Light" w:hAnsi="Segoe UI Light" w:cs="Arial"/>
                <w:sz w:val="16"/>
                <w:szCs w:val="16"/>
              </w:rPr>
              <w:t xml:space="preserve">Iedzīvotāju skaits darbaspējas </w:t>
            </w:r>
            <w:r w:rsidR="00692D05" w:rsidRPr="003B4CDA">
              <w:rPr>
                <w:rFonts w:ascii="Segoe UI Light" w:hAnsi="Segoe UI Light" w:cs="Arial"/>
                <w:sz w:val="16"/>
                <w:szCs w:val="16"/>
              </w:rPr>
              <w:t>(15-74</w:t>
            </w:r>
            <w:r w:rsidR="00E002CB">
              <w:rPr>
                <w:rFonts w:ascii="Segoe UI Light" w:hAnsi="Segoe UI Light" w:cs="Arial"/>
                <w:sz w:val="16"/>
                <w:szCs w:val="16"/>
              </w:rPr>
              <w:t xml:space="preserve"> </w:t>
            </w:r>
            <w:r w:rsidR="00692D05">
              <w:rPr>
                <w:rFonts w:ascii="Segoe UI Light" w:hAnsi="Segoe UI Light" w:cs="Arial"/>
                <w:sz w:val="16"/>
                <w:szCs w:val="16"/>
              </w:rPr>
              <w:t>gadu</w:t>
            </w:r>
            <w:r w:rsidR="00692D05" w:rsidRPr="003B4CDA">
              <w:rPr>
                <w:rFonts w:ascii="Segoe UI Light" w:hAnsi="Segoe UI Light" w:cs="Arial"/>
                <w:sz w:val="16"/>
                <w:szCs w:val="16"/>
              </w:rPr>
              <w:t>)</w:t>
            </w:r>
            <w:r w:rsidR="00692D05">
              <w:rPr>
                <w:rFonts w:ascii="Segoe UI Light" w:hAnsi="Segoe UI Light" w:cs="Arial"/>
                <w:sz w:val="16"/>
                <w:szCs w:val="16"/>
              </w:rPr>
              <w:t xml:space="preserve"> </w:t>
            </w:r>
            <w:r w:rsidRPr="003B4CDA">
              <w:rPr>
                <w:rFonts w:ascii="Segoe UI Light" w:hAnsi="Segoe UI Light" w:cs="Arial"/>
                <w:sz w:val="16"/>
                <w:szCs w:val="16"/>
              </w:rPr>
              <w:t>vecumā  – 13</w:t>
            </w:r>
            <w:r>
              <w:rPr>
                <w:rFonts w:ascii="Segoe UI Light" w:hAnsi="Segoe UI Light" w:cs="Arial"/>
                <w:sz w:val="16"/>
                <w:szCs w:val="16"/>
              </w:rPr>
              <w:t>7</w:t>
            </w:r>
            <w:r w:rsidR="003302AA">
              <w:rPr>
                <w:rFonts w:ascii="Segoe UI Light" w:hAnsi="Segoe UI Light" w:cs="Arial"/>
                <w:sz w:val="16"/>
                <w:szCs w:val="16"/>
              </w:rPr>
              <w:t>8</w:t>
            </w:r>
          </w:p>
          <w:p w14:paraId="540ECE5A" w14:textId="3722A02E" w:rsidR="0025756B" w:rsidRPr="003B4CDA" w:rsidRDefault="0025756B">
            <w:pPr>
              <w:spacing w:after="120"/>
              <w:jc w:val="center"/>
              <w:rPr>
                <w:rFonts w:ascii="Segoe UI Light" w:hAnsi="Segoe UI Light" w:cs="Arial"/>
                <w:sz w:val="16"/>
                <w:szCs w:val="16"/>
              </w:rPr>
            </w:pPr>
            <w:r>
              <w:rPr>
                <w:rFonts w:ascii="Segoe UI Light" w:hAnsi="Segoe UI Light" w:cs="Arial"/>
                <w:noProof/>
                <w:sz w:val="16"/>
                <w:szCs w:val="16"/>
              </w:rPr>
              <w:drawing>
                <wp:inline distT="0" distB="0" distL="0" distR="0" wp14:anchorId="12CB0D1E" wp14:editId="2122B046">
                  <wp:extent cx="5444109" cy="447215"/>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70878" cy="465843"/>
                          </a:xfrm>
                          <a:prstGeom prst="rect">
                            <a:avLst/>
                          </a:prstGeom>
                          <a:noFill/>
                        </pic:spPr>
                      </pic:pic>
                    </a:graphicData>
                  </a:graphic>
                </wp:inline>
              </w:drawing>
            </w:r>
          </w:p>
        </w:tc>
      </w:tr>
      <w:tr w:rsidR="00384FC8" w:rsidRPr="003B4CDA" w14:paraId="0821E88B" w14:textId="77777777" w:rsidTr="0025756B">
        <w:trPr>
          <w:jc w:val="center"/>
        </w:trPr>
        <w:tc>
          <w:tcPr>
            <w:tcW w:w="8107" w:type="dxa"/>
          </w:tcPr>
          <w:p w14:paraId="3154E24B" w14:textId="77777777" w:rsidR="00384FC8" w:rsidRPr="003B4CDA" w:rsidRDefault="00384FC8" w:rsidP="001C7B5B">
            <w:pPr>
              <w:spacing w:before="20" w:after="20"/>
              <w:ind w:left="5993" w:right="-57"/>
              <w:rPr>
                <w:rFonts w:ascii="Segoe UI Light" w:hAnsi="Segoe UI Light" w:cs="Arial"/>
                <w:sz w:val="16"/>
                <w:szCs w:val="16"/>
              </w:rPr>
            </w:pPr>
            <w:r w:rsidRPr="003B4CDA">
              <w:rPr>
                <w:rFonts w:ascii="Segoe UI Light" w:hAnsi="Segoe UI Light" w:cs="Arial"/>
                <w:sz w:val="16"/>
                <w:szCs w:val="16"/>
              </w:rPr>
              <w:t>skolēni, studenti</w:t>
            </w:r>
          </w:p>
        </w:tc>
        <w:tc>
          <w:tcPr>
            <w:tcW w:w="681" w:type="dxa"/>
          </w:tcPr>
          <w:p w14:paraId="207A1FC7" w14:textId="77777777" w:rsidR="00384FC8" w:rsidRPr="003B4CDA" w:rsidRDefault="00384FC8">
            <w:pPr>
              <w:spacing w:before="20" w:after="20"/>
              <w:ind w:left="-113" w:right="113"/>
              <w:jc w:val="right"/>
              <w:rPr>
                <w:rFonts w:ascii="Segoe UI Light" w:hAnsi="Segoe UI Light" w:cs="Arial"/>
                <w:sz w:val="16"/>
                <w:szCs w:val="16"/>
              </w:rPr>
            </w:pPr>
            <w:r w:rsidRPr="003B4CDA">
              <w:rPr>
                <w:rFonts w:ascii="Segoe UI Light" w:hAnsi="Segoe UI Light" w:cs="Arial"/>
                <w:sz w:val="16"/>
                <w:szCs w:val="16"/>
              </w:rPr>
              <w:t>1</w:t>
            </w:r>
            <w:r>
              <w:rPr>
                <w:rFonts w:ascii="Segoe UI Light" w:hAnsi="Segoe UI Light" w:cs="Arial"/>
                <w:sz w:val="16"/>
                <w:szCs w:val="16"/>
              </w:rPr>
              <w:t>15</w:t>
            </w:r>
          </w:p>
        </w:tc>
      </w:tr>
      <w:tr w:rsidR="00384FC8" w:rsidRPr="003B4CDA" w14:paraId="1073E56D" w14:textId="77777777" w:rsidTr="0025756B">
        <w:trPr>
          <w:jc w:val="center"/>
        </w:trPr>
        <w:tc>
          <w:tcPr>
            <w:tcW w:w="8107" w:type="dxa"/>
          </w:tcPr>
          <w:p w14:paraId="17E2C868" w14:textId="77777777" w:rsidR="00384FC8" w:rsidRPr="003B4CDA" w:rsidRDefault="00384FC8" w:rsidP="001C7B5B">
            <w:pPr>
              <w:spacing w:before="20" w:after="20"/>
              <w:ind w:left="5993" w:right="-57"/>
              <w:rPr>
                <w:rFonts w:ascii="Segoe UI Light" w:hAnsi="Segoe UI Light" w:cs="Arial"/>
                <w:sz w:val="16"/>
                <w:szCs w:val="16"/>
              </w:rPr>
            </w:pPr>
            <w:r w:rsidRPr="003B4CDA">
              <w:rPr>
                <w:rFonts w:ascii="Segoe UI Light" w:hAnsi="Segoe UI Light" w:cs="Arial"/>
                <w:sz w:val="16"/>
                <w:szCs w:val="16"/>
              </w:rPr>
              <w:t>pensionāri, kas saņem tikai pensiju</w:t>
            </w:r>
          </w:p>
        </w:tc>
        <w:tc>
          <w:tcPr>
            <w:tcW w:w="681" w:type="dxa"/>
          </w:tcPr>
          <w:p w14:paraId="722F0230" w14:textId="77777777" w:rsidR="00384FC8" w:rsidRPr="003B4CDA" w:rsidRDefault="00384FC8">
            <w:pPr>
              <w:spacing w:before="20" w:after="20"/>
              <w:ind w:left="-113" w:right="113"/>
              <w:jc w:val="right"/>
              <w:rPr>
                <w:rFonts w:ascii="Segoe UI Light" w:hAnsi="Segoe UI Light" w:cs="Arial"/>
                <w:sz w:val="16"/>
                <w:szCs w:val="16"/>
              </w:rPr>
            </w:pPr>
            <w:r w:rsidRPr="003B4CDA">
              <w:rPr>
                <w:rFonts w:ascii="Segoe UI Light" w:hAnsi="Segoe UI Light" w:cs="Arial"/>
                <w:sz w:val="16"/>
                <w:szCs w:val="16"/>
              </w:rPr>
              <w:t>1</w:t>
            </w:r>
            <w:r>
              <w:rPr>
                <w:rFonts w:ascii="Segoe UI Light" w:hAnsi="Segoe UI Light" w:cs="Arial"/>
                <w:sz w:val="16"/>
                <w:szCs w:val="16"/>
              </w:rPr>
              <w:t>74</w:t>
            </w:r>
          </w:p>
        </w:tc>
      </w:tr>
      <w:tr w:rsidR="00384FC8" w:rsidRPr="003B4CDA" w14:paraId="0EF6F4FA" w14:textId="77777777" w:rsidTr="0025756B">
        <w:trPr>
          <w:jc w:val="center"/>
        </w:trPr>
        <w:tc>
          <w:tcPr>
            <w:tcW w:w="8107" w:type="dxa"/>
          </w:tcPr>
          <w:p w14:paraId="49352EFC" w14:textId="77777777" w:rsidR="00384FC8" w:rsidRPr="003B4CDA" w:rsidRDefault="00384FC8" w:rsidP="001C7B5B">
            <w:pPr>
              <w:spacing w:before="20" w:after="20"/>
              <w:ind w:left="5993" w:right="-57"/>
              <w:rPr>
                <w:rFonts w:ascii="Segoe UI Light" w:hAnsi="Segoe UI Light" w:cs="Arial"/>
                <w:sz w:val="16"/>
                <w:szCs w:val="16"/>
              </w:rPr>
            </w:pPr>
            <w:r w:rsidRPr="003B4CDA">
              <w:rPr>
                <w:rFonts w:ascii="Segoe UI Light" w:hAnsi="Segoe UI Light" w:cs="Arial"/>
                <w:color w:val="000000" w:themeColor="text1"/>
                <w:sz w:val="16"/>
                <w:szCs w:val="16"/>
              </w:rPr>
              <w:t>mājsaimnieki/-</w:t>
            </w:r>
            <w:proofErr w:type="spellStart"/>
            <w:r w:rsidRPr="003B4CDA">
              <w:rPr>
                <w:rFonts w:ascii="Segoe UI Light" w:hAnsi="Segoe UI Light" w:cs="Arial"/>
                <w:color w:val="000000" w:themeColor="text1"/>
                <w:sz w:val="16"/>
                <w:szCs w:val="16"/>
              </w:rPr>
              <w:t>ces</w:t>
            </w:r>
            <w:proofErr w:type="spellEnd"/>
          </w:p>
        </w:tc>
        <w:tc>
          <w:tcPr>
            <w:tcW w:w="681" w:type="dxa"/>
          </w:tcPr>
          <w:p w14:paraId="18584FB8" w14:textId="77777777" w:rsidR="00384FC8" w:rsidRPr="003B4CDA" w:rsidRDefault="00384FC8">
            <w:pPr>
              <w:spacing w:before="20" w:after="20"/>
              <w:ind w:left="-113" w:right="113"/>
              <w:jc w:val="right"/>
              <w:rPr>
                <w:rFonts w:ascii="Segoe UI Light" w:hAnsi="Segoe UI Light" w:cs="Arial"/>
                <w:color w:val="000000" w:themeColor="text1"/>
                <w:sz w:val="16"/>
                <w:szCs w:val="16"/>
              </w:rPr>
            </w:pPr>
            <w:r>
              <w:rPr>
                <w:rFonts w:ascii="Segoe UI Light" w:hAnsi="Segoe UI Light" w:cs="Arial"/>
                <w:color w:val="000000" w:themeColor="text1"/>
                <w:sz w:val="16"/>
                <w:szCs w:val="16"/>
              </w:rPr>
              <w:t>59</w:t>
            </w:r>
          </w:p>
        </w:tc>
      </w:tr>
      <w:tr w:rsidR="00384FC8" w:rsidRPr="003B4CDA" w14:paraId="2B13FE71" w14:textId="77777777" w:rsidTr="0025756B">
        <w:trPr>
          <w:jc w:val="center"/>
        </w:trPr>
        <w:tc>
          <w:tcPr>
            <w:tcW w:w="8107" w:type="dxa"/>
          </w:tcPr>
          <w:p w14:paraId="3320D7F7" w14:textId="77777777" w:rsidR="00384FC8" w:rsidRPr="003B4CDA" w:rsidRDefault="00384FC8" w:rsidP="001C7B5B">
            <w:pPr>
              <w:spacing w:before="20" w:after="20"/>
              <w:ind w:left="5993" w:right="-57"/>
              <w:rPr>
                <w:rFonts w:ascii="Segoe UI Light" w:hAnsi="Segoe UI Light" w:cs="Arial"/>
                <w:color w:val="000000" w:themeColor="text1"/>
                <w:sz w:val="16"/>
                <w:szCs w:val="16"/>
              </w:rPr>
            </w:pPr>
            <w:r w:rsidRPr="003B4CDA">
              <w:rPr>
                <w:rFonts w:ascii="Segoe UI Light" w:hAnsi="Segoe UI Light" w:cs="Arial"/>
                <w:color w:val="000000" w:themeColor="text1"/>
                <w:sz w:val="16"/>
                <w:szCs w:val="16"/>
              </w:rPr>
              <w:t>invalīdi, ilgstoši darbnespējīgās personas</w:t>
            </w:r>
          </w:p>
        </w:tc>
        <w:tc>
          <w:tcPr>
            <w:tcW w:w="681" w:type="dxa"/>
          </w:tcPr>
          <w:p w14:paraId="0E09DA9A" w14:textId="77777777" w:rsidR="00384FC8" w:rsidRPr="003B4CDA" w:rsidRDefault="00384FC8">
            <w:pPr>
              <w:spacing w:before="20" w:after="20"/>
              <w:ind w:left="-113" w:right="113"/>
              <w:jc w:val="right"/>
              <w:rPr>
                <w:rFonts w:ascii="Segoe UI Light" w:hAnsi="Segoe UI Light" w:cs="Arial"/>
                <w:color w:val="000000" w:themeColor="text1"/>
                <w:sz w:val="16"/>
                <w:szCs w:val="16"/>
              </w:rPr>
            </w:pPr>
            <w:r>
              <w:rPr>
                <w:rFonts w:ascii="Segoe UI Light" w:hAnsi="Segoe UI Light" w:cs="Arial"/>
                <w:color w:val="000000" w:themeColor="text1"/>
                <w:sz w:val="16"/>
                <w:szCs w:val="16"/>
              </w:rPr>
              <w:t>54</w:t>
            </w:r>
          </w:p>
        </w:tc>
      </w:tr>
      <w:tr w:rsidR="00384FC8" w:rsidRPr="003B4CDA" w14:paraId="496A784B" w14:textId="77777777" w:rsidTr="0025756B">
        <w:trPr>
          <w:jc w:val="center"/>
        </w:trPr>
        <w:tc>
          <w:tcPr>
            <w:tcW w:w="8107" w:type="dxa"/>
          </w:tcPr>
          <w:p w14:paraId="39150D3E" w14:textId="77777777" w:rsidR="00384FC8" w:rsidRPr="003B4CDA" w:rsidRDefault="00384FC8" w:rsidP="001C7B5B">
            <w:pPr>
              <w:spacing w:before="20" w:after="20"/>
              <w:ind w:left="5993" w:right="-57"/>
              <w:rPr>
                <w:rFonts w:ascii="Segoe UI Light" w:hAnsi="Segoe UI Light" w:cs="Arial"/>
                <w:color w:val="000000" w:themeColor="text1"/>
                <w:sz w:val="16"/>
                <w:szCs w:val="16"/>
              </w:rPr>
            </w:pPr>
            <w:r w:rsidRPr="003B4CDA">
              <w:rPr>
                <w:rFonts w:ascii="Segoe UI Light" w:hAnsi="Segoe UI Light" w:cs="Arial"/>
                <w:color w:val="000000" w:themeColor="text1"/>
                <w:sz w:val="16"/>
                <w:szCs w:val="16"/>
              </w:rPr>
              <w:t>bērna kopšanas atvaļinājumā esošas personas</w:t>
            </w:r>
          </w:p>
        </w:tc>
        <w:tc>
          <w:tcPr>
            <w:tcW w:w="681" w:type="dxa"/>
          </w:tcPr>
          <w:p w14:paraId="77A9D558" w14:textId="77777777" w:rsidR="00384FC8" w:rsidRPr="003B4CDA" w:rsidRDefault="00384FC8">
            <w:pPr>
              <w:spacing w:before="20" w:after="20"/>
              <w:ind w:left="-113" w:right="113"/>
              <w:jc w:val="right"/>
              <w:rPr>
                <w:rFonts w:ascii="Segoe UI Light" w:hAnsi="Segoe UI Light" w:cs="Arial"/>
                <w:color w:val="000000" w:themeColor="text1"/>
                <w:sz w:val="16"/>
                <w:szCs w:val="16"/>
              </w:rPr>
            </w:pPr>
            <w:r>
              <w:rPr>
                <w:rFonts w:ascii="Segoe UI Light" w:hAnsi="Segoe UI Light" w:cs="Arial"/>
                <w:color w:val="000000" w:themeColor="text1"/>
                <w:sz w:val="16"/>
                <w:szCs w:val="16"/>
              </w:rPr>
              <w:t>4</w:t>
            </w:r>
          </w:p>
        </w:tc>
      </w:tr>
      <w:tr w:rsidR="00384FC8" w:rsidRPr="003B4CDA" w14:paraId="653ED808" w14:textId="77777777" w:rsidTr="0025756B">
        <w:trPr>
          <w:jc w:val="center"/>
        </w:trPr>
        <w:tc>
          <w:tcPr>
            <w:tcW w:w="8107" w:type="dxa"/>
          </w:tcPr>
          <w:p w14:paraId="1495C1AC" w14:textId="77777777" w:rsidR="00384FC8" w:rsidRPr="003B4CDA" w:rsidRDefault="00384FC8" w:rsidP="001C7B5B">
            <w:pPr>
              <w:spacing w:before="20" w:after="20"/>
              <w:ind w:left="5993" w:right="-57"/>
              <w:rPr>
                <w:rFonts w:ascii="Segoe UI Light" w:hAnsi="Segoe UI Light" w:cs="Arial"/>
                <w:color w:val="000000" w:themeColor="text1"/>
                <w:sz w:val="16"/>
                <w:szCs w:val="16"/>
              </w:rPr>
            </w:pPr>
            <w:r w:rsidRPr="003B4CDA">
              <w:rPr>
                <w:rFonts w:ascii="Segoe UI Light" w:hAnsi="Segoe UI Light" w:cs="Arial"/>
                <w:color w:val="000000" w:themeColor="text1"/>
                <w:sz w:val="16"/>
                <w:szCs w:val="16"/>
              </w:rPr>
              <w:t>citi</w:t>
            </w:r>
          </w:p>
        </w:tc>
        <w:tc>
          <w:tcPr>
            <w:tcW w:w="681" w:type="dxa"/>
          </w:tcPr>
          <w:p w14:paraId="50339097" w14:textId="77777777" w:rsidR="00384FC8" w:rsidRPr="003B4CDA" w:rsidRDefault="00384FC8">
            <w:pPr>
              <w:spacing w:before="20" w:after="20"/>
              <w:ind w:left="-113" w:right="113"/>
              <w:jc w:val="right"/>
              <w:rPr>
                <w:rFonts w:ascii="Segoe UI Light" w:hAnsi="Segoe UI Light" w:cs="Arial"/>
                <w:color w:val="000000" w:themeColor="text1"/>
                <w:sz w:val="16"/>
                <w:szCs w:val="16"/>
              </w:rPr>
            </w:pPr>
            <w:r>
              <w:rPr>
                <w:rFonts w:ascii="Segoe UI Light" w:hAnsi="Segoe UI Light" w:cs="Arial"/>
                <w:color w:val="000000" w:themeColor="text1"/>
                <w:sz w:val="16"/>
                <w:szCs w:val="16"/>
              </w:rPr>
              <w:t>26</w:t>
            </w:r>
          </w:p>
        </w:tc>
      </w:tr>
    </w:tbl>
    <w:p w14:paraId="36F28951" w14:textId="77777777" w:rsidR="00384FC8" w:rsidRPr="00692D05" w:rsidRDefault="00384FC8" w:rsidP="00384FC8">
      <w:pPr>
        <w:spacing w:after="120"/>
        <w:ind w:firstLine="284"/>
        <w:jc w:val="both"/>
        <w:rPr>
          <w:sz w:val="16"/>
          <w:szCs w:val="16"/>
        </w:rPr>
      </w:pPr>
      <w:r w:rsidRPr="00692D05">
        <w:rPr>
          <w:sz w:val="16"/>
          <w:szCs w:val="16"/>
        </w:rPr>
        <w:t>Avots: CSP</w:t>
      </w:r>
    </w:p>
    <w:p w14:paraId="118ABD2C" w14:textId="664BB916" w:rsidR="00384FC8" w:rsidRDefault="00384FC8" w:rsidP="00867A48">
      <w:pPr>
        <w:spacing w:after="120"/>
        <w:rPr>
          <w:szCs w:val="26"/>
        </w:rPr>
      </w:pPr>
    </w:p>
    <w:p w14:paraId="265FD514" w14:textId="6518B9A0" w:rsidR="009C3DD2" w:rsidRDefault="009C3DD2" w:rsidP="009C3DD2">
      <w:pPr>
        <w:spacing w:after="120"/>
        <w:jc w:val="both"/>
        <w:rPr>
          <w:szCs w:val="26"/>
        </w:rPr>
      </w:pPr>
      <w:r w:rsidRPr="003B4CDA">
        <w:rPr>
          <w:szCs w:val="26"/>
        </w:rPr>
        <w:t>Ekonomiskās aktivitātes līmenis ir relatīvi stabils gandrīz visās vecuma grupās</w:t>
      </w:r>
      <w:r>
        <w:rPr>
          <w:szCs w:val="26"/>
        </w:rPr>
        <w:t>.</w:t>
      </w:r>
      <w:r w:rsidRPr="003B4CDA">
        <w:rPr>
          <w:szCs w:val="26"/>
        </w:rPr>
        <w:t xml:space="preserve"> Lielākās izmaiņas ir </w:t>
      </w:r>
      <w:proofErr w:type="spellStart"/>
      <w:r w:rsidRPr="003B4CDA">
        <w:rPr>
          <w:szCs w:val="26"/>
        </w:rPr>
        <w:t>skārušas</w:t>
      </w:r>
      <w:proofErr w:type="spellEnd"/>
      <w:r w:rsidRPr="003B4CDA">
        <w:rPr>
          <w:szCs w:val="26"/>
        </w:rPr>
        <w:t xml:space="preserve"> vecākā gadagājuma iedzīvotāju iesaisti darba tirgū. Ekonomiskās situācijas uzlabošanās un pensionēšanās vecuma palielināšanās nosaka straujāku ekonomiskās aktivitātes līmeņa pieaugumu</w:t>
      </w:r>
      <w:r w:rsidRPr="009C3DD2">
        <w:rPr>
          <w:szCs w:val="26"/>
        </w:rPr>
        <w:t xml:space="preserve"> </w:t>
      </w:r>
      <w:r w:rsidRPr="003B4CDA">
        <w:rPr>
          <w:szCs w:val="26"/>
        </w:rPr>
        <w:t>vecumā virs 60 gadiem.</w:t>
      </w:r>
      <w:r>
        <w:rPr>
          <w:szCs w:val="26"/>
        </w:rPr>
        <w:t xml:space="preserve"> 2023.gadā vērojams neliels ekonomiski aktīvo iedzīvotāju skaita pieaugums pamata un vidējās vispārējās izglītības grupās.</w:t>
      </w:r>
    </w:p>
    <w:p w14:paraId="073B27B4" w14:textId="191B5E64" w:rsidR="00384FC8" w:rsidRPr="003B4CDA" w:rsidRDefault="00384FC8" w:rsidP="00867A48">
      <w:pPr>
        <w:spacing w:after="120"/>
        <w:jc w:val="right"/>
        <w:rPr>
          <w:szCs w:val="26"/>
        </w:rPr>
      </w:pPr>
      <w:r w:rsidRPr="003B4CDA">
        <w:rPr>
          <w:szCs w:val="26"/>
        </w:rPr>
        <w:lastRenderedPageBreak/>
        <w:t>2.</w:t>
      </w:r>
      <w:r w:rsidR="007A5910">
        <w:rPr>
          <w:szCs w:val="26"/>
        </w:rPr>
        <w:t>10</w:t>
      </w:r>
      <w:r w:rsidRPr="003B4CDA">
        <w:rPr>
          <w:szCs w:val="26"/>
        </w:rPr>
        <w:t>. attēls</w:t>
      </w:r>
    </w:p>
    <w:p w14:paraId="036ED925" w14:textId="721B1A0A" w:rsidR="00384FC8" w:rsidRPr="003B4CDA" w:rsidRDefault="00384FC8" w:rsidP="00867A48">
      <w:pPr>
        <w:spacing w:after="120"/>
        <w:jc w:val="center"/>
        <w:rPr>
          <w:rFonts w:ascii="Segoe UI Light" w:hAnsi="Segoe UI Light"/>
          <w:i/>
          <w:sz w:val="16"/>
          <w:szCs w:val="28"/>
        </w:rPr>
      </w:pPr>
      <w:r w:rsidRPr="003B4CDA">
        <w:rPr>
          <w:rFonts w:ascii="Segoe UI Light" w:hAnsi="Segoe UI Light"/>
          <w:b/>
          <w:sz w:val="18"/>
          <w:szCs w:val="26"/>
        </w:rPr>
        <w:t>Ekonomiski aktīvo iedzīvotāju sadalījums pēc izglītības līmeņa</w:t>
      </w:r>
      <w:r w:rsidRPr="003B4CDA">
        <w:rPr>
          <w:rFonts w:ascii="Segoe UI Light" w:hAnsi="Segoe UI Light"/>
          <w:b/>
          <w:sz w:val="18"/>
          <w:szCs w:val="26"/>
        </w:rPr>
        <w:br/>
      </w:r>
      <w:r w:rsidRPr="003B4CDA">
        <w:rPr>
          <w:rFonts w:ascii="Segoe UI Light" w:hAnsi="Segoe UI Light"/>
          <w:bCs/>
          <w:i/>
          <w:sz w:val="16"/>
          <w:szCs w:val="28"/>
        </w:rPr>
        <w:t>15-74</w:t>
      </w:r>
      <w:r w:rsidR="00E002CB">
        <w:rPr>
          <w:rFonts w:ascii="Segoe UI Light" w:hAnsi="Segoe UI Light"/>
          <w:bCs/>
          <w:i/>
          <w:sz w:val="16"/>
          <w:szCs w:val="28"/>
        </w:rPr>
        <w:t xml:space="preserve"> </w:t>
      </w:r>
      <w:r w:rsidR="0080669C">
        <w:rPr>
          <w:rFonts w:ascii="Segoe UI Light" w:hAnsi="Segoe UI Light"/>
          <w:bCs/>
          <w:i/>
          <w:sz w:val="16"/>
          <w:szCs w:val="28"/>
        </w:rPr>
        <w:t>gad</w:t>
      </w:r>
      <w:r w:rsidRPr="003B4CDA">
        <w:rPr>
          <w:rFonts w:ascii="Segoe UI Light" w:hAnsi="Segoe UI Light"/>
          <w:bCs/>
          <w:i/>
          <w:sz w:val="16"/>
          <w:szCs w:val="28"/>
        </w:rPr>
        <w:t>u vecumā, procentos</w:t>
      </w:r>
    </w:p>
    <w:p w14:paraId="4E8D0F1F" w14:textId="77777777" w:rsidR="00384FC8" w:rsidRPr="003B4CDA" w:rsidRDefault="00384FC8" w:rsidP="00384FC8">
      <w:pPr>
        <w:spacing w:after="0"/>
        <w:jc w:val="center"/>
        <w:rPr>
          <w:rFonts w:ascii="Arial Narrow" w:hAnsi="Arial Narrow"/>
          <w:lang w:eastAsia="lv-LV"/>
        </w:rPr>
      </w:pPr>
      <w:r w:rsidRPr="003B4CDA">
        <w:rPr>
          <w:rFonts w:ascii="Arial Narrow" w:hAnsi="Arial Narrow"/>
          <w:noProof/>
          <w:szCs w:val="20"/>
          <w:lang w:eastAsia="lv-LV"/>
        </w:rPr>
        <w:drawing>
          <wp:inline distT="0" distB="0" distL="0" distR="0" wp14:anchorId="14BAB1B8" wp14:editId="28834EDA">
            <wp:extent cx="5760000" cy="2700000"/>
            <wp:effectExtent l="0" t="0" r="0" b="5715"/>
            <wp:docPr id="284"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489F853" w14:textId="77777777" w:rsidR="00384FC8" w:rsidRPr="00692D05" w:rsidRDefault="00384FC8" w:rsidP="00692D05">
      <w:pPr>
        <w:spacing w:before="120" w:after="120"/>
        <w:jc w:val="both"/>
        <w:rPr>
          <w:sz w:val="16"/>
          <w:szCs w:val="16"/>
        </w:rPr>
      </w:pPr>
      <w:r w:rsidRPr="00692D05">
        <w:rPr>
          <w:sz w:val="16"/>
          <w:szCs w:val="16"/>
        </w:rPr>
        <w:t>Avots: CSP</w:t>
      </w:r>
    </w:p>
    <w:p w14:paraId="6FA70404" w14:textId="77777777" w:rsidR="005F5363" w:rsidRDefault="005F5363" w:rsidP="00867A48">
      <w:pPr>
        <w:spacing w:after="120"/>
        <w:jc w:val="both"/>
        <w:rPr>
          <w:szCs w:val="20"/>
        </w:rPr>
      </w:pPr>
    </w:p>
    <w:p w14:paraId="0C083663" w14:textId="3737B852" w:rsidR="00384FC8" w:rsidRPr="003B4CDA" w:rsidRDefault="00384FC8" w:rsidP="00867A48">
      <w:pPr>
        <w:spacing w:after="120"/>
        <w:jc w:val="both"/>
        <w:rPr>
          <w:szCs w:val="20"/>
        </w:rPr>
      </w:pPr>
      <w:r w:rsidRPr="003B4CDA">
        <w:rPr>
          <w:szCs w:val="20"/>
        </w:rPr>
        <w:t>Iedzīvotāji aizvien vairāk apzinās izglītības nozīmi dalībai darba tirgū. Pakāpeniski turpina palielināties ekonomiski aktīvo iedzīvotāju īpatsvars ar augstāko izglītību</w:t>
      </w:r>
      <w:r>
        <w:rPr>
          <w:szCs w:val="20"/>
        </w:rPr>
        <w:t xml:space="preserve"> – </w:t>
      </w:r>
      <w:r w:rsidRPr="003B4CDA">
        <w:rPr>
          <w:szCs w:val="20"/>
        </w:rPr>
        <w:t>20</w:t>
      </w:r>
      <w:r>
        <w:rPr>
          <w:szCs w:val="20"/>
        </w:rPr>
        <w:t>23</w:t>
      </w:r>
      <w:r w:rsidRPr="003B4CDA">
        <w:rPr>
          <w:szCs w:val="20"/>
        </w:rPr>
        <w:t>.</w:t>
      </w:r>
      <w:r w:rsidR="0080669C">
        <w:rPr>
          <w:szCs w:val="20"/>
        </w:rPr>
        <w:t>gad</w:t>
      </w:r>
      <w:r w:rsidRPr="003B4CDA">
        <w:rPr>
          <w:szCs w:val="20"/>
        </w:rPr>
        <w:t xml:space="preserve">ā </w:t>
      </w:r>
      <w:r>
        <w:rPr>
          <w:szCs w:val="20"/>
        </w:rPr>
        <w:t xml:space="preserve">2/5 no visiem ekonomiski aktīviem iedzīvotājiem bija </w:t>
      </w:r>
      <w:r w:rsidRPr="009E7305">
        <w:rPr>
          <w:szCs w:val="20"/>
        </w:rPr>
        <w:t xml:space="preserve">augstākā izglītība. </w:t>
      </w:r>
      <w:r w:rsidR="008B01CE" w:rsidRPr="009E7305">
        <w:rPr>
          <w:szCs w:val="20"/>
        </w:rPr>
        <w:t>Jāatzīmē, ka pēc Covid-19 pandēmijas palielinājās</w:t>
      </w:r>
      <w:r w:rsidRPr="009E7305">
        <w:rPr>
          <w:szCs w:val="20"/>
        </w:rPr>
        <w:t xml:space="preserve"> ekonomiski aktīvo iedzīvotāju īpatsvars ar vidējo profesionālo izglītību</w:t>
      </w:r>
      <w:r w:rsidR="008B01CE" w:rsidRPr="009E7305">
        <w:rPr>
          <w:szCs w:val="20"/>
        </w:rPr>
        <w:t>, tomēr</w:t>
      </w:r>
      <w:r w:rsidR="008B01CE">
        <w:rPr>
          <w:szCs w:val="20"/>
        </w:rPr>
        <w:t xml:space="preserve"> 2022. un 2023.gadā tas</w:t>
      </w:r>
      <w:r>
        <w:rPr>
          <w:szCs w:val="20"/>
        </w:rPr>
        <w:t xml:space="preserve"> ir </w:t>
      </w:r>
      <w:r w:rsidR="008B01CE">
        <w:rPr>
          <w:szCs w:val="20"/>
        </w:rPr>
        <w:t>samazinājies līdz pirms-pandēmijas līmenim.</w:t>
      </w:r>
    </w:p>
    <w:p w14:paraId="321B2A37" w14:textId="34D6666E" w:rsidR="00384FC8" w:rsidRPr="00E12C6B" w:rsidRDefault="00384FC8" w:rsidP="00867A48">
      <w:pPr>
        <w:spacing w:after="120"/>
        <w:jc w:val="right"/>
        <w:rPr>
          <w:szCs w:val="20"/>
        </w:rPr>
      </w:pPr>
      <w:r w:rsidRPr="00E12C6B">
        <w:rPr>
          <w:szCs w:val="20"/>
        </w:rPr>
        <w:t>2.1</w:t>
      </w:r>
      <w:r w:rsidR="007A5910">
        <w:rPr>
          <w:szCs w:val="20"/>
        </w:rPr>
        <w:t>1</w:t>
      </w:r>
      <w:r w:rsidRPr="00E12C6B">
        <w:rPr>
          <w:szCs w:val="20"/>
        </w:rPr>
        <w:t>. attēls</w:t>
      </w:r>
    </w:p>
    <w:p w14:paraId="572F46F0" w14:textId="77777777" w:rsidR="00384FC8" w:rsidRPr="00E12C6B" w:rsidRDefault="00384FC8" w:rsidP="00867A48">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120"/>
        <w:rPr>
          <w:rFonts w:ascii="Segoe UI Light" w:hAnsi="Segoe UI Light"/>
          <w:b/>
          <w:bCs/>
          <w:szCs w:val="26"/>
        </w:rPr>
      </w:pPr>
      <w:r w:rsidRPr="00E12C6B">
        <w:rPr>
          <w:rFonts w:ascii="Segoe UI Light" w:hAnsi="Segoe UI Light"/>
          <w:b/>
          <w:bCs/>
          <w:szCs w:val="26"/>
        </w:rPr>
        <w:t>Ekonomiski aktīvie iedzīvotāji sadalījumā pa izglītības tematiskajām grupām</w:t>
      </w:r>
    </w:p>
    <w:p w14:paraId="4BC13F8D" w14:textId="77777777" w:rsidR="00384FC8" w:rsidRPr="00E12C6B" w:rsidRDefault="00384FC8" w:rsidP="00867A48">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6804"/>
        </w:tabs>
        <w:suppressAutoHyphens/>
        <w:spacing w:after="120"/>
        <w:jc w:val="left"/>
        <w:rPr>
          <w:rFonts w:ascii="Segoe UI Light" w:hAnsi="Segoe UI Light"/>
          <w:bCs/>
          <w:i/>
          <w:sz w:val="16"/>
          <w:szCs w:val="22"/>
        </w:rPr>
      </w:pPr>
      <w:r w:rsidRPr="00E12C6B">
        <w:rPr>
          <w:rFonts w:ascii="Segoe UI Light" w:hAnsi="Segoe UI Light"/>
          <w:bCs/>
          <w:i/>
          <w:sz w:val="16"/>
          <w:szCs w:val="22"/>
        </w:rPr>
        <w:tab/>
        <w:t>ar augstāko izglītību, procentos</w:t>
      </w:r>
      <w:r w:rsidRPr="00E12C6B">
        <w:rPr>
          <w:rFonts w:ascii="Segoe UI Light" w:hAnsi="Segoe UI Light"/>
          <w:bCs/>
          <w:i/>
          <w:sz w:val="16"/>
          <w:szCs w:val="22"/>
        </w:rPr>
        <w:tab/>
        <w:t>ar vidējo vispārējo un profesionālo izglītību, procentos</w:t>
      </w:r>
    </w:p>
    <w:p w14:paraId="4FAFE04F" w14:textId="77777777" w:rsidR="00384FC8" w:rsidRPr="00E12C6B" w:rsidRDefault="00384FC8" w:rsidP="00867A48">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4725"/>
        </w:tabs>
        <w:suppressAutoHyphens/>
        <w:spacing w:after="120"/>
        <w:jc w:val="left"/>
        <w:rPr>
          <w:rFonts w:ascii="Arial Narrow" w:hAnsi="Arial Narrow"/>
          <w:bCs/>
          <w:sz w:val="20"/>
        </w:rPr>
      </w:pPr>
      <w:r w:rsidRPr="00E12C6B">
        <w:rPr>
          <w:rFonts w:ascii="Arial Narrow" w:hAnsi="Arial Narrow"/>
          <w:noProof/>
          <w:sz w:val="20"/>
          <w:lang w:eastAsia="lv-LV"/>
        </w:rPr>
        <w:drawing>
          <wp:inline distT="0" distB="0" distL="0" distR="0" wp14:anchorId="219671F7" wp14:editId="239EDF42">
            <wp:extent cx="2880000" cy="2160000"/>
            <wp:effectExtent l="0" t="0" r="0" b="0"/>
            <wp:docPr id="33"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E12C6B">
        <w:rPr>
          <w:rFonts w:ascii="Arial Narrow" w:hAnsi="Arial Narrow"/>
          <w:noProof/>
          <w:sz w:val="20"/>
          <w:lang w:eastAsia="lv-LV"/>
        </w:rPr>
        <w:drawing>
          <wp:inline distT="0" distB="0" distL="0" distR="0" wp14:anchorId="20E7A83E" wp14:editId="722E0E04">
            <wp:extent cx="2880000" cy="2160000"/>
            <wp:effectExtent l="0" t="0" r="0" b="0"/>
            <wp:docPr id="37"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93D199B" w14:textId="77777777" w:rsidR="00384FC8" w:rsidRPr="00692D05" w:rsidRDefault="00384FC8" w:rsidP="00867A48">
      <w:pPr>
        <w:spacing w:before="120" w:after="120"/>
        <w:jc w:val="both"/>
        <w:rPr>
          <w:sz w:val="16"/>
          <w:szCs w:val="16"/>
        </w:rPr>
      </w:pPr>
      <w:r w:rsidRPr="00692D05">
        <w:rPr>
          <w:sz w:val="16"/>
          <w:szCs w:val="16"/>
        </w:rPr>
        <w:t>Avots: CSP</w:t>
      </w:r>
    </w:p>
    <w:p w14:paraId="0AFB7A03" w14:textId="77777777" w:rsidR="00692D05" w:rsidRDefault="00692D05" w:rsidP="00867A48">
      <w:pPr>
        <w:spacing w:after="120"/>
        <w:jc w:val="both"/>
        <w:rPr>
          <w:szCs w:val="20"/>
        </w:rPr>
      </w:pPr>
    </w:p>
    <w:p w14:paraId="6D3F81A1" w14:textId="027918B5" w:rsidR="008B29F1" w:rsidRDefault="00384FC8" w:rsidP="00867A48">
      <w:pPr>
        <w:spacing w:after="120"/>
        <w:jc w:val="both"/>
        <w:rPr>
          <w:szCs w:val="20"/>
        </w:rPr>
      </w:pPr>
      <w:r w:rsidRPr="00E12C6B">
        <w:rPr>
          <w:szCs w:val="20"/>
        </w:rPr>
        <w:t xml:space="preserve">Lielākais darbaspēka piedāvājums </w:t>
      </w:r>
      <w:r w:rsidR="008B29F1">
        <w:rPr>
          <w:szCs w:val="20"/>
        </w:rPr>
        <w:t xml:space="preserve">saglabājās </w:t>
      </w:r>
      <w:r w:rsidRPr="00E12C6B">
        <w:rPr>
          <w:szCs w:val="20"/>
        </w:rPr>
        <w:t xml:space="preserve">ar augstāko izglītību sociālo zinātņu, </w:t>
      </w:r>
      <w:proofErr w:type="spellStart"/>
      <w:r w:rsidRPr="00E12C6B">
        <w:rPr>
          <w:szCs w:val="20"/>
        </w:rPr>
        <w:t>komerczinību</w:t>
      </w:r>
      <w:proofErr w:type="spellEnd"/>
      <w:r w:rsidRPr="00E12C6B">
        <w:rPr>
          <w:szCs w:val="20"/>
        </w:rPr>
        <w:t xml:space="preserve"> un tiesību izglītības tematiskajā grupā. </w:t>
      </w:r>
      <w:r w:rsidR="008B29F1" w:rsidRPr="00E12C6B">
        <w:rPr>
          <w:szCs w:val="20"/>
        </w:rPr>
        <w:t>Kopš 2008.</w:t>
      </w:r>
      <w:r w:rsidR="008B29F1">
        <w:rPr>
          <w:szCs w:val="20"/>
        </w:rPr>
        <w:t>gad</w:t>
      </w:r>
      <w:r w:rsidR="008B29F1" w:rsidRPr="00E12C6B">
        <w:rPr>
          <w:szCs w:val="20"/>
        </w:rPr>
        <w:t xml:space="preserve">a </w:t>
      </w:r>
      <w:r w:rsidR="008B29F1">
        <w:rPr>
          <w:szCs w:val="20"/>
        </w:rPr>
        <w:t xml:space="preserve">šajā grupā vērojams skaitliski nozīmīgākais </w:t>
      </w:r>
      <w:r w:rsidR="008B29F1" w:rsidRPr="00E12C6B">
        <w:rPr>
          <w:szCs w:val="20"/>
        </w:rPr>
        <w:t xml:space="preserve">ekonomiski aktīvo iedzīvotāju izteiktākais skaita pieaugums. </w:t>
      </w:r>
      <w:r w:rsidRPr="00E12C6B">
        <w:rPr>
          <w:szCs w:val="20"/>
        </w:rPr>
        <w:t xml:space="preserve">To </w:t>
      </w:r>
      <w:r w:rsidR="008B29F1">
        <w:rPr>
          <w:szCs w:val="20"/>
        </w:rPr>
        <w:t xml:space="preserve">lielā mērā </w:t>
      </w:r>
      <w:r w:rsidRPr="00E12C6B">
        <w:rPr>
          <w:szCs w:val="20"/>
        </w:rPr>
        <w:t>nosaka iepriekšējo</w:t>
      </w:r>
      <w:r w:rsidR="00692D05">
        <w:rPr>
          <w:szCs w:val="20"/>
        </w:rPr>
        <w:t xml:space="preserve"> </w:t>
      </w:r>
      <w:r w:rsidR="0080669C">
        <w:rPr>
          <w:szCs w:val="20"/>
        </w:rPr>
        <w:t>gad</w:t>
      </w:r>
      <w:r w:rsidRPr="00E12C6B">
        <w:rPr>
          <w:szCs w:val="20"/>
        </w:rPr>
        <w:t xml:space="preserve">u </w:t>
      </w:r>
      <w:r w:rsidR="008B29F1" w:rsidRPr="00E12C6B">
        <w:rPr>
          <w:szCs w:val="20"/>
        </w:rPr>
        <w:t>stud</w:t>
      </w:r>
      <w:r w:rsidR="008B29F1">
        <w:rPr>
          <w:szCs w:val="20"/>
        </w:rPr>
        <w:t>ējošo</w:t>
      </w:r>
      <w:r w:rsidRPr="00E12C6B">
        <w:rPr>
          <w:szCs w:val="20"/>
        </w:rPr>
        <w:t xml:space="preserve"> izvēle iegūt augstāko izglītību šajā tematiskajā grupā.</w:t>
      </w:r>
      <w:r w:rsidR="008B29F1">
        <w:rPr>
          <w:szCs w:val="20"/>
        </w:rPr>
        <w:t xml:space="preserve"> Vienlaikus jāņem vērā, ka</w:t>
      </w:r>
      <w:r w:rsidR="009E7305">
        <w:rPr>
          <w:szCs w:val="20"/>
        </w:rPr>
        <w:t xml:space="preserve"> </w:t>
      </w:r>
      <w:r w:rsidR="008B29F1">
        <w:rPr>
          <w:szCs w:val="20"/>
        </w:rPr>
        <w:t>lielāka</w:t>
      </w:r>
      <w:r w:rsidR="009E7305">
        <w:rPr>
          <w:szCs w:val="20"/>
        </w:rPr>
        <w:t xml:space="preserve"> daļa studējošo </w:t>
      </w:r>
      <w:r w:rsidR="009E7305" w:rsidRPr="009E7305">
        <w:rPr>
          <w:szCs w:val="20"/>
        </w:rPr>
        <w:t xml:space="preserve">sociālo zinātņu, </w:t>
      </w:r>
      <w:proofErr w:type="spellStart"/>
      <w:r w:rsidR="009E7305" w:rsidRPr="009E7305">
        <w:rPr>
          <w:szCs w:val="20"/>
        </w:rPr>
        <w:t>komerczinību</w:t>
      </w:r>
      <w:proofErr w:type="spellEnd"/>
      <w:r w:rsidR="009E7305" w:rsidRPr="009E7305">
        <w:rPr>
          <w:szCs w:val="20"/>
        </w:rPr>
        <w:t xml:space="preserve"> un tiesību izglītības tematiskajā grupā </w:t>
      </w:r>
      <w:r w:rsidR="009E7305">
        <w:rPr>
          <w:szCs w:val="20"/>
        </w:rPr>
        <w:t xml:space="preserve">studē par personīgiem līdzekļiem. </w:t>
      </w:r>
    </w:p>
    <w:p w14:paraId="280C2028" w14:textId="7D096A4A" w:rsidR="00384FC8" w:rsidRPr="00E12C6B" w:rsidRDefault="00384FC8" w:rsidP="00867A48">
      <w:pPr>
        <w:spacing w:after="120"/>
        <w:jc w:val="both"/>
        <w:rPr>
          <w:szCs w:val="20"/>
        </w:rPr>
      </w:pPr>
      <w:r w:rsidRPr="00E12C6B">
        <w:rPr>
          <w:szCs w:val="20"/>
        </w:rPr>
        <w:t>Nākamās lielākās ekonomiski aktīvo iedzīvotāju izglītības tematiskās grupas ir inženierzinātņu, ražošanas un būvniecības tematiskā grupa un izglītības tematiskā grupa.</w:t>
      </w:r>
    </w:p>
    <w:p w14:paraId="68A34F30" w14:textId="77777777" w:rsidR="005F5363" w:rsidRDefault="005F5363">
      <w:pPr>
        <w:spacing w:after="0"/>
        <w:rPr>
          <w:szCs w:val="20"/>
        </w:rPr>
      </w:pPr>
      <w:r>
        <w:rPr>
          <w:szCs w:val="20"/>
        </w:rPr>
        <w:br w:type="page"/>
      </w:r>
    </w:p>
    <w:p w14:paraId="451C2116" w14:textId="755212AC" w:rsidR="00384FC8" w:rsidRPr="003B4CDA" w:rsidRDefault="00384FC8" w:rsidP="00867A48">
      <w:pPr>
        <w:spacing w:after="120"/>
        <w:jc w:val="right"/>
        <w:rPr>
          <w:szCs w:val="20"/>
        </w:rPr>
      </w:pPr>
      <w:r w:rsidRPr="003B4CDA">
        <w:rPr>
          <w:szCs w:val="20"/>
        </w:rPr>
        <w:lastRenderedPageBreak/>
        <w:t>2.1</w:t>
      </w:r>
      <w:r w:rsidR="007A5910">
        <w:rPr>
          <w:szCs w:val="20"/>
        </w:rPr>
        <w:t>2</w:t>
      </w:r>
      <w:r w:rsidRPr="003B4CDA">
        <w:rPr>
          <w:szCs w:val="20"/>
        </w:rPr>
        <w:t>. attēls</w:t>
      </w:r>
    </w:p>
    <w:p w14:paraId="632E1C50" w14:textId="665CBC68" w:rsidR="00384FC8" w:rsidRDefault="00384FC8" w:rsidP="00867A48">
      <w:pPr>
        <w:spacing w:after="120"/>
        <w:jc w:val="center"/>
        <w:rPr>
          <w:rFonts w:ascii="Segoe UI Light" w:hAnsi="Segoe UI Light"/>
          <w:bCs/>
          <w:i/>
          <w:sz w:val="16"/>
          <w:szCs w:val="26"/>
        </w:rPr>
      </w:pPr>
      <w:r w:rsidRPr="003B4CDA">
        <w:rPr>
          <w:rFonts w:ascii="Segoe UI Light" w:eastAsia="Times New Roman" w:hAnsi="Segoe UI Light"/>
          <w:b/>
          <w:bCs/>
          <w:color w:val="000000"/>
          <w:sz w:val="18"/>
          <w:szCs w:val="26"/>
        </w:rPr>
        <w:t>Nodarbināto iedzīvotāju vecumā virs 50</w:t>
      </w:r>
      <w:r w:rsidR="00E002CB">
        <w:rPr>
          <w:rFonts w:ascii="Segoe UI Light" w:eastAsia="Times New Roman" w:hAnsi="Segoe UI Light"/>
          <w:b/>
          <w:bCs/>
          <w:color w:val="000000"/>
          <w:sz w:val="18"/>
          <w:szCs w:val="26"/>
        </w:rPr>
        <w:t xml:space="preserve"> </w:t>
      </w:r>
      <w:r w:rsidR="0080669C">
        <w:rPr>
          <w:rFonts w:ascii="Segoe UI Light" w:eastAsia="Times New Roman" w:hAnsi="Segoe UI Light"/>
          <w:b/>
          <w:bCs/>
          <w:color w:val="000000"/>
          <w:sz w:val="18"/>
          <w:szCs w:val="26"/>
        </w:rPr>
        <w:t>gad</w:t>
      </w:r>
      <w:r w:rsidRPr="003B4CDA">
        <w:rPr>
          <w:rFonts w:ascii="Segoe UI Light" w:eastAsia="Times New Roman" w:hAnsi="Segoe UI Light"/>
          <w:b/>
          <w:bCs/>
          <w:color w:val="000000"/>
          <w:sz w:val="18"/>
          <w:szCs w:val="26"/>
        </w:rPr>
        <w:t>iem īpatsvars augstākās kvalifikācijas profesiju apakšgrupās</w:t>
      </w:r>
      <w:r w:rsidRPr="003B4CDA">
        <w:rPr>
          <w:rFonts w:ascii="Segoe UI Light" w:eastAsia="Times New Roman" w:hAnsi="Segoe UI Light"/>
          <w:b/>
          <w:bCs/>
          <w:color w:val="000000"/>
          <w:sz w:val="18"/>
          <w:szCs w:val="26"/>
        </w:rPr>
        <w:br/>
      </w:r>
      <w:r w:rsidRPr="003B4CDA">
        <w:rPr>
          <w:rFonts w:ascii="Segoe UI Light" w:hAnsi="Segoe UI Light"/>
          <w:i/>
          <w:sz w:val="16"/>
          <w:szCs w:val="26"/>
        </w:rPr>
        <w:t>20</w:t>
      </w:r>
      <w:r>
        <w:rPr>
          <w:rFonts w:ascii="Segoe UI Light" w:hAnsi="Segoe UI Light"/>
          <w:i/>
          <w:sz w:val="16"/>
          <w:szCs w:val="26"/>
        </w:rPr>
        <w:t>23</w:t>
      </w:r>
      <w:r w:rsidRPr="003B4CDA">
        <w:rPr>
          <w:rFonts w:ascii="Segoe UI Light" w:hAnsi="Segoe UI Light"/>
          <w:i/>
          <w:sz w:val="16"/>
          <w:szCs w:val="26"/>
        </w:rPr>
        <w:t>.</w:t>
      </w:r>
      <w:r w:rsidR="0080669C">
        <w:rPr>
          <w:rFonts w:ascii="Segoe UI Light" w:hAnsi="Segoe UI Light"/>
          <w:i/>
          <w:sz w:val="16"/>
          <w:szCs w:val="26"/>
        </w:rPr>
        <w:t>gad</w:t>
      </w:r>
      <w:r w:rsidRPr="003B4CDA">
        <w:rPr>
          <w:rFonts w:ascii="Segoe UI Light" w:hAnsi="Segoe UI Light"/>
          <w:i/>
          <w:sz w:val="16"/>
          <w:szCs w:val="26"/>
        </w:rPr>
        <w:t xml:space="preserve">s, </w:t>
      </w:r>
      <w:r w:rsidRPr="003B4CDA">
        <w:rPr>
          <w:rFonts w:ascii="Segoe UI Light" w:hAnsi="Segoe UI Light"/>
          <w:bCs/>
          <w:i/>
          <w:sz w:val="16"/>
          <w:szCs w:val="26"/>
        </w:rPr>
        <w:t>procentos no attiecīgajā profesiju apakšgrupā nodarbinātajiem</w:t>
      </w:r>
    </w:p>
    <w:tbl>
      <w:tblPr>
        <w:tblStyle w:val="TableGrid"/>
        <w:tblW w:w="9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184"/>
      </w:tblGrid>
      <w:tr w:rsidR="00A626EE" w:rsidRPr="00A626EE" w14:paraId="623E7DCC" w14:textId="77777777" w:rsidTr="00A626EE">
        <w:tc>
          <w:tcPr>
            <w:tcW w:w="4989" w:type="dxa"/>
          </w:tcPr>
          <w:p w14:paraId="3BCF2312" w14:textId="77777777" w:rsidR="00A626EE" w:rsidRPr="00A626EE" w:rsidRDefault="00A626EE" w:rsidP="00A626EE">
            <w:pPr>
              <w:spacing w:before="60" w:after="120"/>
              <w:ind w:right="-57"/>
              <w:jc w:val="right"/>
              <w:rPr>
                <w:rFonts w:ascii="Segoe UI Light" w:hAnsi="Segoe UI Light"/>
                <w:bCs/>
                <w:iCs/>
                <w:sz w:val="16"/>
                <w:szCs w:val="26"/>
              </w:rPr>
            </w:pPr>
            <w:r w:rsidRPr="00A626EE">
              <w:rPr>
                <w:rFonts w:ascii="Segoe UI Light" w:hAnsi="Segoe UI Light"/>
                <w:bCs/>
                <w:iCs/>
                <w:sz w:val="16"/>
                <w:szCs w:val="26"/>
              </w:rPr>
              <w:t>Veselības aprūpes jomas vecākie speciālisti</w:t>
            </w:r>
          </w:p>
          <w:p w14:paraId="14812F86"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Izglītības jomas vecākie speciālisti</w:t>
            </w:r>
          </w:p>
          <w:p w14:paraId="3B08F42F"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Veselības aprūpes jomas speciālisti</w:t>
            </w:r>
          </w:p>
          <w:p w14:paraId="618C7402"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Likumdevēji, amatpersonas un vadītāji</w:t>
            </w:r>
          </w:p>
          <w:p w14:paraId="644B4EC2"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Ražošanas un specializēto pakalpojumu jomas vadītāji</w:t>
            </w:r>
          </w:p>
          <w:p w14:paraId="3819671B"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Juridisko, sociālo un kultūras lietu un tām radniecīgu lietu speciālisti</w:t>
            </w:r>
          </w:p>
          <w:p w14:paraId="41954F99"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Administratīvie vadītāji un komercdirektori</w:t>
            </w:r>
          </w:p>
          <w:p w14:paraId="181B83CA"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Juridisko, sociālo un kultūras lietu vecākie speciālisti</w:t>
            </w:r>
          </w:p>
          <w:p w14:paraId="729BA2BD"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Viesmīlības, ēdināšanas, tirdzniecības un citu pakalpojumu jomas vadītāji</w:t>
            </w:r>
          </w:p>
          <w:p w14:paraId="57BF1C01"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Zinātnes un inženierzinātņu speciālisti</w:t>
            </w:r>
          </w:p>
          <w:p w14:paraId="59A22934"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Komercdarbības un pārvaldes (administrācijas) speciālisti</w:t>
            </w:r>
          </w:p>
          <w:p w14:paraId="3D139DBC"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Zinātnes un inženierzinātņu jomas vecākie speciālisti</w:t>
            </w:r>
          </w:p>
          <w:p w14:paraId="34971A14"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Komercdarbības un pārvaldes (administrācijas) vecākie speciālisti</w:t>
            </w:r>
          </w:p>
          <w:p w14:paraId="23D03082" w14:textId="77777777"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Informācijas tehnoloģiju jomas speciālisti</w:t>
            </w:r>
          </w:p>
          <w:p w14:paraId="205CBE13" w14:textId="04E1AA65" w:rsidR="00A626EE" w:rsidRPr="00A626EE" w:rsidRDefault="00A626EE" w:rsidP="00A626EE">
            <w:pPr>
              <w:spacing w:after="120"/>
              <w:ind w:right="-57"/>
              <w:jc w:val="right"/>
              <w:rPr>
                <w:rFonts w:ascii="Segoe UI Light" w:hAnsi="Segoe UI Light"/>
                <w:bCs/>
                <w:iCs/>
                <w:sz w:val="16"/>
                <w:szCs w:val="26"/>
              </w:rPr>
            </w:pPr>
            <w:r w:rsidRPr="00A626EE">
              <w:rPr>
                <w:rFonts w:ascii="Segoe UI Light" w:hAnsi="Segoe UI Light"/>
                <w:bCs/>
                <w:iCs/>
                <w:sz w:val="16"/>
                <w:szCs w:val="26"/>
              </w:rPr>
              <w:t>Informācijas un komunikācijas tehnoloģiju jomas vecākie speciālisti</w:t>
            </w:r>
          </w:p>
        </w:tc>
        <w:tc>
          <w:tcPr>
            <w:tcW w:w="4184" w:type="dxa"/>
          </w:tcPr>
          <w:p w14:paraId="20F49680" w14:textId="6569FF9C" w:rsidR="00A626EE" w:rsidRPr="00A626EE" w:rsidRDefault="00A626EE" w:rsidP="00384FC8">
            <w:pPr>
              <w:spacing w:after="120"/>
              <w:jc w:val="center"/>
              <w:rPr>
                <w:rFonts w:ascii="Segoe UI Light" w:hAnsi="Segoe UI Light"/>
                <w:sz w:val="16"/>
                <w:szCs w:val="16"/>
              </w:rPr>
            </w:pPr>
            <w:r w:rsidRPr="003B4CDA">
              <w:rPr>
                <w:rFonts w:ascii="Segoe UI Light" w:hAnsi="Segoe UI Light"/>
                <w:noProof/>
                <w:sz w:val="16"/>
                <w:szCs w:val="16"/>
                <w:lang w:eastAsia="lv-LV"/>
              </w:rPr>
              <w:drawing>
                <wp:inline distT="0" distB="0" distL="0" distR="0" wp14:anchorId="2E800261" wp14:editId="7C0C5249">
                  <wp:extent cx="2519680" cy="3422650"/>
                  <wp:effectExtent l="0" t="0" r="0" b="6350"/>
                  <wp:docPr id="204" name="Chart 2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r>
    </w:tbl>
    <w:p w14:paraId="3740E0F7" w14:textId="77777777" w:rsidR="00A626EE" w:rsidRPr="00A626EE" w:rsidRDefault="00A626EE" w:rsidP="00A626EE">
      <w:pPr>
        <w:spacing w:after="120"/>
        <w:jc w:val="both"/>
        <w:rPr>
          <w:iCs/>
          <w:sz w:val="16"/>
          <w:szCs w:val="16"/>
        </w:rPr>
      </w:pPr>
      <w:r w:rsidRPr="00A626EE">
        <w:rPr>
          <w:sz w:val="16"/>
          <w:szCs w:val="16"/>
        </w:rPr>
        <w:t xml:space="preserve">Avots: </w:t>
      </w:r>
      <w:r w:rsidRPr="00A626EE">
        <w:rPr>
          <w:iCs/>
          <w:sz w:val="16"/>
          <w:szCs w:val="16"/>
        </w:rPr>
        <w:t>CSP, EM aprēķini</w:t>
      </w:r>
    </w:p>
    <w:p w14:paraId="1673711F" w14:textId="77777777" w:rsidR="005F5363" w:rsidRDefault="005F5363" w:rsidP="00867A48">
      <w:pPr>
        <w:spacing w:after="120"/>
        <w:jc w:val="both"/>
      </w:pPr>
    </w:p>
    <w:p w14:paraId="29369C02" w14:textId="0AF36824" w:rsidR="00867A48" w:rsidRPr="00E12C6B" w:rsidRDefault="00867A48" w:rsidP="00867A48">
      <w:pPr>
        <w:spacing w:after="120"/>
        <w:jc w:val="both"/>
      </w:pPr>
      <w:r w:rsidRPr="00E12C6B">
        <w:t>Kopš 2008.</w:t>
      </w:r>
      <w:r>
        <w:t>gad</w:t>
      </w:r>
      <w:r w:rsidRPr="00E12C6B">
        <w:t xml:space="preserve">a vidējās izglītības līmenī ekonomiski aktīvo iedzīvotāju struktūra izglītības tematisko grupu griezumā ir relatīvi stabila ar dažiem izņēmumiem. Ievērojamai daļai – vairāk kā </w:t>
      </w:r>
      <w:r w:rsidR="001C7B5B" w:rsidRPr="006870DE">
        <w:t>2/5</w:t>
      </w:r>
      <w:r w:rsidRPr="00E12C6B">
        <w:t xml:space="preserve"> – ekonomiski aktīvo iedzīvotāju ir vispārējā vidējā izglītība. Šie iedzīvotāji ir darba tirgū bez iegūtas</w:t>
      </w:r>
      <w:r w:rsidR="00C2672F">
        <w:t xml:space="preserve"> profesionālās kvalifikācijas</w:t>
      </w:r>
      <w:r w:rsidRPr="00E12C6B">
        <w:t>. Lielākais darbaspēka piedāvājums ar profesionālo vidējo izglītību ir inženierzinātņu, ražošanas un būvniecības tematiskā grupā. Tomēr ņemot vērā darbaspēka novecošanās tendences, pēdējos</w:t>
      </w:r>
      <w:r>
        <w:t xml:space="preserve"> gad</w:t>
      </w:r>
      <w:r w:rsidRPr="00E12C6B">
        <w:t xml:space="preserve">os ir vērojama atbilstošās tematiskās grupas īpatsvara samazināšanās. Straujākais pieaugums vērojams pakalpojumu </w:t>
      </w:r>
      <w:r w:rsidR="008F777F">
        <w:t xml:space="preserve">izglītības </w:t>
      </w:r>
      <w:r w:rsidRPr="00E12C6B">
        <w:t>tematiskajā grupā – kopš 2008.</w:t>
      </w:r>
      <w:r>
        <w:t>gad</w:t>
      </w:r>
      <w:r w:rsidRPr="00E12C6B">
        <w:t>a ekonomiski aktīvo iedzīvotāju īpatsvars ar atbilstošo izglītību ir vairāk kā dubultojies.</w:t>
      </w:r>
    </w:p>
    <w:p w14:paraId="2F0BCCDF" w14:textId="77777777" w:rsidR="00867A48" w:rsidRPr="003B4CDA" w:rsidRDefault="00867A48" w:rsidP="00867A48">
      <w:pPr>
        <w:spacing w:after="120"/>
        <w:jc w:val="both"/>
        <w:rPr>
          <w:szCs w:val="20"/>
        </w:rPr>
      </w:pPr>
      <w:r w:rsidRPr="00E12C6B">
        <w:rPr>
          <w:szCs w:val="20"/>
        </w:rPr>
        <w:t>Latvijā pastāv pastiprināta darbaspēka novecošanās atsevišķās nozarēs un profesiju grupās, kas var izraisīt piedāvājuma samazināšanos nākotnē. Šīs tendences</w:t>
      </w:r>
      <w:r>
        <w:rPr>
          <w:szCs w:val="20"/>
        </w:rPr>
        <w:t xml:space="preserve"> gad</w:t>
      </w:r>
      <w:r w:rsidRPr="00E12C6B">
        <w:rPr>
          <w:szCs w:val="20"/>
        </w:rPr>
        <w:t>u gaitā pastiprinās.</w:t>
      </w:r>
    </w:p>
    <w:p w14:paraId="651A2AA2" w14:textId="77777777" w:rsidR="00FD7C7B" w:rsidRPr="003B4CDA" w:rsidRDefault="00FD7C7B" w:rsidP="00FD7C7B">
      <w:pPr>
        <w:spacing w:after="120"/>
        <w:jc w:val="both"/>
        <w:rPr>
          <w:szCs w:val="20"/>
        </w:rPr>
      </w:pPr>
      <w:r w:rsidRPr="003B4CDA">
        <w:rPr>
          <w:szCs w:val="20"/>
        </w:rPr>
        <w:t>Nozaru vidū lielākais nodarbināto īpatsvars vecumā virs 50 gadiem ilgāku laika periodu ir pārējās rūpniecības nozarēs (it īpaši ūdens apgādes, notekūdeņu, atkritumu apsaimniekošanas un sanācijas nozarē) un sabiedriskajos pakalpojumos (it īpaši izglītības nozarē un veselības un sociālās aprūpes nozarē)</w:t>
      </w:r>
      <w:r>
        <w:rPr>
          <w:szCs w:val="20"/>
        </w:rPr>
        <w:t>, kā arī lauksaimniecībā</w:t>
      </w:r>
      <w:r w:rsidRPr="003B4CDA">
        <w:rPr>
          <w:szCs w:val="20"/>
        </w:rPr>
        <w:t>.</w:t>
      </w:r>
    </w:p>
    <w:p w14:paraId="37E27B45" w14:textId="77777777" w:rsidR="00FD7C7B" w:rsidRPr="003B4CDA" w:rsidRDefault="00FD7C7B" w:rsidP="00FD7C7B">
      <w:pPr>
        <w:spacing w:after="120"/>
        <w:jc w:val="both"/>
        <w:rPr>
          <w:szCs w:val="20"/>
        </w:rPr>
      </w:pPr>
      <w:r w:rsidRPr="003B4CDA">
        <w:rPr>
          <w:szCs w:val="20"/>
        </w:rPr>
        <w:t>Nodarbināto īpatsvars vecumā virs 50 gadiem augstākās kvalifikācijas profesijās ir 3</w:t>
      </w:r>
      <w:r>
        <w:rPr>
          <w:szCs w:val="20"/>
        </w:rPr>
        <w:t>7</w:t>
      </w:r>
      <w:r w:rsidRPr="003B4CDA">
        <w:rPr>
          <w:szCs w:val="20"/>
        </w:rPr>
        <w:t xml:space="preserve">%. Nodarbināto struktūras analīze profesiju grupu griezumā liecina, ka darbaspēka novecošanās augstākās kvalifikācijas profesijas skar ļoti nevienmērīgi. Ilgāku laika periodu novecošanās problemātika īpaši skar veselības aprūpes jomas speciālistus un vecākos speciālistus, </w:t>
      </w:r>
      <w:r>
        <w:rPr>
          <w:szCs w:val="20"/>
        </w:rPr>
        <w:t xml:space="preserve">kā arī </w:t>
      </w:r>
      <w:r w:rsidRPr="003B4CDA">
        <w:rPr>
          <w:szCs w:val="20"/>
        </w:rPr>
        <w:t>izglītības jomas vecākos speciālistus.</w:t>
      </w:r>
    </w:p>
    <w:p w14:paraId="069FC78F" w14:textId="77777777" w:rsidR="00FD7C7B" w:rsidRPr="003B4CDA" w:rsidRDefault="00FD7C7B" w:rsidP="00FD7C7B">
      <w:pPr>
        <w:spacing w:after="120"/>
        <w:jc w:val="both"/>
      </w:pPr>
      <w:r>
        <w:t>Nodarbināto īpatsvars vecumā virs 50 gadiem vidējās kvalifikācijas profesijās veido 40%. Darbaspēka vecumstruktūras negatīvās attīstības tendences skar virkni vidējās kvalifikācijas profesiju grupu. Šī tendence vairāk skar individuālās aprūpes darbiniekus, kvalificētus tirgus lauksaimniecības darbiniekus, apsardzes pakalpojumu jomas darbiniekus, kā arī pašgājēju mašīnu un iekārtu vadītājus un celšanas iekārtu un mašīnu operatorus.</w:t>
      </w:r>
    </w:p>
    <w:p w14:paraId="2FDB7B36" w14:textId="77777777" w:rsidR="005F5363" w:rsidRDefault="005F5363">
      <w:pPr>
        <w:spacing w:after="0"/>
        <w:rPr>
          <w:szCs w:val="20"/>
        </w:rPr>
      </w:pPr>
      <w:r>
        <w:rPr>
          <w:szCs w:val="20"/>
        </w:rPr>
        <w:br w:type="page"/>
      </w:r>
    </w:p>
    <w:p w14:paraId="01AF6A7E" w14:textId="65C774DF" w:rsidR="00384FC8" w:rsidRPr="003B4CDA" w:rsidRDefault="00384FC8" w:rsidP="00A626EE">
      <w:pPr>
        <w:spacing w:after="120"/>
        <w:jc w:val="right"/>
        <w:rPr>
          <w:szCs w:val="20"/>
        </w:rPr>
      </w:pPr>
      <w:r w:rsidRPr="003B4CDA">
        <w:rPr>
          <w:szCs w:val="20"/>
        </w:rPr>
        <w:lastRenderedPageBreak/>
        <w:t>2.1</w:t>
      </w:r>
      <w:r w:rsidR="007A5910">
        <w:rPr>
          <w:szCs w:val="20"/>
        </w:rPr>
        <w:t>3</w:t>
      </w:r>
      <w:r w:rsidRPr="003B4CDA">
        <w:rPr>
          <w:szCs w:val="20"/>
        </w:rPr>
        <w:t>. attēls</w:t>
      </w:r>
    </w:p>
    <w:p w14:paraId="41951560" w14:textId="0EB4C2BE" w:rsidR="00384FC8" w:rsidRPr="003B4CDA" w:rsidRDefault="00384FC8" w:rsidP="00384FC8">
      <w:pPr>
        <w:spacing w:after="120"/>
        <w:jc w:val="center"/>
        <w:rPr>
          <w:rFonts w:ascii="Segoe UI Light" w:hAnsi="Segoe UI Light"/>
          <w:i/>
          <w:sz w:val="16"/>
          <w:szCs w:val="26"/>
        </w:rPr>
      </w:pPr>
      <w:r w:rsidRPr="003B4CDA">
        <w:rPr>
          <w:rFonts w:ascii="Segoe UI Light" w:hAnsi="Segoe UI Light"/>
          <w:b/>
          <w:sz w:val="18"/>
          <w:szCs w:val="26"/>
        </w:rPr>
        <w:t>Nodarbināto iedzīvotāju vecumā virs 50</w:t>
      </w:r>
      <w:r w:rsidR="00E002CB">
        <w:rPr>
          <w:rFonts w:ascii="Segoe UI Light" w:hAnsi="Segoe UI Light"/>
          <w:b/>
          <w:sz w:val="18"/>
          <w:szCs w:val="26"/>
        </w:rPr>
        <w:t xml:space="preserve"> </w:t>
      </w:r>
      <w:r w:rsidR="0080669C">
        <w:rPr>
          <w:rFonts w:ascii="Segoe UI Light" w:hAnsi="Segoe UI Light"/>
          <w:b/>
          <w:sz w:val="18"/>
          <w:szCs w:val="26"/>
        </w:rPr>
        <w:t>gad</w:t>
      </w:r>
      <w:r w:rsidRPr="003B4CDA">
        <w:rPr>
          <w:rFonts w:ascii="Segoe UI Light" w:hAnsi="Segoe UI Light"/>
          <w:b/>
          <w:sz w:val="18"/>
          <w:szCs w:val="26"/>
        </w:rPr>
        <w:t xml:space="preserve">iem īpatsvars vidējās kvalifikācijas profesiju apakšgrupās </w:t>
      </w:r>
      <w:r w:rsidRPr="003B4CDA">
        <w:rPr>
          <w:rFonts w:ascii="Segoe UI Light" w:hAnsi="Segoe UI Light"/>
          <w:b/>
          <w:sz w:val="18"/>
          <w:szCs w:val="26"/>
        </w:rPr>
        <w:br/>
      </w:r>
      <w:r w:rsidRPr="003B4CDA">
        <w:rPr>
          <w:rFonts w:ascii="Segoe UI Light" w:hAnsi="Segoe UI Light"/>
          <w:i/>
          <w:sz w:val="16"/>
          <w:szCs w:val="26"/>
        </w:rPr>
        <w:t>20</w:t>
      </w:r>
      <w:r>
        <w:rPr>
          <w:rFonts w:ascii="Segoe UI Light" w:hAnsi="Segoe UI Light"/>
          <w:i/>
          <w:sz w:val="16"/>
          <w:szCs w:val="26"/>
        </w:rPr>
        <w:t>23</w:t>
      </w:r>
      <w:r w:rsidRPr="003B4CDA">
        <w:rPr>
          <w:rFonts w:ascii="Segoe UI Light" w:hAnsi="Segoe UI Light"/>
          <w:i/>
          <w:sz w:val="16"/>
          <w:szCs w:val="26"/>
        </w:rPr>
        <w:t>.</w:t>
      </w:r>
      <w:r w:rsidR="0080669C">
        <w:rPr>
          <w:rFonts w:ascii="Segoe UI Light" w:hAnsi="Segoe UI Light"/>
          <w:i/>
          <w:sz w:val="16"/>
          <w:szCs w:val="26"/>
        </w:rPr>
        <w:t>gad</w:t>
      </w:r>
      <w:r w:rsidRPr="003B4CDA">
        <w:rPr>
          <w:rFonts w:ascii="Segoe UI Light" w:hAnsi="Segoe UI Light"/>
          <w:i/>
          <w:sz w:val="16"/>
          <w:szCs w:val="26"/>
        </w:rPr>
        <w:t xml:space="preserve">s, </w:t>
      </w:r>
      <w:r w:rsidRPr="003B4CDA">
        <w:rPr>
          <w:rFonts w:ascii="Segoe UI Light" w:hAnsi="Segoe UI Light"/>
          <w:bCs/>
          <w:i/>
          <w:sz w:val="16"/>
          <w:szCs w:val="26"/>
        </w:rPr>
        <w:t>procentos no attiecīgajā profesiju apakšgrupā nodarbinātajiem</w:t>
      </w: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9"/>
        <w:gridCol w:w="3742"/>
      </w:tblGrid>
      <w:tr w:rsidR="00A626EE" w:rsidRPr="00A626EE" w14:paraId="10E54FE5" w14:textId="77777777" w:rsidTr="00F756D8">
        <w:tc>
          <w:tcPr>
            <w:tcW w:w="5329" w:type="dxa"/>
          </w:tcPr>
          <w:p w14:paraId="3FF9029F" w14:textId="77777777" w:rsidR="00A626EE" w:rsidRPr="00A626EE" w:rsidRDefault="00A626EE" w:rsidP="00F756D8">
            <w:pPr>
              <w:spacing w:before="120" w:after="0"/>
              <w:ind w:right="-57"/>
              <w:jc w:val="right"/>
              <w:rPr>
                <w:rFonts w:ascii="Segoe UI Light" w:hAnsi="Segoe UI Light"/>
                <w:bCs/>
                <w:iCs/>
                <w:sz w:val="16"/>
                <w:szCs w:val="26"/>
              </w:rPr>
            </w:pPr>
            <w:r w:rsidRPr="00A626EE">
              <w:rPr>
                <w:rFonts w:ascii="Segoe UI Light" w:hAnsi="Segoe UI Light"/>
                <w:bCs/>
                <w:iCs/>
                <w:sz w:val="16"/>
                <w:szCs w:val="26"/>
              </w:rPr>
              <w:t>Pašgājēju mašīnu un iekārtu vadītāji un celšanas iekārtu un mašīnu operatori</w:t>
            </w:r>
          </w:p>
          <w:p w14:paraId="4EE6517F"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Individuālās aprūpes darbinieki</w:t>
            </w:r>
          </w:p>
          <w:p w14:paraId="74D156C4"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Kvalificēti tirgus lauksaimniecības darbinieki</w:t>
            </w:r>
          </w:p>
          <w:p w14:paraId="1DFA910B"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Apsardzes pakalpojumu jomas darbinieki</w:t>
            </w:r>
          </w:p>
          <w:p w14:paraId="309B25F1"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Personiskā patēriņa lauksaimnieki, zvejnieki, mednieki un vācēji</w:t>
            </w:r>
          </w:p>
          <w:p w14:paraId="4B0B6B50"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Rūpniecisko iekārtu operatori</w:t>
            </w:r>
          </w:p>
          <w:p w14:paraId="1020B0F6"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Citi kalpotāji</w:t>
            </w:r>
          </w:p>
          <w:p w14:paraId="51317920" w14:textId="77777777" w:rsidR="00A626EE" w:rsidRPr="00A626EE" w:rsidRDefault="00A626EE" w:rsidP="00F756D8">
            <w:pPr>
              <w:spacing w:after="0"/>
              <w:ind w:right="-57"/>
              <w:jc w:val="right"/>
              <w:rPr>
                <w:rFonts w:ascii="Segoe UI Light" w:hAnsi="Segoe UI Light"/>
                <w:bCs/>
                <w:iCs/>
                <w:sz w:val="16"/>
                <w:szCs w:val="26"/>
              </w:rPr>
            </w:pPr>
            <w:r w:rsidRPr="00A626EE">
              <w:rPr>
                <w:rFonts w:ascii="Segoe UI Light" w:hAnsi="Segoe UI Light"/>
                <w:bCs/>
                <w:iCs/>
                <w:sz w:val="16"/>
                <w:szCs w:val="26"/>
              </w:rPr>
              <w:t>Pārtikas produktu pārstrādes un kokapstrādes strādnieki, apģērbu izgatavošanas un citi amatnieki un tiem radniecīgu profesiju strādnieki</w:t>
            </w:r>
          </w:p>
          <w:p w14:paraId="72009D75" w14:textId="77777777" w:rsidR="00A626EE" w:rsidRPr="00A626EE" w:rsidRDefault="00A626EE" w:rsidP="00F756D8">
            <w:pPr>
              <w:spacing w:before="40" w:after="0"/>
              <w:ind w:right="-57"/>
              <w:jc w:val="right"/>
              <w:rPr>
                <w:rFonts w:ascii="Segoe UI Light" w:hAnsi="Segoe UI Light"/>
                <w:bCs/>
                <w:iCs/>
                <w:sz w:val="16"/>
                <w:szCs w:val="26"/>
              </w:rPr>
            </w:pPr>
            <w:r w:rsidRPr="00A626EE">
              <w:rPr>
                <w:rFonts w:ascii="Segoe UI Light" w:hAnsi="Segoe UI Light"/>
                <w:bCs/>
                <w:iCs/>
                <w:sz w:val="16"/>
                <w:szCs w:val="26"/>
              </w:rPr>
              <w:t>Elektrisko un elektronisko iekārtu strādnieki</w:t>
            </w:r>
          </w:p>
          <w:p w14:paraId="1CA593BB"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Tirdzniecības darbinieki</w:t>
            </w:r>
          </w:p>
          <w:p w14:paraId="17213B16"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Individuālo pakalpojumu jomas darbinieki</w:t>
            </w:r>
          </w:p>
          <w:p w14:paraId="70E47FC6"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Montieri</w:t>
            </w:r>
          </w:p>
          <w:p w14:paraId="0906C565" w14:textId="77777777" w:rsidR="00A626EE" w:rsidRPr="00A626EE" w:rsidRDefault="00A626EE" w:rsidP="00F756D8">
            <w:pPr>
              <w:spacing w:before="120" w:after="0"/>
              <w:ind w:right="-57"/>
              <w:jc w:val="right"/>
              <w:rPr>
                <w:rFonts w:ascii="Segoe UI Light" w:hAnsi="Segoe UI Light"/>
                <w:bCs/>
                <w:iCs/>
                <w:sz w:val="16"/>
                <w:szCs w:val="26"/>
              </w:rPr>
            </w:pPr>
            <w:r w:rsidRPr="00A626EE">
              <w:rPr>
                <w:rFonts w:ascii="Segoe UI Light" w:hAnsi="Segoe UI Light"/>
                <w:bCs/>
                <w:iCs/>
                <w:sz w:val="16"/>
                <w:szCs w:val="26"/>
              </w:rPr>
              <w:t>Metālapstrādes, mašīnbūves un tām radniecīgu jomu strādnieki</w:t>
            </w:r>
          </w:p>
          <w:p w14:paraId="63CF6DE9"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Uzskaites un materiālo vērtību reģistrēšanas darbinieki</w:t>
            </w:r>
          </w:p>
          <w:p w14:paraId="27B862A8"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Amatnieki un iespieddarbu strādnieki</w:t>
            </w:r>
          </w:p>
          <w:p w14:paraId="67AD86CB" w14:textId="6B9B8489"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Kvalificēti mežsaimniecības, zivsaimniecības</w:t>
            </w:r>
            <w:r w:rsidR="00F756D8">
              <w:rPr>
                <w:rFonts w:ascii="Segoe UI Light" w:hAnsi="Segoe UI Light"/>
                <w:bCs/>
                <w:iCs/>
                <w:sz w:val="16"/>
                <w:szCs w:val="26"/>
              </w:rPr>
              <w:t>,</w:t>
            </w:r>
            <w:r w:rsidRPr="00A626EE">
              <w:rPr>
                <w:rFonts w:ascii="Segoe UI Light" w:hAnsi="Segoe UI Light"/>
                <w:bCs/>
                <w:iCs/>
                <w:sz w:val="16"/>
                <w:szCs w:val="26"/>
              </w:rPr>
              <w:t xml:space="preserve"> medību saimniecības darbinieki</w:t>
            </w:r>
          </w:p>
          <w:p w14:paraId="071909B1" w14:textId="77777777" w:rsidR="00A626EE" w:rsidRPr="00A626EE" w:rsidRDefault="00A626EE" w:rsidP="00F756D8">
            <w:pPr>
              <w:spacing w:before="120" w:after="0"/>
              <w:ind w:right="-57"/>
              <w:jc w:val="right"/>
              <w:rPr>
                <w:rFonts w:ascii="Segoe UI Light" w:hAnsi="Segoe UI Light"/>
                <w:bCs/>
                <w:iCs/>
                <w:sz w:val="16"/>
                <w:szCs w:val="26"/>
              </w:rPr>
            </w:pPr>
            <w:r w:rsidRPr="00A626EE">
              <w:rPr>
                <w:rFonts w:ascii="Segoe UI Light" w:hAnsi="Segoe UI Light"/>
                <w:bCs/>
                <w:iCs/>
                <w:sz w:val="16"/>
                <w:szCs w:val="26"/>
              </w:rPr>
              <w:t>Būvnieki un tiem radniecīgu profesiju strādnieki (izņemot elektriķus)</w:t>
            </w:r>
          </w:p>
          <w:p w14:paraId="66958D03" w14:textId="77777777" w:rsidR="00A626EE" w:rsidRPr="00A626EE" w:rsidRDefault="00A626EE" w:rsidP="00FD5161">
            <w:pPr>
              <w:spacing w:before="100" w:after="0"/>
              <w:ind w:right="-57"/>
              <w:jc w:val="right"/>
              <w:rPr>
                <w:rFonts w:ascii="Segoe UI Light" w:hAnsi="Segoe UI Light"/>
                <w:bCs/>
                <w:iCs/>
                <w:sz w:val="16"/>
                <w:szCs w:val="26"/>
              </w:rPr>
            </w:pPr>
            <w:r w:rsidRPr="00A626EE">
              <w:rPr>
                <w:rFonts w:ascii="Segoe UI Light" w:hAnsi="Segoe UI Light"/>
                <w:bCs/>
                <w:iCs/>
                <w:sz w:val="16"/>
                <w:szCs w:val="26"/>
              </w:rPr>
              <w:t>Klientu apkalpotāji</w:t>
            </w:r>
          </w:p>
          <w:p w14:paraId="13C5F592" w14:textId="124F9165" w:rsidR="00A626EE" w:rsidRPr="00A626EE" w:rsidRDefault="00A626EE" w:rsidP="00F756D8">
            <w:pPr>
              <w:spacing w:before="120" w:after="0"/>
              <w:ind w:right="-57"/>
              <w:jc w:val="right"/>
              <w:rPr>
                <w:rFonts w:ascii="Segoe UI Light" w:hAnsi="Segoe UI Light"/>
                <w:bCs/>
                <w:iCs/>
                <w:sz w:val="16"/>
                <w:szCs w:val="26"/>
              </w:rPr>
            </w:pPr>
            <w:r w:rsidRPr="00A626EE">
              <w:rPr>
                <w:rFonts w:ascii="Segoe UI Light" w:hAnsi="Segoe UI Light"/>
                <w:bCs/>
                <w:iCs/>
                <w:sz w:val="16"/>
                <w:szCs w:val="26"/>
              </w:rPr>
              <w:t>Iestāžu kalpotāji un kancelejas tehnikas operatori</w:t>
            </w:r>
          </w:p>
        </w:tc>
        <w:tc>
          <w:tcPr>
            <w:tcW w:w="3742" w:type="dxa"/>
          </w:tcPr>
          <w:p w14:paraId="2C6A9BBC" w14:textId="25AE623D" w:rsidR="00A626EE" w:rsidRPr="00A626EE" w:rsidRDefault="00A626EE" w:rsidP="00A626EE">
            <w:pPr>
              <w:spacing w:after="120"/>
              <w:ind w:left="-113" w:right="-113"/>
              <w:jc w:val="center"/>
              <w:rPr>
                <w:rFonts w:ascii="Segoe UI Light" w:hAnsi="Segoe UI Light"/>
                <w:sz w:val="16"/>
                <w:szCs w:val="16"/>
              </w:rPr>
            </w:pPr>
            <w:r w:rsidRPr="003B4CDA">
              <w:rPr>
                <w:rFonts w:ascii="Segoe UI Light" w:hAnsi="Segoe UI Light"/>
                <w:noProof/>
                <w:sz w:val="16"/>
                <w:szCs w:val="16"/>
                <w:lang w:eastAsia="lv-LV"/>
              </w:rPr>
              <w:drawing>
                <wp:inline distT="0" distB="0" distL="0" distR="0" wp14:anchorId="2DFB8651" wp14:editId="0EEE0923">
                  <wp:extent cx="2247900" cy="4140000"/>
                  <wp:effectExtent l="0" t="0" r="0" b="0"/>
                  <wp:docPr id="206" name="Chart 20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r>
    </w:tbl>
    <w:p w14:paraId="6AAED588" w14:textId="1A71816B" w:rsidR="00384FC8" w:rsidRPr="00A626EE" w:rsidRDefault="00384FC8" w:rsidP="00F756D8">
      <w:pPr>
        <w:spacing w:after="120"/>
        <w:jc w:val="both"/>
        <w:rPr>
          <w:iCs/>
          <w:sz w:val="16"/>
          <w:szCs w:val="16"/>
        </w:rPr>
      </w:pPr>
      <w:r w:rsidRPr="00A626EE">
        <w:rPr>
          <w:sz w:val="16"/>
          <w:szCs w:val="16"/>
        </w:rPr>
        <w:t xml:space="preserve">Avots: </w:t>
      </w:r>
      <w:r w:rsidRPr="00A626EE">
        <w:rPr>
          <w:iCs/>
          <w:sz w:val="16"/>
          <w:szCs w:val="16"/>
        </w:rPr>
        <w:t>CSP, EM aprēķini</w:t>
      </w:r>
    </w:p>
    <w:p w14:paraId="27DF247C" w14:textId="77777777" w:rsidR="00F756D8" w:rsidRDefault="00F756D8" w:rsidP="00867A48">
      <w:pPr>
        <w:spacing w:after="120"/>
        <w:jc w:val="both"/>
        <w:rPr>
          <w:szCs w:val="20"/>
        </w:rPr>
      </w:pPr>
    </w:p>
    <w:p w14:paraId="5042B1D3" w14:textId="485CB6D7" w:rsidR="00384FC8" w:rsidRDefault="00384FC8" w:rsidP="00867A48">
      <w:pPr>
        <w:spacing w:after="120"/>
        <w:jc w:val="both"/>
        <w:rPr>
          <w:szCs w:val="20"/>
        </w:rPr>
      </w:pPr>
      <w:r w:rsidRPr="003B4CDA">
        <w:rPr>
          <w:szCs w:val="20"/>
        </w:rPr>
        <w:t>Darbaspēka vecumstruktūru dažādu profesiju griezumā ietekmē vairāki iemesli. Jaunieši dažādu iemeslu dēļ nedod priekšroku attiecīgajiem studiju/mācību virzieniem vai pēc mācību pabeigšanas izvēlas strādāt citā profesijā. Atsevišķās profesijās kā viens no iemesliem ir zemais atalgojuma līmenis.</w:t>
      </w:r>
    </w:p>
    <w:p w14:paraId="6B8C293F" w14:textId="77777777" w:rsidR="005F5363" w:rsidRDefault="005F5363" w:rsidP="00867A48">
      <w:pPr>
        <w:spacing w:after="120"/>
        <w:jc w:val="both"/>
        <w:rPr>
          <w:szCs w:val="20"/>
        </w:rPr>
      </w:pPr>
    </w:p>
    <w:p w14:paraId="1ADE458C" w14:textId="77777777" w:rsidR="005F5363" w:rsidRDefault="005F5363" w:rsidP="00867A48">
      <w:pPr>
        <w:spacing w:after="120"/>
        <w:jc w:val="both"/>
        <w:rPr>
          <w:szCs w:val="20"/>
        </w:rPr>
      </w:pPr>
    </w:p>
    <w:p w14:paraId="64B3DDD9" w14:textId="77777777" w:rsidR="00384FC8" w:rsidRPr="00080A71" w:rsidRDefault="00384FC8" w:rsidP="00080A71">
      <w:pPr>
        <w:pStyle w:val="Heading2"/>
      </w:pPr>
      <w:bookmarkStart w:id="43" w:name="_Toc183620097"/>
      <w:r w:rsidRPr="00080A71">
        <w:t>2.3. Darba tirgus pieprasījuma un piedāvājuma atbilstība</w:t>
      </w:r>
      <w:bookmarkEnd w:id="40"/>
      <w:bookmarkEnd w:id="41"/>
      <w:bookmarkEnd w:id="42"/>
      <w:bookmarkEnd w:id="43"/>
    </w:p>
    <w:p w14:paraId="3DF51857" w14:textId="77777777" w:rsidR="00D74C36" w:rsidRDefault="00D74C36" w:rsidP="00EF788E">
      <w:pPr>
        <w:spacing w:after="120"/>
        <w:jc w:val="both"/>
        <w:rPr>
          <w:szCs w:val="20"/>
        </w:rPr>
      </w:pPr>
      <w:bookmarkStart w:id="44" w:name="_Hlk40712765"/>
      <w:r>
        <w:rPr>
          <w:szCs w:val="20"/>
        </w:rPr>
        <w:t>Covid-19 pandēmijas krīze kopumā ir samazinājusi darbaspēka pieprasījumu tautsaimniecībā, kas ir veicinājis arī kopējā bezdarba/darbaspēka pārpalikuma pieaugumu krīzes laikā. Lielākais darba meklētāju skaita pieaugums bija vērojams 2020. gadā, strauji samazinoties darbaspēka pieprasījumam. 2023. gadā darbaspēka pieprasījums kopumā turpināja kristies, tomēr, ņemot vērā iedzīvotāju ekonomiskās aktivitātes/līdzdalības līmeņa darba tirgū samazināšanos, kā arī darbaspējīgo iedzīvotāju skaita samazināšanos, arī darbaspēka piedāvājums darba tirgū samazinājās, tādejādi kopumā sašaurinot brīvos darba resursus/ darba meklētājus darba tirgū. Kopumā 2023. gadā darba meklējumos bija 61,5</w:t>
      </w:r>
      <w:r w:rsidRPr="003B4CDA">
        <w:rPr>
          <w:szCs w:val="20"/>
        </w:rPr>
        <w:t xml:space="preserve"> tūkst.</w:t>
      </w:r>
      <w:r>
        <w:rPr>
          <w:szCs w:val="20"/>
        </w:rPr>
        <w:t xml:space="preserve"> iedzīvotāju, kas bija par 3,7 tūkst. mazāk nekā 2022. gadā. B</w:t>
      </w:r>
      <w:r w:rsidRPr="003B4CDA">
        <w:rPr>
          <w:szCs w:val="20"/>
        </w:rPr>
        <w:t xml:space="preserve">ezdarba līmenis </w:t>
      </w:r>
      <w:r>
        <w:rPr>
          <w:szCs w:val="20"/>
        </w:rPr>
        <w:t xml:space="preserve">2023. gadā </w:t>
      </w:r>
      <w:r w:rsidRPr="003B4CDA">
        <w:rPr>
          <w:szCs w:val="20"/>
        </w:rPr>
        <w:t xml:space="preserve">saruka līdz </w:t>
      </w:r>
      <w:r>
        <w:rPr>
          <w:szCs w:val="20"/>
        </w:rPr>
        <w:t>vidēji 6,5</w:t>
      </w:r>
      <w:r w:rsidRPr="003B4CDA">
        <w:rPr>
          <w:szCs w:val="20"/>
        </w:rPr>
        <w:t>% no ekonomiski aktīvajiem iedzīvotājiem</w:t>
      </w:r>
      <w:r>
        <w:rPr>
          <w:szCs w:val="20"/>
        </w:rPr>
        <w:t xml:space="preserve">, </w:t>
      </w:r>
      <w:proofErr w:type="spellStart"/>
      <w:r>
        <w:rPr>
          <w:szCs w:val="20"/>
        </w:rPr>
        <w:t>pirmskrīzes</w:t>
      </w:r>
      <w:proofErr w:type="spellEnd"/>
      <w:r>
        <w:rPr>
          <w:szCs w:val="20"/>
        </w:rPr>
        <w:t xml:space="preserve"> (2019. gada) līmeni pārsniedzot par 0,2 procentpunktiem.</w:t>
      </w:r>
    </w:p>
    <w:p w14:paraId="5BC9567F" w14:textId="77777777" w:rsidR="005F5363" w:rsidRDefault="005F5363">
      <w:pPr>
        <w:spacing w:after="0"/>
        <w:rPr>
          <w:szCs w:val="20"/>
        </w:rPr>
      </w:pPr>
      <w:r>
        <w:rPr>
          <w:szCs w:val="20"/>
        </w:rPr>
        <w:br w:type="page"/>
      </w:r>
    </w:p>
    <w:p w14:paraId="795AA707" w14:textId="663008AA" w:rsidR="00384FC8" w:rsidRPr="005929AD" w:rsidRDefault="00384FC8" w:rsidP="00867A48">
      <w:pPr>
        <w:spacing w:after="120"/>
        <w:jc w:val="right"/>
        <w:rPr>
          <w:szCs w:val="20"/>
        </w:rPr>
      </w:pPr>
      <w:r w:rsidRPr="005929AD">
        <w:rPr>
          <w:szCs w:val="20"/>
        </w:rPr>
        <w:lastRenderedPageBreak/>
        <w:t>2.1</w:t>
      </w:r>
      <w:r w:rsidR="007A5910">
        <w:rPr>
          <w:szCs w:val="20"/>
        </w:rPr>
        <w:t>4</w:t>
      </w:r>
      <w:r w:rsidRPr="005929AD">
        <w:rPr>
          <w:szCs w:val="20"/>
        </w:rPr>
        <w:t>. attēls</w:t>
      </w:r>
    </w:p>
    <w:p w14:paraId="25C6B92C" w14:textId="13A808CE" w:rsidR="00384FC8" w:rsidRPr="003B4CDA" w:rsidRDefault="00384FC8" w:rsidP="00867A48">
      <w:pPr>
        <w:spacing w:after="120"/>
        <w:jc w:val="center"/>
        <w:rPr>
          <w:rFonts w:ascii="Segoe UI Light" w:hAnsi="Segoe UI Light"/>
          <w:i/>
          <w:sz w:val="16"/>
          <w:szCs w:val="26"/>
        </w:rPr>
      </w:pPr>
      <w:r w:rsidRPr="005929AD">
        <w:rPr>
          <w:rFonts w:ascii="Segoe UI Light" w:hAnsi="Segoe UI Light"/>
          <w:b/>
          <w:sz w:val="18"/>
          <w:szCs w:val="26"/>
        </w:rPr>
        <w:t>Bezdarba līmenis</w:t>
      </w:r>
      <w:r w:rsidRPr="005929AD">
        <w:rPr>
          <w:rFonts w:ascii="Segoe UI Light" w:hAnsi="Segoe UI Light"/>
          <w:b/>
          <w:sz w:val="18"/>
          <w:szCs w:val="26"/>
        </w:rPr>
        <w:br/>
      </w:r>
      <w:r w:rsidRPr="005929AD">
        <w:rPr>
          <w:rFonts w:ascii="Segoe UI Light" w:hAnsi="Segoe UI Light"/>
          <w:bCs/>
          <w:i/>
          <w:sz w:val="16"/>
          <w:szCs w:val="26"/>
        </w:rPr>
        <w:t>procentos pret ekonomiski aktīvajiem iedzīvotājiem vecuma grupā no 15-74</w:t>
      </w:r>
      <w:r w:rsidR="00E002CB">
        <w:rPr>
          <w:rFonts w:ascii="Segoe UI Light" w:hAnsi="Segoe UI Light"/>
          <w:bCs/>
          <w:i/>
          <w:sz w:val="16"/>
          <w:szCs w:val="26"/>
        </w:rPr>
        <w:t xml:space="preserve"> </w:t>
      </w:r>
      <w:r w:rsidR="0080669C" w:rsidRPr="005929AD">
        <w:rPr>
          <w:rFonts w:ascii="Segoe UI Light" w:hAnsi="Segoe UI Light"/>
          <w:bCs/>
          <w:i/>
          <w:sz w:val="16"/>
          <w:szCs w:val="26"/>
        </w:rPr>
        <w:t>gad</w:t>
      </w:r>
      <w:r w:rsidRPr="005929AD">
        <w:rPr>
          <w:rFonts w:ascii="Segoe UI Light" w:hAnsi="Segoe UI Light"/>
          <w:bCs/>
          <w:i/>
          <w:sz w:val="16"/>
          <w:szCs w:val="26"/>
        </w:rPr>
        <w:t>iem</w:t>
      </w:r>
    </w:p>
    <w:p w14:paraId="53BA89C0" w14:textId="77777777" w:rsidR="00384FC8" w:rsidRPr="003B4CDA" w:rsidRDefault="00384FC8" w:rsidP="00867A48">
      <w:pPr>
        <w:spacing w:after="120"/>
        <w:jc w:val="center"/>
        <w:rPr>
          <w:rFonts w:asciiTheme="majorHAnsi" w:hAnsiTheme="majorHAnsi"/>
        </w:rPr>
      </w:pPr>
      <w:r w:rsidRPr="003B4CDA">
        <w:rPr>
          <w:rFonts w:ascii="Arial Narrow" w:hAnsi="Arial Narrow"/>
          <w:noProof/>
          <w:szCs w:val="20"/>
          <w:lang w:eastAsia="lv-LV"/>
        </w:rPr>
        <w:drawing>
          <wp:inline distT="0" distB="0" distL="0" distR="0" wp14:anchorId="26B03417" wp14:editId="79EE617A">
            <wp:extent cx="5760000" cy="2160000"/>
            <wp:effectExtent l="0" t="0" r="0" b="0"/>
            <wp:docPr id="289" name="Objec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6437081" w14:textId="77777777" w:rsidR="00384FC8" w:rsidRPr="005929AD" w:rsidRDefault="00384FC8" w:rsidP="00867A48">
      <w:pPr>
        <w:spacing w:after="120"/>
        <w:jc w:val="both"/>
        <w:rPr>
          <w:sz w:val="16"/>
          <w:szCs w:val="16"/>
        </w:rPr>
      </w:pPr>
      <w:r w:rsidRPr="005929AD">
        <w:rPr>
          <w:sz w:val="16"/>
          <w:szCs w:val="16"/>
        </w:rPr>
        <w:t>Avots: CSP</w:t>
      </w:r>
      <w:r w:rsidRPr="005929AD">
        <w:rPr>
          <w:sz w:val="16"/>
          <w:szCs w:val="16"/>
        </w:rPr>
        <w:tab/>
      </w:r>
    </w:p>
    <w:p w14:paraId="1B1A4852" w14:textId="77777777" w:rsidR="005929AD" w:rsidRDefault="005929AD" w:rsidP="00867A48">
      <w:pPr>
        <w:spacing w:after="120"/>
        <w:jc w:val="both"/>
      </w:pPr>
    </w:p>
    <w:p w14:paraId="033435EF" w14:textId="77777777" w:rsidR="00EF788E" w:rsidRDefault="00EF788E" w:rsidP="00EF788E">
      <w:pPr>
        <w:spacing w:after="120"/>
        <w:jc w:val="both"/>
        <w:rPr>
          <w:szCs w:val="20"/>
        </w:rPr>
      </w:pPr>
      <w:r>
        <w:rPr>
          <w:szCs w:val="20"/>
        </w:rPr>
        <w:t>Kopumā i</w:t>
      </w:r>
      <w:r w:rsidRPr="003B4CDA">
        <w:rPr>
          <w:szCs w:val="20"/>
        </w:rPr>
        <w:t>edzīvotāji ar augstāku izglītības līmeni ir mazāk pakļauti bezdarba riskam. 20</w:t>
      </w:r>
      <w:r>
        <w:rPr>
          <w:szCs w:val="20"/>
        </w:rPr>
        <w:t>23</w:t>
      </w:r>
      <w:r w:rsidRPr="003B4CDA">
        <w:rPr>
          <w:szCs w:val="20"/>
        </w:rPr>
        <w:t xml:space="preserve">. gadā iedzīvotāju ar augstāko izglītību bezdarba līmenis veidoja </w:t>
      </w:r>
      <w:r>
        <w:rPr>
          <w:szCs w:val="20"/>
        </w:rPr>
        <w:t>3</w:t>
      </w:r>
      <w:r w:rsidRPr="003B4CDA">
        <w:rPr>
          <w:szCs w:val="20"/>
        </w:rPr>
        <w:t>,</w:t>
      </w:r>
      <w:r>
        <w:rPr>
          <w:szCs w:val="20"/>
        </w:rPr>
        <w:t>3</w:t>
      </w:r>
      <w:r w:rsidRPr="003B4CDA">
        <w:rPr>
          <w:szCs w:val="20"/>
        </w:rPr>
        <w:t>%</w:t>
      </w:r>
      <w:r>
        <w:rPr>
          <w:szCs w:val="20"/>
        </w:rPr>
        <w:t xml:space="preserve">, savukārt </w:t>
      </w:r>
      <w:r w:rsidRPr="002612A6">
        <w:rPr>
          <w:szCs w:val="20"/>
        </w:rPr>
        <w:t>iedzīvotājiem ar vidējo izglītīb</w:t>
      </w:r>
      <w:r>
        <w:rPr>
          <w:szCs w:val="20"/>
        </w:rPr>
        <w:t xml:space="preserve">as pakāpi bezdarba līmenis bija gandrīz trīsreiz augstāks (8,8%), bet ar pamatizglītību un zemāku izglītības līmeni 4 reizes augstāks (13,2%). Tāpat </w:t>
      </w:r>
      <w:r w:rsidRPr="008F777F">
        <w:rPr>
          <w:szCs w:val="20"/>
        </w:rPr>
        <w:t>jāatzīmē, ka bezdarba riskus kopumā mazina profesijas apguve – 2023. gadā bezdarba līmenis starp iedzīvotājiem ar vidējo profesionālo izglītību bija par 1,6 procentpunktiem zemāks nekā ar vidējo vispārējo izglītību. Jo īpaši šī tendence pastiprinājās krīzes laikā – darba devēji, izskatot darbinieku samazināšanas iespējas, prioritāri</w:t>
      </w:r>
      <w:r>
        <w:rPr>
          <w:szCs w:val="20"/>
        </w:rPr>
        <w:t xml:space="preserve"> izvēlās paturēt darbiniekus ar profesionālām prasmēm.</w:t>
      </w:r>
    </w:p>
    <w:p w14:paraId="2F66C70D" w14:textId="0FA7026E" w:rsidR="00384FC8" w:rsidRPr="003B4CDA" w:rsidRDefault="00384FC8" w:rsidP="00867A48">
      <w:pPr>
        <w:spacing w:after="120"/>
        <w:jc w:val="right"/>
        <w:rPr>
          <w:szCs w:val="20"/>
        </w:rPr>
      </w:pPr>
      <w:r w:rsidRPr="003B4CDA">
        <w:rPr>
          <w:szCs w:val="20"/>
        </w:rPr>
        <w:t>2.1</w:t>
      </w:r>
      <w:r w:rsidR="007A5910">
        <w:rPr>
          <w:szCs w:val="20"/>
        </w:rPr>
        <w:t>5</w:t>
      </w:r>
      <w:r w:rsidRPr="003B4CDA">
        <w:rPr>
          <w:szCs w:val="20"/>
        </w:rPr>
        <w:t>. attēls</w:t>
      </w:r>
    </w:p>
    <w:p w14:paraId="14EEFACB" w14:textId="02EA0898" w:rsidR="00384FC8" w:rsidRPr="003B4CDA" w:rsidRDefault="00384FC8" w:rsidP="00867A48">
      <w:pPr>
        <w:spacing w:after="120"/>
        <w:jc w:val="center"/>
        <w:rPr>
          <w:rFonts w:ascii="Segoe UI Light" w:hAnsi="Segoe UI Light"/>
          <w:i/>
          <w:sz w:val="16"/>
        </w:rPr>
      </w:pPr>
      <w:r w:rsidRPr="00D32246">
        <w:rPr>
          <w:rFonts w:ascii="Segoe UI Light" w:hAnsi="Segoe UI Light"/>
          <w:b/>
          <w:bCs/>
          <w:sz w:val="18"/>
          <w:szCs w:val="26"/>
        </w:rPr>
        <w:t>Nodarbinātie sadalījumā pēc izglītības līmeņa un profesiju kvalifikācijas pakāpes</w:t>
      </w:r>
      <w:r w:rsidRPr="003B4CDA">
        <w:rPr>
          <w:rFonts w:ascii="Segoe UI Light" w:hAnsi="Segoe UI Light"/>
          <w:b/>
          <w:bCs/>
          <w:sz w:val="18"/>
          <w:szCs w:val="26"/>
        </w:rPr>
        <w:t xml:space="preserve"> </w:t>
      </w:r>
      <w:r w:rsidRPr="003B4CDA">
        <w:rPr>
          <w:rFonts w:ascii="Segoe UI Light" w:hAnsi="Segoe UI Light"/>
          <w:b/>
          <w:bCs/>
          <w:sz w:val="18"/>
          <w:szCs w:val="26"/>
        </w:rPr>
        <w:br/>
      </w:r>
      <w:r w:rsidRPr="00486306">
        <w:rPr>
          <w:rFonts w:ascii="Segoe UI Light" w:hAnsi="Segoe UI Light"/>
          <w:bCs/>
          <w:i/>
          <w:sz w:val="16"/>
        </w:rPr>
        <w:t>202</w:t>
      </w:r>
      <w:r>
        <w:rPr>
          <w:rFonts w:ascii="Segoe UI Light" w:hAnsi="Segoe UI Light"/>
          <w:bCs/>
          <w:i/>
          <w:sz w:val="16"/>
        </w:rPr>
        <w:t>3</w:t>
      </w:r>
      <w:r w:rsidRPr="00486306">
        <w:rPr>
          <w:rFonts w:ascii="Segoe UI Light" w:hAnsi="Segoe UI Light"/>
          <w:bCs/>
          <w:i/>
          <w:sz w:val="16"/>
        </w:rPr>
        <w:t>.</w:t>
      </w:r>
      <w:r w:rsidR="0080669C">
        <w:rPr>
          <w:rFonts w:ascii="Segoe UI Light" w:hAnsi="Segoe UI Light"/>
          <w:bCs/>
          <w:i/>
          <w:sz w:val="16"/>
        </w:rPr>
        <w:t>gad</w:t>
      </w:r>
      <w:r w:rsidRPr="00486306">
        <w:rPr>
          <w:rFonts w:ascii="Segoe UI Light" w:hAnsi="Segoe UI Light"/>
          <w:bCs/>
          <w:i/>
          <w:sz w:val="16"/>
        </w:rPr>
        <w:t>ā,</w:t>
      </w:r>
      <w:r w:rsidRPr="003B4CDA">
        <w:rPr>
          <w:rFonts w:ascii="Segoe UI Light" w:hAnsi="Segoe UI Light"/>
          <w:bCs/>
          <w:i/>
          <w:sz w:val="16"/>
        </w:rPr>
        <w:t xml:space="preserve"> tūkstošos</w:t>
      </w:r>
    </w:p>
    <w:p w14:paraId="2F17F2A6" w14:textId="77777777" w:rsidR="00384FC8" w:rsidRPr="003B4CDA" w:rsidRDefault="00384FC8" w:rsidP="00867A48">
      <w:pPr>
        <w:spacing w:after="120"/>
        <w:jc w:val="center"/>
      </w:pPr>
      <w:r w:rsidRPr="003B4CDA">
        <w:rPr>
          <w:noProof/>
          <w:sz w:val="24"/>
          <w:szCs w:val="28"/>
          <w:lang w:eastAsia="lv-LV"/>
        </w:rPr>
        <w:drawing>
          <wp:inline distT="0" distB="0" distL="0" distR="0" wp14:anchorId="1A250C75" wp14:editId="74026A1A">
            <wp:extent cx="5760000" cy="1980000"/>
            <wp:effectExtent l="0" t="0" r="0" b="1270"/>
            <wp:docPr id="292" name="Chart 2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4C486EC" w14:textId="77777777" w:rsidR="00384FC8" w:rsidRPr="005929AD" w:rsidRDefault="00384FC8" w:rsidP="00914939">
      <w:pPr>
        <w:spacing w:before="120" w:after="120"/>
        <w:ind w:left="720" w:hanging="720"/>
        <w:jc w:val="both"/>
        <w:rPr>
          <w:sz w:val="16"/>
          <w:szCs w:val="16"/>
        </w:rPr>
      </w:pPr>
      <w:r w:rsidRPr="005929AD">
        <w:rPr>
          <w:sz w:val="16"/>
          <w:szCs w:val="16"/>
        </w:rPr>
        <w:t>Avots: CSP, EM aprēķini</w:t>
      </w:r>
    </w:p>
    <w:p w14:paraId="10B9CBC1" w14:textId="77777777" w:rsidR="005F5363" w:rsidRDefault="005F5363" w:rsidP="00FD5161">
      <w:pPr>
        <w:spacing w:after="120"/>
        <w:jc w:val="both"/>
      </w:pPr>
    </w:p>
    <w:p w14:paraId="2AA0F2D3" w14:textId="11A53CAB" w:rsidR="00FD5161" w:rsidRPr="003B4CDA" w:rsidRDefault="00FD5161" w:rsidP="00FD5161">
      <w:pPr>
        <w:spacing w:after="120"/>
        <w:jc w:val="both"/>
      </w:pPr>
      <w:r>
        <w:t xml:space="preserve">Aplūkojot </w:t>
      </w:r>
      <w:r w:rsidRPr="4398C881">
        <w:rPr>
          <w:b/>
          <w:bCs/>
        </w:rPr>
        <w:t xml:space="preserve">nodarbināto izglītības atbilstību profesiju kvalifikācijas līmenim </w:t>
      </w:r>
      <w:r>
        <w:t>(profesiju agregāciju sk. ziņojuma pielikuma 6. tabulu)</w:t>
      </w:r>
      <w:r w:rsidRPr="4398C881">
        <w:rPr>
          <w:b/>
          <w:bCs/>
        </w:rPr>
        <w:t xml:space="preserve"> </w:t>
      </w:r>
      <w:r>
        <w:t xml:space="preserve">var </w:t>
      </w:r>
      <w:r w:rsidRPr="000C5669">
        <w:t xml:space="preserve">novērot </w:t>
      </w:r>
      <w:r w:rsidRPr="000C591A">
        <w:t>vairākas būtiskas strukturālas disproporcijas.</w:t>
      </w:r>
      <w:r w:rsidRPr="000C5669">
        <w:t xml:space="preserve"> Salīdzinot nodarbināto iedzīvotāju sadalījumu pēc iegūtās izglītības līmeņiem pa profesiju kvalifikācijas grupām, redzams,</w:t>
      </w:r>
      <w:r>
        <w:t xml:space="preserve"> ka nodarbināto skaits ar augstāko izglītību ir mazāks nekā nodarbināto skaits augstas kvalifikācijas profesijās, kurās pēc būtības jābūt cilvēkiem ar augstāko izglītību. Tikmēr vidējās kvalifikācijas līmenī 202</w:t>
      </w:r>
      <w:r w:rsidR="00702E9C">
        <w:t>3</w:t>
      </w:r>
      <w:r>
        <w:t>. gadā ir redzams, ka nodarbināto skaits ar vidējo izglītību pārsniedz vidējās kvalifikācijas profesijās nodarbināto skaitu.</w:t>
      </w:r>
      <w:r w:rsidRPr="00364D64">
        <w:t xml:space="preserve"> Tas ļauj secināt, ka daļu no augstas kvalifikācijas profesijām aizņem nodarbinātie ar vidējo izglītību, un tam ir ietekme uz produktivitātes pieauguma potenciālo attīstību ilgtermiņā.</w:t>
      </w:r>
    </w:p>
    <w:p w14:paraId="0D13FD8F" w14:textId="77777777" w:rsidR="00867A48" w:rsidRPr="003B4CDA" w:rsidRDefault="00867A48" w:rsidP="00867A48">
      <w:pPr>
        <w:spacing w:after="120"/>
        <w:jc w:val="both"/>
      </w:pPr>
    </w:p>
    <w:p w14:paraId="4278E38D" w14:textId="7D60BF34" w:rsidR="00384FC8" w:rsidRPr="00916AF4" w:rsidRDefault="00384FC8" w:rsidP="005751C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jc w:val="right"/>
        <w:rPr>
          <w:rFonts w:ascii="Segoe UI Light" w:hAnsi="Segoe UI Light"/>
          <w:b/>
          <w:sz w:val="16"/>
          <w:szCs w:val="16"/>
        </w:rPr>
      </w:pPr>
      <w:bookmarkStart w:id="45" w:name="_Hlk170760600"/>
      <w:r w:rsidRPr="007F71A5">
        <w:rPr>
          <w:rFonts w:ascii="Segoe UI Light" w:hAnsi="Segoe UI Light"/>
          <w:b/>
          <w:sz w:val="16"/>
          <w:szCs w:val="16"/>
        </w:rPr>
        <w:lastRenderedPageBreak/>
        <w:t>A</w:t>
      </w:r>
      <w:r>
        <w:rPr>
          <w:rFonts w:ascii="Segoe UI Light" w:hAnsi="Segoe UI Light"/>
          <w:b/>
          <w:sz w:val="16"/>
          <w:szCs w:val="16"/>
        </w:rPr>
        <w:t xml:space="preserve">bsolventu </w:t>
      </w:r>
      <w:r w:rsidRPr="007F71A5">
        <w:rPr>
          <w:rFonts w:ascii="Segoe UI Light" w:hAnsi="Segoe UI Light"/>
          <w:b/>
          <w:sz w:val="16"/>
          <w:szCs w:val="16"/>
        </w:rPr>
        <w:t xml:space="preserve">monitoringa rezultāti </w:t>
      </w:r>
    </w:p>
    <w:p w14:paraId="32BE6D91" w14:textId="6715DC41" w:rsidR="00384FC8" w:rsidRPr="00D64429" w:rsidRDefault="00384FC8" w:rsidP="005751C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both"/>
        <w:rPr>
          <w:rFonts w:ascii="Segoe UI Light" w:hAnsi="Segoe UI Light"/>
          <w:noProof/>
          <w:sz w:val="16"/>
          <w:szCs w:val="18"/>
        </w:rPr>
      </w:pPr>
      <w:r w:rsidRPr="001B7AAE">
        <w:rPr>
          <w:rFonts w:ascii="Segoe UI Light" w:hAnsi="Segoe UI Light"/>
          <w:bCs/>
          <w:i/>
          <w:iCs/>
          <w:sz w:val="16"/>
          <w:szCs w:val="18"/>
        </w:rPr>
        <w:t xml:space="preserve">Studējošo un absolventu reģistrā </w:t>
      </w:r>
      <w:r w:rsidRPr="001B7AAE">
        <w:rPr>
          <w:rFonts w:ascii="Segoe UI Light" w:hAnsi="Segoe UI Light"/>
          <w:bCs/>
          <w:sz w:val="16"/>
          <w:szCs w:val="18"/>
        </w:rPr>
        <w:t>tiek uzkrāti dati par augstākās izglītības studiju programmās studējošajiem. Tiek apkopoti un publicēti nepersonificēti dati par absolventu nodarbinātību un atalgojumu. Augstākās izglītības iestāžu absolventu monitorings Latvijā uzsākts 2017.</w:t>
      </w:r>
      <w:r w:rsidR="0080669C">
        <w:rPr>
          <w:rFonts w:ascii="Segoe UI Light" w:hAnsi="Segoe UI Light"/>
          <w:bCs/>
          <w:sz w:val="16"/>
          <w:szCs w:val="18"/>
        </w:rPr>
        <w:t>gad</w:t>
      </w:r>
      <w:r w:rsidRPr="001B7AAE">
        <w:rPr>
          <w:rFonts w:ascii="Segoe UI Light" w:hAnsi="Segoe UI Light"/>
          <w:bCs/>
          <w:sz w:val="16"/>
          <w:szCs w:val="18"/>
        </w:rPr>
        <w:t>ā, un šobrīd ir pieejami dati par 2017., 2018. un 2019.</w:t>
      </w:r>
      <w:r w:rsidR="0080669C">
        <w:rPr>
          <w:rFonts w:ascii="Segoe UI Light" w:hAnsi="Segoe UI Light"/>
          <w:bCs/>
          <w:sz w:val="16"/>
          <w:szCs w:val="18"/>
        </w:rPr>
        <w:t>gad</w:t>
      </w:r>
      <w:r w:rsidRPr="001B7AAE">
        <w:rPr>
          <w:rFonts w:ascii="Segoe UI Light" w:hAnsi="Segoe UI Light"/>
          <w:bCs/>
          <w:sz w:val="16"/>
          <w:szCs w:val="18"/>
        </w:rPr>
        <w:t>a absolventu darba gaitām</w:t>
      </w:r>
      <w:r w:rsidR="009651AB">
        <w:rPr>
          <w:rFonts w:ascii="Segoe UI Light" w:hAnsi="Segoe UI Light"/>
          <w:bCs/>
          <w:sz w:val="16"/>
          <w:szCs w:val="18"/>
        </w:rPr>
        <w:t xml:space="preserve"> </w:t>
      </w:r>
      <w:r w:rsidR="0080669C">
        <w:rPr>
          <w:rFonts w:ascii="Segoe UI Light" w:hAnsi="Segoe UI Light"/>
          <w:bCs/>
          <w:sz w:val="16"/>
          <w:szCs w:val="18"/>
        </w:rPr>
        <w:t>gad</w:t>
      </w:r>
      <w:r w:rsidRPr="001B7AAE">
        <w:rPr>
          <w:rFonts w:ascii="Segoe UI Light" w:hAnsi="Segoe UI Light"/>
          <w:bCs/>
          <w:sz w:val="16"/>
          <w:szCs w:val="18"/>
        </w:rPr>
        <w:t>u pēc studiju beigšanas. Paredzēts, ka katra</w:t>
      </w:r>
      <w:r w:rsidR="009651AB">
        <w:rPr>
          <w:rFonts w:ascii="Segoe UI Light" w:hAnsi="Segoe UI Light"/>
          <w:bCs/>
          <w:sz w:val="16"/>
          <w:szCs w:val="18"/>
        </w:rPr>
        <w:t xml:space="preserve"> </w:t>
      </w:r>
      <w:r w:rsidR="0080669C">
        <w:rPr>
          <w:rFonts w:ascii="Segoe UI Light" w:hAnsi="Segoe UI Light"/>
          <w:bCs/>
          <w:sz w:val="16"/>
          <w:szCs w:val="18"/>
        </w:rPr>
        <w:t>gad</w:t>
      </w:r>
      <w:r w:rsidRPr="001B7AAE">
        <w:rPr>
          <w:rFonts w:ascii="Segoe UI Light" w:hAnsi="Segoe UI Light"/>
          <w:bCs/>
          <w:sz w:val="16"/>
          <w:szCs w:val="18"/>
        </w:rPr>
        <w:t xml:space="preserve">a absolventu grupa tiks </w:t>
      </w:r>
      <w:proofErr w:type="spellStart"/>
      <w:r w:rsidRPr="001B7AAE">
        <w:rPr>
          <w:rFonts w:ascii="Segoe UI Light" w:hAnsi="Segoe UI Light"/>
          <w:bCs/>
          <w:sz w:val="16"/>
          <w:szCs w:val="18"/>
        </w:rPr>
        <w:t>monitorēta</w:t>
      </w:r>
      <w:proofErr w:type="spellEnd"/>
      <w:r w:rsidRPr="001B7AAE">
        <w:rPr>
          <w:rFonts w:ascii="Segoe UI Light" w:hAnsi="Segoe UI Light"/>
          <w:bCs/>
          <w:sz w:val="16"/>
          <w:szCs w:val="18"/>
        </w:rPr>
        <w:t xml:space="preserve"> 10</w:t>
      </w:r>
      <w:r w:rsidR="00E002CB">
        <w:rPr>
          <w:rFonts w:ascii="Segoe UI Light" w:hAnsi="Segoe UI Light"/>
          <w:bCs/>
          <w:sz w:val="16"/>
          <w:szCs w:val="18"/>
        </w:rPr>
        <w:t xml:space="preserve"> </w:t>
      </w:r>
      <w:r w:rsidR="0080669C">
        <w:rPr>
          <w:rFonts w:ascii="Segoe UI Light" w:hAnsi="Segoe UI Light"/>
          <w:bCs/>
          <w:sz w:val="16"/>
          <w:szCs w:val="18"/>
        </w:rPr>
        <w:t>gad</w:t>
      </w:r>
      <w:r w:rsidRPr="001B7AAE">
        <w:rPr>
          <w:rFonts w:ascii="Segoe UI Light" w:hAnsi="Segoe UI Light"/>
          <w:bCs/>
          <w:sz w:val="16"/>
          <w:szCs w:val="18"/>
        </w:rPr>
        <w:t>u ilgā periodā. 2020.</w:t>
      </w:r>
      <w:r w:rsidR="0080669C">
        <w:rPr>
          <w:rFonts w:ascii="Segoe UI Light" w:hAnsi="Segoe UI Light"/>
          <w:bCs/>
          <w:sz w:val="16"/>
          <w:szCs w:val="18"/>
        </w:rPr>
        <w:t>gad</w:t>
      </w:r>
      <w:r w:rsidRPr="001B7AAE">
        <w:rPr>
          <w:rFonts w:ascii="Segoe UI Light" w:hAnsi="Segoe UI Light"/>
          <w:bCs/>
          <w:sz w:val="16"/>
          <w:szCs w:val="18"/>
        </w:rPr>
        <w:t xml:space="preserve">ā tika uzsākts profesionālās izglītības absolventu monitorings un sagatavoti pirmie dati. Profesionālās izglītības iestāžu absolventu monitorings tiek veidots uz augstākās izglītības absolventu monitoringa bāzes, </w:t>
      </w:r>
      <w:r>
        <w:rPr>
          <w:rFonts w:ascii="Segoe UI Light" w:hAnsi="Segoe UI Light"/>
          <w:bCs/>
          <w:sz w:val="16"/>
          <w:szCs w:val="18"/>
        </w:rPr>
        <w:t xml:space="preserve">un </w:t>
      </w:r>
      <w:r w:rsidRPr="001B7AAE">
        <w:rPr>
          <w:rFonts w:ascii="Segoe UI Light" w:hAnsi="Segoe UI Light"/>
          <w:bCs/>
          <w:sz w:val="16"/>
          <w:szCs w:val="18"/>
        </w:rPr>
        <w:t>likumsakarīgi papildina augstākās izglītības absolventu monitoringu, tādējādi sniedzot visaptverošāku informāciju par izglītības sistēmas rezultātiem, ņemot vērā absolventu turpmākās gaitas pēc izglītības ieguves attiecīgajā pakāpē. Absolventu monitorings ir neatņemama izglītības kvalitātes monitoringa sistēmas sastāvdaļ</w:t>
      </w:r>
      <w:r>
        <w:rPr>
          <w:rFonts w:ascii="Segoe UI Light" w:hAnsi="Segoe UI Light"/>
          <w:bCs/>
          <w:sz w:val="16"/>
          <w:szCs w:val="18"/>
        </w:rPr>
        <w:t>a</w:t>
      </w:r>
      <w:r w:rsidRPr="001B7AAE">
        <w:rPr>
          <w:rFonts w:ascii="Segoe UI Light" w:hAnsi="Segoe UI Light"/>
          <w:bCs/>
          <w:sz w:val="16"/>
          <w:szCs w:val="18"/>
        </w:rPr>
        <w:t>, kas sniedz vairāku</w:t>
      </w:r>
      <w:r w:rsidR="00F20898">
        <w:rPr>
          <w:rFonts w:ascii="Segoe UI Light" w:hAnsi="Segoe UI Light"/>
          <w:bCs/>
          <w:sz w:val="16"/>
          <w:szCs w:val="18"/>
        </w:rPr>
        <w:t xml:space="preserve"> </w:t>
      </w:r>
      <w:r w:rsidR="0080669C">
        <w:rPr>
          <w:rFonts w:ascii="Segoe UI Light" w:hAnsi="Segoe UI Light"/>
          <w:bCs/>
          <w:sz w:val="16"/>
          <w:szCs w:val="18"/>
        </w:rPr>
        <w:t>gad</w:t>
      </w:r>
      <w:r w:rsidRPr="001B7AAE">
        <w:rPr>
          <w:rFonts w:ascii="Segoe UI Light" w:hAnsi="Segoe UI Light"/>
          <w:bCs/>
          <w:sz w:val="16"/>
          <w:szCs w:val="18"/>
        </w:rPr>
        <w:t>u garumā uzkrātos datos balstītu informāciju ilgtspējīgu lēmumu pieņemšanai, kas saistīti ar izglītības politikas veidošanu un tās atbilstību tautsaimniecības vajadzībām.</w:t>
      </w:r>
    </w:p>
    <w:bookmarkEnd w:id="45"/>
    <w:p w14:paraId="4E7E293E" w14:textId="5D98D87C" w:rsidR="00384FC8" w:rsidRDefault="00384FC8" w:rsidP="005751C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both"/>
        <w:rPr>
          <w:rFonts w:ascii="Segoe UI Light" w:hAnsi="Segoe UI Light" w:cs="Segoe UI Light"/>
          <w:color w:val="000000"/>
          <w:sz w:val="16"/>
          <w:szCs w:val="16"/>
        </w:rPr>
      </w:pPr>
      <w:r w:rsidRPr="00ED7AF0">
        <w:rPr>
          <w:rFonts w:ascii="Segoe UI Light" w:hAnsi="Segoe UI Light" w:cs="Segoe UI Light"/>
          <w:color w:val="000000"/>
          <w:sz w:val="16"/>
          <w:szCs w:val="16"/>
        </w:rPr>
        <w:t xml:space="preserve">Saskaņā ar absolventu monitoringa rezultātiem, </w:t>
      </w:r>
      <w:r w:rsidRPr="00740455">
        <w:rPr>
          <w:rFonts w:ascii="Segoe UI Light" w:hAnsi="Segoe UI Light" w:cs="Segoe UI Light"/>
          <w:color w:val="000000"/>
          <w:sz w:val="16"/>
          <w:szCs w:val="16"/>
        </w:rPr>
        <w:t>aptuveni 82</w:t>
      </w:r>
      <w:r w:rsidR="0080669C">
        <w:rPr>
          <w:rFonts w:ascii="Segoe UI Light" w:hAnsi="Segoe UI Light" w:cs="Segoe UI Light"/>
          <w:color w:val="000000"/>
          <w:sz w:val="16"/>
          <w:szCs w:val="16"/>
        </w:rPr>
        <w:t>%</w:t>
      </w:r>
      <w:r w:rsidRPr="00740455">
        <w:rPr>
          <w:rFonts w:ascii="Segoe UI Light" w:hAnsi="Segoe UI Light" w:cs="Segoe UI Light"/>
          <w:color w:val="000000"/>
          <w:sz w:val="16"/>
          <w:szCs w:val="16"/>
        </w:rPr>
        <w:t xml:space="preserve"> no</w:t>
      </w:r>
      <w:r w:rsidRPr="00ED7AF0">
        <w:rPr>
          <w:rFonts w:ascii="Segoe UI Light" w:hAnsi="Segoe UI Light" w:cs="Segoe UI Light"/>
          <w:color w:val="000000"/>
          <w:sz w:val="16"/>
          <w:szCs w:val="16"/>
        </w:rPr>
        <w:t xml:space="preserve"> visiem 201</w:t>
      </w:r>
      <w:r>
        <w:rPr>
          <w:rFonts w:ascii="Segoe UI Light" w:hAnsi="Segoe UI Light" w:cs="Segoe UI Light"/>
          <w:color w:val="000000"/>
          <w:sz w:val="16"/>
          <w:szCs w:val="16"/>
        </w:rPr>
        <w:t>9</w:t>
      </w:r>
      <w:r w:rsidRPr="00ED7AF0">
        <w:rPr>
          <w:rFonts w:ascii="Segoe UI Light" w:hAnsi="Segoe UI Light" w:cs="Segoe UI Light"/>
          <w:color w:val="000000"/>
          <w:sz w:val="16"/>
          <w:szCs w:val="16"/>
        </w:rPr>
        <w:t>.</w:t>
      </w:r>
      <w:r w:rsidR="0080669C">
        <w:rPr>
          <w:rFonts w:ascii="Segoe UI Light" w:hAnsi="Segoe UI Light" w:cs="Segoe UI Light"/>
          <w:color w:val="000000"/>
          <w:sz w:val="16"/>
          <w:szCs w:val="16"/>
        </w:rPr>
        <w:t>gad</w:t>
      </w:r>
      <w:r w:rsidRPr="00ED7AF0">
        <w:rPr>
          <w:rFonts w:ascii="Segoe UI Light" w:hAnsi="Segoe UI Light" w:cs="Segoe UI Light"/>
          <w:color w:val="000000"/>
          <w:sz w:val="16"/>
          <w:szCs w:val="16"/>
        </w:rPr>
        <w:t xml:space="preserve">a </w:t>
      </w:r>
      <w:r>
        <w:rPr>
          <w:rFonts w:ascii="Segoe UI Light" w:hAnsi="Segoe UI Light" w:cs="Segoe UI Light"/>
          <w:color w:val="000000"/>
          <w:sz w:val="16"/>
          <w:szCs w:val="16"/>
        </w:rPr>
        <w:t xml:space="preserve">augstākās izglītības iestāžu </w:t>
      </w:r>
      <w:r w:rsidRPr="00ED7AF0">
        <w:rPr>
          <w:rFonts w:ascii="Segoe UI Light" w:hAnsi="Segoe UI Light" w:cs="Segoe UI Light"/>
          <w:color w:val="000000"/>
          <w:sz w:val="16"/>
          <w:szCs w:val="16"/>
        </w:rPr>
        <w:t xml:space="preserve">absolventiem, par kuriem pieejama informācija, </w:t>
      </w:r>
      <w:r>
        <w:rPr>
          <w:rFonts w:ascii="Segoe UI Light" w:hAnsi="Segoe UI Light" w:cs="Segoe UI Light"/>
          <w:color w:val="000000"/>
          <w:sz w:val="16"/>
          <w:szCs w:val="16"/>
        </w:rPr>
        <w:t>2020</w:t>
      </w:r>
      <w:r w:rsidRPr="00ED7AF0">
        <w:rPr>
          <w:rFonts w:ascii="Segoe UI Light" w:hAnsi="Segoe UI Light" w:cs="Segoe UI Light"/>
          <w:color w:val="000000"/>
          <w:sz w:val="16"/>
          <w:szCs w:val="16"/>
        </w:rPr>
        <w:t>.</w:t>
      </w:r>
      <w:r w:rsidR="0080669C">
        <w:rPr>
          <w:rFonts w:ascii="Segoe UI Light" w:hAnsi="Segoe UI Light" w:cs="Segoe UI Light"/>
          <w:color w:val="000000"/>
          <w:sz w:val="16"/>
          <w:szCs w:val="16"/>
        </w:rPr>
        <w:t>gad</w:t>
      </w:r>
      <w:r w:rsidRPr="00ED7AF0">
        <w:rPr>
          <w:rFonts w:ascii="Segoe UI Light" w:hAnsi="Segoe UI Light" w:cs="Segoe UI Light"/>
          <w:color w:val="000000"/>
          <w:sz w:val="16"/>
          <w:szCs w:val="16"/>
        </w:rPr>
        <w:t xml:space="preserve">ā bija nodarbināti, bet vidējais bezdarba līmenis starp ekonomiski aktīvajiem absolventiem bija </w:t>
      </w:r>
      <w:r w:rsidRPr="00740455">
        <w:rPr>
          <w:rFonts w:ascii="Segoe UI Light" w:hAnsi="Segoe UI Light" w:cs="Segoe UI Light"/>
          <w:color w:val="000000"/>
          <w:sz w:val="16"/>
          <w:szCs w:val="16"/>
        </w:rPr>
        <w:t>– 4,8</w:t>
      </w:r>
      <w:r w:rsidR="0080669C">
        <w:rPr>
          <w:rFonts w:ascii="Segoe UI Light" w:hAnsi="Segoe UI Light" w:cs="Segoe UI Light"/>
          <w:color w:val="000000"/>
          <w:sz w:val="16"/>
          <w:szCs w:val="16"/>
        </w:rPr>
        <w:t>%</w:t>
      </w:r>
      <w:r w:rsidRPr="00740455">
        <w:rPr>
          <w:rFonts w:ascii="Segoe UI Light" w:hAnsi="Segoe UI Light" w:cs="Segoe UI Light"/>
          <w:color w:val="000000"/>
          <w:sz w:val="16"/>
          <w:szCs w:val="16"/>
        </w:rPr>
        <w:t>,</w:t>
      </w:r>
      <w:r w:rsidRPr="00ED7AF0">
        <w:rPr>
          <w:rFonts w:ascii="Segoe UI Light" w:hAnsi="Segoe UI Light" w:cs="Segoe UI Light"/>
          <w:color w:val="000000"/>
          <w:sz w:val="16"/>
          <w:szCs w:val="16"/>
        </w:rPr>
        <w:t xml:space="preserve"> kas k</w:t>
      </w:r>
      <w:r>
        <w:rPr>
          <w:rFonts w:ascii="Segoe UI Light" w:hAnsi="Segoe UI Light" w:cs="Segoe UI Light"/>
          <w:color w:val="000000"/>
          <w:sz w:val="16"/>
          <w:szCs w:val="16"/>
        </w:rPr>
        <w:t>o</w:t>
      </w:r>
      <w:r w:rsidRPr="00ED7AF0">
        <w:rPr>
          <w:rFonts w:ascii="Segoe UI Light" w:hAnsi="Segoe UI Light" w:cs="Segoe UI Light"/>
          <w:color w:val="000000"/>
          <w:sz w:val="16"/>
          <w:szCs w:val="16"/>
        </w:rPr>
        <w:t xml:space="preserve">pumā ir zemāks rādītājs nekā vidēji tautsaimniecībā starp iedzīvotājiem ar augstāko izglītību. Aptuveni </w:t>
      </w:r>
      <w:r w:rsidRPr="00740455">
        <w:rPr>
          <w:rFonts w:ascii="Segoe UI Light" w:hAnsi="Segoe UI Light" w:cs="Segoe UI Light"/>
          <w:color w:val="000000"/>
          <w:sz w:val="16"/>
          <w:szCs w:val="16"/>
        </w:rPr>
        <w:t>78</w:t>
      </w:r>
      <w:r w:rsidR="0080669C">
        <w:rPr>
          <w:rFonts w:ascii="Segoe UI Light" w:hAnsi="Segoe UI Light" w:cs="Segoe UI Light"/>
          <w:color w:val="000000"/>
          <w:sz w:val="16"/>
          <w:szCs w:val="16"/>
        </w:rPr>
        <w:t>%</w:t>
      </w:r>
      <w:r w:rsidRPr="00ED7AF0">
        <w:rPr>
          <w:rFonts w:ascii="Segoe UI Light" w:hAnsi="Segoe UI Light" w:cs="Segoe UI Light"/>
          <w:color w:val="000000"/>
          <w:sz w:val="16"/>
          <w:szCs w:val="16"/>
        </w:rPr>
        <w:t xml:space="preserve"> no visiem nodarbinātajiem absolventiem bija nodarbināti augstākās kvalifikācijas profesijās (1.-3. profesiju pamatgrupas).</w:t>
      </w:r>
    </w:p>
    <w:p w14:paraId="18C0C336" w14:textId="5157EFA9" w:rsidR="00435040" w:rsidRPr="007F71A5" w:rsidRDefault="00435040" w:rsidP="005751C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before="240" w:after="120"/>
        <w:jc w:val="center"/>
        <w:rPr>
          <w:rFonts w:ascii="Segoe UI Light" w:hAnsi="Segoe UI Light" w:cs="Segoe UI Light"/>
          <w:color w:val="000000"/>
          <w:sz w:val="16"/>
          <w:szCs w:val="16"/>
        </w:rPr>
      </w:pPr>
      <w:r>
        <w:rPr>
          <w:rFonts w:ascii="Segoe UI Light" w:hAnsi="Segoe UI Light" w:cs="Segoe UI Light"/>
          <w:b/>
          <w:bCs/>
          <w:color w:val="000000"/>
          <w:sz w:val="16"/>
          <w:szCs w:val="16"/>
        </w:rPr>
        <w:t>2017.-202</w:t>
      </w:r>
      <w:r w:rsidR="00005BF8">
        <w:rPr>
          <w:rFonts w:ascii="Segoe UI Light" w:hAnsi="Segoe UI Light" w:cs="Segoe UI Light"/>
          <w:b/>
          <w:bCs/>
          <w:color w:val="000000"/>
          <w:sz w:val="16"/>
          <w:szCs w:val="16"/>
        </w:rPr>
        <w:t>1</w:t>
      </w:r>
      <w:r>
        <w:rPr>
          <w:rFonts w:ascii="Segoe UI Light" w:hAnsi="Segoe UI Light" w:cs="Segoe UI Light"/>
          <w:b/>
          <w:bCs/>
          <w:color w:val="000000"/>
          <w:sz w:val="16"/>
          <w:szCs w:val="16"/>
        </w:rPr>
        <w:t>. gada i</w:t>
      </w:r>
      <w:r w:rsidRPr="00CB6813">
        <w:rPr>
          <w:rFonts w:ascii="Segoe UI Light" w:hAnsi="Segoe UI Light" w:cs="Segoe UI Light"/>
          <w:b/>
          <w:bCs/>
          <w:color w:val="000000"/>
          <w:sz w:val="16"/>
          <w:szCs w:val="16"/>
        </w:rPr>
        <w:t>zglītības iestāžu absolventu bezdarba līmenis pēc izglītības līmeņa un izglītības tematiskās grupas</w:t>
      </w:r>
      <w:r>
        <w:rPr>
          <w:rFonts w:ascii="Segoe UI Light" w:hAnsi="Segoe UI Light" w:cs="Segoe UI Light"/>
          <w:b/>
          <w:bCs/>
          <w:color w:val="000000"/>
          <w:sz w:val="16"/>
          <w:szCs w:val="16"/>
        </w:rPr>
        <w:br/>
      </w:r>
      <w:r w:rsidRPr="007F71A5">
        <w:rPr>
          <w:rFonts w:ascii="Segoe UI Light" w:hAnsi="Segoe UI Light" w:cs="Segoe UI Light"/>
          <w:color w:val="000000"/>
          <w:sz w:val="16"/>
          <w:szCs w:val="16"/>
        </w:rPr>
        <w:t>20</w:t>
      </w:r>
      <w:r>
        <w:rPr>
          <w:rFonts w:ascii="Segoe UI Light" w:hAnsi="Segoe UI Light" w:cs="Segoe UI Light"/>
          <w:color w:val="000000"/>
          <w:sz w:val="16"/>
          <w:szCs w:val="16"/>
        </w:rPr>
        <w:t>2</w:t>
      </w:r>
      <w:r w:rsidR="00005BF8">
        <w:rPr>
          <w:rFonts w:ascii="Segoe UI Light" w:hAnsi="Segoe UI Light" w:cs="Segoe UI Light"/>
          <w:color w:val="000000"/>
          <w:sz w:val="16"/>
          <w:szCs w:val="16"/>
        </w:rPr>
        <w:t>2</w:t>
      </w:r>
      <w:r w:rsidRPr="007F71A5">
        <w:rPr>
          <w:rFonts w:ascii="Segoe UI Light" w:hAnsi="Segoe UI Light" w:cs="Segoe UI Light"/>
          <w:color w:val="000000"/>
          <w:sz w:val="16"/>
          <w:szCs w:val="16"/>
        </w:rPr>
        <w:t xml:space="preserve">. gada </w:t>
      </w:r>
      <w:r>
        <w:rPr>
          <w:rFonts w:ascii="Segoe UI Light" w:hAnsi="Segoe UI Light" w:cs="Segoe UI Light"/>
          <w:color w:val="000000"/>
          <w:sz w:val="16"/>
          <w:szCs w:val="16"/>
        </w:rPr>
        <w:t>dati</w:t>
      </w:r>
      <w:r w:rsidRPr="007F71A5">
        <w:rPr>
          <w:rFonts w:ascii="Segoe UI Light" w:hAnsi="Segoe UI Light" w:cs="Segoe UI Light"/>
          <w:color w:val="000000"/>
          <w:sz w:val="16"/>
          <w:szCs w:val="16"/>
        </w:rPr>
        <w:t>, procentos</w:t>
      </w:r>
    </w:p>
    <w:p w14:paraId="360DACCF" w14:textId="6F9150DE" w:rsidR="00435040" w:rsidRPr="007B093F" w:rsidRDefault="00ED681D" w:rsidP="00ED681D">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rPr>
          <w:rFonts w:ascii="Segoe UI Light" w:hAnsi="Segoe UI Light" w:cs="Segoe UI Light"/>
          <w:b/>
          <w:bCs/>
          <w:color w:val="000000"/>
          <w:sz w:val="16"/>
          <w:szCs w:val="16"/>
        </w:rPr>
      </w:pPr>
      <w:r>
        <w:rPr>
          <w:noProof/>
          <w:lang w:eastAsia="lv-LV"/>
        </w:rPr>
        <w:drawing>
          <wp:inline distT="0" distB="0" distL="0" distR="0" wp14:anchorId="38D23758" wp14:editId="53803A79">
            <wp:extent cx="2785484" cy="2251075"/>
            <wp:effectExtent l="0" t="0" r="0" b="0"/>
            <wp:docPr id="232" name="Chart 232">
              <a:extLst xmlns:a="http://schemas.openxmlformats.org/drawingml/2006/main">
                <a:ext uri="{FF2B5EF4-FFF2-40B4-BE49-F238E27FC236}">
                  <a16:creationId xmlns:a16="http://schemas.microsoft.com/office/drawing/2014/main" id="{030B8713-D893-414D-AF35-752AF57A5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006948F7">
        <w:rPr>
          <w:noProof/>
          <w:lang w:eastAsia="lv-LV"/>
        </w:rPr>
        <w:drawing>
          <wp:inline distT="0" distB="0" distL="0" distR="0" wp14:anchorId="4F5F87C4" wp14:editId="1F7CA1A4">
            <wp:extent cx="2706128" cy="2266950"/>
            <wp:effectExtent l="0" t="0" r="0" b="0"/>
            <wp:docPr id="233" name="Chart 233">
              <a:extLst xmlns:a="http://schemas.openxmlformats.org/drawingml/2006/main">
                <a:ext uri="{FF2B5EF4-FFF2-40B4-BE49-F238E27FC236}">
                  <a16:creationId xmlns:a16="http://schemas.microsoft.com/office/drawing/2014/main" id="{030B8713-D893-414D-AF35-752AF57A5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A01639E" w14:textId="7E749E1C" w:rsidR="00384FC8" w:rsidRPr="00202D5E" w:rsidRDefault="00384FC8" w:rsidP="005751C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rPr>
          <w:rFonts w:ascii="Segoe UI Light" w:hAnsi="Segoe UI Light"/>
          <w:i/>
          <w:sz w:val="14"/>
          <w:szCs w:val="14"/>
          <w:highlight w:val="yellow"/>
        </w:rPr>
      </w:pPr>
      <w:r w:rsidRPr="00202D5E">
        <w:rPr>
          <w:rFonts w:ascii="Segoe UI Light" w:hAnsi="Segoe UI Light"/>
          <w:sz w:val="14"/>
          <w:szCs w:val="14"/>
        </w:rPr>
        <w:t>Avots</w:t>
      </w:r>
      <w:r w:rsidRPr="00202D5E">
        <w:rPr>
          <w:rFonts w:ascii="Segoe UI Light" w:hAnsi="Segoe UI Light"/>
          <w:i/>
          <w:sz w:val="14"/>
          <w:szCs w:val="14"/>
        </w:rPr>
        <w:t>: Absolventu monitoringa dati; EM aprēķini.</w:t>
      </w:r>
    </w:p>
    <w:p w14:paraId="43643EAA" w14:textId="77777777" w:rsidR="00384FC8" w:rsidRDefault="00384FC8" w:rsidP="005751C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8"/>
        </w:rPr>
      </w:pPr>
    </w:p>
    <w:p w14:paraId="068C228B" w14:textId="4564B443" w:rsidR="00217926" w:rsidRDefault="00384FC8" w:rsidP="005751C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Pr>
          <w:rFonts w:ascii="Segoe UI Light" w:hAnsi="Segoe UI Light"/>
          <w:bCs/>
          <w:sz w:val="16"/>
          <w:szCs w:val="18"/>
        </w:rPr>
        <w:t>Augstākais</w:t>
      </w:r>
      <w:r w:rsidRPr="003B4CDA">
        <w:rPr>
          <w:rFonts w:ascii="Segoe UI Light" w:hAnsi="Segoe UI Light"/>
          <w:bCs/>
          <w:sz w:val="16"/>
          <w:szCs w:val="18"/>
        </w:rPr>
        <w:t xml:space="preserve"> bezdarba līmenis vērojams starp </w:t>
      </w:r>
      <w:r w:rsidRPr="003603C1">
        <w:rPr>
          <w:rFonts w:ascii="Segoe UI Light" w:hAnsi="Segoe UI Light"/>
          <w:bCs/>
          <w:sz w:val="16"/>
          <w:szCs w:val="18"/>
        </w:rPr>
        <w:t xml:space="preserve">sociālo zinātņu, </w:t>
      </w:r>
      <w:proofErr w:type="spellStart"/>
      <w:r w:rsidRPr="003603C1">
        <w:rPr>
          <w:rFonts w:ascii="Segoe UI Light" w:hAnsi="Segoe UI Light"/>
          <w:bCs/>
          <w:sz w:val="16"/>
          <w:szCs w:val="18"/>
        </w:rPr>
        <w:t>komerczinību</w:t>
      </w:r>
      <w:proofErr w:type="spellEnd"/>
      <w:r w:rsidRPr="003603C1">
        <w:rPr>
          <w:rFonts w:ascii="Segoe UI Light" w:hAnsi="Segoe UI Light"/>
          <w:bCs/>
          <w:sz w:val="16"/>
          <w:szCs w:val="18"/>
        </w:rPr>
        <w:t xml:space="preserve"> un tiesību zinātņu </w:t>
      </w:r>
      <w:r w:rsidRPr="003B4CDA">
        <w:rPr>
          <w:rFonts w:ascii="Segoe UI Light" w:hAnsi="Segoe UI Light"/>
          <w:bCs/>
          <w:sz w:val="16"/>
          <w:szCs w:val="18"/>
        </w:rPr>
        <w:t xml:space="preserve">absolventiem, kā arī </w:t>
      </w:r>
      <w:r w:rsidRPr="003603C1">
        <w:rPr>
          <w:rFonts w:ascii="Segoe UI Light" w:hAnsi="Segoe UI Light"/>
          <w:bCs/>
          <w:sz w:val="16"/>
          <w:szCs w:val="18"/>
        </w:rPr>
        <w:t>humanitāro un mākslas zinātņu</w:t>
      </w:r>
      <w:r>
        <w:rPr>
          <w:rFonts w:ascii="Segoe UI Light" w:hAnsi="Segoe UI Light"/>
          <w:bCs/>
          <w:sz w:val="16"/>
          <w:szCs w:val="18"/>
        </w:rPr>
        <w:t xml:space="preserve"> un lauksaimniecības</w:t>
      </w:r>
      <w:r w:rsidRPr="003603C1">
        <w:rPr>
          <w:rFonts w:ascii="Segoe UI Light" w:hAnsi="Segoe UI Light"/>
          <w:bCs/>
          <w:sz w:val="16"/>
          <w:szCs w:val="18"/>
        </w:rPr>
        <w:t xml:space="preserve"> programmu</w:t>
      </w:r>
      <w:r w:rsidRPr="003B4CDA">
        <w:rPr>
          <w:rFonts w:ascii="Segoe UI Light" w:hAnsi="Segoe UI Light"/>
          <w:bCs/>
          <w:sz w:val="16"/>
          <w:szCs w:val="18"/>
        </w:rPr>
        <w:t xml:space="preserve"> absolventiem. Vienlaikus </w:t>
      </w:r>
      <w:r>
        <w:rPr>
          <w:rFonts w:ascii="Segoe UI Light" w:hAnsi="Segoe UI Light"/>
          <w:bCs/>
          <w:sz w:val="16"/>
          <w:szCs w:val="18"/>
        </w:rPr>
        <w:t>zemākais</w:t>
      </w:r>
      <w:r w:rsidRPr="003B4CDA">
        <w:rPr>
          <w:rFonts w:ascii="Segoe UI Light" w:hAnsi="Segoe UI Light"/>
          <w:bCs/>
          <w:sz w:val="16"/>
          <w:szCs w:val="18"/>
        </w:rPr>
        <w:t xml:space="preserve"> bezdarbs pēc absolvēšanas vērojams</w:t>
      </w:r>
      <w:r>
        <w:rPr>
          <w:rFonts w:ascii="Segoe UI Light" w:hAnsi="Segoe UI Light"/>
          <w:bCs/>
          <w:sz w:val="16"/>
          <w:szCs w:val="18"/>
        </w:rPr>
        <w:t xml:space="preserve"> starp </w:t>
      </w:r>
      <w:r w:rsidRPr="003B4CDA">
        <w:rPr>
          <w:rFonts w:ascii="Segoe UI Light" w:hAnsi="Segoe UI Light"/>
          <w:bCs/>
          <w:sz w:val="16"/>
          <w:szCs w:val="18"/>
        </w:rPr>
        <w:t>veselības aprūpes un sociālās labklājības jom</w:t>
      </w:r>
      <w:r>
        <w:rPr>
          <w:rFonts w:ascii="Segoe UI Light" w:hAnsi="Segoe UI Light"/>
          <w:bCs/>
          <w:sz w:val="16"/>
          <w:szCs w:val="18"/>
        </w:rPr>
        <w:t>u beidzējiem.</w:t>
      </w:r>
    </w:p>
    <w:p w14:paraId="190B4135" w14:textId="77777777" w:rsidR="005F5363" w:rsidRDefault="005F5363" w:rsidP="005751C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p>
    <w:p w14:paraId="01F8D761" w14:textId="650D337B" w:rsidR="001D2FD5" w:rsidRPr="001D2FD5" w:rsidRDefault="001D2FD5" w:rsidP="001D2FD5">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sz w:val="16"/>
          <w:szCs w:val="16"/>
        </w:rPr>
      </w:pPr>
      <w:r w:rsidRPr="001D2FD5">
        <w:rPr>
          <w:rFonts w:ascii="Segoe UI Light" w:hAnsi="Segoe UI Light"/>
          <w:b/>
          <w:bCs/>
          <w:sz w:val="16"/>
          <w:szCs w:val="16"/>
        </w:rPr>
        <w:t>Izglītības iestāžu augstākās izglītības absolventu profesijas atbilstība izglītības tematiskajai jomai 202</w:t>
      </w:r>
      <w:r w:rsidR="00005BF8">
        <w:rPr>
          <w:rFonts w:ascii="Segoe UI Light" w:hAnsi="Segoe UI Light"/>
          <w:b/>
          <w:bCs/>
          <w:sz w:val="16"/>
          <w:szCs w:val="16"/>
        </w:rPr>
        <w:t>2</w:t>
      </w:r>
      <w:r w:rsidRPr="001D2FD5">
        <w:rPr>
          <w:rFonts w:ascii="Segoe UI Light" w:hAnsi="Segoe UI Light"/>
          <w:b/>
          <w:bCs/>
          <w:sz w:val="16"/>
          <w:szCs w:val="16"/>
        </w:rPr>
        <w:t>. gadā</w:t>
      </w:r>
      <w:r w:rsidRPr="001D2FD5">
        <w:rPr>
          <w:rFonts w:ascii="Segoe UI Light" w:hAnsi="Segoe UI Light"/>
          <w:b/>
          <w:bCs/>
          <w:sz w:val="16"/>
          <w:szCs w:val="16"/>
        </w:rPr>
        <w:br/>
      </w:r>
      <w:r w:rsidRPr="001D2FD5">
        <w:rPr>
          <w:rFonts w:ascii="Segoe UI Light" w:hAnsi="Segoe UI Light"/>
          <w:sz w:val="16"/>
          <w:szCs w:val="16"/>
        </w:rPr>
        <w:t>2017.-202</w:t>
      </w:r>
      <w:r w:rsidR="00005BF8">
        <w:rPr>
          <w:rFonts w:ascii="Segoe UI Light" w:hAnsi="Segoe UI Light"/>
          <w:sz w:val="16"/>
          <w:szCs w:val="16"/>
        </w:rPr>
        <w:t>1</w:t>
      </w:r>
      <w:r w:rsidRPr="001D2FD5">
        <w:rPr>
          <w:rFonts w:ascii="Segoe UI Light" w:hAnsi="Segoe UI Light"/>
          <w:sz w:val="16"/>
          <w:szCs w:val="16"/>
        </w:rPr>
        <w:t>. gada absolventi, īpatsvars procentos</w:t>
      </w:r>
    </w:p>
    <w:p w14:paraId="69D8249D" w14:textId="63067311" w:rsidR="00384FC8" w:rsidRDefault="00B77E8D" w:rsidP="00217926">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sz w:val="16"/>
          <w:szCs w:val="16"/>
        </w:rPr>
      </w:pPr>
      <w:r>
        <w:rPr>
          <w:rFonts w:ascii="Segoe UI Light" w:hAnsi="Segoe UI Light"/>
          <w:bCs/>
          <w:noProof/>
          <w:sz w:val="16"/>
          <w:szCs w:val="18"/>
        </w:rPr>
        <w:drawing>
          <wp:inline distT="0" distB="0" distL="0" distR="0" wp14:anchorId="4E228C0C" wp14:editId="62FFC202">
            <wp:extent cx="5580000" cy="1800000"/>
            <wp:effectExtent l="0" t="0" r="0" b="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40199F7" w14:textId="77777777" w:rsidR="00384FC8" w:rsidRPr="00E77A0C" w:rsidRDefault="00384FC8" w:rsidP="001D2FD5">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i/>
          <w:sz w:val="14"/>
          <w:szCs w:val="16"/>
          <w:highlight w:val="yellow"/>
        </w:rPr>
      </w:pPr>
      <w:r w:rsidRPr="00E77A0C">
        <w:rPr>
          <w:rFonts w:ascii="Segoe UI Light" w:hAnsi="Segoe UI Light"/>
          <w:sz w:val="14"/>
          <w:szCs w:val="16"/>
        </w:rPr>
        <w:t>Avots:</w:t>
      </w:r>
      <w:r w:rsidRPr="00E77A0C">
        <w:rPr>
          <w:rFonts w:ascii="Segoe UI Light" w:hAnsi="Segoe UI Light"/>
          <w:i/>
          <w:sz w:val="14"/>
          <w:szCs w:val="16"/>
        </w:rPr>
        <w:t xml:space="preserve"> Absolventu monitoringa dati; EM aprēķini, balstoties uz profesiju-izglītības atbilstības matricu</w:t>
      </w:r>
      <w:r w:rsidRPr="00E77A0C">
        <w:rPr>
          <w:rFonts w:ascii="Segoe UI Light" w:hAnsi="Segoe UI Light"/>
          <w:sz w:val="14"/>
          <w:szCs w:val="14"/>
        </w:rPr>
        <w:t xml:space="preserve"> </w:t>
      </w:r>
      <w:r w:rsidRPr="00E77A0C">
        <w:rPr>
          <w:rFonts w:ascii="Segoe UI Light" w:hAnsi="Segoe UI Light"/>
          <w:i/>
          <w:sz w:val="14"/>
          <w:szCs w:val="14"/>
        </w:rPr>
        <w:t>(skatīt informatīvā ziņojuma 3.1 apakšnodaļu)</w:t>
      </w:r>
      <w:r w:rsidRPr="00E77A0C">
        <w:rPr>
          <w:rFonts w:ascii="Segoe UI Light" w:hAnsi="Segoe UI Light"/>
          <w:i/>
          <w:sz w:val="14"/>
          <w:szCs w:val="16"/>
        </w:rPr>
        <w:t xml:space="preserve"> profesiju klasifikācijas profesiju apakšgrupu griezumā.</w:t>
      </w:r>
    </w:p>
    <w:p w14:paraId="09766528" w14:textId="77777777" w:rsidR="00384FC8" w:rsidRDefault="00384FC8" w:rsidP="00217926">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p>
    <w:p w14:paraId="2711D2B6" w14:textId="0387BD50" w:rsidR="00D922BD" w:rsidRPr="002500EB" w:rsidRDefault="00D922BD" w:rsidP="00D922BD">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002A564D">
        <w:rPr>
          <w:rFonts w:ascii="Segoe UI Light" w:hAnsi="Segoe UI Light"/>
          <w:sz w:val="16"/>
          <w:szCs w:val="16"/>
        </w:rPr>
        <w:t xml:space="preserve">Visaugstākais profesijas atbilstības līmenis augstākajā izglītībā, ņemot vērā absolvēto izglītības tematisko jomu, vērojams </w:t>
      </w:r>
      <w:r>
        <w:rPr>
          <w:rFonts w:ascii="Segoe UI Light" w:hAnsi="Segoe UI Light"/>
          <w:sz w:val="16"/>
          <w:szCs w:val="16"/>
        </w:rPr>
        <w:t>veselības aprūpē un sociālajā labklājībā</w:t>
      </w:r>
      <w:r w:rsidRPr="002A564D">
        <w:rPr>
          <w:rFonts w:ascii="Segoe UI Light" w:hAnsi="Segoe UI Light"/>
          <w:sz w:val="16"/>
          <w:szCs w:val="16"/>
        </w:rPr>
        <w:t xml:space="preserve"> (</w:t>
      </w:r>
      <w:r>
        <w:rPr>
          <w:rFonts w:ascii="Segoe UI Light" w:hAnsi="Segoe UI Light"/>
          <w:sz w:val="16"/>
          <w:szCs w:val="16"/>
        </w:rPr>
        <w:t>83</w:t>
      </w:r>
      <w:r w:rsidRPr="002A564D">
        <w:rPr>
          <w:rFonts w:ascii="Segoe UI Light" w:hAnsi="Segoe UI Light"/>
          <w:sz w:val="16"/>
          <w:szCs w:val="16"/>
        </w:rPr>
        <w:t xml:space="preserve">%) un </w:t>
      </w:r>
      <w:r>
        <w:rPr>
          <w:rFonts w:ascii="Segoe UI Light" w:hAnsi="Segoe UI Light"/>
          <w:sz w:val="16"/>
          <w:szCs w:val="16"/>
        </w:rPr>
        <w:t>izglītībā</w:t>
      </w:r>
      <w:r w:rsidRPr="002A564D">
        <w:rPr>
          <w:rFonts w:ascii="Segoe UI Light" w:hAnsi="Segoe UI Light"/>
          <w:sz w:val="16"/>
          <w:szCs w:val="16"/>
        </w:rPr>
        <w:t xml:space="preserve"> (</w:t>
      </w:r>
      <w:r>
        <w:rPr>
          <w:rFonts w:ascii="Segoe UI Light" w:hAnsi="Segoe UI Light"/>
          <w:sz w:val="16"/>
          <w:szCs w:val="16"/>
        </w:rPr>
        <w:t>80</w:t>
      </w:r>
      <w:r w:rsidRPr="002A564D">
        <w:rPr>
          <w:rFonts w:ascii="Segoe UI Light" w:hAnsi="Segoe UI Light"/>
          <w:sz w:val="16"/>
          <w:szCs w:val="16"/>
        </w:rPr>
        <w:t xml:space="preserve">%). Zemāka profesijas atbilstība ir vērojama </w:t>
      </w:r>
      <w:r>
        <w:rPr>
          <w:rFonts w:ascii="Segoe UI Light" w:hAnsi="Segoe UI Light"/>
          <w:sz w:val="16"/>
          <w:szCs w:val="16"/>
        </w:rPr>
        <w:t>lauksaimniecībā un humanitārajās zinātnēs un mākslā</w:t>
      </w:r>
      <w:r w:rsidRPr="002A564D">
        <w:rPr>
          <w:rFonts w:ascii="Segoe UI Light" w:hAnsi="Segoe UI Light"/>
          <w:sz w:val="16"/>
          <w:szCs w:val="16"/>
        </w:rPr>
        <w:t>, kas galvenokārt saistīts ar to, ka šīs izglītības tematiskās jomas absolventi darbojas arī daudzās citās profesijās, kas atbilstoši profesiju klasifikatoram pēc pamatuzdevumiem un kvalifikācijas pamatprasībām netiek vērtētas kā atbilstošas.</w:t>
      </w:r>
    </w:p>
    <w:p w14:paraId="5C46ECFB" w14:textId="77777777" w:rsidR="00BA1794" w:rsidRPr="003B4CDA" w:rsidRDefault="00BA1794" w:rsidP="00BA1794">
      <w:pPr>
        <w:spacing w:after="120"/>
        <w:jc w:val="both"/>
      </w:pPr>
      <w:r>
        <w:lastRenderedPageBreak/>
        <w:t>Vienlaikus jāatzīmē, ka būtiskas strukturālas neatbilstības ir vērojamas arī profesiju grupu ietvaros. Visizteiktākā prasmju līmeņa nepietiekamība ir vērojama augstākās kvalifikācijas profesijās, kur tikai gandrīz 3/4 no nodarbinātajiem 2022. gadā bija augstākā izglītība. Daļēji tas skaidrojams ar to, ka augstas kvalifikācijas profesijas grupā ir iekļauti visa veida iestāžu un to apakšvienību vadītāji, kā arī cita veida uzņēmumu un organizāciju amati, kur nodarbinātība bieži vien nav tiešā veidā saistīta ar iegūto izglītību/kvalifikāciju, bet drīzāk ar līdzdalību/īpašumtiesībām konkrētajā uzņēmumā vai organizācijā.</w:t>
      </w:r>
    </w:p>
    <w:p w14:paraId="3AED6225" w14:textId="5FD1470C" w:rsidR="00217926" w:rsidRDefault="00217926">
      <w:pPr>
        <w:spacing w:after="0"/>
        <w:rPr>
          <w:rFonts w:ascii="Segoe UI Light" w:hAnsi="Segoe UI Light"/>
          <w:b/>
          <w:sz w:val="16"/>
          <w:szCs w:val="16"/>
        </w:rPr>
      </w:pPr>
    </w:p>
    <w:p w14:paraId="1E1441F4" w14:textId="5D630616" w:rsidR="00384FC8" w:rsidRPr="007F71A5" w:rsidRDefault="00384FC8" w:rsidP="005A5BFE">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right"/>
        <w:rPr>
          <w:rFonts w:ascii="Segoe UI Light" w:hAnsi="Segoe UI Light"/>
          <w:b/>
          <w:sz w:val="16"/>
          <w:szCs w:val="16"/>
        </w:rPr>
      </w:pPr>
      <w:r w:rsidRPr="007F71A5">
        <w:rPr>
          <w:rFonts w:ascii="Segoe UI Light" w:hAnsi="Segoe UI Light"/>
          <w:b/>
          <w:sz w:val="16"/>
          <w:szCs w:val="16"/>
        </w:rPr>
        <w:t>Eiropas Prasmju indekss 202</w:t>
      </w:r>
      <w:r>
        <w:rPr>
          <w:rFonts w:ascii="Segoe UI Light" w:hAnsi="Segoe UI Light"/>
          <w:b/>
          <w:sz w:val="16"/>
          <w:szCs w:val="16"/>
        </w:rPr>
        <w:t>4</w:t>
      </w:r>
      <w:r w:rsidRPr="007F71A5">
        <w:rPr>
          <w:rFonts w:ascii="Segoe UI Light" w:hAnsi="Segoe UI Light"/>
          <w:b/>
          <w:sz w:val="16"/>
          <w:szCs w:val="16"/>
        </w:rPr>
        <w:t xml:space="preserve"> – prasmju atbilstība</w:t>
      </w:r>
    </w:p>
    <w:p w14:paraId="0A32DE6C" w14:textId="68052EF2" w:rsidR="00384FC8" w:rsidRPr="006C2D66" w:rsidRDefault="00384FC8" w:rsidP="005A5BFE">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6C2D66">
        <w:rPr>
          <w:rFonts w:ascii="Segoe UI Light" w:hAnsi="Segoe UI Light"/>
          <w:bCs/>
          <w:sz w:val="16"/>
          <w:szCs w:val="18"/>
        </w:rPr>
        <w:t xml:space="preserve">Saskaņā ar Eiropas prasmju indeksa prasmju atbilstības pīlāru starp ES valstīm joprojām pastāv lielas atšķirības prasmju neatbilstības ziņā. Saskaņā ar indeksu, vismazākās neatbilstības ir vērojamas tādās valstīs kā Čehija, </w:t>
      </w:r>
      <w:r>
        <w:rPr>
          <w:rFonts w:ascii="Segoe UI Light" w:hAnsi="Segoe UI Light"/>
          <w:bCs/>
          <w:sz w:val="16"/>
          <w:szCs w:val="18"/>
        </w:rPr>
        <w:t>Zviedrija</w:t>
      </w:r>
      <w:r w:rsidRPr="006C2D66">
        <w:rPr>
          <w:rFonts w:ascii="Segoe UI Light" w:hAnsi="Segoe UI Light"/>
          <w:bCs/>
          <w:sz w:val="16"/>
          <w:szCs w:val="18"/>
        </w:rPr>
        <w:t xml:space="preserve"> un </w:t>
      </w:r>
      <w:r>
        <w:rPr>
          <w:rFonts w:ascii="Segoe UI Light" w:hAnsi="Segoe UI Light"/>
          <w:bCs/>
          <w:sz w:val="16"/>
          <w:szCs w:val="18"/>
        </w:rPr>
        <w:t>Dānija</w:t>
      </w:r>
      <w:r w:rsidRPr="006C2D66">
        <w:rPr>
          <w:rFonts w:ascii="Segoe UI Light" w:hAnsi="Segoe UI Light"/>
          <w:bCs/>
          <w:sz w:val="16"/>
          <w:szCs w:val="18"/>
        </w:rPr>
        <w:t xml:space="preserve">, kas ir vistuvāk ideālajam izpildījumam, savukārt izteiktākas disproporcijas ir Spānijā, </w:t>
      </w:r>
      <w:r>
        <w:rPr>
          <w:rFonts w:ascii="Segoe UI Light" w:hAnsi="Segoe UI Light"/>
          <w:bCs/>
          <w:sz w:val="16"/>
          <w:szCs w:val="18"/>
        </w:rPr>
        <w:t>Itālijā</w:t>
      </w:r>
      <w:r w:rsidRPr="006C2D66">
        <w:rPr>
          <w:rFonts w:ascii="Segoe UI Light" w:hAnsi="Segoe UI Light"/>
          <w:bCs/>
          <w:sz w:val="16"/>
          <w:szCs w:val="18"/>
        </w:rPr>
        <w:t xml:space="preserve"> un </w:t>
      </w:r>
      <w:r>
        <w:rPr>
          <w:rFonts w:ascii="Segoe UI Light" w:hAnsi="Segoe UI Light"/>
          <w:bCs/>
          <w:sz w:val="16"/>
          <w:szCs w:val="18"/>
        </w:rPr>
        <w:t>Grieķijā</w:t>
      </w:r>
      <w:r w:rsidRPr="006C2D66">
        <w:rPr>
          <w:rFonts w:ascii="Segoe UI Light" w:hAnsi="Segoe UI Light"/>
          <w:bCs/>
          <w:sz w:val="16"/>
          <w:szCs w:val="18"/>
        </w:rPr>
        <w:t xml:space="preserve">. Latvija kopumā prasmju atbilstības ziņā atrodas </w:t>
      </w:r>
      <w:r>
        <w:rPr>
          <w:rFonts w:ascii="Segoe UI Light" w:hAnsi="Segoe UI Light"/>
          <w:bCs/>
          <w:sz w:val="16"/>
          <w:szCs w:val="18"/>
        </w:rPr>
        <w:t>virs</w:t>
      </w:r>
      <w:r w:rsidRPr="006C2D66">
        <w:rPr>
          <w:rFonts w:ascii="Segoe UI Light" w:hAnsi="Segoe UI Light"/>
          <w:bCs/>
          <w:sz w:val="16"/>
          <w:szCs w:val="18"/>
        </w:rPr>
        <w:t xml:space="preserve"> vidējā rādītāja (5</w:t>
      </w:r>
      <w:r>
        <w:rPr>
          <w:rFonts w:ascii="Segoe UI Light" w:hAnsi="Segoe UI Light"/>
          <w:bCs/>
          <w:sz w:val="16"/>
          <w:szCs w:val="18"/>
        </w:rPr>
        <w:t>9</w:t>
      </w:r>
      <w:r w:rsidR="0080669C">
        <w:rPr>
          <w:rFonts w:ascii="Segoe UI Light" w:hAnsi="Segoe UI Light"/>
          <w:bCs/>
          <w:sz w:val="16"/>
          <w:szCs w:val="18"/>
        </w:rPr>
        <w:t>%</w:t>
      </w:r>
      <w:r w:rsidRPr="006C2D66">
        <w:rPr>
          <w:rFonts w:ascii="Segoe UI Light" w:hAnsi="Segoe UI Light"/>
          <w:bCs/>
          <w:sz w:val="16"/>
          <w:szCs w:val="18"/>
        </w:rPr>
        <w:t>, 1</w:t>
      </w:r>
      <w:r>
        <w:rPr>
          <w:rFonts w:ascii="Segoe UI Light" w:hAnsi="Segoe UI Light"/>
          <w:bCs/>
          <w:sz w:val="16"/>
          <w:szCs w:val="18"/>
        </w:rPr>
        <w:t>7</w:t>
      </w:r>
      <w:r w:rsidRPr="006C2D66">
        <w:rPr>
          <w:rFonts w:ascii="Segoe UI Light" w:hAnsi="Segoe UI Light"/>
          <w:bCs/>
          <w:sz w:val="16"/>
          <w:szCs w:val="18"/>
        </w:rPr>
        <w:t xml:space="preserve">.vieta no ES27 valstīm), uzreiz zem </w:t>
      </w:r>
      <w:r>
        <w:rPr>
          <w:rFonts w:ascii="Segoe UI Light" w:hAnsi="Segoe UI Light"/>
          <w:bCs/>
          <w:sz w:val="16"/>
          <w:szCs w:val="18"/>
        </w:rPr>
        <w:t>Vācijas</w:t>
      </w:r>
      <w:r w:rsidRPr="006C2D66">
        <w:rPr>
          <w:rFonts w:ascii="Segoe UI Light" w:hAnsi="Segoe UI Light"/>
          <w:bCs/>
          <w:sz w:val="16"/>
          <w:szCs w:val="18"/>
        </w:rPr>
        <w:t xml:space="preserve"> (</w:t>
      </w:r>
      <w:r>
        <w:rPr>
          <w:rFonts w:ascii="Segoe UI Light" w:hAnsi="Segoe UI Light"/>
          <w:bCs/>
          <w:sz w:val="16"/>
          <w:szCs w:val="18"/>
        </w:rPr>
        <w:t>60</w:t>
      </w:r>
      <w:r w:rsidR="0080669C">
        <w:rPr>
          <w:rFonts w:ascii="Segoe UI Light" w:hAnsi="Segoe UI Light"/>
          <w:bCs/>
          <w:sz w:val="16"/>
          <w:szCs w:val="18"/>
        </w:rPr>
        <w:t>%</w:t>
      </w:r>
      <w:r w:rsidRPr="006C2D66">
        <w:rPr>
          <w:rFonts w:ascii="Segoe UI Light" w:hAnsi="Segoe UI Light"/>
          <w:bCs/>
          <w:sz w:val="16"/>
          <w:szCs w:val="18"/>
        </w:rPr>
        <w:t>), kā arī atpaliekot no Igaunijas (6</w:t>
      </w:r>
      <w:r>
        <w:rPr>
          <w:rFonts w:ascii="Segoe UI Light" w:hAnsi="Segoe UI Light"/>
          <w:bCs/>
          <w:sz w:val="16"/>
          <w:szCs w:val="18"/>
        </w:rPr>
        <w:t>5</w:t>
      </w:r>
      <w:r w:rsidR="0080669C">
        <w:rPr>
          <w:rFonts w:ascii="Segoe UI Light" w:hAnsi="Segoe UI Light"/>
          <w:bCs/>
          <w:sz w:val="16"/>
          <w:szCs w:val="18"/>
        </w:rPr>
        <w:t>%</w:t>
      </w:r>
      <w:r w:rsidRPr="006C2D66">
        <w:rPr>
          <w:rFonts w:ascii="Segoe UI Light" w:hAnsi="Segoe UI Light"/>
          <w:bCs/>
          <w:sz w:val="16"/>
          <w:szCs w:val="18"/>
        </w:rPr>
        <w:t xml:space="preserve">). Tomēr jāatzīmē, ka Latvija apsteidz arī tādas augsti attīstītas valstis kā </w:t>
      </w:r>
      <w:r>
        <w:rPr>
          <w:rFonts w:ascii="Segoe UI Light" w:hAnsi="Segoe UI Light"/>
          <w:bCs/>
          <w:sz w:val="16"/>
          <w:szCs w:val="18"/>
        </w:rPr>
        <w:t>Beļģiju</w:t>
      </w:r>
      <w:r w:rsidRPr="006C2D66">
        <w:rPr>
          <w:rFonts w:ascii="Segoe UI Light" w:hAnsi="Segoe UI Light"/>
          <w:bCs/>
          <w:sz w:val="16"/>
          <w:szCs w:val="18"/>
        </w:rPr>
        <w:t>, Franciju un Īriju, kuras prasmju attīstības un aktivizācijas ziņā ir soli priekšā Latvijai.</w:t>
      </w:r>
    </w:p>
    <w:p w14:paraId="2A332EF1" w14:textId="77777777" w:rsidR="005F2B6A" w:rsidRDefault="005F2B6A" w:rsidP="005A5BFE">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p>
    <w:p w14:paraId="50060109" w14:textId="6B8D02B3" w:rsidR="005751CA" w:rsidRPr="005751CA" w:rsidRDefault="005751CA" w:rsidP="005751C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bCs/>
          <w:sz w:val="16"/>
          <w:szCs w:val="18"/>
        </w:rPr>
      </w:pPr>
      <w:r w:rsidRPr="005751CA">
        <w:rPr>
          <w:rFonts w:ascii="Segoe UI Light" w:hAnsi="Segoe UI Light"/>
          <w:b/>
          <w:sz w:val="16"/>
          <w:szCs w:val="18"/>
        </w:rPr>
        <w:t>Eiropas prasmju indekss 2024.gads – prasmju atbilstība*</w:t>
      </w:r>
      <w:r w:rsidRPr="005751CA">
        <w:rPr>
          <w:rFonts w:ascii="Segoe UI Light" w:hAnsi="Segoe UI Light"/>
          <w:b/>
          <w:sz w:val="16"/>
          <w:szCs w:val="18"/>
        </w:rPr>
        <w:br/>
      </w:r>
      <w:r w:rsidRPr="005751CA">
        <w:rPr>
          <w:rFonts w:ascii="Segoe UI Light" w:hAnsi="Segoe UI Light"/>
          <w:bCs/>
          <w:sz w:val="16"/>
          <w:szCs w:val="18"/>
        </w:rPr>
        <w:t xml:space="preserve">2024.gads, ideālais indikatora vērtējums </w:t>
      </w:r>
      <w:r w:rsidR="00E0673F">
        <w:rPr>
          <w:rFonts w:ascii="Segoe UI Light" w:hAnsi="Segoe UI Light"/>
          <w:bCs/>
          <w:sz w:val="16"/>
          <w:szCs w:val="18"/>
        </w:rPr>
        <w:t xml:space="preserve">– </w:t>
      </w:r>
      <w:r w:rsidRPr="005751CA">
        <w:rPr>
          <w:rFonts w:ascii="Segoe UI Light" w:hAnsi="Segoe UI Light"/>
          <w:bCs/>
          <w:sz w:val="16"/>
          <w:szCs w:val="18"/>
        </w:rPr>
        <w:t>100, augstāks vērtējums norāda uz labāku sniegumu</w:t>
      </w:r>
    </w:p>
    <w:p w14:paraId="5C8B9239" w14:textId="77777777" w:rsidR="00384FC8" w:rsidRPr="006C2D66" w:rsidRDefault="00384FC8" w:rsidP="005A5BFE">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bCs/>
          <w:sz w:val="16"/>
          <w:szCs w:val="16"/>
        </w:rPr>
      </w:pPr>
      <w:r w:rsidRPr="006C2D66">
        <w:rPr>
          <w:rFonts w:asciiTheme="minorHAnsi" w:eastAsiaTheme="minorEastAsia" w:hAnsiTheme="minorHAnsi" w:cstheme="minorBidi"/>
          <w:noProof/>
          <w:sz w:val="21"/>
          <w:szCs w:val="21"/>
          <w:lang w:eastAsia="lv-LV"/>
        </w:rPr>
        <w:drawing>
          <wp:inline distT="0" distB="0" distL="0" distR="0" wp14:anchorId="4C61FD13" wp14:editId="280E4147">
            <wp:extent cx="5580000" cy="21600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1758F5D" w14:textId="77777777" w:rsidR="00384FC8" w:rsidRPr="005A5BFE" w:rsidRDefault="00384FC8" w:rsidP="005A5BFE">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4"/>
          <w:szCs w:val="16"/>
        </w:rPr>
      </w:pPr>
      <w:r w:rsidRPr="005A5BFE">
        <w:rPr>
          <w:rFonts w:ascii="Segoe UI Light" w:hAnsi="Segoe UI Light"/>
          <w:sz w:val="14"/>
          <w:szCs w:val="16"/>
        </w:rPr>
        <w:t xml:space="preserve">Avots: </w:t>
      </w:r>
      <w:proofErr w:type="spellStart"/>
      <w:r w:rsidRPr="005A5BFE">
        <w:rPr>
          <w:rFonts w:ascii="Segoe UI Light" w:hAnsi="Segoe UI Light"/>
          <w:sz w:val="14"/>
          <w:szCs w:val="16"/>
        </w:rPr>
        <w:t>Cedefop</w:t>
      </w:r>
      <w:proofErr w:type="spellEnd"/>
    </w:p>
    <w:p w14:paraId="4609C9E3" w14:textId="77777777" w:rsidR="00384FC8" w:rsidRDefault="00384FC8" w:rsidP="005A5BFE">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0"/>
        <w:jc w:val="both"/>
        <w:rPr>
          <w:rFonts w:ascii="Segoe UI Light" w:hAnsi="Segoe UI Light"/>
          <w:b/>
          <w:i/>
          <w:iCs/>
          <w:spacing w:val="-2"/>
          <w:sz w:val="16"/>
          <w:szCs w:val="16"/>
        </w:rPr>
      </w:pPr>
    </w:p>
    <w:p w14:paraId="0092E0E9" w14:textId="2983A1D7" w:rsidR="00384FC8" w:rsidRDefault="00384FC8" w:rsidP="005A5BFE">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i/>
          <w:iCs/>
          <w:sz w:val="16"/>
          <w:szCs w:val="16"/>
        </w:rPr>
      </w:pPr>
      <w:r w:rsidRPr="006C2D66">
        <w:rPr>
          <w:rFonts w:ascii="Segoe UI Light" w:hAnsi="Segoe UI Light"/>
          <w:b/>
          <w:i/>
          <w:iCs/>
          <w:spacing w:val="-2"/>
          <w:sz w:val="16"/>
          <w:szCs w:val="16"/>
        </w:rPr>
        <w:t>* Eiropas Prasmju indekss (</w:t>
      </w:r>
      <w:proofErr w:type="spellStart"/>
      <w:r w:rsidRPr="006C2D66">
        <w:rPr>
          <w:rFonts w:ascii="Segoe UI Light" w:hAnsi="Segoe UI Light"/>
          <w:b/>
          <w:i/>
          <w:iCs/>
          <w:spacing w:val="-2"/>
          <w:sz w:val="16"/>
          <w:szCs w:val="16"/>
        </w:rPr>
        <w:t>European</w:t>
      </w:r>
      <w:proofErr w:type="spellEnd"/>
      <w:r w:rsidRPr="006C2D66">
        <w:rPr>
          <w:rFonts w:ascii="Segoe UI Light" w:hAnsi="Segoe UI Light"/>
          <w:b/>
          <w:i/>
          <w:iCs/>
          <w:spacing w:val="-2"/>
          <w:sz w:val="16"/>
          <w:szCs w:val="16"/>
        </w:rPr>
        <w:t xml:space="preserve"> </w:t>
      </w:r>
      <w:proofErr w:type="spellStart"/>
      <w:r w:rsidRPr="006C2D66">
        <w:rPr>
          <w:rFonts w:ascii="Segoe UI Light" w:hAnsi="Segoe UI Light"/>
          <w:b/>
          <w:i/>
          <w:iCs/>
          <w:spacing w:val="-2"/>
          <w:sz w:val="16"/>
          <w:szCs w:val="16"/>
        </w:rPr>
        <w:t>Skills</w:t>
      </w:r>
      <w:proofErr w:type="spellEnd"/>
      <w:r w:rsidRPr="006C2D66">
        <w:rPr>
          <w:rFonts w:ascii="Segoe UI Light" w:hAnsi="Segoe UI Light"/>
          <w:b/>
          <w:i/>
          <w:iCs/>
          <w:spacing w:val="-2"/>
          <w:sz w:val="16"/>
          <w:szCs w:val="16"/>
        </w:rPr>
        <w:t xml:space="preserve"> </w:t>
      </w:r>
      <w:proofErr w:type="spellStart"/>
      <w:r w:rsidRPr="006C2D66">
        <w:rPr>
          <w:rFonts w:ascii="Segoe UI Light" w:hAnsi="Segoe UI Light"/>
          <w:b/>
          <w:i/>
          <w:iCs/>
          <w:spacing w:val="-2"/>
          <w:sz w:val="16"/>
          <w:szCs w:val="16"/>
        </w:rPr>
        <w:t>Index</w:t>
      </w:r>
      <w:proofErr w:type="spellEnd"/>
      <w:r w:rsidRPr="006C2D66">
        <w:rPr>
          <w:rFonts w:ascii="Segoe UI Light" w:hAnsi="Segoe UI Light"/>
          <w:b/>
          <w:i/>
          <w:iCs/>
          <w:spacing w:val="-2"/>
          <w:sz w:val="16"/>
          <w:szCs w:val="16"/>
        </w:rPr>
        <w:t>) mēra ES prasmju sistēmas sniegumu</w:t>
      </w:r>
      <w:r w:rsidRPr="006C2D66">
        <w:rPr>
          <w:rFonts w:ascii="Segoe UI Light" w:hAnsi="Segoe UI Light"/>
          <w:bCs/>
          <w:i/>
          <w:iCs/>
          <w:spacing w:val="-2"/>
          <w:sz w:val="16"/>
          <w:szCs w:val="16"/>
        </w:rPr>
        <w:t xml:space="preserve"> – attālumu līdz ideālam sniegumam (100 punkti), kas ir augstākais sasniegtais pēdējo 7</w:t>
      </w:r>
      <w:r w:rsidR="00E32F49">
        <w:rPr>
          <w:rFonts w:ascii="Segoe UI Light" w:hAnsi="Segoe UI Light"/>
          <w:bCs/>
          <w:i/>
          <w:iCs/>
          <w:spacing w:val="-2"/>
          <w:sz w:val="16"/>
          <w:szCs w:val="16"/>
        </w:rPr>
        <w:t xml:space="preserve"> </w:t>
      </w:r>
      <w:r w:rsidR="0080669C">
        <w:rPr>
          <w:rFonts w:ascii="Segoe UI Light" w:hAnsi="Segoe UI Light"/>
          <w:bCs/>
          <w:i/>
          <w:iCs/>
          <w:spacing w:val="-2"/>
          <w:sz w:val="16"/>
          <w:szCs w:val="16"/>
        </w:rPr>
        <w:t>gad</w:t>
      </w:r>
      <w:r w:rsidRPr="006C2D66">
        <w:rPr>
          <w:rFonts w:ascii="Segoe UI Light" w:hAnsi="Segoe UI Light"/>
          <w:bCs/>
          <w:i/>
          <w:iCs/>
          <w:spacing w:val="-2"/>
          <w:sz w:val="16"/>
          <w:szCs w:val="16"/>
        </w:rPr>
        <w:t xml:space="preserve">u laikā. </w:t>
      </w:r>
      <w:r w:rsidRPr="006C2D66">
        <w:rPr>
          <w:rFonts w:ascii="Segoe UI Light" w:hAnsi="Segoe UI Light"/>
          <w:b/>
          <w:i/>
          <w:iCs/>
          <w:spacing w:val="-2"/>
          <w:sz w:val="16"/>
          <w:szCs w:val="16"/>
        </w:rPr>
        <w:t>Prasmju atbilstības pīlāru</w:t>
      </w:r>
      <w:r w:rsidRPr="006C2D66">
        <w:rPr>
          <w:rFonts w:ascii="Segoe UI Light" w:hAnsi="Segoe UI Light"/>
          <w:bCs/>
          <w:i/>
          <w:iCs/>
          <w:spacing w:val="-2"/>
          <w:sz w:val="16"/>
          <w:szCs w:val="16"/>
        </w:rPr>
        <w:t xml:space="preserve"> veido 3 rādītāji, kuru mērķis ir izmērīt dažādos prasmju izmantošanas </w:t>
      </w:r>
      <w:r w:rsidRPr="006C2D66">
        <w:rPr>
          <w:rFonts w:ascii="Segoe UI Light" w:hAnsi="Segoe UI Light"/>
          <w:bCs/>
          <w:i/>
          <w:iCs/>
          <w:sz w:val="16"/>
          <w:szCs w:val="16"/>
        </w:rPr>
        <w:t>līmeņus (darbaspēka piedāvājums ar augstāku vai zemāku prasmju līmeni nekā nepieciešams darba tirgū): augstākās izglītības neatbilstības (cilvēki ar augstāko izglītību, kas strādā darbā, kurā nav nepieciešama attiecīgā izglītība), zemo algu saņēmēji (cilvēki ar augstāko izglītību, kas saņem zemu algu) un kvalifikācijas neatbilstības (līmenis, kurš norāda, cik lielā mērā nodarbinātā iegūtās izglītības līmenis atbilst katrai profesijai katrā nozarē)</w:t>
      </w:r>
    </w:p>
    <w:p w14:paraId="23B9CD6E" w14:textId="77777777" w:rsidR="00384FC8" w:rsidRPr="006C2D66" w:rsidRDefault="00384FC8" w:rsidP="005A5BFE">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6C2D66">
        <w:rPr>
          <w:rFonts w:ascii="Segoe UI Light" w:hAnsi="Segoe UI Light"/>
          <w:sz w:val="16"/>
        </w:rPr>
        <w:t>Indivīdiem prasmju neatbilstība rada negatīvu ietekmi uz apmierinātību ar darbu un algām, piemēram, augstākas kvalifikācijas speciālists, strādājot zemāka līmeņa darbos, saņems savām prasmēm neatbilstošu atalgojumu, tikmēr darbiniekiem ar profesijai nepietiekamām prasmēm, var rasties problēmas veikt savus tiešos darba pienākumus.</w:t>
      </w:r>
      <w:r w:rsidRPr="006C2D66">
        <w:rPr>
          <w:rFonts w:ascii="Segoe UI Light" w:hAnsi="Segoe UI Light"/>
          <w:bCs/>
          <w:sz w:val="16"/>
          <w:szCs w:val="18"/>
        </w:rPr>
        <w:t xml:space="preserve"> Firmām, tā samazina produktivitāti, kamēr prasmju iztrūkums palielina darbā pieņemšanas izmaksas un kavē jaunu tehnoloģiju apgūšanu. Makroekonomikas līmenī, neatbilstības palielina bezdarbu un samazina IKP pieaugumu caur neatbilstošu </w:t>
      </w:r>
      <w:proofErr w:type="spellStart"/>
      <w:r w:rsidRPr="006C2D66">
        <w:rPr>
          <w:rFonts w:ascii="Segoe UI Light" w:hAnsi="Segoe UI Light"/>
          <w:bCs/>
          <w:sz w:val="16"/>
          <w:szCs w:val="18"/>
        </w:rPr>
        <w:t>cilvēkkapitāla</w:t>
      </w:r>
      <w:proofErr w:type="spellEnd"/>
      <w:r w:rsidRPr="006C2D66">
        <w:rPr>
          <w:rFonts w:ascii="Segoe UI Light" w:hAnsi="Segoe UI Light"/>
          <w:bCs/>
          <w:sz w:val="16"/>
          <w:szCs w:val="18"/>
        </w:rPr>
        <w:t xml:space="preserve"> sadali un/vai produktivitātes sarukumu, ko tas rada, kamēr prasmju iztrūkums rada negatīvu ietekmi uz darbaspēka produktivitāti.</w:t>
      </w:r>
    </w:p>
    <w:p w14:paraId="2A0AAD02" w14:textId="77777777" w:rsidR="00384FC8" w:rsidRPr="006C2D66" w:rsidRDefault="00384FC8" w:rsidP="005A5BFE">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6C2D66">
        <w:rPr>
          <w:rFonts w:ascii="Segoe UI Light" w:hAnsi="Segoe UI Light"/>
          <w:bCs/>
          <w:sz w:val="16"/>
          <w:szCs w:val="18"/>
        </w:rPr>
        <w:t>Lai mazināta prasmju piedāvājuma un pieprasījuma neatbilstības svarīgi ir nodrošināt kvalitatīvas izglītības un apmācību programmas, kurās iespējams gan paaugstināt savas prasmes, gan pārkvalificēties. Tiek uzsvērta arī darba vidē balstītu (DVB) mācību nozīmība. Prasmju iztrūkuma mazināšanā var palīdzēt arī efektīga imigrācijas politikas īstenošana. Savukārt nepietiekamu kvalifikāciju var mazināt, samazinot zemu kvalificētu darbinieku īpatsvaru, novēršot priekšlaicīgu skolas pamešanu un nodrošinot kvalifikācijas celšanas iespējas. Līdz ar tehnoloģisko progresu, svarīgi ir arī jaunu darba vietu radīšana un darba devēju un izglītības sistēmas sadarbība atbilstošu prasmju nodrošināšanai. Lai palīdzētu darbiniekiem karjeras laikā pielāgot un atjaunināt savas prasmes, būtiski būs attīstīt modernu mūžizglītības sistēmu. Tāpat svarīga būs arī kvalitatīva prasmju novērtēšana un darba tirgus apsteidzošo pārkārtojumu sistēmas izveide.</w:t>
      </w:r>
    </w:p>
    <w:bookmarkEnd w:id="44"/>
    <w:p w14:paraId="62FC635B" w14:textId="077C73AD" w:rsidR="00097A08" w:rsidRPr="005F5363" w:rsidRDefault="00097A08" w:rsidP="005F5363">
      <w:pPr>
        <w:spacing w:after="120"/>
        <w:jc w:val="both"/>
        <w:rPr>
          <w:szCs w:val="26"/>
        </w:rPr>
      </w:pPr>
    </w:p>
    <w:p w14:paraId="46FDE2B8" w14:textId="77777777" w:rsidR="005F5363" w:rsidRPr="003B4CDA" w:rsidRDefault="005F5363" w:rsidP="005F5363">
      <w:pPr>
        <w:spacing w:after="120"/>
        <w:jc w:val="both"/>
        <w:rPr>
          <w:szCs w:val="26"/>
        </w:rPr>
      </w:pPr>
      <w:r w:rsidRPr="003B4CDA">
        <w:rPr>
          <w:szCs w:val="26"/>
        </w:rPr>
        <w:t>Vienlaikus visizteiktākais prasmju pārpalikums ir vērojams zemākās kvalifikācija</w:t>
      </w:r>
      <w:r>
        <w:rPr>
          <w:szCs w:val="26"/>
        </w:rPr>
        <w:t>s</w:t>
      </w:r>
      <w:r w:rsidRPr="003B4CDA">
        <w:rPr>
          <w:szCs w:val="26"/>
        </w:rPr>
        <w:t xml:space="preserve">/vienkāršās profesijās, kur </w:t>
      </w:r>
      <w:r>
        <w:rPr>
          <w:szCs w:val="26"/>
        </w:rPr>
        <w:t xml:space="preserve">gandrīz 3/4 </w:t>
      </w:r>
      <w:r w:rsidRPr="003B4CDA">
        <w:rPr>
          <w:szCs w:val="26"/>
        </w:rPr>
        <w:t>no visiem nodarbinātajiem iegūtais izglītības līmenis ir augstāks nekā būtu nepieciešams darba pienākumu veikšanai.</w:t>
      </w:r>
    </w:p>
    <w:p w14:paraId="6EF01EB3" w14:textId="77777777" w:rsidR="005F5363" w:rsidRDefault="005F5363">
      <w:pPr>
        <w:spacing w:after="0"/>
        <w:rPr>
          <w:szCs w:val="26"/>
        </w:rPr>
      </w:pPr>
      <w:r>
        <w:rPr>
          <w:szCs w:val="26"/>
        </w:rPr>
        <w:br w:type="page"/>
      </w:r>
    </w:p>
    <w:p w14:paraId="14EF7813" w14:textId="276BD5A7" w:rsidR="005F5363" w:rsidRPr="003B4CDA" w:rsidRDefault="005F5363" w:rsidP="005F5363">
      <w:pPr>
        <w:spacing w:after="120"/>
        <w:jc w:val="right"/>
        <w:rPr>
          <w:szCs w:val="26"/>
        </w:rPr>
      </w:pPr>
      <w:r w:rsidRPr="003B4CDA">
        <w:rPr>
          <w:szCs w:val="26"/>
        </w:rPr>
        <w:lastRenderedPageBreak/>
        <w:t>2.1</w:t>
      </w:r>
      <w:r>
        <w:rPr>
          <w:szCs w:val="26"/>
        </w:rPr>
        <w:t>6</w:t>
      </w:r>
      <w:r w:rsidRPr="003B4CDA">
        <w:rPr>
          <w:szCs w:val="26"/>
        </w:rPr>
        <w:t>. attēls</w:t>
      </w:r>
    </w:p>
    <w:p w14:paraId="41DE3277" w14:textId="77777777" w:rsidR="005F5363" w:rsidRPr="003B4CDA" w:rsidRDefault="005F5363" w:rsidP="005F5363">
      <w:pPr>
        <w:spacing w:after="120"/>
        <w:jc w:val="center"/>
        <w:rPr>
          <w:rFonts w:ascii="Segoe UI Light" w:hAnsi="Segoe UI Light"/>
          <w:bCs/>
          <w:i/>
          <w:sz w:val="16"/>
        </w:rPr>
      </w:pPr>
      <w:r w:rsidRPr="0033411C">
        <w:rPr>
          <w:rFonts w:ascii="Segoe UI Light" w:hAnsi="Segoe UI Light"/>
          <w:b/>
          <w:bCs/>
          <w:sz w:val="18"/>
          <w:szCs w:val="26"/>
        </w:rPr>
        <w:t>Nodarbināto struktūra pa izglītības līmeņiem pēc profesiju kvalifikācijas pakāpes</w:t>
      </w:r>
      <w:r w:rsidRPr="003B4CDA">
        <w:rPr>
          <w:rFonts w:ascii="Segoe UI Light" w:hAnsi="Segoe UI Light"/>
          <w:b/>
          <w:bCs/>
          <w:sz w:val="18"/>
          <w:szCs w:val="26"/>
        </w:rPr>
        <w:br/>
      </w:r>
      <w:r w:rsidRPr="00CE060B">
        <w:rPr>
          <w:rFonts w:ascii="Segoe UI Light" w:hAnsi="Segoe UI Light"/>
          <w:bCs/>
          <w:i/>
          <w:sz w:val="16"/>
        </w:rPr>
        <w:t>202</w:t>
      </w:r>
      <w:r>
        <w:rPr>
          <w:rFonts w:ascii="Segoe UI Light" w:hAnsi="Segoe UI Light"/>
          <w:bCs/>
          <w:i/>
          <w:sz w:val="16"/>
        </w:rPr>
        <w:t>3</w:t>
      </w:r>
      <w:r w:rsidRPr="00CE060B">
        <w:rPr>
          <w:rFonts w:ascii="Segoe UI Light" w:hAnsi="Segoe UI Light"/>
          <w:bCs/>
          <w:i/>
          <w:sz w:val="16"/>
        </w:rPr>
        <w:t>.</w:t>
      </w:r>
      <w:r>
        <w:rPr>
          <w:rFonts w:ascii="Segoe UI Light" w:hAnsi="Segoe UI Light"/>
          <w:bCs/>
          <w:i/>
          <w:sz w:val="16"/>
        </w:rPr>
        <w:t>gad</w:t>
      </w:r>
      <w:r w:rsidRPr="00CE060B">
        <w:rPr>
          <w:rFonts w:ascii="Segoe UI Light" w:hAnsi="Segoe UI Light"/>
          <w:bCs/>
          <w:i/>
          <w:sz w:val="16"/>
        </w:rPr>
        <w:t>s</w:t>
      </w:r>
      <w:r w:rsidRPr="003B4CDA">
        <w:rPr>
          <w:rFonts w:ascii="Segoe UI Light" w:hAnsi="Segoe UI Light"/>
          <w:bCs/>
          <w:i/>
          <w:sz w:val="16"/>
        </w:rPr>
        <w:t>, procentos</w:t>
      </w:r>
    </w:p>
    <w:p w14:paraId="0442D69A" w14:textId="77777777" w:rsidR="005F5363" w:rsidRPr="003B4CDA" w:rsidRDefault="005F5363" w:rsidP="005F5363">
      <w:pPr>
        <w:spacing w:after="120"/>
        <w:jc w:val="center"/>
        <w:rPr>
          <w:sz w:val="24"/>
          <w:szCs w:val="24"/>
        </w:rPr>
      </w:pPr>
      <w:r w:rsidRPr="003B4CDA">
        <w:rPr>
          <w:rFonts w:ascii="Arial Narrow" w:hAnsi="Arial Narrow"/>
          <w:noProof/>
          <w:lang w:eastAsia="lv-LV"/>
        </w:rPr>
        <w:drawing>
          <wp:inline distT="0" distB="0" distL="0" distR="0" wp14:anchorId="1FED9F9E" wp14:editId="7A113242">
            <wp:extent cx="5760000" cy="2160000"/>
            <wp:effectExtent l="0" t="0" r="0" b="0"/>
            <wp:docPr id="293" name="Chart 2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32F7D7B" w14:textId="77777777" w:rsidR="005F5363" w:rsidRPr="005929AD" w:rsidRDefault="005F5363" w:rsidP="005F5363">
      <w:pPr>
        <w:spacing w:after="120"/>
        <w:jc w:val="both"/>
        <w:rPr>
          <w:sz w:val="16"/>
          <w:szCs w:val="16"/>
        </w:rPr>
      </w:pPr>
      <w:r w:rsidRPr="005929AD">
        <w:rPr>
          <w:sz w:val="16"/>
          <w:szCs w:val="16"/>
        </w:rPr>
        <w:t>Avots: CSP, EM aprēķini</w:t>
      </w:r>
    </w:p>
    <w:p w14:paraId="1301CC0E" w14:textId="77777777" w:rsidR="005F5363" w:rsidRDefault="005F5363" w:rsidP="005F5363">
      <w:pPr>
        <w:spacing w:after="120"/>
        <w:jc w:val="both"/>
      </w:pPr>
    </w:p>
    <w:p w14:paraId="43E31CCA" w14:textId="77777777" w:rsidR="00097A08" w:rsidRPr="007D0C2E" w:rsidRDefault="00097A08" w:rsidP="005F5363">
      <w:pPr>
        <w:spacing w:after="120"/>
        <w:jc w:val="both"/>
      </w:pPr>
    </w:p>
    <w:p w14:paraId="5AEB9848" w14:textId="77777777" w:rsidR="00F4110B" w:rsidRPr="00080A71" w:rsidRDefault="00F4110B" w:rsidP="00080A71">
      <w:pPr>
        <w:pStyle w:val="Heading2"/>
      </w:pPr>
      <w:bookmarkStart w:id="46" w:name="_Toc183620098"/>
      <w:r w:rsidRPr="00080A71">
        <w:t>2.4. Izglītības piedāvājuma izmaiņas</w:t>
      </w:r>
      <w:bookmarkEnd w:id="36"/>
      <w:bookmarkEnd w:id="37"/>
      <w:bookmarkEnd w:id="38"/>
      <w:bookmarkEnd w:id="46"/>
    </w:p>
    <w:p w14:paraId="34FB4DA9" w14:textId="77777777" w:rsidR="004C23D5" w:rsidRPr="003B4CDA" w:rsidRDefault="004C23D5" w:rsidP="00855DD4">
      <w:pPr>
        <w:spacing w:after="120"/>
        <w:jc w:val="both"/>
        <w:rPr>
          <w:szCs w:val="20"/>
        </w:rPr>
      </w:pPr>
      <w:r w:rsidRPr="005A5BFE">
        <w:rPr>
          <w:b/>
          <w:szCs w:val="20"/>
        </w:rPr>
        <w:t>Demogrāfijas tendenču ietekme uz audzēkņu un studentu skaitu</w:t>
      </w:r>
    </w:p>
    <w:p w14:paraId="27DF166D" w14:textId="44F31DF3" w:rsidR="004C23D5" w:rsidRDefault="004C23D5" w:rsidP="00855DD4">
      <w:pPr>
        <w:spacing w:after="120"/>
        <w:jc w:val="both"/>
      </w:pPr>
      <w:r>
        <w:t xml:space="preserve">Vispārējās izglītības skolēnu skaits aizvadīto </w:t>
      </w:r>
      <w:r w:rsidR="007778C2">
        <w:t>10 gadu</w:t>
      </w:r>
      <w:r>
        <w:t xml:space="preserve"> laikā kopumā ir samazinājies gan pamatskolas, gan vidusskolas līmenī. Tāpat </w:t>
      </w:r>
      <w:proofErr w:type="spellStart"/>
      <w:r>
        <w:t>lejupslīdoša</w:t>
      </w:r>
      <w:proofErr w:type="spellEnd"/>
      <w:r>
        <w:t xml:space="preserve"> tendence vērojama arī profesionālās vidējās izglītības audzēkņu skaitā. Galvenie iemesli audzēkņu skaita samazinājumam ir ilgstoši zemais dzimstības līmenis un iedzīvotāju emigrācija. Pateicoties dzimstības rādītāju uzlabojumiem periodā no 2004. līdz 2008.</w:t>
      </w:r>
      <w:r w:rsidR="007778C2">
        <w:t> </w:t>
      </w:r>
      <w:r w:rsidR="0080669C">
        <w:t>gad</w:t>
      </w:r>
      <w:r>
        <w:t>am, pēdējos</w:t>
      </w:r>
      <w:r w:rsidR="00097A08">
        <w:t xml:space="preserve"> </w:t>
      </w:r>
      <w:r w:rsidR="0080669C">
        <w:t>gad</w:t>
      </w:r>
      <w:r>
        <w:t xml:space="preserve">os vispārējās un profesionālās vidējās izglītības </w:t>
      </w:r>
      <w:r w:rsidR="00391F39">
        <w:t>izglītojamo</w:t>
      </w:r>
      <w:r>
        <w:t xml:space="preserve"> skaita kritums ir kļuvis lēnāks, tomēr neskatoties uz to izglītojamo skaita tendence joprojām saglabājās negatīva.</w:t>
      </w:r>
    </w:p>
    <w:p w14:paraId="4B13A1C4" w14:textId="73C6D90C" w:rsidR="00217926" w:rsidRPr="003B4CDA" w:rsidRDefault="00217926" w:rsidP="00855DD4">
      <w:pPr>
        <w:spacing w:after="120"/>
        <w:jc w:val="both"/>
        <w:rPr>
          <w:szCs w:val="20"/>
        </w:rPr>
      </w:pPr>
      <w:r w:rsidRPr="003B4CDA">
        <w:rPr>
          <w:szCs w:val="20"/>
        </w:rPr>
        <w:t xml:space="preserve">Vidējās izglītības struktūra ir atkarīga no pamatskolu beidzēju izvēles par turpmāko izglītošanos. Jāatzīmē, ka būtiskākā problēma profesionālajā izglītībā joprojām ir tās zemā pievilcība, kas lielā mērā saistīta ar sabiedrības aizspriedumiem un novecojušiem </w:t>
      </w:r>
      <w:r w:rsidRPr="002F347C">
        <w:rPr>
          <w:szCs w:val="20"/>
        </w:rPr>
        <w:t xml:space="preserve">stereotipiem – joprojām </w:t>
      </w:r>
      <w:r w:rsidR="00E60D15" w:rsidRPr="00E60D15">
        <w:rPr>
          <w:szCs w:val="20"/>
        </w:rPr>
        <w:t>vairāk kā puse (57%)</w:t>
      </w:r>
      <w:r w:rsidR="00E60D15" w:rsidRPr="002F347C">
        <w:rPr>
          <w:szCs w:val="20"/>
        </w:rPr>
        <w:t xml:space="preserve"> </w:t>
      </w:r>
      <w:r w:rsidRPr="002F347C">
        <w:rPr>
          <w:szCs w:val="20"/>
        </w:rPr>
        <w:t>no jauniešiem pēc pamatizglītības beigšanas izvēl</w:t>
      </w:r>
      <w:r w:rsidR="007B5C66">
        <w:rPr>
          <w:szCs w:val="20"/>
        </w:rPr>
        <w:t>a</w:t>
      </w:r>
      <w:r w:rsidRPr="002F347C">
        <w:rPr>
          <w:szCs w:val="20"/>
        </w:rPr>
        <w:t>s turpināt mācības vispārējā vidējā izglītībā.</w:t>
      </w:r>
      <w:r w:rsidRPr="003B4CDA">
        <w:rPr>
          <w:szCs w:val="20"/>
        </w:rPr>
        <w:t xml:space="preserve"> Lai arī </w:t>
      </w:r>
      <w:r w:rsidR="007778C2" w:rsidRPr="003B4CDA">
        <w:rPr>
          <w:szCs w:val="20"/>
        </w:rPr>
        <w:t>pēdējo</w:t>
      </w:r>
      <w:r w:rsidR="005A5BFE">
        <w:rPr>
          <w:szCs w:val="20"/>
        </w:rPr>
        <w:t xml:space="preserve"> </w:t>
      </w:r>
      <w:r>
        <w:rPr>
          <w:szCs w:val="20"/>
        </w:rPr>
        <w:t>gad</w:t>
      </w:r>
      <w:r w:rsidRPr="003B4CDA">
        <w:rPr>
          <w:szCs w:val="20"/>
        </w:rPr>
        <w:t>os pamatskolu absolventi vairāk pievēršas profesionālai izglītībai, tomēr ar to nepietiek, lai nodrošinātu vidējās kvalifikācijas speciālistu a</w:t>
      </w:r>
      <w:r>
        <w:rPr>
          <w:szCs w:val="20"/>
        </w:rPr>
        <w:t xml:space="preserve">izvietošanu </w:t>
      </w:r>
      <w:r w:rsidRPr="003B4CDA">
        <w:rPr>
          <w:szCs w:val="20"/>
        </w:rPr>
        <w:t>darba tirgū</w:t>
      </w:r>
      <w:r>
        <w:rPr>
          <w:szCs w:val="20"/>
        </w:rPr>
        <w:t xml:space="preserve"> dēļ sabiedrības novecošanās.</w:t>
      </w:r>
    </w:p>
    <w:p w14:paraId="346C18C2" w14:textId="53900BA3" w:rsidR="004C23D5" w:rsidRPr="003B4CDA" w:rsidRDefault="004C23D5" w:rsidP="00855DD4">
      <w:pPr>
        <w:spacing w:after="120"/>
        <w:jc w:val="right"/>
        <w:rPr>
          <w:szCs w:val="26"/>
        </w:rPr>
      </w:pPr>
      <w:r w:rsidRPr="003B4CDA">
        <w:rPr>
          <w:szCs w:val="26"/>
        </w:rPr>
        <w:t>2.1</w:t>
      </w:r>
      <w:r w:rsidR="007A5910">
        <w:rPr>
          <w:szCs w:val="26"/>
        </w:rPr>
        <w:t>7</w:t>
      </w:r>
      <w:r w:rsidRPr="003B4CDA">
        <w:rPr>
          <w:szCs w:val="26"/>
        </w:rPr>
        <w:t>. attēls</w:t>
      </w:r>
    </w:p>
    <w:p w14:paraId="31FE970E" w14:textId="77777777" w:rsidR="004C23D5" w:rsidRPr="003B4CDA" w:rsidRDefault="004C23D5" w:rsidP="004C23D5">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120"/>
        <w:rPr>
          <w:bCs/>
          <w:sz w:val="16"/>
          <w:szCs w:val="22"/>
        </w:rPr>
      </w:pPr>
      <w:r w:rsidRPr="003B4CDA">
        <w:rPr>
          <w:rFonts w:ascii="Segoe UI Light" w:eastAsia="Calibri" w:hAnsi="Segoe UI Light"/>
          <w:b/>
          <w:color w:val="auto"/>
          <w:szCs w:val="26"/>
        </w:rPr>
        <w:t>Uzņemtie audzēkņi un studenti izglītības iestādēs</w:t>
      </w:r>
      <w:r w:rsidRPr="003B4CDA">
        <w:rPr>
          <w:b/>
          <w:bCs/>
          <w:sz w:val="20"/>
          <w:szCs w:val="26"/>
        </w:rPr>
        <w:br/>
      </w:r>
      <w:r w:rsidRPr="003B4CDA">
        <w:rPr>
          <w:rFonts w:ascii="Segoe UI Light" w:eastAsia="Calibri" w:hAnsi="Segoe UI Light"/>
          <w:bCs/>
          <w:i/>
          <w:color w:val="auto"/>
          <w:sz w:val="16"/>
          <w:szCs w:val="22"/>
        </w:rPr>
        <w:t>tūkstošos</w:t>
      </w:r>
    </w:p>
    <w:p w14:paraId="0EF5BFFE" w14:textId="609A9195" w:rsidR="004C23D5" w:rsidRPr="003B4CDA" w:rsidRDefault="007778C2" w:rsidP="00855DD4">
      <w:pPr>
        <w:spacing w:after="120"/>
        <w:jc w:val="center"/>
      </w:pPr>
      <w:r w:rsidRPr="003B4CDA">
        <w:rPr>
          <w:noProof/>
          <w:szCs w:val="20"/>
          <w:lang w:eastAsia="lv-LV"/>
        </w:rPr>
        <w:drawing>
          <wp:inline distT="0" distB="0" distL="0" distR="0" wp14:anchorId="0A241349" wp14:editId="78FBB2E1">
            <wp:extent cx="5760000" cy="2160000"/>
            <wp:effectExtent l="0" t="0" r="0" b="0"/>
            <wp:docPr id="294" name="Objec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4D326D4" w14:textId="679F5905" w:rsidR="004C23D5" w:rsidRPr="00097A08" w:rsidRDefault="004C23D5" w:rsidP="00097A08">
      <w:pPr>
        <w:spacing w:after="120"/>
        <w:rPr>
          <w:rFonts w:eastAsia="Times New Roman" w:cs="Calibri Light"/>
          <w:bCs/>
          <w:color w:val="000000"/>
          <w:sz w:val="16"/>
          <w:szCs w:val="20"/>
        </w:rPr>
      </w:pPr>
      <w:r w:rsidRPr="00097A08">
        <w:rPr>
          <w:rFonts w:eastAsia="Times New Roman" w:cs="Calibri Light"/>
          <w:bCs/>
          <w:color w:val="000000"/>
          <w:sz w:val="16"/>
          <w:szCs w:val="20"/>
        </w:rPr>
        <w:t>Avots: CSP</w:t>
      </w:r>
      <w:r w:rsidR="000F5FB0">
        <w:rPr>
          <w:rFonts w:eastAsia="Times New Roman" w:cs="Calibri Light"/>
          <w:bCs/>
          <w:color w:val="000000"/>
          <w:sz w:val="16"/>
          <w:szCs w:val="20"/>
        </w:rPr>
        <w:t xml:space="preserve">, </w:t>
      </w:r>
      <w:r w:rsidR="00412B92">
        <w:rPr>
          <w:rFonts w:eastAsia="Times New Roman" w:cs="Calibri Light"/>
          <w:bCs/>
          <w:color w:val="000000"/>
          <w:sz w:val="16"/>
          <w:szCs w:val="20"/>
        </w:rPr>
        <w:t>IZM</w:t>
      </w:r>
    </w:p>
    <w:p w14:paraId="58AD06C6" w14:textId="591EC2B9" w:rsidR="007778C2" w:rsidRPr="003B4CDA" w:rsidRDefault="007778C2" w:rsidP="007778C2">
      <w:pPr>
        <w:spacing w:after="120"/>
        <w:jc w:val="both"/>
      </w:pPr>
      <w:r>
        <w:lastRenderedPageBreak/>
        <w:t xml:space="preserve">Pēdējos gados profesionālās izglītības iestādēs uzņemto </w:t>
      </w:r>
      <w:r w:rsidR="00391F39">
        <w:t xml:space="preserve">izglītojamo </w:t>
      </w:r>
      <w:r>
        <w:t>skaits saglabājas aptuveni vienā līmenī. Jauniešu īpatsvars, kas pēc vispārējās vidējās izglītības turpina mācības profesionālajā izglītībā 2022. gadā ir samazinājies par 1,9 procentpunktiem.</w:t>
      </w:r>
    </w:p>
    <w:p w14:paraId="581F4D8D" w14:textId="28026847" w:rsidR="004C23D5" w:rsidRPr="003B4CDA" w:rsidRDefault="004C23D5" w:rsidP="00855DD4">
      <w:pPr>
        <w:spacing w:after="120"/>
        <w:jc w:val="right"/>
        <w:rPr>
          <w:szCs w:val="20"/>
        </w:rPr>
      </w:pPr>
      <w:r w:rsidRPr="003B4CDA">
        <w:rPr>
          <w:szCs w:val="20"/>
        </w:rPr>
        <w:t>2.1</w:t>
      </w:r>
      <w:r w:rsidR="007A5910">
        <w:rPr>
          <w:szCs w:val="20"/>
        </w:rPr>
        <w:t>8</w:t>
      </w:r>
      <w:r w:rsidRPr="003B4CDA">
        <w:rPr>
          <w:szCs w:val="20"/>
        </w:rPr>
        <w:t>. attēls</w:t>
      </w:r>
    </w:p>
    <w:p w14:paraId="43EF08D1" w14:textId="7138FC4B" w:rsidR="004C23D5" w:rsidRPr="003B4CDA" w:rsidRDefault="004C23D5" w:rsidP="004C23D5">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120"/>
        <w:jc w:val="left"/>
        <w:rPr>
          <w:rFonts w:ascii="Segoe UI Light" w:hAnsi="Segoe UI Light"/>
          <w:bCs/>
          <w:sz w:val="16"/>
          <w:szCs w:val="16"/>
        </w:rPr>
      </w:pPr>
      <w:r w:rsidRPr="003B4CDA">
        <w:rPr>
          <w:rFonts w:ascii="Segoe UI Light" w:hAnsi="Segoe UI Light"/>
          <w:b/>
          <w:bCs/>
          <w:szCs w:val="26"/>
        </w:rPr>
        <w:tab/>
      </w:r>
      <w:bookmarkStart w:id="47" w:name="_Hlk170761789"/>
      <w:r w:rsidR="00391F39">
        <w:rPr>
          <w:rFonts w:ascii="Segoe UI Light" w:hAnsi="Segoe UI Light"/>
          <w:b/>
          <w:szCs w:val="26"/>
        </w:rPr>
        <w:t>Izglītojamie</w:t>
      </w:r>
      <w:r w:rsidRPr="00654651">
        <w:rPr>
          <w:rFonts w:ascii="Segoe UI Light" w:hAnsi="Segoe UI Light"/>
          <w:b/>
          <w:szCs w:val="26"/>
        </w:rPr>
        <w:t>, kuri turpina mācības profesionālās izglītības iestādēs</w:t>
      </w:r>
      <w:r w:rsidRPr="003B4CDA">
        <w:rPr>
          <w:rFonts w:ascii="Segoe UI Light" w:hAnsi="Segoe UI Light"/>
          <w:b/>
          <w:bCs/>
          <w:szCs w:val="26"/>
        </w:rPr>
        <w:br/>
      </w:r>
      <w:r w:rsidRPr="003B4CDA">
        <w:rPr>
          <w:rFonts w:ascii="Segoe UI Light" w:hAnsi="Segoe UI Light"/>
          <w:bCs/>
          <w:i/>
          <w:sz w:val="16"/>
          <w:szCs w:val="16"/>
        </w:rPr>
        <w:tab/>
      </w:r>
      <w:r w:rsidRPr="003B4CDA">
        <w:rPr>
          <w:rFonts w:ascii="Segoe UI Light" w:hAnsi="Segoe UI Light"/>
          <w:bCs/>
          <w:i/>
          <w:sz w:val="16"/>
          <w:szCs w:val="16"/>
        </w:rPr>
        <w:tab/>
        <w:t>% no kopā beigušajiem</w:t>
      </w:r>
      <w:r w:rsidRPr="003B4CDA">
        <w:rPr>
          <w:rFonts w:ascii="Segoe UI Light" w:hAnsi="Segoe UI Light"/>
          <w:bCs/>
          <w:i/>
          <w:sz w:val="16"/>
          <w:szCs w:val="16"/>
        </w:rPr>
        <w:br/>
      </w:r>
      <w:r w:rsidRPr="003B4CDA">
        <w:rPr>
          <w:rFonts w:ascii="Segoe UI Light" w:hAnsi="Segoe UI Light"/>
          <w:bCs/>
          <w:sz w:val="16"/>
          <w:szCs w:val="16"/>
        </w:rPr>
        <w:tab/>
        <w:t xml:space="preserve">Pamatskolu beigušie </w:t>
      </w:r>
      <w:r w:rsidRPr="003B4CDA">
        <w:rPr>
          <w:rFonts w:ascii="Segoe UI Light" w:hAnsi="Segoe UI Light"/>
          <w:bCs/>
          <w:sz w:val="16"/>
          <w:szCs w:val="16"/>
        </w:rPr>
        <w:tab/>
      </w:r>
      <w:r w:rsidRPr="003B4CDA">
        <w:rPr>
          <w:rFonts w:ascii="Segoe UI Light" w:hAnsi="Segoe UI Light"/>
          <w:bCs/>
          <w:sz w:val="16"/>
          <w:szCs w:val="16"/>
        </w:rPr>
        <w:tab/>
        <w:t>Vidusskolu beigušie</w:t>
      </w:r>
    </w:p>
    <w:p w14:paraId="443217A9" w14:textId="24CFEC47" w:rsidR="004C23D5" w:rsidRPr="003B4CDA" w:rsidRDefault="007778C2" w:rsidP="00855DD4">
      <w:pPr>
        <w:spacing w:after="120"/>
      </w:pPr>
      <w:r w:rsidRPr="00412B92">
        <w:rPr>
          <w:noProof/>
          <w:szCs w:val="20"/>
          <w:shd w:val="clear" w:color="auto" w:fill="808080" w:themeFill="background1" w:themeFillShade="80"/>
          <w:lang w:eastAsia="lv-LV"/>
        </w:rPr>
        <w:drawing>
          <wp:inline distT="0" distB="0" distL="0" distR="0" wp14:anchorId="3A83283D" wp14:editId="005316A2">
            <wp:extent cx="2880000" cy="2160000"/>
            <wp:effectExtent l="0" t="0" r="0" b="0"/>
            <wp:docPr id="333" name="Chart 3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Pr="003B4CDA">
        <w:rPr>
          <w:noProof/>
          <w:szCs w:val="20"/>
          <w:lang w:eastAsia="lv-LV"/>
        </w:rPr>
        <w:drawing>
          <wp:inline distT="0" distB="0" distL="0" distR="0" wp14:anchorId="54CD2DD3" wp14:editId="5E63D7C9">
            <wp:extent cx="2880000" cy="2160000"/>
            <wp:effectExtent l="0" t="0" r="0" b="0"/>
            <wp:docPr id="334" name="Chart 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0C29126" w14:textId="77777777" w:rsidR="004C23D5" w:rsidRPr="00097A08" w:rsidRDefault="004C23D5" w:rsidP="00097A08">
      <w:pPr>
        <w:spacing w:after="120"/>
        <w:rPr>
          <w:rFonts w:eastAsia="Times New Roman" w:cs="Calibri Light"/>
          <w:bCs/>
          <w:color w:val="000000"/>
          <w:sz w:val="16"/>
          <w:szCs w:val="20"/>
        </w:rPr>
      </w:pPr>
      <w:r w:rsidRPr="00097A08">
        <w:rPr>
          <w:rFonts w:eastAsia="Times New Roman" w:cs="Calibri Light"/>
          <w:bCs/>
          <w:color w:val="000000"/>
          <w:sz w:val="16"/>
          <w:szCs w:val="20"/>
        </w:rPr>
        <w:t>Avots: CSP</w:t>
      </w:r>
    </w:p>
    <w:bookmarkEnd w:id="47"/>
    <w:p w14:paraId="55A81B27" w14:textId="77777777" w:rsidR="00097A08" w:rsidRDefault="00097A08" w:rsidP="00855DD4">
      <w:pPr>
        <w:spacing w:after="120"/>
        <w:jc w:val="both"/>
      </w:pPr>
    </w:p>
    <w:p w14:paraId="53474814" w14:textId="5175DB98" w:rsidR="004C23D5" w:rsidRDefault="004C23D5" w:rsidP="00855DD4">
      <w:pPr>
        <w:spacing w:after="120"/>
        <w:jc w:val="both"/>
      </w:pPr>
      <w:r>
        <w:t>Latvija ir noteikusi mērķi līdz 2024.</w:t>
      </w:r>
      <w:r w:rsidR="007778C2">
        <w:t> </w:t>
      </w:r>
      <w:r w:rsidR="0080669C">
        <w:t>gad</w:t>
      </w:r>
      <w:r>
        <w:t>am sasniegt, ka profesionālajā vidējā izglītībā mācās vismaz 39</w:t>
      </w:r>
      <w:r w:rsidR="0080669C">
        <w:t>%</w:t>
      </w:r>
      <w:r>
        <w:t xml:space="preserve"> (2027.</w:t>
      </w:r>
      <w:r w:rsidR="007778C2">
        <w:t> </w:t>
      </w:r>
      <w:r w:rsidR="0080669C">
        <w:t>gad</w:t>
      </w:r>
      <w:r>
        <w:t>ā – 45</w:t>
      </w:r>
      <w:r w:rsidR="0080669C">
        <w:t>%</w:t>
      </w:r>
      <w:r>
        <w:t>) no kopējā vidējā izglītības pakāpē esošo skolēnu skaita. Pēdējos</w:t>
      </w:r>
      <w:r w:rsidR="00097A08">
        <w:t xml:space="preserve"> </w:t>
      </w:r>
      <w:r w:rsidR="0080669C">
        <w:t>gad</w:t>
      </w:r>
      <w:r>
        <w:t xml:space="preserve">os profesionālās izglītības </w:t>
      </w:r>
      <w:r w:rsidR="00FA2A6A">
        <w:t xml:space="preserve">izglītojamo </w:t>
      </w:r>
      <w:r>
        <w:t xml:space="preserve">skaita īpatsvars nedaudz pieaudzis, </w:t>
      </w:r>
      <w:r w:rsidR="007778C2" w:rsidRPr="00654651">
        <w:t>2021./2022. </w:t>
      </w:r>
      <w:r w:rsidRPr="00654651">
        <w:t>mācību</w:t>
      </w:r>
      <w:r w:rsidR="00097A08" w:rsidRPr="00654651">
        <w:t xml:space="preserve"> </w:t>
      </w:r>
      <w:r w:rsidR="0080669C" w:rsidRPr="00654651">
        <w:t>gad</w:t>
      </w:r>
      <w:r w:rsidRPr="00654651">
        <w:t xml:space="preserve">ā </w:t>
      </w:r>
      <w:bookmarkStart w:id="48" w:name="_Hlk40830688"/>
      <w:r w:rsidRPr="00654651">
        <w:t xml:space="preserve">visu izglītojamo skaita proporcija profesionālajā vidējā izglītībā </w:t>
      </w:r>
      <w:bookmarkEnd w:id="48"/>
      <w:r w:rsidRPr="00654651">
        <w:t>sasniedza 37,</w:t>
      </w:r>
      <w:r w:rsidR="007778C2" w:rsidRPr="00654651">
        <w:t>0</w:t>
      </w:r>
      <w:r w:rsidR="0080669C" w:rsidRPr="00654651">
        <w:t>%</w:t>
      </w:r>
      <w:r w:rsidRPr="00654651">
        <w:t>.</w:t>
      </w:r>
      <w:r>
        <w:t xml:space="preserve"> Nepieciešams turpināt pasākumus profesionālās izglītības pievilcības veicināšanai, tostarp īstenot sabiedrības informēšanas kampaņas, lai kliedētu mītus un mainītu attieksmi pret profesionālo izglītību</w:t>
      </w:r>
      <w:r w:rsidR="00303CB8">
        <w:t xml:space="preserve"> un popularizētu kvalitatīva darba un izaugsmes iespējas absolventiem ar attiecīgu profesionālo vidējo izglītību</w:t>
      </w:r>
      <w:r>
        <w:t xml:space="preserve">, tādējādi palielinātu jauniešu interesi par </w:t>
      </w:r>
      <w:r w:rsidR="00FA2A6A">
        <w:t xml:space="preserve">profesionālās kvalifikācijas </w:t>
      </w:r>
      <w:r>
        <w:t>iegūšanu profesionālās vidējās izglītības iestādēs.</w:t>
      </w:r>
      <w:r w:rsidR="00FE223B">
        <w:t xml:space="preserve"> Tāpat jāveicina nozaru un darba devēju aktīvāka komunikācija par nodarbinātības iespējām attiecīgajās kvalifikācijās. </w:t>
      </w:r>
    </w:p>
    <w:p w14:paraId="55E2EDD4" w14:textId="77777777" w:rsidR="005F2B6A" w:rsidRPr="003B4CDA" w:rsidRDefault="005F2B6A" w:rsidP="007778C2">
      <w:pPr>
        <w:spacing w:after="120"/>
        <w:jc w:val="both"/>
      </w:pPr>
    </w:p>
    <w:p w14:paraId="70A508F8" w14:textId="5C1561F5" w:rsidR="004C23D5" w:rsidRPr="005F5363" w:rsidRDefault="004C23D5" w:rsidP="00855DD4">
      <w:pPr>
        <w:spacing w:after="120"/>
        <w:jc w:val="both"/>
        <w:rPr>
          <w:rFonts w:ascii="Aptos Narrow" w:hAnsi="Aptos Narrow"/>
          <w:b/>
          <w:color w:val="5F497A" w:themeColor="accent4" w:themeShade="BF"/>
          <w:sz w:val="28"/>
          <w:szCs w:val="28"/>
        </w:rPr>
      </w:pPr>
      <w:r w:rsidRPr="005F5363">
        <w:rPr>
          <w:rFonts w:ascii="Aptos Narrow" w:hAnsi="Aptos Narrow"/>
          <w:b/>
          <w:color w:val="5F497A" w:themeColor="accent4" w:themeShade="BF"/>
          <w:sz w:val="28"/>
          <w:szCs w:val="28"/>
        </w:rPr>
        <w:t>Izglītības piedāvājuma strukturālās izmaiņas</w:t>
      </w:r>
    </w:p>
    <w:p w14:paraId="06560CE8" w14:textId="4674E623" w:rsidR="004C23D5" w:rsidRPr="0069025E" w:rsidRDefault="004C23D5" w:rsidP="00855DD4">
      <w:pPr>
        <w:spacing w:after="120"/>
        <w:jc w:val="both"/>
      </w:pPr>
      <w:r>
        <w:t>Attiecībā uz studējošo īpatsvaru dabas un inženierzinātnēs (dabaszinātņu, matemātikas un informācijas tehnoloģiju tematiskā grupa un inženierzinātņu, ražošanas un būvniecības tematiskā grupa) tika izvirzīts mērķis 2020.</w:t>
      </w:r>
      <w:r w:rsidR="007778C2">
        <w:t> </w:t>
      </w:r>
      <w:r w:rsidR="0080669C">
        <w:t>gad</w:t>
      </w:r>
      <w:r>
        <w:t>ā sasniegt 27</w:t>
      </w:r>
      <w:r w:rsidR="0080669C">
        <w:t>%</w:t>
      </w:r>
      <w:r>
        <w:t xml:space="preserve"> no kopējā absolventu skaita. Tomēr </w:t>
      </w:r>
      <w:proofErr w:type="spellStart"/>
      <w:r>
        <w:t>mērķgrupas</w:t>
      </w:r>
      <w:proofErr w:type="spellEnd"/>
      <w:r>
        <w:t xml:space="preserve"> absolventi 2020.</w:t>
      </w:r>
      <w:r w:rsidR="007778C2">
        <w:t> </w:t>
      </w:r>
      <w:r w:rsidR="0080669C">
        <w:t>gad</w:t>
      </w:r>
      <w:r>
        <w:t>ā sastādīja vien 18,7</w:t>
      </w:r>
      <w:r w:rsidR="0080669C">
        <w:t>%</w:t>
      </w:r>
      <w:r>
        <w:t xml:space="preserve"> no visiem absolventiem. Pēdējo</w:t>
      </w:r>
      <w:r w:rsidR="00097A08">
        <w:t xml:space="preserve"> </w:t>
      </w:r>
      <w:r w:rsidR="0080669C">
        <w:t>gad</w:t>
      </w:r>
      <w:r>
        <w:t>u laikā šis rādītājs nav būtiski mainījies, 2023.</w:t>
      </w:r>
      <w:r w:rsidR="007778C2">
        <w:t xml:space="preserve"> </w:t>
      </w:r>
      <w:r w:rsidR="0080669C">
        <w:t>gad</w:t>
      </w:r>
      <w:r>
        <w:t>ā tam sasniedzot</w:t>
      </w:r>
      <w:r w:rsidR="00EB3A9A">
        <w:t xml:space="preserve"> </w:t>
      </w:r>
      <w:r>
        <w:t>19,6</w:t>
      </w:r>
      <w:r w:rsidR="0080669C">
        <w:t>%</w:t>
      </w:r>
      <w:r>
        <w:t>. Mērķa sasniegšanai ir nepieciešams aktīvāk īstenot mērķtiecīgus pasākumus vidējās izglītības absolventu piesaistei šiem studiju virzieniem. Jāatzīmē arī, ka nepietiekamo absolventu skaitu eksaktajos studiju virzienos būtiski ietekmē arī lielais studējošo atbirums studiju laikā.</w:t>
      </w:r>
    </w:p>
    <w:p w14:paraId="386C34A9" w14:textId="7FE0E438" w:rsidR="007778C2" w:rsidRPr="003B4CDA" w:rsidRDefault="007778C2" w:rsidP="007778C2">
      <w:pPr>
        <w:spacing w:after="120"/>
        <w:jc w:val="both"/>
      </w:pPr>
      <w:r>
        <w:t xml:space="preserve">Pēdējos gados imatrikulēto studentu skaits samazinās, kas skaidrojams gan ar demogrāfiskiem, gan ekonomiskiem iemesliem. Samazinājumu nekompensē arī ārzemju studentu pieplūdums. </w:t>
      </w:r>
      <w:bookmarkStart w:id="49" w:name="_Hlk40689280"/>
      <w:r>
        <w:t xml:space="preserve">Līdz 2019. gadam salīdzinoši strauji pieauga ārzemju studentu skaits, kas vēlas studēt Latvijā. </w:t>
      </w:r>
      <w:bookmarkEnd w:id="49"/>
      <w:r>
        <w:t>Pēdējos trīs gados ārvalstu studentu skaits Latvijā gan nav būtiski mainījies, un 2023. gadā ārzemju studenti veidoja gandrīz 14% no imatrikulēto studentu skaita.</w:t>
      </w:r>
    </w:p>
    <w:p w14:paraId="2A2D18CE" w14:textId="57308AA2" w:rsidR="007778C2" w:rsidRDefault="007778C2" w:rsidP="007778C2">
      <w:pPr>
        <w:spacing w:after="120"/>
        <w:jc w:val="both"/>
      </w:pPr>
      <w:r>
        <w:t>Pasliktinoties ekonomiskajai situācijai 2009. gadā, lielāku nozīmi sāka iegūt iespēja studēt par valsts budžeta līdzekļiem, līdz ar to strauji samazinājās studentu īpatsvars sociālo zinātņu tematiskajā jomā, kur lielāko daļu veido maksas studiju vietas. 2023. gadā uzņemto studentu skaits sociālo zinātņu tematiskajā jomā sastādīja 36,1% no kopējā studentu skaita.</w:t>
      </w:r>
    </w:p>
    <w:p w14:paraId="1F1D4F69" w14:textId="52BA66B8" w:rsidR="007778C2" w:rsidRPr="003B4CDA" w:rsidRDefault="007778C2" w:rsidP="007778C2">
      <w:pPr>
        <w:spacing w:after="120"/>
        <w:jc w:val="both"/>
      </w:pPr>
      <w:r>
        <w:t xml:space="preserve">Vienlaikus kopš 2008. gada ievērojami samazinājies tematiskajā grupā „Izglītība” uzņemto studentu īpatsvars, kas pēdējos gados nav būtiski mainījies. Kopš 2015. gada uzņemto studentu skaits dabaszinātņu, matemātikas, IT kā arī inženierzinātņu, ražošanas un būvniecības izglītības tematiskajās jomās kopumā ir samazinājies. Jāatzīmē, ka pēdējos divos gados uzņemto studentu skaits eksaktajās zinātnēs ir mazliet palielinājies, 2023. gadā tam atpaliekot </w:t>
      </w:r>
      <w:r>
        <w:lastRenderedPageBreak/>
        <w:t>vien par 2,1% no augstākā 2015. gada līmeņa. Savukārt uzņemto studentu īpatsvars 2023. gadā veselības aprūpes un sociālās labklājības tematiskajā grupā sasniedza 15% (2015. gadā – 12,9%).</w:t>
      </w:r>
    </w:p>
    <w:p w14:paraId="23859075" w14:textId="3734F18B" w:rsidR="004C23D5" w:rsidRPr="003B4CDA" w:rsidRDefault="004C23D5" w:rsidP="00855DD4">
      <w:pPr>
        <w:spacing w:after="120"/>
        <w:jc w:val="right"/>
      </w:pPr>
      <w:r>
        <w:t>2.1</w:t>
      </w:r>
      <w:r w:rsidR="007A5910">
        <w:t>9</w:t>
      </w:r>
      <w:r>
        <w:t>. attēls</w:t>
      </w:r>
    </w:p>
    <w:p w14:paraId="30151641" w14:textId="7FBD5301" w:rsidR="007778C2" w:rsidRPr="003B4CDA" w:rsidRDefault="004C23D5" w:rsidP="1765FC6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0"/>
        <w:rPr>
          <w:rFonts w:ascii="Segoe UI Light" w:hAnsi="Segoe UI Light"/>
          <w:b/>
          <w:bCs/>
        </w:rPr>
      </w:pPr>
      <w:r w:rsidRPr="1765FC69">
        <w:rPr>
          <w:rFonts w:ascii="Segoe UI Light" w:hAnsi="Segoe UI Light"/>
          <w:b/>
        </w:rPr>
        <w:t>Studentu skaita sadalījums augstskolās un koledžās pa izglītības tematiskajām grupām akadēmiskajā</w:t>
      </w:r>
      <w:r w:rsidR="00855DD4" w:rsidRPr="1765FC69">
        <w:rPr>
          <w:rFonts w:ascii="Segoe UI Light" w:hAnsi="Segoe UI Light"/>
          <w:b/>
        </w:rPr>
        <w:t xml:space="preserve"> </w:t>
      </w:r>
      <w:r w:rsidR="0080669C" w:rsidRPr="1765FC69">
        <w:rPr>
          <w:rFonts w:ascii="Segoe UI Light" w:hAnsi="Segoe UI Light"/>
          <w:b/>
        </w:rPr>
        <w:t>gad</w:t>
      </w:r>
      <w:r w:rsidRPr="1765FC69">
        <w:rPr>
          <w:rFonts w:ascii="Segoe UI Light" w:hAnsi="Segoe UI Light"/>
          <w:b/>
        </w:rPr>
        <w:t>ā</w:t>
      </w:r>
    </w:p>
    <w:p w14:paraId="636B3357" w14:textId="6A421E55" w:rsidR="004C23D5" w:rsidRPr="003B4CDA" w:rsidRDefault="004C23D5" w:rsidP="1765FC6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120"/>
        <w:jc w:val="left"/>
        <w:rPr>
          <w:rFonts w:ascii="Segoe UI Light" w:hAnsi="Segoe UI Light"/>
          <w:b/>
          <w:i/>
          <w:sz w:val="16"/>
          <w:szCs w:val="16"/>
        </w:rPr>
      </w:pPr>
      <w:r w:rsidRPr="003B4CDA">
        <w:rPr>
          <w:rFonts w:ascii="Segoe UI Light" w:hAnsi="Segoe UI Light"/>
          <w:bCs/>
          <w:i/>
          <w:sz w:val="16"/>
          <w:szCs w:val="22"/>
        </w:rPr>
        <w:tab/>
      </w:r>
      <w:r w:rsidRPr="1765FC69">
        <w:rPr>
          <w:rFonts w:ascii="Segoe UI Light" w:hAnsi="Segoe UI Light"/>
          <w:i/>
          <w:sz w:val="16"/>
          <w:szCs w:val="16"/>
        </w:rPr>
        <w:t>uzņemto studentu īpatsvars, procentos</w:t>
      </w:r>
      <w:r w:rsidRPr="003B4CDA">
        <w:rPr>
          <w:rFonts w:ascii="Segoe UI Light" w:hAnsi="Segoe UI Light"/>
          <w:bCs/>
          <w:i/>
          <w:sz w:val="16"/>
          <w:szCs w:val="22"/>
        </w:rPr>
        <w:tab/>
      </w:r>
      <w:r w:rsidR="007778C2" w:rsidRPr="003B4CDA">
        <w:rPr>
          <w:rFonts w:ascii="Segoe UI Light" w:hAnsi="Segoe UI Light"/>
          <w:bCs/>
          <w:i/>
          <w:sz w:val="16"/>
          <w:szCs w:val="22"/>
        </w:rPr>
        <w:tab/>
      </w:r>
      <w:r w:rsidRPr="1765FC69">
        <w:rPr>
          <w:rFonts w:ascii="Segoe UI Light" w:hAnsi="Segoe UI Light"/>
          <w:i/>
          <w:sz w:val="16"/>
          <w:szCs w:val="16"/>
        </w:rPr>
        <w:t>grādu vai kvalifikāciju ieguvušo īpatsvars, procentos</w:t>
      </w:r>
    </w:p>
    <w:p w14:paraId="04DD5F1B" w14:textId="7BF92E31" w:rsidR="007778C2" w:rsidRPr="003B4CDA" w:rsidRDefault="00845FD2" w:rsidP="1765FC6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337"/>
        </w:tabs>
        <w:suppressAutoHyphens/>
        <w:spacing w:after="120"/>
        <w:jc w:val="left"/>
        <w:rPr>
          <w:rFonts w:ascii="Arial Narrow" w:hAnsi="Arial Narrow"/>
          <w:b/>
          <w:bCs/>
          <w:sz w:val="20"/>
        </w:rPr>
      </w:pPr>
      <w:r w:rsidRPr="003B4CDA">
        <w:rPr>
          <w:rFonts w:ascii="Arial Narrow" w:hAnsi="Arial Narrow"/>
          <w:noProof/>
          <w:sz w:val="20"/>
          <w:lang w:eastAsia="lv-LV"/>
        </w:rPr>
        <w:drawing>
          <wp:inline distT="0" distB="0" distL="0" distR="0" wp14:anchorId="1743C45A" wp14:editId="1DD0757B">
            <wp:extent cx="2842260" cy="2142000"/>
            <wp:effectExtent l="0" t="0" r="0" b="0"/>
            <wp:docPr id="295"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001E176A" w:rsidRPr="003B4CDA">
        <w:rPr>
          <w:rFonts w:ascii="Arial Narrow" w:hAnsi="Arial Narrow"/>
          <w:noProof/>
          <w:sz w:val="20"/>
          <w:lang w:eastAsia="lv-LV"/>
        </w:rPr>
        <w:drawing>
          <wp:inline distT="0" distB="0" distL="0" distR="0" wp14:anchorId="1700998C" wp14:editId="0D0F5B17">
            <wp:extent cx="2880000" cy="2142000"/>
            <wp:effectExtent l="0" t="0" r="0" b="0"/>
            <wp:docPr id="296"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1984913" w14:textId="0592A149" w:rsidR="004C23D5" w:rsidRPr="003B4CDA" w:rsidRDefault="007778C2" w:rsidP="007778C2">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337"/>
        </w:tabs>
        <w:suppressAutoHyphens/>
        <w:spacing w:after="120"/>
        <w:jc w:val="left"/>
        <w:rPr>
          <w:rFonts w:ascii="Arial Narrow" w:hAnsi="Arial Narrow"/>
          <w:b/>
          <w:sz w:val="20"/>
        </w:rPr>
      </w:pPr>
      <w:r w:rsidRPr="003B4CDA">
        <w:rPr>
          <w:rFonts w:ascii="Arial Narrow" w:hAnsi="Arial Narrow"/>
          <w:noProof/>
          <w:sz w:val="20"/>
          <w:lang w:eastAsia="lv-LV"/>
        </w:rPr>
        <w:drawing>
          <wp:inline distT="0" distB="0" distL="0" distR="0" wp14:anchorId="30CF62CC" wp14:editId="1F0DEA87">
            <wp:extent cx="5760000" cy="720000"/>
            <wp:effectExtent l="0" t="0" r="0" b="4445"/>
            <wp:docPr id="297"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A380A43" w14:textId="77777777" w:rsidR="004C23D5" w:rsidRPr="00097A08" w:rsidRDefault="004C23D5" w:rsidP="00097A08">
      <w:pPr>
        <w:spacing w:after="120" w:line="365" w:lineRule="atLeast"/>
        <w:jc w:val="both"/>
        <w:rPr>
          <w:rFonts w:eastAsia="Times New Roman" w:cs="Calibri Light"/>
          <w:bCs/>
          <w:color w:val="000000"/>
          <w:sz w:val="16"/>
          <w:szCs w:val="20"/>
        </w:rPr>
      </w:pPr>
      <w:r w:rsidRPr="00097A08">
        <w:rPr>
          <w:rFonts w:eastAsia="Times New Roman" w:cs="Calibri Light"/>
          <w:bCs/>
          <w:color w:val="000000"/>
          <w:sz w:val="16"/>
          <w:szCs w:val="20"/>
        </w:rPr>
        <w:t>Avots: CSP</w:t>
      </w:r>
    </w:p>
    <w:p w14:paraId="4FD50AC3" w14:textId="77777777" w:rsidR="00097A08" w:rsidRDefault="00097A08" w:rsidP="00F01249">
      <w:pPr>
        <w:spacing w:after="120"/>
        <w:jc w:val="both"/>
        <w:rPr>
          <w:szCs w:val="20"/>
        </w:rPr>
      </w:pPr>
    </w:p>
    <w:p w14:paraId="72EE7431" w14:textId="3B0AA851" w:rsidR="004C23D5" w:rsidRPr="003E5012" w:rsidRDefault="004C23D5" w:rsidP="00F01249">
      <w:pPr>
        <w:spacing w:after="120"/>
        <w:jc w:val="both"/>
        <w:rPr>
          <w:szCs w:val="20"/>
        </w:rPr>
      </w:pPr>
      <w:r w:rsidRPr="003B4CDA">
        <w:rPr>
          <w:szCs w:val="20"/>
        </w:rPr>
        <w:t xml:space="preserve">Pozitīvi vērtējams fakts, ka pakāpeniski palielinās dabas zinātņu, matemātikas un informācijas tehnoloģiju tematiskā grupā un veselības aprūpes un sociālās labklājības tematiskā grupā studijas uzsākušo īpatsvars. </w:t>
      </w:r>
      <w:r w:rsidRPr="003E5012">
        <w:rPr>
          <w:szCs w:val="20"/>
        </w:rPr>
        <w:t>Kritums pēdējos</w:t>
      </w:r>
      <w:r w:rsidR="00097A08" w:rsidRPr="003E5012">
        <w:rPr>
          <w:szCs w:val="20"/>
        </w:rPr>
        <w:t xml:space="preserve"> </w:t>
      </w:r>
      <w:r w:rsidR="0080669C" w:rsidRPr="003E5012">
        <w:rPr>
          <w:szCs w:val="20"/>
        </w:rPr>
        <w:t>gad</w:t>
      </w:r>
      <w:r w:rsidRPr="003E5012">
        <w:rPr>
          <w:szCs w:val="20"/>
        </w:rPr>
        <w:t>os savukārt vērojams inženierzinātņu, ražošanas un būvniecības izglītības tematiskajā jomā.</w:t>
      </w:r>
    </w:p>
    <w:p w14:paraId="40EC836C" w14:textId="65423167" w:rsidR="004C23D5" w:rsidRPr="003B4CDA" w:rsidRDefault="004C23D5" w:rsidP="00F01249">
      <w:pPr>
        <w:spacing w:after="120"/>
        <w:jc w:val="both"/>
        <w:rPr>
          <w:szCs w:val="20"/>
        </w:rPr>
      </w:pPr>
      <w:r w:rsidRPr="003B4CDA">
        <w:rPr>
          <w:szCs w:val="20"/>
        </w:rPr>
        <w:t>Iepriekšējos</w:t>
      </w:r>
      <w:r w:rsidR="00097A08">
        <w:rPr>
          <w:szCs w:val="20"/>
        </w:rPr>
        <w:t xml:space="preserve"> </w:t>
      </w:r>
      <w:r w:rsidR="0080669C">
        <w:rPr>
          <w:szCs w:val="20"/>
        </w:rPr>
        <w:t>gad</w:t>
      </w:r>
      <w:r w:rsidRPr="003B4CDA">
        <w:rPr>
          <w:szCs w:val="20"/>
        </w:rPr>
        <w:t>os notikušās izmaiņas izglītības politikā atspoguļojas ar laika nobīdi. 2009.</w:t>
      </w:r>
      <w:r w:rsidR="007778C2">
        <w:rPr>
          <w:szCs w:val="20"/>
        </w:rPr>
        <w:t> </w:t>
      </w:r>
      <w:r w:rsidR="0080669C">
        <w:rPr>
          <w:szCs w:val="20"/>
        </w:rPr>
        <w:t>gad</w:t>
      </w:r>
      <w:r w:rsidRPr="003B4CDA">
        <w:rPr>
          <w:szCs w:val="20"/>
        </w:rPr>
        <w:t>ā notikušās straujās uzņemto studentu struktūras izmaiņas augstskolas absolvējušo struktūrā ir redzamas tikai pēc vairākiem</w:t>
      </w:r>
      <w:r w:rsidR="00097A08">
        <w:rPr>
          <w:szCs w:val="20"/>
        </w:rPr>
        <w:t xml:space="preserve"> </w:t>
      </w:r>
      <w:r w:rsidR="0080669C">
        <w:rPr>
          <w:szCs w:val="20"/>
        </w:rPr>
        <w:t>gad</w:t>
      </w:r>
      <w:r w:rsidRPr="003B4CDA">
        <w:rPr>
          <w:szCs w:val="20"/>
        </w:rPr>
        <w:t>iem. Šo</w:t>
      </w:r>
      <w:r w:rsidR="00097A08">
        <w:rPr>
          <w:szCs w:val="20"/>
        </w:rPr>
        <w:t xml:space="preserve"> </w:t>
      </w:r>
      <w:r w:rsidR="0080669C">
        <w:rPr>
          <w:szCs w:val="20"/>
        </w:rPr>
        <w:t>gad</w:t>
      </w:r>
      <w:r w:rsidRPr="003B4CDA">
        <w:rPr>
          <w:szCs w:val="20"/>
        </w:rPr>
        <w:t>u laikā vērojams būtisks sociālo zinātņu tematisko grupu absolvējušo īpatsvara sarukums, reaģējot uz izmaiņām uzņemto studentu struktūrā.</w:t>
      </w:r>
    </w:p>
    <w:p w14:paraId="76B5DC73" w14:textId="14722FC9" w:rsidR="004C23D5" w:rsidRPr="003B4CDA" w:rsidRDefault="004C23D5" w:rsidP="007778C2">
      <w:pPr>
        <w:spacing w:before="120" w:after="120"/>
        <w:jc w:val="right"/>
        <w:rPr>
          <w:szCs w:val="20"/>
        </w:rPr>
      </w:pPr>
      <w:r w:rsidRPr="003B4CDA">
        <w:rPr>
          <w:szCs w:val="20"/>
        </w:rPr>
        <w:t>2.</w:t>
      </w:r>
      <w:r w:rsidR="007A5910">
        <w:rPr>
          <w:szCs w:val="20"/>
        </w:rPr>
        <w:t>20</w:t>
      </w:r>
      <w:r w:rsidRPr="003B4CDA">
        <w:rPr>
          <w:szCs w:val="20"/>
        </w:rPr>
        <w:t>. attēls</w:t>
      </w:r>
    </w:p>
    <w:p w14:paraId="39D70C68" w14:textId="72F7B694" w:rsidR="004C23D5" w:rsidRPr="003B4CDA" w:rsidRDefault="004C23D5" w:rsidP="007778C2">
      <w:pPr>
        <w:spacing w:after="0"/>
        <w:jc w:val="center"/>
        <w:rPr>
          <w:rFonts w:ascii="Segoe UI Light" w:hAnsi="Segoe UI Light"/>
          <w:b/>
          <w:sz w:val="18"/>
          <w:szCs w:val="18"/>
        </w:rPr>
      </w:pPr>
      <w:r w:rsidRPr="1765FC69">
        <w:rPr>
          <w:rFonts w:ascii="Segoe UI Light" w:hAnsi="Segoe UI Light"/>
          <w:b/>
          <w:sz w:val="18"/>
          <w:szCs w:val="18"/>
        </w:rPr>
        <w:t>Augstskolās un koledžās studējošie pēc finansējuma veida pa izglītības tematiskajām grupām</w:t>
      </w:r>
    </w:p>
    <w:p w14:paraId="12632A5F" w14:textId="66E83E1B" w:rsidR="007778C2" w:rsidRPr="003B4CDA" w:rsidRDefault="007778C2" w:rsidP="1765FC69">
      <w:pPr>
        <w:tabs>
          <w:tab w:val="center" w:pos="4253"/>
          <w:tab w:val="center" w:pos="7655"/>
        </w:tabs>
        <w:spacing w:after="120"/>
        <w:rPr>
          <w:rFonts w:ascii="Segoe UI Light" w:hAnsi="Segoe UI Light"/>
          <w:i/>
          <w:iCs/>
          <w:sz w:val="16"/>
          <w:szCs w:val="16"/>
        </w:rPr>
      </w:pPr>
      <w:r w:rsidRPr="003B4CDA">
        <w:rPr>
          <w:rFonts w:ascii="Segoe UI Light" w:hAnsi="Segoe UI Light"/>
          <w:bCs/>
          <w:i/>
          <w:sz w:val="16"/>
          <w:szCs w:val="28"/>
        </w:rPr>
        <w:tab/>
      </w:r>
      <w:r w:rsidRPr="1765FC69">
        <w:rPr>
          <w:rFonts w:ascii="Segoe UI Light" w:hAnsi="Segoe UI Light"/>
          <w:i/>
          <w:iCs/>
          <w:sz w:val="16"/>
          <w:szCs w:val="16"/>
        </w:rPr>
        <w:t>Studentu skaits,</w:t>
      </w:r>
      <w:r w:rsidRPr="00A33532">
        <w:rPr>
          <w:rFonts w:ascii="Segoe UI Light" w:hAnsi="Segoe UI Light"/>
          <w:bCs/>
          <w:i/>
          <w:sz w:val="16"/>
          <w:szCs w:val="28"/>
        </w:rPr>
        <w:tab/>
      </w:r>
      <w:r w:rsidRPr="1765FC69">
        <w:rPr>
          <w:rFonts w:ascii="Segoe UI Light" w:hAnsi="Segoe UI Light"/>
          <w:i/>
          <w:iCs/>
          <w:sz w:val="16"/>
          <w:szCs w:val="16"/>
        </w:rPr>
        <w:t>Atskaitītie studenti</w:t>
      </w:r>
      <w:r w:rsidRPr="003B4CDA">
        <w:rPr>
          <w:rFonts w:ascii="Segoe UI Light" w:hAnsi="Segoe UI Light"/>
          <w:bCs/>
          <w:i/>
          <w:sz w:val="16"/>
          <w:szCs w:val="28"/>
        </w:rPr>
        <w:br/>
      </w:r>
      <w:r w:rsidRPr="003B4CDA">
        <w:rPr>
          <w:rFonts w:ascii="Segoe UI Light" w:hAnsi="Segoe UI Light"/>
          <w:bCs/>
          <w:i/>
          <w:sz w:val="16"/>
        </w:rPr>
        <w:tab/>
      </w:r>
      <w:r w:rsidRPr="1765FC69">
        <w:rPr>
          <w:rFonts w:ascii="Segoe UI Light" w:hAnsi="Segoe UI Light"/>
          <w:i/>
          <w:iCs/>
          <w:sz w:val="16"/>
          <w:szCs w:val="16"/>
        </w:rPr>
        <w:t>2023. gads, tūkstošos</w:t>
      </w:r>
      <w:r w:rsidRPr="003B4CDA">
        <w:rPr>
          <w:rFonts w:ascii="Segoe UI Light" w:hAnsi="Segoe UI Light"/>
          <w:bCs/>
          <w:i/>
          <w:sz w:val="16"/>
        </w:rPr>
        <w:tab/>
      </w:r>
      <w:r w:rsidRPr="1765FC69">
        <w:rPr>
          <w:rFonts w:ascii="Segoe UI Light" w:hAnsi="Segoe UI Light"/>
          <w:i/>
          <w:iCs/>
          <w:sz w:val="16"/>
          <w:szCs w:val="16"/>
        </w:rPr>
        <w:t>202</w:t>
      </w:r>
      <w:r w:rsidR="007213F4">
        <w:rPr>
          <w:rFonts w:ascii="Segoe UI Light" w:hAnsi="Segoe UI Light"/>
          <w:i/>
          <w:iCs/>
          <w:sz w:val="16"/>
          <w:szCs w:val="16"/>
        </w:rPr>
        <w:t>3</w:t>
      </w:r>
      <w:r w:rsidRPr="1765FC69">
        <w:rPr>
          <w:rFonts w:ascii="Segoe UI Light" w:hAnsi="Segoe UI Light"/>
          <w:i/>
          <w:iCs/>
          <w:sz w:val="16"/>
          <w:szCs w:val="16"/>
        </w:rPr>
        <w:t>. gads, % no izglītības tematiskajā</w:t>
      </w:r>
      <w:r w:rsidRPr="003B4CDA">
        <w:rPr>
          <w:rFonts w:ascii="Segoe UI Light" w:hAnsi="Segoe UI Light"/>
          <w:bCs/>
          <w:i/>
          <w:sz w:val="16"/>
        </w:rPr>
        <w:br/>
      </w:r>
      <w:r w:rsidRPr="003B4CDA">
        <w:rPr>
          <w:rFonts w:ascii="Segoe UI Light" w:hAnsi="Segoe UI Light"/>
          <w:bCs/>
          <w:i/>
          <w:sz w:val="16"/>
        </w:rPr>
        <w:tab/>
      </w:r>
      <w:r w:rsidRPr="003B4CDA">
        <w:rPr>
          <w:rFonts w:ascii="Segoe UI Light" w:hAnsi="Segoe UI Light"/>
          <w:bCs/>
          <w:i/>
          <w:sz w:val="16"/>
        </w:rPr>
        <w:tab/>
      </w:r>
      <w:r w:rsidRPr="1765FC69">
        <w:rPr>
          <w:rFonts w:ascii="Segoe UI Light" w:hAnsi="Segoe UI Light"/>
          <w:i/>
          <w:iCs/>
          <w:sz w:val="16"/>
          <w:szCs w:val="16"/>
        </w:rPr>
        <w:t>grupā studējošo skaita</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7778C2" w:rsidRPr="003B4CDA" w14:paraId="72CBC09E" w14:textId="77777777">
        <w:tc>
          <w:tcPr>
            <w:tcW w:w="9639" w:type="dxa"/>
          </w:tcPr>
          <w:p w14:paraId="015D4925" w14:textId="77777777" w:rsidR="007778C2" w:rsidRPr="003B4CDA" w:rsidRDefault="007778C2">
            <w:pPr>
              <w:spacing w:after="0"/>
              <w:ind w:left="-394"/>
              <w:jc w:val="both"/>
              <w:rPr>
                <w:rFonts w:ascii="Segoe UI Light" w:hAnsi="Segoe UI Light"/>
                <w:sz w:val="16"/>
                <w:szCs w:val="16"/>
              </w:rPr>
            </w:pPr>
            <w:r w:rsidRPr="003B4CDA">
              <w:rPr>
                <w:rFonts w:ascii="Segoe UI Light" w:hAnsi="Segoe UI Light"/>
                <w:noProof/>
                <w:sz w:val="16"/>
                <w:szCs w:val="16"/>
                <w:lang w:eastAsia="lv-LV"/>
              </w:rPr>
              <w:drawing>
                <wp:inline distT="0" distB="0" distL="0" distR="0" wp14:anchorId="73EAFC48" wp14:editId="18FA75A1">
                  <wp:extent cx="4023360" cy="2159635"/>
                  <wp:effectExtent l="0" t="0" r="0" b="0"/>
                  <wp:docPr id="298" name="Objec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Pr="003B4CDA">
              <w:rPr>
                <w:rFonts w:ascii="Segoe UI Light" w:hAnsi="Segoe UI Light"/>
                <w:sz w:val="16"/>
                <w:szCs w:val="16"/>
              </w:rPr>
              <w:t xml:space="preserve">   </w:t>
            </w:r>
            <w:r w:rsidRPr="003B4CDA">
              <w:rPr>
                <w:rFonts w:ascii="Segoe UI Light" w:hAnsi="Segoe UI Light"/>
                <w:noProof/>
                <w:sz w:val="16"/>
                <w:szCs w:val="16"/>
                <w:lang w:eastAsia="lv-LV"/>
              </w:rPr>
              <w:drawing>
                <wp:inline distT="0" distB="0" distL="0" distR="0" wp14:anchorId="7A478735" wp14:editId="5FAF2D8E">
                  <wp:extent cx="1896745" cy="2159635"/>
                  <wp:effectExtent l="0" t="0" r="8255" b="0"/>
                  <wp:docPr id="335" name="Objec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c>
      </w:tr>
    </w:tbl>
    <w:p w14:paraId="0DA965BD" w14:textId="3BA92EF5" w:rsidR="007778C2" w:rsidRPr="007778C2" w:rsidRDefault="007778C2" w:rsidP="1765FC69">
      <w:pPr>
        <w:spacing w:after="120" w:line="365" w:lineRule="atLeast"/>
        <w:jc w:val="both"/>
        <w:rPr>
          <w:rFonts w:eastAsia="Times New Roman" w:cs="Calibri Light"/>
          <w:color w:val="000000"/>
          <w:sz w:val="16"/>
          <w:szCs w:val="16"/>
        </w:rPr>
      </w:pPr>
      <w:r w:rsidRPr="1765FC69">
        <w:rPr>
          <w:rFonts w:eastAsia="Times New Roman" w:cs="Calibri Light"/>
          <w:color w:val="000000" w:themeColor="text1"/>
          <w:sz w:val="16"/>
          <w:szCs w:val="16"/>
        </w:rPr>
        <w:t>Avots: CSP</w:t>
      </w:r>
    </w:p>
    <w:p w14:paraId="2685E663" w14:textId="77777777" w:rsidR="003F161B" w:rsidRPr="003B4CDA" w:rsidRDefault="003F161B" w:rsidP="003F161B">
      <w:pPr>
        <w:spacing w:after="120"/>
        <w:jc w:val="both"/>
        <w:rPr>
          <w:szCs w:val="20"/>
        </w:rPr>
      </w:pPr>
      <w:r w:rsidRPr="003B4CDA">
        <w:rPr>
          <w:szCs w:val="20"/>
        </w:rPr>
        <w:lastRenderedPageBreak/>
        <w:t>Salīdzinoši nelielais absolvējušo skaita īpatsvara pieaugums dabas zinātņu, matemātikas un informācijas tehnoloģiju tematiskajā grupā, kā arī kritums inženierzinātņu, ražošanas un būvniecības tematiskajā grupā skaidrojams ar salīdzinoši lielu studentu atbirumu studiju laikā.</w:t>
      </w:r>
    </w:p>
    <w:p w14:paraId="79E42A95" w14:textId="77777777" w:rsidR="003F161B" w:rsidRPr="000B5263" w:rsidRDefault="003F161B" w:rsidP="003F161B">
      <w:pPr>
        <w:spacing w:after="120"/>
        <w:jc w:val="both"/>
        <w:rPr>
          <w:szCs w:val="20"/>
        </w:rPr>
      </w:pPr>
      <w:r w:rsidRPr="00EF28FC">
        <w:rPr>
          <w:szCs w:val="20"/>
        </w:rPr>
        <w:t>Viens no izglītības politikas vidēja termiņa mērķiem ir pārstrukturēt valsts atbalstu augstākās izglītības studiju virzieniem. 2022.  gadā uzņemto studentu skaits par budžeta līdzekļiem STEM (dabaszinātnes, matemātikas un informācijas tehnoloģijas, kā arī inženierzinātnes, ražošanas un būvniecības izglītības tematiskās grupas) programmās veidoja 65% no kopējā uzņemto studentu skaita budžeta vietās (2020. gada mērķis – 55%</w:t>
      </w:r>
      <w:r w:rsidRPr="00EF28FC">
        <w:rPr>
          <w:rStyle w:val="FootnoteReference"/>
          <w:szCs w:val="20"/>
        </w:rPr>
        <w:footnoteReference w:id="3"/>
      </w:r>
      <w:r w:rsidRPr="00EF28FC">
        <w:rPr>
          <w:szCs w:val="20"/>
        </w:rPr>
        <w:t>). Ir jāturpina īstenot pasākumus vidusskolu absolventu piesaistei valstij nozīmīgiem studiju virzieniem. Vienlaikus būtiski ir mazināt arī studentu atbirumu STEM virzienos, kas joprojām ir ievērojami augstāks nekā citos virzienos.</w:t>
      </w:r>
    </w:p>
    <w:p w14:paraId="36B0B7BC" w14:textId="22C8BF6D" w:rsidR="007778C2" w:rsidRPr="00DA47C6" w:rsidRDefault="007778C2" w:rsidP="007778C2">
      <w:pPr>
        <w:spacing w:after="120"/>
        <w:jc w:val="both"/>
        <w:rPr>
          <w:highlight w:val="yellow"/>
        </w:rPr>
      </w:pPr>
      <w:r>
        <w:t>Jāatzīmē, ka joprojām būtiska nozīme jauniešu izvēlei par labu studijām STEM jomās ir valsts atbalsts un budžeta vietu pieejamība. Uzņemto studentu īpatsvars par budžeta līdzekļiem inženierzinātnes, ražošanas un būvniecības izglītības tematiskajā jomā 2023. gadā veidoja aptuveni 65% no visiem uzņemtajiem studentiem attiecīgajās programmās. Tāpat augsts uzņemto studentu īpatsvars valsts finansētās studiju vietās vērojams dabaszinātnes, matemātikas un informācijas tehnoloģijas tematiskajās jomās – 57% no visiem studējošajiem uzņemti studijās par valsts budžeta līdzekļiem.</w:t>
      </w:r>
    </w:p>
    <w:p w14:paraId="34858A5A" w14:textId="74FEDF44" w:rsidR="007778C2" w:rsidRDefault="007778C2" w:rsidP="007778C2">
      <w:pPr>
        <w:spacing w:after="120"/>
        <w:jc w:val="both"/>
      </w:pPr>
      <w:r>
        <w:t>Lai gan pēdējo gadu laikā proporcionāli palielinās to jauniešu īpatsvars, kas studē par budžeta līdzekļiem, tomēr joprojām lielākā daļa studijas uzsāk par saviem līdzekļiem. 2023. gadā aptuveni 41% no kopējā studijas uzsākušo skaita studijas sāka par budžeta līdzekļiem.</w:t>
      </w:r>
    </w:p>
    <w:p w14:paraId="2919E47E" w14:textId="5D1869D6" w:rsidR="007778C2" w:rsidRPr="003B4CDA" w:rsidRDefault="007778C2" w:rsidP="007778C2">
      <w:pPr>
        <w:spacing w:after="120"/>
        <w:jc w:val="both"/>
      </w:pPr>
      <w:r>
        <w:t>Profesionālās vidējās izglītības iestādēs jaunieši visvairāk izvēlas mācīties inženierzinātņu, ražošanas un būvniecības tematiskajā grupā (2023. gadā 38% no kopējā studentu skaita). Šī grupa skaitliski ir vislielākā. Kopš 2008. gada tās īpatsvars bija samazinājies, tomēr 2023. gadā ir atgriezies 2012. gada līmenī. Kopš 2018. gada būtiski ir samazinājies izglītības tematiskās grupas “pakalpojumi” uzņemto audzēkņu skaita īpatsvars (2018. gadā – 27% no uzņemto audzēkņu skaita; 2023. gadā –21%). Vienlaikus šajā periodā ir pieaudzis studentu īpatsvars lauksaimniecības izglītības tematiskajā grupā (2023. gadā, salīdzinot ar 2018. gadu, par 3 procentpunktiem).</w:t>
      </w:r>
    </w:p>
    <w:p w14:paraId="42FBF652" w14:textId="411A0076" w:rsidR="004C23D5" w:rsidRPr="003B4CDA" w:rsidRDefault="004C23D5" w:rsidP="00F01249">
      <w:pPr>
        <w:spacing w:after="120"/>
        <w:jc w:val="right"/>
        <w:rPr>
          <w:szCs w:val="20"/>
        </w:rPr>
      </w:pPr>
      <w:r w:rsidRPr="003B4CDA">
        <w:rPr>
          <w:szCs w:val="20"/>
        </w:rPr>
        <w:t>2.2</w:t>
      </w:r>
      <w:r w:rsidR="007A5910">
        <w:rPr>
          <w:szCs w:val="20"/>
        </w:rPr>
        <w:t>1</w:t>
      </w:r>
      <w:r w:rsidRPr="003B4CDA">
        <w:rPr>
          <w:szCs w:val="20"/>
        </w:rPr>
        <w:t>. attēls</w:t>
      </w:r>
    </w:p>
    <w:p w14:paraId="5725727E" w14:textId="39A8569A" w:rsidR="004C23D5" w:rsidRPr="003B4CDA" w:rsidRDefault="00FA2A6A" w:rsidP="007778C2">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0"/>
        <w:rPr>
          <w:rFonts w:ascii="Segoe UI Light" w:hAnsi="Segoe UI Light"/>
          <w:b/>
          <w:bCs/>
          <w:szCs w:val="26"/>
        </w:rPr>
      </w:pPr>
      <w:r>
        <w:rPr>
          <w:rFonts w:ascii="Segoe UI Light" w:hAnsi="Segoe UI Light"/>
          <w:b/>
          <w:bCs/>
          <w:szCs w:val="26"/>
        </w:rPr>
        <w:t>Izglītojamo</w:t>
      </w:r>
      <w:r w:rsidRPr="003B4CDA">
        <w:rPr>
          <w:rFonts w:ascii="Segoe UI Light" w:hAnsi="Segoe UI Light"/>
          <w:b/>
          <w:bCs/>
          <w:szCs w:val="26"/>
        </w:rPr>
        <w:t xml:space="preserve"> </w:t>
      </w:r>
      <w:r w:rsidR="004C23D5" w:rsidRPr="003B4CDA">
        <w:rPr>
          <w:rFonts w:ascii="Segoe UI Light" w:hAnsi="Segoe UI Light"/>
          <w:b/>
          <w:bCs/>
          <w:szCs w:val="26"/>
        </w:rPr>
        <w:t>skaita sadalījums profesionālās izglītības iestādēs pa izglītības tematiskām grupām</w:t>
      </w:r>
    </w:p>
    <w:p w14:paraId="52A62948" w14:textId="7375DEDC" w:rsidR="004C23D5" w:rsidRPr="003B4CDA" w:rsidRDefault="004C23D5" w:rsidP="00F01249">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6804"/>
        </w:tabs>
        <w:suppressAutoHyphens/>
        <w:spacing w:after="120"/>
        <w:jc w:val="left"/>
        <w:rPr>
          <w:rFonts w:ascii="Segoe UI Light" w:hAnsi="Segoe UI Light"/>
          <w:b/>
          <w:i/>
          <w:sz w:val="16"/>
          <w:szCs w:val="16"/>
        </w:rPr>
      </w:pPr>
      <w:r w:rsidRPr="003B4CDA">
        <w:rPr>
          <w:rFonts w:ascii="Segoe UI Light" w:hAnsi="Segoe UI Light"/>
          <w:bCs/>
          <w:i/>
          <w:sz w:val="16"/>
          <w:szCs w:val="22"/>
        </w:rPr>
        <w:tab/>
      </w:r>
      <w:r w:rsidRPr="1765FC69">
        <w:rPr>
          <w:rFonts w:ascii="Segoe UI Light" w:hAnsi="Segoe UI Light"/>
          <w:i/>
          <w:sz w:val="16"/>
          <w:szCs w:val="16"/>
        </w:rPr>
        <w:t xml:space="preserve">uzņemto </w:t>
      </w:r>
      <w:r w:rsidR="00FA2A6A">
        <w:rPr>
          <w:rFonts w:ascii="Segoe UI Light" w:hAnsi="Segoe UI Light"/>
          <w:i/>
          <w:sz w:val="16"/>
          <w:szCs w:val="16"/>
        </w:rPr>
        <w:t>izglītojamo</w:t>
      </w:r>
      <w:r w:rsidRPr="1765FC69">
        <w:rPr>
          <w:rFonts w:ascii="Segoe UI Light" w:hAnsi="Segoe UI Light"/>
          <w:i/>
          <w:sz w:val="16"/>
          <w:szCs w:val="16"/>
        </w:rPr>
        <w:t xml:space="preserve"> skaits, procentos</w:t>
      </w:r>
      <w:r w:rsidRPr="003B4CDA">
        <w:rPr>
          <w:rFonts w:ascii="Segoe UI Light" w:hAnsi="Segoe UI Light"/>
          <w:b/>
          <w:bCs/>
          <w:i/>
          <w:sz w:val="16"/>
          <w:szCs w:val="22"/>
        </w:rPr>
        <w:tab/>
      </w:r>
      <w:r w:rsidR="00FA2A6A">
        <w:rPr>
          <w:rFonts w:ascii="Segoe UI Light" w:hAnsi="Segoe UI Light"/>
          <w:b/>
          <w:bCs/>
          <w:i/>
          <w:sz w:val="16"/>
          <w:szCs w:val="22"/>
        </w:rPr>
        <w:t xml:space="preserve">profesionālo </w:t>
      </w:r>
      <w:r w:rsidRPr="1765FC69">
        <w:rPr>
          <w:rFonts w:ascii="Segoe UI Light" w:hAnsi="Segoe UI Light"/>
          <w:i/>
          <w:sz w:val="16"/>
          <w:szCs w:val="16"/>
        </w:rPr>
        <w:t>kvalifikāciju ieguvušo skaits, procentos</w:t>
      </w:r>
    </w:p>
    <w:p w14:paraId="656F62A9" w14:textId="77777777" w:rsidR="007778C2" w:rsidRPr="003B4CDA" w:rsidRDefault="007778C2" w:rsidP="003F161B">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237"/>
        </w:tabs>
        <w:suppressAutoHyphens/>
        <w:spacing w:after="120"/>
        <w:jc w:val="left"/>
        <w:rPr>
          <w:rFonts w:asciiTheme="minorHAnsi" w:hAnsiTheme="minorHAnsi"/>
          <w:sz w:val="20"/>
        </w:rPr>
      </w:pPr>
      <w:r w:rsidRPr="003B4CDA">
        <w:rPr>
          <w:rFonts w:asciiTheme="minorHAnsi" w:hAnsiTheme="minorHAnsi"/>
          <w:noProof/>
          <w:sz w:val="20"/>
          <w:lang w:eastAsia="lv-LV"/>
        </w:rPr>
        <w:drawing>
          <wp:inline distT="0" distB="0" distL="0" distR="0" wp14:anchorId="13F2AD41" wp14:editId="5AF21209">
            <wp:extent cx="2880000" cy="2160000"/>
            <wp:effectExtent l="0" t="0" r="0" b="0"/>
            <wp:docPr id="299"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Pr="003B4CDA">
        <w:rPr>
          <w:rFonts w:asciiTheme="minorHAnsi" w:hAnsiTheme="minorHAnsi"/>
          <w:noProof/>
          <w:sz w:val="20"/>
          <w:lang w:eastAsia="lv-LV"/>
        </w:rPr>
        <w:drawing>
          <wp:inline distT="0" distB="0" distL="0" distR="0" wp14:anchorId="313118A3" wp14:editId="19F757E5">
            <wp:extent cx="2880000" cy="2160000"/>
            <wp:effectExtent l="0" t="0" r="0" b="0"/>
            <wp:docPr id="300"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0AA42CA" w14:textId="189A4E26" w:rsidR="004C23D5" w:rsidRPr="003B4CDA" w:rsidRDefault="007778C2" w:rsidP="007778C2">
      <w:pPr>
        <w:pStyle w:val="9pirmstab3"/>
        <w:tabs>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0"/>
        <w:jc w:val="left"/>
        <w:rPr>
          <w:rFonts w:asciiTheme="minorHAnsi" w:hAnsiTheme="minorHAnsi"/>
          <w:bCs/>
          <w:sz w:val="20"/>
        </w:rPr>
      </w:pPr>
      <w:r w:rsidRPr="003B4CDA">
        <w:rPr>
          <w:rFonts w:asciiTheme="minorHAnsi" w:hAnsiTheme="minorHAnsi"/>
          <w:noProof/>
          <w:sz w:val="20"/>
          <w:lang w:eastAsia="lv-LV"/>
        </w:rPr>
        <w:drawing>
          <wp:inline distT="0" distB="0" distL="0" distR="0" wp14:anchorId="42489D38" wp14:editId="76C456FD">
            <wp:extent cx="5760000" cy="720000"/>
            <wp:effectExtent l="0" t="0" r="0" b="4445"/>
            <wp:docPr id="301"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ED0F99A" w14:textId="77777777" w:rsidR="004C23D5" w:rsidRPr="00097A08" w:rsidRDefault="004C23D5" w:rsidP="00F01249">
      <w:pPr>
        <w:spacing w:after="120" w:line="365" w:lineRule="atLeast"/>
        <w:jc w:val="both"/>
        <w:rPr>
          <w:rFonts w:eastAsia="Times New Roman" w:cs="Calibri Light"/>
          <w:bCs/>
          <w:color w:val="000000"/>
          <w:sz w:val="16"/>
          <w:szCs w:val="20"/>
        </w:rPr>
      </w:pPr>
      <w:r w:rsidRPr="00097A08">
        <w:rPr>
          <w:rFonts w:eastAsia="Times New Roman" w:cs="Calibri Light"/>
          <w:bCs/>
          <w:color w:val="000000"/>
          <w:sz w:val="16"/>
          <w:szCs w:val="20"/>
        </w:rPr>
        <w:t>Avots: CSP</w:t>
      </w:r>
    </w:p>
    <w:p w14:paraId="0FBB9765" w14:textId="77777777" w:rsidR="00097A08" w:rsidRDefault="00097A08" w:rsidP="00F01249">
      <w:pPr>
        <w:spacing w:after="120"/>
        <w:jc w:val="both"/>
        <w:rPr>
          <w:b/>
          <w:szCs w:val="20"/>
        </w:rPr>
      </w:pPr>
    </w:p>
    <w:p w14:paraId="3A25E7CA" w14:textId="77777777" w:rsidR="003F161B" w:rsidRDefault="003F161B">
      <w:pPr>
        <w:spacing w:after="0"/>
        <w:rPr>
          <w:rFonts w:ascii="Aptos Narrow" w:hAnsi="Aptos Narrow"/>
          <w:b/>
          <w:color w:val="5F497A" w:themeColor="accent4" w:themeShade="BF"/>
          <w:sz w:val="28"/>
          <w:szCs w:val="28"/>
        </w:rPr>
      </w:pPr>
      <w:r>
        <w:rPr>
          <w:rFonts w:ascii="Aptos Narrow" w:hAnsi="Aptos Narrow"/>
          <w:b/>
          <w:color w:val="5F497A" w:themeColor="accent4" w:themeShade="BF"/>
          <w:sz w:val="28"/>
          <w:szCs w:val="28"/>
        </w:rPr>
        <w:br w:type="page"/>
      </w:r>
    </w:p>
    <w:p w14:paraId="72260C38" w14:textId="078CA86C" w:rsidR="004C23D5" w:rsidRPr="003F161B" w:rsidRDefault="004C23D5" w:rsidP="00F01249">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lastRenderedPageBreak/>
        <w:t>Pieaugušo izglītība</w:t>
      </w:r>
    </w:p>
    <w:p w14:paraId="38AFAF63" w14:textId="4ED3686B" w:rsidR="004C23D5" w:rsidRPr="003B4CDA" w:rsidRDefault="007778C2" w:rsidP="00F01249">
      <w:pPr>
        <w:spacing w:after="120"/>
        <w:jc w:val="both"/>
      </w:pPr>
      <w:r>
        <w:t>2023. </w:t>
      </w:r>
      <w:r w:rsidR="0080669C">
        <w:t>gad</w:t>
      </w:r>
      <w:r w:rsidR="004C23D5">
        <w:t xml:space="preserve">ā </w:t>
      </w:r>
      <w:r>
        <w:t>10</w:t>
      </w:r>
      <w:r w:rsidR="004C23D5">
        <w:t>,7</w:t>
      </w:r>
      <w:r w:rsidR="0080669C">
        <w:t>%</w:t>
      </w:r>
      <w:r w:rsidR="004C23D5">
        <w:t xml:space="preserve"> Latvijas iedzīvotāju vecumā no 25 līdz </w:t>
      </w:r>
      <w:r>
        <w:t>64 gadiem</w:t>
      </w:r>
      <w:r w:rsidR="004C23D5">
        <w:t xml:space="preserve"> bija iesaistīti pieaugušo izglītības aktivitātēs, kamēr Ziemeļvalstīs šis rādītājs bija trīs un pat četras reizes augstāks. Lai arī </w:t>
      </w:r>
      <w:r w:rsidR="00FE223B">
        <w:t xml:space="preserve">kopš 2020. gada </w:t>
      </w:r>
      <w:r w:rsidR="004C23D5">
        <w:t>pieaugušo dalība izglītības procesā ir pieaugusi (</w:t>
      </w:r>
      <w:r w:rsidR="00FE223B">
        <w:t xml:space="preserve">2023. gadā, </w:t>
      </w:r>
      <w:r w:rsidR="004C23D5">
        <w:t xml:space="preserve">salīdzinot ar </w:t>
      </w:r>
      <w:r>
        <w:t>202</w:t>
      </w:r>
      <w:r w:rsidR="008F777F">
        <w:t>0</w:t>
      </w:r>
      <w:r>
        <w:t>. </w:t>
      </w:r>
      <w:r w:rsidR="0080669C">
        <w:t>gad</w:t>
      </w:r>
      <w:r w:rsidR="004C23D5">
        <w:t>u</w:t>
      </w:r>
      <w:r w:rsidR="00FE223B">
        <w:t xml:space="preserve">, </w:t>
      </w:r>
      <w:r w:rsidR="00FE223B" w:rsidRPr="00FE223B">
        <w:t xml:space="preserve"> </w:t>
      </w:r>
      <w:r w:rsidR="00FE223B">
        <w:t xml:space="preserve">par </w:t>
      </w:r>
      <w:r w:rsidR="008F777F">
        <w:t>4</w:t>
      </w:r>
      <w:r w:rsidR="00FE223B">
        <w:t>,</w:t>
      </w:r>
      <w:r w:rsidR="008F777F">
        <w:t>1</w:t>
      </w:r>
      <w:r w:rsidR="00FE223B">
        <w:t xml:space="preserve"> procentpunktu</w:t>
      </w:r>
      <w:r w:rsidR="004C23D5">
        <w:t>), tā saglabājās zem ES vidējā līmeņa. Politikas mērķis paredz līdz 202</w:t>
      </w:r>
      <w:r w:rsidR="00FE223B">
        <w:t>4</w:t>
      </w:r>
      <w:r w:rsidR="004C23D5">
        <w:t>.</w:t>
      </w:r>
      <w:r>
        <w:t> </w:t>
      </w:r>
      <w:r w:rsidR="0080669C">
        <w:t>gad</w:t>
      </w:r>
      <w:r w:rsidR="004C23D5">
        <w:t>am sasniegt vismaz 1</w:t>
      </w:r>
      <w:r w:rsidR="00371F28">
        <w:t>0</w:t>
      </w:r>
      <w:r w:rsidR="0080669C">
        <w:t>%</w:t>
      </w:r>
      <w:r w:rsidR="004C23D5">
        <w:t xml:space="preserve"> pieaugušo iedzīvotāju iesaisti pieaugušo izglītībā.</w:t>
      </w:r>
    </w:p>
    <w:p w14:paraId="46E84A4C" w14:textId="4F23BF0B" w:rsidR="004C23D5" w:rsidRPr="003B4CDA" w:rsidRDefault="004C23D5" w:rsidP="00F01249">
      <w:pPr>
        <w:tabs>
          <w:tab w:val="left" w:pos="816"/>
          <w:tab w:val="right" w:pos="9072"/>
        </w:tabs>
        <w:spacing w:after="120"/>
        <w:jc w:val="right"/>
        <w:rPr>
          <w:szCs w:val="20"/>
        </w:rPr>
      </w:pPr>
      <w:bookmarkStart w:id="50" w:name="_Hlk103939026"/>
      <w:r w:rsidRPr="003B4CDA">
        <w:rPr>
          <w:szCs w:val="20"/>
        </w:rPr>
        <w:t>2.2</w:t>
      </w:r>
      <w:r w:rsidR="007A5910">
        <w:rPr>
          <w:szCs w:val="20"/>
        </w:rPr>
        <w:t>2</w:t>
      </w:r>
      <w:r w:rsidRPr="003B4CDA">
        <w:rPr>
          <w:szCs w:val="20"/>
        </w:rPr>
        <w:t>. attēls</w:t>
      </w:r>
    </w:p>
    <w:p w14:paraId="58771D93" w14:textId="30668853" w:rsidR="004C23D5" w:rsidRPr="003B4CDA" w:rsidRDefault="004C23D5" w:rsidP="004C23D5">
      <w:pPr>
        <w:spacing w:after="120"/>
        <w:jc w:val="center"/>
        <w:rPr>
          <w:rFonts w:ascii="Segoe UI Light" w:hAnsi="Segoe UI Light"/>
          <w:i/>
          <w:iCs/>
          <w:sz w:val="16"/>
          <w:szCs w:val="16"/>
        </w:rPr>
      </w:pPr>
      <w:r w:rsidRPr="69EB23FD">
        <w:rPr>
          <w:rFonts w:ascii="Segoe UI Light" w:hAnsi="Segoe UI Light"/>
          <w:b/>
          <w:bCs/>
          <w:sz w:val="18"/>
          <w:szCs w:val="18"/>
        </w:rPr>
        <w:t xml:space="preserve">Iedzīvotāju līdzdalība pieaugušo izglītībā* </w:t>
      </w:r>
      <w:r>
        <w:br/>
      </w:r>
      <w:r w:rsidRPr="69EB23FD">
        <w:rPr>
          <w:rFonts w:ascii="Segoe UI Light" w:hAnsi="Segoe UI Light"/>
          <w:i/>
          <w:iCs/>
          <w:sz w:val="16"/>
          <w:szCs w:val="16"/>
        </w:rPr>
        <w:t>vecuma grupā 25-</w:t>
      </w:r>
      <w:r w:rsidR="007778C2" w:rsidRPr="69EB23FD">
        <w:rPr>
          <w:rFonts w:ascii="Segoe UI Light" w:hAnsi="Segoe UI Light"/>
          <w:i/>
          <w:iCs/>
          <w:sz w:val="16"/>
          <w:szCs w:val="16"/>
        </w:rPr>
        <w:t>64 gadi</w:t>
      </w:r>
      <w:r w:rsidRPr="69EB23FD">
        <w:rPr>
          <w:rFonts w:ascii="Segoe UI Light" w:hAnsi="Segoe UI Light"/>
          <w:i/>
          <w:iCs/>
          <w:sz w:val="16"/>
          <w:szCs w:val="16"/>
        </w:rPr>
        <w:t>, procentos</w:t>
      </w:r>
    </w:p>
    <w:p w14:paraId="6CB673AE" w14:textId="199015B2" w:rsidR="004C23D5" w:rsidRPr="003B4CDA" w:rsidRDefault="007778C2" w:rsidP="005F2B6A">
      <w:pPr>
        <w:spacing w:after="120"/>
        <w:ind w:right="-1"/>
        <w:jc w:val="center"/>
      </w:pPr>
      <w:r w:rsidRPr="003B4CDA">
        <w:rPr>
          <w:rFonts w:cs="Segoe UI"/>
          <w:noProof/>
          <w:szCs w:val="20"/>
          <w:lang w:eastAsia="lv-LV"/>
        </w:rPr>
        <w:drawing>
          <wp:inline distT="0" distB="0" distL="0" distR="0" wp14:anchorId="654A2C75" wp14:editId="609F8DFE">
            <wp:extent cx="5760000" cy="2880000"/>
            <wp:effectExtent l="0" t="0" r="0" b="0"/>
            <wp:docPr id="310" name="Chart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bookmarkEnd w:id="50"/>
    <w:p w14:paraId="2E80CDE7" w14:textId="77777777" w:rsidR="004C23D5" w:rsidRPr="00097A08" w:rsidRDefault="004C23D5" w:rsidP="00097A08">
      <w:pPr>
        <w:spacing w:before="120" w:after="120"/>
        <w:rPr>
          <w:sz w:val="16"/>
          <w:szCs w:val="16"/>
        </w:rPr>
      </w:pPr>
      <w:r w:rsidRPr="00097A08">
        <w:rPr>
          <w:sz w:val="16"/>
          <w:szCs w:val="16"/>
        </w:rPr>
        <w:t xml:space="preserve">Avots: </w:t>
      </w:r>
      <w:proofErr w:type="spellStart"/>
      <w:r w:rsidRPr="00097A08">
        <w:rPr>
          <w:i/>
          <w:sz w:val="16"/>
          <w:szCs w:val="16"/>
        </w:rPr>
        <w:t>Eurostat</w:t>
      </w:r>
      <w:proofErr w:type="spellEnd"/>
      <w:r w:rsidRPr="00097A08">
        <w:rPr>
          <w:i/>
          <w:sz w:val="16"/>
          <w:szCs w:val="16"/>
        </w:rPr>
        <w:t xml:space="preserve"> (EU </w:t>
      </w:r>
      <w:r w:rsidRPr="00097A08">
        <w:rPr>
          <w:i/>
          <w:sz w:val="16"/>
          <w:szCs w:val="16"/>
          <w:lang w:val="en-GB"/>
        </w:rPr>
        <w:t>Labour force survey</w:t>
      </w:r>
      <w:r w:rsidRPr="00097A08">
        <w:rPr>
          <w:i/>
          <w:sz w:val="16"/>
          <w:szCs w:val="16"/>
        </w:rPr>
        <w:t>)</w:t>
      </w:r>
      <w:r w:rsidRPr="00097A08">
        <w:rPr>
          <w:i/>
          <w:sz w:val="16"/>
          <w:szCs w:val="16"/>
        </w:rPr>
        <w:br/>
      </w:r>
      <w:r w:rsidRPr="00097A08">
        <w:rPr>
          <w:sz w:val="16"/>
          <w:szCs w:val="16"/>
        </w:rPr>
        <w:t xml:space="preserve">* Četru nedēļu laikā pirms </w:t>
      </w:r>
      <w:proofErr w:type="spellStart"/>
      <w:r w:rsidRPr="00097A08">
        <w:rPr>
          <w:sz w:val="16"/>
          <w:szCs w:val="16"/>
        </w:rPr>
        <w:t>apsekojuma</w:t>
      </w:r>
      <w:proofErr w:type="spellEnd"/>
    </w:p>
    <w:p w14:paraId="4853E433" w14:textId="77777777" w:rsidR="00097A08" w:rsidRDefault="00097A08" w:rsidP="00F01249">
      <w:pPr>
        <w:spacing w:after="120"/>
        <w:jc w:val="both"/>
      </w:pPr>
    </w:p>
    <w:p w14:paraId="1E67DBC8" w14:textId="5EC354FA" w:rsidR="004C23D5" w:rsidRDefault="003C36D8" w:rsidP="00F01249">
      <w:pPr>
        <w:spacing w:after="120"/>
        <w:jc w:val="both"/>
      </w:pPr>
      <w:r>
        <w:t xml:space="preserve">Nepietiekamai </w:t>
      </w:r>
      <w:r w:rsidR="004C23D5">
        <w:t xml:space="preserve">iesaiste par pamatu ir vairāki iemesli un fundamentālas problēmas visās trīs pieaugušo izglītības procesā iesaistītajās pusēs </w:t>
      </w:r>
      <w:r w:rsidR="007778C2">
        <w:t>-</w:t>
      </w:r>
      <w:r w:rsidR="00560342">
        <w:t xml:space="preserve"> </w:t>
      </w:r>
      <w:r w:rsidR="004C23D5">
        <w:t xml:space="preserve">darba devēji, darba ņēmēji un izglītības pakalpojumu sniedzēji. Sabiedrībā kopumā joprojām par pieaugušo izglītību ir zema interese. Arī zemais atalgojums virknē profesiju un nozaru ir viens no būtiskiem </w:t>
      </w:r>
      <w:r w:rsidR="007778C2">
        <w:t>šķē</w:t>
      </w:r>
      <w:r w:rsidR="001A2441">
        <w:t>r</w:t>
      </w:r>
      <w:r w:rsidR="007778C2">
        <w:t>šļiem</w:t>
      </w:r>
      <w:r w:rsidR="004C23D5">
        <w:t xml:space="preserve"> personu iesaistei ilgākos mācības kursos. Iedzīvotāji pārsvarā sagaida </w:t>
      </w:r>
      <w:r>
        <w:t xml:space="preserve">mācību piedāvājumu </w:t>
      </w:r>
      <w:r w:rsidR="004C23D5">
        <w:t xml:space="preserve">individuālo kompetenču celšanai, un pieaugušo izglītība netiek aplūkota kā karjeras izaugsmes iespēja. Kavējošs faktors ir ari vājā reģionālā mobilitāte un iespēja apvienot mācības ar darbu. </w:t>
      </w:r>
      <w:r w:rsidR="003307F6">
        <w:t xml:space="preserve">Saskaņā ar CSP datiem </w:t>
      </w:r>
      <w:r w:rsidR="003307F6" w:rsidRPr="00E26023">
        <w:t>2020. gadā 30,7 % darbinieku piedalījās darba devēja organizētās mācībās</w:t>
      </w:r>
      <w:r w:rsidR="003307F6">
        <w:t xml:space="preserve"> Latvijā</w:t>
      </w:r>
      <w:r w:rsidR="003307F6" w:rsidRPr="00E26023">
        <w:t xml:space="preserve">, </w:t>
      </w:r>
      <w:r w:rsidR="003307F6">
        <w:t>v</w:t>
      </w:r>
      <w:r w:rsidR="003307F6" w:rsidRPr="00E26023">
        <w:t>idēji ES šis rādītājs bija 42,4%.</w:t>
      </w:r>
      <w:r w:rsidR="003307F6">
        <w:t xml:space="preserve"> I</w:t>
      </w:r>
      <w:r w:rsidR="003307F6" w:rsidRPr="00E26023">
        <w:t>zmaksas viena dalībnieka</w:t>
      </w:r>
      <w:r w:rsidR="003307F6">
        <w:t xml:space="preserve"> mācībās</w:t>
      </w:r>
      <w:r w:rsidR="003307F6" w:rsidRPr="00E26023">
        <w:t xml:space="preserve"> 2020. gadā Latvijā veidoja vidēji 297 eiro un bija mazākās starp Baltijas valstīm. </w:t>
      </w:r>
      <w:r w:rsidR="00E26023">
        <w:t xml:space="preserve">Latvijā darba devēji salīdzinoši mazāk nekā citās ES valstīs atbalsta savu darbinieku mācības. </w:t>
      </w:r>
      <w:r w:rsidR="003307F6">
        <w:t xml:space="preserve">2023. gadā par 1,1 procentpunktu samazinājās nodarbināto pieaugušo dalība mācības, kas tiek organizētas apmaksāto darba stundu laikā no </w:t>
      </w:r>
      <w:r w:rsidR="003307F6" w:rsidRPr="00AF4B26">
        <w:t>47</w:t>
      </w:r>
      <w:r w:rsidR="00AF4B26">
        <w:t>,</w:t>
      </w:r>
      <w:r w:rsidR="003307F6" w:rsidRPr="00AF4B26">
        <w:t>9%</w:t>
      </w:r>
      <w:r w:rsidR="003307F6" w:rsidRPr="003307F6">
        <w:t xml:space="preserve"> (2022) </w:t>
      </w:r>
      <w:r w:rsidR="003307F6">
        <w:t>līdz</w:t>
      </w:r>
      <w:r w:rsidR="003307F6" w:rsidRPr="003307F6">
        <w:t xml:space="preserve"> </w:t>
      </w:r>
      <w:r w:rsidR="003307F6" w:rsidRPr="00AF4B26">
        <w:t>46</w:t>
      </w:r>
      <w:r w:rsidR="00AF4B26">
        <w:t>,</w:t>
      </w:r>
      <w:r w:rsidR="003307F6" w:rsidRPr="00AF4B26">
        <w:t>8%</w:t>
      </w:r>
      <w:r w:rsidR="003307F6" w:rsidRPr="003307F6">
        <w:t xml:space="preserve"> (2023)</w:t>
      </w:r>
      <w:r w:rsidR="003307F6">
        <w:t>, atpaliekot no plānotā mērķa – 55% (2027). D</w:t>
      </w:r>
      <w:r w:rsidR="003307F6" w:rsidRPr="003307F6">
        <w:t xml:space="preserve">arba devēju izdevumi </w:t>
      </w:r>
      <w:r w:rsidR="003307F6">
        <w:t>savu darbinieku izglītošanai</w:t>
      </w:r>
      <w:r w:rsidR="003307F6" w:rsidRPr="003307F6">
        <w:t xml:space="preserve"> no kopējām darbaspēka izmaksām </w:t>
      </w:r>
      <w:r w:rsidR="003307F6">
        <w:t xml:space="preserve">ir </w:t>
      </w:r>
      <w:r w:rsidR="003307F6" w:rsidRPr="003307F6">
        <w:t>vieni no zemākajiem ES</w:t>
      </w:r>
      <w:r w:rsidR="003307F6" w:rsidRPr="003307F6">
        <w:rPr>
          <w:vertAlign w:val="superscript"/>
        </w:rPr>
        <w:endnoteReference w:id="2"/>
      </w:r>
      <w:r w:rsidR="003307F6" w:rsidRPr="003307F6">
        <w:t>.</w:t>
      </w:r>
      <w:r w:rsidR="003307F6">
        <w:t xml:space="preserve"> </w:t>
      </w:r>
      <w:r w:rsidR="00E26023" w:rsidRPr="00E26023">
        <w:t>Lietuvā šīs izmaksas bija 432 eiro, Igaunijā – 892 eiro, vidēji ES – 1441 eiro</w:t>
      </w:r>
      <w:r w:rsidR="00E26023">
        <w:rPr>
          <w:rStyle w:val="FootnoteReference"/>
        </w:rPr>
        <w:footnoteReference w:id="4"/>
      </w:r>
      <w:r w:rsidR="00E26023" w:rsidRPr="00E26023">
        <w:t>.</w:t>
      </w:r>
      <w:r w:rsidR="00E26023">
        <w:t xml:space="preserve"> </w:t>
      </w:r>
      <w:r w:rsidR="004C23D5">
        <w:t>Tāpat uzņēmumu pusē ir virkne</w:t>
      </w:r>
      <w:r w:rsidR="007D489B">
        <w:t xml:space="preserve"> citu</w:t>
      </w:r>
      <w:r w:rsidR="004C23D5">
        <w:t xml:space="preserve"> iemeslu, kāpēc esošā sistēma nedarbojas pilnvērtīgi. Savukārt izglītības iestāžu pusē nav skaidrs, precīzs uzņēmumu un nozaru pieprasījums. Tirgū konkurē lēti, mazāk kvalitatīvi piedāvājumi, bet esošie administrēšanas un finansēšanas mehānismi nav atbalstoši un motivējoši.</w:t>
      </w:r>
    </w:p>
    <w:p w14:paraId="5D858E4A" w14:textId="77777777" w:rsidR="00D8031F" w:rsidRDefault="00D8031F" w:rsidP="00D8031F">
      <w:pPr>
        <w:spacing w:after="120"/>
        <w:jc w:val="both"/>
        <w:rPr>
          <w:szCs w:val="20"/>
        </w:rPr>
      </w:pPr>
    </w:p>
    <w:p w14:paraId="6B0BEEC5" w14:textId="77777777" w:rsidR="003F161B" w:rsidRDefault="003F161B">
      <w:pPr>
        <w:spacing w:after="0"/>
        <w:rPr>
          <w:rFonts w:ascii="Segoe UI Light" w:hAnsi="Segoe UI Light" w:cs="Segoe UI Light"/>
          <w:b/>
          <w:color w:val="000000"/>
          <w:sz w:val="16"/>
          <w:szCs w:val="16"/>
        </w:rPr>
      </w:pPr>
      <w:r>
        <w:rPr>
          <w:rFonts w:ascii="Segoe UI Light" w:hAnsi="Segoe UI Light" w:cs="Segoe UI Light"/>
          <w:b/>
          <w:color w:val="000000"/>
          <w:sz w:val="16"/>
          <w:szCs w:val="16"/>
        </w:rPr>
        <w:br w:type="page"/>
      </w:r>
    </w:p>
    <w:p w14:paraId="67B08226" w14:textId="64174055" w:rsidR="00D8031F" w:rsidRPr="00624D23" w:rsidRDefault="00D8031F" w:rsidP="00D8031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120"/>
        <w:jc w:val="right"/>
        <w:rPr>
          <w:rFonts w:ascii="Segoe UI Light" w:hAnsi="Segoe UI Light"/>
          <w:b/>
          <w:i/>
          <w:iCs/>
          <w:sz w:val="16"/>
          <w:szCs w:val="16"/>
        </w:rPr>
      </w:pPr>
      <w:bookmarkStart w:id="51" w:name="_Hlk174368324"/>
      <w:r w:rsidRPr="00624D23">
        <w:rPr>
          <w:rFonts w:ascii="Segoe UI Light" w:hAnsi="Segoe UI Light" w:cs="Segoe UI Light"/>
          <w:b/>
          <w:color w:val="000000"/>
          <w:sz w:val="16"/>
          <w:szCs w:val="16"/>
        </w:rPr>
        <w:lastRenderedPageBreak/>
        <w:t>Mūžizglītības kultūras veidošanās Latvijas uzņēmumos</w:t>
      </w:r>
    </w:p>
    <w:bookmarkEnd w:id="51"/>
    <w:p w14:paraId="797DE0C4" w14:textId="77777777" w:rsidR="00D8031F" w:rsidRPr="00CA6062" w:rsidRDefault="00D8031F" w:rsidP="00D8031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120"/>
        <w:jc w:val="both"/>
        <w:rPr>
          <w:rFonts w:ascii="Segoe UI Light" w:hAnsi="Segoe UI Light" w:cs="Segoe UI Light"/>
          <w:color w:val="000000"/>
          <w:sz w:val="16"/>
          <w:szCs w:val="16"/>
        </w:rPr>
      </w:pPr>
      <w:r w:rsidRPr="00CA6062">
        <w:rPr>
          <w:rFonts w:ascii="Segoe UI Light" w:hAnsi="Segoe UI Light" w:cs="Segoe UI Light"/>
          <w:color w:val="000000"/>
          <w:sz w:val="16"/>
          <w:szCs w:val="16"/>
        </w:rPr>
        <w:t>Daudzas nozarei, uzņēmumam vajadzīgas zināšanas, prasmes un iemaņas ir specifiskas, tās nevar apgūt tikai ar formālās izglītības palīdzību skolā (un tas arī nav formālās izglītības uzdevums). Turklāt arī iegūtās prasmes noveco arvien straujāk. Darba tirgū atrast darbinieku ar atbilstošām zināšanām un prasmēm, lai veicinātu uzņēmuma izaugsmi un ieviestu jauninājumus, ierobežota pieejamā darbaspēka apstākļos, kļūst arvien sarežģītāk un izmaksā dārgāk. Tam risinājums ir ieguldīt savu darbinieku mācībās un attīstībā. Izglītības sistēma nekad nespēs nodrošināt specifiskas prasmes un iemaņas uzņēmumu līmenī. Izglītības sistēmas uzdevums ir nodrošināt plašu zināšanu bāzi. Nozaru uzdevums sniegt signālus formālajai izglītībai kā arī investēt darbinieku zināšanu, prasmju un iemaņu paaugstināšanā.</w:t>
      </w:r>
    </w:p>
    <w:p w14:paraId="2B55CB8C" w14:textId="4FF0915E" w:rsidR="00D8031F" w:rsidRDefault="00052052" w:rsidP="00D8031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i/>
          <w:iCs/>
          <w:color w:val="000000"/>
          <w:sz w:val="16"/>
          <w:szCs w:val="16"/>
        </w:rPr>
      </w:pPr>
      <w:r w:rsidRPr="00052052">
        <w:rPr>
          <w:rFonts w:ascii="Segoe UI Light" w:hAnsi="Segoe UI Light" w:cs="Segoe UI Light"/>
          <w:color w:val="000000" w:themeColor="text1"/>
          <w:sz w:val="16"/>
          <w:szCs w:val="16"/>
        </w:rPr>
        <w:t xml:space="preserve">Šajā </w:t>
      </w:r>
      <w:r>
        <w:rPr>
          <w:rFonts w:ascii="Segoe UI Light" w:hAnsi="Segoe UI Light" w:cs="Segoe UI Light"/>
          <w:color w:val="000000" w:themeColor="text1"/>
          <w:sz w:val="16"/>
          <w:szCs w:val="16"/>
        </w:rPr>
        <w:t>ielikumā</w:t>
      </w:r>
      <w:r w:rsidRPr="00052052">
        <w:rPr>
          <w:rFonts w:ascii="Segoe UI Light" w:hAnsi="Segoe UI Light" w:cs="Segoe UI Light"/>
          <w:color w:val="000000" w:themeColor="text1"/>
          <w:sz w:val="16"/>
          <w:szCs w:val="16"/>
        </w:rPr>
        <w:t xml:space="preserve"> izmantotie dati nāk no piecgadīgās profesionālās</w:t>
      </w:r>
      <w:r w:rsidR="00FA2A6A">
        <w:rPr>
          <w:rFonts w:ascii="Segoe UI Light" w:hAnsi="Segoe UI Light" w:cs="Segoe UI Light"/>
          <w:color w:val="000000" w:themeColor="text1"/>
          <w:sz w:val="16"/>
          <w:szCs w:val="16"/>
        </w:rPr>
        <w:t xml:space="preserve"> </w:t>
      </w:r>
      <w:proofErr w:type="spellStart"/>
      <w:r w:rsidR="00FA2A6A">
        <w:rPr>
          <w:rFonts w:ascii="Segoe UI Light" w:hAnsi="Segoe UI Light" w:cs="Segoe UI Light"/>
          <w:color w:val="000000" w:themeColor="text1"/>
          <w:sz w:val="16"/>
          <w:szCs w:val="16"/>
        </w:rPr>
        <w:t>tālakizglītības</w:t>
      </w:r>
      <w:proofErr w:type="spellEnd"/>
      <w:r w:rsidRPr="00052052">
        <w:rPr>
          <w:rFonts w:ascii="Segoe UI Light" w:hAnsi="Segoe UI Light" w:cs="Segoe UI Light"/>
          <w:color w:val="000000" w:themeColor="text1"/>
          <w:sz w:val="16"/>
          <w:szCs w:val="16"/>
        </w:rPr>
        <w:t xml:space="preserve"> apmācības aptaujas (CVT </w:t>
      </w:r>
      <w:r w:rsidR="003F161B">
        <w:rPr>
          <w:rFonts w:ascii="Segoe UI Light" w:hAnsi="Segoe UI Light" w:cs="Segoe UI Light"/>
          <w:color w:val="000000" w:themeColor="text1"/>
          <w:sz w:val="16"/>
          <w:szCs w:val="16"/>
        </w:rPr>
        <w:t>–</w:t>
      </w:r>
      <w:r w:rsidRPr="00052052">
        <w:rPr>
          <w:rFonts w:ascii="Segoe UI Light" w:hAnsi="Segoe UI Light" w:cs="Segoe UI Light"/>
          <w:color w:val="000000" w:themeColor="text1"/>
          <w:sz w:val="16"/>
          <w:szCs w:val="16"/>
        </w:rPr>
        <w:t xml:space="preserve"> </w:t>
      </w:r>
      <w:proofErr w:type="spellStart"/>
      <w:r w:rsidRPr="00052052">
        <w:rPr>
          <w:rFonts w:ascii="Segoe UI Light" w:hAnsi="Segoe UI Light" w:cs="Segoe UI Light"/>
          <w:color w:val="000000" w:themeColor="text1"/>
          <w:sz w:val="16"/>
          <w:szCs w:val="16"/>
        </w:rPr>
        <w:t>continuous</w:t>
      </w:r>
      <w:proofErr w:type="spellEnd"/>
      <w:r w:rsidRPr="00052052">
        <w:rPr>
          <w:rFonts w:ascii="Segoe UI Light" w:hAnsi="Segoe UI Light" w:cs="Segoe UI Light"/>
          <w:color w:val="000000" w:themeColor="text1"/>
          <w:sz w:val="16"/>
          <w:szCs w:val="16"/>
        </w:rPr>
        <w:t xml:space="preserve"> </w:t>
      </w:r>
      <w:proofErr w:type="spellStart"/>
      <w:r w:rsidRPr="00052052">
        <w:rPr>
          <w:rFonts w:ascii="Segoe UI Light" w:hAnsi="Segoe UI Light" w:cs="Segoe UI Light"/>
          <w:color w:val="000000" w:themeColor="text1"/>
          <w:sz w:val="16"/>
          <w:szCs w:val="16"/>
        </w:rPr>
        <w:t>vocational</w:t>
      </w:r>
      <w:proofErr w:type="spellEnd"/>
      <w:r w:rsidRPr="00052052">
        <w:rPr>
          <w:rFonts w:ascii="Segoe UI Light" w:hAnsi="Segoe UI Light" w:cs="Segoe UI Light"/>
          <w:color w:val="000000" w:themeColor="text1"/>
          <w:sz w:val="16"/>
          <w:szCs w:val="16"/>
        </w:rPr>
        <w:t xml:space="preserve"> </w:t>
      </w:r>
      <w:proofErr w:type="spellStart"/>
      <w:r w:rsidRPr="00052052">
        <w:rPr>
          <w:rFonts w:ascii="Segoe UI Light" w:hAnsi="Segoe UI Light" w:cs="Segoe UI Light"/>
          <w:color w:val="000000" w:themeColor="text1"/>
          <w:sz w:val="16"/>
          <w:szCs w:val="16"/>
        </w:rPr>
        <w:t>training</w:t>
      </w:r>
      <w:proofErr w:type="spellEnd"/>
      <w:r w:rsidRPr="00052052">
        <w:rPr>
          <w:rFonts w:ascii="Segoe UI Light" w:hAnsi="Segoe UI Light" w:cs="Segoe UI Light"/>
          <w:color w:val="000000" w:themeColor="text1"/>
          <w:sz w:val="16"/>
          <w:szCs w:val="16"/>
        </w:rPr>
        <w:t xml:space="preserve">), kas vāc informāciju par uzņēmumu ieguldījumiem savu darbinieku apmācībā. Jaunākie pieejamie dati ir par 2020. gadu, aptverot uzņēmumus ar 10 vai vairāk darbiniekiem NACE 2 B-N, R un S </w:t>
      </w:r>
      <w:r>
        <w:rPr>
          <w:rFonts w:ascii="Segoe UI Light" w:hAnsi="Segoe UI Light" w:cs="Segoe UI Light"/>
          <w:color w:val="000000" w:themeColor="text1"/>
          <w:sz w:val="16"/>
          <w:szCs w:val="16"/>
        </w:rPr>
        <w:t>nozarēs</w:t>
      </w:r>
      <w:r w:rsidRPr="00052052">
        <w:rPr>
          <w:rFonts w:ascii="Segoe UI Light" w:hAnsi="Segoe UI Light" w:cs="Segoe UI Light"/>
          <w:color w:val="000000" w:themeColor="text1"/>
          <w:sz w:val="16"/>
          <w:szCs w:val="16"/>
        </w:rPr>
        <w:t xml:space="preserve"> (izņemot lauksaimniecību, mežsaimniecību un zvejniecību, valsts pārvaldi un aizsardzību, obligāto sociālo apdrošināšanu, izglītību, veselības aprūpi un sociālo darbu). CVT ietver plānotas apmācības, ko finansē uzņēmums un kas notiek</w:t>
      </w:r>
      <w:r>
        <w:rPr>
          <w:rFonts w:ascii="Segoe UI Light" w:hAnsi="Segoe UI Light" w:cs="Segoe UI Light"/>
          <w:color w:val="000000" w:themeColor="text1"/>
          <w:sz w:val="16"/>
          <w:szCs w:val="16"/>
        </w:rPr>
        <w:t xml:space="preserve"> klātienē</w:t>
      </w:r>
      <w:r w:rsidRPr="00052052">
        <w:rPr>
          <w:rFonts w:ascii="Segoe UI Light" w:hAnsi="Segoe UI Light" w:cs="Segoe UI Light"/>
          <w:color w:val="000000" w:themeColor="text1"/>
          <w:sz w:val="16"/>
          <w:szCs w:val="16"/>
        </w:rPr>
        <w:t xml:space="preserve">, tiešsaistē vai </w:t>
      </w:r>
      <w:proofErr w:type="spellStart"/>
      <w:r w:rsidRPr="00052052">
        <w:rPr>
          <w:rFonts w:ascii="Segoe UI Light" w:hAnsi="Segoe UI Light" w:cs="Segoe UI Light"/>
          <w:color w:val="000000" w:themeColor="text1"/>
          <w:sz w:val="16"/>
          <w:szCs w:val="16"/>
        </w:rPr>
        <w:t>hibrīdformātā</w:t>
      </w:r>
      <w:proofErr w:type="spellEnd"/>
      <w:r w:rsidRPr="00052052">
        <w:rPr>
          <w:rFonts w:ascii="Segoe UI Light" w:hAnsi="Segoe UI Light" w:cs="Segoe UI Light"/>
          <w:color w:val="000000" w:themeColor="text1"/>
          <w:sz w:val="16"/>
          <w:szCs w:val="16"/>
        </w:rPr>
        <w:t xml:space="preserve">, </w:t>
      </w:r>
      <w:r>
        <w:rPr>
          <w:rFonts w:ascii="Segoe UI Light" w:hAnsi="Segoe UI Light" w:cs="Segoe UI Light"/>
          <w:color w:val="000000" w:themeColor="text1"/>
          <w:sz w:val="16"/>
          <w:szCs w:val="16"/>
        </w:rPr>
        <w:t>neskaitot</w:t>
      </w:r>
      <w:r w:rsidRPr="00052052">
        <w:rPr>
          <w:rFonts w:ascii="Segoe UI Light" w:hAnsi="Segoe UI Light" w:cs="Segoe UI Light"/>
          <w:color w:val="000000" w:themeColor="text1"/>
          <w:sz w:val="16"/>
          <w:szCs w:val="16"/>
        </w:rPr>
        <w:t xml:space="preserve"> sākotnējo profesionālo apmācību (IVT </w:t>
      </w:r>
      <w:r w:rsidR="003F161B">
        <w:rPr>
          <w:rFonts w:ascii="Segoe UI Light" w:hAnsi="Segoe UI Light" w:cs="Segoe UI Light"/>
          <w:color w:val="000000" w:themeColor="text1"/>
          <w:sz w:val="16"/>
          <w:szCs w:val="16"/>
        </w:rPr>
        <w:t>–</w:t>
      </w:r>
      <w:r w:rsidRPr="00052052">
        <w:rPr>
          <w:rFonts w:ascii="Segoe UI Light" w:hAnsi="Segoe UI Light" w:cs="Segoe UI Light"/>
          <w:color w:val="000000" w:themeColor="text1"/>
          <w:sz w:val="16"/>
          <w:szCs w:val="16"/>
        </w:rPr>
        <w:t xml:space="preserve"> </w:t>
      </w:r>
      <w:proofErr w:type="spellStart"/>
      <w:r w:rsidRPr="00052052">
        <w:rPr>
          <w:rFonts w:ascii="Segoe UI Light" w:hAnsi="Segoe UI Light" w:cs="Segoe UI Light"/>
          <w:color w:val="000000" w:themeColor="text1"/>
          <w:sz w:val="16"/>
          <w:szCs w:val="16"/>
        </w:rPr>
        <w:t>initial</w:t>
      </w:r>
      <w:proofErr w:type="spellEnd"/>
      <w:r w:rsidRPr="00052052">
        <w:rPr>
          <w:rFonts w:ascii="Segoe UI Light" w:hAnsi="Segoe UI Light" w:cs="Segoe UI Light"/>
          <w:color w:val="000000" w:themeColor="text1"/>
          <w:sz w:val="16"/>
          <w:szCs w:val="16"/>
        </w:rPr>
        <w:t xml:space="preserve"> </w:t>
      </w:r>
      <w:proofErr w:type="spellStart"/>
      <w:r w:rsidRPr="00052052">
        <w:rPr>
          <w:rFonts w:ascii="Segoe UI Light" w:hAnsi="Segoe UI Light" w:cs="Segoe UI Light"/>
          <w:color w:val="000000" w:themeColor="text1"/>
          <w:sz w:val="16"/>
          <w:szCs w:val="16"/>
        </w:rPr>
        <w:t>vocational</w:t>
      </w:r>
      <w:proofErr w:type="spellEnd"/>
      <w:r w:rsidRPr="00052052">
        <w:rPr>
          <w:rFonts w:ascii="Segoe UI Light" w:hAnsi="Segoe UI Light" w:cs="Segoe UI Light"/>
          <w:color w:val="000000" w:themeColor="text1"/>
          <w:sz w:val="16"/>
          <w:szCs w:val="16"/>
        </w:rPr>
        <w:t xml:space="preserve"> </w:t>
      </w:r>
      <w:proofErr w:type="spellStart"/>
      <w:r w:rsidRPr="00052052">
        <w:rPr>
          <w:rFonts w:ascii="Segoe UI Light" w:hAnsi="Segoe UI Light" w:cs="Segoe UI Light"/>
          <w:color w:val="000000" w:themeColor="text1"/>
          <w:sz w:val="16"/>
          <w:szCs w:val="16"/>
        </w:rPr>
        <w:t>training</w:t>
      </w:r>
      <w:proofErr w:type="spellEnd"/>
      <w:r w:rsidRPr="00052052">
        <w:rPr>
          <w:rFonts w:ascii="Segoe UI Light" w:hAnsi="Segoe UI Light" w:cs="Segoe UI Light"/>
          <w:color w:val="000000" w:themeColor="text1"/>
          <w:sz w:val="16"/>
          <w:szCs w:val="16"/>
        </w:rPr>
        <w:t xml:space="preserve">). CVT kursi ir organizēti un notiek noteiktās mācību vietās, kamēr citi CVT veidi var būt saistīti ar aktīvo darbu, ietverot konferences, darba rotāciju un pašmācību. CVT arī apkopo informāciju par </w:t>
      </w:r>
      <w:r>
        <w:rPr>
          <w:rFonts w:ascii="Segoe UI Light" w:hAnsi="Segoe UI Light" w:cs="Segoe UI Light"/>
          <w:color w:val="000000" w:themeColor="text1"/>
          <w:sz w:val="16"/>
          <w:szCs w:val="16"/>
        </w:rPr>
        <w:t xml:space="preserve">sākotnējo profesionālo </w:t>
      </w:r>
      <w:r w:rsidR="006C32E4">
        <w:rPr>
          <w:rFonts w:ascii="Segoe UI Light" w:hAnsi="Segoe UI Light" w:cs="Segoe UI Light"/>
          <w:color w:val="000000" w:themeColor="text1"/>
          <w:sz w:val="16"/>
          <w:szCs w:val="16"/>
        </w:rPr>
        <w:t>izglītību</w:t>
      </w:r>
      <w:r w:rsidR="006C32E4" w:rsidRPr="00052052">
        <w:rPr>
          <w:rFonts w:ascii="Segoe UI Light" w:hAnsi="Segoe UI Light" w:cs="Segoe UI Light"/>
          <w:color w:val="000000" w:themeColor="text1"/>
          <w:sz w:val="16"/>
          <w:szCs w:val="16"/>
        </w:rPr>
        <w:t xml:space="preserve"> </w:t>
      </w:r>
      <w:r w:rsidRPr="00052052">
        <w:rPr>
          <w:rFonts w:ascii="Segoe UI Light" w:hAnsi="Segoe UI Light" w:cs="Segoe UI Light"/>
          <w:color w:val="000000" w:themeColor="text1"/>
          <w:sz w:val="16"/>
          <w:szCs w:val="16"/>
        </w:rPr>
        <w:t>uzņēmumos, kas aptver ISCED 2-5 līmeņus ar mācību ilgumu no sešiem mēnešiem līdz sešiem gadiem.</w:t>
      </w:r>
    </w:p>
    <w:p w14:paraId="156E9640" w14:textId="77777777" w:rsidR="00D8031F" w:rsidRDefault="00D8031F" w:rsidP="00D8031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2268"/>
          <w:tab w:val="center" w:pos="6804"/>
        </w:tabs>
        <w:spacing w:after="60"/>
        <w:rPr>
          <w:rFonts w:ascii="Segoe UI Light" w:hAnsi="Segoe UI Light" w:cs="Segoe UI Light"/>
          <w:color w:val="000000"/>
          <w:sz w:val="16"/>
          <w:szCs w:val="16"/>
        </w:rPr>
      </w:pPr>
      <w:r>
        <w:rPr>
          <w:rFonts w:ascii="Segoe UI Light" w:hAnsi="Segoe UI Light" w:cs="Segoe UI Light"/>
          <w:b/>
          <w:color w:val="000000"/>
          <w:sz w:val="16"/>
          <w:szCs w:val="16"/>
        </w:rPr>
        <w:tab/>
      </w:r>
      <w:r>
        <w:rPr>
          <w:rFonts w:ascii="Segoe UI Light" w:hAnsi="Segoe UI Light" w:cs="Segoe UI Light"/>
          <w:b/>
          <w:bCs/>
          <w:color w:val="000000"/>
          <w:sz w:val="16"/>
          <w:szCs w:val="16"/>
        </w:rPr>
        <w:t>Profesionālās tālākizglītības kursu izmaksas pēc uzņēmuma lieluma</w:t>
      </w:r>
      <w:r>
        <w:rPr>
          <w:rFonts w:ascii="Segoe UI Light" w:hAnsi="Segoe UI Light" w:cs="Segoe UI Light"/>
          <w:b/>
          <w:color w:val="000000"/>
          <w:sz w:val="16"/>
          <w:szCs w:val="16"/>
        </w:rPr>
        <w:tab/>
      </w:r>
      <w:r w:rsidRPr="1765FC69">
        <w:rPr>
          <w:rFonts w:ascii="Segoe UI Light" w:hAnsi="Segoe UI Light" w:cs="Segoe UI Light"/>
          <w:b/>
          <w:bCs/>
          <w:color w:val="000000"/>
          <w:sz w:val="16"/>
          <w:szCs w:val="16"/>
        </w:rPr>
        <w:t>Mūžizglītības kultūra uzņēmumos</w:t>
      </w:r>
      <w:r>
        <w:rPr>
          <w:rFonts w:ascii="Segoe UI Light" w:hAnsi="Segoe UI Light" w:cs="Segoe UI Light"/>
          <w:b/>
          <w:color w:val="000000"/>
          <w:sz w:val="16"/>
          <w:szCs w:val="16"/>
        </w:rPr>
        <w:br/>
      </w:r>
      <w:r>
        <w:rPr>
          <w:rFonts w:ascii="Segoe UI Light" w:hAnsi="Segoe UI Light" w:cs="Segoe UI Light"/>
          <w:bCs/>
          <w:color w:val="000000"/>
          <w:sz w:val="16"/>
          <w:szCs w:val="16"/>
        </w:rPr>
        <w:tab/>
      </w:r>
      <w:r w:rsidRPr="001A2441">
        <w:rPr>
          <w:rFonts w:ascii="Segoe UI Light" w:hAnsi="Segoe UI Light" w:cs="Segoe UI Light"/>
          <w:color w:val="000000"/>
          <w:sz w:val="16"/>
          <w:szCs w:val="16"/>
        </w:rPr>
        <w:t>2020. gads, izmaksas par vienu mācību stundu, EUR</w:t>
      </w:r>
      <w:r w:rsidRPr="001A2441">
        <w:rPr>
          <w:rFonts w:ascii="Segoe UI Light" w:hAnsi="Segoe UI Light" w:cs="Segoe UI Light"/>
          <w:color w:val="000000"/>
          <w:sz w:val="16"/>
          <w:szCs w:val="16"/>
        </w:rPr>
        <w:tab/>
        <w:t>2020. gads, procentos</w:t>
      </w:r>
    </w:p>
    <w:p w14:paraId="4E86C74D" w14:textId="77777777" w:rsidR="00D8031F" w:rsidRPr="0074707C" w:rsidRDefault="00D8031F" w:rsidP="00D8031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2268"/>
          <w:tab w:val="center" w:pos="6804"/>
        </w:tabs>
        <w:spacing w:after="60"/>
        <w:rPr>
          <w:rFonts w:ascii="Segoe UI Light" w:hAnsi="Segoe UI Light" w:cs="Segoe UI Light"/>
          <w:b/>
          <w:bCs/>
          <w:color w:val="000000"/>
          <w:sz w:val="16"/>
          <w:szCs w:val="16"/>
        </w:rPr>
      </w:pPr>
      <w:r w:rsidRPr="003B4CDA">
        <w:rPr>
          <w:rFonts w:ascii="Arial Narrow" w:hAnsi="Arial Narrow"/>
          <w:noProof/>
          <w:szCs w:val="20"/>
          <w:lang w:eastAsia="lv-LV"/>
        </w:rPr>
        <w:drawing>
          <wp:inline distT="0" distB="0" distL="0" distR="0" wp14:anchorId="77C6351F" wp14:editId="09F0E33F">
            <wp:extent cx="2879725" cy="2047164"/>
            <wp:effectExtent l="0" t="0" r="0" b="0"/>
            <wp:docPr id="220"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Pr="003B4CDA">
        <w:rPr>
          <w:rFonts w:ascii="Arial Narrow" w:hAnsi="Arial Narrow"/>
          <w:noProof/>
          <w:szCs w:val="20"/>
          <w:lang w:eastAsia="lv-LV"/>
        </w:rPr>
        <w:drawing>
          <wp:inline distT="0" distB="0" distL="0" distR="0" wp14:anchorId="794A9A76" wp14:editId="3E149202">
            <wp:extent cx="2879725" cy="2320119"/>
            <wp:effectExtent l="0" t="0" r="0" b="4445"/>
            <wp:docPr id="221" name="Chart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2398BBB4" w14:textId="77777777" w:rsidR="00D8031F" w:rsidRPr="0074707C" w:rsidRDefault="00D8031F" w:rsidP="00D8031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i/>
          <w:iCs/>
          <w:color w:val="000000"/>
          <w:sz w:val="12"/>
          <w:szCs w:val="12"/>
        </w:rPr>
      </w:pPr>
      <w:r w:rsidRPr="1765FC69">
        <w:rPr>
          <w:rFonts w:ascii="Segoe UI Light" w:hAnsi="Segoe UI Light" w:cs="Segoe UI Light"/>
          <w:color w:val="000000" w:themeColor="text1"/>
          <w:sz w:val="12"/>
          <w:szCs w:val="12"/>
        </w:rPr>
        <w:t>Avots:</w:t>
      </w:r>
      <w:r w:rsidRPr="1765FC69">
        <w:rPr>
          <w:rFonts w:ascii="Segoe UI Light" w:hAnsi="Segoe UI Light" w:cs="Segoe UI Light"/>
          <w:i/>
          <w:iCs/>
          <w:color w:val="000000" w:themeColor="text1"/>
          <w:sz w:val="12"/>
          <w:szCs w:val="12"/>
        </w:rPr>
        <w:t xml:space="preserve"> EUROSTAT; CSP</w:t>
      </w:r>
    </w:p>
    <w:p w14:paraId="35659CFE" w14:textId="77777777" w:rsidR="00D8031F" w:rsidRDefault="00D8031F" w:rsidP="00D8031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cs="Segoe UI Light"/>
          <w:color w:val="000000"/>
          <w:sz w:val="16"/>
          <w:szCs w:val="16"/>
        </w:rPr>
      </w:pPr>
    </w:p>
    <w:p w14:paraId="5D710889" w14:textId="30593CB0" w:rsidR="00D8031F" w:rsidRDefault="00D8031F" w:rsidP="00D8031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cs="Segoe UI Light"/>
          <w:bCs/>
          <w:color w:val="000000"/>
          <w:sz w:val="16"/>
          <w:szCs w:val="16"/>
        </w:rPr>
      </w:pPr>
      <w:r w:rsidRPr="00927285">
        <w:rPr>
          <w:rFonts w:ascii="Segoe UI Light" w:hAnsi="Segoe UI Light" w:cs="Segoe UI Light"/>
          <w:bCs/>
          <w:color w:val="000000"/>
          <w:sz w:val="16"/>
          <w:szCs w:val="16"/>
        </w:rPr>
        <w:t>Līdzīgi kā citās ES valstīs, arī Latvijā lielie uzņēmumi mācībām tērē lielāku daļu no savām kopējām darbaspēka izmaksām nekā MVU. Tā kā MVU darbinieku dalības līmenis pieaugušo izglītības aktivitātēs ierasti ir zemāks, un lielākā daļa darbinieku Latvijā strādā mazajos un vidējos uzņēmumos, nozīmīga loma ir valsts politikai, lai atbalstītu MVU finansiālo kapacitāti nodrošināt pieaugušo izglītību. Kopumā izdevumu līmenis mācībām Latvijas uzņēmumos neatkarīgi no to lieluma ir ievērojami zemāks nekā līdzīga lieluma uzņēmumos ES. Ir atšķirības arī starp nozarēm. Latvijā visvairāk no savām darbaspēka izmaksām mācībām tērē IKT, finanšu un apdrošināšanas nozares uzņēmumi</w:t>
      </w:r>
      <w:r>
        <w:rPr>
          <w:rFonts w:ascii="Segoe UI Light" w:hAnsi="Segoe UI Light" w:cs="Segoe UI Light"/>
          <w:bCs/>
          <w:color w:val="000000"/>
          <w:sz w:val="16"/>
          <w:szCs w:val="16"/>
        </w:rPr>
        <w:t xml:space="preserve"> (vidēji 35 EUR par mācību stundu)</w:t>
      </w:r>
      <w:r w:rsidRPr="00927285">
        <w:rPr>
          <w:rFonts w:ascii="Segoe UI Light" w:hAnsi="Segoe UI Light" w:cs="Segoe UI Light"/>
          <w:bCs/>
          <w:color w:val="000000"/>
          <w:sz w:val="16"/>
          <w:szCs w:val="16"/>
        </w:rPr>
        <w:t xml:space="preserve">. Tam seko uzņēmumi </w:t>
      </w:r>
      <w:r>
        <w:rPr>
          <w:rFonts w:ascii="Segoe UI Light" w:hAnsi="Segoe UI Light" w:cs="Segoe UI Light"/>
          <w:bCs/>
          <w:color w:val="000000"/>
          <w:sz w:val="16"/>
          <w:szCs w:val="16"/>
        </w:rPr>
        <w:t xml:space="preserve">apstrādes rūpniecībā, </w:t>
      </w:r>
      <w:r w:rsidRPr="00927285">
        <w:rPr>
          <w:rFonts w:ascii="Segoe UI Light" w:hAnsi="Segoe UI Light" w:cs="Segoe UI Light"/>
          <w:bCs/>
          <w:color w:val="000000"/>
          <w:sz w:val="16"/>
          <w:szCs w:val="16"/>
        </w:rPr>
        <w:t xml:space="preserve">zinātniskajā un pakalpojumu jomā; būvniecībā; tirdzniecībā, transportā un uzglabāšanā, izmitināšana un ēdināšanas pakalpojumos. Tomēr neatkarīgi no nozares, kurā darbojas Latvijas uzņēmumi, tie visi tērē mazāk nekā uzņēmumi ES. Turklāt Latvijas uzņēmumi visbiežāk izvēlas īsas, neformālas </w:t>
      </w:r>
      <w:r w:rsidR="007D489B">
        <w:rPr>
          <w:rFonts w:ascii="Segoe UI Light" w:hAnsi="Segoe UI Light" w:cs="Segoe UI Light"/>
          <w:bCs/>
          <w:color w:val="000000"/>
          <w:sz w:val="16"/>
          <w:szCs w:val="16"/>
        </w:rPr>
        <w:t>izglītības</w:t>
      </w:r>
      <w:r w:rsidR="007D489B" w:rsidRPr="00927285">
        <w:rPr>
          <w:rFonts w:ascii="Segoe UI Light" w:hAnsi="Segoe UI Light" w:cs="Segoe UI Light"/>
          <w:bCs/>
          <w:color w:val="000000"/>
          <w:sz w:val="16"/>
          <w:szCs w:val="16"/>
        </w:rPr>
        <w:t xml:space="preserve"> </w:t>
      </w:r>
      <w:r w:rsidRPr="00927285">
        <w:rPr>
          <w:rFonts w:ascii="Segoe UI Light" w:hAnsi="Segoe UI Light" w:cs="Segoe UI Light"/>
          <w:bCs/>
          <w:color w:val="000000"/>
          <w:sz w:val="16"/>
          <w:szCs w:val="16"/>
        </w:rPr>
        <w:t>programmas, kas ir lētākas</w:t>
      </w:r>
      <w:bookmarkStart w:id="52" w:name="_Hlk174435337"/>
      <w:r w:rsidR="00BC3098">
        <w:rPr>
          <w:rFonts w:ascii="Segoe UI Light" w:hAnsi="Segoe UI Light" w:cs="Segoe UI Light"/>
          <w:bCs/>
          <w:color w:val="000000"/>
          <w:sz w:val="16"/>
          <w:szCs w:val="16"/>
        </w:rPr>
        <w:t>, bet p</w:t>
      </w:r>
      <w:r w:rsidRPr="00927285">
        <w:rPr>
          <w:rFonts w:ascii="Segoe UI Light" w:hAnsi="Segoe UI Light" w:cs="Segoe UI Light"/>
          <w:bCs/>
          <w:color w:val="000000"/>
          <w:sz w:val="16"/>
          <w:szCs w:val="16"/>
        </w:rPr>
        <w:t xml:space="preserve">arasti tajās var iegūt tikai </w:t>
      </w:r>
      <w:r w:rsidR="00BC3098">
        <w:rPr>
          <w:rFonts w:ascii="Segoe UI Light" w:hAnsi="Segoe UI Light" w:cs="Segoe UI Light"/>
          <w:bCs/>
          <w:color w:val="000000"/>
          <w:sz w:val="16"/>
          <w:szCs w:val="16"/>
        </w:rPr>
        <w:t xml:space="preserve">neformālu </w:t>
      </w:r>
      <w:r w:rsidRPr="00927285">
        <w:rPr>
          <w:rFonts w:ascii="Segoe UI Light" w:hAnsi="Segoe UI Light" w:cs="Segoe UI Light"/>
          <w:bCs/>
          <w:color w:val="000000"/>
          <w:sz w:val="16"/>
          <w:szCs w:val="16"/>
        </w:rPr>
        <w:t xml:space="preserve">apmeklējumu apliecinošu </w:t>
      </w:r>
      <w:r w:rsidR="007D489B">
        <w:rPr>
          <w:rFonts w:ascii="Segoe UI Light" w:hAnsi="Segoe UI Light" w:cs="Segoe UI Light"/>
          <w:bCs/>
          <w:color w:val="000000"/>
          <w:sz w:val="16"/>
          <w:szCs w:val="16"/>
        </w:rPr>
        <w:t>dokumentu</w:t>
      </w:r>
      <w:r w:rsidRPr="00927285">
        <w:rPr>
          <w:rFonts w:ascii="Segoe UI Light" w:hAnsi="Segoe UI Light" w:cs="Segoe UI Light"/>
          <w:bCs/>
          <w:color w:val="000000"/>
          <w:sz w:val="16"/>
          <w:szCs w:val="16"/>
        </w:rPr>
        <w:t xml:space="preserve">, kas nozīmē, ka darba ņēmēju iegūtās prasmes ne vienmēr tiek atzītas darba tirgū, vājinot viņu spēju pilnībā izmantot ieguvumus, ko sniedz viņu dalība mācībā, un samazinot viņu motivāciju izmantot mācīšanās </w:t>
      </w:r>
      <w:r w:rsidRPr="0007717B">
        <w:rPr>
          <w:rFonts w:ascii="Segoe UI Light" w:hAnsi="Segoe UI Light" w:cs="Segoe UI Light"/>
          <w:bCs/>
          <w:color w:val="000000"/>
          <w:sz w:val="16"/>
          <w:szCs w:val="16"/>
        </w:rPr>
        <w:t>iespējas</w:t>
      </w:r>
      <w:bookmarkEnd w:id="52"/>
      <w:r w:rsidR="00BC3098" w:rsidRPr="0007717B">
        <w:rPr>
          <w:rFonts w:ascii="Segoe UI Light" w:hAnsi="Segoe UI Light" w:cs="Segoe UI Light"/>
          <w:bCs/>
          <w:color w:val="000000"/>
          <w:sz w:val="16"/>
          <w:szCs w:val="16"/>
        </w:rPr>
        <w:t>.</w:t>
      </w:r>
      <w:r w:rsidR="00BC3098" w:rsidRPr="0007717B">
        <w:rPr>
          <w:rStyle w:val="FootnoteReference"/>
          <w:rFonts w:ascii="Segoe UI Light" w:hAnsi="Segoe UI Light" w:cs="Segoe UI Light"/>
          <w:bCs/>
          <w:color w:val="000000"/>
          <w:sz w:val="16"/>
          <w:szCs w:val="16"/>
        </w:rPr>
        <w:footnoteReference w:id="5"/>
      </w:r>
    </w:p>
    <w:p w14:paraId="4B0E8AFB" w14:textId="7C7E80FA" w:rsidR="00D8031F" w:rsidRPr="00F27794" w:rsidRDefault="00D8031F" w:rsidP="00F27794">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cs="Segoe UI Light"/>
          <w:bCs/>
          <w:color w:val="000000"/>
          <w:sz w:val="16"/>
          <w:szCs w:val="16"/>
        </w:rPr>
      </w:pPr>
      <w:r w:rsidRPr="00B94AEA">
        <w:rPr>
          <w:rFonts w:ascii="Segoe UI Light" w:hAnsi="Segoe UI Light" w:cs="Segoe UI Light"/>
          <w:bCs/>
          <w:color w:val="000000"/>
          <w:sz w:val="16"/>
          <w:szCs w:val="16"/>
        </w:rPr>
        <w:t>Uzņēmēji var tikt motivēti veikt ieguldījumus darbinieku zināšanu, prasmju un iemaņu attīstībā, lai nodrošinātu uzņēmuma produktivitāti, taču tas arī samazinās izmaksas saistībā ar jaunu darbinieku pieņemšanu darbā, sekmēs darbinieku motivāciju un pozitīvo attieksmi pret darba devēju, lojalitāti, paaugstinās uzņēmuma reputāciju, palīdzēs noturēt darbiniekus un, iespējams, nākotnē uzņēmumam būs vieglāk piesaistīt labus darbiniekus un talantus. Iegūstot jaunas zināšanas un prasmes, darbinieki kļūst daudzpusīgāki, spēj pildīt dažādākus pienākumus, uzdevumus. Nodrošinot un vai ieguldot mācībās, lai tās būtu efektīvas, tas liek arī uzņēmējam domāt par nākotnes tendencēm un plānot uzņēmuma attīstību, kā arī sekot līdzi mācību kvalitātei.</w:t>
      </w:r>
    </w:p>
    <w:p w14:paraId="2950E7C6" w14:textId="77777777" w:rsidR="00D8031F" w:rsidRPr="003B4CDA" w:rsidRDefault="00D8031F" w:rsidP="00F01249">
      <w:pPr>
        <w:spacing w:after="120"/>
        <w:jc w:val="both"/>
      </w:pPr>
    </w:p>
    <w:p w14:paraId="658EB3A4" w14:textId="61AFE526" w:rsidR="00097A08" w:rsidRDefault="004C23D5" w:rsidP="00F01249">
      <w:pPr>
        <w:spacing w:after="120"/>
        <w:jc w:val="both"/>
        <w:rPr>
          <w:szCs w:val="20"/>
        </w:rPr>
      </w:pPr>
      <w:r w:rsidRPr="00D7493B">
        <w:rPr>
          <w:szCs w:val="20"/>
        </w:rPr>
        <w:t>Ņemot vērā, ka darba tirgus kļūst aizvien mainīgāks, jau tuvākajā nākotnē nepieciešams virzīties uz funkcionālas pieaugušo izglītības sistēmas izveid</w:t>
      </w:r>
      <w:r w:rsidRPr="00125280">
        <w:rPr>
          <w:szCs w:val="20"/>
        </w:rPr>
        <w:t>i</w:t>
      </w:r>
      <w:r w:rsidR="00F14345">
        <w:rPr>
          <w:szCs w:val="20"/>
        </w:rPr>
        <w:t xml:space="preserve"> </w:t>
      </w:r>
      <w:r w:rsidR="00F14345" w:rsidRPr="000C591A">
        <w:rPr>
          <w:szCs w:val="20"/>
        </w:rPr>
        <w:t>nepārtrauktai prasmju, iemaņu un kompetenču attīstībai</w:t>
      </w:r>
      <w:r w:rsidR="00F14345">
        <w:rPr>
          <w:szCs w:val="20"/>
        </w:rPr>
        <w:t>,</w:t>
      </w:r>
      <w:r w:rsidR="00F14345" w:rsidRPr="00125280" w:rsidDel="007D489B">
        <w:rPr>
          <w:szCs w:val="20"/>
        </w:rPr>
        <w:t xml:space="preserve"> </w:t>
      </w:r>
      <w:r w:rsidR="00AF4B26">
        <w:rPr>
          <w:szCs w:val="20"/>
        </w:rPr>
        <w:t xml:space="preserve">kas nodrošinātu </w:t>
      </w:r>
      <w:r w:rsidR="009D0087">
        <w:rPr>
          <w:szCs w:val="20"/>
        </w:rPr>
        <w:t xml:space="preserve">darba tirgu ar </w:t>
      </w:r>
      <w:r w:rsidRPr="000C591A">
        <w:rPr>
          <w:szCs w:val="20"/>
        </w:rPr>
        <w:t>nepieciešamajiem cilvēkresursiem.</w:t>
      </w:r>
    </w:p>
    <w:p w14:paraId="3138C252" w14:textId="77777777" w:rsidR="003F161B" w:rsidRDefault="003F161B">
      <w:pPr>
        <w:spacing w:after="0"/>
        <w:rPr>
          <w:szCs w:val="20"/>
        </w:rPr>
      </w:pPr>
      <w:r>
        <w:rPr>
          <w:szCs w:val="20"/>
        </w:rPr>
        <w:br w:type="page"/>
      </w:r>
    </w:p>
    <w:p w14:paraId="48116962" w14:textId="7798C291" w:rsidR="00DA0F82" w:rsidRDefault="00DA0F82" w:rsidP="00DA0F82">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2268"/>
          <w:tab w:val="center" w:pos="6804"/>
        </w:tabs>
        <w:spacing w:after="60"/>
        <w:jc w:val="right"/>
        <w:rPr>
          <w:rFonts w:ascii="Segoe UI Light" w:hAnsi="Segoe UI Light" w:cs="Segoe UI Light"/>
          <w:b/>
          <w:bCs/>
          <w:color w:val="000000" w:themeColor="text1"/>
          <w:sz w:val="16"/>
          <w:szCs w:val="16"/>
        </w:rPr>
      </w:pPr>
      <w:r w:rsidRPr="00DA0F82">
        <w:rPr>
          <w:rFonts w:ascii="Segoe UI Light" w:hAnsi="Segoe UI Light" w:cs="Segoe UI Light"/>
          <w:b/>
          <w:bCs/>
          <w:color w:val="000000" w:themeColor="text1"/>
          <w:sz w:val="16"/>
          <w:szCs w:val="16"/>
        </w:rPr>
        <w:lastRenderedPageBreak/>
        <w:t>Valsts līdzfinansēto pieaugušo izglītības atbalsta projektu</w:t>
      </w:r>
      <w:r w:rsidR="00447F25">
        <w:rPr>
          <w:rFonts w:ascii="Segoe UI Light" w:hAnsi="Segoe UI Light" w:cs="Segoe UI Light"/>
          <w:b/>
          <w:bCs/>
          <w:color w:val="000000" w:themeColor="text1"/>
          <w:sz w:val="16"/>
          <w:szCs w:val="16"/>
        </w:rPr>
        <w:t>*</w:t>
      </w:r>
      <w:r w:rsidRPr="00DA0F82">
        <w:rPr>
          <w:rFonts w:ascii="Segoe UI Light" w:hAnsi="Segoe UI Light" w:cs="Segoe UI Light"/>
          <w:b/>
          <w:bCs/>
          <w:color w:val="000000" w:themeColor="text1"/>
          <w:sz w:val="16"/>
          <w:szCs w:val="16"/>
        </w:rPr>
        <w:t xml:space="preserve"> rezultātu monitorings </w:t>
      </w:r>
    </w:p>
    <w:p w14:paraId="4FB0A290" w14:textId="5B9040C3" w:rsidR="007657AB" w:rsidRDefault="00B32278" w:rsidP="0013499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2268"/>
          <w:tab w:val="center" w:pos="6804"/>
        </w:tabs>
        <w:spacing w:after="60"/>
        <w:jc w:val="both"/>
        <w:rPr>
          <w:sz w:val="16"/>
          <w:szCs w:val="16"/>
        </w:rPr>
      </w:pPr>
      <w:r w:rsidRPr="00B32278">
        <w:rPr>
          <w:sz w:val="16"/>
          <w:szCs w:val="16"/>
        </w:rPr>
        <w:t xml:space="preserve">Lai nodrošinātu mūžizglītības politikas atbilstību nākotnes darba tirgus prasībām, </w:t>
      </w:r>
      <w:r w:rsidR="00290BB7">
        <w:rPr>
          <w:sz w:val="16"/>
          <w:szCs w:val="16"/>
        </w:rPr>
        <w:t xml:space="preserve">EM un CSP, sadarbībā ar IZM, VIAA, LM, NVA un LIAA ir uzsākusi darbu pie </w:t>
      </w:r>
      <w:r w:rsidRPr="00B32278">
        <w:rPr>
          <w:sz w:val="16"/>
          <w:szCs w:val="16"/>
        </w:rPr>
        <w:t>absolventu monitoringa sistēma</w:t>
      </w:r>
      <w:r w:rsidR="00290BB7">
        <w:rPr>
          <w:sz w:val="16"/>
          <w:szCs w:val="16"/>
        </w:rPr>
        <w:t>s izveides</w:t>
      </w:r>
      <w:r w:rsidRPr="00B32278">
        <w:rPr>
          <w:sz w:val="16"/>
          <w:szCs w:val="16"/>
        </w:rPr>
        <w:t xml:space="preserve"> attiecībā uz </w:t>
      </w:r>
      <w:r w:rsidR="00290BB7">
        <w:rPr>
          <w:sz w:val="16"/>
          <w:szCs w:val="16"/>
        </w:rPr>
        <w:t xml:space="preserve">valsts finansētām </w:t>
      </w:r>
      <w:r w:rsidRPr="00B32278">
        <w:rPr>
          <w:sz w:val="16"/>
          <w:szCs w:val="16"/>
        </w:rPr>
        <w:t>tālākizglītības un kvalifikācijas paaugstināšanas programmām</w:t>
      </w:r>
      <w:r>
        <w:rPr>
          <w:sz w:val="16"/>
          <w:szCs w:val="16"/>
        </w:rPr>
        <w:t xml:space="preserve">. </w:t>
      </w:r>
      <w:r w:rsidR="00290BB7">
        <w:rPr>
          <w:sz w:val="16"/>
          <w:szCs w:val="16"/>
        </w:rPr>
        <w:t xml:space="preserve">Esošais monitoringa datu apkopojums </w:t>
      </w:r>
      <w:r>
        <w:rPr>
          <w:sz w:val="16"/>
          <w:szCs w:val="16"/>
        </w:rPr>
        <w:t xml:space="preserve"> ietver NVA, </w:t>
      </w:r>
      <w:r w:rsidR="0013499C">
        <w:rPr>
          <w:sz w:val="16"/>
          <w:szCs w:val="16"/>
        </w:rPr>
        <w:t>Valsts izglītības attīstības aģentūras (</w:t>
      </w:r>
      <w:r>
        <w:rPr>
          <w:sz w:val="16"/>
          <w:szCs w:val="16"/>
        </w:rPr>
        <w:t>VIAA</w:t>
      </w:r>
      <w:r w:rsidR="0013499C">
        <w:rPr>
          <w:sz w:val="16"/>
          <w:szCs w:val="16"/>
        </w:rPr>
        <w:t>)</w:t>
      </w:r>
      <w:r>
        <w:rPr>
          <w:sz w:val="16"/>
          <w:szCs w:val="16"/>
        </w:rPr>
        <w:t xml:space="preserve"> un </w:t>
      </w:r>
      <w:r w:rsidR="0013499C">
        <w:rPr>
          <w:sz w:val="16"/>
          <w:szCs w:val="16"/>
        </w:rPr>
        <w:t>Centrālās finanšu un līguma aģentūras (CFLA)</w:t>
      </w:r>
      <w:r>
        <w:rPr>
          <w:sz w:val="16"/>
          <w:szCs w:val="16"/>
        </w:rPr>
        <w:t xml:space="preserve"> datus par izglītības iestādi, kas īstenojusi izglītības programmu, mācību nozari, izglītības programmas veidu, kā arī sociāli demogrāfiskos un ekonomiskos rādītājus par absolventiem, piemēram, vecumu, dzimumu, izglītību un nodarbinātību. Periodā no 2016. – 2022. gadam kopumā mācībās piedalījušies 142,1 tūkst. personu. </w:t>
      </w:r>
      <w:r w:rsidR="00FD3ACA">
        <w:rPr>
          <w:sz w:val="16"/>
          <w:szCs w:val="16"/>
        </w:rPr>
        <w:t xml:space="preserve">28,1 tūkst. absolventu (aptuveni 1/5 no kopējā absolventu skaita) ir apguvuši izglītības programmas elektronisko un optisko iekārtu ražošanā; informācijas un komunikācijas tehnoloģijās. Tāpat 12,1 tūkst. (jeb 8,5% no kopējo absolventu skaita) absolventu beiguši kursus uzņēmējdarbības, finanšu, grāmatvedības (tirdzniecība, </w:t>
      </w:r>
      <w:proofErr w:type="spellStart"/>
      <w:r w:rsidR="00FD3ACA">
        <w:rPr>
          <w:sz w:val="16"/>
          <w:szCs w:val="16"/>
        </w:rPr>
        <w:t>komerczinības</w:t>
      </w:r>
      <w:proofErr w:type="spellEnd"/>
      <w:r w:rsidR="00FD3ACA">
        <w:rPr>
          <w:sz w:val="16"/>
          <w:szCs w:val="16"/>
        </w:rPr>
        <w:t>) jomās. Aptuveni 70% no izglītības programmām sastāda neformālās izglītības programmas, ko absolvējuši 98,9 tūkst. personu.</w:t>
      </w:r>
    </w:p>
    <w:p w14:paraId="01F73718" w14:textId="77777777" w:rsidR="00FD3ACA" w:rsidRPr="00C26B09" w:rsidRDefault="00FD3ACA" w:rsidP="006C1F6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2268"/>
          <w:tab w:val="center" w:pos="6804"/>
        </w:tabs>
        <w:spacing w:after="60"/>
        <w:rPr>
          <w:sz w:val="12"/>
          <w:szCs w:val="12"/>
        </w:rPr>
      </w:pPr>
    </w:p>
    <w:p w14:paraId="1C5A456D" w14:textId="313DF066" w:rsidR="007778C2" w:rsidRPr="003966D0" w:rsidRDefault="00DF2A5F" w:rsidP="006C1F6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2268"/>
          <w:tab w:val="center" w:pos="6804"/>
        </w:tabs>
        <w:spacing w:after="60"/>
        <w:rPr>
          <w:rFonts w:ascii="Segoe UI Light" w:hAnsi="Segoe UI Light" w:cs="Segoe UI Light"/>
          <w:color w:val="000000"/>
          <w:sz w:val="16"/>
          <w:szCs w:val="16"/>
        </w:rPr>
      </w:pPr>
      <w:r>
        <w:rPr>
          <w:rFonts w:ascii="Segoe UI Light" w:hAnsi="Segoe UI Light" w:cs="Segoe UI Light"/>
          <w:b/>
          <w:bCs/>
          <w:color w:val="000000" w:themeColor="text1"/>
          <w:sz w:val="16"/>
          <w:szCs w:val="16"/>
        </w:rPr>
        <w:tab/>
      </w:r>
      <w:r w:rsidR="007778C2" w:rsidRPr="1765FC69">
        <w:rPr>
          <w:rFonts w:ascii="Segoe UI Light" w:hAnsi="Segoe UI Light" w:cs="Segoe UI Light"/>
          <w:b/>
          <w:bCs/>
          <w:color w:val="000000" w:themeColor="text1"/>
          <w:sz w:val="16"/>
          <w:szCs w:val="16"/>
        </w:rPr>
        <w:t>Absolventu skaits pa gadiem</w:t>
      </w:r>
      <w:r w:rsidR="007778C2">
        <w:tab/>
      </w:r>
      <w:r w:rsidR="007778C2" w:rsidRPr="1765FC69">
        <w:rPr>
          <w:rFonts w:ascii="Segoe UI Light" w:hAnsi="Segoe UI Light" w:cs="Segoe UI Light"/>
          <w:b/>
          <w:bCs/>
          <w:color w:val="000000" w:themeColor="text1"/>
          <w:sz w:val="16"/>
          <w:szCs w:val="16"/>
        </w:rPr>
        <w:t>Absolventu skaits pēc dalības reizēm apmācībās</w:t>
      </w:r>
      <w:r w:rsidR="00F12A97">
        <w:rPr>
          <w:rFonts w:ascii="Segoe UI Light" w:hAnsi="Segoe UI Light" w:cs="Segoe UI Light"/>
          <w:b/>
          <w:bCs/>
          <w:color w:val="000000" w:themeColor="text1"/>
          <w:sz w:val="16"/>
          <w:szCs w:val="16"/>
        </w:rPr>
        <w:br/>
      </w:r>
      <w:r w:rsidR="007778C2" w:rsidRPr="00180228">
        <w:rPr>
          <w:rFonts w:ascii="Segoe UI Light" w:hAnsi="Segoe UI Light" w:cs="Segoe UI Light"/>
          <w:color w:val="000000" w:themeColor="text1"/>
          <w:sz w:val="16"/>
          <w:szCs w:val="16"/>
        </w:rPr>
        <w:tab/>
      </w:r>
      <w:r w:rsidR="00A73235" w:rsidRPr="00180228">
        <w:rPr>
          <w:rFonts w:ascii="Segoe UI Light" w:hAnsi="Segoe UI Light" w:cs="Segoe UI Light"/>
          <w:color w:val="000000" w:themeColor="text1"/>
          <w:sz w:val="16"/>
          <w:szCs w:val="16"/>
        </w:rPr>
        <w:t>tūkst.</w:t>
      </w:r>
      <w:r w:rsidR="007778C2" w:rsidRPr="00180228">
        <w:rPr>
          <w:rFonts w:ascii="Segoe UI Light" w:hAnsi="Segoe UI Light" w:cs="Segoe UI Light"/>
          <w:color w:val="000000" w:themeColor="text1"/>
          <w:sz w:val="16"/>
          <w:szCs w:val="16"/>
        </w:rPr>
        <w:tab/>
      </w:r>
      <w:r w:rsidR="00180228">
        <w:rPr>
          <w:rFonts w:ascii="Segoe UI Light" w:hAnsi="Segoe UI Light" w:cs="Segoe UI Light"/>
          <w:color w:val="000000" w:themeColor="text1"/>
          <w:sz w:val="16"/>
          <w:szCs w:val="16"/>
        </w:rPr>
        <w:t xml:space="preserve">tūkst., </w:t>
      </w:r>
      <w:r w:rsidR="007778C2" w:rsidRPr="003966D0">
        <w:rPr>
          <w:rFonts w:ascii="Segoe UI Light" w:hAnsi="Segoe UI Light" w:cs="Segoe UI Light"/>
          <w:color w:val="000000"/>
          <w:sz w:val="16"/>
          <w:szCs w:val="16"/>
        </w:rPr>
        <w:t>kopā par periodu no 2016.-2022. gadam</w:t>
      </w:r>
    </w:p>
    <w:p w14:paraId="4E2628C2" w14:textId="6E7440E3" w:rsidR="007778C2" w:rsidRDefault="007778C2" w:rsidP="006C1F6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color w:val="000000"/>
          <w:sz w:val="16"/>
          <w:szCs w:val="16"/>
        </w:rPr>
      </w:pPr>
      <w:r w:rsidRPr="00E9157D">
        <w:rPr>
          <w:rFonts w:ascii="Segoe UI Light" w:hAnsi="Segoe UI Light" w:cs="Segoe UI Light"/>
          <w:b/>
          <w:bCs/>
          <w:noProof/>
          <w:color w:val="000000"/>
          <w:sz w:val="16"/>
          <w:szCs w:val="16"/>
        </w:rPr>
        <mc:AlternateContent>
          <mc:Choice Requires="wps">
            <w:drawing>
              <wp:anchor distT="0" distB="0" distL="114300" distR="114300" simplePos="0" relativeHeight="251658439" behindDoc="0" locked="0" layoutInCell="1" allowOverlap="1" wp14:anchorId="66FD9DC0" wp14:editId="2A99AC69">
                <wp:simplePos x="0" y="0"/>
                <wp:positionH relativeFrom="column">
                  <wp:posOffset>4139565</wp:posOffset>
                </wp:positionH>
                <wp:positionV relativeFrom="paragraph">
                  <wp:posOffset>444500</wp:posOffset>
                </wp:positionV>
                <wp:extent cx="1339850" cy="5524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339850" cy="552450"/>
                        </a:xfrm>
                        <a:prstGeom prst="rect">
                          <a:avLst/>
                        </a:prstGeom>
                        <a:noFill/>
                      </wps:spPr>
                      <wps:txbx>
                        <w:txbxContent>
                          <w:p w14:paraId="2AE7B95F" w14:textId="3F4F91D4" w:rsidR="00B83D7D" w:rsidRPr="000634D0" w:rsidRDefault="00B83D7D" w:rsidP="006C1F6A">
                            <w:pPr>
                              <w:overflowPunct w:val="0"/>
                              <w:spacing w:after="0"/>
                              <w:jc w:val="center"/>
                              <w:textAlignment w:val="baseline"/>
                              <w:rPr>
                                <w:rFonts w:ascii="Segoe UI Light" w:eastAsia="Helvetica Neue" w:hAnsi="Segoe UI Light" w:cs="Segoe UI Light"/>
                                <w:b/>
                                <w:bCs/>
                                <w:color w:val="244061" w:themeColor="accent1" w:themeShade="80"/>
                                <w:sz w:val="14"/>
                                <w:szCs w:val="14"/>
                              </w:rPr>
                            </w:pPr>
                            <w:r w:rsidRPr="000634D0">
                              <w:rPr>
                                <w:rFonts w:ascii="Segoe UI Light" w:eastAsia="Helvetica Neue" w:hAnsi="Segoe UI Light" w:cs="Segoe UI Light"/>
                                <w:color w:val="000000"/>
                                <w:sz w:val="14"/>
                                <w:szCs w:val="14"/>
                              </w:rPr>
                              <w:t>Kopā personas piedalījušās apmācībās:</w:t>
                            </w:r>
                            <w:r>
                              <w:rPr>
                                <w:rFonts w:ascii="Segoe UI Light" w:eastAsia="Helvetica Neue" w:hAnsi="Segoe UI Light" w:cs="Segoe UI Light"/>
                                <w:color w:val="000000"/>
                                <w:sz w:val="14"/>
                                <w:szCs w:val="14"/>
                              </w:rPr>
                              <w:br/>
                            </w:r>
                            <w:r w:rsidRPr="000634D0">
                              <w:rPr>
                                <w:rFonts w:ascii="Segoe UI Light" w:eastAsia="Helvetica Neue" w:hAnsi="Segoe UI Light" w:cs="Segoe UI Light"/>
                                <w:b/>
                                <w:bCs/>
                                <w:color w:val="244061" w:themeColor="accent1" w:themeShade="80"/>
                                <w:sz w:val="14"/>
                                <w:szCs w:val="14"/>
                              </w:rPr>
                              <w:t>142</w:t>
                            </w:r>
                            <w:r>
                              <w:rPr>
                                <w:rFonts w:ascii="Segoe UI Light" w:eastAsia="Helvetica Neue" w:hAnsi="Segoe UI Light" w:cs="Segoe UI Light"/>
                                <w:b/>
                                <w:bCs/>
                                <w:color w:val="244061" w:themeColor="accent1" w:themeShade="80"/>
                                <w:sz w:val="14"/>
                                <w:szCs w:val="14"/>
                              </w:rPr>
                              <w:t>.</w:t>
                            </w:r>
                            <w:r w:rsidRPr="000634D0">
                              <w:rPr>
                                <w:rFonts w:ascii="Segoe UI Light" w:eastAsia="Helvetica Neue" w:hAnsi="Segoe UI Light" w:cs="Segoe UI Light"/>
                                <w:b/>
                                <w:bCs/>
                                <w:color w:val="244061" w:themeColor="accent1" w:themeShade="80"/>
                                <w:sz w:val="14"/>
                                <w:szCs w:val="14"/>
                              </w:rPr>
                              <w:t>1 tūkst.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6FD9DC0" id="Text Box 4" o:spid="_x0000_s1179" type="#_x0000_t202" style="position:absolute;left:0;text-align:left;margin-left:325.95pt;margin-top:35pt;width:105.5pt;height:43.5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" filled="f" stroked="f">
                <v:textbox>
                  <w:txbxContent>
                    <w:p w14:paraId="2AE7B95F" w14:textId="3F4F91D4" w:rsidR="00B83D7D" w:rsidRPr="000634D0" w:rsidRDefault="00B83D7D" w:rsidP="006C1F6A">
                      <w:pPr>
                        <w:overflowPunct w:val="0"/>
                        <w:spacing w:after="0"/>
                        <w:jc w:val="center"/>
                        <w:textAlignment w:val="baseline"/>
                        <w:rPr>
                          <w:rFonts w:ascii="Segoe UI Light" w:eastAsia="Helvetica Neue" w:hAnsi="Segoe UI Light" w:cs="Segoe UI Light"/>
                          <w:b/>
                          <w:bCs/>
                          <w:color w:val="244061" w:themeColor="accent1" w:themeShade="80"/>
                          <w:sz w:val="14"/>
                          <w:szCs w:val="14"/>
                        </w:rPr>
                      </w:pPr>
                      <w:r w:rsidRPr="000634D0">
                        <w:rPr>
                          <w:rFonts w:ascii="Segoe UI Light" w:eastAsia="Helvetica Neue" w:hAnsi="Segoe UI Light" w:cs="Segoe UI Light"/>
                          <w:color w:val="000000"/>
                          <w:sz w:val="14"/>
                          <w:szCs w:val="14"/>
                        </w:rPr>
                        <w:t>Kopā personas piedalījušās apmācībās:</w:t>
                      </w:r>
                      <w:r>
                        <w:rPr>
                          <w:rFonts w:ascii="Segoe UI Light" w:eastAsia="Helvetica Neue" w:hAnsi="Segoe UI Light" w:cs="Segoe UI Light"/>
                          <w:color w:val="000000"/>
                          <w:sz w:val="14"/>
                          <w:szCs w:val="14"/>
                        </w:rPr>
                        <w:br/>
                      </w:r>
                      <w:r w:rsidRPr="000634D0">
                        <w:rPr>
                          <w:rFonts w:ascii="Segoe UI Light" w:eastAsia="Helvetica Neue" w:hAnsi="Segoe UI Light" w:cs="Segoe UI Light"/>
                          <w:b/>
                          <w:bCs/>
                          <w:color w:val="244061" w:themeColor="accent1" w:themeShade="80"/>
                          <w:sz w:val="14"/>
                          <w:szCs w:val="14"/>
                        </w:rPr>
                        <w:t>142</w:t>
                      </w:r>
                      <w:r>
                        <w:rPr>
                          <w:rFonts w:ascii="Segoe UI Light" w:eastAsia="Helvetica Neue" w:hAnsi="Segoe UI Light" w:cs="Segoe UI Light"/>
                          <w:b/>
                          <w:bCs/>
                          <w:color w:val="244061" w:themeColor="accent1" w:themeShade="80"/>
                          <w:sz w:val="14"/>
                          <w:szCs w:val="14"/>
                        </w:rPr>
                        <w:t>.</w:t>
                      </w:r>
                      <w:r w:rsidRPr="000634D0">
                        <w:rPr>
                          <w:rFonts w:ascii="Segoe UI Light" w:eastAsia="Helvetica Neue" w:hAnsi="Segoe UI Light" w:cs="Segoe UI Light"/>
                          <w:b/>
                          <w:bCs/>
                          <w:color w:val="244061" w:themeColor="accent1" w:themeShade="80"/>
                          <w:sz w:val="14"/>
                          <w:szCs w:val="14"/>
                        </w:rPr>
                        <w:t>1 tūkst.</w:t>
                      </w:r>
                    </w:p>
                  </w:txbxContent>
                </v:textbox>
              </v:shape>
            </w:pict>
          </mc:Fallback>
        </mc:AlternateContent>
      </w:r>
      <w:r>
        <w:rPr>
          <w:rFonts w:ascii="Segoe UI Light" w:hAnsi="Segoe UI Light" w:cs="Segoe UI Light"/>
          <w:noProof/>
          <w:color w:val="000000"/>
          <w:sz w:val="16"/>
          <w:szCs w:val="16"/>
        </w:rPr>
        <w:drawing>
          <wp:inline distT="0" distB="0" distL="0" distR="0" wp14:anchorId="647813EE" wp14:editId="1CE2AB15">
            <wp:extent cx="2879725" cy="1443209"/>
            <wp:effectExtent l="0" t="0" r="0" b="508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Pr>
          <w:rFonts w:ascii="Segoe UI Light" w:hAnsi="Segoe UI Light" w:cs="Segoe UI Light"/>
          <w:noProof/>
          <w:color w:val="000000"/>
          <w:sz w:val="16"/>
          <w:szCs w:val="16"/>
        </w:rPr>
        <w:drawing>
          <wp:inline distT="0" distB="0" distL="0" distR="0" wp14:anchorId="678C78E3" wp14:editId="69E13AE4">
            <wp:extent cx="2843530" cy="1443209"/>
            <wp:effectExtent l="0" t="0" r="0" b="508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8F6833A" w14:textId="445A6A27" w:rsidR="007778C2" w:rsidRPr="00C26B09" w:rsidRDefault="007778C2" w:rsidP="006C1F6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color w:val="000000"/>
          <w:sz w:val="12"/>
          <w:szCs w:val="12"/>
        </w:rPr>
      </w:pPr>
    </w:p>
    <w:p w14:paraId="0960FDB8" w14:textId="569EC047" w:rsidR="007778C2" w:rsidRPr="003966D0" w:rsidRDefault="00E44273" w:rsidP="006C1F6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2835"/>
          <w:tab w:val="center" w:pos="7371"/>
        </w:tabs>
        <w:spacing w:after="60"/>
        <w:rPr>
          <w:rFonts w:ascii="Segoe UI Light" w:hAnsi="Segoe UI Light" w:cs="Segoe UI Light"/>
          <w:color w:val="000000"/>
          <w:sz w:val="16"/>
          <w:szCs w:val="16"/>
        </w:rPr>
      </w:pPr>
      <w:r>
        <w:rPr>
          <w:rFonts w:ascii="Segoe UI Light" w:hAnsi="Segoe UI Light" w:cs="Segoe UI Light"/>
          <w:b/>
          <w:bCs/>
          <w:color w:val="000000" w:themeColor="text1"/>
          <w:sz w:val="16"/>
          <w:szCs w:val="16"/>
        </w:rPr>
        <w:tab/>
      </w:r>
      <w:r w:rsidR="007778C2" w:rsidRPr="1765FC69">
        <w:rPr>
          <w:rFonts w:ascii="Segoe UI Light" w:hAnsi="Segoe UI Light" w:cs="Segoe UI Light"/>
          <w:b/>
          <w:bCs/>
          <w:color w:val="000000" w:themeColor="text1"/>
          <w:sz w:val="16"/>
          <w:szCs w:val="16"/>
        </w:rPr>
        <w:t>Absolventi pēc mācību nozares</w:t>
      </w:r>
      <w:r>
        <w:rPr>
          <w:rFonts w:ascii="Segoe UI Light" w:hAnsi="Segoe UI Light" w:cs="Segoe UI Light"/>
          <w:b/>
          <w:bCs/>
          <w:color w:val="000000" w:themeColor="text1"/>
          <w:sz w:val="16"/>
          <w:szCs w:val="16"/>
        </w:rPr>
        <w:tab/>
      </w:r>
      <w:r w:rsidR="007778C2" w:rsidRPr="1765FC69">
        <w:rPr>
          <w:rFonts w:ascii="Segoe UI Light" w:hAnsi="Segoe UI Light" w:cs="Segoe UI Light"/>
          <w:b/>
          <w:bCs/>
          <w:color w:val="000000" w:themeColor="text1"/>
          <w:sz w:val="16"/>
          <w:szCs w:val="16"/>
        </w:rPr>
        <w:t>Absolventu skaits pēc izglītības programmas veida</w:t>
      </w:r>
      <w:r>
        <w:rPr>
          <w:rFonts w:ascii="Segoe UI Light" w:hAnsi="Segoe UI Light" w:cs="Segoe UI Light"/>
          <w:b/>
          <w:bCs/>
          <w:color w:val="000000" w:themeColor="text1"/>
          <w:sz w:val="16"/>
          <w:szCs w:val="16"/>
        </w:rPr>
        <w:br/>
      </w:r>
      <w:r>
        <w:rPr>
          <w:rFonts w:ascii="Segoe UI Light" w:hAnsi="Segoe UI Light" w:cs="Segoe UI Light"/>
          <w:color w:val="000000" w:themeColor="text1"/>
          <w:sz w:val="16"/>
          <w:szCs w:val="16"/>
        </w:rPr>
        <w:tab/>
      </w:r>
      <w:r w:rsidR="00EA12A0">
        <w:rPr>
          <w:rFonts w:ascii="Segoe UI Light" w:hAnsi="Segoe UI Light" w:cs="Segoe UI Light"/>
          <w:color w:val="000000" w:themeColor="text1"/>
          <w:sz w:val="16"/>
          <w:szCs w:val="16"/>
        </w:rPr>
        <w:t xml:space="preserve">tūkst., </w:t>
      </w:r>
      <w:r w:rsidR="007778C2" w:rsidRPr="1765FC69">
        <w:rPr>
          <w:rFonts w:ascii="Segoe UI Light" w:hAnsi="Segoe UI Light" w:cs="Segoe UI Light"/>
          <w:color w:val="000000" w:themeColor="text1"/>
          <w:sz w:val="16"/>
          <w:szCs w:val="16"/>
        </w:rPr>
        <w:t>kopā par periodu no 2016.-2022. gadam</w:t>
      </w:r>
      <w:r w:rsidR="007778C2" w:rsidRPr="00B46CBE">
        <w:rPr>
          <w:rFonts w:ascii="Segoe UI Light" w:hAnsi="Segoe UI Light" w:cs="Segoe UI Light"/>
          <w:sz w:val="16"/>
          <w:szCs w:val="16"/>
        </w:rPr>
        <w:tab/>
      </w:r>
      <w:r w:rsidR="00EA12A0" w:rsidRPr="00B46CBE">
        <w:rPr>
          <w:rFonts w:ascii="Segoe UI Light" w:hAnsi="Segoe UI Light" w:cs="Segoe UI Light"/>
          <w:sz w:val="16"/>
          <w:szCs w:val="16"/>
        </w:rPr>
        <w:t xml:space="preserve">tūkst., </w:t>
      </w:r>
      <w:r w:rsidR="007778C2" w:rsidRPr="1765FC69">
        <w:rPr>
          <w:rFonts w:ascii="Segoe UI Light" w:hAnsi="Segoe UI Light" w:cs="Segoe UI Light"/>
          <w:color w:val="000000" w:themeColor="text1"/>
          <w:sz w:val="16"/>
          <w:szCs w:val="16"/>
        </w:rPr>
        <w:t>kopā par periodu no 2016.-2022. gadam</w:t>
      </w:r>
    </w:p>
    <w:p w14:paraId="68F22188" w14:textId="5E2C9ACC" w:rsidR="007778C2" w:rsidRDefault="00786B74" w:rsidP="006C1F6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rPr>
          <w:rFonts w:ascii="Segoe UI Light" w:hAnsi="Segoe UI Light" w:cs="Segoe UI Light"/>
          <w:color w:val="000000"/>
          <w:sz w:val="16"/>
          <w:szCs w:val="16"/>
        </w:rPr>
      </w:pPr>
      <w:r>
        <w:rPr>
          <w:rFonts w:ascii="Segoe UI Light" w:hAnsi="Segoe UI Light" w:cs="Segoe UI Light"/>
          <w:noProof/>
          <w:color w:val="000000"/>
          <w:sz w:val="16"/>
          <w:szCs w:val="16"/>
        </w:rPr>
        <mc:AlternateContent>
          <mc:Choice Requires="wps">
            <w:drawing>
              <wp:anchor distT="0" distB="0" distL="114300" distR="114300" simplePos="0" relativeHeight="251658452" behindDoc="0" locked="0" layoutInCell="1" allowOverlap="1" wp14:anchorId="01A96346" wp14:editId="775FAFD7">
                <wp:simplePos x="0" y="0"/>
                <wp:positionH relativeFrom="column">
                  <wp:posOffset>2829878</wp:posOffset>
                </wp:positionH>
                <wp:positionV relativeFrom="paragraph">
                  <wp:posOffset>1985328</wp:posOffset>
                </wp:positionV>
                <wp:extent cx="528637" cy="296862"/>
                <wp:effectExtent l="0" t="0" r="5080" b="8255"/>
                <wp:wrapNone/>
                <wp:docPr id="200" name="Text Box 200"/>
                <wp:cNvGraphicFramePr/>
                <a:graphic xmlns:a="http://schemas.openxmlformats.org/drawingml/2006/main">
                  <a:graphicData uri="http://schemas.microsoft.com/office/word/2010/wordprocessingShape">
                    <wps:wsp>
                      <wps:cNvSpPr txBox="1"/>
                      <wps:spPr>
                        <a:xfrm>
                          <a:off x="0" y="0"/>
                          <a:ext cx="528637" cy="296862"/>
                        </a:xfrm>
                        <a:prstGeom prst="rect">
                          <a:avLst/>
                        </a:prstGeom>
                        <a:noFill/>
                        <a:ln w="6350">
                          <a:noFill/>
                        </a:ln>
                      </wps:spPr>
                      <wps:txbx>
                        <w:txbxContent>
                          <w:p w14:paraId="596410AE" w14:textId="68D714B8"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Enerģētika</w:t>
                            </w:r>
                          </w:p>
                          <w:p w14:paraId="6EE0DA1F" w14:textId="5099933F"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1.8</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1A96346" id="Text Box 200" o:spid="_x0000_s1180" type="#_x0000_t202" style="position:absolute;margin-left:222.85pt;margin-top:156.35pt;width:41.6pt;height:23.35pt;z-index:251658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" filled="f" stroked="f" strokeweight=".5pt">
                <v:textbox inset="1mm,1mm,1mm,1mm">
                  <w:txbxContent>
                    <w:p w14:paraId="596410AE" w14:textId="68D714B8"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Enerģētika</w:t>
                      </w:r>
                    </w:p>
                    <w:p w14:paraId="6EE0DA1F" w14:textId="5099933F"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1.8</w:t>
                      </w:r>
                    </w:p>
                  </w:txbxContent>
                </v:textbox>
              </v:shape>
            </w:pict>
          </mc:Fallback>
        </mc:AlternateContent>
      </w:r>
      <w:r w:rsidR="00233C77">
        <w:rPr>
          <w:rFonts w:ascii="Segoe UI Light" w:hAnsi="Segoe UI Light" w:cs="Segoe UI Light"/>
          <w:noProof/>
          <w:color w:val="000000"/>
          <w:sz w:val="16"/>
          <w:szCs w:val="16"/>
        </w:rPr>
        <mc:AlternateContent>
          <mc:Choice Requires="wps">
            <w:drawing>
              <wp:anchor distT="0" distB="0" distL="114300" distR="114300" simplePos="0" relativeHeight="251658451" behindDoc="0" locked="0" layoutInCell="1" allowOverlap="1" wp14:anchorId="13741687" wp14:editId="7D7F0A99">
                <wp:simplePos x="0" y="0"/>
                <wp:positionH relativeFrom="column">
                  <wp:posOffset>2302591</wp:posOffset>
                </wp:positionH>
                <wp:positionV relativeFrom="paragraph">
                  <wp:posOffset>2000965</wp:posOffset>
                </wp:positionV>
                <wp:extent cx="728186" cy="324000"/>
                <wp:effectExtent l="0" t="7620" r="7620" b="7620"/>
                <wp:wrapNone/>
                <wp:docPr id="199" name="Text Box 199"/>
                <wp:cNvGraphicFramePr/>
                <a:graphic xmlns:a="http://schemas.openxmlformats.org/drawingml/2006/main">
                  <a:graphicData uri="http://schemas.microsoft.com/office/word/2010/wordprocessingShape">
                    <wps:wsp>
                      <wps:cNvSpPr txBox="1"/>
                      <wps:spPr>
                        <a:xfrm rot="16200000">
                          <a:off x="0" y="0"/>
                          <a:ext cx="728186" cy="324000"/>
                        </a:xfrm>
                        <a:prstGeom prst="rect">
                          <a:avLst/>
                        </a:prstGeom>
                        <a:noFill/>
                        <a:ln w="6350">
                          <a:noFill/>
                        </a:ln>
                      </wps:spPr>
                      <wps:txbx>
                        <w:txbxContent>
                          <w:p w14:paraId="3B15B40C" w14:textId="287D1D0F"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Tekstilizstrād. ražošana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3741687" id="Text Box 199" o:spid="_x0000_s1181" type="#_x0000_t202" style="position:absolute;margin-left:181.3pt;margin-top:157.55pt;width:57.35pt;height:25.5pt;rotation:-90;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" filled="f" stroked="f" strokeweight=".5pt">
                <v:textbox inset="1mm,1mm,1mm,1mm">
                  <w:txbxContent>
                    <w:p w14:paraId="3B15B40C" w14:textId="287D1D0F"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Tekstilizstrād. ražošana</w:t>
                      </w:r>
                    </w:p>
                  </w:txbxContent>
                </v:textbox>
              </v:shape>
            </w:pict>
          </mc:Fallback>
        </mc:AlternateContent>
      </w:r>
      <w:r w:rsidR="007C0599">
        <w:rPr>
          <w:rFonts w:ascii="Segoe UI Light" w:hAnsi="Segoe UI Light" w:cs="Segoe UI Light"/>
          <w:noProof/>
          <w:color w:val="000000"/>
          <w:sz w:val="16"/>
          <w:szCs w:val="16"/>
        </w:rPr>
        <mc:AlternateContent>
          <mc:Choice Requires="wps">
            <w:drawing>
              <wp:anchor distT="0" distB="0" distL="114300" distR="114300" simplePos="0" relativeHeight="251658450" behindDoc="0" locked="0" layoutInCell="1" allowOverlap="1" wp14:anchorId="08E9700A" wp14:editId="7601304A">
                <wp:simplePos x="0" y="0"/>
                <wp:positionH relativeFrom="column">
                  <wp:posOffset>2047874</wp:posOffset>
                </wp:positionH>
                <wp:positionV relativeFrom="paragraph">
                  <wp:posOffset>2046288</wp:posOffset>
                </wp:positionV>
                <wp:extent cx="633412" cy="324000"/>
                <wp:effectExtent l="2223" t="0" r="0" b="0"/>
                <wp:wrapNone/>
                <wp:docPr id="139" name="Text Box 139"/>
                <wp:cNvGraphicFramePr/>
                <a:graphic xmlns:a="http://schemas.openxmlformats.org/drawingml/2006/main">
                  <a:graphicData uri="http://schemas.microsoft.com/office/word/2010/wordprocessingShape">
                    <wps:wsp>
                      <wps:cNvSpPr txBox="1"/>
                      <wps:spPr>
                        <a:xfrm rot="16200000">
                          <a:off x="0" y="0"/>
                          <a:ext cx="633412" cy="324000"/>
                        </a:xfrm>
                        <a:prstGeom prst="rect">
                          <a:avLst/>
                        </a:prstGeom>
                        <a:noFill/>
                        <a:ln w="6350">
                          <a:noFill/>
                        </a:ln>
                      </wps:spPr>
                      <wps:txbx>
                        <w:txbxContent>
                          <w:p w14:paraId="7AB93AA3" w14:textId="144DD3B0"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Mūžizglītība</w:t>
                            </w:r>
                          </w:p>
                          <w:p w14:paraId="2F0B7B86" w14:textId="084F233B"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1.8</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8E9700A" id="Text Box 139" o:spid="_x0000_s1182" type="#_x0000_t202" style="position:absolute;margin-left:161.25pt;margin-top:161.15pt;width:49.85pt;height:25.5pt;rotation:-90;z-index:251658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" filled="f" stroked="f" strokeweight=".5pt">
                <v:textbox inset="1mm,1mm,1mm,1mm">
                  <w:txbxContent>
                    <w:p w14:paraId="7AB93AA3" w14:textId="144DD3B0"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Mūžizglītība</w:t>
                      </w:r>
                    </w:p>
                    <w:p w14:paraId="2F0B7B86" w14:textId="084F233B"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1.8</w:t>
                      </w:r>
                    </w:p>
                  </w:txbxContent>
                </v:textbox>
              </v:shape>
            </w:pict>
          </mc:Fallback>
        </mc:AlternateContent>
      </w:r>
      <w:r w:rsidR="00BC763C">
        <w:rPr>
          <w:rFonts w:ascii="Segoe UI Light" w:hAnsi="Segoe UI Light" w:cs="Segoe UI Light"/>
          <w:noProof/>
          <w:color w:val="000000"/>
          <w:sz w:val="16"/>
          <w:szCs w:val="16"/>
        </w:rPr>
        <mc:AlternateContent>
          <mc:Choice Requires="wps">
            <w:drawing>
              <wp:anchor distT="0" distB="0" distL="114300" distR="114300" simplePos="0" relativeHeight="251658449" behindDoc="0" locked="0" layoutInCell="1" allowOverlap="1" wp14:anchorId="1D735526" wp14:editId="5A3FA4A5">
                <wp:simplePos x="0" y="0"/>
                <wp:positionH relativeFrom="column">
                  <wp:posOffset>2990533</wp:posOffset>
                </wp:positionH>
                <wp:positionV relativeFrom="paragraph">
                  <wp:posOffset>1265712</wp:posOffset>
                </wp:positionV>
                <wp:extent cx="633412" cy="432000"/>
                <wp:effectExtent l="5398" t="0" r="952" b="953"/>
                <wp:wrapNone/>
                <wp:docPr id="138" name="Text Box 138"/>
                <wp:cNvGraphicFramePr/>
                <a:graphic xmlns:a="http://schemas.openxmlformats.org/drawingml/2006/main">
                  <a:graphicData uri="http://schemas.microsoft.com/office/word/2010/wordprocessingShape">
                    <wps:wsp>
                      <wps:cNvSpPr txBox="1"/>
                      <wps:spPr>
                        <a:xfrm rot="16200000">
                          <a:off x="0" y="0"/>
                          <a:ext cx="633412" cy="432000"/>
                        </a:xfrm>
                        <a:prstGeom prst="rect">
                          <a:avLst/>
                        </a:prstGeom>
                        <a:noFill/>
                        <a:ln w="6350">
                          <a:noFill/>
                        </a:ln>
                      </wps:spPr>
                      <wps:txbx>
                        <w:txbxContent>
                          <w:p w14:paraId="69840873" w14:textId="29BAC5B6"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Ēdināšana, tūrisms</w:t>
                            </w:r>
                          </w:p>
                          <w:p w14:paraId="01ABA954" w14:textId="77777777"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2.3</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735526" id="Text Box 138" o:spid="_x0000_s1183" type="#_x0000_t202" style="position:absolute;margin-left:235.5pt;margin-top:99.65pt;width:49.85pt;height:34pt;rotation:-90;z-index:251658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" filled="f" stroked="f" strokeweight=".5pt">
                <v:textbox inset="1mm,1mm,1mm,1mm">
                  <w:txbxContent>
                    <w:p w14:paraId="69840873" w14:textId="29BAC5B6"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Ēdināšana, tūrisms</w:t>
                      </w:r>
                    </w:p>
                    <w:p w14:paraId="01ABA954" w14:textId="77777777"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2.3</w:t>
                      </w:r>
                    </w:p>
                  </w:txbxContent>
                </v:textbox>
              </v:shape>
            </w:pict>
          </mc:Fallback>
        </mc:AlternateContent>
      </w:r>
      <w:r w:rsidR="00BC763C">
        <w:rPr>
          <w:rFonts w:ascii="Segoe UI Light" w:hAnsi="Segoe UI Light" w:cs="Segoe UI Light"/>
          <w:noProof/>
          <w:color w:val="000000"/>
          <w:sz w:val="16"/>
          <w:szCs w:val="16"/>
        </w:rPr>
        <mc:AlternateContent>
          <mc:Choice Requires="wps">
            <w:drawing>
              <wp:anchor distT="0" distB="0" distL="114300" distR="114300" simplePos="0" relativeHeight="251658448" behindDoc="0" locked="0" layoutInCell="1" allowOverlap="1" wp14:anchorId="4C6078AB" wp14:editId="212F862C">
                <wp:simplePos x="0" y="0"/>
                <wp:positionH relativeFrom="column">
                  <wp:posOffset>2513648</wp:posOffset>
                </wp:positionH>
                <wp:positionV relativeFrom="paragraph">
                  <wp:posOffset>1323658</wp:posOffset>
                </wp:positionV>
                <wp:extent cx="633412" cy="324000"/>
                <wp:effectExtent l="2223" t="0" r="0" b="0"/>
                <wp:wrapNone/>
                <wp:docPr id="125" name="Text Box 125"/>
                <wp:cNvGraphicFramePr/>
                <a:graphic xmlns:a="http://schemas.openxmlformats.org/drawingml/2006/main">
                  <a:graphicData uri="http://schemas.microsoft.com/office/word/2010/wordprocessingShape">
                    <wps:wsp>
                      <wps:cNvSpPr txBox="1"/>
                      <wps:spPr>
                        <a:xfrm rot="16200000">
                          <a:off x="0" y="0"/>
                          <a:ext cx="633412" cy="324000"/>
                        </a:xfrm>
                        <a:prstGeom prst="rect">
                          <a:avLst/>
                        </a:prstGeom>
                        <a:noFill/>
                        <a:ln w="6350">
                          <a:noFill/>
                        </a:ln>
                      </wps:spPr>
                      <wps:txbx>
                        <w:txbxContent>
                          <w:p w14:paraId="3C674735" w14:textId="5D54E4ED"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Kokrūpniecība</w:t>
                            </w:r>
                          </w:p>
                          <w:p w14:paraId="61239B7C" w14:textId="3A466D74"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2.3</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C6078AB" id="Text Box 125" o:spid="_x0000_s1184" type="#_x0000_t202" style="position:absolute;margin-left:197.95pt;margin-top:104.25pt;width:49.85pt;height:25.5pt;rotation:-90;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" filled="f" stroked="f" strokeweight=".5pt">
                <v:textbox inset="1mm,1mm,1mm,1mm">
                  <w:txbxContent>
                    <w:p w14:paraId="3C674735" w14:textId="5D54E4ED"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Kokrūpniecība</w:t>
                      </w:r>
                    </w:p>
                    <w:p w14:paraId="61239B7C" w14:textId="3A466D74"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2.3</w:t>
                      </w:r>
                    </w:p>
                  </w:txbxContent>
                </v:textbox>
              </v:shape>
            </w:pict>
          </mc:Fallback>
        </mc:AlternateContent>
      </w:r>
      <w:r w:rsidR="00C06137">
        <w:rPr>
          <w:rFonts w:ascii="Segoe UI Light" w:hAnsi="Segoe UI Light" w:cs="Segoe UI Light"/>
          <w:noProof/>
          <w:color w:val="000000"/>
          <w:sz w:val="16"/>
          <w:szCs w:val="16"/>
        </w:rPr>
        <mc:AlternateContent>
          <mc:Choice Requires="wps">
            <w:drawing>
              <wp:anchor distT="0" distB="0" distL="114300" distR="114300" simplePos="0" relativeHeight="251658447" behindDoc="0" locked="0" layoutInCell="1" allowOverlap="1" wp14:anchorId="61EA4B8F" wp14:editId="710A2A33">
                <wp:simplePos x="0" y="0"/>
                <wp:positionH relativeFrom="column">
                  <wp:posOffset>2197100</wp:posOffset>
                </wp:positionH>
                <wp:positionV relativeFrom="paragraph">
                  <wp:posOffset>1260475</wp:posOffset>
                </wp:positionV>
                <wp:extent cx="504000" cy="540000"/>
                <wp:effectExtent l="0" t="0" r="0" b="0"/>
                <wp:wrapNone/>
                <wp:docPr id="124" name="Text Box 124"/>
                <wp:cNvGraphicFramePr/>
                <a:graphic xmlns:a="http://schemas.openxmlformats.org/drawingml/2006/main">
                  <a:graphicData uri="http://schemas.microsoft.com/office/word/2010/wordprocessingShape">
                    <wps:wsp>
                      <wps:cNvSpPr txBox="1"/>
                      <wps:spPr>
                        <a:xfrm>
                          <a:off x="0" y="0"/>
                          <a:ext cx="504000" cy="540000"/>
                        </a:xfrm>
                        <a:prstGeom prst="rect">
                          <a:avLst/>
                        </a:prstGeom>
                        <a:noFill/>
                        <a:ln w="6350">
                          <a:noFill/>
                        </a:ln>
                      </wps:spPr>
                      <wps:txbx>
                        <w:txbxContent>
                          <w:p w14:paraId="31544396" w14:textId="505A0727"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Metāl-apstrāde, mašīnbūve</w:t>
                            </w:r>
                          </w:p>
                          <w:p w14:paraId="08B18D83" w14:textId="3DB4A416"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2.5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1EA4B8F" id="Text Box 124" o:spid="_x0000_s1185" type="#_x0000_t202" style="position:absolute;margin-left:173pt;margin-top:99.25pt;width:39.7pt;height:42.5pt;z-index:25165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" filled="f" stroked="f" strokeweight=".5pt">
                <v:textbox inset="1mm,1mm,1mm,1mm">
                  <w:txbxContent>
                    <w:p w14:paraId="31544396" w14:textId="505A0727"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Metāl-apstrāde, mašīnbūve</w:t>
                      </w:r>
                    </w:p>
                    <w:p w14:paraId="08B18D83" w14:textId="3DB4A416"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2.5</w:t>
                      </w:r>
                    </w:p>
                  </w:txbxContent>
                </v:textbox>
              </v:shape>
            </w:pict>
          </mc:Fallback>
        </mc:AlternateContent>
      </w:r>
      <w:r w:rsidR="00C06137">
        <w:rPr>
          <w:rFonts w:ascii="Segoe UI Light" w:hAnsi="Segoe UI Light" w:cs="Segoe UI Light"/>
          <w:noProof/>
          <w:color w:val="000000"/>
          <w:sz w:val="16"/>
          <w:szCs w:val="16"/>
        </w:rPr>
        <mc:AlternateContent>
          <mc:Choice Requires="wps">
            <w:drawing>
              <wp:anchor distT="0" distB="0" distL="114300" distR="114300" simplePos="0" relativeHeight="251658446" behindDoc="0" locked="0" layoutInCell="1" allowOverlap="1" wp14:anchorId="18316B85" wp14:editId="526D89B1">
                <wp:simplePos x="0" y="0"/>
                <wp:positionH relativeFrom="column">
                  <wp:posOffset>2901315</wp:posOffset>
                </wp:positionH>
                <wp:positionV relativeFrom="paragraph">
                  <wp:posOffset>613728</wp:posOffset>
                </wp:positionV>
                <wp:extent cx="542925" cy="540000"/>
                <wp:effectExtent l="0" t="0" r="9525" b="0"/>
                <wp:wrapNone/>
                <wp:docPr id="123" name="Text Box 123"/>
                <wp:cNvGraphicFramePr/>
                <a:graphic xmlns:a="http://schemas.openxmlformats.org/drawingml/2006/main">
                  <a:graphicData uri="http://schemas.microsoft.com/office/word/2010/wordprocessingShape">
                    <wps:wsp>
                      <wps:cNvSpPr txBox="1"/>
                      <wps:spPr>
                        <a:xfrm>
                          <a:off x="0" y="0"/>
                          <a:ext cx="542925" cy="540000"/>
                        </a:xfrm>
                        <a:prstGeom prst="rect">
                          <a:avLst/>
                        </a:prstGeom>
                        <a:noFill/>
                        <a:ln w="6350">
                          <a:noFill/>
                        </a:ln>
                      </wps:spPr>
                      <wps:txbx>
                        <w:txbxContent>
                          <w:p w14:paraId="7A219DBC" w14:textId="59883C9F"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Būvniecība</w:t>
                            </w:r>
                          </w:p>
                          <w:p w14:paraId="76AD1BDF" w14:textId="49592803"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5.5</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8316B85" id="Text Box 123" o:spid="_x0000_s1186" type="#_x0000_t202" style="position:absolute;margin-left:228.45pt;margin-top:48.35pt;width:42.75pt;height:42.5pt;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" filled="f" stroked="f" strokeweight=".5pt">
                <v:textbox inset="1mm,1mm,1mm,1mm">
                  <w:txbxContent>
                    <w:p w14:paraId="7A219DBC" w14:textId="59883C9F"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Būvniecība</w:t>
                      </w:r>
                    </w:p>
                    <w:p w14:paraId="76AD1BDF" w14:textId="49592803"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5.5</w:t>
                      </w:r>
                    </w:p>
                  </w:txbxContent>
                </v:textbox>
              </v:shape>
            </w:pict>
          </mc:Fallback>
        </mc:AlternateContent>
      </w:r>
      <w:r w:rsidR="004B2399">
        <w:rPr>
          <w:rFonts w:ascii="Segoe UI Light" w:hAnsi="Segoe UI Light" w:cs="Segoe UI Light"/>
          <w:noProof/>
          <w:color w:val="000000"/>
          <w:sz w:val="16"/>
          <w:szCs w:val="16"/>
        </w:rPr>
        <mc:AlternateContent>
          <mc:Choice Requires="wps">
            <w:drawing>
              <wp:anchor distT="0" distB="0" distL="114300" distR="114300" simplePos="0" relativeHeight="251658445" behindDoc="0" locked="0" layoutInCell="1" allowOverlap="1" wp14:anchorId="05AD6D52" wp14:editId="45D604A5">
                <wp:simplePos x="0" y="0"/>
                <wp:positionH relativeFrom="column">
                  <wp:posOffset>1496060</wp:posOffset>
                </wp:positionH>
                <wp:positionV relativeFrom="paragraph">
                  <wp:posOffset>1987233</wp:posOffset>
                </wp:positionV>
                <wp:extent cx="657225" cy="540000"/>
                <wp:effectExtent l="0" t="0" r="9525" b="0"/>
                <wp:wrapNone/>
                <wp:docPr id="95" name="Text Box 95"/>
                <wp:cNvGraphicFramePr/>
                <a:graphic xmlns:a="http://schemas.openxmlformats.org/drawingml/2006/main">
                  <a:graphicData uri="http://schemas.microsoft.com/office/word/2010/wordprocessingShape">
                    <wps:wsp>
                      <wps:cNvSpPr txBox="1"/>
                      <wps:spPr>
                        <a:xfrm>
                          <a:off x="0" y="0"/>
                          <a:ext cx="657225" cy="540000"/>
                        </a:xfrm>
                        <a:prstGeom prst="rect">
                          <a:avLst/>
                        </a:prstGeom>
                        <a:noFill/>
                        <a:ln w="6350">
                          <a:noFill/>
                        </a:ln>
                      </wps:spPr>
                      <wps:txbx>
                        <w:txbxContent>
                          <w:p w14:paraId="58688242" w14:textId="05099CA9"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 xml:space="preserve">Māksla, dizains, radošās industrijas </w:t>
                            </w:r>
                          </w:p>
                          <w:p w14:paraId="3C59F8CA" w14:textId="5DD737E4"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3.1</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5AD6D52" id="Text Box 95" o:spid="_x0000_s1187" type="#_x0000_t202" style="position:absolute;margin-left:117.8pt;margin-top:156.5pt;width:51.75pt;height:42.5pt;z-index:251658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" filled="f" stroked="f" strokeweight=".5pt">
                <v:textbox inset="1mm,1mm,1mm,1mm">
                  <w:txbxContent>
                    <w:p w14:paraId="58688242" w14:textId="05099CA9"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 xml:space="preserve">Māksla, dizains, radošās industrijas </w:t>
                      </w:r>
                    </w:p>
                    <w:p w14:paraId="3C59F8CA" w14:textId="5DD737E4"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3.1</w:t>
                      </w:r>
                    </w:p>
                  </w:txbxContent>
                </v:textbox>
              </v:shape>
            </w:pict>
          </mc:Fallback>
        </mc:AlternateContent>
      </w:r>
      <w:r w:rsidR="004B2399">
        <w:rPr>
          <w:rFonts w:ascii="Segoe UI Light" w:hAnsi="Segoe UI Light" w:cs="Segoe UI Light"/>
          <w:noProof/>
          <w:color w:val="000000"/>
          <w:sz w:val="16"/>
          <w:szCs w:val="16"/>
        </w:rPr>
        <mc:AlternateContent>
          <mc:Choice Requires="wps">
            <w:drawing>
              <wp:anchor distT="0" distB="0" distL="114300" distR="114300" simplePos="0" relativeHeight="251658444" behindDoc="0" locked="0" layoutInCell="1" allowOverlap="1" wp14:anchorId="1CE4A5F0" wp14:editId="2B03A733">
                <wp:simplePos x="0" y="0"/>
                <wp:positionH relativeFrom="column">
                  <wp:posOffset>1496378</wp:posOffset>
                </wp:positionH>
                <wp:positionV relativeFrom="paragraph">
                  <wp:posOffset>1432878</wp:posOffset>
                </wp:positionV>
                <wp:extent cx="657225" cy="540000"/>
                <wp:effectExtent l="0" t="0" r="9525" b="0"/>
                <wp:wrapNone/>
                <wp:docPr id="78" name="Text Box 78"/>
                <wp:cNvGraphicFramePr/>
                <a:graphic xmlns:a="http://schemas.openxmlformats.org/drawingml/2006/main">
                  <a:graphicData uri="http://schemas.microsoft.com/office/word/2010/wordprocessingShape">
                    <wps:wsp>
                      <wps:cNvSpPr txBox="1"/>
                      <wps:spPr>
                        <a:xfrm>
                          <a:off x="0" y="0"/>
                          <a:ext cx="657225" cy="540000"/>
                        </a:xfrm>
                        <a:prstGeom prst="rect">
                          <a:avLst/>
                        </a:prstGeom>
                        <a:noFill/>
                        <a:ln w="6350">
                          <a:noFill/>
                        </a:ln>
                      </wps:spPr>
                      <wps:txbx>
                        <w:txbxContent>
                          <w:p w14:paraId="19E5D7DF" w14:textId="21F2118D"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 xml:space="preserve">Transports un loģistika </w:t>
                            </w:r>
                          </w:p>
                          <w:p w14:paraId="21974C4C" w14:textId="657CC55E"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4</w:t>
                            </w:r>
                            <w:r w:rsidRPr="00DA0A83">
                              <w:rPr>
                                <w:rFonts w:ascii="Segoe UI Light" w:hAnsi="Segoe UI Light" w:cs="Segoe UI Light"/>
                                <w:color w:val="FFFFFF" w:themeColor="background1"/>
                                <w:sz w:val="14"/>
                                <w:szCs w:val="14"/>
                              </w:rPr>
                              <w:t>.</w:t>
                            </w:r>
                            <w:r>
                              <w:rPr>
                                <w:rFonts w:ascii="Segoe UI Light" w:hAnsi="Segoe UI Light" w:cs="Segoe UI Light"/>
                                <w:color w:val="FFFFFF" w:themeColor="background1"/>
                                <w:sz w:val="14"/>
                                <w:szCs w:val="14"/>
                              </w:rPr>
                              <w:t>6</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CE4A5F0" id="Text Box 78" o:spid="_x0000_s1188" type="#_x0000_t202" style="position:absolute;margin-left:117.85pt;margin-top:112.85pt;width:51.75pt;height:42.5pt;z-index:251658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" filled="f" stroked="f" strokeweight=".5pt">
                <v:textbox inset="1mm,1mm,1mm,1mm">
                  <w:txbxContent>
                    <w:p w14:paraId="19E5D7DF" w14:textId="21F2118D" w:rsidR="00B83D7D"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 xml:space="preserve">Transports un loģistika </w:t>
                      </w:r>
                    </w:p>
                    <w:p w14:paraId="21974C4C" w14:textId="657CC55E"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4</w:t>
                      </w:r>
                      <w:r w:rsidRPr="00DA0A83">
                        <w:rPr>
                          <w:rFonts w:ascii="Segoe UI Light" w:hAnsi="Segoe UI Light" w:cs="Segoe UI Light"/>
                          <w:color w:val="FFFFFF" w:themeColor="background1"/>
                          <w:sz w:val="14"/>
                          <w:szCs w:val="14"/>
                        </w:rPr>
                        <w:t>.</w:t>
                      </w:r>
                      <w:r>
                        <w:rPr>
                          <w:rFonts w:ascii="Segoe UI Light" w:hAnsi="Segoe UI Light" w:cs="Segoe UI Light"/>
                          <w:color w:val="FFFFFF" w:themeColor="background1"/>
                          <w:sz w:val="14"/>
                          <w:szCs w:val="14"/>
                        </w:rPr>
                        <w:t>6</w:t>
                      </w:r>
                    </w:p>
                  </w:txbxContent>
                </v:textbox>
              </v:shape>
            </w:pict>
          </mc:Fallback>
        </mc:AlternateContent>
      </w:r>
      <w:r w:rsidR="005D125C">
        <w:rPr>
          <w:rFonts w:ascii="Segoe UI Light" w:hAnsi="Segoe UI Light" w:cs="Segoe UI Light"/>
          <w:noProof/>
          <w:color w:val="000000"/>
          <w:sz w:val="16"/>
          <w:szCs w:val="16"/>
        </w:rPr>
        <mc:AlternateContent>
          <mc:Choice Requires="wps">
            <w:drawing>
              <wp:anchor distT="0" distB="0" distL="114300" distR="114300" simplePos="0" relativeHeight="251658443" behindDoc="0" locked="0" layoutInCell="1" allowOverlap="1" wp14:anchorId="0D7BA57C" wp14:editId="14A7B1F2">
                <wp:simplePos x="0" y="0"/>
                <wp:positionH relativeFrom="column">
                  <wp:posOffset>1494155</wp:posOffset>
                </wp:positionH>
                <wp:positionV relativeFrom="paragraph">
                  <wp:posOffset>611823</wp:posOffset>
                </wp:positionV>
                <wp:extent cx="1260000" cy="54000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1260000" cy="540000"/>
                        </a:xfrm>
                        <a:prstGeom prst="rect">
                          <a:avLst/>
                        </a:prstGeom>
                        <a:noFill/>
                        <a:ln w="6350">
                          <a:noFill/>
                        </a:ln>
                      </wps:spPr>
                      <wps:txbx>
                        <w:txbxContent>
                          <w:p w14:paraId="1129EE9D" w14:textId="77777777" w:rsidR="00B83D7D" w:rsidRDefault="00B83D7D" w:rsidP="00B46CBE">
                            <w:pPr>
                              <w:spacing w:after="0"/>
                              <w:rPr>
                                <w:rFonts w:ascii="Segoe UI Light" w:hAnsi="Segoe UI Light" w:cs="Segoe UI Light"/>
                                <w:color w:val="FFFFFF" w:themeColor="background1"/>
                                <w:sz w:val="14"/>
                                <w:szCs w:val="14"/>
                              </w:rPr>
                            </w:pPr>
                            <w:r w:rsidRPr="00DA0A83">
                              <w:rPr>
                                <w:rFonts w:ascii="Segoe UI Light" w:hAnsi="Segoe UI Light" w:cs="Segoe UI Light"/>
                                <w:color w:val="FFFFFF" w:themeColor="background1"/>
                                <w:sz w:val="14"/>
                                <w:szCs w:val="14"/>
                              </w:rPr>
                              <w:t>Uzņēmējdarbība, finan</w:t>
                            </w:r>
                            <w:r>
                              <w:rPr>
                                <w:rFonts w:ascii="Segoe UI Light" w:hAnsi="Segoe UI Light" w:cs="Segoe UI Light"/>
                                <w:color w:val="FFFFFF" w:themeColor="background1"/>
                                <w:sz w:val="14"/>
                                <w:szCs w:val="14"/>
                              </w:rPr>
                              <w:t>ses</w:t>
                            </w:r>
                            <w:r w:rsidRPr="00DA0A83">
                              <w:rPr>
                                <w:rFonts w:ascii="Segoe UI Light" w:hAnsi="Segoe UI Light" w:cs="Segoe UI Light"/>
                                <w:color w:val="FFFFFF" w:themeColor="background1"/>
                                <w:sz w:val="14"/>
                                <w:szCs w:val="14"/>
                              </w:rPr>
                              <w:t>, grāmatvedība (tirdzniecība, komerczinības)</w:t>
                            </w:r>
                            <w:r>
                              <w:rPr>
                                <w:rFonts w:ascii="Segoe UI Light" w:hAnsi="Segoe UI Light" w:cs="Segoe UI Light"/>
                                <w:color w:val="FFFFFF" w:themeColor="background1"/>
                                <w:sz w:val="14"/>
                                <w:szCs w:val="14"/>
                              </w:rPr>
                              <w:t xml:space="preserve"> </w:t>
                            </w:r>
                          </w:p>
                          <w:p w14:paraId="1C968B35" w14:textId="5D247D41"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1</w:t>
                            </w:r>
                            <w:r w:rsidRPr="00DA0A83">
                              <w:rPr>
                                <w:rFonts w:ascii="Segoe UI Light" w:hAnsi="Segoe UI Light" w:cs="Segoe UI Light"/>
                                <w:color w:val="FFFFFF" w:themeColor="background1"/>
                                <w:sz w:val="14"/>
                                <w:szCs w:val="14"/>
                              </w:rPr>
                              <w:t>2.1</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D7BA57C" id="Text Box 71" o:spid="_x0000_s1189" type="#_x0000_t202" style="position:absolute;margin-left:117.65pt;margin-top:48.2pt;width:99.2pt;height:42.5pt;z-index:251658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" filled="f" stroked="f" strokeweight=".5pt">
                <v:textbox inset="1mm,1mm,1mm,1mm">
                  <w:txbxContent>
                    <w:p w14:paraId="1129EE9D" w14:textId="77777777" w:rsidR="00B83D7D" w:rsidRDefault="00B83D7D" w:rsidP="00B46CBE">
                      <w:pPr>
                        <w:spacing w:after="0"/>
                        <w:rPr>
                          <w:rFonts w:ascii="Segoe UI Light" w:hAnsi="Segoe UI Light" w:cs="Segoe UI Light"/>
                          <w:color w:val="FFFFFF" w:themeColor="background1"/>
                          <w:sz w:val="14"/>
                          <w:szCs w:val="14"/>
                        </w:rPr>
                      </w:pPr>
                      <w:r w:rsidRPr="00DA0A83">
                        <w:rPr>
                          <w:rFonts w:ascii="Segoe UI Light" w:hAnsi="Segoe UI Light" w:cs="Segoe UI Light"/>
                          <w:color w:val="FFFFFF" w:themeColor="background1"/>
                          <w:sz w:val="14"/>
                          <w:szCs w:val="14"/>
                        </w:rPr>
                        <w:t>Uzņēmējdarbība, finan</w:t>
                      </w:r>
                      <w:r>
                        <w:rPr>
                          <w:rFonts w:ascii="Segoe UI Light" w:hAnsi="Segoe UI Light" w:cs="Segoe UI Light"/>
                          <w:color w:val="FFFFFF" w:themeColor="background1"/>
                          <w:sz w:val="14"/>
                          <w:szCs w:val="14"/>
                        </w:rPr>
                        <w:t>ses</w:t>
                      </w:r>
                      <w:r w:rsidRPr="00DA0A83">
                        <w:rPr>
                          <w:rFonts w:ascii="Segoe UI Light" w:hAnsi="Segoe UI Light" w:cs="Segoe UI Light"/>
                          <w:color w:val="FFFFFF" w:themeColor="background1"/>
                          <w:sz w:val="14"/>
                          <w:szCs w:val="14"/>
                        </w:rPr>
                        <w:t>, grāmatvedība (tirdzniecība, komerczinības)</w:t>
                      </w:r>
                      <w:r>
                        <w:rPr>
                          <w:rFonts w:ascii="Segoe UI Light" w:hAnsi="Segoe UI Light" w:cs="Segoe UI Light"/>
                          <w:color w:val="FFFFFF" w:themeColor="background1"/>
                          <w:sz w:val="14"/>
                          <w:szCs w:val="14"/>
                        </w:rPr>
                        <w:t xml:space="preserve"> </w:t>
                      </w:r>
                    </w:p>
                    <w:p w14:paraId="1C968B35" w14:textId="5D247D41" w:rsidR="00B83D7D" w:rsidRPr="00DA0A83" w:rsidRDefault="00B83D7D" w:rsidP="00B46CBE">
                      <w:pPr>
                        <w:spacing w:after="0"/>
                        <w:rPr>
                          <w:rFonts w:ascii="Segoe UI Light" w:hAnsi="Segoe UI Light" w:cs="Segoe UI Light"/>
                          <w:color w:val="FFFFFF" w:themeColor="background1"/>
                          <w:sz w:val="14"/>
                          <w:szCs w:val="14"/>
                        </w:rPr>
                      </w:pPr>
                      <w:r>
                        <w:rPr>
                          <w:rFonts w:ascii="Segoe UI Light" w:hAnsi="Segoe UI Light" w:cs="Segoe UI Light"/>
                          <w:color w:val="FFFFFF" w:themeColor="background1"/>
                          <w:sz w:val="14"/>
                          <w:szCs w:val="14"/>
                        </w:rPr>
                        <w:t>1</w:t>
                      </w:r>
                      <w:r w:rsidRPr="00DA0A83">
                        <w:rPr>
                          <w:rFonts w:ascii="Segoe UI Light" w:hAnsi="Segoe UI Light" w:cs="Segoe UI Light"/>
                          <w:color w:val="FFFFFF" w:themeColor="background1"/>
                          <w:sz w:val="14"/>
                          <w:szCs w:val="14"/>
                        </w:rPr>
                        <w:t>2.1</w:t>
                      </w:r>
                    </w:p>
                  </w:txbxContent>
                </v:textbox>
              </v:shape>
            </w:pict>
          </mc:Fallback>
        </mc:AlternateContent>
      </w:r>
      <w:r w:rsidR="00B46CBE">
        <w:rPr>
          <w:rFonts w:ascii="Segoe UI Light" w:hAnsi="Segoe UI Light" w:cs="Segoe UI Light"/>
          <w:noProof/>
          <w:color w:val="000000"/>
          <w:sz w:val="16"/>
          <w:szCs w:val="16"/>
        </w:rPr>
        <mc:AlternateContent>
          <mc:Choice Requires="wps">
            <w:drawing>
              <wp:anchor distT="0" distB="0" distL="114300" distR="114300" simplePos="0" relativeHeight="251658442" behindDoc="0" locked="0" layoutInCell="1" allowOverlap="1" wp14:anchorId="78F5D984" wp14:editId="11B14218">
                <wp:simplePos x="0" y="0"/>
                <wp:positionH relativeFrom="column">
                  <wp:posOffset>76200</wp:posOffset>
                </wp:positionH>
                <wp:positionV relativeFrom="paragraph">
                  <wp:posOffset>1989772</wp:posOffset>
                </wp:positionV>
                <wp:extent cx="1260000" cy="5400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260000" cy="540000"/>
                        </a:xfrm>
                        <a:prstGeom prst="rect">
                          <a:avLst/>
                        </a:prstGeom>
                        <a:noFill/>
                        <a:ln w="6350">
                          <a:noFill/>
                        </a:ln>
                      </wps:spPr>
                      <wps:txbx>
                        <w:txbxContent>
                          <w:p w14:paraId="2FBAA847" w14:textId="2115D5A9" w:rsidR="00B83D7D" w:rsidRPr="00B81797" w:rsidRDefault="00B83D7D" w:rsidP="00B46CBE">
                            <w:pPr>
                              <w:spacing w:after="0"/>
                              <w:rPr>
                                <w:rFonts w:ascii="Segoe UI Light" w:hAnsi="Segoe UI Light" w:cs="Segoe UI Light"/>
                                <w:color w:val="FFFFFF" w:themeColor="background1"/>
                                <w:sz w:val="14"/>
                                <w:szCs w:val="14"/>
                              </w:rPr>
                            </w:pPr>
                            <w:r w:rsidRPr="00B81797">
                              <w:rPr>
                                <w:rFonts w:ascii="Segoe UI Light" w:hAnsi="Segoe UI Light" w:cs="Segoe UI Light"/>
                                <w:color w:val="FFFFFF" w:themeColor="background1"/>
                                <w:sz w:val="14"/>
                                <w:szCs w:val="14"/>
                              </w:rPr>
                              <w:t>Elektronisko un optisko iekārtu ražošana, informācijas un komunikācijas tehnoloģijas</w:t>
                            </w:r>
                          </w:p>
                          <w:p w14:paraId="48880789" w14:textId="6095E213" w:rsidR="00B83D7D" w:rsidRPr="00B81797" w:rsidRDefault="00B83D7D" w:rsidP="00B46CBE">
                            <w:pPr>
                              <w:spacing w:after="0"/>
                              <w:rPr>
                                <w:rFonts w:ascii="Segoe UI Light" w:hAnsi="Segoe UI Light" w:cs="Segoe UI Light"/>
                                <w:color w:val="FFFFFF" w:themeColor="background1"/>
                                <w:sz w:val="14"/>
                                <w:szCs w:val="14"/>
                              </w:rPr>
                            </w:pPr>
                            <w:r w:rsidRPr="00B81797">
                              <w:rPr>
                                <w:rFonts w:ascii="Segoe UI Light" w:hAnsi="Segoe UI Light" w:cs="Segoe UI Light"/>
                                <w:color w:val="FFFFFF" w:themeColor="background1"/>
                                <w:sz w:val="14"/>
                                <w:szCs w:val="14"/>
                              </w:rPr>
                              <w:t>28.1</w:t>
                            </w:r>
                          </w:p>
                        </w:txbxContent>
                      </wps:txbx>
                      <wps:bodyPr rot="0" spcFirstLastPara="0" vertOverflow="overflow" horzOverflow="overflow" vert="horz" wrap="square" lIns="36000" tIns="36000" rIns="36000" bIns="3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8F5D984" id="Text Box 70" o:spid="_x0000_s1190" type="#_x0000_t202" style="position:absolute;margin-left:6pt;margin-top:156.65pt;width:99.2pt;height:42.5pt;z-index:251658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" filled="f" stroked="f" strokeweight=".5pt">
                <v:textbox inset="1mm,1mm,1mm,1mm">
                  <w:txbxContent>
                    <w:p w14:paraId="2FBAA847" w14:textId="2115D5A9" w:rsidR="00B83D7D" w:rsidRPr="00B81797" w:rsidRDefault="00B83D7D" w:rsidP="00B46CBE">
                      <w:pPr>
                        <w:spacing w:after="0"/>
                        <w:rPr>
                          <w:rFonts w:ascii="Segoe UI Light" w:hAnsi="Segoe UI Light" w:cs="Segoe UI Light"/>
                          <w:color w:val="FFFFFF" w:themeColor="background1"/>
                          <w:sz w:val="14"/>
                          <w:szCs w:val="14"/>
                        </w:rPr>
                      </w:pPr>
                      <w:r w:rsidRPr="00B81797">
                        <w:rPr>
                          <w:rFonts w:ascii="Segoe UI Light" w:hAnsi="Segoe UI Light" w:cs="Segoe UI Light"/>
                          <w:color w:val="FFFFFF" w:themeColor="background1"/>
                          <w:sz w:val="14"/>
                          <w:szCs w:val="14"/>
                        </w:rPr>
                        <w:t>Elektronisko un optisko iekārtu ražošana, informācijas un komunikācijas tehnoloģijas</w:t>
                      </w:r>
                    </w:p>
                    <w:p w14:paraId="48880789" w14:textId="6095E213" w:rsidR="00B83D7D" w:rsidRPr="00B81797" w:rsidRDefault="00B83D7D" w:rsidP="00B46CBE">
                      <w:pPr>
                        <w:spacing w:after="0"/>
                        <w:rPr>
                          <w:rFonts w:ascii="Segoe UI Light" w:hAnsi="Segoe UI Light" w:cs="Segoe UI Light"/>
                          <w:color w:val="FFFFFF" w:themeColor="background1"/>
                          <w:sz w:val="14"/>
                          <w:szCs w:val="14"/>
                        </w:rPr>
                      </w:pPr>
                      <w:r w:rsidRPr="00B81797">
                        <w:rPr>
                          <w:rFonts w:ascii="Segoe UI Light" w:hAnsi="Segoe UI Light" w:cs="Segoe UI Light"/>
                          <w:color w:val="FFFFFF" w:themeColor="background1"/>
                          <w:sz w:val="14"/>
                          <w:szCs w:val="14"/>
                        </w:rPr>
                        <w:t>28.1</w:t>
                      </w:r>
                    </w:p>
                  </w:txbxContent>
                </v:textbox>
              </v:shape>
            </w:pict>
          </mc:Fallback>
        </mc:AlternateContent>
      </w:r>
      <w:r w:rsidR="007778C2">
        <w:rPr>
          <w:rFonts w:ascii="Segoe UI Light" w:hAnsi="Segoe UI Light" w:cs="Segoe UI Light"/>
          <w:noProof/>
          <w:color w:val="000000"/>
          <w:sz w:val="16"/>
          <w:szCs w:val="16"/>
        </w:rPr>
        <mc:AlternateContent>
          <mc:Choice Requires="cx1">
            <w:drawing>
              <wp:inline distT="0" distB="0" distL="0" distR="0" wp14:anchorId="7F7020E5" wp14:editId="6FDC6784">
                <wp:extent cx="3600000" cy="2603500"/>
                <wp:effectExtent l="0" t="0" r="635" b="6350"/>
                <wp:docPr id="41" name="Chart 4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97"/>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drawing>
              <wp:inline distT="0" distB="0" distL="0" distR="0" wp14:anchorId="7F7020E5" wp14:editId="6FDC6784">
                <wp:extent cx="3600000" cy="2603500"/>
                <wp:effectExtent l="0" t="0" r="635" b="6350"/>
                <wp:docPr id="41" name="Chart 4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1" name="Chart 41"/>
                        <pic:cNvPicPr>
                          <a:picLocks noGrp="1" noRot="1" noChangeAspect="1" noMove="1" noResize="1" noEditPoints="1" noAdjustHandles="1" noChangeArrowheads="1" noChangeShapeType="1"/>
                        </pic:cNvPicPr>
                      </pic:nvPicPr>
                      <pic:blipFill>
                        <a:blip r:embed="rId102"/>
                        <a:stretch>
                          <a:fillRect/>
                        </a:stretch>
                      </pic:blipFill>
                      <pic:spPr>
                        <a:xfrm>
                          <a:off x="0" y="0"/>
                          <a:ext cx="3599815" cy="2603500"/>
                        </a:xfrm>
                        <a:prstGeom prst="rect">
                          <a:avLst/>
                        </a:prstGeom>
                      </pic:spPr>
                    </pic:pic>
                  </a:graphicData>
                </a:graphic>
              </wp:inline>
            </w:drawing>
          </mc:Fallback>
        </mc:AlternateContent>
      </w:r>
      <w:r w:rsidR="007778C2">
        <w:rPr>
          <w:rFonts w:ascii="Segoe UI Light" w:hAnsi="Segoe UI Light" w:cs="Segoe UI Light"/>
          <w:noProof/>
          <w:color w:val="000000"/>
          <w:sz w:val="16"/>
          <w:szCs w:val="16"/>
        </w:rPr>
        <w:drawing>
          <wp:inline distT="0" distB="0" distL="0" distR="0" wp14:anchorId="357D5E26" wp14:editId="2BF8210F">
            <wp:extent cx="2160000" cy="25200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52B114B5" w14:textId="77777777" w:rsidR="006C1F6A" w:rsidRPr="00C26B09" w:rsidRDefault="006C1F6A" w:rsidP="006C1F6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rPr>
          <w:rFonts w:ascii="Segoe UI Light" w:hAnsi="Segoe UI Light" w:cs="Segoe UI Light"/>
          <w:color w:val="000000"/>
          <w:sz w:val="12"/>
          <w:szCs w:val="12"/>
        </w:rPr>
      </w:pPr>
    </w:p>
    <w:p w14:paraId="2E7D2260" w14:textId="524E705C" w:rsidR="007778C2" w:rsidRPr="00247568" w:rsidRDefault="003E77DD" w:rsidP="006C1F6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1985"/>
          <w:tab w:val="center" w:pos="6521"/>
        </w:tabs>
        <w:spacing w:after="60"/>
        <w:rPr>
          <w:rFonts w:ascii="Segoe UI Light" w:hAnsi="Segoe UI Light" w:cs="Segoe UI Light"/>
          <w:color w:val="000000"/>
          <w:sz w:val="16"/>
          <w:szCs w:val="16"/>
        </w:rPr>
      </w:pPr>
      <w:r>
        <w:rPr>
          <w:rFonts w:ascii="Segoe UI Light" w:hAnsi="Segoe UI Light" w:cs="Segoe UI Light"/>
          <w:b/>
          <w:bCs/>
          <w:color w:val="000000" w:themeColor="text1"/>
          <w:sz w:val="16"/>
          <w:szCs w:val="16"/>
        </w:rPr>
        <w:tab/>
      </w:r>
      <w:r w:rsidR="007778C2" w:rsidRPr="1765FC69">
        <w:rPr>
          <w:rFonts w:ascii="Segoe UI Light" w:hAnsi="Segoe UI Light" w:cs="Segoe UI Light"/>
          <w:b/>
          <w:bCs/>
          <w:color w:val="000000" w:themeColor="text1"/>
          <w:sz w:val="16"/>
          <w:szCs w:val="16"/>
        </w:rPr>
        <w:t>Absolventu izglītības līmenis</w:t>
      </w:r>
      <w:r w:rsidR="007778C2">
        <w:rPr>
          <w:rFonts w:ascii="Segoe UI Light" w:hAnsi="Segoe UI Light" w:cs="Segoe UI Light"/>
          <w:b/>
          <w:color w:val="000000" w:themeColor="text1"/>
          <w:sz w:val="16"/>
          <w:szCs w:val="16"/>
        </w:rPr>
        <w:tab/>
      </w:r>
      <w:r w:rsidR="007778C2" w:rsidRPr="1765FC69">
        <w:rPr>
          <w:rFonts w:ascii="Segoe UI Light" w:hAnsi="Segoe UI Light" w:cs="Segoe UI Light"/>
          <w:b/>
          <w:bCs/>
          <w:color w:val="000000" w:themeColor="text1"/>
          <w:sz w:val="16"/>
          <w:szCs w:val="16"/>
        </w:rPr>
        <w:t>Absolventu vecuma sadalījums</w:t>
      </w:r>
      <w:r w:rsidR="006C1F6A">
        <w:rPr>
          <w:rFonts w:ascii="Segoe UI Light" w:hAnsi="Segoe UI Light" w:cs="Segoe UI Light"/>
          <w:b/>
          <w:bCs/>
          <w:color w:val="000000"/>
          <w:sz w:val="16"/>
          <w:szCs w:val="16"/>
        </w:rPr>
        <w:br/>
      </w:r>
      <w:r w:rsidR="006C1F6A">
        <w:rPr>
          <w:rFonts w:ascii="Segoe UI Light" w:hAnsi="Segoe UI Light" w:cs="Segoe UI Light"/>
          <w:b/>
          <w:bCs/>
          <w:color w:val="000000"/>
          <w:sz w:val="16"/>
          <w:szCs w:val="16"/>
        </w:rPr>
        <w:tab/>
      </w:r>
      <w:r w:rsidR="007778C2" w:rsidRPr="1765FC69">
        <w:rPr>
          <w:rFonts w:ascii="Segoe UI Light" w:hAnsi="Segoe UI Light" w:cs="Segoe UI Light"/>
          <w:color w:val="000000" w:themeColor="text1"/>
          <w:sz w:val="16"/>
          <w:szCs w:val="16"/>
        </w:rPr>
        <w:t>procentos</w:t>
      </w:r>
      <w:r w:rsidR="006C1F6A">
        <w:rPr>
          <w:rFonts w:ascii="Segoe UI Light" w:hAnsi="Segoe UI Light" w:cs="Segoe UI Light"/>
          <w:color w:val="000000" w:themeColor="text1"/>
          <w:sz w:val="16"/>
          <w:szCs w:val="16"/>
        </w:rPr>
        <w:tab/>
      </w:r>
      <w:proofErr w:type="spellStart"/>
      <w:r w:rsidR="007778C2" w:rsidRPr="1765FC69">
        <w:rPr>
          <w:rFonts w:ascii="Segoe UI Light" w:hAnsi="Segoe UI Light" w:cs="Segoe UI Light"/>
          <w:color w:val="000000" w:themeColor="text1"/>
          <w:sz w:val="16"/>
          <w:szCs w:val="16"/>
        </w:rPr>
        <w:t>procentos</w:t>
      </w:r>
      <w:proofErr w:type="spellEnd"/>
      <w:r w:rsidR="007778C2" w:rsidRPr="1765FC69">
        <w:rPr>
          <w:rFonts w:ascii="Segoe UI Light" w:hAnsi="Segoe UI Light" w:cs="Segoe UI Light"/>
          <w:color w:val="000000" w:themeColor="text1"/>
          <w:sz w:val="16"/>
          <w:szCs w:val="16"/>
        </w:rPr>
        <w:t xml:space="preserve"> no visiem absolventiem</w:t>
      </w:r>
    </w:p>
    <w:p w14:paraId="119C92E5" w14:textId="77777777" w:rsidR="007778C2" w:rsidRDefault="007778C2" w:rsidP="006C1F6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rPr>
          <w:rFonts w:ascii="Segoe UI Light" w:hAnsi="Segoe UI Light" w:cs="Segoe UI Light"/>
          <w:color w:val="000000"/>
          <w:sz w:val="16"/>
          <w:szCs w:val="16"/>
        </w:rPr>
      </w:pPr>
      <w:r>
        <w:rPr>
          <w:rFonts w:ascii="Segoe UI Light" w:hAnsi="Segoe UI Light" w:cs="Segoe UI Light"/>
          <w:noProof/>
          <w:color w:val="000000"/>
          <w:sz w:val="16"/>
          <w:szCs w:val="16"/>
        </w:rPr>
        <w:drawing>
          <wp:inline distT="0" distB="0" distL="0" distR="0" wp14:anchorId="6172B773" wp14:editId="49AF8330">
            <wp:extent cx="2520000" cy="1800000"/>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Pr>
          <w:rFonts w:ascii="Segoe UI Light" w:hAnsi="Segoe UI Light" w:cs="Segoe UI Light"/>
          <w:noProof/>
          <w:color w:val="000000"/>
          <w:sz w:val="16"/>
          <w:szCs w:val="16"/>
        </w:rPr>
        <w:drawing>
          <wp:inline distT="0" distB="0" distL="0" distR="0" wp14:anchorId="297C6DA6" wp14:editId="25798696">
            <wp:extent cx="3240000" cy="180000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2FCB464" w14:textId="5A8BCCC1" w:rsidR="00B83D7D" w:rsidRPr="00B83D7D" w:rsidRDefault="00447F25" w:rsidP="00B83D7D">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rPr>
          <w:rFonts w:ascii="Segoe UI Light" w:hAnsi="Segoe UI Light" w:cs="Segoe UI Light"/>
          <w:color w:val="000000"/>
          <w:sz w:val="12"/>
          <w:szCs w:val="12"/>
        </w:rPr>
      </w:pPr>
      <w:r>
        <w:rPr>
          <w:rFonts w:ascii="Segoe UI Light" w:hAnsi="Segoe UI Light" w:cs="Segoe UI Light"/>
          <w:color w:val="000000"/>
          <w:sz w:val="12"/>
          <w:szCs w:val="12"/>
        </w:rPr>
        <w:t>*</w:t>
      </w:r>
      <w:r w:rsidR="00B83D7D">
        <w:rPr>
          <w:rFonts w:ascii="Segoe UI Light" w:hAnsi="Segoe UI Light" w:cs="Segoe UI Light"/>
          <w:color w:val="000000"/>
          <w:sz w:val="12"/>
          <w:szCs w:val="12"/>
        </w:rPr>
        <w:t xml:space="preserve"> </w:t>
      </w:r>
      <w:r w:rsidR="00C26B09">
        <w:rPr>
          <w:rFonts w:ascii="Segoe UI Light" w:hAnsi="Segoe UI Light" w:cs="Segoe UI Light"/>
          <w:color w:val="000000"/>
          <w:sz w:val="12"/>
          <w:szCs w:val="12"/>
        </w:rPr>
        <w:t>EM:</w:t>
      </w:r>
      <w:r w:rsidR="00B83D7D" w:rsidRPr="00B83D7D">
        <w:rPr>
          <w:rFonts w:ascii="Segoe UI Light" w:hAnsi="Segoe UI Light" w:cs="Segoe UI Light"/>
          <w:color w:val="000000"/>
          <w:sz w:val="12"/>
          <w:szCs w:val="12"/>
        </w:rPr>
        <w:t xml:space="preserve"> Darbības programmas “Izaugsme un nodarbinātība” 1.2.2. specifiskā atbalsta mērķa “Veicināt inovāciju ieviešanu komersantos” 1.2.2.1. pasākum</w:t>
      </w:r>
      <w:r w:rsidR="00C26B09">
        <w:rPr>
          <w:rFonts w:ascii="Segoe UI Light" w:hAnsi="Segoe UI Light" w:cs="Segoe UI Light"/>
          <w:color w:val="000000"/>
          <w:sz w:val="12"/>
          <w:szCs w:val="12"/>
        </w:rPr>
        <w:t>s</w:t>
      </w:r>
      <w:r w:rsidR="00B83D7D" w:rsidRPr="00B83D7D">
        <w:rPr>
          <w:rFonts w:ascii="Segoe UI Light" w:hAnsi="Segoe UI Light" w:cs="Segoe UI Light"/>
          <w:color w:val="000000"/>
          <w:sz w:val="12"/>
          <w:szCs w:val="12"/>
        </w:rPr>
        <w:t xml:space="preserve"> “Atbalsts nodarbināto apmācībām”, 1.2.2.2. pasākum</w:t>
      </w:r>
      <w:r w:rsidR="00C26B09">
        <w:rPr>
          <w:rFonts w:ascii="Segoe UI Light" w:hAnsi="Segoe UI Light" w:cs="Segoe UI Light"/>
          <w:color w:val="000000"/>
          <w:sz w:val="12"/>
          <w:szCs w:val="12"/>
        </w:rPr>
        <w:t>s</w:t>
      </w:r>
      <w:r w:rsidR="00B83D7D" w:rsidRPr="00B83D7D">
        <w:rPr>
          <w:rFonts w:ascii="Segoe UI Light" w:hAnsi="Segoe UI Light" w:cs="Segoe UI Light"/>
          <w:color w:val="000000"/>
          <w:sz w:val="12"/>
          <w:szCs w:val="12"/>
        </w:rPr>
        <w:t xml:space="preserve"> “Inovāciju motivācijas programma”</w:t>
      </w:r>
      <w:r w:rsidR="00C26B09">
        <w:rPr>
          <w:rFonts w:ascii="Segoe UI Light" w:hAnsi="Segoe UI Light" w:cs="Segoe UI Light"/>
          <w:color w:val="000000"/>
          <w:sz w:val="12"/>
          <w:szCs w:val="12"/>
        </w:rPr>
        <w:t xml:space="preserve">, </w:t>
      </w:r>
      <w:r w:rsidR="00B83D7D" w:rsidRPr="00B83D7D">
        <w:rPr>
          <w:rFonts w:ascii="Segoe UI Light" w:hAnsi="Segoe UI Light" w:cs="Segoe UI Light"/>
          <w:color w:val="000000"/>
          <w:sz w:val="12"/>
          <w:szCs w:val="12"/>
        </w:rPr>
        <w:t>1.2.2.3. pasākum</w:t>
      </w:r>
      <w:r w:rsidR="00C26B09">
        <w:rPr>
          <w:rFonts w:ascii="Segoe UI Light" w:hAnsi="Segoe UI Light" w:cs="Segoe UI Light"/>
          <w:color w:val="000000"/>
          <w:sz w:val="12"/>
          <w:szCs w:val="12"/>
        </w:rPr>
        <w:t>s</w:t>
      </w:r>
      <w:r w:rsidR="00B83D7D" w:rsidRPr="00B83D7D">
        <w:rPr>
          <w:rFonts w:ascii="Segoe UI Light" w:hAnsi="Segoe UI Light" w:cs="Segoe UI Light"/>
          <w:color w:val="000000"/>
          <w:sz w:val="12"/>
          <w:szCs w:val="12"/>
        </w:rPr>
        <w:t xml:space="preserve"> “Atbalsts IKT un netehnoloģiskām apmācībām, kā arī apmācībām, lai sekmētu investoru piesaisti”</w:t>
      </w:r>
      <w:r w:rsidR="00C26B09">
        <w:rPr>
          <w:rFonts w:ascii="Segoe UI Light" w:hAnsi="Segoe UI Light" w:cs="Segoe UI Light"/>
          <w:color w:val="000000"/>
          <w:sz w:val="12"/>
          <w:szCs w:val="12"/>
        </w:rPr>
        <w:t>; IZM/VIAA:</w:t>
      </w:r>
      <w:r w:rsidR="00C26B09" w:rsidRPr="00C26B09">
        <w:rPr>
          <w:rFonts w:ascii="Segoe UI Light" w:hAnsi="Segoe UI Light" w:cs="Segoe UI Light"/>
          <w:color w:val="000000"/>
          <w:sz w:val="12"/>
          <w:szCs w:val="12"/>
        </w:rPr>
        <w:t xml:space="preserve"> </w:t>
      </w:r>
      <w:r w:rsidR="00C26B09">
        <w:rPr>
          <w:rFonts w:ascii="Segoe UI Light" w:hAnsi="Segoe UI Light" w:cs="Segoe UI Light"/>
          <w:color w:val="000000"/>
          <w:sz w:val="12"/>
          <w:szCs w:val="12"/>
        </w:rPr>
        <w:t>ESF projekts “</w:t>
      </w:r>
      <w:r w:rsidR="00C26B09" w:rsidRPr="00B83D7D">
        <w:rPr>
          <w:rFonts w:ascii="Segoe UI Light" w:hAnsi="Segoe UI Light" w:cs="Segoe UI Light"/>
          <w:color w:val="000000"/>
          <w:sz w:val="12"/>
          <w:szCs w:val="12"/>
        </w:rPr>
        <w:t>Nodarbināto personu profesionālās kompetences pilnveide”</w:t>
      </w:r>
      <w:r w:rsidR="00C26B09">
        <w:rPr>
          <w:rFonts w:ascii="Segoe UI Light" w:hAnsi="Segoe UI Light" w:cs="Segoe UI Light"/>
          <w:color w:val="000000"/>
          <w:sz w:val="12"/>
          <w:szCs w:val="12"/>
        </w:rPr>
        <w:t>; LM/NVA:</w:t>
      </w:r>
      <w:r w:rsidR="00C26B09" w:rsidRPr="00B83D7D">
        <w:rPr>
          <w:rFonts w:ascii="Segoe UI Light" w:hAnsi="Segoe UI Light" w:cs="Segoe UI Light"/>
          <w:color w:val="000000"/>
          <w:sz w:val="12"/>
          <w:szCs w:val="12"/>
        </w:rPr>
        <w:t xml:space="preserve"> dat</w:t>
      </w:r>
      <w:r w:rsidR="00C26B09">
        <w:rPr>
          <w:rFonts w:ascii="Segoe UI Light" w:hAnsi="Segoe UI Light" w:cs="Segoe UI Light"/>
          <w:color w:val="000000"/>
          <w:sz w:val="12"/>
          <w:szCs w:val="12"/>
        </w:rPr>
        <w:t>i</w:t>
      </w:r>
      <w:r w:rsidR="00C26B09" w:rsidRPr="00B83D7D">
        <w:rPr>
          <w:rFonts w:ascii="Segoe UI Light" w:hAnsi="Segoe UI Light" w:cs="Segoe UI Light"/>
          <w:color w:val="000000"/>
          <w:sz w:val="12"/>
          <w:szCs w:val="12"/>
        </w:rPr>
        <w:t xml:space="preserve"> par profesionālās tālākizglītības vai pilnveides apmācības pabeigušajiem</w:t>
      </w:r>
      <w:r w:rsidR="00C26B09">
        <w:rPr>
          <w:rFonts w:ascii="Segoe UI Light" w:hAnsi="Segoe UI Light" w:cs="Segoe UI Light"/>
          <w:color w:val="000000"/>
          <w:sz w:val="12"/>
          <w:szCs w:val="12"/>
        </w:rPr>
        <w:t>.</w:t>
      </w:r>
    </w:p>
    <w:p w14:paraId="5B4867F8" w14:textId="77777777" w:rsidR="003F161B" w:rsidRPr="003B4CDA" w:rsidRDefault="003F161B" w:rsidP="003F161B">
      <w:pPr>
        <w:spacing w:after="120"/>
        <w:jc w:val="right"/>
        <w:rPr>
          <w:szCs w:val="20"/>
        </w:rPr>
      </w:pPr>
      <w:r w:rsidRPr="003B4CDA">
        <w:rPr>
          <w:szCs w:val="20"/>
        </w:rPr>
        <w:lastRenderedPageBreak/>
        <w:t>2.2</w:t>
      </w:r>
      <w:r>
        <w:rPr>
          <w:szCs w:val="20"/>
        </w:rPr>
        <w:t>3</w:t>
      </w:r>
      <w:r w:rsidRPr="003B4CDA">
        <w:rPr>
          <w:szCs w:val="20"/>
        </w:rPr>
        <w:t>. attēls</w:t>
      </w:r>
    </w:p>
    <w:p w14:paraId="03C9893D" w14:textId="77777777" w:rsidR="003F161B" w:rsidRPr="003B4CDA" w:rsidRDefault="003F161B" w:rsidP="003F161B">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120"/>
        <w:rPr>
          <w:rFonts w:ascii="Segoe UI Light" w:hAnsi="Segoe UI Light"/>
          <w:bCs/>
          <w:i/>
          <w:sz w:val="16"/>
          <w:szCs w:val="22"/>
        </w:rPr>
      </w:pPr>
      <w:r w:rsidRPr="003B4CDA">
        <w:rPr>
          <w:rFonts w:ascii="Segoe UI Light" w:hAnsi="Segoe UI Light"/>
          <w:b/>
          <w:bCs/>
          <w:szCs w:val="26"/>
        </w:rPr>
        <w:t>Iedzīvotāju iesaistīšanās līmenis mūžizglītībā</w:t>
      </w:r>
      <w:r w:rsidRPr="003B4CDA">
        <w:rPr>
          <w:rFonts w:ascii="Segoe UI Light" w:hAnsi="Segoe UI Light"/>
          <w:b/>
          <w:bCs/>
          <w:szCs w:val="26"/>
        </w:rPr>
        <w:br/>
      </w:r>
      <w:r w:rsidRPr="003B4CDA">
        <w:rPr>
          <w:rFonts w:ascii="Segoe UI Light" w:hAnsi="Segoe UI Light"/>
          <w:bCs/>
          <w:i/>
          <w:sz w:val="16"/>
          <w:szCs w:val="22"/>
        </w:rPr>
        <w:t>procentos no iedzīvotājiem vecuma grupā 25-64 gadi</w:t>
      </w:r>
    </w:p>
    <w:p w14:paraId="65A28B1A" w14:textId="77777777" w:rsidR="003F161B" w:rsidRPr="003B4CDA" w:rsidRDefault="003F161B" w:rsidP="003F161B">
      <w:pPr>
        <w:spacing w:after="120"/>
        <w:jc w:val="center"/>
      </w:pPr>
      <w:r w:rsidRPr="003B4CDA">
        <w:rPr>
          <w:rFonts w:ascii="Arial Narrow" w:hAnsi="Arial Narrow"/>
          <w:noProof/>
          <w:szCs w:val="20"/>
          <w:lang w:eastAsia="lv-LV"/>
        </w:rPr>
        <w:drawing>
          <wp:inline distT="0" distB="0" distL="0" distR="0" wp14:anchorId="0C45438B" wp14:editId="583CF3CD">
            <wp:extent cx="5760000" cy="2160000"/>
            <wp:effectExtent l="0" t="0" r="0" b="0"/>
            <wp:docPr id="32" name="Objec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7BF4927" w14:textId="77777777" w:rsidR="003F161B" w:rsidRPr="003B4CDA" w:rsidRDefault="003F161B" w:rsidP="003F161B">
      <w:pPr>
        <w:spacing w:after="120"/>
        <w:jc w:val="both"/>
        <w:rPr>
          <w:sz w:val="16"/>
          <w:szCs w:val="16"/>
        </w:rPr>
      </w:pPr>
      <w:r w:rsidRPr="003B4CDA">
        <w:rPr>
          <w:sz w:val="16"/>
          <w:szCs w:val="16"/>
        </w:rPr>
        <w:t xml:space="preserve">Avots: CSP, </w:t>
      </w:r>
      <w:proofErr w:type="spellStart"/>
      <w:r w:rsidRPr="003B4CDA">
        <w:rPr>
          <w:i/>
          <w:sz w:val="16"/>
          <w:szCs w:val="16"/>
        </w:rPr>
        <w:t>Eurostat</w:t>
      </w:r>
      <w:proofErr w:type="spellEnd"/>
    </w:p>
    <w:p w14:paraId="70661570" w14:textId="77777777" w:rsidR="003F161B" w:rsidRDefault="003F161B" w:rsidP="003F161B">
      <w:pPr>
        <w:spacing w:after="120"/>
        <w:jc w:val="both"/>
        <w:rPr>
          <w:szCs w:val="20"/>
        </w:rPr>
      </w:pPr>
    </w:p>
    <w:p w14:paraId="17515357" w14:textId="0D216BC4" w:rsidR="003F161B" w:rsidRDefault="003F161B" w:rsidP="003F161B">
      <w:pPr>
        <w:spacing w:after="120"/>
        <w:jc w:val="both"/>
        <w:rPr>
          <w:szCs w:val="20"/>
        </w:rPr>
      </w:pPr>
      <w:r w:rsidRPr="00874586">
        <w:rPr>
          <w:szCs w:val="20"/>
        </w:rPr>
        <w:t>Iedzīvotāji ar augstāko izglītību aktīvāk izvēlas piedalīties pieaugušo izglītības pasākumos</w:t>
      </w:r>
      <w:r w:rsidR="00C95401">
        <w:rPr>
          <w:szCs w:val="20"/>
        </w:rPr>
        <w:t>, kas ir pamatojams tostarp ar augsti kvalificētās vai reglamentētās profesijas prasībām regulāri pilnveidot zināšanas un prasmes</w:t>
      </w:r>
      <w:r w:rsidRPr="00874586">
        <w:rPr>
          <w:szCs w:val="20"/>
        </w:rPr>
        <w:t>. 202</w:t>
      </w:r>
      <w:r>
        <w:rPr>
          <w:szCs w:val="20"/>
        </w:rPr>
        <w:t>3</w:t>
      </w:r>
      <w:r w:rsidRPr="00874586">
        <w:rPr>
          <w:szCs w:val="20"/>
        </w:rPr>
        <w:t>. </w:t>
      </w:r>
      <w:r>
        <w:rPr>
          <w:szCs w:val="20"/>
        </w:rPr>
        <w:t>gad</w:t>
      </w:r>
      <w:r w:rsidRPr="00874586">
        <w:rPr>
          <w:szCs w:val="20"/>
        </w:rPr>
        <w:t>ā pieaugušo izglītības pasākumos iesaistījās 1</w:t>
      </w:r>
      <w:r>
        <w:rPr>
          <w:szCs w:val="20"/>
        </w:rPr>
        <w:t>8</w:t>
      </w:r>
      <w:r w:rsidRPr="00874586">
        <w:rPr>
          <w:szCs w:val="20"/>
        </w:rPr>
        <w:t>,</w:t>
      </w:r>
      <w:r>
        <w:rPr>
          <w:szCs w:val="20"/>
        </w:rPr>
        <w:t>4%</w:t>
      </w:r>
      <w:r w:rsidRPr="00874586">
        <w:rPr>
          <w:szCs w:val="20"/>
        </w:rPr>
        <w:t xml:space="preserve"> no iedzīvotājiem ar augstāko izglītību, t.i., par </w:t>
      </w:r>
      <w:r>
        <w:rPr>
          <w:szCs w:val="20"/>
        </w:rPr>
        <w:t>7</w:t>
      </w:r>
      <w:r w:rsidRPr="00874586">
        <w:rPr>
          <w:szCs w:val="20"/>
        </w:rPr>
        <w:t>,</w:t>
      </w:r>
      <w:r>
        <w:rPr>
          <w:szCs w:val="20"/>
        </w:rPr>
        <w:t>2</w:t>
      </w:r>
      <w:r w:rsidRPr="00874586">
        <w:rPr>
          <w:szCs w:val="20"/>
        </w:rPr>
        <w:t xml:space="preserve"> procentpunktiem vairāk nekā </w:t>
      </w:r>
      <w:r>
        <w:rPr>
          <w:szCs w:val="20"/>
        </w:rPr>
        <w:t>2020. gadā</w:t>
      </w:r>
      <w:r w:rsidRPr="00874586">
        <w:rPr>
          <w:szCs w:val="20"/>
        </w:rPr>
        <w:t xml:space="preserve"> (</w:t>
      </w:r>
      <w:r>
        <w:rPr>
          <w:szCs w:val="20"/>
        </w:rPr>
        <w:t>11</w:t>
      </w:r>
      <w:r w:rsidRPr="00874586">
        <w:rPr>
          <w:szCs w:val="20"/>
        </w:rPr>
        <w:t>,2</w:t>
      </w:r>
      <w:r>
        <w:rPr>
          <w:szCs w:val="20"/>
        </w:rPr>
        <w:t>%</w:t>
      </w:r>
      <w:r w:rsidRPr="00874586">
        <w:rPr>
          <w:szCs w:val="20"/>
        </w:rPr>
        <w:t xml:space="preserve">). </w:t>
      </w:r>
      <w:r>
        <w:rPr>
          <w:szCs w:val="20"/>
        </w:rPr>
        <w:t xml:space="preserve">Krietni zemāka iesaiste ir iedzīvotājiem ar vispārējo vidējo izglītību (2023. gadā </w:t>
      </w:r>
      <w:r w:rsidRPr="00874586">
        <w:rPr>
          <w:szCs w:val="20"/>
        </w:rPr>
        <w:t>–</w:t>
      </w:r>
      <w:r>
        <w:rPr>
          <w:szCs w:val="20"/>
        </w:rPr>
        <w:t xml:space="preserve"> 8,1%) un arodizglītību vai profesionālo vidējo izglītību (2023. gadā – 5,0%). </w:t>
      </w:r>
      <w:r w:rsidRPr="00874586">
        <w:rPr>
          <w:szCs w:val="20"/>
        </w:rPr>
        <w:t>Sievietēm</w:t>
      </w:r>
      <w:r w:rsidRPr="00D528E7">
        <w:rPr>
          <w:szCs w:val="20"/>
        </w:rPr>
        <w:t xml:space="preserve"> iesaistes rādītāji ir krietni augstāki nekā vīriešiem. Sieviešu iesaistes īpatsvars bija 1</w:t>
      </w:r>
      <w:r>
        <w:rPr>
          <w:szCs w:val="20"/>
        </w:rPr>
        <w:t>3</w:t>
      </w:r>
      <w:r w:rsidRPr="00D528E7">
        <w:rPr>
          <w:szCs w:val="20"/>
        </w:rPr>
        <w:t>,5</w:t>
      </w:r>
      <w:r>
        <w:rPr>
          <w:szCs w:val="20"/>
        </w:rPr>
        <w:t>%</w:t>
      </w:r>
      <w:r w:rsidRPr="00D528E7">
        <w:rPr>
          <w:szCs w:val="20"/>
        </w:rPr>
        <w:t xml:space="preserve">, kas par </w:t>
      </w:r>
      <w:r>
        <w:rPr>
          <w:szCs w:val="20"/>
        </w:rPr>
        <w:t>5</w:t>
      </w:r>
      <w:r w:rsidRPr="00D528E7">
        <w:rPr>
          <w:szCs w:val="20"/>
        </w:rPr>
        <w:t>,</w:t>
      </w:r>
      <w:r>
        <w:rPr>
          <w:szCs w:val="20"/>
        </w:rPr>
        <w:t>7</w:t>
      </w:r>
      <w:r w:rsidRPr="00D528E7">
        <w:rPr>
          <w:szCs w:val="20"/>
        </w:rPr>
        <w:t xml:space="preserve"> procentpunktiem pārsniedza vīriešu iesaistes īpatsvaru</w:t>
      </w:r>
      <w:r>
        <w:rPr>
          <w:szCs w:val="20"/>
        </w:rPr>
        <w:t xml:space="preserve"> (7,8%).</w:t>
      </w:r>
    </w:p>
    <w:p w14:paraId="25F6E894" w14:textId="77777777" w:rsidR="003F161B" w:rsidRDefault="003F161B" w:rsidP="003F161B">
      <w:pPr>
        <w:spacing w:after="120"/>
        <w:jc w:val="both"/>
        <w:rPr>
          <w:szCs w:val="20"/>
        </w:rPr>
      </w:pPr>
    </w:p>
    <w:p w14:paraId="289C2AD6" w14:textId="12DBF354" w:rsidR="007778C2" w:rsidRPr="001231A9" w:rsidRDefault="007778C2" w:rsidP="007778C2">
      <w:pPr>
        <w:spacing w:after="0"/>
        <w:rPr>
          <w:highlight w:val="yellow"/>
        </w:rPr>
      </w:pPr>
    </w:p>
    <w:p w14:paraId="4F584005" w14:textId="6B814A20" w:rsidR="005E175A" w:rsidRPr="00B73A48" w:rsidRDefault="005E175A">
      <w:pPr>
        <w:spacing w:after="0"/>
        <w:rPr>
          <w:highlight w:val="yellow"/>
        </w:rPr>
      </w:pPr>
      <w:r w:rsidRPr="00B73A48">
        <w:rPr>
          <w:highlight w:val="yellow"/>
        </w:rPr>
        <w:br w:type="page"/>
      </w:r>
    </w:p>
    <w:p w14:paraId="77D9AC6C" w14:textId="5F64DDD1" w:rsidR="0077767D" w:rsidRDefault="0077767D" w:rsidP="0077767D">
      <w:pPr>
        <w:pStyle w:val="BodyTextIndent2"/>
        <w:spacing w:line="240" w:lineRule="auto"/>
        <w:ind w:left="0"/>
        <w:jc w:val="both"/>
        <w:rPr>
          <w:sz w:val="20"/>
          <w:szCs w:val="20"/>
        </w:rPr>
      </w:pPr>
      <w:bookmarkStart w:id="53" w:name="_Toc517876437"/>
      <w:r>
        <w:rPr>
          <w:noProof/>
          <w:sz w:val="20"/>
          <w:szCs w:val="20"/>
        </w:rPr>
        <w:lastRenderedPageBreak/>
        <w:drawing>
          <wp:anchor distT="0" distB="0" distL="114300" distR="114300" simplePos="0" relativeHeight="251820247" behindDoc="1" locked="0" layoutInCell="1" allowOverlap="1" wp14:anchorId="3B9E77EA" wp14:editId="2358625B">
            <wp:simplePos x="0" y="0"/>
            <wp:positionH relativeFrom="page">
              <wp:posOffset>0</wp:posOffset>
            </wp:positionH>
            <wp:positionV relativeFrom="page">
              <wp:posOffset>0</wp:posOffset>
            </wp:positionV>
            <wp:extent cx="7560000" cy="4536000"/>
            <wp:effectExtent l="0" t="0" r="3175" b="0"/>
            <wp:wrapNone/>
            <wp:docPr id="1399" name="Picture 1399" descr="Blue and orange gradient with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Picture 1399" descr="Blue and orange gradient with arrows"/>
                    <pic:cNvPicPr/>
                  </pic:nvPicPr>
                  <pic:blipFill>
                    <a:blip r:embed="rId107"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tretch>
                      <a:fillRect/>
                    </a:stretch>
                  </pic:blipFill>
                  <pic:spPr>
                    <a:xfrm>
                      <a:off x="0" y="0"/>
                      <a:ext cx="7560000" cy="4536000"/>
                    </a:xfrm>
                    <a:prstGeom prst="rect">
                      <a:avLst/>
                    </a:prstGeom>
                  </pic:spPr>
                </pic:pic>
              </a:graphicData>
            </a:graphic>
            <wp14:sizeRelH relativeFrom="page">
              <wp14:pctWidth>0</wp14:pctWidth>
            </wp14:sizeRelH>
            <wp14:sizeRelV relativeFrom="page">
              <wp14:pctHeight>0</wp14:pctHeight>
            </wp14:sizeRelV>
          </wp:anchor>
        </w:drawing>
      </w:r>
    </w:p>
    <w:p w14:paraId="74B8999A" w14:textId="77777777" w:rsidR="0077767D" w:rsidRDefault="0077767D" w:rsidP="0077767D">
      <w:pPr>
        <w:pStyle w:val="BodyTextIndent2"/>
        <w:spacing w:line="240" w:lineRule="auto"/>
        <w:ind w:left="0"/>
        <w:jc w:val="both"/>
        <w:rPr>
          <w:sz w:val="20"/>
          <w:szCs w:val="20"/>
        </w:rPr>
      </w:pPr>
    </w:p>
    <w:p w14:paraId="68E99836" w14:textId="77777777" w:rsidR="0077767D" w:rsidRDefault="0077767D" w:rsidP="0077767D">
      <w:pPr>
        <w:pStyle w:val="BodyTextIndent2"/>
        <w:spacing w:line="240" w:lineRule="auto"/>
        <w:ind w:left="0"/>
        <w:jc w:val="both"/>
        <w:rPr>
          <w:sz w:val="20"/>
          <w:szCs w:val="20"/>
        </w:rPr>
      </w:pPr>
    </w:p>
    <w:p w14:paraId="648145C7" w14:textId="77777777" w:rsidR="0077767D" w:rsidRDefault="0077767D" w:rsidP="0077767D">
      <w:pPr>
        <w:pStyle w:val="BodyTextIndent2"/>
        <w:spacing w:line="240" w:lineRule="auto"/>
        <w:ind w:left="0"/>
        <w:jc w:val="both"/>
        <w:rPr>
          <w:sz w:val="20"/>
          <w:szCs w:val="20"/>
        </w:rPr>
      </w:pPr>
    </w:p>
    <w:p w14:paraId="4E5ECE4A" w14:textId="77777777" w:rsidR="0077767D" w:rsidRDefault="0077767D" w:rsidP="0077767D">
      <w:pPr>
        <w:pStyle w:val="BodyTextIndent2"/>
        <w:spacing w:line="240" w:lineRule="auto"/>
        <w:ind w:left="0"/>
        <w:jc w:val="both"/>
        <w:rPr>
          <w:sz w:val="20"/>
          <w:szCs w:val="20"/>
        </w:rPr>
      </w:pPr>
    </w:p>
    <w:p w14:paraId="261CD569" w14:textId="77777777" w:rsidR="0077767D" w:rsidRDefault="0077767D" w:rsidP="0077767D">
      <w:pPr>
        <w:pStyle w:val="BodyTextIndent2"/>
        <w:spacing w:line="240" w:lineRule="auto"/>
        <w:ind w:left="0"/>
        <w:jc w:val="both"/>
        <w:rPr>
          <w:sz w:val="20"/>
          <w:szCs w:val="20"/>
        </w:rPr>
      </w:pPr>
    </w:p>
    <w:p w14:paraId="3B33DF88" w14:textId="77777777" w:rsidR="0077767D" w:rsidRDefault="0077767D" w:rsidP="0077767D">
      <w:pPr>
        <w:pStyle w:val="BodyTextIndent2"/>
        <w:spacing w:line="240" w:lineRule="auto"/>
        <w:ind w:left="0"/>
        <w:jc w:val="both"/>
        <w:rPr>
          <w:sz w:val="20"/>
          <w:szCs w:val="20"/>
        </w:rPr>
      </w:pPr>
    </w:p>
    <w:p w14:paraId="50133BB2" w14:textId="77777777" w:rsidR="0077767D" w:rsidRDefault="0077767D" w:rsidP="0077767D">
      <w:pPr>
        <w:pStyle w:val="BodyTextIndent2"/>
        <w:spacing w:line="240" w:lineRule="auto"/>
        <w:ind w:left="0"/>
        <w:jc w:val="both"/>
        <w:rPr>
          <w:sz w:val="20"/>
          <w:szCs w:val="20"/>
        </w:rPr>
      </w:pPr>
    </w:p>
    <w:p w14:paraId="0CE60CF6" w14:textId="77777777" w:rsidR="0077767D" w:rsidRDefault="0077767D" w:rsidP="0077767D">
      <w:pPr>
        <w:pStyle w:val="BodyTextIndent2"/>
        <w:spacing w:line="240" w:lineRule="auto"/>
        <w:ind w:left="0"/>
        <w:jc w:val="both"/>
        <w:rPr>
          <w:sz w:val="20"/>
          <w:szCs w:val="20"/>
        </w:rPr>
      </w:pPr>
    </w:p>
    <w:p w14:paraId="708BDF0E" w14:textId="77777777" w:rsidR="0077767D" w:rsidRDefault="0077767D" w:rsidP="0077767D">
      <w:pPr>
        <w:pStyle w:val="BodyTextIndent2"/>
        <w:spacing w:line="240" w:lineRule="auto"/>
        <w:ind w:left="0"/>
        <w:jc w:val="both"/>
        <w:rPr>
          <w:sz w:val="20"/>
          <w:szCs w:val="20"/>
        </w:rPr>
      </w:pPr>
    </w:p>
    <w:p w14:paraId="40F903F0" w14:textId="77777777" w:rsidR="0077767D" w:rsidRDefault="0077767D" w:rsidP="0077767D">
      <w:pPr>
        <w:pStyle w:val="BodyTextIndent2"/>
        <w:spacing w:line="240" w:lineRule="auto"/>
        <w:ind w:left="0"/>
        <w:jc w:val="both"/>
        <w:rPr>
          <w:sz w:val="20"/>
          <w:szCs w:val="20"/>
        </w:rPr>
      </w:pPr>
    </w:p>
    <w:p w14:paraId="2C18DEBD" w14:textId="77777777" w:rsidR="0077767D" w:rsidRDefault="0077767D" w:rsidP="0077767D">
      <w:pPr>
        <w:pStyle w:val="BodyTextIndent2"/>
        <w:spacing w:line="240" w:lineRule="auto"/>
        <w:ind w:left="0"/>
        <w:jc w:val="both"/>
        <w:rPr>
          <w:sz w:val="20"/>
          <w:szCs w:val="20"/>
        </w:rPr>
      </w:pPr>
    </w:p>
    <w:p w14:paraId="5125B640" w14:textId="77777777" w:rsidR="0077767D" w:rsidRDefault="0077767D" w:rsidP="0077767D">
      <w:pPr>
        <w:pStyle w:val="BodyTextIndent2"/>
        <w:spacing w:line="240" w:lineRule="auto"/>
        <w:ind w:left="0"/>
        <w:jc w:val="both"/>
        <w:rPr>
          <w:sz w:val="20"/>
          <w:szCs w:val="20"/>
        </w:rPr>
      </w:pPr>
    </w:p>
    <w:p w14:paraId="2ECD9AEE" w14:textId="77777777" w:rsidR="0077767D" w:rsidRDefault="0077767D" w:rsidP="0077767D">
      <w:pPr>
        <w:pStyle w:val="BodyTextIndent2"/>
        <w:spacing w:line="240" w:lineRule="auto"/>
        <w:ind w:left="0"/>
        <w:jc w:val="both"/>
        <w:rPr>
          <w:sz w:val="20"/>
          <w:szCs w:val="20"/>
        </w:rPr>
      </w:pPr>
    </w:p>
    <w:p w14:paraId="20BD6299" w14:textId="77777777" w:rsidR="0077767D" w:rsidRDefault="0077767D" w:rsidP="0077767D">
      <w:pPr>
        <w:pStyle w:val="BodyTextIndent2"/>
        <w:spacing w:line="240" w:lineRule="auto"/>
        <w:ind w:left="0"/>
        <w:jc w:val="both"/>
        <w:rPr>
          <w:sz w:val="20"/>
          <w:szCs w:val="20"/>
        </w:rPr>
      </w:pPr>
    </w:p>
    <w:p w14:paraId="1C7C3BA9" w14:textId="77777777" w:rsidR="0077767D" w:rsidRDefault="0077767D" w:rsidP="0077767D">
      <w:pPr>
        <w:pStyle w:val="BodyTextIndent2"/>
        <w:spacing w:line="240" w:lineRule="auto"/>
        <w:ind w:left="0"/>
        <w:jc w:val="both"/>
        <w:rPr>
          <w:sz w:val="20"/>
          <w:szCs w:val="20"/>
        </w:rPr>
      </w:pPr>
    </w:p>
    <w:p w14:paraId="65097F16" w14:textId="77777777" w:rsidR="0077767D" w:rsidRDefault="0077767D" w:rsidP="0077767D">
      <w:pPr>
        <w:pStyle w:val="BodyTextIndent2"/>
        <w:spacing w:line="240" w:lineRule="auto"/>
        <w:ind w:left="0"/>
        <w:jc w:val="both"/>
        <w:rPr>
          <w:sz w:val="20"/>
          <w:szCs w:val="20"/>
        </w:rPr>
      </w:pPr>
    </w:p>
    <w:p w14:paraId="385D4DC7" w14:textId="77777777" w:rsidR="0077767D" w:rsidRDefault="0077767D" w:rsidP="0077767D">
      <w:pPr>
        <w:pStyle w:val="BodyTextIndent2"/>
        <w:spacing w:line="240" w:lineRule="auto"/>
        <w:ind w:left="0"/>
        <w:jc w:val="both"/>
        <w:rPr>
          <w:sz w:val="20"/>
          <w:szCs w:val="20"/>
        </w:rPr>
      </w:pPr>
    </w:p>
    <w:p w14:paraId="6E7D9C83" w14:textId="77777777" w:rsidR="0077767D" w:rsidRDefault="0077767D" w:rsidP="0077767D">
      <w:pPr>
        <w:pStyle w:val="BodyTextIndent2"/>
        <w:spacing w:line="240" w:lineRule="auto"/>
        <w:ind w:left="0"/>
        <w:jc w:val="both"/>
        <w:rPr>
          <w:sz w:val="20"/>
          <w:szCs w:val="20"/>
        </w:rPr>
      </w:pPr>
    </w:p>
    <w:p w14:paraId="3BFC9D4E" w14:textId="77777777" w:rsidR="0077767D" w:rsidRDefault="0077767D" w:rsidP="0077767D">
      <w:pPr>
        <w:pStyle w:val="BodyTextIndent2"/>
        <w:spacing w:line="240" w:lineRule="auto"/>
        <w:ind w:left="0"/>
        <w:jc w:val="both"/>
        <w:rPr>
          <w:sz w:val="20"/>
          <w:szCs w:val="20"/>
        </w:rPr>
      </w:pPr>
    </w:p>
    <w:p w14:paraId="63EA49E5" w14:textId="77777777" w:rsidR="0077767D" w:rsidRPr="00CD313C" w:rsidRDefault="0077767D" w:rsidP="0077767D">
      <w:pPr>
        <w:pStyle w:val="BodyTextIndent2"/>
        <w:spacing w:line="240" w:lineRule="auto"/>
        <w:ind w:left="0"/>
        <w:jc w:val="both"/>
        <w:rPr>
          <w:sz w:val="20"/>
          <w:szCs w:val="20"/>
        </w:rPr>
      </w:pPr>
    </w:p>
    <w:p w14:paraId="22E07C21" w14:textId="4076CBE0" w:rsidR="00667A1F" w:rsidRPr="00080A71" w:rsidRDefault="00667A1F" w:rsidP="00080A71">
      <w:pPr>
        <w:pStyle w:val="Heading1"/>
      </w:pPr>
      <w:bookmarkStart w:id="54" w:name="_Toc183620099"/>
      <w:r w:rsidRPr="00080A71">
        <w:t xml:space="preserve">3. </w:t>
      </w:r>
      <w:r w:rsidR="00A42DA9" w:rsidRPr="00080A71">
        <w:t>DARBA TIRGUS VIDĒJĀ UN ILGTERMIŅA PROGNOZES</w:t>
      </w:r>
      <w:bookmarkEnd w:id="54"/>
    </w:p>
    <w:p w14:paraId="7E5AAE32" w14:textId="77777777" w:rsidR="0077767D" w:rsidRDefault="0077767D">
      <w:pPr>
        <w:spacing w:after="0"/>
        <w:rPr>
          <w:rFonts w:ascii="Aptos Narrow" w:hAnsi="Aptos Narrow"/>
          <w:b/>
          <w:caps/>
          <w:color w:val="5F497A" w:themeColor="accent4" w:themeShade="BF"/>
          <w:sz w:val="28"/>
        </w:rPr>
      </w:pPr>
      <w:r>
        <w:br w:type="page"/>
      </w:r>
    </w:p>
    <w:p w14:paraId="5E701903" w14:textId="78FF89E9" w:rsidR="005E175A" w:rsidRPr="00080A71" w:rsidRDefault="005E175A" w:rsidP="00080A71">
      <w:pPr>
        <w:pStyle w:val="Heading2"/>
      </w:pPr>
      <w:bookmarkStart w:id="55" w:name="_Toc183620100"/>
      <w:r w:rsidRPr="00080A71">
        <w:lastRenderedPageBreak/>
        <w:t>3.1. Ekonomikas ministrijas darba tirgus prognožu izstrādes metodoloģija</w:t>
      </w:r>
      <w:bookmarkEnd w:id="53"/>
      <w:bookmarkEnd w:id="55"/>
    </w:p>
    <w:p w14:paraId="1742AAAE" w14:textId="77777777" w:rsidR="004C23D5" w:rsidRPr="003F161B" w:rsidRDefault="004C23D5" w:rsidP="00834E74">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t>EM darba tirgus prognozes</w:t>
      </w:r>
    </w:p>
    <w:p w14:paraId="739A8743" w14:textId="1E6F771A" w:rsidR="004C23D5" w:rsidRPr="000855C2" w:rsidRDefault="004C23D5" w:rsidP="00834E74">
      <w:pPr>
        <w:spacing w:after="120"/>
        <w:jc w:val="both"/>
      </w:pPr>
      <w:r w:rsidRPr="000855C2">
        <w:t>EM sagatavo un aktualizē vidēja termiņa darba tirgus prognozes kopš 2008.</w:t>
      </w:r>
      <w:r w:rsidR="0080669C">
        <w:t>gad</w:t>
      </w:r>
      <w:r w:rsidRPr="000855C2">
        <w:t>a. Sākot ar 2011.</w:t>
      </w:r>
      <w:r w:rsidR="0080669C">
        <w:t>gad</w:t>
      </w:r>
      <w:r w:rsidRPr="000855C2">
        <w:t>u, tiek sagatavotas arī ilgtermiņa prognozes. Darba tirgus prognozes balstās uz EM izstrādātajiem tautsaimniecības attīstības un demogrāfijas scenārijiem, kuru pamatā ir Latvijas vidēja un ilgtermiņa izaugsmes mērķi, kas noteikti Latvijas stratēģiskos plānošanas dokumentos – Latvijas ilgtspējīgas attīstības stratēģijā „Latvija 2030” un Latvijas Nacionālajā attīstības plāns 2021.-2027.</w:t>
      </w:r>
      <w:r w:rsidR="0080669C">
        <w:t>gad</w:t>
      </w:r>
      <w:r w:rsidRPr="000855C2">
        <w:t>am.</w:t>
      </w:r>
    </w:p>
    <w:p w14:paraId="0A43FC12" w14:textId="77777777" w:rsidR="004C23D5" w:rsidRPr="000855C2" w:rsidRDefault="004C23D5" w:rsidP="00834E74">
      <w:pPr>
        <w:spacing w:after="120"/>
        <w:jc w:val="both"/>
        <w:rPr>
          <w:szCs w:val="20"/>
        </w:rPr>
      </w:pPr>
      <w:r w:rsidRPr="000855C2">
        <w:rPr>
          <w:szCs w:val="20"/>
        </w:rPr>
        <w:t>Prognožu izpildīšanās priekšnosacījumi ir cieši saistīti ar Latvijas spēju realizēt nospraustos mērķos un ieviest nepieciešamās strukturālās reformas, kas būtu vērstas uz izaugsmes potenciāla stiprināšanu. Tāpēc prognozes būtu jāaplūko tiešā kontekstā ar reformu progresu un jāņem vērā iespējamās politikas uzsvaru izmaiņas.</w:t>
      </w:r>
    </w:p>
    <w:p w14:paraId="6D29F336" w14:textId="77777777" w:rsidR="004C23D5" w:rsidRPr="000855C2" w:rsidRDefault="004C23D5" w:rsidP="00834E74">
      <w:pPr>
        <w:spacing w:after="120"/>
        <w:jc w:val="both"/>
        <w:rPr>
          <w:szCs w:val="20"/>
        </w:rPr>
      </w:pPr>
      <w:r w:rsidRPr="000855C2">
        <w:rPr>
          <w:szCs w:val="20"/>
        </w:rPr>
        <w:t>Darba tirgus prognozes ir viens no instrumentiem, kas ļauj priekšlaicīgi paredzēt darba tirgus neatbilstību veidošanos nākotnē un ļauj nodrošināt efektīvāku darba resursu sadalījumu tautsaimniecībā. Tās parāda iespējamās darba tirgus attīstības tendences un iespējamos riskus, ņemot vērā paredzamās izmaiņas izglītības piedāvājuma struktūrā.</w:t>
      </w:r>
    </w:p>
    <w:p w14:paraId="7D64530D" w14:textId="77777777" w:rsidR="004C23D5" w:rsidRPr="000855C2" w:rsidRDefault="004C23D5" w:rsidP="00834E74">
      <w:pPr>
        <w:spacing w:after="120"/>
        <w:jc w:val="both"/>
        <w:rPr>
          <w:szCs w:val="20"/>
        </w:rPr>
      </w:pPr>
      <w:r w:rsidRPr="000855C2">
        <w:rPr>
          <w:szCs w:val="20"/>
        </w:rPr>
        <w:t>EM vidēja un ilgtermiņa darba tirgus prognozes ir tikai viens no posmiem darbaspēka piedāvājuma pielāgošanas procesā. Tā ir kvantitatīva bāze tālākām diskusijām starp nodarbinātības, izglītības un struktūrpolitikas veidotājiem, sociālajiem partneriem, zinātniekiem un citām iesaistītām pusēm, lai savlaicīgi sagatavotos un pielāgotos sagaidāmajām strukturālajām izmaiņām tautsaimniecībā.</w:t>
      </w:r>
    </w:p>
    <w:p w14:paraId="6FD0F486" w14:textId="77777777" w:rsidR="00097A08" w:rsidRDefault="00097A08" w:rsidP="00834E74">
      <w:pPr>
        <w:spacing w:after="120"/>
        <w:jc w:val="both"/>
        <w:rPr>
          <w:b/>
          <w:szCs w:val="20"/>
        </w:rPr>
      </w:pPr>
    </w:p>
    <w:p w14:paraId="0CD3246B" w14:textId="73BE8A6A" w:rsidR="004C23D5" w:rsidRPr="003F161B" w:rsidRDefault="004C23D5" w:rsidP="00834E74">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t>Darba tirgus prognozēšanas modelis</w:t>
      </w:r>
    </w:p>
    <w:p w14:paraId="1B28D8BE" w14:textId="58FFE1ED" w:rsidR="004C23D5" w:rsidRPr="000855C2" w:rsidRDefault="004C23D5" w:rsidP="00834E74">
      <w:pPr>
        <w:spacing w:after="120"/>
        <w:jc w:val="both"/>
      </w:pPr>
      <w:r w:rsidRPr="000855C2">
        <w:t>EM darba tirgus prognozēšanas metodoloģijas pamati izriet no 2007.</w:t>
      </w:r>
      <w:r w:rsidR="0080669C">
        <w:t>gad</w:t>
      </w:r>
      <w:r w:rsidRPr="000855C2">
        <w:t xml:space="preserve">ā ESF projekta </w:t>
      </w:r>
      <w:r w:rsidRPr="000855C2">
        <w:rPr>
          <w:i/>
          <w:iCs/>
        </w:rPr>
        <w:t>„Darba tirgus pieprasījuma ilgtermiņa prognozēšanas sistēmas izpēte un pilnveidošanas iespēju analīze”</w:t>
      </w:r>
      <w:r w:rsidRPr="000855C2">
        <w:t xml:space="preserve"> ietvaros izveidotā darba tirgus prognozēšanas dinamiskā optimizācijas modeļa (DOM)</w:t>
      </w:r>
      <w:r w:rsidRPr="000855C2">
        <w:rPr>
          <w:vertAlign w:val="superscript"/>
        </w:rPr>
        <w:footnoteReference w:id="6"/>
      </w:r>
      <w:r w:rsidRPr="000855C2">
        <w:t>. Laika gaitā darba tirgus prognozēšanas metodoloģija un DOM modelis ir būtiski pilnveidoti. No 2011. līdz 2013.</w:t>
      </w:r>
      <w:r w:rsidR="0080669C">
        <w:t>gad</w:t>
      </w:r>
      <w:r w:rsidRPr="000855C2">
        <w:t>am, īstenojot ESF projekta aktivitāti „</w:t>
      </w:r>
      <w:r w:rsidRPr="000855C2">
        <w:rPr>
          <w:i/>
          <w:iCs/>
        </w:rPr>
        <w:t>Darba tirgus vidēja un ilgtermiņa prognozēšanas instrumentārija pilnveide</w:t>
      </w:r>
      <w:r w:rsidRPr="000855C2">
        <w:t>”, EM sadarbībā ar Rīgas Tehnisko universitāti ir pilnveidojusi sākotnējo darba tirgus prognozēšanas metodoloģiju un modeli.</w:t>
      </w:r>
      <w:r w:rsidRPr="000855C2">
        <w:rPr>
          <w:vertAlign w:val="superscript"/>
        </w:rPr>
        <w:footnoteReference w:id="7"/>
      </w:r>
      <w:r w:rsidRPr="000855C2">
        <w:t xml:space="preserve"> Savukārt no 2017.-2019.</w:t>
      </w:r>
      <w:r w:rsidR="0080669C">
        <w:t>gad</w:t>
      </w:r>
      <w:r w:rsidRPr="000855C2">
        <w:t xml:space="preserve">am sadarbībā ar SIA </w:t>
      </w:r>
      <w:r w:rsidRPr="000855C2">
        <w:rPr>
          <w:iCs/>
          <w:szCs w:val="20"/>
        </w:rPr>
        <w:t>„</w:t>
      </w:r>
      <w:r w:rsidRPr="000855C2">
        <w:t xml:space="preserve">AC Konsultācijas” pētījuma </w:t>
      </w:r>
      <w:r w:rsidRPr="000855C2">
        <w:rPr>
          <w:i/>
          <w:iCs/>
        </w:rPr>
        <w:t xml:space="preserve">„Darba tirgus apsteidzošo pārkārtojumu sistēmas izveides iespējas un vidēja un ilgtermiņa darba tirgus prognožu sasaiste ar </w:t>
      </w:r>
      <w:proofErr w:type="spellStart"/>
      <w:r w:rsidRPr="000855C2">
        <w:rPr>
          <w:i/>
          <w:iCs/>
        </w:rPr>
        <w:t>rīcībpolitiku</w:t>
      </w:r>
      <w:proofErr w:type="spellEnd"/>
      <w:r w:rsidRPr="000855C2">
        <w:rPr>
          <w:i/>
          <w:iCs/>
        </w:rPr>
        <w:t>”</w:t>
      </w:r>
      <w:r w:rsidRPr="000855C2">
        <w:rPr>
          <w:vertAlign w:val="superscript"/>
        </w:rPr>
        <w:footnoteReference w:id="8"/>
      </w:r>
      <w:r w:rsidRPr="000855C2">
        <w:t xml:space="preserve"> aktualizēti darba tirgus prognozēšanas modeļa pieņēmumi par profesiju standartiem atbilstošo izglītību (profesiju-izglītības atbilstības pieņēmumi). Jaunie profesiju-izglītības atbilstības pieņēmumi integrēti modelī un darba tirgus prognozēs sākot ar 2020.</w:t>
      </w:r>
      <w:r w:rsidR="0080669C">
        <w:t>gad</w:t>
      </w:r>
      <w:r w:rsidRPr="000855C2">
        <w:t>u. Profesiju-izglītības atbilstības pieņēmumus EM regulāri pārskata, ņemot vērā gan izmaiņas profesiju standartus, gan izglītības saturā, kā arī konsultējoties ar nozaru ekspertiem.</w:t>
      </w:r>
    </w:p>
    <w:p w14:paraId="090FA986" w14:textId="77777777" w:rsidR="004C23D5" w:rsidRPr="000855C2" w:rsidRDefault="004C23D5" w:rsidP="00834E74">
      <w:pPr>
        <w:spacing w:after="120"/>
        <w:jc w:val="both"/>
        <w:rPr>
          <w:szCs w:val="20"/>
        </w:rPr>
      </w:pPr>
      <w:r w:rsidRPr="000855C2">
        <w:rPr>
          <w:szCs w:val="20"/>
        </w:rPr>
        <w:t xml:space="preserve">Darba tirgus modelēšanā tiek izmantota </w:t>
      </w:r>
      <w:proofErr w:type="spellStart"/>
      <w:r w:rsidRPr="000855C2">
        <w:rPr>
          <w:szCs w:val="20"/>
        </w:rPr>
        <w:t>sistēmdinamikas</w:t>
      </w:r>
      <w:proofErr w:type="spellEnd"/>
      <w:r w:rsidRPr="000855C2">
        <w:rPr>
          <w:szCs w:val="20"/>
        </w:rPr>
        <w:t xml:space="preserve"> pieeja. Prognozēšanas metodoloģija balstīta uz daļēja līdzsvara principiem, kur darba tirgus pieprasījuma stimuli ir determinēti un izriet no nospraustiem ekonomikas izaugsmes mērķiem, bet darbaspēka piedāvājums ilgtermiņā pielāgojās darba tirgus pieprasījumam un relatīvā atalgojumā izmaiņām.</w:t>
      </w:r>
    </w:p>
    <w:p w14:paraId="38E72B82" w14:textId="77777777" w:rsidR="004C23D5" w:rsidRPr="000855C2" w:rsidRDefault="004C23D5" w:rsidP="00834E74">
      <w:pPr>
        <w:spacing w:after="120"/>
        <w:jc w:val="both"/>
        <w:rPr>
          <w:szCs w:val="26"/>
        </w:rPr>
      </w:pPr>
      <w:r w:rsidRPr="000855C2">
        <w:rPr>
          <w:szCs w:val="26"/>
        </w:rPr>
        <w:t xml:space="preserve">Darba tirgus prognozēšanas modelis sastāv no trīs </w:t>
      </w:r>
      <w:proofErr w:type="spellStart"/>
      <w:r w:rsidRPr="000855C2">
        <w:rPr>
          <w:szCs w:val="26"/>
        </w:rPr>
        <w:t>pamatblokiem</w:t>
      </w:r>
      <w:proofErr w:type="spellEnd"/>
      <w:r w:rsidRPr="000855C2">
        <w:rPr>
          <w:szCs w:val="26"/>
        </w:rPr>
        <w:t>: pieprasījuma bloka, piedāvājuma bloka un darba tirgus bloka. Visi bloki ir savstarpēji saistīti un viens otru papildinoši (skatīt 3.1. attēlu). Modeļa darbības pamatprincipi un loģika ir balstīta uz darba tirgus līdzsvara konceptu, t.i., ilgākā laika periodā dažādos darba tirgus segmentos darbaspēka pieprasījums un piedāvājums līdzsvarojas.</w:t>
      </w:r>
    </w:p>
    <w:p w14:paraId="2EA70508" w14:textId="60A1C783" w:rsidR="00834E74" w:rsidRDefault="00834E74" w:rsidP="00834E74">
      <w:pPr>
        <w:spacing w:after="120"/>
        <w:jc w:val="both"/>
        <w:rPr>
          <w:szCs w:val="26"/>
        </w:rPr>
      </w:pPr>
      <w:r w:rsidRPr="000855C2">
        <w:rPr>
          <w:szCs w:val="26"/>
        </w:rPr>
        <w:t>Darbaspēka pieprasījumu nozaru griezumā nosaka tautsaimniecības attīstības scenāriji – tautsaimniecības nozaru izaugsme un sagaidāmās produktivitātes izmaiņas. Profesiju pieprasījums izriet no nozares darbaspēka pieprasījuma un sagaidāmām nozares profesiju struktūras izmaiņām. Savukārt izglītības pieprasījumu nosaka pieprasīto profesiju pienākumu veikšanai nepieciešamās prasmes/izglītība.</w:t>
      </w:r>
    </w:p>
    <w:p w14:paraId="396FE7EC" w14:textId="77777777" w:rsidR="00B72FF7" w:rsidRPr="000855C2" w:rsidRDefault="00B72FF7" w:rsidP="00834E74">
      <w:pPr>
        <w:spacing w:after="120"/>
        <w:jc w:val="both"/>
        <w:rPr>
          <w:szCs w:val="26"/>
        </w:rPr>
      </w:pPr>
    </w:p>
    <w:p w14:paraId="177CEC0D" w14:textId="77777777" w:rsidR="004C23D5" w:rsidRPr="000855C2" w:rsidRDefault="004C23D5" w:rsidP="00834E74">
      <w:pPr>
        <w:spacing w:after="120"/>
        <w:jc w:val="right"/>
        <w:rPr>
          <w:szCs w:val="20"/>
        </w:rPr>
      </w:pPr>
      <w:r w:rsidRPr="000855C2">
        <w:rPr>
          <w:szCs w:val="20"/>
        </w:rPr>
        <w:lastRenderedPageBreak/>
        <w:t>3.1. attēls</w:t>
      </w:r>
    </w:p>
    <w:p w14:paraId="2E786FB0" w14:textId="77777777" w:rsidR="004C23D5" w:rsidRPr="000855C2" w:rsidRDefault="004C23D5" w:rsidP="00834E74">
      <w:pPr>
        <w:spacing w:after="120"/>
        <w:jc w:val="center"/>
        <w:rPr>
          <w:rFonts w:ascii="Segoe UI Light" w:hAnsi="Segoe UI Light"/>
          <w:b/>
          <w:sz w:val="18"/>
          <w:szCs w:val="26"/>
        </w:rPr>
      </w:pPr>
      <w:r w:rsidRPr="000855C2">
        <w:rPr>
          <w:rFonts w:ascii="Segoe UI Light" w:hAnsi="Segoe UI Light"/>
          <w:b/>
          <w:sz w:val="18"/>
          <w:szCs w:val="26"/>
        </w:rPr>
        <w:t>Darba tirgus prognozēšanas modeļa loģiskā struktūra</w:t>
      </w:r>
    </w:p>
    <w:p w14:paraId="5D6178EB" w14:textId="77777777" w:rsidR="004C23D5" w:rsidRPr="000855C2" w:rsidRDefault="004C23D5" w:rsidP="004C23D5">
      <w:pPr>
        <w:spacing w:after="0"/>
        <w:jc w:val="center"/>
        <w:rPr>
          <w:sz w:val="28"/>
          <w:szCs w:val="28"/>
        </w:rPr>
      </w:pPr>
      <w:r>
        <w:rPr>
          <w:noProof/>
        </w:rPr>
        <mc:AlternateContent>
          <mc:Choice Requires="wps">
            <w:drawing>
              <wp:anchor distT="0" distB="0" distL="114300" distR="114300" simplePos="0" relativeHeight="251658258" behindDoc="0" locked="0" layoutInCell="1" allowOverlap="1" wp14:anchorId="1DAAF0BF" wp14:editId="41E292F9">
                <wp:simplePos x="0" y="0"/>
                <wp:positionH relativeFrom="column">
                  <wp:posOffset>248285</wp:posOffset>
                </wp:positionH>
                <wp:positionV relativeFrom="paragraph">
                  <wp:posOffset>2793365</wp:posOffset>
                </wp:positionV>
                <wp:extent cx="5163820" cy="448945"/>
                <wp:effectExtent l="0" t="0" r="0" b="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3820" cy="448945"/>
                        </a:xfrm>
                        <a:prstGeom prst="roundRect">
                          <a:avLst>
                            <a:gd name="adj" fmla="val 7049"/>
                          </a:avLst>
                        </a:prstGeom>
                        <a:solidFill>
                          <a:srgbClr val="8064A2">
                            <a:lumMod val="20000"/>
                            <a:lumOff val="80000"/>
                          </a:srgbClr>
                        </a:solidFill>
                        <a:ln w="9525">
                          <a:noFill/>
                          <a:round/>
                          <a:headEnd/>
                          <a:tailEnd/>
                        </a:ln>
                      </wps:spPr>
                      <wps:txbx>
                        <w:txbxContent>
                          <w:p w14:paraId="297A8249" w14:textId="77777777" w:rsidR="00B83D7D" w:rsidRPr="002612A6" w:rsidRDefault="00B83D7D" w:rsidP="004C23D5">
                            <w:pPr>
                              <w:shd w:val="clear" w:color="auto" w:fill="E5DFEC"/>
                              <w:spacing w:after="0"/>
                              <w:jc w:val="center"/>
                              <w:rPr>
                                <w:rFonts w:ascii="Segoe UI Light" w:hAnsi="Segoe UI Light"/>
                                <w:sz w:val="16"/>
                                <w:szCs w:val="16"/>
                              </w:rPr>
                            </w:pPr>
                            <w:r w:rsidRPr="002612A6">
                              <w:rPr>
                                <w:rFonts w:ascii="Segoe UI Light" w:hAnsi="Segoe UI Light"/>
                                <w:sz w:val="16"/>
                                <w:szCs w:val="16"/>
                              </w:rPr>
                              <w:t>Ārējā vide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1DAAF0BF" id="Rectangle: Rounded Corners 5" o:spid="_x0000_s1191" style="position:absolute;left:0;text-align:left;margin-left:19.55pt;margin-top:219.95pt;width:406.6pt;height:35.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6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" fillcolor="#e6e0ec" stroked="f">
                <v:textbox>
                  <w:txbxContent>
                    <w:p w14:paraId="297A8249" w14:textId="77777777" w:rsidR="00B83D7D" w:rsidRPr="002612A6" w:rsidRDefault="00B83D7D" w:rsidP="004C23D5">
                      <w:pPr>
                        <w:shd w:val="clear" w:color="auto" w:fill="E5DFEC"/>
                        <w:spacing w:after="0"/>
                        <w:jc w:val="center"/>
                        <w:rPr>
                          <w:rFonts w:ascii="Segoe UI Light" w:hAnsi="Segoe UI Light"/>
                          <w:sz w:val="16"/>
                          <w:szCs w:val="16"/>
                        </w:rPr>
                      </w:pPr>
                      <w:r w:rsidRPr="002612A6">
                        <w:rPr>
                          <w:rFonts w:ascii="Segoe UI Light" w:hAnsi="Segoe UI Light"/>
                          <w:sz w:val="16"/>
                          <w:szCs w:val="16"/>
                        </w:rPr>
                        <w:t>Ārējā vide</w:t>
                      </w:r>
                    </w:p>
                  </w:txbxContent>
                </v:textbox>
              </v:roundrect>
            </w:pict>
          </mc:Fallback>
        </mc:AlternateContent>
      </w:r>
      <w:r>
        <w:rPr>
          <w:noProof/>
        </w:rPr>
        <mc:AlternateContent>
          <mc:Choice Requires="wps">
            <w:drawing>
              <wp:anchor distT="0" distB="0" distL="114300" distR="114300" simplePos="0" relativeHeight="251658256" behindDoc="0" locked="0" layoutInCell="1" allowOverlap="1" wp14:anchorId="2C2D4528" wp14:editId="5FC2DC2E">
                <wp:simplePos x="0" y="0"/>
                <wp:positionH relativeFrom="column">
                  <wp:posOffset>402590</wp:posOffset>
                </wp:positionH>
                <wp:positionV relativeFrom="paragraph">
                  <wp:posOffset>1170940</wp:posOffset>
                </wp:positionV>
                <wp:extent cx="1268730" cy="619760"/>
                <wp:effectExtent l="0" t="0" r="45720" b="4699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619760"/>
                        </a:xfrm>
                        <a:prstGeom prst="rect">
                          <a:avLst/>
                        </a:prstGeom>
                        <a:solidFill>
                          <a:srgbClr val="FFFFFF"/>
                        </a:solidFill>
                        <a:ln w="12700">
                          <a:solidFill>
                            <a:srgbClr val="4BACC6">
                              <a:lumMod val="75000"/>
                            </a:srgbClr>
                          </a:solidFill>
                          <a:miter lim="800000"/>
                          <a:headEnd/>
                          <a:tailEnd/>
                        </a:ln>
                        <a:effectLst>
                          <a:outerShdw dist="38100" dir="2700000" algn="ctr" rotWithShape="0">
                            <a:srgbClr val="808080">
                              <a:alpha val="50000"/>
                            </a:srgbClr>
                          </a:outerShdw>
                        </a:effectLst>
                      </wps:spPr>
                      <wps:txbx>
                        <w:txbxContent>
                          <w:p w14:paraId="5BE4E437" w14:textId="77777777" w:rsidR="00B83D7D" w:rsidRPr="002612A6" w:rsidRDefault="00B83D7D" w:rsidP="004C23D5">
                            <w:pPr>
                              <w:spacing w:after="0"/>
                              <w:jc w:val="center"/>
                              <w:rPr>
                                <w:rFonts w:ascii="Segoe UI Light" w:hAnsi="Segoe UI Light"/>
                                <w:sz w:val="16"/>
                                <w:szCs w:val="16"/>
                              </w:rPr>
                            </w:pPr>
                            <w:r w:rsidRPr="002612A6">
                              <w:rPr>
                                <w:rFonts w:ascii="Segoe UI Light" w:hAnsi="Segoe UI Light"/>
                                <w:sz w:val="16"/>
                                <w:szCs w:val="16"/>
                              </w:rPr>
                              <w:t>Iedzīvotāju līdzdalība darba tirgū</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C2D4528" id="Text Box 14" o:spid="_x0000_s1192" type="#_x0000_t202" style="position:absolute;left:0;text-align:left;margin-left:31.7pt;margin-top:92.2pt;width:99.9pt;height:48.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" strokecolor="#31859c" strokeweight="1pt">
                <v:shadow on="t" opacity=".5" offset=".74836mm,.74836mm"/>
                <v:textbox>
                  <w:txbxContent>
                    <w:p w14:paraId="5BE4E437" w14:textId="77777777" w:rsidR="00B83D7D" w:rsidRPr="002612A6" w:rsidRDefault="00B83D7D" w:rsidP="004C23D5">
                      <w:pPr>
                        <w:spacing w:after="0"/>
                        <w:jc w:val="center"/>
                        <w:rPr>
                          <w:rFonts w:ascii="Segoe UI Light" w:hAnsi="Segoe UI Light"/>
                          <w:sz w:val="16"/>
                          <w:szCs w:val="16"/>
                        </w:rPr>
                      </w:pPr>
                      <w:r w:rsidRPr="002612A6">
                        <w:rPr>
                          <w:rFonts w:ascii="Segoe UI Light" w:hAnsi="Segoe UI Light"/>
                          <w:sz w:val="16"/>
                          <w:szCs w:val="16"/>
                        </w:rPr>
                        <w:t>Iedzīvotāju līdzdalība darba tirgū</w:t>
                      </w:r>
                    </w:p>
                  </w:txbxContent>
                </v:textbox>
              </v:shape>
            </w:pict>
          </mc:Fallback>
        </mc:AlternateContent>
      </w:r>
      <w:r>
        <w:rPr>
          <w:noProof/>
        </w:rPr>
        <mc:AlternateContent>
          <mc:Choice Requires="wps">
            <w:drawing>
              <wp:anchor distT="0" distB="0" distL="114298" distR="114298" simplePos="0" relativeHeight="251658262" behindDoc="0" locked="0" layoutInCell="1" allowOverlap="1" wp14:anchorId="5185C9F2" wp14:editId="14A11EB6">
                <wp:simplePos x="0" y="0"/>
                <wp:positionH relativeFrom="column">
                  <wp:posOffset>1024889</wp:posOffset>
                </wp:positionH>
                <wp:positionV relativeFrom="paragraph">
                  <wp:posOffset>2569845</wp:posOffset>
                </wp:positionV>
                <wp:extent cx="0" cy="224790"/>
                <wp:effectExtent l="76200" t="38100" r="38100" b="381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479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89F8CD6" id="_x0000_t32" coordsize="21600,21600" o:spt="32" o:oned="t" path="m,l21600,21600e" filled="f">
                <v:path arrowok="t" fillok="f" o:connecttype="none"/>
                <o:lock v:ext="edit" shapetype="t"/>
              </v:shapetype>
              <v:shape id="Straight Arrow Connector 20" o:spid="_x0000_s1026" type="#_x0000_t32" style="position:absolute;margin-left:80.7pt;margin-top:202.35pt;width:0;height:17.7pt;flip:y;z-index:25165826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">
                <v:stroke endarrow="block"/>
              </v:shape>
            </w:pict>
          </mc:Fallback>
        </mc:AlternateContent>
      </w:r>
      <w:r>
        <w:rPr>
          <w:noProof/>
        </w:rPr>
        <mc:AlternateContent>
          <mc:Choice Requires="wps">
            <w:drawing>
              <wp:anchor distT="0" distB="0" distL="114298" distR="114298" simplePos="0" relativeHeight="251658263" behindDoc="0" locked="0" layoutInCell="1" allowOverlap="1" wp14:anchorId="0423DEC6" wp14:editId="6F25FD50">
                <wp:simplePos x="0" y="0"/>
                <wp:positionH relativeFrom="column">
                  <wp:posOffset>4613274</wp:posOffset>
                </wp:positionH>
                <wp:positionV relativeFrom="paragraph">
                  <wp:posOffset>2569845</wp:posOffset>
                </wp:positionV>
                <wp:extent cx="0" cy="224790"/>
                <wp:effectExtent l="76200" t="38100" r="38100" b="3810"/>
                <wp:wrapNone/>
                <wp:docPr id="1354" name="Straight Arrow Connector 1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479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FB9C1B8" id="Straight Arrow Connector 1354" o:spid="_x0000_s1026" type="#_x0000_t32" style="position:absolute;margin-left:363.25pt;margin-top:202.35pt;width:0;height:17.7pt;flip:y;z-index:25165826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">
                <v:stroke endarrow="block"/>
              </v:shape>
            </w:pict>
          </mc:Fallback>
        </mc:AlternateContent>
      </w:r>
      <w:r>
        <w:rPr>
          <w:noProof/>
        </w:rPr>
        <mc:AlternateContent>
          <mc:Choice Requires="wps">
            <w:drawing>
              <wp:anchor distT="0" distB="0" distL="114299" distR="114299" simplePos="0" relativeHeight="251658261" behindDoc="0" locked="0" layoutInCell="1" allowOverlap="1" wp14:anchorId="1F73C66C" wp14:editId="378FE77D">
                <wp:simplePos x="0" y="0"/>
                <wp:positionH relativeFrom="column">
                  <wp:posOffset>4233544</wp:posOffset>
                </wp:positionH>
                <wp:positionV relativeFrom="paragraph">
                  <wp:posOffset>2569845</wp:posOffset>
                </wp:positionV>
                <wp:extent cx="0" cy="86995"/>
                <wp:effectExtent l="76200" t="38100" r="38100" b="8255"/>
                <wp:wrapNone/>
                <wp:docPr id="1355" name="Straight Arrow Connector 1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995"/>
                        </a:xfrm>
                        <a:prstGeom prst="straightConnector1">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B850062" id="Straight Arrow Connector 1355" o:spid="_x0000_s1026" type="#_x0000_t32" style="position:absolute;margin-left:333.35pt;margin-top:202.35pt;width:0;height:6.85pt;z-index:25165826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">
                <v:stroke startarrow="block"/>
              </v:shape>
            </w:pict>
          </mc:Fallback>
        </mc:AlternateContent>
      </w:r>
      <w:r>
        <w:rPr>
          <w:noProof/>
        </w:rPr>
        <mc:AlternateContent>
          <mc:Choice Requires="wps">
            <w:drawing>
              <wp:anchor distT="0" distB="0" distL="114299" distR="114299" simplePos="0" relativeHeight="251658260" behindDoc="0" locked="0" layoutInCell="1" allowOverlap="1" wp14:anchorId="26B0807A" wp14:editId="5C3D8888">
                <wp:simplePos x="0" y="0"/>
                <wp:positionH relativeFrom="column">
                  <wp:posOffset>1395729</wp:posOffset>
                </wp:positionH>
                <wp:positionV relativeFrom="paragraph">
                  <wp:posOffset>2569845</wp:posOffset>
                </wp:positionV>
                <wp:extent cx="0" cy="86995"/>
                <wp:effectExtent l="76200" t="38100" r="38100" b="8255"/>
                <wp:wrapNone/>
                <wp:docPr id="1356" name="Straight Arrow Connector 1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995"/>
                        </a:xfrm>
                        <a:prstGeom prst="straightConnector1">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DA8A988" id="Straight Arrow Connector 1356" o:spid="_x0000_s1026" type="#_x0000_t32" style="position:absolute;margin-left:109.9pt;margin-top:202.35pt;width:0;height:6.85pt;z-index:2516582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">
                <v:stroke startarrow="block"/>
              </v:shape>
            </w:pict>
          </mc:Fallback>
        </mc:AlternateContent>
      </w:r>
      <w:r>
        <w:rPr>
          <w:noProof/>
        </w:rPr>
        <mc:AlternateContent>
          <mc:Choice Requires="wps">
            <w:drawing>
              <wp:anchor distT="4294967294" distB="4294967294" distL="114300" distR="114300" simplePos="0" relativeHeight="251658259" behindDoc="0" locked="0" layoutInCell="1" allowOverlap="1" wp14:anchorId="3FABBCCC" wp14:editId="3A76AD76">
                <wp:simplePos x="0" y="0"/>
                <wp:positionH relativeFrom="column">
                  <wp:posOffset>1395730</wp:posOffset>
                </wp:positionH>
                <wp:positionV relativeFrom="paragraph">
                  <wp:posOffset>2656839</wp:posOffset>
                </wp:positionV>
                <wp:extent cx="2837815" cy="0"/>
                <wp:effectExtent l="0" t="0" r="0" b="0"/>
                <wp:wrapNone/>
                <wp:docPr id="1357" name="Straight Arrow Connector 1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78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136DE3E" id="Straight Arrow Connector 1357" o:spid="_x0000_s1026" type="#_x0000_t32" style="position:absolute;margin-left:109.9pt;margin-top:209.2pt;width:223.45pt;height:0;z-index:251658259;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"/>
            </w:pict>
          </mc:Fallback>
        </mc:AlternateContent>
      </w:r>
      <w:r>
        <w:rPr>
          <w:noProof/>
        </w:rPr>
        <mc:AlternateContent>
          <mc:Choice Requires="wps">
            <w:drawing>
              <wp:anchor distT="0" distB="0" distL="114300" distR="114300" simplePos="0" relativeHeight="251658257" behindDoc="0" locked="0" layoutInCell="1" allowOverlap="1" wp14:anchorId="75E9490D" wp14:editId="11A478FA">
                <wp:simplePos x="0" y="0"/>
                <wp:positionH relativeFrom="column">
                  <wp:posOffset>402590</wp:posOffset>
                </wp:positionH>
                <wp:positionV relativeFrom="paragraph">
                  <wp:posOffset>1943735</wp:posOffset>
                </wp:positionV>
                <wp:extent cx="1268730" cy="431800"/>
                <wp:effectExtent l="0" t="0" r="45720" b="44450"/>
                <wp:wrapNone/>
                <wp:docPr id="1358" name="Text Box 1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431800"/>
                        </a:xfrm>
                        <a:prstGeom prst="rect">
                          <a:avLst/>
                        </a:prstGeom>
                        <a:solidFill>
                          <a:srgbClr val="FFFFFF"/>
                        </a:solidFill>
                        <a:ln w="12700">
                          <a:solidFill>
                            <a:srgbClr val="4BACC6">
                              <a:lumMod val="75000"/>
                            </a:srgbClr>
                          </a:solidFill>
                          <a:miter lim="800000"/>
                          <a:headEnd/>
                          <a:tailEnd/>
                        </a:ln>
                        <a:effectLst>
                          <a:outerShdw dist="38100" dir="2700000" algn="ctr" rotWithShape="0">
                            <a:srgbClr val="808080">
                              <a:alpha val="50000"/>
                            </a:srgbClr>
                          </a:outerShdw>
                        </a:effectLst>
                      </wps:spPr>
                      <wps:txbx>
                        <w:txbxContent>
                          <w:p w14:paraId="7713E692" w14:textId="77777777" w:rsidR="00B83D7D" w:rsidRPr="002612A6" w:rsidRDefault="00B83D7D" w:rsidP="004C23D5">
                            <w:pPr>
                              <w:spacing w:after="0"/>
                              <w:jc w:val="center"/>
                              <w:rPr>
                                <w:rFonts w:ascii="Segoe UI Light" w:hAnsi="Segoe UI Light"/>
                                <w:sz w:val="16"/>
                                <w:szCs w:val="16"/>
                              </w:rPr>
                            </w:pPr>
                            <w:r w:rsidRPr="002612A6">
                              <w:rPr>
                                <w:rFonts w:ascii="Segoe UI Light" w:hAnsi="Segoe UI Light"/>
                                <w:sz w:val="16"/>
                                <w:szCs w:val="16"/>
                              </w:rPr>
                              <w:t>Izglītība un prasmes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5E9490D" id="Text Box 1358" o:spid="_x0000_s1193" type="#_x0000_t202" style="position:absolute;left:0;text-align:left;margin-left:31.7pt;margin-top:153.05pt;width:99.9pt;height:3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" strokecolor="#31859c" strokeweight="1pt">
                <v:shadow on="t" opacity=".5" offset=".74836mm,.74836mm"/>
                <v:textbox>
                  <w:txbxContent>
                    <w:p w14:paraId="7713E692" w14:textId="77777777" w:rsidR="00B83D7D" w:rsidRPr="002612A6" w:rsidRDefault="00B83D7D" w:rsidP="004C23D5">
                      <w:pPr>
                        <w:spacing w:after="0"/>
                        <w:jc w:val="center"/>
                        <w:rPr>
                          <w:rFonts w:ascii="Segoe UI Light" w:hAnsi="Segoe UI Light"/>
                          <w:sz w:val="16"/>
                          <w:szCs w:val="16"/>
                        </w:rPr>
                      </w:pPr>
                      <w:r w:rsidRPr="002612A6">
                        <w:rPr>
                          <w:rFonts w:ascii="Segoe UI Light" w:hAnsi="Segoe UI Light"/>
                          <w:sz w:val="16"/>
                          <w:szCs w:val="16"/>
                        </w:rPr>
                        <w:t>Izglītība un prasmes</w:t>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6DC1CF08" wp14:editId="3F30594C">
                <wp:simplePos x="0" y="0"/>
                <wp:positionH relativeFrom="column">
                  <wp:posOffset>402590</wp:posOffset>
                </wp:positionH>
                <wp:positionV relativeFrom="paragraph">
                  <wp:posOffset>628650</wp:posOffset>
                </wp:positionV>
                <wp:extent cx="1268730" cy="431800"/>
                <wp:effectExtent l="0" t="0" r="45720" b="44450"/>
                <wp:wrapNone/>
                <wp:docPr id="1359" name="Text Box 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431800"/>
                        </a:xfrm>
                        <a:prstGeom prst="rect">
                          <a:avLst/>
                        </a:prstGeom>
                        <a:solidFill>
                          <a:srgbClr val="FFFFFF"/>
                        </a:solidFill>
                        <a:ln w="12700">
                          <a:solidFill>
                            <a:srgbClr val="4BACC6">
                              <a:lumMod val="75000"/>
                            </a:srgbClr>
                          </a:solidFill>
                          <a:miter lim="800000"/>
                          <a:headEnd/>
                          <a:tailEnd/>
                        </a:ln>
                        <a:effectLst>
                          <a:outerShdw dist="38100" dir="2700000" algn="ctr" rotWithShape="0">
                            <a:srgbClr val="808080">
                              <a:alpha val="50000"/>
                            </a:srgbClr>
                          </a:outerShdw>
                        </a:effectLst>
                      </wps:spPr>
                      <wps:txbx>
                        <w:txbxContent>
                          <w:p w14:paraId="51817203" w14:textId="77777777" w:rsidR="00B83D7D" w:rsidRPr="002612A6" w:rsidRDefault="00B83D7D" w:rsidP="004C23D5">
                            <w:pPr>
                              <w:spacing w:after="0"/>
                              <w:jc w:val="center"/>
                              <w:rPr>
                                <w:rFonts w:ascii="Segoe UI Light" w:hAnsi="Segoe UI Light"/>
                                <w:sz w:val="16"/>
                                <w:szCs w:val="16"/>
                              </w:rPr>
                            </w:pPr>
                            <w:r w:rsidRPr="002612A6">
                              <w:rPr>
                                <w:rFonts w:ascii="Segoe UI Light" w:hAnsi="Segoe UI Light"/>
                                <w:sz w:val="16"/>
                                <w:szCs w:val="16"/>
                              </w:rPr>
                              <w:t>Demogrāfija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DC1CF08" id="Text Box 1359" o:spid="_x0000_s1194" type="#_x0000_t202" style="position:absolute;left:0;text-align:left;margin-left:31.7pt;margin-top:49.5pt;width:99.9pt;height:3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" strokecolor="#31859c" strokeweight="1pt">
                <v:shadow on="t" opacity=".5" offset=".74836mm,.74836mm"/>
                <v:textbox>
                  <w:txbxContent>
                    <w:p w14:paraId="51817203" w14:textId="77777777" w:rsidR="00B83D7D" w:rsidRPr="002612A6" w:rsidRDefault="00B83D7D" w:rsidP="004C23D5">
                      <w:pPr>
                        <w:spacing w:after="0"/>
                        <w:jc w:val="center"/>
                        <w:rPr>
                          <w:rFonts w:ascii="Segoe UI Light" w:hAnsi="Segoe UI Light"/>
                          <w:sz w:val="16"/>
                          <w:szCs w:val="16"/>
                        </w:rPr>
                      </w:pPr>
                      <w:r w:rsidRPr="002612A6">
                        <w:rPr>
                          <w:rFonts w:ascii="Segoe UI Light" w:hAnsi="Segoe UI Light"/>
                          <w:sz w:val="16"/>
                          <w:szCs w:val="16"/>
                        </w:rPr>
                        <w:t>Demogrāfija</w:t>
                      </w:r>
                    </w:p>
                  </w:txbxContent>
                </v:textbox>
              </v:shape>
            </w:pict>
          </mc:Fallback>
        </mc:AlternateContent>
      </w:r>
      <w:r>
        <w:rPr>
          <w:noProof/>
        </w:rPr>
        <mc:AlternateContent>
          <mc:Choice Requires="wps">
            <w:drawing>
              <wp:anchor distT="0" distB="0" distL="114300" distR="114300" simplePos="0" relativeHeight="251658248" behindDoc="0" locked="0" layoutInCell="1" allowOverlap="1" wp14:anchorId="3CDE87F5" wp14:editId="4012A98E">
                <wp:simplePos x="0" y="0"/>
                <wp:positionH relativeFrom="column">
                  <wp:posOffset>248920</wp:posOffset>
                </wp:positionH>
                <wp:positionV relativeFrom="paragraph">
                  <wp:posOffset>158115</wp:posOffset>
                </wp:positionV>
                <wp:extent cx="1593850" cy="2411730"/>
                <wp:effectExtent l="0" t="0" r="0" b="0"/>
                <wp:wrapNone/>
                <wp:docPr id="1360" name="Rectangle: Rounded Corners 1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3850" cy="2411730"/>
                        </a:xfrm>
                        <a:prstGeom prst="roundRect">
                          <a:avLst>
                            <a:gd name="adj" fmla="val 2819"/>
                          </a:avLst>
                        </a:prstGeom>
                        <a:solidFill>
                          <a:srgbClr val="8064A2">
                            <a:lumMod val="60000"/>
                            <a:lumOff val="40000"/>
                          </a:srgbClr>
                        </a:solidFill>
                        <a:ln>
                          <a:noFill/>
                        </a:ln>
                      </wps:spPr>
                      <wps:txbx>
                        <w:txbxContent>
                          <w:p w14:paraId="6DFFCA68" w14:textId="77777777" w:rsidR="00B83D7D" w:rsidRPr="00AD63CA" w:rsidRDefault="00B83D7D" w:rsidP="004C23D5">
                            <w:pPr>
                              <w:jc w:val="center"/>
                              <w:rPr>
                                <w:rFonts w:ascii="Segoe UI Light" w:hAnsi="Segoe UI Light"/>
                                <w:b/>
                                <w:bCs/>
                                <w:sz w:val="16"/>
                                <w:szCs w:val="16"/>
                              </w:rPr>
                            </w:pPr>
                            <w:r w:rsidRPr="00AD63CA">
                              <w:rPr>
                                <w:rFonts w:ascii="Segoe UI Light" w:hAnsi="Segoe UI Light"/>
                                <w:b/>
                                <w:bCs/>
                                <w:sz w:val="16"/>
                                <w:szCs w:val="16"/>
                              </w:rPr>
                              <w:t>Piedāvājuma faktori</w:t>
                            </w:r>
                          </w:p>
                          <w:p w14:paraId="0904F883" w14:textId="77777777" w:rsidR="00B83D7D" w:rsidRDefault="00B83D7D" w:rsidP="004C23D5">
                            <w:pPr>
                              <w:jc w:val="center"/>
                              <w:rPr>
                                <w:rFonts w:ascii="Segoe UI Light" w:hAnsi="Segoe UI Light"/>
                                <w:b/>
                                <w:sz w:val="16"/>
                                <w:szCs w:val="16"/>
                              </w:rPr>
                            </w:pPr>
                          </w:p>
                          <w:p w14:paraId="1EBE6F77" w14:textId="77777777" w:rsidR="00B83D7D" w:rsidRDefault="00B83D7D" w:rsidP="004C23D5">
                            <w:pPr>
                              <w:jc w:val="center"/>
                              <w:rPr>
                                <w:rFonts w:ascii="Segoe UI Light" w:hAnsi="Segoe UI Light"/>
                                <w:b/>
                                <w:sz w:val="16"/>
                                <w:szCs w:val="16"/>
                              </w:rPr>
                            </w:pPr>
                          </w:p>
                          <w:p w14:paraId="0AC6F2B6" w14:textId="77777777" w:rsidR="00B83D7D" w:rsidRDefault="00B83D7D" w:rsidP="004C23D5">
                            <w:pPr>
                              <w:jc w:val="center"/>
                              <w:rPr>
                                <w:rFonts w:ascii="Segoe UI Light" w:hAnsi="Segoe UI Light"/>
                                <w:b/>
                                <w:sz w:val="16"/>
                                <w:szCs w:val="16"/>
                              </w:rPr>
                            </w:pPr>
                          </w:p>
                          <w:p w14:paraId="0D59F8BA" w14:textId="77777777" w:rsidR="00B83D7D" w:rsidRDefault="00B83D7D" w:rsidP="004C23D5">
                            <w:pPr>
                              <w:jc w:val="center"/>
                              <w:rPr>
                                <w:rFonts w:ascii="Segoe UI Light" w:hAnsi="Segoe UI Light"/>
                                <w:b/>
                                <w:sz w:val="16"/>
                                <w:szCs w:val="16"/>
                              </w:rPr>
                            </w:pPr>
                          </w:p>
                          <w:p w14:paraId="4FA7AB6C" w14:textId="77777777" w:rsidR="00B83D7D" w:rsidRDefault="00B83D7D" w:rsidP="004C23D5">
                            <w:pPr>
                              <w:jc w:val="center"/>
                              <w:rPr>
                                <w:rFonts w:ascii="Segoe UI Light" w:hAnsi="Segoe UI Light"/>
                                <w:b/>
                                <w:sz w:val="16"/>
                                <w:szCs w:val="16"/>
                              </w:rPr>
                            </w:pPr>
                          </w:p>
                          <w:p w14:paraId="6E681C62" w14:textId="77777777" w:rsidR="00B83D7D" w:rsidRDefault="00B83D7D" w:rsidP="004C23D5">
                            <w:pPr>
                              <w:jc w:val="center"/>
                              <w:rPr>
                                <w:rFonts w:ascii="Segoe UI Light" w:hAnsi="Segoe UI Light"/>
                                <w:b/>
                                <w:sz w:val="16"/>
                                <w:szCs w:val="16"/>
                              </w:rPr>
                            </w:pPr>
                          </w:p>
                          <w:p w14:paraId="2B15C6C0" w14:textId="77777777" w:rsidR="00B83D7D" w:rsidRPr="002612A6" w:rsidRDefault="00B83D7D" w:rsidP="004C23D5">
                            <w:pPr>
                              <w:jc w:val="center"/>
                              <w:rPr>
                                <w:rFonts w:ascii="Segoe UI Light" w:hAnsi="Segoe UI Light"/>
                                <w:b/>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3CDE87F5" id="Rectangle: Rounded Corners 1360" o:spid="_x0000_s1195" style="position:absolute;left:0;text-align:left;margin-left:19.6pt;margin-top:12.45pt;width:125.5pt;height:189.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" fillcolor="#b3a2c7" stroked="f">
                <v:textbox>
                  <w:txbxContent>
                    <w:p w14:paraId="6DFFCA68" w14:textId="77777777" w:rsidR="00B83D7D" w:rsidRPr="00AD63CA" w:rsidRDefault="00B83D7D" w:rsidP="004C23D5">
                      <w:pPr>
                        <w:jc w:val="center"/>
                        <w:rPr>
                          <w:rFonts w:ascii="Segoe UI Light" w:hAnsi="Segoe UI Light"/>
                          <w:b/>
                          <w:bCs/>
                          <w:sz w:val="16"/>
                          <w:szCs w:val="16"/>
                        </w:rPr>
                      </w:pPr>
                      <w:r w:rsidRPr="00AD63CA">
                        <w:rPr>
                          <w:rFonts w:ascii="Segoe UI Light" w:hAnsi="Segoe UI Light"/>
                          <w:b/>
                          <w:bCs/>
                          <w:sz w:val="16"/>
                          <w:szCs w:val="16"/>
                        </w:rPr>
                        <w:t>Piedāvājuma faktori</w:t>
                      </w:r>
                    </w:p>
                    <w:p w14:paraId="0904F883" w14:textId="77777777" w:rsidR="00B83D7D" w:rsidRDefault="00B83D7D" w:rsidP="004C23D5">
                      <w:pPr>
                        <w:jc w:val="center"/>
                        <w:rPr>
                          <w:rFonts w:ascii="Segoe UI Light" w:hAnsi="Segoe UI Light"/>
                          <w:b/>
                          <w:sz w:val="16"/>
                          <w:szCs w:val="16"/>
                        </w:rPr>
                      </w:pPr>
                    </w:p>
                    <w:p w14:paraId="1EBE6F77" w14:textId="77777777" w:rsidR="00B83D7D" w:rsidRDefault="00B83D7D" w:rsidP="004C23D5">
                      <w:pPr>
                        <w:jc w:val="center"/>
                        <w:rPr>
                          <w:rFonts w:ascii="Segoe UI Light" w:hAnsi="Segoe UI Light"/>
                          <w:b/>
                          <w:sz w:val="16"/>
                          <w:szCs w:val="16"/>
                        </w:rPr>
                      </w:pPr>
                    </w:p>
                    <w:p w14:paraId="0AC6F2B6" w14:textId="77777777" w:rsidR="00B83D7D" w:rsidRDefault="00B83D7D" w:rsidP="004C23D5">
                      <w:pPr>
                        <w:jc w:val="center"/>
                        <w:rPr>
                          <w:rFonts w:ascii="Segoe UI Light" w:hAnsi="Segoe UI Light"/>
                          <w:b/>
                          <w:sz w:val="16"/>
                          <w:szCs w:val="16"/>
                        </w:rPr>
                      </w:pPr>
                    </w:p>
                    <w:p w14:paraId="0D59F8BA" w14:textId="77777777" w:rsidR="00B83D7D" w:rsidRDefault="00B83D7D" w:rsidP="004C23D5">
                      <w:pPr>
                        <w:jc w:val="center"/>
                        <w:rPr>
                          <w:rFonts w:ascii="Segoe UI Light" w:hAnsi="Segoe UI Light"/>
                          <w:b/>
                          <w:sz w:val="16"/>
                          <w:szCs w:val="16"/>
                        </w:rPr>
                      </w:pPr>
                    </w:p>
                    <w:p w14:paraId="4FA7AB6C" w14:textId="77777777" w:rsidR="00B83D7D" w:rsidRDefault="00B83D7D" w:rsidP="004C23D5">
                      <w:pPr>
                        <w:jc w:val="center"/>
                        <w:rPr>
                          <w:rFonts w:ascii="Segoe UI Light" w:hAnsi="Segoe UI Light"/>
                          <w:b/>
                          <w:sz w:val="16"/>
                          <w:szCs w:val="16"/>
                        </w:rPr>
                      </w:pPr>
                    </w:p>
                    <w:p w14:paraId="6E681C62" w14:textId="77777777" w:rsidR="00B83D7D" w:rsidRDefault="00B83D7D" w:rsidP="004C23D5">
                      <w:pPr>
                        <w:jc w:val="center"/>
                        <w:rPr>
                          <w:rFonts w:ascii="Segoe UI Light" w:hAnsi="Segoe UI Light"/>
                          <w:b/>
                          <w:sz w:val="16"/>
                          <w:szCs w:val="16"/>
                        </w:rPr>
                      </w:pPr>
                    </w:p>
                    <w:p w14:paraId="2B15C6C0" w14:textId="77777777" w:rsidR="00B83D7D" w:rsidRPr="002612A6" w:rsidRDefault="00B83D7D" w:rsidP="004C23D5">
                      <w:pPr>
                        <w:jc w:val="center"/>
                        <w:rPr>
                          <w:rFonts w:ascii="Segoe UI Light" w:hAnsi="Segoe UI Light"/>
                          <w:b/>
                          <w:sz w:val="16"/>
                          <w:szCs w:val="16"/>
                        </w:rPr>
                      </w:pPr>
                    </w:p>
                  </w:txbxContent>
                </v:textbox>
              </v:roundrect>
            </w:pict>
          </mc:Fallback>
        </mc:AlternateContent>
      </w:r>
      <w:r>
        <w:rPr>
          <w:noProof/>
        </w:rPr>
        <mc:AlternateContent>
          <mc:Choice Requires="wps">
            <w:drawing>
              <wp:anchor distT="0" distB="0" distL="114300" distR="114300" simplePos="0" relativeHeight="251658254" behindDoc="0" locked="0" layoutInCell="1" allowOverlap="1" wp14:anchorId="26FF877A" wp14:editId="33FD1376">
                <wp:simplePos x="0" y="0"/>
                <wp:positionH relativeFrom="column">
                  <wp:posOffset>3972560</wp:posOffset>
                </wp:positionH>
                <wp:positionV relativeFrom="paragraph">
                  <wp:posOffset>1640205</wp:posOffset>
                </wp:positionV>
                <wp:extent cx="1268730" cy="720090"/>
                <wp:effectExtent l="0" t="0" r="45720" b="41910"/>
                <wp:wrapNone/>
                <wp:docPr id="1361" name="Text Box 1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720090"/>
                        </a:xfrm>
                        <a:prstGeom prst="rect">
                          <a:avLst/>
                        </a:prstGeom>
                        <a:solidFill>
                          <a:srgbClr val="FFFFFF"/>
                        </a:solidFill>
                        <a:ln w="12700">
                          <a:solidFill>
                            <a:srgbClr val="4BACC6">
                              <a:lumMod val="75000"/>
                            </a:srgbClr>
                          </a:solidFill>
                          <a:miter lim="800000"/>
                          <a:headEnd/>
                          <a:tailEnd/>
                        </a:ln>
                        <a:effectLst>
                          <a:outerShdw dist="38100" dir="2700000" algn="ctr" rotWithShape="0">
                            <a:srgbClr val="808080">
                              <a:alpha val="50000"/>
                            </a:srgbClr>
                          </a:outerShdw>
                        </a:effectLst>
                      </wps:spPr>
                      <wps:txbx>
                        <w:txbxContent>
                          <w:p w14:paraId="7D7683FF" w14:textId="77777777" w:rsidR="00B83D7D" w:rsidRPr="002612A6" w:rsidRDefault="00B83D7D" w:rsidP="004C23D5">
                            <w:pPr>
                              <w:spacing w:after="0"/>
                              <w:jc w:val="center"/>
                              <w:rPr>
                                <w:rFonts w:ascii="Segoe UI Light" w:hAnsi="Segoe UI Light"/>
                                <w:sz w:val="16"/>
                                <w:szCs w:val="16"/>
                              </w:rPr>
                            </w:pPr>
                            <w:r w:rsidRPr="002612A6">
                              <w:rPr>
                                <w:rFonts w:ascii="Segoe UI Light" w:hAnsi="Segoe UI Light"/>
                                <w:sz w:val="16"/>
                                <w:szCs w:val="16"/>
                              </w:rPr>
                              <w:t>Produktivitāte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6FF877A" id="Text Box 1361" o:spid="_x0000_s1196" type="#_x0000_t202" style="position:absolute;left:0;text-align:left;margin-left:312.8pt;margin-top:129.15pt;width:99.9pt;height:56.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" strokecolor="#31859c" strokeweight="1pt">
                <v:shadow on="t" opacity=".5" offset=".74836mm,.74836mm"/>
                <v:textbox>
                  <w:txbxContent>
                    <w:p w14:paraId="7D7683FF" w14:textId="77777777" w:rsidR="00B83D7D" w:rsidRPr="002612A6" w:rsidRDefault="00B83D7D" w:rsidP="004C23D5">
                      <w:pPr>
                        <w:spacing w:after="0"/>
                        <w:jc w:val="center"/>
                        <w:rPr>
                          <w:rFonts w:ascii="Segoe UI Light" w:hAnsi="Segoe UI Light"/>
                          <w:sz w:val="16"/>
                          <w:szCs w:val="16"/>
                        </w:rPr>
                      </w:pPr>
                      <w:r w:rsidRPr="002612A6">
                        <w:rPr>
                          <w:rFonts w:ascii="Segoe UI Light" w:hAnsi="Segoe UI Light"/>
                          <w:sz w:val="16"/>
                          <w:szCs w:val="16"/>
                        </w:rPr>
                        <w:t>Produktivitāte</w:t>
                      </w:r>
                    </w:p>
                  </w:txbxContent>
                </v:textbox>
              </v:shape>
            </w:pict>
          </mc:Fallback>
        </mc:AlternateContent>
      </w:r>
      <w:r>
        <w:rPr>
          <w:noProof/>
        </w:rPr>
        <mc:AlternateContent>
          <mc:Choice Requires="wps">
            <w:drawing>
              <wp:anchor distT="0" distB="0" distL="114300" distR="114300" simplePos="0" relativeHeight="251658253" behindDoc="0" locked="0" layoutInCell="1" allowOverlap="1" wp14:anchorId="0EE05BEE" wp14:editId="50336691">
                <wp:simplePos x="0" y="0"/>
                <wp:positionH relativeFrom="column">
                  <wp:posOffset>3972560</wp:posOffset>
                </wp:positionH>
                <wp:positionV relativeFrom="paragraph">
                  <wp:posOffset>628650</wp:posOffset>
                </wp:positionV>
                <wp:extent cx="1268730" cy="720090"/>
                <wp:effectExtent l="0" t="0" r="45720" b="41910"/>
                <wp:wrapNone/>
                <wp:docPr id="1362" name="Text Box 1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720090"/>
                        </a:xfrm>
                        <a:prstGeom prst="rect">
                          <a:avLst/>
                        </a:prstGeom>
                        <a:solidFill>
                          <a:srgbClr val="FFFFFF"/>
                        </a:solidFill>
                        <a:ln w="12700">
                          <a:solidFill>
                            <a:srgbClr val="4BACC6">
                              <a:lumMod val="75000"/>
                            </a:srgbClr>
                          </a:solidFill>
                          <a:miter lim="800000"/>
                          <a:headEnd/>
                          <a:tailEnd/>
                        </a:ln>
                        <a:effectLst>
                          <a:outerShdw dist="38100" dir="2700000" algn="ctr" rotWithShape="0">
                            <a:srgbClr val="808080">
                              <a:alpha val="50000"/>
                            </a:srgbClr>
                          </a:outerShdw>
                        </a:effectLst>
                      </wps:spPr>
                      <wps:txbx>
                        <w:txbxContent>
                          <w:p w14:paraId="46B2BC15" w14:textId="77777777" w:rsidR="00B83D7D" w:rsidRPr="002612A6" w:rsidRDefault="00B83D7D" w:rsidP="004C23D5">
                            <w:pPr>
                              <w:spacing w:after="0"/>
                              <w:jc w:val="center"/>
                              <w:rPr>
                                <w:rFonts w:ascii="Segoe UI Light" w:hAnsi="Segoe UI Light"/>
                                <w:sz w:val="16"/>
                                <w:szCs w:val="16"/>
                              </w:rPr>
                            </w:pPr>
                            <w:r w:rsidRPr="002612A6">
                              <w:rPr>
                                <w:rFonts w:ascii="Segoe UI Light" w:hAnsi="Segoe UI Light"/>
                                <w:sz w:val="16"/>
                                <w:szCs w:val="16"/>
                              </w:rPr>
                              <w:t>Izaugsme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EE05BEE" id="Text Box 1362" o:spid="_x0000_s1197" type="#_x0000_t202" style="position:absolute;left:0;text-align:left;margin-left:312.8pt;margin-top:49.5pt;width:99.9pt;height:56.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" strokecolor="#31859c" strokeweight="1pt">
                <v:shadow on="t" opacity=".5" offset=".74836mm,.74836mm"/>
                <v:textbox>
                  <w:txbxContent>
                    <w:p w14:paraId="46B2BC15" w14:textId="77777777" w:rsidR="00B83D7D" w:rsidRPr="002612A6" w:rsidRDefault="00B83D7D" w:rsidP="004C23D5">
                      <w:pPr>
                        <w:spacing w:after="0"/>
                        <w:jc w:val="center"/>
                        <w:rPr>
                          <w:rFonts w:ascii="Segoe UI Light" w:hAnsi="Segoe UI Light"/>
                          <w:sz w:val="16"/>
                          <w:szCs w:val="16"/>
                        </w:rPr>
                      </w:pPr>
                      <w:r w:rsidRPr="002612A6">
                        <w:rPr>
                          <w:rFonts w:ascii="Segoe UI Light" w:hAnsi="Segoe UI Light"/>
                          <w:sz w:val="16"/>
                          <w:szCs w:val="16"/>
                        </w:rPr>
                        <w:t>Izaugsme</w:t>
                      </w:r>
                    </w:p>
                  </w:txbxContent>
                </v:textbox>
              </v:shape>
            </w:pict>
          </mc:Fallback>
        </mc:AlternateContent>
      </w:r>
      <w:r>
        <w:rPr>
          <w:noProof/>
        </w:rPr>
        <mc:AlternateContent>
          <mc:Choice Requires="wps">
            <w:drawing>
              <wp:anchor distT="0" distB="0" distL="114300" distR="114300" simplePos="0" relativeHeight="251658252" behindDoc="0" locked="0" layoutInCell="1" allowOverlap="1" wp14:anchorId="5EF2AFDA" wp14:editId="1F511C9B">
                <wp:simplePos x="0" y="0"/>
                <wp:positionH relativeFrom="column">
                  <wp:posOffset>2207260</wp:posOffset>
                </wp:positionH>
                <wp:positionV relativeFrom="paragraph">
                  <wp:posOffset>2058035</wp:posOffset>
                </wp:positionV>
                <wp:extent cx="1268730" cy="317500"/>
                <wp:effectExtent l="0" t="0" r="7620" b="6350"/>
                <wp:wrapNone/>
                <wp:docPr id="1363" name="Rectangle: Rounded Corners 1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8730" cy="317500"/>
                        </a:xfrm>
                        <a:prstGeom prst="roundRect">
                          <a:avLst>
                            <a:gd name="adj" fmla="val 31602"/>
                          </a:avLst>
                        </a:prstGeom>
                        <a:solidFill>
                          <a:srgbClr val="FFFFFF"/>
                        </a:solidFill>
                        <a:ln w="9525">
                          <a:solidFill>
                            <a:srgbClr val="4BACC6">
                              <a:lumMod val="75000"/>
                            </a:srgbClr>
                          </a:solidFill>
                          <a:round/>
                          <a:headEnd/>
                          <a:tailEnd/>
                        </a:ln>
                      </wps:spPr>
                      <wps:txbx>
                        <w:txbxContent>
                          <w:p w14:paraId="51E64194" w14:textId="77777777" w:rsidR="00B83D7D" w:rsidRDefault="00B83D7D" w:rsidP="004C23D5">
                            <w:pPr>
                              <w:spacing w:after="0"/>
                              <w:jc w:val="center"/>
                              <w:rPr>
                                <w:rFonts w:ascii="Segoe UI Light" w:hAnsi="Segoe UI Light"/>
                                <w:sz w:val="16"/>
                                <w:szCs w:val="16"/>
                              </w:rPr>
                            </w:pPr>
                            <w:r w:rsidRPr="002612A6">
                              <w:rPr>
                                <w:rFonts w:ascii="Segoe UI Light" w:hAnsi="Segoe UI Light"/>
                                <w:sz w:val="16"/>
                                <w:szCs w:val="16"/>
                              </w:rPr>
                              <w:t>Piedāvājums</w:t>
                            </w:r>
                          </w:p>
                          <w:p w14:paraId="096E9D57" w14:textId="77777777" w:rsidR="00B83D7D" w:rsidRPr="002612A6" w:rsidRDefault="00B83D7D" w:rsidP="004C23D5">
                            <w:pPr>
                              <w:spacing w:after="0"/>
                              <w:jc w:val="center"/>
                              <w:rPr>
                                <w:rFonts w:ascii="Segoe UI Light" w:hAnsi="Segoe UI Light"/>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5EF2AFDA" id="Rectangle: Rounded Corners 1363" o:spid="_x0000_s1198" style="position:absolute;left:0;text-align:left;margin-left:173.8pt;margin-top:162.05pt;width:99.9pt;height: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207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" strokecolor="#31859c">
                <v:textbox>
                  <w:txbxContent>
                    <w:p w14:paraId="51E64194" w14:textId="77777777" w:rsidR="00B83D7D" w:rsidRDefault="00B83D7D" w:rsidP="004C23D5">
                      <w:pPr>
                        <w:spacing w:after="0"/>
                        <w:jc w:val="center"/>
                        <w:rPr>
                          <w:rFonts w:ascii="Segoe UI Light" w:hAnsi="Segoe UI Light"/>
                          <w:sz w:val="16"/>
                          <w:szCs w:val="16"/>
                        </w:rPr>
                      </w:pPr>
                      <w:r w:rsidRPr="002612A6">
                        <w:rPr>
                          <w:rFonts w:ascii="Segoe UI Light" w:hAnsi="Segoe UI Light"/>
                          <w:sz w:val="16"/>
                          <w:szCs w:val="16"/>
                        </w:rPr>
                        <w:t>Piedāvājums</w:t>
                      </w:r>
                    </w:p>
                    <w:p w14:paraId="096E9D57" w14:textId="77777777" w:rsidR="00B83D7D" w:rsidRPr="002612A6" w:rsidRDefault="00B83D7D" w:rsidP="004C23D5">
                      <w:pPr>
                        <w:spacing w:after="0"/>
                        <w:jc w:val="center"/>
                        <w:rPr>
                          <w:rFonts w:ascii="Segoe UI Light" w:hAnsi="Segoe UI Light"/>
                          <w:sz w:val="16"/>
                          <w:szCs w:val="16"/>
                        </w:rPr>
                      </w:pPr>
                    </w:p>
                  </w:txbxContent>
                </v:textbox>
              </v:roundrect>
            </w:pict>
          </mc:Fallback>
        </mc:AlternateContent>
      </w:r>
      <w:r>
        <w:rPr>
          <w:noProof/>
        </w:rPr>
        <mc:AlternateContent>
          <mc:Choice Requires="wps">
            <w:drawing>
              <wp:anchor distT="0" distB="0" distL="114300" distR="114300" simplePos="0" relativeHeight="251658251" behindDoc="0" locked="0" layoutInCell="1" allowOverlap="1" wp14:anchorId="05C33B0E" wp14:editId="2DBD4C46">
                <wp:simplePos x="0" y="0"/>
                <wp:positionH relativeFrom="column">
                  <wp:posOffset>2207260</wp:posOffset>
                </wp:positionH>
                <wp:positionV relativeFrom="paragraph">
                  <wp:posOffset>628650</wp:posOffset>
                </wp:positionV>
                <wp:extent cx="1268730" cy="317500"/>
                <wp:effectExtent l="0" t="0" r="7620" b="6350"/>
                <wp:wrapNone/>
                <wp:docPr id="1364" name="Rectangle: Rounded Corners 1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8730" cy="317500"/>
                        </a:xfrm>
                        <a:prstGeom prst="roundRect">
                          <a:avLst>
                            <a:gd name="adj" fmla="val 31602"/>
                          </a:avLst>
                        </a:prstGeom>
                        <a:solidFill>
                          <a:srgbClr val="FFFFFF"/>
                        </a:solidFill>
                        <a:ln w="9525">
                          <a:solidFill>
                            <a:srgbClr val="4BACC6">
                              <a:lumMod val="75000"/>
                            </a:srgbClr>
                          </a:solidFill>
                          <a:round/>
                          <a:headEnd/>
                          <a:tailEnd/>
                        </a:ln>
                      </wps:spPr>
                      <wps:txbx>
                        <w:txbxContent>
                          <w:p w14:paraId="7396CC86" w14:textId="77777777" w:rsidR="00B83D7D" w:rsidRDefault="00B83D7D" w:rsidP="004C23D5">
                            <w:pPr>
                              <w:spacing w:after="0"/>
                              <w:jc w:val="center"/>
                              <w:rPr>
                                <w:rFonts w:ascii="Segoe UI Light" w:hAnsi="Segoe UI Light"/>
                                <w:sz w:val="16"/>
                                <w:szCs w:val="16"/>
                              </w:rPr>
                            </w:pPr>
                            <w:r w:rsidRPr="002612A6">
                              <w:rPr>
                                <w:rFonts w:ascii="Segoe UI Light" w:hAnsi="Segoe UI Light"/>
                                <w:sz w:val="16"/>
                                <w:szCs w:val="16"/>
                              </w:rPr>
                              <w:t>Pieprasījums</w:t>
                            </w:r>
                          </w:p>
                          <w:p w14:paraId="7B311A2D" w14:textId="77777777" w:rsidR="00B83D7D" w:rsidRPr="002612A6" w:rsidRDefault="00B83D7D" w:rsidP="004C23D5">
                            <w:pPr>
                              <w:spacing w:after="0"/>
                              <w:jc w:val="center"/>
                              <w:rPr>
                                <w:rFonts w:ascii="Segoe UI Light" w:hAnsi="Segoe UI Light"/>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05C33B0E" id="Rectangle: Rounded Corners 1364" o:spid="_x0000_s1199" style="position:absolute;left:0;text-align:left;margin-left:173.8pt;margin-top:49.5pt;width:99.9pt;height: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7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" strokecolor="#31859c">
                <v:textbox>
                  <w:txbxContent>
                    <w:p w14:paraId="7396CC86" w14:textId="77777777" w:rsidR="00B83D7D" w:rsidRDefault="00B83D7D" w:rsidP="004C23D5">
                      <w:pPr>
                        <w:spacing w:after="0"/>
                        <w:jc w:val="center"/>
                        <w:rPr>
                          <w:rFonts w:ascii="Segoe UI Light" w:hAnsi="Segoe UI Light"/>
                          <w:sz w:val="16"/>
                          <w:szCs w:val="16"/>
                        </w:rPr>
                      </w:pPr>
                      <w:r w:rsidRPr="002612A6">
                        <w:rPr>
                          <w:rFonts w:ascii="Segoe UI Light" w:hAnsi="Segoe UI Light"/>
                          <w:sz w:val="16"/>
                          <w:szCs w:val="16"/>
                        </w:rPr>
                        <w:t>Pieprasījums</w:t>
                      </w:r>
                    </w:p>
                    <w:p w14:paraId="7B311A2D" w14:textId="77777777" w:rsidR="00B83D7D" w:rsidRPr="002612A6" w:rsidRDefault="00B83D7D" w:rsidP="004C23D5">
                      <w:pPr>
                        <w:spacing w:after="0"/>
                        <w:jc w:val="center"/>
                        <w:rPr>
                          <w:rFonts w:ascii="Segoe UI Light" w:hAnsi="Segoe UI Light"/>
                          <w:sz w:val="16"/>
                          <w:szCs w:val="16"/>
                        </w:rPr>
                      </w:pPr>
                    </w:p>
                  </w:txbxContent>
                </v:textbox>
              </v:roundrect>
            </w:pict>
          </mc:Fallback>
        </mc:AlternateContent>
      </w:r>
      <w:r>
        <w:rPr>
          <w:noProof/>
        </w:rPr>
        <mc:AlternateContent>
          <mc:Choice Requires="wps">
            <w:drawing>
              <wp:anchor distT="0" distB="0" distL="114300" distR="114300" simplePos="0" relativeHeight="251658250" behindDoc="0" locked="0" layoutInCell="1" allowOverlap="1" wp14:anchorId="5223D825" wp14:editId="4427DE8E">
                <wp:simplePos x="0" y="0"/>
                <wp:positionH relativeFrom="column">
                  <wp:posOffset>2207260</wp:posOffset>
                </wp:positionH>
                <wp:positionV relativeFrom="paragraph">
                  <wp:posOffset>1170940</wp:posOffset>
                </wp:positionV>
                <wp:extent cx="1268730" cy="619760"/>
                <wp:effectExtent l="0" t="0" r="45720" b="46990"/>
                <wp:wrapNone/>
                <wp:docPr id="1365" name="Text Box 1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619760"/>
                        </a:xfrm>
                        <a:prstGeom prst="rect">
                          <a:avLst/>
                        </a:prstGeom>
                        <a:solidFill>
                          <a:srgbClr val="8064A2">
                            <a:lumMod val="20000"/>
                            <a:lumOff val="80000"/>
                          </a:srgbClr>
                        </a:solidFill>
                        <a:ln w="12700">
                          <a:solidFill>
                            <a:srgbClr val="4BACC6">
                              <a:lumMod val="75000"/>
                            </a:srgbClr>
                          </a:solidFill>
                          <a:miter lim="800000"/>
                          <a:headEnd/>
                          <a:tailEnd/>
                        </a:ln>
                        <a:effectLst>
                          <a:outerShdw dist="38100" dir="2700000" algn="ctr" rotWithShape="0">
                            <a:srgbClr val="808080">
                              <a:alpha val="50000"/>
                            </a:srgbClr>
                          </a:outerShdw>
                        </a:effectLst>
                      </wps:spPr>
                      <wps:txbx>
                        <w:txbxContent>
                          <w:p w14:paraId="25C626F6" w14:textId="77777777" w:rsidR="00B83D7D" w:rsidRPr="002612A6" w:rsidRDefault="00B83D7D" w:rsidP="004C23D5">
                            <w:pPr>
                              <w:shd w:val="clear" w:color="auto" w:fill="E5DFEC"/>
                              <w:spacing w:after="0"/>
                              <w:jc w:val="center"/>
                              <w:rPr>
                                <w:rFonts w:ascii="Segoe UI Light" w:hAnsi="Segoe UI Light"/>
                                <w:sz w:val="16"/>
                                <w:szCs w:val="16"/>
                              </w:rPr>
                            </w:pPr>
                            <w:r w:rsidRPr="002612A6">
                              <w:rPr>
                                <w:rFonts w:ascii="Segoe UI Light" w:hAnsi="Segoe UI Light"/>
                                <w:sz w:val="16"/>
                                <w:szCs w:val="16"/>
                              </w:rPr>
                              <w:t>Pieprasījuma un piedāvājuma līdzsvarošanās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223D825" id="Text Box 1365" o:spid="_x0000_s1200" type="#_x0000_t202" style="position:absolute;left:0;text-align:left;margin-left:173.8pt;margin-top:92.2pt;width:99.9pt;height:48.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" fillcolor="#e6e0ec" strokecolor="#31859c" strokeweight="1pt">
                <v:shadow on="t" opacity=".5" offset=".74836mm,.74836mm"/>
                <v:textbox>
                  <w:txbxContent>
                    <w:p w14:paraId="25C626F6" w14:textId="77777777" w:rsidR="00B83D7D" w:rsidRPr="002612A6" w:rsidRDefault="00B83D7D" w:rsidP="004C23D5">
                      <w:pPr>
                        <w:shd w:val="clear" w:color="auto" w:fill="E5DFEC"/>
                        <w:spacing w:after="0"/>
                        <w:jc w:val="center"/>
                        <w:rPr>
                          <w:rFonts w:ascii="Segoe UI Light" w:hAnsi="Segoe UI Light"/>
                          <w:sz w:val="16"/>
                          <w:szCs w:val="16"/>
                        </w:rPr>
                      </w:pPr>
                      <w:r w:rsidRPr="002612A6">
                        <w:rPr>
                          <w:rFonts w:ascii="Segoe UI Light" w:hAnsi="Segoe UI Light"/>
                          <w:sz w:val="16"/>
                          <w:szCs w:val="16"/>
                        </w:rPr>
                        <w:t>Pieprasījuma un piedāvājuma līdzsvarošanās</w:t>
                      </w:r>
                    </w:p>
                  </w:txbxContent>
                </v:textbox>
              </v:shape>
            </w:pict>
          </mc:Fallback>
        </mc:AlternateContent>
      </w:r>
      <w:r>
        <w:rPr>
          <w:noProof/>
        </w:rPr>
        <mc:AlternateContent>
          <mc:Choice Requires="wps">
            <w:drawing>
              <wp:anchor distT="0" distB="0" distL="114300" distR="114300" simplePos="0" relativeHeight="251658247" behindDoc="0" locked="0" layoutInCell="1" allowOverlap="1" wp14:anchorId="4891C2A1" wp14:editId="1AE47A8D">
                <wp:simplePos x="0" y="0"/>
                <wp:positionH relativeFrom="column">
                  <wp:posOffset>2120900</wp:posOffset>
                </wp:positionH>
                <wp:positionV relativeFrom="paragraph">
                  <wp:posOffset>158115</wp:posOffset>
                </wp:positionV>
                <wp:extent cx="1440180" cy="2411730"/>
                <wp:effectExtent l="0" t="0" r="0" b="0"/>
                <wp:wrapNone/>
                <wp:docPr id="1366" name="Rectangle: Rounded Corners 1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180" cy="2411730"/>
                        </a:xfrm>
                        <a:prstGeom prst="roundRect">
                          <a:avLst>
                            <a:gd name="adj" fmla="val 2819"/>
                          </a:avLst>
                        </a:prstGeom>
                        <a:solidFill>
                          <a:srgbClr val="8064A2">
                            <a:lumMod val="75000"/>
                          </a:srgbClr>
                        </a:solidFill>
                        <a:ln>
                          <a:noFill/>
                        </a:ln>
                      </wps:spPr>
                      <wps:txbx>
                        <w:txbxContent>
                          <w:p w14:paraId="3DD17386" w14:textId="77777777" w:rsidR="00B83D7D" w:rsidRPr="00AD63CA" w:rsidRDefault="00B83D7D" w:rsidP="004C23D5">
                            <w:pPr>
                              <w:spacing w:after="0"/>
                              <w:jc w:val="center"/>
                              <w:rPr>
                                <w:rFonts w:ascii="Segoe UI Light" w:hAnsi="Segoe UI Light"/>
                                <w:b/>
                                <w:bCs/>
                                <w:color w:val="FFFFFF"/>
                                <w:sz w:val="16"/>
                                <w:szCs w:val="16"/>
                              </w:rPr>
                            </w:pPr>
                            <w:r w:rsidRPr="00AD63CA">
                              <w:rPr>
                                <w:rFonts w:ascii="Segoe UI Light" w:hAnsi="Segoe UI Light"/>
                                <w:b/>
                                <w:bCs/>
                                <w:color w:val="FFFFFF"/>
                                <w:sz w:val="16"/>
                                <w:szCs w:val="16"/>
                              </w:rPr>
                              <w:t>Darba tirgus</w:t>
                            </w:r>
                          </w:p>
                          <w:p w14:paraId="2749B273" w14:textId="77777777" w:rsidR="00B83D7D" w:rsidRDefault="00B83D7D" w:rsidP="004C23D5">
                            <w:pPr>
                              <w:rPr>
                                <w:rFonts w:ascii="Arial Narrow" w:hAnsi="Arial Narrow"/>
                                <w:b/>
                                <w:szCs w:val="20"/>
                              </w:rPr>
                            </w:pPr>
                          </w:p>
                          <w:p w14:paraId="514FA64A" w14:textId="77777777" w:rsidR="00B83D7D" w:rsidRDefault="00B83D7D" w:rsidP="004C23D5">
                            <w:pPr>
                              <w:rPr>
                                <w:rFonts w:ascii="Arial Narrow" w:hAnsi="Arial Narrow"/>
                                <w:b/>
                                <w:szCs w:val="20"/>
                              </w:rPr>
                            </w:pPr>
                          </w:p>
                          <w:p w14:paraId="77AB4DC8" w14:textId="77777777" w:rsidR="00B83D7D" w:rsidRDefault="00B83D7D" w:rsidP="004C23D5">
                            <w:pPr>
                              <w:rPr>
                                <w:rFonts w:ascii="Arial Narrow" w:hAnsi="Arial Narrow"/>
                                <w:b/>
                                <w:szCs w:val="20"/>
                              </w:rPr>
                            </w:pPr>
                          </w:p>
                          <w:p w14:paraId="01D3D6E3" w14:textId="77777777" w:rsidR="00B83D7D" w:rsidRDefault="00B83D7D" w:rsidP="004C23D5">
                            <w:pPr>
                              <w:rPr>
                                <w:rFonts w:ascii="Arial Narrow" w:hAnsi="Arial Narrow"/>
                                <w:b/>
                                <w:szCs w:val="20"/>
                              </w:rPr>
                            </w:pPr>
                          </w:p>
                          <w:p w14:paraId="36E7853A" w14:textId="77777777" w:rsidR="00B83D7D" w:rsidRDefault="00B83D7D" w:rsidP="004C23D5">
                            <w:pPr>
                              <w:rPr>
                                <w:rFonts w:ascii="Arial Narrow" w:hAnsi="Arial Narrow"/>
                                <w:b/>
                                <w:szCs w:val="20"/>
                              </w:rPr>
                            </w:pPr>
                          </w:p>
                          <w:p w14:paraId="6AEED5D7" w14:textId="77777777" w:rsidR="00B83D7D" w:rsidRDefault="00B83D7D" w:rsidP="004C23D5">
                            <w:pPr>
                              <w:rPr>
                                <w:rFonts w:ascii="Arial Narrow" w:hAnsi="Arial Narrow"/>
                                <w:b/>
                                <w:szCs w:val="20"/>
                              </w:rPr>
                            </w:pPr>
                          </w:p>
                          <w:p w14:paraId="678E8CCB" w14:textId="77777777" w:rsidR="00B83D7D" w:rsidRPr="005D0438" w:rsidRDefault="00B83D7D" w:rsidP="004C23D5">
                            <w:pPr>
                              <w:rPr>
                                <w:rFonts w:ascii="Arial Narrow" w:hAnsi="Arial Narrow"/>
                                <w:b/>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4891C2A1" id="Rectangle: Rounded Corners 1366" o:spid="_x0000_s1201" style="position:absolute;left:0;text-align:left;margin-left:167pt;margin-top:12.45pt;width:113.4pt;height:189.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" fillcolor="#604a7b" stroked="f">
                <v:textbox>
                  <w:txbxContent>
                    <w:p w14:paraId="3DD17386" w14:textId="77777777" w:rsidR="00B83D7D" w:rsidRPr="00AD63CA" w:rsidRDefault="00B83D7D" w:rsidP="004C23D5">
                      <w:pPr>
                        <w:spacing w:after="0"/>
                        <w:jc w:val="center"/>
                        <w:rPr>
                          <w:rFonts w:ascii="Segoe UI Light" w:hAnsi="Segoe UI Light"/>
                          <w:b/>
                          <w:bCs/>
                          <w:color w:val="FFFFFF"/>
                          <w:sz w:val="16"/>
                          <w:szCs w:val="16"/>
                        </w:rPr>
                      </w:pPr>
                      <w:r w:rsidRPr="00AD63CA">
                        <w:rPr>
                          <w:rFonts w:ascii="Segoe UI Light" w:hAnsi="Segoe UI Light"/>
                          <w:b/>
                          <w:bCs/>
                          <w:color w:val="FFFFFF"/>
                          <w:sz w:val="16"/>
                          <w:szCs w:val="16"/>
                        </w:rPr>
                        <w:t>Darba tirgus</w:t>
                      </w:r>
                    </w:p>
                    <w:p w14:paraId="2749B273" w14:textId="77777777" w:rsidR="00B83D7D" w:rsidRDefault="00B83D7D" w:rsidP="004C23D5">
                      <w:pPr>
                        <w:rPr>
                          <w:rFonts w:ascii="Arial Narrow" w:hAnsi="Arial Narrow"/>
                          <w:b/>
                          <w:szCs w:val="20"/>
                        </w:rPr>
                      </w:pPr>
                    </w:p>
                    <w:p w14:paraId="514FA64A" w14:textId="77777777" w:rsidR="00B83D7D" w:rsidRDefault="00B83D7D" w:rsidP="004C23D5">
                      <w:pPr>
                        <w:rPr>
                          <w:rFonts w:ascii="Arial Narrow" w:hAnsi="Arial Narrow"/>
                          <w:b/>
                          <w:szCs w:val="20"/>
                        </w:rPr>
                      </w:pPr>
                    </w:p>
                    <w:p w14:paraId="77AB4DC8" w14:textId="77777777" w:rsidR="00B83D7D" w:rsidRDefault="00B83D7D" w:rsidP="004C23D5">
                      <w:pPr>
                        <w:rPr>
                          <w:rFonts w:ascii="Arial Narrow" w:hAnsi="Arial Narrow"/>
                          <w:b/>
                          <w:szCs w:val="20"/>
                        </w:rPr>
                      </w:pPr>
                    </w:p>
                    <w:p w14:paraId="01D3D6E3" w14:textId="77777777" w:rsidR="00B83D7D" w:rsidRDefault="00B83D7D" w:rsidP="004C23D5">
                      <w:pPr>
                        <w:rPr>
                          <w:rFonts w:ascii="Arial Narrow" w:hAnsi="Arial Narrow"/>
                          <w:b/>
                          <w:szCs w:val="20"/>
                        </w:rPr>
                      </w:pPr>
                    </w:p>
                    <w:p w14:paraId="36E7853A" w14:textId="77777777" w:rsidR="00B83D7D" w:rsidRDefault="00B83D7D" w:rsidP="004C23D5">
                      <w:pPr>
                        <w:rPr>
                          <w:rFonts w:ascii="Arial Narrow" w:hAnsi="Arial Narrow"/>
                          <w:b/>
                          <w:szCs w:val="20"/>
                        </w:rPr>
                      </w:pPr>
                    </w:p>
                    <w:p w14:paraId="6AEED5D7" w14:textId="77777777" w:rsidR="00B83D7D" w:rsidRDefault="00B83D7D" w:rsidP="004C23D5">
                      <w:pPr>
                        <w:rPr>
                          <w:rFonts w:ascii="Arial Narrow" w:hAnsi="Arial Narrow"/>
                          <w:b/>
                          <w:szCs w:val="20"/>
                        </w:rPr>
                      </w:pPr>
                    </w:p>
                    <w:p w14:paraId="678E8CCB" w14:textId="77777777" w:rsidR="00B83D7D" w:rsidRPr="005D0438" w:rsidRDefault="00B83D7D" w:rsidP="004C23D5">
                      <w:pPr>
                        <w:rPr>
                          <w:rFonts w:ascii="Arial Narrow" w:hAnsi="Arial Narrow"/>
                          <w:b/>
                          <w:szCs w:val="20"/>
                        </w:rPr>
                      </w:pPr>
                    </w:p>
                  </w:txbxContent>
                </v:textbox>
              </v:roundrect>
            </w:pict>
          </mc:Fallback>
        </mc:AlternateContent>
      </w:r>
      <w:r>
        <w:rPr>
          <w:noProof/>
        </w:rPr>
        <mc:AlternateContent>
          <mc:Choice Requires="wps">
            <w:drawing>
              <wp:anchor distT="0" distB="0" distL="114300" distR="114300" simplePos="0" relativeHeight="251658246" behindDoc="0" locked="0" layoutInCell="1" allowOverlap="1" wp14:anchorId="4A3E2174" wp14:editId="4C963BC0">
                <wp:simplePos x="0" y="0"/>
                <wp:positionH relativeFrom="column">
                  <wp:posOffset>3818890</wp:posOffset>
                </wp:positionH>
                <wp:positionV relativeFrom="paragraph">
                  <wp:posOffset>158115</wp:posOffset>
                </wp:positionV>
                <wp:extent cx="1593850" cy="2411730"/>
                <wp:effectExtent l="0" t="0" r="0" b="0"/>
                <wp:wrapNone/>
                <wp:docPr id="1367" name="Rectangle: Rounded Corners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3850" cy="2411730"/>
                        </a:xfrm>
                        <a:prstGeom prst="roundRect">
                          <a:avLst>
                            <a:gd name="adj" fmla="val 2819"/>
                          </a:avLst>
                        </a:prstGeom>
                        <a:solidFill>
                          <a:srgbClr val="8064A2">
                            <a:lumMod val="60000"/>
                            <a:lumOff val="40000"/>
                          </a:srgbClr>
                        </a:solidFill>
                        <a:ln>
                          <a:noFill/>
                        </a:ln>
                      </wps:spPr>
                      <wps:txbx>
                        <w:txbxContent>
                          <w:p w14:paraId="62BC32F7" w14:textId="77777777" w:rsidR="00B83D7D" w:rsidRPr="00AD63CA" w:rsidRDefault="00B83D7D" w:rsidP="004C23D5">
                            <w:pPr>
                              <w:spacing w:after="0"/>
                              <w:jc w:val="center"/>
                              <w:rPr>
                                <w:rFonts w:ascii="Segoe UI Light" w:hAnsi="Segoe UI Light"/>
                                <w:b/>
                                <w:bCs/>
                                <w:sz w:val="16"/>
                                <w:szCs w:val="16"/>
                              </w:rPr>
                            </w:pPr>
                            <w:r w:rsidRPr="00AD63CA">
                              <w:rPr>
                                <w:rFonts w:ascii="Segoe UI Light" w:hAnsi="Segoe UI Light"/>
                                <w:b/>
                                <w:bCs/>
                                <w:sz w:val="16"/>
                                <w:szCs w:val="16"/>
                              </w:rPr>
                              <w:t>Pieprasījuma faktori</w:t>
                            </w:r>
                          </w:p>
                          <w:p w14:paraId="68FC2B29" w14:textId="77777777" w:rsidR="00B83D7D" w:rsidRDefault="00B83D7D" w:rsidP="004C23D5">
                            <w:pPr>
                              <w:jc w:val="center"/>
                              <w:rPr>
                                <w:b/>
                              </w:rPr>
                            </w:pPr>
                          </w:p>
                          <w:p w14:paraId="2D10A048" w14:textId="77777777" w:rsidR="00B83D7D" w:rsidRDefault="00B83D7D" w:rsidP="004C23D5">
                            <w:pPr>
                              <w:jc w:val="center"/>
                              <w:rPr>
                                <w:b/>
                              </w:rPr>
                            </w:pPr>
                          </w:p>
                          <w:p w14:paraId="71E1C292" w14:textId="77777777" w:rsidR="00B83D7D" w:rsidRDefault="00B83D7D" w:rsidP="004C23D5">
                            <w:pPr>
                              <w:jc w:val="center"/>
                              <w:rPr>
                                <w:b/>
                              </w:rPr>
                            </w:pPr>
                          </w:p>
                          <w:p w14:paraId="7CF241C3" w14:textId="77777777" w:rsidR="00B83D7D" w:rsidRDefault="00B83D7D" w:rsidP="004C23D5">
                            <w:pPr>
                              <w:jc w:val="center"/>
                              <w:rPr>
                                <w:b/>
                              </w:rPr>
                            </w:pPr>
                          </w:p>
                          <w:p w14:paraId="74D1D73D" w14:textId="77777777" w:rsidR="00B83D7D" w:rsidRDefault="00B83D7D" w:rsidP="004C23D5">
                            <w:pPr>
                              <w:jc w:val="center"/>
                              <w:rPr>
                                <w:b/>
                              </w:rPr>
                            </w:pPr>
                          </w:p>
                          <w:p w14:paraId="313B33AD" w14:textId="77777777" w:rsidR="00B83D7D" w:rsidRDefault="00B83D7D" w:rsidP="004C23D5">
                            <w:pPr>
                              <w:jc w:val="center"/>
                              <w:rPr>
                                <w:b/>
                              </w:rPr>
                            </w:pPr>
                          </w:p>
                          <w:p w14:paraId="473A38B5" w14:textId="77777777" w:rsidR="00B83D7D" w:rsidRPr="00230498" w:rsidRDefault="00B83D7D" w:rsidP="004C23D5">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oundrect w14:anchorId="4A3E2174" id="Rectangle: Rounded Corners 1367" o:spid="_x0000_s1202" style="position:absolute;left:0;text-align:left;margin-left:300.7pt;margin-top:12.45pt;width:125.5pt;height:189.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" fillcolor="#b3a2c7" stroked="f">
                <v:textbox>
                  <w:txbxContent>
                    <w:p w14:paraId="62BC32F7" w14:textId="77777777" w:rsidR="00B83D7D" w:rsidRPr="00AD63CA" w:rsidRDefault="00B83D7D" w:rsidP="004C23D5">
                      <w:pPr>
                        <w:spacing w:after="0"/>
                        <w:jc w:val="center"/>
                        <w:rPr>
                          <w:rFonts w:ascii="Segoe UI Light" w:hAnsi="Segoe UI Light"/>
                          <w:b/>
                          <w:bCs/>
                          <w:sz w:val="16"/>
                          <w:szCs w:val="16"/>
                        </w:rPr>
                      </w:pPr>
                      <w:r w:rsidRPr="00AD63CA">
                        <w:rPr>
                          <w:rFonts w:ascii="Segoe UI Light" w:hAnsi="Segoe UI Light"/>
                          <w:b/>
                          <w:bCs/>
                          <w:sz w:val="16"/>
                          <w:szCs w:val="16"/>
                        </w:rPr>
                        <w:t>Pieprasījuma faktori</w:t>
                      </w:r>
                    </w:p>
                    <w:p w14:paraId="68FC2B29" w14:textId="77777777" w:rsidR="00B83D7D" w:rsidRDefault="00B83D7D" w:rsidP="004C23D5">
                      <w:pPr>
                        <w:jc w:val="center"/>
                        <w:rPr>
                          <w:b/>
                        </w:rPr>
                      </w:pPr>
                    </w:p>
                    <w:p w14:paraId="2D10A048" w14:textId="77777777" w:rsidR="00B83D7D" w:rsidRDefault="00B83D7D" w:rsidP="004C23D5">
                      <w:pPr>
                        <w:jc w:val="center"/>
                        <w:rPr>
                          <w:b/>
                        </w:rPr>
                      </w:pPr>
                    </w:p>
                    <w:p w14:paraId="71E1C292" w14:textId="77777777" w:rsidR="00B83D7D" w:rsidRDefault="00B83D7D" w:rsidP="004C23D5">
                      <w:pPr>
                        <w:jc w:val="center"/>
                        <w:rPr>
                          <w:b/>
                        </w:rPr>
                      </w:pPr>
                    </w:p>
                    <w:p w14:paraId="7CF241C3" w14:textId="77777777" w:rsidR="00B83D7D" w:rsidRDefault="00B83D7D" w:rsidP="004C23D5">
                      <w:pPr>
                        <w:jc w:val="center"/>
                        <w:rPr>
                          <w:b/>
                        </w:rPr>
                      </w:pPr>
                    </w:p>
                    <w:p w14:paraId="74D1D73D" w14:textId="77777777" w:rsidR="00B83D7D" w:rsidRDefault="00B83D7D" w:rsidP="004C23D5">
                      <w:pPr>
                        <w:jc w:val="center"/>
                        <w:rPr>
                          <w:b/>
                        </w:rPr>
                      </w:pPr>
                    </w:p>
                    <w:p w14:paraId="313B33AD" w14:textId="77777777" w:rsidR="00B83D7D" w:rsidRDefault="00B83D7D" w:rsidP="004C23D5">
                      <w:pPr>
                        <w:jc w:val="center"/>
                        <w:rPr>
                          <w:b/>
                        </w:rPr>
                      </w:pPr>
                    </w:p>
                    <w:p w14:paraId="473A38B5" w14:textId="77777777" w:rsidR="00B83D7D" w:rsidRPr="00230498" w:rsidRDefault="00B83D7D" w:rsidP="004C23D5">
                      <w:pPr>
                        <w:jc w:val="center"/>
                        <w:rPr>
                          <w:b/>
                        </w:rPr>
                      </w:pPr>
                    </w:p>
                  </w:txbxContent>
                </v:textbox>
              </v:roundrect>
            </w:pict>
          </mc:Fallback>
        </mc:AlternateContent>
      </w:r>
      <w:r>
        <w:rPr>
          <w:noProof/>
        </w:rPr>
        <mc:AlternateContent>
          <mc:Choice Requires="wpg">
            <w:drawing>
              <wp:anchor distT="0" distB="0" distL="114300" distR="114300" simplePos="0" relativeHeight="251658249" behindDoc="0" locked="0" layoutInCell="1" allowOverlap="1" wp14:anchorId="3A7F2212" wp14:editId="3A4AE6E7">
                <wp:simplePos x="0" y="0"/>
                <wp:positionH relativeFrom="column">
                  <wp:posOffset>1671320</wp:posOffset>
                </wp:positionH>
                <wp:positionV relativeFrom="paragraph">
                  <wp:posOffset>781050</wp:posOffset>
                </wp:positionV>
                <wp:extent cx="2298065" cy="1442085"/>
                <wp:effectExtent l="38100" t="76200" r="0" b="81915"/>
                <wp:wrapNone/>
                <wp:docPr id="1368" name="Group 1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8065" cy="1442085"/>
                          <a:chOff x="4333" y="11870"/>
                          <a:chExt cx="3619" cy="2271"/>
                        </a:xfrm>
                      </wpg:grpSpPr>
                      <wps:wsp>
                        <wps:cNvPr id="1369" name="AutoShape 120"/>
                        <wps:cNvCnPr>
                          <a:cxnSpLocks noChangeShapeType="1"/>
                        </wps:cNvCnPr>
                        <wps:spPr bwMode="auto">
                          <a:xfrm flipH="1">
                            <a:off x="4333" y="13793"/>
                            <a:ext cx="482" cy="0"/>
                          </a:xfrm>
                          <a:prstGeom prst="straightConnector1">
                            <a:avLst/>
                          </a:prstGeom>
                          <a:noFill/>
                          <a:ln w="9525">
                            <a:solidFill>
                              <a:srgbClr val="4E6128"/>
                            </a:solidFill>
                            <a:prstDash val="sysDot"/>
                            <a:round/>
                            <a:headEnd/>
                            <a:tailEnd type="triangle" w="med" len="med"/>
                          </a:ln>
                        </wps:spPr>
                        <wps:bodyPr/>
                      </wps:wsp>
                      <wpg:grpSp>
                        <wpg:cNvPr id="1370" name="Group 121"/>
                        <wpg:cNvGrpSpPr>
                          <a:grpSpLocks/>
                        </wpg:cNvGrpSpPr>
                        <wpg:grpSpPr bwMode="auto">
                          <a:xfrm>
                            <a:off x="4333" y="11870"/>
                            <a:ext cx="3619" cy="2271"/>
                            <a:chOff x="4333" y="11870"/>
                            <a:chExt cx="3619" cy="2271"/>
                          </a:xfrm>
                        </wpg:grpSpPr>
                        <wps:wsp>
                          <wps:cNvPr id="1371" name="AutoShape 122"/>
                          <wps:cNvCnPr>
                            <a:cxnSpLocks noChangeShapeType="1"/>
                          </wps:cNvCnPr>
                          <wps:spPr bwMode="auto">
                            <a:xfrm>
                              <a:off x="4333" y="14140"/>
                              <a:ext cx="844" cy="1"/>
                            </a:xfrm>
                            <a:prstGeom prst="straightConnector1">
                              <a:avLst/>
                            </a:prstGeom>
                            <a:noFill/>
                            <a:ln w="9525">
                              <a:solidFill>
                                <a:srgbClr val="000000"/>
                              </a:solidFill>
                              <a:round/>
                              <a:headEnd/>
                              <a:tailEnd type="triangle" w="med" len="med"/>
                            </a:ln>
                          </wps:spPr>
                          <wps:bodyPr/>
                        </wps:wsp>
                        <wpg:grpSp>
                          <wpg:cNvPr id="1372" name="Group 123"/>
                          <wpg:cNvGrpSpPr>
                            <a:grpSpLocks/>
                          </wpg:cNvGrpSpPr>
                          <wpg:grpSpPr bwMode="auto">
                            <a:xfrm>
                              <a:off x="4333" y="11870"/>
                              <a:ext cx="3619" cy="2270"/>
                              <a:chOff x="4113" y="11870"/>
                              <a:chExt cx="3619" cy="2270"/>
                            </a:xfrm>
                          </wpg:grpSpPr>
                          <wps:wsp>
                            <wps:cNvPr id="1373" name="AutoShape 124"/>
                            <wps:cNvCnPr>
                              <a:cxnSpLocks noChangeShapeType="1"/>
                            </wps:cNvCnPr>
                            <wps:spPr bwMode="auto">
                              <a:xfrm>
                                <a:off x="5923" y="12134"/>
                                <a:ext cx="0" cy="340"/>
                              </a:xfrm>
                              <a:prstGeom prst="straightConnector1">
                                <a:avLst/>
                              </a:prstGeom>
                              <a:noFill/>
                              <a:ln w="9525">
                                <a:solidFill>
                                  <a:srgbClr val="000000"/>
                                </a:solidFill>
                                <a:round/>
                                <a:headEnd/>
                                <a:tailEnd type="triangle" w="med" len="med"/>
                              </a:ln>
                            </wps:spPr>
                            <wps:bodyPr/>
                          </wps:wsp>
                          <wps:wsp>
                            <wps:cNvPr id="1374" name="AutoShape 125"/>
                            <wps:cNvCnPr>
                              <a:cxnSpLocks noChangeShapeType="1"/>
                            </wps:cNvCnPr>
                            <wps:spPr bwMode="auto">
                              <a:xfrm flipV="1">
                                <a:off x="5923" y="13460"/>
                                <a:ext cx="0" cy="421"/>
                              </a:xfrm>
                              <a:prstGeom prst="straightConnector1">
                                <a:avLst/>
                              </a:prstGeom>
                              <a:noFill/>
                              <a:ln w="9525">
                                <a:solidFill>
                                  <a:srgbClr val="000000"/>
                                </a:solidFill>
                                <a:round/>
                                <a:headEnd/>
                                <a:tailEnd type="triangle" w="med" len="med"/>
                              </a:ln>
                            </wps:spPr>
                            <wps:bodyPr/>
                          </wps:wsp>
                          <wps:wsp>
                            <wps:cNvPr id="1375" name="AutoShape 126"/>
                            <wps:cNvCnPr>
                              <a:cxnSpLocks noChangeShapeType="1"/>
                            </wps:cNvCnPr>
                            <wps:spPr bwMode="auto">
                              <a:xfrm flipH="1">
                                <a:off x="6965" y="11873"/>
                                <a:ext cx="765" cy="0"/>
                              </a:xfrm>
                              <a:prstGeom prst="straightConnector1">
                                <a:avLst/>
                              </a:prstGeom>
                              <a:noFill/>
                              <a:ln w="9525">
                                <a:solidFill>
                                  <a:srgbClr val="000000"/>
                                </a:solidFill>
                                <a:round/>
                                <a:headEnd/>
                                <a:tailEnd type="triangle" w="med" len="med"/>
                              </a:ln>
                            </wps:spPr>
                            <wps:bodyPr/>
                          </wps:wsp>
                          <wps:wsp>
                            <wps:cNvPr id="1376" name="AutoShape 127"/>
                            <wps:cNvCnPr>
                              <a:cxnSpLocks noChangeShapeType="1"/>
                            </wps:cNvCnPr>
                            <wps:spPr bwMode="auto">
                              <a:xfrm flipH="1">
                                <a:off x="7278" y="13793"/>
                                <a:ext cx="454" cy="0"/>
                              </a:xfrm>
                              <a:prstGeom prst="straightConnector1">
                                <a:avLst/>
                              </a:prstGeom>
                              <a:noFill/>
                              <a:ln w="9525">
                                <a:solidFill>
                                  <a:srgbClr val="000000"/>
                                </a:solidFill>
                                <a:round/>
                                <a:headEnd/>
                                <a:tailEnd/>
                              </a:ln>
                            </wps:spPr>
                            <wps:bodyPr/>
                          </wps:wsp>
                          <wps:wsp>
                            <wps:cNvPr id="1377" name="AutoShape 128"/>
                            <wps:cNvCnPr>
                              <a:cxnSpLocks noChangeShapeType="1"/>
                            </wps:cNvCnPr>
                            <wps:spPr bwMode="auto">
                              <a:xfrm flipV="1">
                                <a:off x="7279" y="11873"/>
                                <a:ext cx="0" cy="1920"/>
                              </a:xfrm>
                              <a:prstGeom prst="straightConnector1">
                                <a:avLst/>
                              </a:prstGeom>
                              <a:noFill/>
                              <a:ln w="9525">
                                <a:solidFill>
                                  <a:srgbClr val="000000"/>
                                </a:solidFill>
                                <a:round/>
                                <a:headEnd/>
                                <a:tailEnd/>
                              </a:ln>
                            </wps:spPr>
                            <wps:bodyPr/>
                          </wps:wsp>
                          <wps:wsp>
                            <wps:cNvPr id="1378" name="AutoShape 129"/>
                            <wps:cNvCnPr>
                              <a:cxnSpLocks noChangeShapeType="1"/>
                            </wps:cNvCnPr>
                            <wps:spPr bwMode="auto">
                              <a:xfrm flipH="1">
                                <a:off x="4113" y="11976"/>
                                <a:ext cx="358" cy="1"/>
                              </a:xfrm>
                              <a:prstGeom prst="straightConnector1">
                                <a:avLst/>
                              </a:prstGeom>
                              <a:noFill/>
                              <a:ln w="9525">
                                <a:solidFill>
                                  <a:srgbClr val="000000"/>
                                </a:solidFill>
                                <a:round/>
                                <a:headEnd/>
                                <a:tailEnd/>
                              </a:ln>
                            </wps:spPr>
                            <wps:bodyPr/>
                          </wps:wsp>
                          <wps:wsp>
                            <wps:cNvPr id="1379" name="AutoShape 130"/>
                            <wps:cNvCnPr>
                              <a:cxnSpLocks noChangeShapeType="1"/>
                            </wps:cNvCnPr>
                            <wps:spPr bwMode="auto">
                              <a:xfrm flipH="1">
                                <a:off x="4113" y="13017"/>
                                <a:ext cx="358" cy="1"/>
                              </a:xfrm>
                              <a:prstGeom prst="straightConnector1">
                                <a:avLst/>
                              </a:prstGeom>
                              <a:noFill/>
                              <a:ln w="9525">
                                <a:solidFill>
                                  <a:srgbClr val="000000"/>
                                </a:solidFill>
                                <a:round/>
                                <a:headEnd/>
                                <a:tailEnd/>
                              </a:ln>
                            </wps:spPr>
                            <wps:bodyPr/>
                          </wps:wsp>
                          <wps:wsp>
                            <wps:cNvPr id="1380" name="AutoShape 131"/>
                            <wps:cNvCnPr>
                              <a:cxnSpLocks noChangeShapeType="1"/>
                            </wps:cNvCnPr>
                            <wps:spPr bwMode="auto">
                              <a:xfrm flipV="1">
                                <a:off x="4471" y="11980"/>
                                <a:ext cx="1" cy="2160"/>
                              </a:xfrm>
                              <a:prstGeom prst="straightConnector1">
                                <a:avLst/>
                              </a:prstGeom>
                              <a:noFill/>
                              <a:ln w="9525">
                                <a:solidFill>
                                  <a:srgbClr val="000000"/>
                                </a:solidFill>
                                <a:round/>
                                <a:headEnd/>
                                <a:tailEnd/>
                              </a:ln>
                            </wps:spPr>
                            <wps:bodyPr/>
                          </wps:wsp>
                          <wps:wsp>
                            <wps:cNvPr id="1381" name="AutoShape 132"/>
                            <wps:cNvCnPr>
                              <a:cxnSpLocks noChangeShapeType="1"/>
                            </wps:cNvCnPr>
                            <wps:spPr bwMode="auto">
                              <a:xfrm flipH="1">
                                <a:off x="4611" y="11870"/>
                                <a:ext cx="346" cy="0"/>
                              </a:xfrm>
                              <a:prstGeom prst="straightConnector1">
                                <a:avLst/>
                              </a:prstGeom>
                              <a:noFill/>
                              <a:ln w="9525">
                                <a:solidFill>
                                  <a:srgbClr val="4E6128"/>
                                </a:solidFill>
                                <a:prstDash val="sysDot"/>
                                <a:round/>
                                <a:headEnd/>
                                <a:tailEnd/>
                              </a:ln>
                            </wps:spPr>
                            <wps:bodyPr/>
                          </wps:wsp>
                          <wps:wsp>
                            <wps:cNvPr id="1382" name="AutoShape 133"/>
                            <wps:cNvCnPr>
                              <a:cxnSpLocks noChangeShapeType="1"/>
                            </wps:cNvCnPr>
                            <wps:spPr bwMode="auto">
                              <a:xfrm>
                                <a:off x="4611" y="11870"/>
                                <a:ext cx="0" cy="1923"/>
                              </a:xfrm>
                              <a:prstGeom prst="straightConnector1">
                                <a:avLst/>
                              </a:prstGeom>
                              <a:noFill/>
                              <a:ln w="9525">
                                <a:solidFill>
                                  <a:srgbClr val="4E6128"/>
                                </a:solidFill>
                                <a:prstDash val="sysDot"/>
                                <a:round/>
                                <a:headEnd/>
                                <a:tailEnd/>
                              </a:ln>
                            </wps:spPr>
                            <wps:bodyPr/>
                          </wps:wsp>
                          <wps:wsp>
                            <wps:cNvPr id="1383" name="AutoShape 134"/>
                            <wps:cNvCnPr>
                              <a:cxnSpLocks noChangeShapeType="1"/>
                            </wps:cNvCnPr>
                            <wps:spPr bwMode="auto">
                              <a:xfrm>
                                <a:off x="4745" y="13223"/>
                                <a:ext cx="1" cy="742"/>
                              </a:xfrm>
                              <a:prstGeom prst="straightConnector1">
                                <a:avLst/>
                              </a:prstGeom>
                              <a:noFill/>
                              <a:ln w="9525">
                                <a:solidFill>
                                  <a:srgbClr val="4E6128"/>
                                </a:solidFill>
                                <a:prstDash val="sysDot"/>
                                <a:round/>
                                <a:headEnd/>
                                <a:tailEnd/>
                              </a:ln>
                            </wps:spPr>
                            <wps:bodyPr/>
                          </wps:wsp>
                          <wps:wsp>
                            <wps:cNvPr id="1385" name="AutoShape 135"/>
                            <wps:cNvCnPr>
                              <a:cxnSpLocks noChangeShapeType="1"/>
                            </wps:cNvCnPr>
                            <wps:spPr bwMode="auto">
                              <a:xfrm flipH="1">
                                <a:off x="4113" y="13965"/>
                                <a:ext cx="632" cy="1"/>
                              </a:xfrm>
                              <a:prstGeom prst="straightConnector1">
                                <a:avLst/>
                              </a:prstGeom>
                              <a:noFill/>
                              <a:ln w="9525">
                                <a:solidFill>
                                  <a:srgbClr val="4E6128"/>
                                </a:solidFill>
                                <a:prstDash val="sysDot"/>
                                <a:round/>
                                <a:headEnd/>
                                <a:tailEnd type="triangle" w="med" len="med"/>
                              </a:ln>
                            </wps:spPr>
                            <wps:bodyPr/>
                          </wps:wsp>
                          <wps:wsp>
                            <wps:cNvPr id="1386" name="AutoShape 136"/>
                            <wps:cNvCnPr>
                              <a:cxnSpLocks noChangeShapeType="1"/>
                            </wps:cNvCnPr>
                            <wps:spPr bwMode="auto">
                              <a:xfrm flipH="1">
                                <a:off x="4113" y="12808"/>
                                <a:ext cx="482" cy="0"/>
                              </a:xfrm>
                              <a:prstGeom prst="straightConnector1">
                                <a:avLst/>
                              </a:prstGeom>
                              <a:noFill/>
                              <a:ln w="9525">
                                <a:solidFill>
                                  <a:srgbClr val="4E6128"/>
                                </a:solidFill>
                                <a:prstDash val="sysDot"/>
                                <a:round/>
                                <a:headEnd/>
                                <a:tailEnd type="triangle" w="med" len="med"/>
                              </a:ln>
                            </wps:spPr>
                            <wps:bodyPr/>
                          </wps:wsp>
                          <wps:wsp>
                            <wps:cNvPr id="1387" name="AutoShape 137"/>
                            <wps:cNvCnPr>
                              <a:cxnSpLocks noChangeShapeType="1"/>
                            </wps:cNvCnPr>
                            <wps:spPr bwMode="auto">
                              <a:xfrm flipH="1">
                                <a:off x="4113" y="13224"/>
                                <a:ext cx="844" cy="0"/>
                              </a:xfrm>
                              <a:prstGeom prst="straightConnector1">
                                <a:avLst/>
                              </a:prstGeom>
                              <a:noFill/>
                              <a:ln w="9525">
                                <a:solidFill>
                                  <a:srgbClr val="4E6128"/>
                                </a:solidFill>
                                <a:prstDash val="sysDot"/>
                                <a:round/>
                                <a:headEnd/>
                                <a:tailEnd type="triangle" w="med" len="med"/>
                              </a:ln>
                            </wps:spPr>
                            <wps:bodyPr/>
                          </wps:wsp>
                        </wpg:grpSp>
                      </wpg:grp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3D50B81F" id="Group 1368" o:spid="_x0000_s1026" style="position:absolute;margin-left:131.6pt;margin-top:61.5pt;width:180.95pt;height:113.55pt;z-index:251658249" coordorigin="4333,11870" coordsize="3619,2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">
                <v:shape id="AutoShape 120" o:spid="_x0000_s1027" type="#_x0000_t32" style="position:absolute;left:4333;top:13793;width:48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" strokecolor="#4e6128">
                  <v:stroke dashstyle="1 1" endarrow="block"/>
                </v:shape>
                <v:group id="Group 121" o:spid="_x0000_s1028" style="position:absolute;left:4333;top:11870;width:3619;height:2271" coordorigin="4333,11870" coordsize="3619,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">
                  <v:shape id="AutoShape 122" o:spid="_x0000_s1029" type="#_x0000_t32" style="position:absolute;left:4333;top:14140;width:84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">
                    <v:stroke endarrow="block"/>
                  </v:shape>
                  <v:group id="Group 123" o:spid="_x0000_s1030" style="position:absolute;left:4333;top:11870;width:3619;height:2270" coordorigin="4113,11870" coordsize="3619,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">
                    <v:shape id="AutoShape 124" o:spid="_x0000_s1031" type="#_x0000_t32" style="position:absolute;left:5923;top:12134;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">
                      <v:stroke endarrow="block"/>
                    </v:shape>
                    <v:shape id="AutoShape 125" o:spid="_x0000_s1032" type="#_x0000_t32" style="position:absolute;left:5923;top:13460;width:0;height:4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">
                      <v:stroke endarrow="block"/>
                    </v:shape>
                    <v:shape id="AutoShape 126" o:spid="_x0000_s1033" type="#_x0000_t32" style="position:absolute;left:6965;top:11873;width:7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">
                      <v:stroke endarrow="block"/>
                    </v:shape>
                    <v:shape id="AutoShape 127" o:spid="_x0000_s1034" type="#_x0000_t32" style="position:absolute;left:7278;top:13793;width:45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"/>
                    <v:shape id="AutoShape 128" o:spid="_x0000_s1035" type="#_x0000_t32" style="position:absolute;left:7279;top:11873;width:0;height:19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"/>
                    <v:shape id="AutoShape 129" o:spid="_x0000_s1036" type="#_x0000_t32" style="position:absolute;left:4113;top:11976;width:358;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"/>
                    <v:shape id="AutoShape 130" o:spid="_x0000_s1037" type="#_x0000_t32" style="position:absolute;left:4113;top:13017;width:358;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"/>
                    <v:shape id="AutoShape 131" o:spid="_x0000_s1038" type="#_x0000_t32" style="position:absolute;left:4471;top:11980;width:1;height:2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"/>
                    <v:shape id="AutoShape 132" o:spid="_x0000_s1039" type="#_x0000_t32" style="position:absolute;left:4611;top:11870;width:34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" strokecolor="#4e6128">
                      <v:stroke dashstyle="1 1"/>
                    </v:shape>
                    <v:shape id="AutoShape 133" o:spid="_x0000_s1040" type="#_x0000_t32" style="position:absolute;left:4611;top:11870;width:0;height:19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" strokecolor="#4e6128">
                      <v:stroke dashstyle="1 1"/>
                    </v:shape>
                    <v:shape id="AutoShape 134" o:spid="_x0000_s1041" type="#_x0000_t32" style="position:absolute;left:4745;top:13223;width:1;height:7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" strokecolor="#4e6128">
                      <v:stroke dashstyle="1 1"/>
                    </v:shape>
                    <v:shape id="AutoShape 135" o:spid="_x0000_s1042" type="#_x0000_t32" style="position:absolute;left:4113;top:13965;width:632;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" strokecolor="#4e6128">
                      <v:stroke dashstyle="1 1" endarrow="block"/>
                    </v:shape>
                    <v:shape id="AutoShape 136" o:spid="_x0000_s1043" type="#_x0000_t32" style="position:absolute;left:4113;top:12808;width:48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" strokecolor="#4e6128">
                      <v:stroke dashstyle="1 1" endarrow="block"/>
                    </v:shape>
                    <v:shape id="AutoShape 137" o:spid="_x0000_s1044" type="#_x0000_t32" style="position:absolute;left:4113;top:13224;width:8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" strokecolor="#4e6128">
                      <v:stroke dashstyle="1 1" endarrow="block"/>
                    </v:shape>
                  </v:group>
                </v:group>
              </v:group>
            </w:pict>
          </mc:Fallback>
        </mc:AlternateContent>
      </w:r>
      <w:r w:rsidRPr="00AD63CA">
        <w:rPr>
          <w:noProof/>
        </w:rPr>
        <mc:AlternateContent>
          <mc:Choice Requires="wps">
            <w:drawing>
              <wp:inline distT="0" distB="0" distL="0" distR="0" wp14:anchorId="66890801" wp14:editId="3204F145">
                <wp:extent cx="5760085" cy="2960370"/>
                <wp:effectExtent l="0" t="0" r="0" b="0"/>
                <wp:docPr id="1388" name="Rectangle 1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2960370"/>
                        </a:xfrm>
                        <a:prstGeom prst="rect">
                          <a:avLst/>
                        </a:prstGeom>
                        <a:noFill/>
                        <a:ln w="635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38E217B" id="Rectangle 1388" o:spid="_x0000_s1026" style="width:453.55pt;height:233.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" filled="f" stroked="f" strokeweight=".5pt">
                <w10:anchorlock/>
              </v:rect>
            </w:pict>
          </mc:Fallback>
        </mc:AlternateContent>
      </w:r>
    </w:p>
    <w:p w14:paraId="7F68C23C" w14:textId="77777777" w:rsidR="004C23D5" w:rsidRPr="000855C2" w:rsidRDefault="004C23D5" w:rsidP="004C23D5">
      <w:pPr>
        <w:jc w:val="center"/>
        <w:rPr>
          <w:rFonts w:ascii="Segoe UI Semibold" w:hAnsi="Segoe UI Semibold"/>
          <w:b/>
          <w:szCs w:val="26"/>
        </w:rPr>
      </w:pPr>
    </w:p>
    <w:p w14:paraId="70F06317" w14:textId="77777777" w:rsidR="004C23D5" w:rsidRPr="000855C2" w:rsidRDefault="004C23D5" w:rsidP="00834E74">
      <w:pPr>
        <w:spacing w:after="120"/>
        <w:jc w:val="both"/>
        <w:rPr>
          <w:szCs w:val="26"/>
        </w:rPr>
      </w:pPr>
    </w:p>
    <w:p w14:paraId="647D5D74" w14:textId="77777777" w:rsidR="004C23D5" w:rsidRPr="000855C2" w:rsidRDefault="004C23D5" w:rsidP="004C23D5">
      <w:pPr>
        <w:spacing w:after="120"/>
        <w:jc w:val="both"/>
        <w:rPr>
          <w:szCs w:val="26"/>
        </w:rPr>
      </w:pPr>
      <w:r w:rsidRPr="000855C2">
        <w:rPr>
          <w:szCs w:val="26"/>
        </w:rPr>
        <w:t>Darba tirgus piedāvājuma prognozes izriet no:</w:t>
      </w:r>
    </w:p>
    <w:p w14:paraId="38770AE6" w14:textId="77777777" w:rsidR="004C23D5" w:rsidRPr="000855C2" w:rsidRDefault="004C23D5" w:rsidP="004C23D5">
      <w:pPr>
        <w:numPr>
          <w:ilvl w:val="0"/>
          <w:numId w:val="1"/>
        </w:numPr>
        <w:spacing w:after="120"/>
        <w:ind w:left="568" w:hanging="284"/>
        <w:jc w:val="both"/>
        <w:rPr>
          <w:szCs w:val="26"/>
        </w:rPr>
      </w:pPr>
      <w:r w:rsidRPr="000855C2">
        <w:rPr>
          <w:szCs w:val="26"/>
        </w:rPr>
        <w:t>detalizētām demogrāfijas prognozēm;</w:t>
      </w:r>
    </w:p>
    <w:p w14:paraId="49E9F8A3" w14:textId="77777777" w:rsidR="004C23D5" w:rsidRPr="000855C2" w:rsidRDefault="004C23D5" w:rsidP="004C23D5">
      <w:pPr>
        <w:numPr>
          <w:ilvl w:val="0"/>
          <w:numId w:val="1"/>
        </w:numPr>
        <w:spacing w:after="120"/>
        <w:ind w:left="568" w:hanging="284"/>
        <w:jc w:val="both"/>
        <w:rPr>
          <w:szCs w:val="26"/>
        </w:rPr>
      </w:pPr>
      <w:r w:rsidRPr="000855C2">
        <w:rPr>
          <w:szCs w:val="26"/>
        </w:rPr>
        <w:t>līdzdalības līmeņu prognozēm dažādās iedzīvotāju vecuma grupās;</w:t>
      </w:r>
    </w:p>
    <w:p w14:paraId="2FF47250" w14:textId="77777777" w:rsidR="004C23D5" w:rsidRPr="000855C2" w:rsidRDefault="004C23D5" w:rsidP="004C23D5">
      <w:pPr>
        <w:numPr>
          <w:ilvl w:val="0"/>
          <w:numId w:val="1"/>
        </w:numPr>
        <w:spacing w:after="120"/>
        <w:ind w:left="568" w:hanging="284"/>
        <w:jc w:val="both"/>
        <w:rPr>
          <w:szCs w:val="26"/>
        </w:rPr>
      </w:pPr>
      <w:r w:rsidRPr="000855C2">
        <w:rPr>
          <w:szCs w:val="26"/>
        </w:rPr>
        <w:t>esošā darbaspēka sadalījuma pēc vecuma, profesionālās pieredzes (esošās vai iepriekšējās profesijas), iegūtās izglītības;</w:t>
      </w:r>
    </w:p>
    <w:p w14:paraId="4FD22C85" w14:textId="77777777" w:rsidR="004C23D5" w:rsidRPr="000855C2" w:rsidRDefault="004C23D5" w:rsidP="004C23D5">
      <w:pPr>
        <w:numPr>
          <w:ilvl w:val="0"/>
          <w:numId w:val="1"/>
        </w:numPr>
        <w:spacing w:after="120"/>
        <w:ind w:left="568" w:hanging="284"/>
        <w:jc w:val="both"/>
        <w:rPr>
          <w:szCs w:val="26"/>
        </w:rPr>
      </w:pPr>
      <w:r w:rsidRPr="000855C2">
        <w:rPr>
          <w:szCs w:val="26"/>
        </w:rPr>
        <w:t>esošās izglītības sistēmas un izglītības piedāvājuma (studējošo skaita, kopējo un budžeta vietu sadalījuma pa izglītības līmeņiem un jomām).</w:t>
      </w:r>
    </w:p>
    <w:p w14:paraId="4D02D2C4" w14:textId="77777777" w:rsidR="004C23D5" w:rsidRPr="000855C2" w:rsidRDefault="004C23D5" w:rsidP="00834E74">
      <w:pPr>
        <w:spacing w:after="120"/>
        <w:jc w:val="both"/>
        <w:rPr>
          <w:szCs w:val="26"/>
        </w:rPr>
      </w:pPr>
    </w:p>
    <w:p w14:paraId="005C8AFD" w14:textId="77777777" w:rsidR="004C23D5" w:rsidRPr="000855C2" w:rsidRDefault="004C23D5" w:rsidP="00834E74">
      <w:pPr>
        <w:spacing w:after="120"/>
        <w:jc w:val="both"/>
        <w:rPr>
          <w:szCs w:val="26"/>
        </w:rPr>
      </w:pPr>
      <w:r w:rsidRPr="000855C2">
        <w:rPr>
          <w:szCs w:val="26"/>
        </w:rPr>
        <w:t xml:space="preserve">Vienlaikus darbaspēka piedāvājuma prognozes nosaka darba tirgus vispārēja tiekšanās uz līdzsvaru un piedāvājuma pakāpeniska pielāgošanās pieprasījumam. Izglītības preferences galvenokārt izriet no darba tirgus pieprasījuma un piedāvājuma attiecības, t.i., mācīties gribētāju nākotnes izglītības izvēle būs vērsta uz tām jomām, kuras lēmuma pieņemšanas brīdī būs visperspektīvākās – relatīvi lielākas darba iespējas un augstāka sagaidāmā </w:t>
      </w:r>
      <w:proofErr w:type="spellStart"/>
      <w:r w:rsidRPr="000855C2">
        <w:rPr>
          <w:szCs w:val="26"/>
        </w:rPr>
        <w:t>atdeve</w:t>
      </w:r>
      <w:proofErr w:type="spellEnd"/>
      <w:r w:rsidRPr="000855C2">
        <w:rPr>
          <w:szCs w:val="26"/>
        </w:rPr>
        <w:t xml:space="preserve"> no individuāliem ieguldījumiem izglītībā. Tāpat bāzes scenārijā tiek pieņemts, ka izglītības sistēma un izglītības piedāvājums (budžetu un studiju vietu sadalījums) prognožu pārskata periodā būtiski nemainās. Tas nozīmē, ka darbaspēka piedāvājuma prognozes atspoguļo izglītības politikas izmaiņu neitrālu situāciju darba tirgū.</w:t>
      </w:r>
    </w:p>
    <w:p w14:paraId="794CC0F5" w14:textId="77777777" w:rsidR="004C23D5" w:rsidRPr="000855C2" w:rsidRDefault="004C23D5" w:rsidP="00834E74">
      <w:pPr>
        <w:spacing w:after="120"/>
        <w:jc w:val="both"/>
        <w:rPr>
          <w:szCs w:val="26"/>
        </w:rPr>
      </w:pPr>
      <w:r w:rsidRPr="000855C2">
        <w:rPr>
          <w:szCs w:val="26"/>
        </w:rPr>
        <w:t>Jāatzīmē, ka prognozes balstītas uz ideāla darba tirgus piemēra, t.i., noteiktu līmeņu un jomu profesiju pieprasījums darba tirgū, nosaka atbilstoša līmeņa un jomas izglītības pieprasījumu.</w:t>
      </w:r>
      <w:r w:rsidRPr="000855C2">
        <w:rPr>
          <w:color w:val="FF0000"/>
          <w:szCs w:val="26"/>
        </w:rPr>
        <w:t xml:space="preserve"> </w:t>
      </w:r>
      <w:r w:rsidRPr="000855C2">
        <w:rPr>
          <w:szCs w:val="26"/>
        </w:rPr>
        <w:t>Tas nozīmē, ka paplašinošais un aizvietojošais darbaspēka pieprasījums nākotnē noteiktās profesijās var tikt apmierināts tikai ar profesijai atbilstošas kvalifikācijas (izglītības) darbaspēka piedāvājumu.</w:t>
      </w:r>
    </w:p>
    <w:p w14:paraId="109367ED" w14:textId="77777777" w:rsidR="004C23D5" w:rsidRPr="000855C2" w:rsidRDefault="004C23D5" w:rsidP="00834E74">
      <w:pPr>
        <w:spacing w:after="120"/>
        <w:jc w:val="both"/>
        <w:rPr>
          <w:szCs w:val="20"/>
        </w:rPr>
      </w:pPr>
      <w:r w:rsidRPr="000855C2">
        <w:rPr>
          <w:szCs w:val="20"/>
        </w:rPr>
        <w:t>Darbaspēka piedāvājuma prognozēs tiek ņemtas vērā darbaspēka novecošanās tendences, kā arī darbaspēka profesionālā mobilitāte, ko nosaka prasmju un kompetenču līdzība profesiju šķērsgriezumā.</w:t>
      </w:r>
    </w:p>
    <w:p w14:paraId="5564AB60" w14:textId="77777777" w:rsidR="00834E74" w:rsidRDefault="00834E74" w:rsidP="00834E74">
      <w:pPr>
        <w:spacing w:after="120"/>
        <w:jc w:val="both"/>
        <w:rPr>
          <w:b/>
          <w:szCs w:val="26"/>
        </w:rPr>
      </w:pPr>
    </w:p>
    <w:p w14:paraId="7F83DD89" w14:textId="77777777" w:rsidR="003F161B" w:rsidRDefault="003F161B">
      <w:pPr>
        <w:spacing w:after="0"/>
        <w:rPr>
          <w:rFonts w:ascii="Aptos Narrow" w:hAnsi="Aptos Narrow"/>
          <w:b/>
          <w:color w:val="5F497A" w:themeColor="accent4" w:themeShade="BF"/>
          <w:sz w:val="28"/>
          <w:szCs w:val="28"/>
        </w:rPr>
      </w:pPr>
      <w:r>
        <w:rPr>
          <w:rFonts w:ascii="Aptos Narrow" w:hAnsi="Aptos Narrow"/>
          <w:b/>
          <w:color w:val="5F497A" w:themeColor="accent4" w:themeShade="BF"/>
          <w:sz w:val="28"/>
          <w:szCs w:val="28"/>
        </w:rPr>
        <w:br w:type="page"/>
      </w:r>
    </w:p>
    <w:p w14:paraId="0206A6C6" w14:textId="672E8A7D" w:rsidR="004C23D5" w:rsidRPr="003F161B" w:rsidRDefault="004C23D5" w:rsidP="00834E74">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lastRenderedPageBreak/>
        <w:t>Prognožu klasifikācijas un agregācija</w:t>
      </w:r>
    </w:p>
    <w:p w14:paraId="5438ABD5" w14:textId="77777777" w:rsidR="004C23D5" w:rsidRPr="000855C2" w:rsidRDefault="004C23D5" w:rsidP="00834E74">
      <w:pPr>
        <w:spacing w:after="120"/>
        <w:jc w:val="both"/>
        <w:rPr>
          <w:szCs w:val="26"/>
        </w:rPr>
      </w:pPr>
      <w:r w:rsidRPr="000855C2">
        <w:rPr>
          <w:szCs w:val="26"/>
        </w:rPr>
        <w:t xml:space="preserve">EM darba tirgus prognozes tiek sagatavotas tautsaimniecības nozaru, profesiju grupu un izglītības griezumā. Prognozes balstītas uz Latvijā adaptētām starptautiskām klasifikāciju sistēmām un ir starptautiski salīdzināmas. Tautsaimniecības nozaru prognožu pamatā ir Eiropas Kopienas saimniecisko darbību statistiskā klasifikācija </w:t>
      </w:r>
      <w:r w:rsidRPr="000855C2">
        <w:rPr>
          <w:i/>
          <w:szCs w:val="26"/>
        </w:rPr>
        <w:t>NACE 2.red.</w:t>
      </w:r>
      <w:r w:rsidRPr="000855C2">
        <w:rPr>
          <w:szCs w:val="26"/>
        </w:rPr>
        <w:t xml:space="preserve"> Tautsaimniecības nozares tiek </w:t>
      </w:r>
      <w:proofErr w:type="spellStart"/>
      <w:r w:rsidRPr="000855C2">
        <w:rPr>
          <w:szCs w:val="26"/>
        </w:rPr>
        <w:t>agregētas</w:t>
      </w:r>
      <w:proofErr w:type="spellEnd"/>
      <w:r w:rsidRPr="000855C2">
        <w:rPr>
          <w:szCs w:val="26"/>
        </w:rPr>
        <w:t xml:space="preserve"> 8 tautsaimniecības sektoros.</w:t>
      </w:r>
    </w:p>
    <w:p w14:paraId="1D24E32C" w14:textId="77777777" w:rsidR="004C23D5" w:rsidRPr="000855C2" w:rsidRDefault="004C23D5" w:rsidP="00834E74">
      <w:pPr>
        <w:spacing w:after="120"/>
        <w:jc w:val="both"/>
        <w:rPr>
          <w:szCs w:val="26"/>
        </w:rPr>
      </w:pPr>
      <w:r w:rsidRPr="000855C2">
        <w:rPr>
          <w:szCs w:val="26"/>
        </w:rPr>
        <w:t xml:space="preserve">Profesiju prognožu agregācija balstīta uz Latvijas profesiju klasifikāciju, kas veidota, piemērojot Starptautisko standartizēto profesiju klasifikāciju (ISCO-08). Darbaspēka pieprasījuma un piedāvājuma prognozes tiek sagatavotas 125 profesiju klasifikatora profesiju mazo grupu griezumā, kas tiek apkopotas 41 profesiju apakšgrupa, 10 profesiju </w:t>
      </w:r>
      <w:proofErr w:type="spellStart"/>
      <w:r w:rsidRPr="000855C2">
        <w:rPr>
          <w:szCs w:val="26"/>
        </w:rPr>
        <w:t>pamatgrupās</w:t>
      </w:r>
      <w:proofErr w:type="spellEnd"/>
      <w:r w:rsidRPr="000855C2">
        <w:rPr>
          <w:szCs w:val="26"/>
        </w:rPr>
        <w:t>, kā arī trijos profesiju kvalifikācijas līmeņos.</w:t>
      </w:r>
    </w:p>
    <w:p w14:paraId="2B2BE2D5" w14:textId="77777777" w:rsidR="004C23D5" w:rsidRPr="000855C2" w:rsidRDefault="004C23D5" w:rsidP="00834E74">
      <w:pPr>
        <w:spacing w:after="120"/>
        <w:jc w:val="right"/>
        <w:rPr>
          <w:color w:val="000000"/>
          <w:szCs w:val="26"/>
        </w:rPr>
      </w:pPr>
      <w:r w:rsidRPr="000855C2">
        <w:rPr>
          <w:color w:val="000000"/>
          <w:szCs w:val="26"/>
        </w:rPr>
        <w:t>3.2. attēls</w:t>
      </w:r>
    </w:p>
    <w:p w14:paraId="4DA9C2AB" w14:textId="77777777" w:rsidR="004C23D5" w:rsidRDefault="004C23D5" w:rsidP="004C23D5">
      <w:pPr>
        <w:spacing w:after="120"/>
        <w:jc w:val="center"/>
        <w:rPr>
          <w:rFonts w:ascii="Segoe UI Light" w:hAnsi="Segoe UI Light"/>
          <w:b/>
          <w:sz w:val="18"/>
        </w:rPr>
      </w:pPr>
      <w:r w:rsidRPr="000855C2">
        <w:rPr>
          <w:rFonts w:ascii="Segoe UI Light" w:hAnsi="Segoe UI Light"/>
          <w:b/>
          <w:sz w:val="18"/>
        </w:rPr>
        <w:t>Darba tirgus prognožu klasifikācijas un agregācijas sistēma</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059"/>
        <w:gridCol w:w="3658"/>
      </w:tblGrid>
      <w:tr w:rsidR="004C23D5" w:rsidRPr="000855C2" w14:paraId="026D694D" w14:textId="77777777">
        <w:trPr>
          <w:trHeight w:val="1302"/>
          <w:jc w:val="center"/>
        </w:trPr>
        <w:tc>
          <w:tcPr>
            <w:tcW w:w="2268" w:type="dxa"/>
            <w:shd w:val="clear" w:color="auto" w:fill="CCC0D9"/>
            <w:vAlign w:val="center"/>
          </w:tcPr>
          <w:p w14:paraId="049E0A4B" w14:textId="77777777" w:rsidR="004C23D5" w:rsidRPr="000855C2" w:rsidRDefault="004C23D5" w:rsidP="00EE120B">
            <w:pPr>
              <w:spacing w:after="0"/>
              <w:jc w:val="center"/>
              <w:rPr>
                <w:rFonts w:ascii="Segoe UI Light" w:hAnsi="Segoe UI Light"/>
                <w:b/>
                <w:bCs/>
                <w:sz w:val="16"/>
                <w:szCs w:val="16"/>
              </w:rPr>
            </w:pPr>
            <w:r w:rsidRPr="000855C2">
              <w:rPr>
                <w:rFonts w:ascii="Segoe UI Light" w:hAnsi="Segoe UI Light"/>
                <w:b/>
                <w:bCs/>
                <w:sz w:val="16"/>
                <w:szCs w:val="16"/>
              </w:rPr>
              <w:t xml:space="preserve">Profesiju klasifikators </w:t>
            </w:r>
            <w:r w:rsidRPr="000855C2">
              <w:rPr>
                <w:rFonts w:ascii="Segoe UI Light" w:hAnsi="Segoe UI Light"/>
                <w:b/>
                <w:bCs/>
                <w:sz w:val="16"/>
                <w:szCs w:val="16"/>
              </w:rPr>
              <w:br/>
              <w:t>(ISCO08)</w:t>
            </w:r>
          </w:p>
        </w:tc>
        <w:tc>
          <w:tcPr>
            <w:tcW w:w="1059" w:type="dxa"/>
            <w:vAlign w:val="center"/>
          </w:tcPr>
          <w:p w14:paraId="3DFD8F80" w14:textId="77777777" w:rsidR="004C23D5" w:rsidRPr="000855C2" w:rsidRDefault="004C23D5">
            <w:pPr>
              <w:jc w:val="center"/>
              <w:rPr>
                <w:rFonts w:ascii="Segoe UI Light" w:hAnsi="Segoe UI Light"/>
                <w:sz w:val="16"/>
                <w:szCs w:val="16"/>
              </w:rPr>
            </w:pPr>
            <w:r>
              <w:rPr>
                <w:noProof/>
              </w:rPr>
              <mc:AlternateContent>
                <mc:Choice Requires="wps">
                  <w:drawing>
                    <wp:inline distT="0" distB="0" distL="0" distR="0" wp14:anchorId="02A8B4EB" wp14:editId="1D314E7A">
                      <wp:extent cx="635" cy="288290"/>
                      <wp:effectExtent l="152400" t="0" r="94615" b="0"/>
                      <wp:docPr id="1389" name="Straight Arrow Connector 1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635" cy="288290"/>
                              </a:xfrm>
                              <a:prstGeom prst="straightConnector1">
                                <a:avLst/>
                              </a:prstGeom>
                              <a:noFill/>
                              <a:ln w="50800">
                                <a:solidFill>
                                  <a:srgbClr val="8064A2">
                                    <a:lumMod val="75000"/>
                                  </a:srgbClr>
                                </a:solidFill>
                                <a:round/>
                                <a:headEnd type="none" w="med" len="sm"/>
                                <a:tailEnd type="triangle" w="med" len="sm"/>
                              </a:ln>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15092FC" id="Straight Arrow Connector 1389" o:spid="_x0000_s1026" type="#_x0000_t32" style="width:.05pt;height:22.7pt;rotation:90;flip:x 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" strokecolor="#604a7b" strokeweight="4pt">
                      <v:stroke startarrowlength="short" endarrow="block" endarrowlength="short"/>
                      <w10:anchorlock/>
                    </v:shape>
                  </w:pict>
                </mc:Fallback>
              </mc:AlternateContent>
            </w:r>
          </w:p>
        </w:tc>
        <w:tc>
          <w:tcPr>
            <w:tcW w:w="3658" w:type="dxa"/>
            <w:shd w:val="clear" w:color="auto" w:fill="DDD9C3" w:themeFill="background2" w:themeFillShade="E6"/>
            <w:vAlign w:val="center"/>
          </w:tcPr>
          <w:p w14:paraId="4376FA71" w14:textId="77777777" w:rsidR="004C23D5" w:rsidRPr="000855C2" w:rsidRDefault="004C23D5" w:rsidP="00EE120B">
            <w:pPr>
              <w:spacing w:before="60" w:after="60"/>
              <w:jc w:val="center"/>
              <w:rPr>
                <w:rFonts w:ascii="Segoe UI Light" w:hAnsi="Segoe UI Light"/>
                <w:b/>
                <w:bCs/>
                <w:sz w:val="16"/>
                <w:szCs w:val="16"/>
              </w:rPr>
            </w:pPr>
            <w:r w:rsidRPr="000855C2">
              <w:rPr>
                <w:rFonts w:ascii="Segoe UI Light" w:hAnsi="Segoe UI Light"/>
                <w:b/>
                <w:bCs/>
                <w:sz w:val="16"/>
                <w:szCs w:val="16"/>
              </w:rPr>
              <w:t>125 profesiju mazās grupas</w:t>
            </w:r>
          </w:p>
          <w:p w14:paraId="46728BD4" w14:textId="77777777" w:rsidR="004C23D5" w:rsidRPr="000855C2" w:rsidRDefault="004C23D5" w:rsidP="00EE120B">
            <w:pPr>
              <w:spacing w:before="60" w:after="60"/>
              <w:jc w:val="center"/>
              <w:rPr>
                <w:rFonts w:ascii="Segoe UI Light" w:hAnsi="Segoe UI Light"/>
                <w:sz w:val="16"/>
                <w:szCs w:val="16"/>
              </w:rPr>
            </w:pPr>
            <w:r w:rsidRPr="000855C2">
              <w:rPr>
                <w:rFonts w:ascii="Segoe UI Light" w:hAnsi="Segoe UI Light"/>
                <w:sz w:val="16"/>
                <w:szCs w:val="16"/>
              </w:rPr>
              <w:t>41 profesiju apakšgrupa</w:t>
            </w:r>
          </w:p>
          <w:p w14:paraId="336B287F" w14:textId="77777777" w:rsidR="004C23D5" w:rsidRPr="000855C2" w:rsidRDefault="004C23D5" w:rsidP="00EE120B">
            <w:pPr>
              <w:spacing w:before="60" w:after="60"/>
              <w:jc w:val="center"/>
              <w:rPr>
                <w:rFonts w:ascii="Segoe UI Light" w:hAnsi="Segoe UI Light"/>
                <w:sz w:val="16"/>
                <w:szCs w:val="16"/>
              </w:rPr>
            </w:pPr>
            <w:r w:rsidRPr="000855C2">
              <w:rPr>
                <w:rFonts w:ascii="Segoe UI Light" w:hAnsi="Segoe UI Light"/>
                <w:sz w:val="16"/>
                <w:szCs w:val="16"/>
              </w:rPr>
              <w:t>10 profesiju pamatgrupas</w:t>
            </w:r>
          </w:p>
          <w:p w14:paraId="30FD59DE" w14:textId="77777777" w:rsidR="004C23D5" w:rsidRPr="000855C2" w:rsidRDefault="004C23D5" w:rsidP="00EE120B">
            <w:pPr>
              <w:spacing w:before="60" w:after="60"/>
              <w:jc w:val="center"/>
              <w:rPr>
                <w:rFonts w:ascii="Segoe UI Light" w:hAnsi="Segoe UI Light"/>
                <w:sz w:val="16"/>
                <w:szCs w:val="16"/>
              </w:rPr>
            </w:pPr>
            <w:r w:rsidRPr="000855C2">
              <w:rPr>
                <w:rFonts w:ascii="Segoe UI Light" w:hAnsi="Segoe UI Light"/>
                <w:sz w:val="16"/>
                <w:szCs w:val="16"/>
              </w:rPr>
              <w:t xml:space="preserve">3 profesiju grupu kvalifikācijas līmeņi </w:t>
            </w:r>
          </w:p>
        </w:tc>
      </w:tr>
      <w:tr w:rsidR="004C23D5" w:rsidRPr="000855C2" w14:paraId="0946F0DE" w14:textId="77777777">
        <w:trPr>
          <w:trHeight w:val="680"/>
          <w:jc w:val="center"/>
        </w:trPr>
        <w:tc>
          <w:tcPr>
            <w:tcW w:w="2268" w:type="dxa"/>
            <w:shd w:val="clear" w:color="auto" w:fill="auto"/>
            <w:vAlign w:val="center"/>
          </w:tcPr>
          <w:p w14:paraId="3A6D65AC" w14:textId="77777777" w:rsidR="004C23D5" w:rsidRPr="000855C2" w:rsidRDefault="004C23D5" w:rsidP="00097A08">
            <w:pPr>
              <w:spacing w:before="120" w:after="120"/>
              <w:jc w:val="center"/>
              <w:rPr>
                <w:rFonts w:ascii="Segoe UI Light" w:hAnsi="Segoe UI Light"/>
                <w:sz w:val="16"/>
                <w:szCs w:val="16"/>
              </w:rPr>
            </w:pPr>
            <w:r>
              <w:rPr>
                <w:noProof/>
              </w:rPr>
              <mc:AlternateContent>
                <mc:Choice Requires="wps">
                  <w:drawing>
                    <wp:inline distT="0" distB="0" distL="0" distR="0" wp14:anchorId="079C4D28" wp14:editId="1248AFCE">
                      <wp:extent cx="635" cy="288290"/>
                      <wp:effectExtent l="114300" t="38100" r="56515" b="35560"/>
                      <wp:docPr id="1390" name="Straight Arrow Connector 1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288290"/>
                              </a:xfrm>
                              <a:prstGeom prst="straightConnector1">
                                <a:avLst/>
                              </a:prstGeom>
                              <a:noFill/>
                              <a:ln w="50800">
                                <a:solidFill>
                                  <a:srgbClr val="8064A2">
                                    <a:lumMod val="75000"/>
                                  </a:srgbClr>
                                </a:solidFill>
                                <a:round/>
                                <a:headEnd type="triangle" w="med" len="sm"/>
                                <a:tailEnd type="triangle" w="med" len="sm"/>
                              </a:ln>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1F124C8" id="Straight Arrow Connector 1390" o:spid="_x0000_s1026" type="#_x0000_t32" style="width:.05pt;height:22.7pt;flip:x 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" strokecolor="#604a7b" strokeweight="4pt">
                      <v:stroke startarrow="block" startarrowlength="short" endarrow="block" endarrowlength="short"/>
                      <w10:anchorlock/>
                    </v:shape>
                  </w:pict>
                </mc:Fallback>
              </mc:AlternateContent>
            </w:r>
          </w:p>
        </w:tc>
        <w:tc>
          <w:tcPr>
            <w:tcW w:w="1059" w:type="dxa"/>
            <w:shd w:val="clear" w:color="auto" w:fill="auto"/>
            <w:vAlign w:val="center"/>
          </w:tcPr>
          <w:p w14:paraId="11E241E5" w14:textId="77777777" w:rsidR="004C23D5" w:rsidRPr="000855C2" w:rsidRDefault="004C23D5">
            <w:pPr>
              <w:jc w:val="center"/>
              <w:rPr>
                <w:rFonts w:ascii="Segoe UI Light" w:hAnsi="Segoe UI Light"/>
                <w:sz w:val="16"/>
                <w:szCs w:val="16"/>
              </w:rPr>
            </w:pPr>
          </w:p>
        </w:tc>
        <w:tc>
          <w:tcPr>
            <w:tcW w:w="3658" w:type="dxa"/>
            <w:shd w:val="clear" w:color="auto" w:fill="auto"/>
            <w:vAlign w:val="center"/>
          </w:tcPr>
          <w:p w14:paraId="3006A078" w14:textId="77777777" w:rsidR="004C23D5" w:rsidRPr="000855C2" w:rsidRDefault="004C23D5" w:rsidP="00097A08">
            <w:pPr>
              <w:spacing w:before="120" w:after="120"/>
              <w:jc w:val="center"/>
              <w:rPr>
                <w:rFonts w:ascii="Segoe UI Light" w:hAnsi="Segoe UI Light"/>
                <w:sz w:val="16"/>
                <w:szCs w:val="16"/>
              </w:rPr>
            </w:pPr>
            <w:r>
              <w:rPr>
                <w:noProof/>
              </w:rPr>
              <mc:AlternateContent>
                <mc:Choice Requires="wps">
                  <w:drawing>
                    <wp:inline distT="0" distB="0" distL="0" distR="0" wp14:anchorId="098D3520" wp14:editId="093BC473">
                      <wp:extent cx="635" cy="288290"/>
                      <wp:effectExtent l="114300" t="0" r="94615" b="54610"/>
                      <wp:docPr id="1392" name="Straight Arrow Connector 1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88290"/>
                              </a:xfrm>
                              <a:prstGeom prst="straightConnector1">
                                <a:avLst/>
                              </a:prstGeom>
                              <a:noFill/>
                              <a:ln w="50800">
                                <a:solidFill>
                                  <a:schemeClr val="bg2">
                                    <a:lumMod val="50000"/>
                                  </a:schemeClr>
                                </a:solidFill>
                                <a:round/>
                                <a:headEnd type="none" w="med" len="sm"/>
                                <a:tailEnd type="triangle" w="med" len="sm"/>
                              </a:ln>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A8314F5" id="Straight Arrow Connector 1392" o:spid="_x0000_s1026" type="#_x0000_t32" style="width:.05pt;height:22.7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" strokecolor="#938953 [1614]" strokeweight="4pt">
                      <v:stroke startarrowlength="short" endarrow="block" endarrowlength="short"/>
                      <w10:anchorlock/>
                    </v:shape>
                  </w:pict>
                </mc:Fallback>
              </mc:AlternateContent>
            </w:r>
          </w:p>
        </w:tc>
      </w:tr>
      <w:tr w:rsidR="004C23D5" w:rsidRPr="000855C2" w14:paraId="5217CD9D" w14:textId="77777777">
        <w:trPr>
          <w:trHeight w:val="850"/>
          <w:jc w:val="center"/>
        </w:trPr>
        <w:tc>
          <w:tcPr>
            <w:tcW w:w="2268" w:type="dxa"/>
            <w:shd w:val="clear" w:color="auto" w:fill="CCC0D9"/>
            <w:vAlign w:val="center"/>
          </w:tcPr>
          <w:p w14:paraId="01931CE4" w14:textId="77777777" w:rsidR="004C23D5" w:rsidRPr="000855C2" w:rsidRDefault="004C23D5" w:rsidP="00EE120B">
            <w:pPr>
              <w:spacing w:after="0"/>
              <w:jc w:val="center"/>
              <w:rPr>
                <w:rFonts w:ascii="Segoe UI Light" w:hAnsi="Segoe UI Light"/>
                <w:b/>
                <w:bCs/>
                <w:sz w:val="16"/>
                <w:szCs w:val="16"/>
              </w:rPr>
            </w:pPr>
            <w:r w:rsidRPr="000855C2">
              <w:rPr>
                <w:rFonts w:ascii="Segoe UI Light" w:hAnsi="Segoe UI Light"/>
                <w:b/>
                <w:bCs/>
                <w:sz w:val="16"/>
                <w:szCs w:val="16"/>
              </w:rPr>
              <w:t xml:space="preserve">Profesiju un izglītības </w:t>
            </w:r>
            <w:r w:rsidRPr="000855C2">
              <w:rPr>
                <w:rFonts w:ascii="Segoe UI Light" w:hAnsi="Segoe UI Light"/>
                <w:b/>
                <w:bCs/>
                <w:sz w:val="16"/>
                <w:szCs w:val="16"/>
              </w:rPr>
              <w:br/>
              <w:t>atbilstības tabulas</w:t>
            </w:r>
          </w:p>
        </w:tc>
        <w:tc>
          <w:tcPr>
            <w:tcW w:w="1059" w:type="dxa"/>
            <w:vAlign w:val="center"/>
          </w:tcPr>
          <w:p w14:paraId="03C7F8B3" w14:textId="77777777" w:rsidR="004C23D5" w:rsidRPr="000855C2" w:rsidRDefault="004C23D5">
            <w:pPr>
              <w:jc w:val="center"/>
              <w:rPr>
                <w:rFonts w:ascii="Segoe UI Light" w:hAnsi="Segoe UI Light"/>
                <w:sz w:val="16"/>
                <w:szCs w:val="16"/>
              </w:rPr>
            </w:pPr>
          </w:p>
        </w:tc>
        <w:tc>
          <w:tcPr>
            <w:tcW w:w="3658" w:type="dxa"/>
            <w:shd w:val="clear" w:color="auto" w:fill="DDD9C3" w:themeFill="background2" w:themeFillShade="E6"/>
            <w:vAlign w:val="center"/>
          </w:tcPr>
          <w:p w14:paraId="299CA267" w14:textId="77777777" w:rsidR="004C23D5" w:rsidRPr="000855C2" w:rsidRDefault="004C23D5" w:rsidP="00EE120B">
            <w:pPr>
              <w:spacing w:before="60" w:after="60"/>
              <w:jc w:val="center"/>
              <w:rPr>
                <w:rFonts w:ascii="Segoe UI Light" w:hAnsi="Segoe UI Light"/>
                <w:b/>
                <w:bCs/>
                <w:sz w:val="16"/>
                <w:szCs w:val="16"/>
              </w:rPr>
            </w:pPr>
            <w:r w:rsidRPr="000855C2">
              <w:rPr>
                <w:rFonts w:ascii="Segoe UI Light" w:hAnsi="Segoe UI Light"/>
                <w:b/>
                <w:bCs/>
                <w:sz w:val="16"/>
                <w:szCs w:val="16"/>
              </w:rPr>
              <w:t>15 tautsaimniecības nozares</w:t>
            </w:r>
          </w:p>
          <w:p w14:paraId="790F114E" w14:textId="77777777" w:rsidR="004C23D5" w:rsidRPr="000855C2" w:rsidRDefault="004C23D5" w:rsidP="00EE120B">
            <w:pPr>
              <w:spacing w:before="60" w:after="60"/>
              <w:jc w:val="center"/>
              <w:rPr>
                <w:rFonts w:ascii="Segoe UI Light" w:hAnsi="Segoe UI Light"/>
                <w:sz w:val="16"/>
                <w:szCs w:val="16"/>
              </w:rPr>
            </w:pPr>
            <w:r w:rsidRPr="000855C2">
              <w:rPr>
                <w:rFonts w:ascii="Segoe UI Light" w:hAnsi="Segoe UI Light"/>
                <w:sz w:val="16"/>
                <w:szCs w:val="16"/>
              </w:rPr>
              <w:t>8 tautsaimniecības sektori</w:t>
            </w:r>
          </w:p>
        </w:tc>
      </w:tr>
      <w:tr w:rsidR="004C23D5" w:rsidRPr="000855C2" w14:paraId="6AA264C1" w14:textId="77777777">
        <w:trPr>
          <w:trHeight w:val="680"/>
          <w:jc w:val="center"/>
        </w:trPr>
        <w:tc>
          <w:tcPr>
            <w:tcW w:w="2268" w:type="dxa"/>
            <w:shd w:val="clear" w:color="auto" w:fill="auto"/>
            <w:vAlign w:val="center"/>
          </w:tcPr>
          <w:p w14:paraId="7637F465" w14:textId="77777777" w:rsidR="004C23D5" w:rsidRPr="000855C2" w:rsidRDefault="004C23D5" w:rsidP="00097A08">
            <w:pPr>
              <w:spacing w:before="120" w:after="120"/>
              <w:jc w:val="center"/>
              <w:rPr>
                <w:rFonts w:ascii="Segoe UI Light" w:hAnsi="Segoe UI Light"/>
                <w:sz w:val="16"/>
                <w:szCs w:val="16"/>
              </w:rPr>
            </w:pPr>
            <w:r>
              <w:rPr>
                <w:noProof/>
              </w:rPr>
              <mc:AlternateContent>
                <mc:Choice Requires="wps">
                  <w:drawing>
                    <wp:inline distT="0" distB="0" distL="0" distR="0" wp14:anchorId="54EC2F9E" wp14:editId="03EB90F3">
                      <wp:extent cx="635" cy="288290"/>
                      <wp:effectExtent l="114300" t="38100" r="56515" b="35560"/>
                      <wp:docPr id="1393" name="Straight Arrow Connector 1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288290"/>
                              </a:xfrm>
                              <a:prstGeom prst="straightConnector1">
                                <a:avLst/>
                              </a:prstGeom>
                              <a:noFill/>
                              <a:ln w="50800">
                                <a:solidFill>
                                  <a:srgbClr val="8064A2">
                                    <a:lumMod val="75000"/>
                                  </a:srgbClr>
                                </a:solidFill>
                                <a:round/>
                                <a:headEnd type="triangle" w="med" len="sm"/>
                                <a:tailEnd type="triangle" w="med" len="sm"/>
                              </a:ln>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8DD8258" id="Straight Arrow Connector 1393" o:spid="_x0000_s1026" type="#_x0000_t32" style="width:.05pt;height:22.7pt;flip:x 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" strokecolor="#604a7b" strokeweight="4pt">
                      <v:stroke startarrow="block" startarrowlength="short" endarrow="block" endarrowlength="short"/>
                      <w10:anchorlock/>
                    </v:shape>
                  </w:pict>
                </mc:Fallback>
              </mc:AlternateContent>
            </w:r>
          </w:p>
        </w:tc>
        <w:tc>
          <w:tcPr>
            <w:tcW w:w="1059" w:type="dxa"/>
            <w:shd w:val="clear" w:color="auto" w:fill="auto"/>
            <w:vAlign w:val="center"/>
          </w:tcPr>
          <w:p w14:paraId="5BA7CA44" w14:textId="77777777" w:rsidR="004C23D5" w:rsidRPr="000855C2" w:rsidRDefault="004C23D5">
            <w:pPr>
              <w:jc w:val="center"/>
              <w:rPr>
                <w:rFonts w:ascii="Segoe UI Light" w:hAnsi="Segoe UI Light"/>
                <w:sz w:val="16"/>
                <w:szCs w:val="16"/>
              </w:rPr>
            </w:pPr>
          </w:p>
        </w:tc>
        <w:tc>
          <w:tcPr>
            <w:tcW w:w="3658" w:type="dxa"/>
            <w:shd w:val="clear" w:color="auto" w:fill="auto"/>
            <w:vAlign w:val="center"/>
          </w:tcPr>
          <w:p w14:paraId="4F076B0B" w14:textId="77777777" w:rsidR="004C23D5" w:rsidRPr="000855C2" w:rsidRDefault="004C23D5" w:rsidP="00097A08">
            <w:pPr>
              <w:spacing w:before="120" w:after="120"/>
              <w:jc w:val="center"/>
              <w:rPr>
                <w:rFonts w:ascii="Segoe UI Light" w:hAnsi="Segoe UI Light"/>
                <w:sz w:val="16"/>
                <w:szCs w:val="16"/>
              </w:rPr>
            </w:pPr>
            <w:r>
              <w:rPr>
                <w:noProof/>
              </w:rPr>
              <mc:AlternateContent>
                <mc:Choice Requires="wps">
                  <w:drawing>
                    <wp:inline distT="0" distB="0" distL="0" distR="0" wp14:anchorId="7F2477DD" wp14:editId="35176554">
                      <wp:extent cx="635" cy="288290"/>
                      <wp:effectExtent l="114300" t="38100" r="94615" b="16510"/>
                      <wp:docPr id="1394" name="Straight Arrow Connector 1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288290"/>
                              </a:xfrm>
                              <a:prstGeom prst="straightConnector1">
                                <a:avLst/>
                              </a:prstGeom>
                              <a:noFill/>
                              <a:ln w="50800">
                                <a:solidFill>
                                  <a:schemeClr val="bg2">
                                    <a:lumMod val="50000"/>
                                  </a:schemeClr>
                                </a:solidFill>
                                <a:round/>
                                <a:headEnd type="none" w="med" len="sm"/>
                                <a:tailEnd type="triangle" w="med" len="sm"/>
                              </a:ln>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122ECFF" id="Straight Arrow Connector 1394" o:spid="_x0000_s1026" type="#_x0000_t32" style="width:.05pt;height:22.7pt;flip:x 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" strokecolor="#938953 [1614]" strokeweight="4pt">
                      <v:stroke startarrowlength="short" endarrow="block" endarrowlength="short"/>
                      <w10:anchorlock/>
                    </v:shape>
                  </w:pict>
                </mc:Fallback>
              </mc:AlternateContent>
            </w:r>
          </w:p>
        </w:tc>
      </w:tr>
      <w:tr w:rsidR="004C23D5" w:rsidRPr="000855C2" w14:paraId="6BE92FD1" w14:textId="77777777">
        <w:trPr>
          <w:trHeight w:val="1196"/>
          <w:jc w:val="center"/>
        </w:trPr>
        <w:tc>
          <w:tcPr>
            <w:tcW w:w="2268" w:type="dxa"/>
            <w:shd w:val="clear" w:color="auto" w:fill="CCC0D9"/>
            <w:vAlign w:val="center"/>
          </w:tcPr>
          <w:p w14:paraId="73001F32" w14:textId="77777777" w:rsidR="004C23D5" w:rsidRPr="000855C2" w:rsidRDefault="004C23D5" w:rsidP="00EE120B">
            <w:pPr>
              <w:spacing w:after="0"/>
              <w:jc w:val="center"/>
              <w:rPr>
                <w:rFonts w:ascii="Segoe UI Light" w:hAnsi="Segoe UI Light"/>
                <w:b/>
                <w:bCs/>
                <w:sz w:val="16"/>
                <w:szCs w:val="16"/>
              </w:rPr>
            </w:pPr>
            <w:r w:rsidRPr="000855C2">
              <w:rPr>
                <w:rFonts w:ascii="Segoe UI Light" w:hAnsi="Segoe UI Light"/>
                <w:b/>
                <w:bCs/>
                <w:sz w:val="16"/>
                <w:szCs w:val="16"/>
              </w:rPr>
              <w:t xml:space="preserve">Izglītības klasifikators </w:t>
            </w:r>
            <w:r w:rsidRPr="000855C2">
              <w:rPr>
                <w:rFonts w:ascii="Segoe UI Light" w:hAnsi="Segoe UI Light"/>
                <w:b/>
                <w:bCs/>
                <w:sz w:val="16"/>
                <w:szCs w:val="16"/>
              </w:rPr>
              <w:br/>
              <w:t>(ISCED2011)</w:t>
            </w:r>
          </w:p>
        </w:tc>
        <w:tc>
          <w:tcPr>
            <w:tcW w:w="1059" w:type="dxa"/>
            <w:vAlign w:val="center"/>
          </w:tcPr>
          <w:p w14:paraId="66B9AE42" w14:textId="77777777" w:rsidR="004C23D5" w:rsidRPr="000855C2" w:rsidRDefault="004C23D5">
            <w:pPr>
              <w:jc w:val="center"/>
              <w:rPr>
                <w:rFonts w:ascii="Segoe UI Light" w:hAnsi="Segoe UI Light"/>
                <w:sz w:val="16"/>
                <w:szCs w:val="16"/>
              </w:rPr>
            </w:pPr>
            <w:r>
              <w:rPr>
                <w:noProof/>
              </w:rPr>
              <mc:AlternateContent>
                <mc:Choice Requires="wps">
                  <w:drawing>
                    <wp:inline distT="0" distB="0" distL="0" distR="0" wp14:anchorId="5D970DB9" wp14:editId="06F6539E">
                      <wp:extent cx="635" cy="288290"/>
                      <wp:effectExtent l="152400" t="0" r="94615" b="0"/>
                      <wp:docPr id="1395" name="Straight Arrow Connector 1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635" cy="288290"/>
                              </a:xfrm>
                              <a:prstGeom prst="straightConnector1">
                                <a:avLst/>
                              </a:prstGeom>
                              <a:noFill/>
                              <a:ln w="50800">
                                <a:solidFill>
                                  <a:srgbClr val="8064A2">
                                    <a:lumMod val="75000"/>
                                  </a:srgbClr>
                                </a:solidFill>
                                <a:round/>
                                <a:headEnd type="none" w="med" len="sm"/>
                                <a:tailEnd type="triangle" w="med" len="sm"/>
                              </a:ln>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BBBF0EF" id="Straight Arrow Connector 1395" o:spid="_x0000_s1026" type="#_x0000_t32" style="width:.05pt;height:22.7pt;rotation:90;flip:x 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" strokecolor="#604a7b" strokeweight="4pt">
                      <v:stroke startarrowlength="short" endarrow="block" endarrowlength="short"/>
                      <w10:anchorlock/>
                    </v:shape>
                  </w:pict>
                </mc:Fallback>
              </mc:AlternateContent>
            </w:r>
          </w:p>
        </w:tc>
        <w:tc>
          <w:tcPr>
            <w:tcW w:w="3658" w:type="dxa"/>
            <w:shd w:val="clear" w:color="auto" w:fill="DDD9C3" w:themeFill="background2" w:themeFillShade="E6"/>
            <w:vAlign w:val="center"/>
          </w:tcPr>
          <w:p w14:paraId="7C5F05CC" w14:textId="77777777" w:rsidR="004C23D5" w:rsidRPr="000855C2" w:rsidRDefault="004C23D5" w:rsidP="00EE120B">
            <w:pPr>
              <w:spacing w:before="60" w:after="60"/>
              <w:jc w:val="center"/>
              <w:rPr>
                <w:rFonts w:ascii="Segoe UI Light" w:hAnsi="Segoe UI Light"/>
                <w:b/>
                <w:bCs/>
                <w:sz w:val="16"/>
                <w:szCs w:val="16"/>
              </w:rPr>
            </w:pPr>
            <w:r w:rsidRPr="000855C2">
              <w:rPr>
                <w:rFonts w:ascii="Segoe UI Light" w:hAnsi="Segoe UI Light"/>
                <w:b/>
                <w:bCs/>
                <w:sz w:val="16"/>
                <w:szCs w:val="16"/>
              </w:rPr>
              <w:t>3 izglītības līmeņi</w:t>
            </w:r>
          </w:p>
          <w:p w14:paraId="646E4B8F" w14:textId="77777777" w:rsidR="004C23D5" w:rsidRPr="000855C2" w:rsidRDefault="004C23D5" w:rsidP="00EE120B">
            <w:pPr>
              <w:spacing w:before="60" w:after="60"/>
              <w:jc w:val="center"/>
              <w:rPr>
                <w:rFonts w:ascii="Segoe UI Light" w:hAnsi="Segoe UI Light"/>
                <w:b/>
                <w:bCs/>
                <w:sz w:val="16"/>
                <w:szCs w:val="16"/>
              </w:rPr>
            </w:pPr>
            <w:r w:rsidRPr="000855C2">
              <w:rPr>
                <w:rFonts w:ascii="Segoe UI Light" w:hAnsi="Segoe UI Light"/>
                <w:b/>
                <w:bCs/>
                <w:sz w:val="16"/>
                <w:szCs w:val="16"/>
              </w:rPr>
              <w:t>77 izglītības programmu grupas</w:t>
            </w:r>
          </w:p>
          <w:p w14:paraId="76558EE1" w14:textId="77777777" w:rsidR="004C23D5" w:rsidRPr="000855C2" w:rsidRDefault="004C23D5" w:rsidP="00EE120B">
            <w:pPr>
              <w:spacing w:before="60" w:after="60"/>
              <w:jc w:val="center"/>
              <w:rPr>
                <w:rFonts w:ascii="Segoe UI Light" w:hAnsi="Segoe UI Light"/>
                <w:sz w:val="16"/>
                <w:szCs w:val="16"/>
              </w:rPr>
            </w:pPr>
            <w:r w:rsidRPr="000855C2">
              <w:rPr>
                <w:rFonts w:ascii="Segoe UI Light" w:hAnsi="Segoe UI Light"/>
                <w:sz w:val="16"/>
                <w:szCs w:val="16"/>
              </w:rPr>
              <w:t>23 izglītības tematiskās jomas</w:t>
            </w:r>
          </w:p>
          <w:p w14:paraId="4B573716" w14:textId="77777777" w:rsidR="004C23D5" w:rsidRPr="000855C2" w:rsidRDefault="004C23D5" w:rsidP="00EE120B">
            <w:pPr>
              <w:spacing w:before="60" w:after="60"/>
              <w:jc w:val="center"/>
              <w:rPr>
                <w:rFonts w:ascii="Segoe UI Light" w:hAnsi="Segoe UI Light"/>
                <w:sz w:val="16"/>
                <w:szCs w:val="16"/>
              </w:rPr>
            </w:pPr>
            <w:r w:rsidRPr="000855C2">
              <w:rPr>
                <w:rFonts w:ascii="Segoe UI Light" w:hAnsi="Segoe UI Light"/>
                <w:sz w:val="16"/>
                <w:szCs w:val="16"/>
              </w:rPr>
              <w:t>9 izglītības tematiskās grupas</w:t>
            </w:r>
          </w:p>
        </w:tc>
      </w:tr>
    </w:tbl>
    <w:p w14:paraId="6BDC432F" w14:textId="77777777" w:rsidR="004C23D5" w:rsidRPr="00097A08" w:rsidRDefault="004C23D5" w:rsidP="00834E74">
      <w:pPr>
        <w:spacing w:after="120"/>
        <w:jc w:val="both"/>
        <w:rPr>
          <w:szCs w:val="26"/>
        </w:rPr>
      </w:pPr>
    </w:p>
    <w:p w14:paraId="7C0A4F64" w14:textId="77777777" w:rsidR="004C23D5" w:rsidRPr="000855C2" w:rsidRDefault="004C23D5" w:rsidP="00834E74">
      <w:pPr>
        <w:spacing w:after="120"/>
        <w:jc w:val="both"/>
        <w:rPr>
          <w:szCs w:val="26"/>
        </w:rPr>
      </w:pPr>
      <w:r w:rsidRPr="000855C2">
        <w:rPr>
          <w:szCs w:val="26"/>
        </w:rPr>
        <w:t>Profesiju prognozes ir cieši saistītas ar darbaspēka pieprasījuma un piedāvājuma prognozēm sadalījumā pēc iegūtās izglītības. Izglītības prognožu agregācijas pamatā ir Latvijas izglītības klasifikators, kas balstīts uz starptautisko standartizēto izglītības klasifikāciju (ISCED2011). Izglītības pieprasījuma un piedāvājuma prognozes tiek sniegtas trīs izglītības līmeņu (pamata, vidējā un augstākā) un 23 izglītības tematisko jomu dalījumā katrā no izglītības līmeņiem.</w:t>
      </w:r>
    </w:p>
    <w:p w14:paraId="3294B022" w14:textId="36A99897" w:rsidR="004C23D5" w:rsidRPr="000855C2" w:rsidRDefault="004C23D5" w:rsidP="00834E74">
      <w:pPr>
        <w:spacing w:after="120"/>
        <w:jc w:val="both"/>
      </w:pPr>
      <w:r w:rsidRPr="000855C2">
        <w:t>Darba tirgus prognozes profesiju un izglītības griezumā tiek sinhronizētas izmantojot profesiju-izglītības atbilstības matricu, ko 2011.</w:t>
      </w:r>
      <w:r w:rsidR="0080669C">
        <w:t>gad</w:t>
      </w:r>
      <w:r w:rsidRPr="000855C2">
        <w:t xml:space="preserve">ā EM, sadarbībā ar IZM un </w:t>
      </w:r>
      <w:r w:rsidR="00A55DD4">
        <w:t>LM</w:t>
      </w:r>
      <w:r w:rsidRPr="000855C2">
        <w:t>, izveidoja darba tirgus vidēja un ilgtermiņa prognozēšanas vajadzībām. Matricas pamatā ir Latvijas profesiju standarti un Starptautiskās standartizēto profesiju klasifikācijas (ISCO08) ietvars un tajā izmantotie pieņēmumi par profesiju prasmju līmeņiem un tiem atbilstošo izglītību. No 2017. līdz 2019.</w:t>
      </w:r>
      <w:r w:rsidR="0080669C">
        <w:t>gad</w:t>
      </w:r>
      <w:r w:rsidRPr="000855C2">
        <w:t xml:space="preserve">am ESF projekta Nr. 7.1.2.2./16/I/001 „Darba tirgus prognozēšanas sistēmas pilnveide” pētījuma „Darba tirgus apsteidzošo pārkārtojumu sistēmas izveides iespējas un vidēja un ilgtermiņa darba tirgus prognožu sasaiste ar </w:t>
      </w:r>
      <w:proofErr w:type="spellStart"/>
      <w:r w:rsidRPr="000855C2">
        <w:t>rīcībpolitiku</w:t>
      </w:r>
      <w:proofErr w:type="spellEnd"/>
      <w:r w:rsidRPr="000855C2">
        <w:t>” ietvaros, sadarbībā ar SIA „AC Konsultācijas”, ir aktualizēta profesiju-izglītības atbilstības matrica. Profesiju-izglītības atbilstības pieņēmumus EM regulāri pārskata, ņemot vērā gan izmaiņas profesiju standartus, gan izglītības saturā, kā arī konsultējoties ar nozaru ekspertiem.</w:t>
      </w:r>
    </w:p>
    <w:p w14:paraId="0D35C51F" w14:textId="77777777" w:rsidR="004C23D5" w:rsidRPr="000855C2" w:rsidRDefault="004C23D5" w:rsidP="00834E74">
      <w:pPr>
        <w:spacing w:after="120"/>
        <w:rPr>
          <w:b/>
          <w:szCs w:val="26"/>
        </w:rPr>
      </w:pPr>
    </w:p>
    <w:p w14:paraId="49D70C54" w14:textId="77777777" w:rsidR="003F161B" w:rsidRDefault="003F161B">
      <w:pPr>
        <w:spacing w:after="0"/>
        <w:rPr>
          <w:rFonts w:ascii="Aptos Narrow" w:hAnsi="Aptos Narrow"/>
          <w:b/>
          <w:color w:val="5F497A" w:themeColor="accent4" w:themeShade="BF"/>
          <w:sz w:val="28"/>
          <w:szCs w:val="28"/>
        </w:rPr>
      </w:pPr>
      <w:r>
        <w:rPr>
          <w:rFonts w:ascii="Aptos Narrow" w:hAnsi="Aptos Narrow"/>
          <w:b/>
          <w:color w:val="5F497A" w:themeColor="accent4" w:themeShade="BF"/>
          <w:sz w:val="28"/>
          <w:szCs w:val="28"/>
        </w:rPr>
        <w:br w:type="page"/>
      </w:r>
    </w:p>
    <w:p w14:paraId="62D7F5A6" w14:textId="00D6C1D7" w:rsidR="004C23D5" w:rsidRPr="003F161B" w:rsidRDefault="004C23D5" w:rsidP="00834E74">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lastRenderedPageBreak/>
        <w:t>Prognožu izstrādē izmantotā informācija un datu avoti</w:t>
      </w:r>
    </w:p>
    <w:p w14:paraId="11F7D4C6" w14:textId="09947BB6" w:rsidR="004C23D5" w:rsidRPr="000855C2" w:rsidRDefault="004C23D5" w:rsidP="00834E74">
      <w:pPr>
        <w:spacing w:after="120"/>
        <w:jc w:val="both"/>
        <w:rPr>
          <w:szCs w:val="26"/>
        </w:rPr>
      </w:pPr>
      <w:r w:rsidRPr="000855C2">
        <w:rPr>
          <w:szCs w:val="26"/>
        </w:rPr>
        <w:t xml:space="preserve">Darba tirgus prognožu izstrādē izmantoti galvenokārt valsts statistikas programmā iekļautie un regulāri CSP apkopotie dati. Nozīmīgākais informācijas avots ir Darbaspēka </w:t>
      </w:r>
      <w:proofErr w:type="spellStart"/>
      <w:r w:rsidRPr="000855C2">
        <w:rPr>
          <w:szCs w:val="26"/>
        </w:rPr>
        <w:t>izlasveida</w:t>
      </w:r>
      <w:proofErr w:type="spellEnd"/>
      <w:r w:rsidRPr="000855C2">
        <w:rPr>
          <w:szCs w:val="26"/>
        </w:rPr>
        <w:t xml:space="preserve"> </w:t>
      </w:r>
      <w:proofErr w:type="spellStart"/>
      <w:r w:rsidRPr="000855C2">
        <w:rPr>
          <w:szCs w:val="26"/>
        </w:rPr>
        <w:t>apsekojums</w:t>
      </w:r>
      <w:proofErr w:type="spellEnd"/>
      <w:r w:rsidRPr="000855C2">
        <w:rPr>
          <w:szCs w:val="26"/>
        </w:rPr>
        <w:t xml:space="preserve"> (DSA). Uz DSA balstīti galvenie prognožu pieņēmumi par darbaspēka pieprasījuma un piedāvājuma struktūru. 202</w:t>
      </w:r>
      <w:r>
        <w:rPr>
          <w:szCs w:val="26"/>
        </w:rPr>
        <w:t>4</w:t>
      </w:r>
      <w:r w:rsidRPr="000855C2">
        <w:rPr>
          <w:szCs w:val="26"/>
        </w:rPr>
        <w:t>.</w:t>
      </w:r>
      <w:r w:rsidR="0080669C">
        <w:rPr>
          <w:szCs w:val="26"/>
        </w:rPr>
        <w:t>gad</w:t>
      </w:r>
      <w:r w:rsidRPr="000855C2">
        <w:rPr>
          <w:szCs w:val="26"/>
        </w:rPr>
        <w:t>a EM vidēja un ilgtermiņa darba tirgus prognozēs izmantoti 202</w:t>
      </w:r>
      <w:r>
        <w:rPr>
          <w:szCs w:val="26"/>
        </w:rPr>
        <w:t>3</w:t>
      </w:r>
      <w:r w:rsidRPr="000855C2">
        <w:rPr>
          <w:szCs w:val="26"/>
        </w:rPr>
        <w:t>.</w:t>
      </w:r>
      <w:r w:rsidR="0080669C">
        <w:rPr>
          <w:szCs w:val="26"/>
        </w:rPr>
        <w:t>gad</w:t>
      </w:r>
      <w:r w:rsidRPr="000855C2">
        <w:rPr>
          <w:szCs w:val="26"/>
        </w:rPr>
        <w:t xml:space="preserve">a DSA </w:t>
      </w:r>
      <w:proofErr w:type="spellStart"/>
      <w:r w:rsidRPr="000855C2">
        <w:rPr>
          <w:szCs w:val="26"/>
        </w:rPr>
        <w:t>anonimizētie</w:t>
      </w:r>
      <w:proofErr w:type="spellEnd"/>
      <w:r w:rsidRPr="000855C2">
        <w:rPr>
          <w:szCs w:val="26"/>
        </w:rPr>
        <w:t xml:space="preserve"> </w:t>
      </w:r>
      <w:proofErr w:type="spellStart"/>
      <w:r w:rsidRPr="000855C2">
        <w:rPr>
          <w:szCs w:val="26"/>
        </w:rPr>
        <w:t>mikrodati</w:t>
      </w:r>
      <w:proofErr w:type="spellEnd"/>
      <w:r>
        <w:rPr>
          <w:szCs w:val="26"/>
        </w:rPr>
        <w:t xml:space="preserve">. </w:t>
      </w:r>
    </w:p>
    <w:p w14:paraId="6BAA5FE2" w14:textId="55163A88" w:rsidR="004C23D5" w:rsidRPr="000855C2" w:rsidRDefault="004C23D5" w:rsidP="00834E74">
      <w:pPr>
        <w:spacing w:after="120"/>
        <w:jc w:val="both"/>
      </w:pPr>
      <w:r w:rsidRPr="000855C2">
        <w:t>EM demogrāfijas prognozes balstītas uz CSP sniegto informāciju par iedzīvotāju skaitu un sastāvu 202</w:t>
      </w:r>
      <w:r>
        <w:t>3</w:t>
      </w:r>
      <w:r w:rsidRPr="000855C2">
        <w:t>.</w:t>
      </w:r>
      <w:r w:rsidR="0080669C">
        <w:t>gad</w:t>
      </w:r>
      <w:r w:rsidRPr="000855C2">
        <w:t>ā un 202</w:t>
      </w:r>
      <w:r>
        <w:t>4</w:t>
      </w:r>
      <w:r w:rsidRPr="000855C2">
        <w:t>.</w:t>
      </w:r>
      <w:r w:rsidR="0080669C">
        <w:t>gad</w:t>
      </w:r>
      <w:r w:rsidRPr="000855C2">
        <w:t xml:space="preserve">a sākumā, kā arī demogrāfijas tendencēm </w:t>
      </w:r>
      <w:r>
        <w:t>iepriekšējos</w:t>
      </w:r>
      <w:r w:rsidR="001737F4">
        <w:t xml:space="preserve"> </w:t>
      </w:r>
      <w:r w:rsidR="0080669C">
        <w:t>gad</w:t>
      </w:r>
      <w:r>
        <w:t>os</w:t>
      </w:r>
      <w:r w:rsidRPr="000855C2">
        <w:t>. Pieņēmumi par dzimstības un mirstības rādītāju ilgtermiņa tendencēm daļēji balstīti uz ES Statistikas biroja (</w:t>
      </w:r>
      <w:proofErr w:type="spellStart"/>
      <w:r w:rsidRPr="000855C2">
        <w:rPr>
          <w:i/>
          <w:iCs/>
        </w:rPr>
        <w:t>Eurostat</w:t>
      </w:r>
      <w:proofErr w:type="spellEnd"/>
      <w:r w:rsidRPr="000855C2">
        <w:t>) demogrāfijas prognožu EUROPOP20</w:t>
      </w:r>
      <w:r>
        <w:t>23</w:t>
      </w:r>
      <w:r w:rsidRPr="000855C2">
        <w:t xml:space="preserve"> bāzes scenāriju. Iedzīvotāju starptautiskās migrācijas scenāriji ir cieši saistīti ar Latvijas izaugsmes mērķiem un turpmāko situācijas attīstību darba tirgū.</w:t>
      </w:r>
    </w:p>
    <w:p w14:paraId="022D4489" w14:textId="3A673B97" w:rsidR="004C23D5" w:rsidRDefault="004C23D5" w:rsidP="00834E74">
      <w:pPr>
        <w:spacing w:after="120"/>
        <w:jc w:val="both"/>
        <w:rPr>
          <w:szCs w:val="26"/>
        </w:rPr>
      </w:pPr>
      <w:r w:rsidRPr="000855C2">
        <w:rPr>
          <w:szCs w:val="26"/>
        </w:rPr>
        <w:t xml:space="preserve">Izglītības sistēmas struktūras un darba tirgū ienākošā darbaspēka modelēšanā tiek izmantoti izglītības statistikas dati. Izglītības statistikas galvenie avoti ir CSP Pārskats par </w:t>
      </w:r>
      <w:r w:rsidR="00ED3C7A">
        <w:rPr>
          <w:szCs w:val="26"/>
        </w:rPr>
        <w:t>profesionālās</w:t>
      </w:r>
      <w:r w:rsidR="00ED3C7A" w:rsidRPr="000855C2">
        <w:rPr>
          <w:szCs w:val="26"/>
        </w:rPr>
        <w:t xml:space="preserve"> </w:t>
      </w:r>
      <w:r w:rsidRPr="000855C2">
        <w:rPr>
          <w:szCs w:val="26"/>
        </w:rPr>
        <w:t>izglītības iestādēm (prof-1) un Pārskats par augstskolām, koledžām (1-augstskola, koledža), kā arī vispārējās izglītības statistika.</w:t>
      </w:r>
    </w:p>
    <w:p w14:paraId="1D1AB72F" w14:textId="77777777" w:rsidR="00097A08" w:rsidRPr="000855C2" w:rsidRDefault="00097A08" w:rsidP="00834E74">
      <w:pPr>
        <w:spacing w:after="120"/>
        <w:jc w:val="both"/>
        <w:rPr>
          <w:szCs w:val="26"/>
        </w:rPr>
      </w:pPr>
    </w:p>
    <w:p w14:paraId="6995845C" w14:textId="77777777" w:rsidR="005E175A" w:rsidRPr="00B73A48" w:rsidRDefault="005E175A" w:rsidP="00834E74">
      <w:pPr>
        <w:spacing w:after="120"/>
        <w:rPr>
          <w:highlight w:val="yellow"/>
        </w:rPr>
      </w:pPr>
    </w:p>
    <w:p w14:paraId="07F8026D" w14:textId="280F8E86" w:rsidR="00667A1F" w:rsidRPr="00080A71" w:rsidRDefault="00667A1F" w:rsidP="00080A71">
      <w:pPr>
        <w:pStyle w:val="Heading2"/>
      </w:pPr>
      <w:bookmarkStart w:id="56" w:name="_Toc183620101"/>
      <w:r w:rsidRPr="00080A71">
        <w:t xml:space="preserve">3.2. Ekonomikas </w:t>
      </w:r>
      <w:r w:rsidR="003751AF" w:rsidRPr="00080A71">
        <w:t>izaugsmes pieņēmumi un demogrāfijas prognozes</w:t>
      </w:r>
      <w:bookmarkEnd w:id="56"/>
    </w:p>
    <w:p w14:paraId="260BD099" w14:textId="395C6CA1" w:rsidR="00667A1F" w:rsidRPr="00080A71" w:rsidRDefault="00667A1F" w:rsidP="00080A71">
      <w:pPr>
        <w:pStyle w:val="Heading3"/>
      </w:pPr>
      <w:bookmarkStart w:id="57" w:name="_Toc183620102"/>
      <w:bookmarkStart w:id="58" w:name="_Hlk168933164"/>
      <w:r w:rsidRPr="00080A71">
        <w:t>3.2.1. Ekonomikas izaugsmes mērķa scenārijs</w:t>
      </w:r>
      <w:bookmarkEnd w:id="57"/>
    </w:p>
    <w:p w14:paraId="1ACC79C3" w14:textId="77777777" w:rsidR="00EE120B" w:rsidRPr="00F352D9" w:rsidRDefault="00EE120B" w:rsidP="00834E74">
      <w:pPr>
        <w:spacing w:after="120"/>
        <w:jc w:val="both"/>
      </w:pPr>
      <w:bookmarkStart w:id="59" w:name="_Toc517876440"/>
      <w:bookmarkEnd w:id="58"/>
      <w:r w:rsidRPr="00F352D9">
        <w:t xml:space="preserve">EM ir sagatavojusi tautsaimniecības izaugsmes Mērķa scenāriju un tam atbilstošu makroekonomisko prognozi. Lai arī ģeopolitiskā situācija reģionā negatīvi ietekmē ekonomiku, tomēr tautsaimniecības attīstības ilgtermiņa mērķi, kas jau ir noteikti politikas plānošanas dokumentos, kā nepieciešamība palielināt Latvijas preču un pakalpojumu eksportu un produktivitāti, nemainās. Tāpat joprojām aktuālas ir arī ES uzsāktās iniciatīvas kā, piemēram, zaļais kurss un </w:t>
      </w:r>
      <w:proofErr w:type="spellStart"/>
      <w:r w:rsidRPr="00F352D9">
        <w:t>digitalizācija</w:t>
      </w:r>
      <w:proofErr w:type="spellEnd"/>
      <w:r w:rsidRPr="00F352D9">
        <w:t>.</w:t>
      </w:r>
    </w:p>
    <w:p w14:paraId="31680116" w14:textId="24F4F8EC" w:rsidR="00EE120B" w:rsidRDefault="00EE120B" w:rsidP="00834E74">
      <w:pPr>
        <w:spacing w:after="120"/>
        <w:jc w:val="both"/>
      </w:pPr>
      <w:r>
        <w:t>Mērķa s</w:t>
      </w:r>
      <w:r w:rsidRPr="00F352D9">
        <w:t>cenārijs izstrādāts</w:t>
      </w:r>
      <w:r>
        <w:t xml:space="preserve"> atbilstoši EM </w:t>
      </w:r>
      <w:r w:rsidRPr="006E2A5E">
        <w:t>Informatīv</w:t>
      </w:r>
      <w:r>
        <w:t>ajā</w:t>
      </w:r>
      <w:r w:rsidRPr="006E2A5E">
        <w:t xml:space="preserve"> ziņojum</w:t>
      </w:r>
      <w:r>
        <w:t>ā</w:t>
      </w:r>
      <w:r w:rsidRPr="006E2A5E">
        <w:t xml:space="preserve"> par Latvijas ekonomikas attīstību</w:t>
      </w:r>
      <w:r>
        <w:rPr>
          <w:rStyle w:val="FootnoteReference"/>
        </w:rPr>
        <w:footnoteReference w:id="9"/>
      </w:r>
      <w:r>
        <w:t xml:space="preserve"> izvirzītam mērķim–- </w:t>
      </w:r>
      <w:r w:rsidRPr="00917473">
        <w:t xml:space="preserve">līdz 2035.gadam panākt, lai Latvijas IKP apjomi </w:t>
      </w:r>
      <w:r>
        <w:t>dubultotos (</w:t>
      </w:r>
      <w:r w:rsidRPr="00917473">
        <w:t xml:space="preserve">sasniedz 83 mljrd. </w:t>
      </w:r>
      <w:r w:rsidR="00CF7B9C" w:rsidRPr="00CF7B9C">
        <w:rPr>
          <w:rFonts w:cs="Calibri Light"/>
          <w:szCs w:val="20"/>
        </w:rPr>
        <w:t>EUR</w:t>
      </w:r>
      <w:r>
        <w:t xml:space="preserve"> faktiskajās cenās)</w:t>
      </w:r>
      <w:r w:rsidRPr="00917473">
        <w:t xml:space="preserve">, salīdzinājumā ar šodienas situāciju. </w:t>
      </w:r>
      <w:r>
        <w:t>Tāpat</w:t>
      </w:r>
      <w:r w:rsidRPr="00F352D9">
        <w:t xml:space="preserve"> </w:t>
      </w:r>
      <w:r>
        <w:t xml:space="preserve">mērķa scenārijā ņemti vērā esošie </w:t>
      </w:r>
      <w:r w:rsidRPr="00F352D9">
        <w:t>struktūrpolitikas uzstādījumiem, kas noteikti politikas dokumentos – Latvijas ilgtspējīgas attīstības stratēģija „Latvija 2030”</w:t>
      </w:r>
      <w:r w:rsidRPr="00F352D9">
        <w:rPr>
          <w:vertAlign w:val="superscript"/>
        </w:rPr>
        <w:footnoteReference w:id="10"/>
      </w:r>
      <w:r w:rsidRPr="00F352D9">
        <w:t xml:space="preserve">, Latvijas Nacionālajā attīstības plānā </w:t>
      </w:r>
      <w:r w:rsidR="005444E6">
        <w:t>2021.-</w:t>
      </w:r>
      <w:r w:rsidRPr="00F352D9">
        <w:t>2027.gadam</w:t>
      </w:r>
      <w:r w:rsidRPr="00F352D9">
        <w:rPr>
          <w:vertAlign w:val="superscript"/>
        </w:rPr>
        <w:footnoteReference w:id="11"/>
      </w:r>
      <w:r w:rsidRPr="00F352D9">
        <w:t xml:space="preserve">, Nacionālās industriālās politikas pamatnostādnēs </w:t>
      </w:r>
      <w:r w:rsidR="0069075A">
        <w:t>2021.-</w:t>
      </w:r>
      <w:r w:rsidRPr="00F352D9">
        <w:t>2027.gadam</w:t>
      </w:r>
      <w:r w:rsidRPr="00F352D9">
        <w:rPr>
          <w:vertAlign w:val="superscript"/>
        </w:rPr>
        <w:footnoteReference w:id="12"/>
      </w:r>
      <w:r w:rsidRPr="00F352D9">
        <w:t>.</w:t>
      </w:r>
    </w:p>
    <w:p w14:paraId="7DFE7B43" w14:textId="5F834CF4" w:rsidR="00EE120B" w:rsidRDefault="00EE120B" w:rsidP="00834E74">
      <w:pPr>
        <w:spacing w:after="120"/>
        <w:jc w:val="both"/>
      </w:pPr>
      <w:r w:rsidRPr="00917473">
        <w:t xml:space="preserve">Lai to panāktu, tuvāko gadu laikā ir jāsasniedz 4-5% vidējie ekonomikas pieauguma tempi ik gadu, pie nosacījuma, ka inflācija saglabājas stabila 2% robežās. Lai sasniegtu izvirzītos mērķus, nepieciešams nodrošināt darbaspēka resursus – vismaz 900 tūkst. nodarbināto gadā, jāpanāk eksporta īpatsvara pieaugums līdz vismaz 80% no IKP, jānodrošina ikgadējs privāto investīciju apjoms vismaz 25% apmērā no IKP. Produktivitātē balstīta izaugsme nākamo 10 gadu laikā var nodrošināt vidējās mēneša bruto darba algas pieaugumu līdz vismaz 3 200 </w:t>
      </w:r>
      <w:r w:rsidR="00CF7B9C" w:rsidRPr="00CF7B9C">
        <w:rPr>
          <w:rFonts w:cs="Calibri Light"/>
          <w:szCs w:val="20"/>
        </w:rPr>
        <w:t>EUR</w:t>
      </w:r>
      <w:r w:rsidRPr="00917473">
        <w:t>.</w:t>
      </w:r>
    </w:p>
    <w:p w14:paraId="5D2488FB" w14:textId="77777777" w:rsidR="00761764" w:rsidRDefault="00761764">
      <w:pPr>
        <w:spacing w:after="0"/>
        <w:rPr>
          <w:color w:val="000000"/>
          <w:szCs w:val="26"/>
        </w:rPr>
      </w:pPr>
      <w:r>
        <w:rPr>
          <w:color w:val="000000"/>
          <w:szCs w:val="26"/>
        </w:rPr>
        <w:br w:type="page"/>
      </w:r>
    </w:p>
    <w:p w14:paraId="694260D5" w14:textId="0134AEDA" w:rsidR="00EE120B" w:rsidRPr="000855C2" w:rsidRDefault="00EE120B" w:rsidP="00834E74">
      <w:pPr>
        <w:spacing w:after="120"/>
        <w:jc w:val="right"/>
        <w:rPr>
          <w:color w:val="000000"/>
          <w:szCs w:val="26"/>
        </w:rPr>
      </w:pPr>
      <w:r w:rsidRPr="000855C2">
        <w:rPr>
          <w:color w:val="000000"/>
          <w:szCs w:val="26"/>
        </w:rPr>
        <w:lastRenderedPageBreak/>
        <w:t>3.</w:t>
      </w:r>
      <w:r>
        <w:rPr>
          <w:color w:val="000000"/>
          <w:szCs w:val="26"/>
        </w:rPr>
        <w:t>3</w:t>
      </w:r>
      <w:r w:rsidRPr="000855C2">
        <w:rPr>
          <w:color w:val="000000"/>
          <w:szCs w:val="26"/>
        </w:rPr>
        <w:t>. attēls</w:t>
      </w:r>
    </w:p>
    <w:p w14:paraId="3289B6AD" w14:textId="5DA7F055" w:rsidR="00EE120B" w:rsidRDefault="00EE120B" w:rsidP="00EE120B">
      <w:pPr>
        <w:spacing w:after="120"/>
        <w:jc w:val="center"/>
        <w:rPr>
          <w:rFonts w:ascii="Segoe UI Light" w:hAnsi="Segoe UI Light"/>
          <w:b/>
          <w:sz w:val="18"/>
        </w:rPr>
      </w:pPr>
      <w:r>
        <w:rPr>
          <w:rFonts w:ascii="Segoe UI Light" w:hAnsi="Segoe UI Light"/>
          <w:b/>
          <w:sz w:val="18"/>
        </w:rPr>
        <w:t>Ekonomikas izaugsme</w:t>
      </w:r>
      <w:r w:rsidR="00761764">
        <w:rPr>
          <w:rFonts w:ascii="Segoe UI Light" w:hAnsi="Segoe UI Light"/>
          <w:b/>
          <w:sz w:val="18"/>
        </w:rPr>
        <w:t>s</w:t>
      </w:r>
      <w:r>
        <w:rPr>
          <w:rFonts w:ascii="Segoe UI Light" w:hAnsi="Segoe UI Light"/>
          <w:b/>
          <w:sz w:val="18"/>
        </w:rPr>
        <w:t xml:space="preserve"> mērķis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EE120B" w:rsidRPr="00A70DBF" w14:paraId="06CB77A2" w14:textId="77777777" w:rsidTr="00EE120B">
        <w:tc>
          <w:tcPr>
            <w:tcW w:w="9072" w:type="dxa"/>
            <w:shd w:val="clear" w:color="auto" w:fill="5F497A" w:themeFill="accent4" w:themeFillShade="BF"/>
          </w:tcPr>
          <w:p w14:paraId="3A5916C6" w14:textId="5D83C493" w:rsidR="00EE120B" w:rsidRPr="00A70DBF" w:rsidRDefault="00A70DBF" w:rsidP="00EE120B">
            <w:pPr>
              <w:spacing w:before="120" w:after="120"/>
              <w:jc w:val="center"/>
              <w:rPr>
                <w:rFonts w:ascii="Segoe UI Light" w:hAnsi="Segoe UI Light" w:cs="Segoe UI Light"/>
                <w:b/>
                <w:color w:val="FFFFFF" w:themeColor="background1"/>
                <w:sz w:val="24"/>
                <w:lang w:eastAsia="lv-LV"/>
              </w:rPr>
            </w:pPr>
            <w:r w:rsidRPr="00A70DBF">
              <w:rPr>
                <w:rFonts w:ascii="Segoe UI Light" w:hAnsi="Segoe UI Light" w:cs="Segoe UI Light"/>
                <w:b/>
                <w:color w:val="FFFFFF" w:themeColor="background1"/>
                <w:sz w:val="24"/>
                <w:lang w:eastAsia="lv-LV"/>
              </w:rPr>
              <w:t>MĒRĶIS – LĪDZ 2035.GADAM DUBULTOT IKP APJOMU</w:t>
            </w:r>
          </w:p>
        </w:tc>
      </w:tr>
      <w:tr w:rsidR="00EE120B" w:rsidRPr="00EE120B" w14:paraId="4C537143" w14:textId="77777777" w:rsidTr="00EE120B">
        <w:tc>
          <w:tcPr>
            <w:tcW w:w="9072" w:type="dxa"/>
            <w:shd w:val="clear" w:color="auto" w:fill="auto"/>
          </w:tcPr>
          <w:p w14:paraId="46B94330" w14:textId="77777777" w:rsidR="00EE120B" w:rsidRPr="00EE120B" w:rsidRDefault="00EE120B">
            <w:pPr>
              <w:spacing w:after="0"/>
              <w:ind w:firstLine="318"/>
              <w:rPr>
                <w:rFonts w:ascii="Segoe UI Light" w:hAnsi="Segoe UI Light" w:cs="Segoe UI Light"/>
                <w:sz w:val="14"/>
                <w:szCs w:val="14"/>
                <w:lang w:eastAsia="lv-LV"/>
              </w:rPr>
            </w:pPr>
          </w:p>
        </w:tc>
      </w:tr>
      <w:tr w:rsidR="00EE120B" w:rsidRPr="00EE120B" w14:paraId="2FD6DBC1" w14:textId="77777777" w:rsidTr="00EE120B">
        <w:tc>
          <w:tcPr>
            <w:tcW w:w="9072" w:type="dxa"/>
            <w:shd w:val="clear" w:color="auto" w:fill="E5DFEC" w:themeFill="accent4" w:themeFillTint="33"/>
          </w:tcPr>
          <w:p w14:paraId="382CF59A" w14:textId="0CCECF65" w:rsidR="00EE120B" w:rsidRPr="00EE120B" w:rsidRDefault="00EE120B">
            <w:pPr>
              <w:spacing w:before="60" w:after="60"/>
              <w:rPr>
                <w:rFonts w:ascii="Segoe UI Light" w:hAnsi="Segoe UI Light" w:cs="Segoe UI Light"/>
                <w:sz w:val="18"/>
                <w:szCs w:val="18"/>
                <w:lang w:eastAsia="lv-LV"/>
              </w:rPr>
            </w:pPr>
            <w:r w:rsidRPr="00EE120B">
              <w:rPr>
                <w:rFonts w:ascii="Segoe UI Light" w:hAnsi="Segoe UI Light" w:cs="Segoe UI Light"/>
                <w:noProof/>
              </w:rPr>
              <mc:AlternateContent>
                <mc:Choice Requires="wps">
                  <w:drawing>
                    <wp:anchor distT="0" distB="0" distL="114300" distR="114300" simplePos="0" relativeHeight="251658419" behindDoc="0" locked="0" layoutInCell="1" allowOverlap="1" wp14:anchorId="7796D96A" wp14:editId="3C686A9D">
                      <wp:simplePos x="0" y="0"/>
                      <wp:positionH relativeFrom="column">
                        <wp:posOffset>2969260</wp:posOffset>
                      </wp:positionH>
                      <wp:positionV relativeFrom="paragraph">
                        <wp:posOffset>120650</wp:posOffset>
                      </wp:positionV>
                      <wp:extent cx="943610" cy="412115"/>
                      <wp:effectExtent l="0" t="0" r="8890" b="6985"/>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10" cy="412115"/>
                              </a:xfrm>
                              <a:prstGeom prst="rect">
                                <a:avLst/>
                              </a:prstGeom>
                              <a:noFill/>
                              <a:ln w="12700" cap="flat" cmpd="sng" algn="ctr">
                                <a:noFill/>
                                <a:prstDash val="solid"/>
                                <a:miter lim="800000"/>
                                <a:headEnd/>
                                <a:tailEnd/>
                              </a:ln>
                              <a:effectLst/>
                            </wps:spPr>
                            <wps:txbx>
                              <w:txbxContent>
                                <w:p w14:paraId="08F1C8B6" w14:textId="54102EB0" w:rsidR="00B83D7D" w:rsidRPr="00EE120B" w:rsidRDefault="00B83D7D" w:rsidP="00EE120B">
                                  <w:pPr>
                                    <w:jc w:val="center"/>
                                    <w:rPr>
                                      <w:rFonts w:ascii="Segoe UI Light" w:hAnsi="Segoe UI Light" w:cs="Segoe UI Light"/>
                                      <w:sz w:val="6"/>
                                      <w:szCs w:val="6"/>
                                      <w:u w:val="single"/>
                                    </w:rPr>
                                  </w:pPr>
                                  <w:r w:rsidRPr="00EE120B">
                                    <w:rPr>
                                      <w:rFonts w:ascii="Segoe UI Light" w:hAnsi="Segoe UI Light" w:cs="Segoe UI Light"/>
                                      <w:b/>
                                      <w:bCs/>
                                      <w:sz w:val="32"/>
                                      <w:szCs w:val="32"/>
                                    </w:rPr>
                                    <w:t xml:space="preserve">IKP </w:t>
                                  </w:r>
                                  <w:r w:rsidRPr="00EE120B">
                                    <w:rPr>
                                      <w:rFonts w:ascii="Wingdings" w:eastAsia="Wingdings" w:hAnsi="Wingdings" w:cs="Wingdings"/>
                                      <w:b/>
                                      <w:bCs/>
                                      <w:sz w:val="32"/>
                                      <w:szCs w:val="32"/>
                                    </w:rPr>
                                    <w:t></w:t>
                                  </w:r>
                                  <w:r w:rsidRPr="00EE120B">
                                    <w:rPr>
                                      <w:rFonts w:ascii="Segoe UI Light" w:hAnsi="Segoe UI Light" w:cs="Segoe UI Light"/>
                                      <w:b/>
                                      <w:bCs/>
                                      <w:sz w:val="32"/>
                                      <w:szCs w:val="32"/>
                                    </w:rPr>
                                    <w:t xml:space="preserve"> x2</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796D96A" id="Text Box 137" o:spid="_x0000_s1203" type="#_x0000_t202" style="position:absolute;margin-left:233.8pt;margin-top:9.5pt;width:74.3pt;height:32.45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" filled="f" stroked="f" strokeweight="1pt">
                      <v:textbox inset="1mm,1mm,1mm,1mm">
                        <w:txbxContent>
                          <w:p w14:paraId="08F1C8B6" w14:textId="54102EB0" w:rsidR="00B83D7D" w:rsidRPr="00EE120B" w:rsidRDefault="00B83D7D" w:rsidP="00EE120B">
                            <w:pPr>
                              <w:jc w:val="center"/>
                              <w:rPr>
                                <w:rFonts w:ascii="Segoe UI Light" w:hAnsi="Segoe UI Light" w:cs="Segoe UI Light"/>
                                <w:sz w:val="6"/>
                                <w:szCs w:val="6"/>
                                <w:u w:val="single"/>
                              </w:rPr>
                            </w:pPr>
                            <w:r w:rsidRPr="00EE120B">
                              <w:rPr>
                                <w:rFonts w:ascii="Segoe UI Light" w:hAnsi="Segoe UI Light" w:cs="Segoe UI Light"/>
                                <w:b/>
                                <w:bCs/>
                                <w:sz w:val="32"/>
                                <w:szCs w:val="32"/>
                              </w:rPr>
                              <w:t xml:space="preserve">IKP </w:t>
                            </w:r>
                            <w:r w:rsidRPr="00EE120B">
                              <w:rPr>
                                <w:rFonts w:ascii="Wingdings" w:eastAsia="Wingdings" w:hAnsi="Wingdings" w:cs="Wingdings"/>
                                <w:b/>
                                <w:bCs/>
                                <w:sz w:val="32"/>
                                <w:szCs w:val="32"/>
                              </w:rPr>
                              <w:t></w:t>
                            </w:r>
                            <w:r w:rsidRPr="00EE120B">
                              <w:rPr>
                                <w:rFonts w:ascii="Segoe UI Light" w:hAnsi="Segoe UI Light" w:cs="Segoe UI Light"/>
                                <w:b/>
                                <w:bCs/>
                                <w:sz w:val="32"/>
                                <w:szCs w:val="32"/>
                              </w:rPr>
                              <w:t xml:space="preserve"> x2</w:t>
                            </w:r>
                          </w:p>
                        </w:txbxContent>
                      </v:textbox>
                    </v:shape>
                  </w:pict>
                </mc:Fallback>
              </mc:AlternateContent>
            </w:r>
            <w:r w:rsidRPr="00EE120B">
              <w:rPr>
                <w:rFonts w:ascii="Segoe UI Light" w:hAnsi="Segoe UI Light" w:cs="Segoe UI Light"/>
                <w:noProof/>
              </w:rPr>
              <mc:AlternateContent>
                <mc:Choice Requires="wps">
                  <w:drawing>
                    <wp:anchor distT="0" distB="0" distL="114300" distR="114300" simplePos="0" relativeHeight="251658420" behindDoc="0" locked="0" layoutInCell="1" allowOverlap="1" wp14:anchorId="711FC259" wp14:editId="53E26EED">
                      <wp:simplePos x="0" y="0"/>
                      <wp:positionH relativeFrom="column">
                        <wp:posOffset>2971800</wp:posOffset>
                      </wp:positionH>
                      <wp:positionV relativeFrom="paragraph">
                        <wp:posOffset>448945</wp:posOffset>
                      </wp:positionV>
                      <wp:extent cx="1214755" cy="291465"/>
                      <wp:effectExtent l="19050" t="76200" r="0" b="32385"/>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14755" cy="291465"/>
                              </a:xfrm>
                              <a:prstGeom prst="straightConnector1">
                                <a:avLst/>
                              </a:prstGeom>
                              <a:noFill/>
                              <a:ln w="38100" cap="flat" cmpd="sng" algn="ctr">
                                <a:solidFill>
                                  <a:srgbClr val="227B8B"/>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49B4E57" id="Straight Arrow Connector 120" o:spid="_x0000_s1026" type="#_x0000_t32" style="position:absolute;margin-left:234pt;margin-top:35.35pt;width:95.65pt;height:22.95pt;flip:y;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" strokecolor="#227b8b" strokeweight="3pt">
                      <v:stroke endarrow="block" joinstyle="miter"/>
                      <o:lock v:ext="edit" shapetype="f"/>
                    </v:shape>
                  </w:pict>
                </mc:Fallback>
              </mc:AlternateContent>
            </w:r>
            <w:r w:rsidRPr="00EE120B">
              <w:rPr>
                <w:rFonts w:ascii="Segoe UI Light" w:hAnsi="Segoe UI Light" w:cs="Segoe UI Light"/>
                <w:noProof/>
              </w:rPr>
              <mc:AlternateContent>
                <mc:Choice Requires="wps">
                  <w:drawing>
                    <wp:anchor distT="0" distB="0" distL="114300" distR="114300" simplePos="0" relativeHeight="251658418" behindDoc="0" locked="0" layoutInCell="1" allowOverlap="1" wp14:anchorId="6A6FC07F" wp14:editId="2C489664">
                      <wp:simplePos x="0" y="0"/>
                      <wp:positionH relativeFrom="column">
                        <wp:posOffset>4224020</wp:posOffset>
                      </wp:positionH>
                      <wp:positionV relativeFrom="paragraph">
                        <wp:posOffset>15875</wp:posOffset>
                      </wp:positionV>
                      <wp:extent cx="720090" cy="720090"/>
                      <wp:effectExtent l="0" t="0" r="3810" b="381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w="12700" cap="flat" cmpd="sng" algn="ctr">
                                <a:noFill/>
                                <a:prstDash val="solid"/>
                                <a:miter lim="800000"/>
                                <a:headEnd/>
                                <a:tailEnd/>
                              </a:ln>
                              <a:effectLst/>
                            </wps:spPr>
                            <wps:txbx>
                              <w:txbxContent>
                                <w:p w14:paraId="28FCF4C9" w14:textId="77777777" w:rsidR="00B83D7D" w:rsidRPr="00EE120B" w:rsidRDefault="00B83D7D" w:rsidP="00EE120B">
                                  <w:pPr>
                                    <w:jc w:val="center"/>
                                    <w:rPr>
                                      <w:rFonts w:ascii="Segoe UI Light" w:hAnsi="Segoe UI Light" w:cs="Segoe UI Light"/>
                                      <w:sz w:val="18"/>
                                      <w:szCs w:val="18"/>
                                      <w:u w:val="single"/>
                                    </w:rPr>
                                  </w:pPr>
                                  <w:r w:rsidRPr="00EE120B">
                                    <w:rPr>
                                      <w:rFonts w:ascii="Segoe UI Light" w:hAnsi="Segoe UI Light" w:cs="Segoe UI Light"/>
                                      <w:b/>
                                      <w:bCs/>
                                      <w:sz w:val="32"/>
                                      <w:szCs w:val="32"/>
                                    </w:rPr>
                                    <w:t>83</w:t>
                                  </w:r>
                                  <w:r w:rsidRPr="00EE120B">
                                    <w:rPr>
                                      <w:rFonts w:ascii="Segoe UI Light" w:hAnsi="Segoe UI Light" w:cs="Segoe UI Light"/>
                                      <w:sz w:val="32"/>
                                      <w:szCs w:val="32"/>
                                    </w:rPr>
                                    <w:t xml:space="preserve"> </w:t>
                                  </w:r>
                                  <w:r w:rsidRPr="00EE120B">
                                    <w:rPr>
                                      <w:rFonts w:ascii="Segoe UI Light" w:hAnsi="Segoe UI Light" w:cs="Segoe UI Light"/>
                                      <w:sz w:val="26"/>
                                      <w:szCs w:val="26"/>
                                    </w:rPr>
                                    <w:br/>
                                  </w:r>
                                  <w:r w:rsidRPr="00EE120B">
                                    <w:rPr>
                                      <w:rFonts w:ascii="Segoe UI Light" w:hAnsi="Segoe UI Light" w:cs="Segoe UI Light"/>
                                      <w:sz w:val="18"/>
                                      <w:szCs w:val="18"/>
                                    </w:rPr>
                                    <w:t>mljrd. EUR</w:t>
                                  </w:r>
                                  <w:r w:rsidRPr="00EE120B">
                                    <w:rPr>
                                      <w:rFonts w:ascii="Segoe UI Light" w:hAnsi="Segoe UI Light" w:cs="Segoe UI Light"/>
                                      <w:sz w:val="18"/>
                                      <w:szCs w:val="18"/>
                                    </w:rPr>
                                    <w:br/>
                                    <w:t>2035</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A6FC07F" id="Text Box 73" o:spid="_x0000_s1204" type="#_x0000_t202" style="position:absolute;margin-left:332.6pt;margin-top:1.25pt;width:56.7pt;height:56.7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" filled="f" stroked="f" strokeweight="1pt">
                      <v:textbox inset="1mm,1mm,1mm,1mm">
                        <w:txbxContent>
                          <w:p w14:paraId="28FCF4C9" w14:textId="77777777" w:rsidR="00B83D7D" w:rsidRPr="00EE120B" w:rsidRDefault="00B83D7D" w:rsidP="00EE120B">
                            <w:pPr>
                              <w:jc w:val="center"/>
                              <w:rPr>
                                <w:rFonts w:ascii="Segoe UI Light" w:hAnsi="Segoe UI Light" w:cs="Segoe UI Light"/>
                                <w:sz w:val="18"/>
                                <w:szCs w:val="18"/>
                                <w:u w:val="single"/>
                              </w:rPr>
                            </w:pPr>
                            <w:r w:rsidRPr="00EE120B">
                              <w:rPr>
                                <w:rFonts w:ascii="Segoe UI Light" w:hAnsi="Segoe UI Light" w:cs="Segoe UI Light"/>
                                <w:b/>
                                <w:bCs/>
                                <w:sz w:val="32"/>
                                <w:szCs w:val="32"/>
                              </w:rPr>
                              <w:t>83</w:t>
                            </w:r>
                            <w:r w:rsidRPr="00EE120B">
                              <w:rPr>
                                <w:rFonts w:ascii="Segoe UI Light" w:hAnsi="Segoe UI Light" w:cs="Segoe UI Light"/>
                                <w:sz w:val="32"/>
                                <w:szCs w:val="32"/>
                              </w:rPr>
                              <w:t xml:space="preserve"> </w:t>
                            </w:r>
                            <w:r w:rsidRPr="00EE120B">
                              <w:rPr>
                                <w:rFonts w:ascii="Segoe UI Light" w:hAnsi="Segoe UI Light" w:cs="Segoe UI Light"/>
                                <w:sz w:val="26"/>
                                <w:szCs w:val="26"/>
                              </w:rPr>
                              <w:br/>
                            </w:r>
                            <w:r w:rsidRPr="00EE120B">
                              <w:rPr>
                                <w:rFonts w:ascii="Segoe UI Light" w:hAnsi="Segoe UI Light" w:cs="Segoe UI Light"/>
                                <w:sz w:val="18"/>
                                <w:szCs w:val="18"/>
                              </w:rPr>
                              <w:t>mljrd. EUR</w:t>
                            </w:r>
                            <w:r w:rsidRPr="00EE120B">
                              <w:rPr>
                                <w:rFonts w:ascii="Segoe UI Light" w:hAnsi="Segoe UI Light" w:cs="Segoe UI Light"/>
                                <w:sz w:val="18"/>
                                <w:szCs w:val="18"/>
                              </w:rPr>
                              <w:br/>
                              <w:t>2035</w:t>
                            </w:r>
                          </w:p>
                        </w:txbxContent>
                      </v:textbox>
                    </v:shape>
                  </w:pict>
                </mc:Fallback>
              </mc:AlternateContent>
            </w:r>
            <w:r w:rsidRPr="00EE120B">
              <w:rPr>
                <w:rFonts w:ascii="Segoe UI Light" w:hAnsi="Segoe UI Light" w:cs="Segoe UI Light"/>
                <w:noProof/>
              </w:rPr>
              <mc:AlternateContent>
                <mc:Choice Requires="wps">
                  <w:drawing>
                    <wp:anchor distT="0" distB="0" distL="114300" distR="114300" simplePos="0" relativeHeight="251658417" behindDoc="0" locked="0" layoutInCell="1" allowOverlap="1" wp14:anchorId="5C38C531" wp14:editId="33A204A5">
                      <wp:simplePos x="0" y="0"/>
                      <wp:positionH relativeFrom="column">
                        <wp:posOffset>2136140</wp:posOffset>
                      </wp:positionH>
                      <wp:positionV relativeFrom="paragraph">
                        <wp:posOffset>387350</wp:posOffset>
                      </wp:positionV>
                      <wp:extent cx="720090" cy="720090"/>
                      <wp:effectExtent l="0" t="0" r="3810" b="3810"/>
                      <wp:wrapNone/>
                      <wp:docPr id="1351" name="Text Box 1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w="12700" cap="flat" cmpd="sng" algn="ctr">
                                <a:noFill/>
                                <a:prstDash val="solid"/>
                                <a:miter lim="800000"/>
                                <a:headEnd/>
                                <a:tailEnd/>
                              </a:ln>
                              <a:effectLst/>
                            </wps:spPr>
                            <wps:txbx>
                              <w:txbxContent>
                                <w:p w14:paraId="5268577A" w14:textId="1D99F6C8" w:rsidR="00B83D7D" w:rsidRPr="00EE120B" w:rsidRDefault="00B83D7D" w:rsidP="00EE120B">
                                  <w:pPr>
                                    <w:jc w:val="center"/>
                                    <w:rPr>
                                      <w:rFonts w:ascii="Segoe UI Light" w:hAnsi="Segoe UI Light" w:cs="Segoe UI Light"/>
                                      <w:sz w:val="18"/>
                                      <w:szCs w:val="18"/>
                                      <w:u w:val="single"/>
                                    </w:rPr>
                                  </w:pPr>
                                  <w:r w:rsidRPr="00EE120B">
                                    <w:rPr>
                                      <w:rFonts w:ascii="Segoe UI Light" w:hAnsi="Segoe UI Light" w:cs="Segoe UI Light"/>
                                      <w:b/>
                                      <w:bCs/>
                                      <w:sz w:val="32"/>
                                      <w:szCs w:val="32"/>
                                    </w:rPr>
                                    <w:t>40,3</w:t>
                                  </w:r>
                                  <w:r w:rsidRPr="00EE120B">
                                    <w:rPr>
                                      <w:rFonts w:ascii="Segoe UI Light" w:hAnsi="Segoe UI Light" w:cs="Segoe UI Light"/>
                                      <w:sz w:val="26"/>
                                      <w:szCs w:val="26"/>
                                    </w:rPr>
                                    <w:br/>
                                  </w:r>
                                  <w:r w:rsidRPr="00EE120B">
                                    <w:rPr>
                                      <w:rFonts w:ascii="Segoe UI Light" w:hAnsi="Segoe UI Light" w:cs="Segoe UI Light"/>
                                      <w:sz w:val="18"/>
                                      <w:szCs w:val="18"/>
                                    </w:rPr>
                                    <w:t>mljrd. EUR</w:t>
                                  </w:r>
                                  <w:r w:rsidRPr="00EE120B">
                                    <w:rPr>
                                      <w:rFonts w:ascii="Segoe UI Light" w:hAnsi="Segoe UI Light" w:cs="Segoe UI Light"/>
                                      <w:sz w:val="18"/>
                                      <w:szCs w:val="18"/>
                                    </w:rPr>
                                    <w:br/>
                                    <w:t>2023</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C38C531" id="Text Box 1351" o:spid="_x0000_s1205" type="#_x0000_t202" style="position:absolute;margin-left:168.2pt;margin-top:30.5pt;width:56.7pt;height:56.7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" filled="f" stroked="f" strokeweight="1pt">
                      <v:textbox inset="1mm,1mm,1mm,1mm">
                        <w:txbxContent>
                          <w:p w14:paraId="5268577A" w14:textId="1D99F6C8" w:rsidR="00B83D7D" w:rsidRPr="00EE120B" w:rsidRDefault="00B83D7D" w:rsidP="00EE120B">
                            <w:pPr>
                              <w:jc w:val="center"/>
                              <w:rPr>
                                <w:rFonts w:ascii="Segoe UI Light" w:hAnsi="Segoe UI Light" w:cs="Segoe UI Light"/>
                                <w:sz w:val="18"/>
                                <w:szCs w:val="18"/>
                                <w:u w:val="single"/>
                              </w:rPr>
                            </w:pPr>
                            <w:r w:rsidRPr="00EE120B">
                              <w:rPr>
                                <w:rFonts w:ascii="Segoe UI Light" w:hAnsi="Segoe UI Light" w:cs="Segoe UI Light"/>
                                <w:b/>
                                <w:bCs/>
                                <w:sz w:val="32"/>
                                <w:szCs w:val="32"/>
                              </w:rPr>
                              <w:t>40,3</w:t>
                            </w:r>
                            <w:r w:rsidRPr="00EE120B">
                              <w:rPr>
                                <w:rFonts w:ascii="Segoe UI Light" w:hAnsi="Segoe UI Light" w:cs="Segoe UI Light"/>
                                <w:sz w:val="26"/>
                                <w:szCs w:val="26"/>
                              </w:rPr>
                              <w:br/>
                            </w:r>
                            <w:r w:rsidRPr="00EE120B">
                              <w:rPr>
                                <w:rFonts w:ascii="Segoe UI Light" w:hAnsi="Segoe UI Light" w:cs="Segoe UI Light"/>
                                <w:sz w:val="18"/>
                                <w:szCs w:val="18"/>
                              </w:rPr>
                              <w:t>mljrd. EUR</w:t>
                            </w:r>
                            <w:r w:rsidRPr="00EE120B">
                              <w:rPr>
                                <w:rFonts w:ascii="Segoe UI Light" w:hAnsi="Segoe UI Light" w:cs="Segoe UI Light"/>
                                <w:sz w:val="18"/>
                                <w:szCs w:val="18"/>
                              </w:rPr>
                              <w:br/>
                              <w:t>2023</w:t>
                            </w:r>
                          </w:p>
                        </w:txbxContent>
                      </v:textbox>
                    </v:shape>
                  </w:pict>
                </mc:Fallback>
              </mc:AlternateContent>
            </w:r>
            <w:r w:rsidRPr="00EE120B">
              <w:rPr>
                <w:rFonts w:ascii="Segoe UI Light" w:hAnsi="Segoe UI Light" w:cs="Segoe UI Light"/>
                <w:noProof/>
                <w:sz w:val="18"/>
                <w:szCs w:val="18"/>
                <w:lang w:eastAsia="lv-LV"/>
              </w:rPr>
              <w:drawing>
                <wp:inline distT="0" distB="0" distL="0" distR="0" wp14:anchorId="60B9478A" wp14:editId="3EFA5D76">
                  <wp:extent cx="1508028" cy="982980"/>
                  <wp:effectExtent l="0" t="0" r="0" b="0"/>
                  <wp:docPr id="1087" name="Chart 10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c>
      </w:tr>
    </w:tbl>
    <w:p w14:paraId="06E4375E" w14:textId="77777777" w:rsidR="00761764" w:rsidRPr="00EE120B" w:rsidRDefault="00761764">
      <w:pPr>
        <w:spacing w:after="0"/>
        <w:ind w:firstLine="318"/>
        <w:rPr>
          <w:rFonts w:ascii="Segoe UI Light" w:hAnsi="Segoe UI Light" w:cs="Segoe UI Light"/>
          <w:sz w:val="14"/>
          <w:szCs w:val="14"/>
          <w:lang w:eastAsia="lv-LV"/>
        </w:rPr>
      </w:pPr>
    </w:p>
    <w:tbl>
      <w:tblPr>
        <w:tblStyle w:val="TableGrid"/>
        <w:tblW w:w="9072" w:type="dxa"/>
        <w:tblLayout w:type="fixed"/>
        <w:tblLook w:val="04A0" w:firstRow="1" w:lastRow="0" w:firstColumn="1" w:lastColumn="0" w:noHBand="0" w:noVBand="1"/>
      </w:tblPr>
      <w:tblGrid>
        <w:gridCol w:w="850"/>
        <w:gridCol w:w="1644"/>
        <w:gridCol w:w="1644"/>
        <w:gridCol w:w="1644"/>
        <w:gridCol w:w="1644"/>
        <w:gridCol w:w="1646"/>
      </w:tblGrid>
      <w:tr w:rsidR="00EE120B" w:rsidRPr="00A70DBF" w14:paraId="0EFEDD9A" w14:textId="77777777" w:rsidTr="00761764">
        <w:tc>
          <w:tcPr>
            <w:tcW w:w="9072" w:type="dxa"/>
            <w:gridSpan w:val="6"/>
            <w:tcBorders>
              <w:top w:val="nil"/>
              <w:left w:val="nil"/>
              <w:bottom w:val="nil"/>
              <w:right w:val="nil"/>
            </w:tcBorders>
            <w:shd w:val="clear" w:color="auto" w:fill="5F497A" w:themeFill="accent4" w:themeFillShade="BF"/>
          </w:tcPr>
          <w:p w14:paraId="7F522FC0" w14:textId="471A4225" w:rsidR="00EE120B" w:rsidRPr="00A70DBF" w:rsidRDefault="00A70DBF">
            <w:pPr>
              <w:spacing w:before="120" w:after="120"/>
              <w:jc w:val="center"/>
              <w:rPr>
                <w:rFonts w:ascii="Segoe UI Light" w:hAnsi="Segoe UI Light" w:cs="Segoe UI Light"/>
                <w:b/>
                <w:color w:val="FFFFFF" w:themeColor="background1"/>
                <w:sz w:val="24"/>
                <w:lang w:eastAsia="lv-LV"/>
              </w:rPr>
            </w:pPr>
            <w:r w:rsidRPr="00A70DBF">
              <w:rPr>
                <w:rFonts w:ascii="Segoe UI Light" w:hAnsi="Segoe UI Light" w:cs="Segoe UI Light"/>
                <w:b/>
                <w:color w:val="FFFFFF" w:themeColor="background1"/>
                <w:sz w:val="24"/>
                <w:lang w:eastAsia="lv-LV"/>
              </w:rPr>
              <w:t>SASNIEDZAMIE REZULTĀTI</w:t>
            </w:r>
          </w:p>
        </w:tc>
      </w:tr>
      <w:tr w:rsidR="00EE120B" w:rsidRPr="00EE120B" w14:paraId="19358D8C" w14:textId="77777777" w:rsidTr="00761764">
        <w:tc>
          <w:tcPr>
            <w:tcW w:w="9072" w:type="dxa"/>
            <w:gridSpan w:val="6"/>
            <w:tcBorders>
              <w:top w:val="nil"/>
              <w:left w:val="nil"/>
              <w:bottom w:val="nil"/>
              <w:right w:val="nil"/>
            </w:tcBorders>
          </w:tcPr>
          <w:p w14:paraId="6288125E" w14:textId="77777777" w:rsidR="00EE120B" w:rsidRPr="00EE120B" w:rsidRDefault="00EE120B">
            <w:pPr>
              <w:spacing w:after="0"/>
              <w:ind w:firstLine="318"/>
              <w:rPr>
                <w:rFonts w:ascii="Segoe UI Light" w:hAnsi="Segoe UI Light" w:cs="Segoe UI Light"/>
                <w:sz w:val="14"/>
                <w:szCs w:val="14"/>
                <w:lang w:eastAsia="lv-LV"/>
              </w:rPr>
            </w:pPr>
          </w:p>
        </w:tc>
      </w:tr>
      <w:tr w:rsidR="00A1171E" w:rsidRPr="00761764" w14:paraId="7E6E12FA" w14:textId="089B9353" w:rsidTr="00A1171E">
        <w:tc>
          <w:tcPr>
            <w:tcW w:w="850" w:type="dxa"/>
            <w:tcBorders>
              <w:top w:val="nil"/>
              <w:left w:val="nil"/>
              <w:bottom w:val="nil"/>
              <w:right w:val="nil"/>
            </w:tcBorders>
            <w:shd w:val="clear" w:color="auto" w:fill="E5DFEC" w:themeFill="accent4" w:themeFillTint="33"/>
          </w:tcPr>
          <w:p w14:paraId="60F3A506" w14:textId="77777777" w:rsidR="00A1171E" w:rsidRPr="00761764" w:rsidRDefault="00A1171E" w:rsidP="00A1171E">
            <w:pPr>
              <w:spacing w:before="60" w:after="60"/>
              <w:rPr>
                <w:rFonts w:ascii="Segoe UI Light" w:hAnsi="Segoe UI Light" w:cs="Segoe UI Light"/>
                <w:sz w:val="18"/>
                <w:szCs w:val="18"/>
                <w:lang w:eastAsia="lv-LV"/>
              </w:rPr>
            </w:pPr>
          </w:p>
          <w:p w14:paraId="7E0EB25D" w14:textId="77777777" w:rsidR="00A1171E" w:rsidRPr="00761764" w:rsidRDefault="00A1171E" w:rsidP="00A1171E">
            <w:pPr>
              <w:spacing w:before="600" w:after="120"/>
              <w:rPr>
                <w:rFonts w:ascii="Segoe UI Light" w:hAnsi="Segoe UI Light" w:cs="Segoe UI Light"/>
                <w:sz w:val="18"/>
                <w:szCs w:val="18"/>
                <w:lang w:eastAsia="lv-LV"/>
              </w:rPr>
            </w:pPr>
            <w:r w:rsidRPr="00761764">
              <w:rPr>
                <w:rFonts w:ascii="Segoe UI Light" w:hAnsi="Segoe UI Light" w:cs="Segoe UI Light"/>
                <w:sz w:val="18"/>
                <w:szCs w:val="18"/>
                <w:lang w:eastAsia="lv-LV"/>
              </w:rPr>
              <w:t>2023</w:t>
            </w:r>
          </w:p>
          <w:p w14:paraId="14DD9C2A" w14:textId="77777777" w:rsidR="00A1171E" w:rsidRPr="00761764" w:rsidRDefault="00A1171E" w:rsidP="00A1171E">
            <w:pPr>
              <w:spacing w:before="60" w:after="120"/>
              <w:rPr>
                <w:rFonts w:ascii="Segoe UI Light" w:hAnsi="Segoe UI Light" w:cs="Segoe UI Light"/>
                <w:sz w:val="18"/>
                <w:szCs w:val="18"/>
                <w:lang w:eastAsia="lv-LV"/>
              </w:rPr>
            </w:pPr>
          </w:p>
          <w:p w14:paraId="14BCACD6" w14:textId="77777777" w:rsidR="00A1171E" w:rsidRPr="00761764" w:rsidRDefault="00A1171E" w:rsidP="00A1171E">
            <w:pPr>
              <w:spacing w:before="120" w:after="120"/>
              <w:rPr>
                <w:rFonts w:ascii="Segoe UI Light" w:hAnsi="Segoe UI Light" w:cs="Segoe UI Light"/>
                <w:sz w:val="18"/>
                <w:szCs w:val="18"/>
                <w:lang w:eastAsia="lv-LV"/>
              </w:rPr>
            </w:pPr>
            <w:r w:rsidRPr="00761764">
              <w:rPr>
                <w:rFonts w:ascii="Segoe UI Light" w:hAnsi="Segoe UI Light" w:cs="Segoe UI Light"/>
                <w:sz w:val="18"/>
                <w:szCs w:val="18"/>
                <w:lang w:eastAsia="lv-LV"/>
              </w:rPr>
              <w:t>2027</w:t>
            </w:r>
          </w:p>
          <w:p w14:paraId="253F3C59" w14:textId="77777777" w:rsidR="00A1171E" w:rsidRPr="00761764" w:rsidRDefault="00A1171E" w:rsidP="00A1171E">
            <w:pPr>
              <w:spacing w:before="60" w:after="120"/>
              <w:rPr>
                <w:rFonts w:ascii="Segoe UI Light" w:hAnsi="Segoe UI Light" w:cs="Segoe UI Light"/>
                <w:sz w:val="18"/>
                <w:szCs w:val="18"/>
                <w:lang w:eastAsia="lv-LV"/>
              </w:rPr>
            </w:pPr>
          </w:p>
          <w:p w14:paraId="3683EED4" w14:textId="05FAFB6D" w:rsidR="00A1171E" w:rsidRPr="00761764" w:rsidRDefault="00A1171E" w:rsidP="00A1171E">
            <w:pPr>
              <w:spacing w:before="60" w:after="120"/>
              <w:rPr>
                <w:rFonts w:ascii="Segoe UI Light" w:hAnsi="Segoe UI Light" w:cs="Segoe UI Light"/>
                <w:sz w:val="18"/>
                <w:szCs w:val="18"/>
                <w:lang w:eastAsia="lv-LV"/>
              </w:rPr>
            </w:pPr>
            <w:r w:rsidRPr="00761764">
              <w:rPr>
                <w:rFonts w:ascii="Segoe UI Light" w:hAnsi="Segoe UI Light" w:cs="Segoe UI Light"/>
                <w:sz w:val="18"/>
                <w:szCs w:val="18"/>
                <w:lang w:eastAsia="lv-LV"/>
              </w:rPr>
              <w:t>2035</w:t>
            </w:r>
          </w:p>
        </w:tc>
        <w:tc>
          <w:tcPr>
            <w:tcW w:w="1644" w:type="dxa"/>
            <w:tcBorders>
              <w:top w:val="nil"/>
              <w:left w:val="nil"/>
              <w:bottom w:val="nil"/>
              <w:right w:val="nil"/>
            </w:tcBorders>
            <w:shd w:val="clear" w:color="auto" w:fill="E5DFEC" w:themeFill="accent4" w:themeFillTint="33"/>
          </w:tcPr>
          <w:p w14:paraId="7EBBAFDB" w14:textId="77777777" w:rsidR="00A1171E" w:rsidRPr="00761764" w:rsidRDefault="00A1171E" w:rsidP="00A1171E">
            <w:pPr>
              <w:spacing w:before="120" w:after="120"/>
              <w:jc w:val="center"/>
              <w:rPr>
                <w:rFonts w:ascii="Segoe UI Light" w:hAnsi="Segoe UI Light" w:cs="Segoe UI Light"/>
                <w:sz w:val="18"/>
                <w:szCs w:val="18"/>
                <w:lang w:eastAsia="lv-LV"/>
              </w:rPr>
            </w:pPr>
            <w:r w:rsidRPr="00761764">
              <w:rPr>
                <w:rFonts w:ascii="Segoe UI Light" w:hAnsi="Segoe UI Light" w:cs="Segoe UI Light"/>
                <w:sz w:val="18"/>
                <w:szCs w:val="18"/>
                <w:lang w:eastAsia="lv-LV"/>
              </w:rPr>
              <w:t>Eksports</w:t>
            </w:r>
            <w:r w:rsidRPr="00761764">
              <w:rPr>
                <w:rFonts w:ascii="Segoe UI Light" w:hAnsi="Segoe UI Light" w:cs="Segoe UI Light"/>
                <w:sz w:val="18"/>
                <w:szCs w:val="18"/>
                <w:lang w:eastAsia="lv-LV"/>
              </w:rPr>
              <w:br/>
              <w:t>% no IKP</w:t>
            </w:r>
          </w:p>
          <w:p w14:paraId="536F8CBA" w14:textId="01566211" w:rsidR="00A1171E" w:rsidRPr="00761764" w:rsidRDefault="00A401AB" w:rsidP="00A1171E">
            <w:pPr>
              <w:spacing w:after="120"/>
              <w:rPr>
                <w:rFonts w:ascii="Segoe UI Light" w:hAnsi="Segoe UI Light" w:cs="Segoe UI Light"/>
              </w:rPr>
            </w:pPr>
            <w:r>
              <w:rPr>
                <w:rFonts w:ascii="Segoe UI Light" w:hAnsi="Segoe UI Light" w:cs="Segoe UI Light"/>
                <w:szCs w:val="22"/>
                <w14:ligatures w14:val="standardContextual"/>
              </w:rPr>
            </w:r>
            <w:r>
              <w:rPr>
                <w:rFonts w:ascii="Segoe UI Light" w:hAnsi="Segoe UI Light" w:cs="Segoe UI Light"/>
                <w:szCs w:val="22"/>
                <w14:ligatures w14:val="standardContextual"/>
              </w:rPr>
              <w:pict w14:anchorId="505F666E">
                <v:group id="Group 505026656" o:spid="_x0000_s2091" style="width:48.2pt;height:99.2pt;mso-position-horizontal-relative:char;mso-position-vertical-relative:line" coordsize="5344,11854">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505026657" o:spid="_x0000_s2092" type="#_x0000_t10" style="position:absolute;width:4320;height:4320;visibility:visible;mso-wrap-style:square;v-text-anchor:middle" fillcolor="white [3201]" strokecolor="#4bacc6 [3208]" strokeweight="2.5pt">
                    <v:shadow color="#868686"/>
                    <v:textbox style="mso-next-textbox:#Octagon 505026657" inset="0,0,0,0">
                      <w:txbxContent>
                        <w:p w14:paraId="76E978ED" w14:textId="77777777" w:rsidR="00B83D7D" w:rsidRPr="00E77D15" w:rsidRDefault="00B83D7D" w:rsidP="0007342C">
                          <w:pPr>
                            <w:jc w:val="center"/>
                            <w:rPr>
                              <w:color w:val="4472C4"/>
                              <w:sz w:val="32"/>
                              <w:szCs w:val="32"/>
                            </w:rPr>
                          </w:pPr>
                          <w:r w:rsidRPr="00E77D15">
                            <w:rPr>
                              <w:color w:val="4472C4"/>
                              <w:sz w:val="32"/>
                              <w:szCs w:val="32"/>
                            </w:rPr>
                            <w:t>64</w:t>
                          </w:r>
                        </w:p>
                      </w:txbxContent>
                    </v:textbox>
                  </v:shape>
                  <v:shape id="Octagon 505026658" o:spid="_x0000_s2093" type="#_x0000_t10" style="position:absolute;left:522;top:3730;width:4320;height:4320;visibility:visible;mso-wrap-style:square;v-text-anchor:middle" fillcolor="white [3201]" strokecolor="#4bacc6 [3208]" strokeweight="2.5pt">
                    <v:shadow color="#868686"/>
                    <v:textbox style="mso-next-textbox:#Octagon 505026658" inset="0,0,0,0">
                      <w:txbxContent>
                        <w:p w14:paraId="75D11CAC" w14:textId="77777777" w:rsidR="00B83D7D" w:rsidRDefault="00B83D7D" w:rsidP="0007342C">
                          <w:pPr>
                            <w:jc w:val="center"/>
                          </w:pPr>
                          <w:r w:rsidRPr="00E77D15">
                            <w:rPr>
                              <w:color w:val="4472C4"/>
                              <w:sz w:val="32"/>
                              <w:szCs w:val="32"/>
                            </w:rPr>
                            <w:t>78</w:t>
                          </w:r>
                        </w:p>
                      </w:txbxContent>
                    </v:textbox>
                  </v:shape>
                  <v:shape id="Octagon 505026659" o:spid="_x0000_s2094" type="#_x0000_t10" style="position:absolute;left:1024;top:7534;width:4320;height:4320;visibility:visible;mso-wrap-style:square;v-text-anchor:middle" fillcolor="white [3201]" strokecolor="#4bacc6 [3208]" strokeweight="2.5pt">
                    <v:shadow color="#868686"/>
                    <v:textbox style="mso-next-textbox:#Octagon 505026659" inset="0,0,0,0">
                      <w:txbxContent>
                        <w:p w14:paraId="7245E6FF" w14:textId="77777777" w:rsidR="00B83D7D" w:rsidRDefault="00B83D7D" w:rsidP="0007342C">
                          <w:pPr>
                            <w:jc w:val="center"/>
                          </w:pPr>
                          <w:r w:rsidRPr="00E77D15">
                            <w:rPr>
                              <w:color w:val="4472C4"/>
                              <w:sz w:val="32"/>
                              <w:szCs w:val="32"/>
                            </w:rPr>
                            <w:t>85</w:t>
                          </w:r>
                        </w:p>
                      </w:txbxContent>
                    </v:textbox>
                  </v:shape>
                  <w10:wrap type="none"/>
                  <w10:anchorlock/>
                </v:group>
              </w:pict>
            </w:r>
          </w:p>
        </w:tc>
        <w:tc>
          <w:tcPr>
            <w:tcW w:w="1644" w:type="dxa"/>
            <w:tcBorders>
              <w:top w:val="nil"/>
              <w:left w:val="nil"/>
              <w:bottom w:val="nil"/>
              <w:right w:val="nil"/>
            </w:tcBorders>
            <w:shd w:val="clear" w:color="auto" w:fill="E5DFEC" w:themeFill="accent4" w:themeFillTint="33"/>
          </w:tcPr>
          <w:p w14:paraId="1E9FC4C9" w14:textId="77777777" w:rsidR="00A1171E" w:rsidRPr="00761764" w:rsidRDefault="00A1171E" w:rsidP="00A1171E">
            <w:pPr>
              <w:spacing w:before="120" w:after="120"/>
              <w:jc w:val="center"/>
              <w:rPr>
                <w:rFonts w:ascii="Segoe UI Light" w:hAnsi="Segoe UI Light" w:cs="Segoe UI Light"/>
                <w:sz w:val="18"/>
                <w:szCs w:val="18"/>
                <w:lang w:eastAsia="lv-LV"/>
              </w:rPr>
            </w:pPr>
            <w:r w:rsidRPr="00761764">
              <w:rPr>
                <w:rFonts w:ascii="Segoe UI Light" w:hAnsi="Segoe UI Light" w:cs="Segoe UI Light"/>
                <w:sz w:val="18"/>
                <w:szCs w:val="18"/>
                <w:lang w:eastAsia="lv-LV"/>
              </w:rPr>
              <w:t>Privātās investīcijas</w:t>
            </w:r>
            <w:r w:rsidRPr="00761764">
              <w:rPr>
                <w:rFonts w:ascii="Segoe UI Light" w:hAnsi="Segoe UI Light" w:cs="Segoe UI Light"/>
                <w:sz w:val="18"/>
                <w:szCs w:val="18"/>
                <w:lang w:eastAsia="lv-LV"/>
              </w:rPr>
              <w:br/>
              <w:t>% no IKP</w:t>
            </w:r>
          </w:p>
          <w:p w14:paraId="79769089" w14:textId="724D03F2" w:rsidR="00A1171E" w:rsidRPr="00761764" w:rsidRDefault="00A401AB" w:rsidP="00A1171E">
            <w:pPr>
              <w:spacing w:after="0"/>
              <w:rPr>
                <w:rFonts w:ascii="Segoe UI Light" w:hAnsi="Segoe UI Light" w:cs="Segoe UI Light"/>
              </w:rPr>
            </w:pPr>
            <w:r>
              <w:rPr>
                <w:rFonts w:ascii="Segoe UI Light" w:hAnsi="Segoe UI Light" w:cs="Segoe UI Light"/>
                <w:szCs w:val="22"/>
                <w14:ligatures w14:val="standardContextual"/>
              </w:rPr>
            </w:r>
            <w:r>
              <w:rPr>
                <w:rFonts w:ascii="Segoe UI Light" w:hAnsi="Segoe UI Light" w:cs="Segoe UI Light"/>
                <w:szCs w:val="22"/>
                <w14:ligatures w14:val="standardContextual"/>
              </w:rPr>
              <w:pict w14:anchorId="03D9B978">
                <v:group id="Group 505026698" o:spid="_x0000_s2087" style="width:51pt;height:99.2pt;mso-position-horizontal-relative:char;mso-position-vertical-relative:line" coordsize="5344,11854">
                  <v:shape id="Octagon 505026699" o:spid="_x0000_s2088" type="#_x0000_t10" style="position:absolute;width:4320;height:4320;visibility:visible;mso-wrap-style:square;v-text-anchor:middle" fillcolor="white [3201]" strokecolor="#4bacc6 [3208]" strokeweight="2.5pt">
                    <v:shadow color="#868686"/>
                    <v:textbox style="mso-next-textbox:#Octagon 505026699" inset="0,0,0,0">
                      <w:txbxContent>
                        <w:p w14:paraId="52ACDA07" w14:textId="77777777" w:rsidR="00B83D7D" w:rsidRPr="00E77D15" w:rsidRDefault="00B83D7D" w:rsidP="0007342C">
                          <w:pPr>
                            <w:jc w:val="center"/>
                            <w:rPr>
                              <w:color w:val="4472C4"/>
                              <w:sz w:val="32"/>
                              <w:szCs w:val="32"/>
                            </w:rPr>
                          </w:pPr>
                          <w:r w:rsidRPr="00E77D15">
                            <w:rPr>
                              <w:color w:val="4472C4"/>
                              <w:sz w:val="32"/>
                              <w:szCs w:val="32"/>
                            </w:rPr>
                            <w:t>18</w:t>
                          </w:r>
                        </w:p>
                      </w:txbxContent>
                    </v:textbox>
                  </v:shape>
                  <v:shape id="Octagon 505026700" o:spid="_x0000_s2089" type="#_x0000_t10" style="position:absolute;left:522;top:3730;width:4320;height:4320;visibility:visible;mso-wrap-style:square;v-text-anchor:middle" fillcolor="white [3201]" strokecolor="#4bacc6 [3208]" strokeweight="2.5pt">
                    <v:shadow color="#868686"/>
                    <v:textbox style="mso-next-textbox:#Octagon 505026700" inset="0,0,0,0">
                      <w:txbxContent>
                        <w:p w14:paraId="4C35298A" w14:textId="77777777" w:rsidR="00B83D7D" w:rsidRDefault="00B83D7D" w:rsidP="0007342C">
                          <w:pPr>
                            <w:jc w:val="center"/>
                          </w:pPr>
                          <w:r w:rsidRPr="00E77D15">
                            <w:rPr>
                              <w:color w:val="4472C4"/>
                              <w:sz w:val="32"/>
                              <w:szCs w:val="32"/>
                            </w:rPr>
                            <w:t>25</w:t>
                          </w:r>
                        </w:p>
                      </w:txbxContent>
                    </v:textbox>
                  </v:shape>
                  <v:shape id="Octagon 505026701" o:spid="_x0000_s2090" type="#_x0000_t10" style="position:absolute;left:1024;top:7534;width:4320;height:4320;visibility:visible;mso-wrap-style:square;v-text-anchor:middle" fillcolor="white [3201]" strokecolor="#4bacc6 [3208]" strokeweight="2.5pt">
                    <v:shadow color="#868686"/>
                    <v:textbox style="mso-next-textbox:#Octagon 505026701" inset="0,0,0,0">
                      <w:txbxContent>
                        <w:p w14:paraId="2E877BA9" w14:textId="77777777" w:rsidR="00B83D7D" w:rsidRDefault="00B83D7D" w:rsidP="0007342C">
                          <w:pPr>
                            <w:jc w:val="center"/>
                          </w:pPr>
                          <w:r w:rsidRPr="00E77D15">
                            <w:rPr>
                              <w:color w:val="4472C4"/>
                              <w:sz w:val="32"/>
                              <w:szCs w:val="32"/>
                            </w:rPr>
                            <w:t>25</w:t>
                          </w:r>
                        </w:p>
                      </w:txbxContent>
                    </v:textbox>
                  </v:shape>
                  <w10:wrap type="none"/>
                  <w10:anchorlock/>
                </v:group>
              </w:pict>
            </w:r>
          </w:p>
        </w:tc>
        <w:tc>
          <w:tcPr>
            <w:tcW w:w="1644" w:type="dxa"/>
            <w:tcBorders>
              <w:top w:val="nil"/>
              <w:left w:val="nil"/>
              <w:bottom w:val="nil"/>
              <w:right w:val="nil"/>
            </w:tcBorders>
            <w:shd w:val="clear" w:color="auto" w:fill="E5DFEC" w:themeFill="accent4" w:themeFillTint="33"/>
          </w:tcPr>
          <w:p w14:paraId="1DADEF71" w14:textId="77777777" w:rsidR="00A1171E" w:rsidRPr="00761764" w:rsidRDefault="00A1171E" w:rsidP="00A1171E">
            <w:pPr>
              <w:spacing w:before="120" w:after="120"/>
              <w:jc w:val="center"/>
              <w:rPr>
                <w:rFonts w:ascii="Segoe UI Light" w:hAnsi="Segoe UI Light" w:cs="Segoe UI Light"/>
                <w:sz w:val="18"/>
                <w:szCs w:val="18"/>
                <w:lang w:eastAsia="lv-LV"/>
              </w:rPr>
            </w:pPr>
            <w:r w:rsidRPr="00761764">
              <w:rPr>
                <w:rFonts w:ascii="Segoe UI Light" w:hAnsi="Segoe UI Light" w:cs="Segoe UI Light"/>
                <w:sz w:val="18"/>
                <w:szCs w:val="18"/>
                <w:lang w:eastAsia="lv-LV"/>
              </w:rPr>
              <w:t>Izdevumi P&amp;A</w:t>
            </w:r>
            <w:r w:rsidRPr="00761764">
              <w:rPr>
                <w:rFonts w:ascii="Segoe UI Light" w:hAnsi="Segoe UI Light" w:cs="Segoe UI Light"/>
                <w:sz w:val="18"/>
                <w:szCs w:val="18"/>
                <w:lang w:eastAsia="lv-LV"/>
              </w:rPr>
              <w:br/>
              <w:t>% no IKP</w:t>
            </w:r>
          </w:p>
          <w:p w14:paraId="5493D739" w14:textId="34C77D2C" w:rsidR="00A1171E" w:rsidRPr="00761764" w:rsidRDefault="00A401AB" w:rsidP="00A1171E">
            <w:pPr>
              <w:spacing w:after="0"/>
              <w:rPr>
                <w:rFonts w:ascii="Segoe UI Light" w:hAnsi="Segoe UI Light" w:cs="Segoe UI Light"/>
              </w:rPr>
            </w:pPr>
            <w:r>
              <w:rPr>
                <w:rFonts w:ascii="Segoe UI Light" w:hAnsi="Segoe UI Light" w:cs="Segoe UI Light"/>
                <w:szCs w:val="22"/>
                <w14:ligatures w14:val="standardContextual"/>
              </w:rPr>
            </w:r>
            <w:r>
              <w:rPr>
                <w:rFonts w:ascii="Segoe UI Light" w:hAnsi="Segoe UI Light" w:cs="Segoe UI Light"/>
                <w:szCs w:val="22"/>
                <w14:ligatures w14:val="standardContextual"/>
              </w:rPr>
              <w:pict w14:anchorId="1D4BED30">
                <v:group id="Group 505026702" o:spid="_x0000_s2083" style="width:51pt;height:99.2pt;mso-position-horizontal-relative:char;mso-position-vertical-relative:line" coordsize="5344,11854">
                  <v:shape id="Octagon 505026703" o:spid="_x0000_s2084" type="#_x0000_t10" style="position:absolute;width:4320;height:4320;visibility:visible;mso-wrap-style:square;v-text-anchor:middle" fillcolor="white [3201]" strokecolor="#4bacc6 [3208]" strokeweight="2.5pt">
                    <v:shadow color="#868686"/>
                    <v:textbox style="mso-next-textbox:#Octagon 505026703" inset="0,0,0,0">
                      <w:txbxContent>
                        <w:p w14:paraId="04D71AD7" w14:textId="77777777" w:rsidR="00B83D7D" w:rsidRPr="00E77D15" w:rsidRDefault="00B83D7D" w:rsidP="0007342C">
                          <w:pPr>
                            <w:jc w:val="center"/>
                            <w:rPr>
                              <w:color w:val="4472C4"/>
                              <w:sz w:val="32"/>
                              <w:szCs w:val="32"/>
                            </w:rPr>
                          </w:pPr>
                          <w:r w:rsidRPr="00E77D15">
                            <w:rPr>
                              <w:color w:val="4472C4"/>
                              <w:sz w:val="32"/>
                              <w:szCs w:val="32"/>
                            </w:rPr>
                            <w:t>0,75</w:t>
                          </w:r>
                        </w:p>
                      </w:txbxContent>
                    </v:textbox>
                  </v:shape>
                  <v:shape id="Octagon 505026704" o:spid="_x0000_s2085" type="#_x0000_t10" style="position:absolute;left:522;top:3730;width:4320;height:4320;visibility:visible;mso-wrap-style:square;v-text-anchor:middle" fillcolor="white [3201]" strokecolor="#4bacc6 [3208]" strokeweight="2.5pt">
                    <v:shadow color="#868686"/>
                    <v:textbox style="mso-next-textbox:#Octagon 505026704" inset="0,0,0,0">
                      <w:txbxContent>
                        <w:p w14:paraId="4B2D59C2" w14:textId="77777777" w:rsidR="00B83D7D" w:rsidRPr="00E77D15" w:rsidRDefault="00B83D7D" w:rsidP="0007342C">
                          <w:pPr>
                            <w:jc w:val="center"/>
                            <w:rPr>
                              <w:color w:val="4472C4"/>
                              <w:sz w:val="32"/>
                              <w:szCs w:val="32"/>
                            </w:rPr>
                          </w:pPr>
                          <w:r w:rsidRPr="00E77D15">
                            <w:rPr>
                              <w:color w:val="4472C4"/>
                              <w:sz w:val="32"/>
                              <w:szCs w:val="32"/>
                            </w:rPr>
                            <w:t>1,5</w:t>
                          </w:r>
                        </w:p>
                      </w:txbxContent>
                    </v:textbox>
                  </v:shape>
                  <v:shape id="Octagon 505026705" o:spid="_x0000_s2086" type="#_x0000_t10" style="position:absolute;left:1024;top:7534;width:4320;height:4320;visibility:visible;mso-wrap-style:square;v-text-anchor:middle" fillcolor="white [3201]" strokecolor="#4bacc6 [3208]" strokeweight="2.5pt">
                    <v:shadow color="#868686"/>
                    <v:textbox style="mso-next-textbox:#Octagon 505026705" inset="0,0,0,0">
                      <w:txbxContent>
                        <w:p w14:paraId="25D95566" w14:textId="77777777" w:rsidR="00B83D7D" w:rsidRPr="00E77D15" w:rsidRDefault="00B83D7D" w:rsidP="0007342C">
                          <w:pPr>
                            <w:jc w:val="center"/>
                            <w:rPr>
                              <w:color w:val="4472C4"/>
                              <w:sz w:val="32"/>
                              <w:szCs w:val="32"/>
                            </w:rPr>
                          </w:pPr>
                          <w:r w:rsidRPr="00E77D15">
                            <w:rPr>
                              <w:color w:val="4472C4"/>
                              <w:sz w:val="32"/>
                              <w:szCs w:val="32"/>
                            </w:rPr>
                            <w:t>3,2</w:t>
                          </w:r>
                        </w:p>
                      </w:txbxContent>
                    </v:textbox>
                  </v:shape>
                  <w10:wrap type="none"/>
                  <w10:anchorlock/>
                </v:group>
              </w:pict>
            </w:r>
          </w:p>
        </w:tc>
        <w:tc>
          <w:tcPr>
            <w:tcW w:w="1644" w:type="dxa"/>
            <w:tcBorders>
              <w:top w:val="nil"/>
              <w:left w:val="nil"/>
              <w:bottom w:val="nil"/>
              <w:right w:val="nil"/>
            </w:tcBorders>
            <w:shd w:val="clear" w:color="auto" w:fill="E5DFEC" w:themeFill="accent4" w:themeFillTint="33"/>
          </w:tcPr>
          <w:p w14:paraId="065060A4" w14:textId="77777777" w:rsidR="00A1171E" w:rsidRPr="00761764" w:rsidRDefault="00A1171E" w:rsidP="00A1171E">
            <w:pPr>
              <w:spacing w:before="120" w:after="120"/>
              <w:jc w:val="center"/>
              <w:rPr>
                <w:rFonts w:ascii="Segoe UI Light" w:hAnsi="Segoe UI Light" w:cs="Segoe UI Light"/>
                <w:sz w:val="18"/>
                <w:szCs w:val="18"/>
                <w:lang w:eastAsia="lv-LV"/>
              </w:rPr>
            </w:pPr>
            <w:r w:rsidRPr="00761764">
              <w:rPr>
                <w:rFonts w:ascii="Segoe UI Light" w:hAnsi="Segoe UI Light" w:cs="Segoe UI Light"/>
                <w:sz w:val="18"/>
                <w:szCs w:val="18"/>
                <w:lang w:eastAsia="lv-LV"/>
              </w:rPr>
              <w:t>Bruto algas</w:t>
            </w:r>
            <w:r w:rsidRPr="00761764">
              <w:rPr>
                <w:rFonts w:ascii="Segoe UI Light" w:hAnsi="Segoe UI Light" w:cs="Segoe UI Light"/>
                <w:sz w:val="18"/>
                <w:szCs w:val="18"/>
                <w:lang w:eastAsia="lv-LV"/>
              </w:rPr>
              <w:br/>
              <w:t>EUR</w:t>
            </w:r>
          </w:p>
          <w:p w14:paraId="46B47E7F" w14:textId="549825B4" w:rsidR="00A1171E" w:rsidRPr="00761764" w:rsidRDefault="00A401AB" w:rsidP="00A1171E">
            <w:pPr>
              <w:spacing w:after="0"/>
              <w:rPr>
                <w:rFonts w:ascii="Segoe UI Light" w:hAnsi="Segoe UI Light" w:cs="Segoe UI Light"/>
              </w:rPr>
            </w:pPr>
            <w:r>
              <w:rPr>
                <w:rFonts w:ascii="Segoe UI Light" w:hAnsi="Segoe UI Light" w:cs="Segoe UI Light"/>
                <w:sz w:val="18"/>
                <w:szCs w:val="18"/>
                <w14:ligatures w14:val="standardContextual"/>
              </w:rPr>
            </w:r>
            <w:r>
              <w:rPr>
                <w:rFonts w:ascii="Segoe UI Light" w:hAnsi="Segoe UI Light" w:cs="Segoe UI Light"/>
                <w:sz w:val="18"/>
                <w:szCs w:val="18"/>
                <w14:ligatures w14:val="standardContextual"/>
              </w:rPr>
              <w:pict w14:anchorId="3490F3EC">
                <v:group id="Group 505026706" o:spid="_x0000_s2079" style="width:48.95pt;height:99.2pt;mso-position-horizontal-relative:char;mso-position-vertical-relative:line" coordsize="5427,11854">
                  <v:shape id="Octagon 505026707" o:spid="_x0000_s2080" type="#_x0000_t10" style="position:absolute;width:4320;height:4320;visibility:visible;mso-wrap-style:square;v-text-anchor:middle" fillcolor="white [3201]" strokecolor="#4bacc6 [3208]" strokeweight="2.5pt">
                    <v:shadow color="#868686"/>
                    <v:textbox style="mso-next-textbox:#Octagon 505026707" inset="0,0,0,0">
                      <w:txbxContent>
                        <w:p w14:paraId="37EA628D" w14:textId="77777777" w:rsidR="00B83D7D" w:rsidRPr="0015330F" w:rsidRDefault="00B83D7D" w:rsidP="00761764">
                          <w:pPr>
                            <w:spacing w:before="60" w:after="0"/>
                            <w:jc w:val="center"/>
                            <w:rPr>
                              <w:color w:val="4472C4"/>
                              <w:sz w:val="22"/>
                            </w:rPr>
                          </w:pPr>
                          <w:r w:rsidRPr="0015330F">
                            <w:rPr>
                              <w:color w:val="4472C4"/>
                              <w:sz w:val="22"/>
                            </w:rPr>
                            <w:t>1537</w:t>
                          </w:r>
                        </w:p>
                      </w:txbxContent>
                    </v:textbox>
                  </v:shape>
                  <v:shape id="Octagon 505026708" o:spid="_x0000_s2081" type="#_x0000_t10" style="position:absolute;left:522;top:3730;width:4320;height:4320;visibility:visible;mso-wrap-style:square;v-text-anchor:middle" fillcolor="white [3201]" strokecolor="#4bacc6 [3208]" strokeweight="2.5pt">
                    <v:shadow color="#868686"/>
                    <v:textbox style="mso-next-textbox:#Octagon 505026708" inset="0,0,0,0">
                      <w:txbxContent>
                        <w:p w14:paraId="35D38F71" w14:textId="77777777" w:rsidR="00B83D7D" w:rsidRPr="0015330F" w:rsidRDefault="00B83D7D" w:rsidP="00761764">
                          <w:pPr>
                            <w:spacing w:before="60" w:after="0"/>
                            <w:jc w:val="center"/>
                            <w:rPr>
                              <w:color w:val="4472C4"/>
                              <w:sz w:val="22"/>
                            </w:rPr>
                          </w:pPr>
                          <w:r w:rsidRPr="0015330F">
                            <w:rPr>
                              <w:color w:val="4472C4"/>
                              <w:sz w:val="22"/>
                            </w:rPr>
                            <w:t>2000</w:t>
                          </w:r>
                        </w:p>
                      </w:txbxContent>
                    </v:textbox>
                  </v:shape>
                  <v:shape id="Octagon 505026709" o:spid="_x0000_s2082" type="#_x0000_t10" style="position:absolute;left:1025;top:7534;width:4402;height:4320;visibility:visible;mso-wrap-style:square;v-text-anchor:middle" fillcolor="white [3201]" strokecolor="#4bacc6 [3208]" strokeweight="2.5pt">
                    <v:shadow color="#868686"/>
                    <v:textbox style="mso-next-textbox:#Octagon 505026709" inset="0,0,0,0">
                      <w:txbxContent>
                        <w:p w14:paraId="1032C230" w14:textId="77777777" w:rsidR="00B83D7D" w:rsidRPr="0015330F" w:rsidRDefault="00B83D7D" w:rsidP="00761764">
                          <w:pPr>
                            <w:spacing w:before="120" w:after="0"/>
                            <w:ind w:left="-57" w:right="-57"/>
                            <w:jc w:val="center"/>
                            <w:rPr>
                              <w:sz w:val="22"/>
                            </w:rPr>
                          </w:pPr>
                          <w:r w:rsidRPr="0015330F">
                            <w:rPr>
                              <w:color w:val="4472C4"/>
                              <w:sz w:val="22"/>
                            </w:rPr>
                            <w:t xml:space="preserve">&gt;3200 </w:t>
                          </w:r>
                        </w:p>
                      </w:txbxContent>
                    </v:textbox>
                  </v:shape>
                  <w10:wrap type="none"/>
                  <w10:anchorlock/>
                </v:group>
              </w:pict>
            </w:r>
          </w:p>
        </w:tc>
        <w:tc>
          <w:tcPr>
            <w:tcW w:w="1646" w:type="dxa"/>
            <w:tcBorders>
              <w:top w:val="nil"/>
              <w:left w:val="nil"/>
              <w:bottom w:val="nil"/>
              <w:right w:val="nil"/>
            </w:tcBorders>
            <w:shd w:val="clear" w:color="auto" w:fill="E5DFEC" w:themeFill="accent4" w:themeFillTint="33"/>
          </w:tcPr>
          <w:p w14:paraId="6103DF2E" w14:textId="77777777" w:rsidR="00A1171E" w:rsidRPr="00761764" w:rsidRDefault="00A1171E" w:rsidP="00A1171E">
            <w:pPr>
              <w:spacing w:before="120" w:after="120"/>
              <w:jc w:val="center"/>
              <w:rPr>
                <w:rFonts w:ascii="Segoe UI Light" w:hAnsi="Segoe UI Light" w:cs="Segoe UI Light"/>
                <w:sz w:val="18"/>
                <w:szCs w:val="18"/>
                <w:lang w:eastAsia="lv-LV"/>
              </w:rPr>
            </w:pPr>
            <w:r w:rsidRPr="00761764">
              <w:rPr>
                <w:rFonts w:ascii="Segoe UI Light" w:hAnsi="Segoe UI Light" w:cs="Segoe UI Light"/>
                <w:sz w:val="18"/>
                <w:szCs w:val="18"/>
                <w:lang w:eastAsia="lv-LV"/>
              </w:rPr>
              <w:t>Produktivitāte (</w:t>
            </w:r>
            <w:proofErr w:type="spellStart"/>
            <w:r w:rsidRPr="00761764">
              <w:rPr>
                <w:rFonts w:ascii="Segoe UI Light" w:hAnsi="Segoe UI Light" w:cs="Segoe UI Light"/>
                <w:sz w:val="18"/>
                <w:szCs w:val="18"/>
                <w:lang w:eastAsia="lv-LV"/>
              </w:rPr>
              <w:t>f.c</w:t>
            </w:r>
            <w:proofErr w:type="spellEnd"/>
            <w:r w:rsidRPr="00761764">
              <w:rPr>
                <w:rFonts w:ascii="Segoe UI Light" w:hAnsi="Segoe UI Light" w:cs="Segoe UI Light"/>
                <w:sz w:val="18"/>
                <w:szCs w:val="18"/>
                <w:lang w:eastAsia="lv-LV"/>
              </w:rPr>
              <w:t>.)</w:t>
            </w:r>
            <w:r w:rsidRPr="00761764">
              <w:rPr>
                <w:rFonts w:ascii="Segoe UI Light" w:hAnsi="Segoe UI Light" w:cs="Segoe UI Light"/>
                <w:sz w:val="18"/>
                <w:szCs w:val="18"/>
                <w:lang w:eastAsia="lv-LV"/>
              </w:rPr>
              <w:br/>
              <w:t>% no ES</w:t>
            </w:r>
          </w:p>
          <w:p w14:paraId="1565B158" w14:textId="6C95C4D8" w:rsidR="00A1171E" w:rsidRPr="00761764" w:rsidRDefault="00A401AB" w:rsidP="00A1171E">
            <w:pPr>
              <w:spacing w:after="0"/>
              <w:rPr>
                <w:rFonts w:ascii="Segoe UI Light" w:hAnsi="Segoe UI Light" w:cs="Segoe UI Light"/>
              </w:rPr>
            </w:pPr>
            <w:r>
              <w:rPr>
                <w:rFonts w:ascii="Segoe UI Light" w:hAnsi="Segoe UI Light" w:cs="Segoe UI Light"/>
                <w:szCs w:val="22"/>
                <w14:ligatures w14:val="standardContextual"/>
              </w:rPr>
            </w:r>
            <w:r>
              <w:rPr>
                <w:rFonts w:ascii="Segoe UI Light" w:hAnsi="Segoe UI Light" w:cs="Segoe UI Light"/>
                <w:szCs w:val="22"/>
                <w14:ligatures w14:val="standardContextual"/>
              </w:rPr>
              <w:pict w14:anchorId="78D54B4C">
                <v:group id="Group 505026710" o:spid="_x0000_s2075" style="width:51pt;height:99.2pt;mso-position-horizontal-relative:char;mso-position-vertical-relative:line" coordsize="5344,11854">
                  <v:shape id="Octagon 505026711" o:spid="_x0000_s2076" type="#_x0000_t10" style="position:absolute;width:4320;height:4320;visibility:visible;mso-wrap-style:square;v-text-anchor:middle" fillcolor="white [3201]" strokecolor="#4bacc6 [3208]" strokeweight="2.5pt">
                    <v:shadow color="#868686"/>
                    <v:textbox style="mso-next-textbox:#Octagon 505026711" inset="0,0,0,0">
                      <w:txbxContent>
                        <w:p w14:paraId="29B68E5C" w14:textId="77777777" w:rsidR="00B83D7D" w:rsidRPr="00E77D15" w:rsidRDefault="00B83D7D" w:rsidP="0007342C">
                          <w:pPr>
                            <w:jc w:val="center"/>
                            <w:rPr>
                              <w:color w:val="4472C4"/>
                              <w:sz w:val="32"/>
                              <w:szCs w:val="32"/>
                            </w:rPr>
                          </w:pPr>
                          <w:r w:rsidRPr="00E77D15">
                            <w:rPr>
                              <w:color w:val="4472C4"/>
                              <w:sz w:val="32"/>
                              <w:szCs w:val="32"/>
                            </w:rPr>
                            <w:t>60</w:t>
                          </w:r>
                        </w:p>
                      </w:txbxContent>
                    </v:textbox>
                  </v:shape>
                  <v:shape id="Octagon 505026712" o:spid="_x0000_s2077" type="#_x0000_t10" style="position:absolute;left:522;top:3730;width:4320;height:4320;visibility:visible;mso-wrap-style:square;v-text-anchor:middle" fillcolor="white [3201]" strokecolor="#4bacc6 [3208]" strokeweight="2.5pt">
                    <v:shadow color="#868686"/>
                    <v:textbox style="mso-next-textbox:#Octagon 505026712" inset="0,0,0,0">
                      <w:txbxContent>
                        <w:p w14:paraId="5B801AB0" w14:textId="77777777" w:rsidR="00B83D7D" w:rsidRPr="00E77D15" w:rsidRDefault="00B83D7D" w:rsidP="0007342C">
                          <w:pPr>
                            <w:jc w:val="center"/>
                            <w:rPr>
                              <w:color w:val="4472C4"/>
                              <w:sz w:val="32"/>
                              <w:szCs w:val="32"/>
                            </w:rPr>
                          </w:pPr>
                          <w:r w:rsidRPr="00E77D15">
                            <w:rPr>
                              <w:color w:val="4472C4"/>
                              <w:sz w:val="32"/>
                              <w:szCs w:val="32"/>
                            </w:rPr>
                            <w:t>72</w:t>
                          </w:r>
                        </w:p>
                        <w:p w14:paraId="5C8CC5C6" w14:textId="77777777" w:rsidR="00B83D7D" w:rsidRDefault="00B83D7D" w:rsidP="0007342C">
                          <w:pPr>
                            <w:jc w:val="center"/>
                          </w:pPr>
                        </w:p>
                      </w:txbxContent>
                    </v:textbox>
                  </v:shape>
                  <v:shape id="Octagon 505026713" o:spid="_x0000_s2078" type="#_x0000_t10" style="position:absolute;left:1024;top:7534;width:4320;height:4320;visibility:visible;mso-wrap-style:square;v-text-anchor:middle" fillcolor="white [3201]" strokecolor="#4bacc6 [3208]" strokeweight="2.5pt">
                    <v:shadow color="#868686"/>
                    <v:textbox style="mso-next-textbox:#Octagon 505026713" inset="0,0,0,0">
                      <w:txbxContent>
                        <w:p w14:paraId="1F8C3617" w14:textId="77777777" w:rsidR="00B83D7D" w:rsidRPr="00E77D15" w:rsidRDefault="00B83D7D" w:rsidP="0007342C">
                          <w:pPr>
                            <w:jc w:val="center"/>
                            <w:rPr>
                              <w:color w:val="4472C4"/>
                              <w:sz w:val="32"/>
                              <w:szCs w:val="32"/>
                            </w:rPr>
                          </w:pPr>
                          <w:r w:rsidRPr="00E77D15">
                            <w:rPr>
                              <w:color w:val="4472C4"/>
                              <w:sz w:val="32"/>
                              <w:szCs w:val="32"/>
                            </w:rPr>
                            <w:t>&gt;95</w:t>
                          </w:r>
                        </w:p>
                      </w:txbxContent>
                    </v:textbox>
                  </v:shape>
                  <w10:wrap type="none"/>
                  <w10:anchorlock/>
                </v:group>
              </w:pict>
            </w:r>
          </w:p>
        </w:tc>
      </w:tr>
    </w:tbl>
    <w:p w14:paraId="55EDF7D8" w14:textId="77777777" w:rsidR="00EE120B" w:rsidRPr="00761764" w:rsidRDefault="00EE120B" w:rsidP="00761764">
      <w:pPr>
        <w:spacing w:after="0"/>
        <w:ind w:firstLine="318"/>
        <w:rPr>
          <w:rFonts w:ascii="Segoe UI Light" w:hAnsi="Segoe UI Light" w:cs="Segoe UI Light"/>
          <w:sz w:val="14"/>
          <w:szCs w:val="14"/>
          <w:lang w:eastAsia="lv-LV"/>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222"/>
        <w:gridCol w:w="7561"/>
      </w:tblGrid>
      <w:tr w:rsidR="00761764" w:rsidRPr="00761764" w14:paraId="3F29EA52" w14:textId="77777777" w:rsidTr="00761764">
        <w:tc>
          <w:tcPr>
            <w:tcW w:w="4999" w:type="pct"/>
            <w:gridSpan w:val="3"/>
            <w:shd w:val="clear" w:color="auto" w:fill="5F497A" w:themeFill="accent4" w:themeFillShade="BF"/>
          </w:tcPr>
          <w:p w14:paraId="6DA3C783" w14:textId="77777777" w:rsidR="00761764" w:rsidRPr="00A70DBF" w:rsidRDefault="00761764" w:rsidP="00761764">
            <w:pPr>
              <w:spacing w:before="120" w:after="120"/>
              <w:jc w:val="center"/>
              <w:rPr>
                <w:rFonts w:ascii="Segoe UI Light" w:hAnsi="Segoe UI Light" w:cs="Segoe UI Light"/>
                <w:b/>
                <w:color w:val="FFFFFF" w:themeColor="background1"/>
                <w:sz w:val="24"/>
                <w:lang w:eastAsia="lv-LV"/>
              </w:rPr>
            </w:pPr>
            <w:r w:rsidRPr="00A70DBF">
              <w:rPr>
                <w:rFonts w:ascii="Segoe UI Light" w:hAnsi="Segoe UI Light" w:cs="Segoe UI Light"/>
                <w:b/>
                <w:color w:val="FFFFFF" w:themeColor="background1"/>
                <w:sz w:val="24"/>
                <w:lang w:eastAsia="lv-LV"/>
              </w:rPr>
              <w:t>IZAUGSMES MODELIS – EKSPORTĀ BALSTĪTA ATTĪSTĪBA</w:t>
            </w:r>
          </w:p>
        </w:tc>
      </w:tr>
      <w:tr w:rsidR="00761764" w:rsidRPr="00E77D15" w14:paraId="7204F0A7" w14:textId="77777777" w:rsidTr="00761764">
        <w:tc>
          <w:tcPr>
            <w:tcW w:w="4999" w:type="pct"/>
            <w:gridSpan w:val="3"/>
          </w:tcPr>
          <w:p w14:paraId="4CF8709C" w14:textId="77777777" w:rsidR="00761764" w:rsidRPr="00E77D15" w:rsidRDefault="00761764">
            <w:pPr>
              <w:spacing w:after="0"/>
              <w:ind w:firstLine="318"/>
              <w:rPr>
                <w:rFonts w:ascii="Aptos Narrow" w:hAnsi="Aptos Narrow" w:cs="Calibri"/>
                <w:sz w:val="14"/>
                <w:szCs w:val="14"/>
                <w:lang w:eastAsia="lv-LV"/>
              </w:rPr>
            </w:pPr>
          </w:p>
        </w:tc>
      </w:tr>
      <w:tr w:rsidR="00761764" w:rsidRPr="00E77D15" w14:paraId="1A43BACA" w14:textId="77777777" w:rsidTr="00761764">
        <w:trPr>
          <w:trHeight w:val="1814"/>
        </w:trPr>
        <w:tc>
          <w:tcPr>
            <w:tcW w:w="708" w:type="pct"/>
            <w:shd w:val="clear" w:color="auto" w:fill="E5DFEC" w:themeFill="accent4" w:themeFillTint="33"/>
          </w:tcPr>
          <w:p w14:paraId="42912AA8" w14:textId="77777777" w:rsidR="00761764" w:rsidRPr="00E77D15" w:rsidRDefault="00761764">
            <w:pPr>
              <w:spacing w:before="60"/>
              <w:jc w:val="center"/>
              <w:rPr>
                <w:rFonts w:ascii="Aptos Narrow" w:hAnsi="Aptos Narrow" w:cs="Calibri"/>
                <w:b/>
                <w:sz w:val="18"/>
                <w:szCs w:val="18"/>
                <w:u w:val="single"/>
                <w:lang w:eastAsia="lv-LV"/>
              </w:rPr>
            </w:pPr>
            <w:r w:rsidRPr="00E77D15">
              <w:rPr>
                <w:rFonts w:ascii="Aptos Narrow" w:hAnsi="Aptos Narrow" w:cs="Calibri"/>
                <w:b/>
                <w:sz w:val="18"/>
                <w:szCs w:val="18"/>
                <w:u w:val="single"/>
                <w:lang w:eastAsia="lv-LV"/>
              </w:rPr>
              <w:t>Ārējie faktori</w:t>
            </w:r>
          </w:p>
          <w:p w14:paraId="561E4FC3" w14:textId="77777777" w:rsidR="00761764" w:rsidRPr="00E77D15" w:rsidRDefault="00761764">
            <w:pPr>
              <w:spacing w:before="60" w:after="60"/>
              <w:jc w:val="center"/>
              <w:rPr>
                <w:rFonts w:ascii="Aptos Narrow" w:hAnsi="Aptos Narrow" w:cs="Calibri Light"/>
                <w:sz w:val="18"/>
                <w:szCs w:val="18"/>
                <w:lang w:eastAsia="lv-LV"/>
              </w:rPr>
            </w:pPr>
            <w:r w:rsidRPr="00E77D15">
              <w:rPr>
                <w:rFonts w:ascii="Aptos Narrow" w:hAnsi="Aptos Narrow" w:cs="Calibri"/>
                <w:noProof/>
                <w:sz w:val="22"/>
                <w:lang w:eastAsia="lv-LV"/>
              </w:rPr>
              <w:drawing>
                <wp:inline distT="0" distB="0" distL="0" distR="0" wp14:anchorId="3361A024" wp14:editId="434946DE">
                  <wp:extent cx="360000" cy="360000"/>
                  <wp:effectExtent l="0" t="0" r="2540" b="2540"/>
                  <wp:docPr id="505026640" name="Picture 505026640" descr="Globe Icon | Business &amp; Finance Outline Iconpack | Iconk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lobe Icon | Business &amp; Finance Outline Iconpack | Iconka.com"/>
                          <pic:cNvPicPr>
                            <a:picLocks noChangeAspect="1" noChangeArrowheads="1"/>
                          </pic:cNvPicPr>
                        </pic:nvPicPr>
                        <pic:blipFill>
                          <a:blip r:embed="rId109"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p w14:paraId="63E6D8C9" w14:textId="77777777" w:rsidR="00761764" w:rsidRPr="00E77D15" w:rsidRDefault="00761764" w:rsidP="00761764">
            <w:pPr>
              <w:spacing w:before="60" w:after="60"/>
              <w:jc w:val="center"/>
              <w:rPr>
                <w:rFonts w:ascii="Aptos Narrow" w:hAnsi="Aptos Narrow" w:cs="Calibri Light"/>
                <w:sz w:val="18"/>
                <w:szCs w:val="18"/>
                <w:lang w:eastAsia="lv-LV"/>
              </w:rPr>
            </w:pPr>
            <w:r w:rsidRPr="00E77D15">
              <w:rPr>
                <w:rFonts w:ascii="Aptos Narrow" w:hAnsi="Aptos Narrow" w:cs="Calibri Light"/>
                <w:sz w:val="18"/>
                <w:szCs w:val="18"/>
                <w:lang w:eastAsia="lv-LV"/>
              </w:rPr>
              <w:t>Ģeopolitiskā situācija</w:t>
            </w:r>
          </w:p>
          <w:p w14:paraId="2A1774E8" w14:textId="77777777" w:rsidR="00761764" w:rsidRPr="00E77D15" w:rsidRDefault="00761764">
            <w:pPr>
              <w:spacing w:before="60" w:after="120"/>
              <w:jc w:val="center"/>
              <w:rPr>
                <w:rFonts w:ascii="Aptos Narrow" w:hAnsi="Aptos Narrow" w:cs="Calibri Light"/>
                <w:sz w:val="4"/>
                <w:szCs w:val="4"/>
                <w:lang w:eastAsia="lv-LV"/>
              </w:rPr>
            </w:pPr>
          </w:p>
          <w:p w14:paraId="60ECB29C" w14:textId="77777777" w:rsidR="00761764" w:rsidRPr="00E77D15" w:rsidRDefault="00761764">
            <w:pPr>
              <w:spacing w:before="60" w:after="60"/>
              <w:jc w:val="center"/>
              <w:rPr>
                <w:rFonts w:ascii="Aptos Narrow" w:hAnsi="Aptos Narrow" w:cs="Calibri Light"/>
                <w:sz w:val="18"/>
                <w:szCs w:val="18"/>
                <w:lang w:eastAsia="lv-LV"/>
              </w:rPr>
            </w:pPr>
            <w:r w:rsidRPr="00E77D15">
              <w:rPr>
                <w:rFonts w:ascii="Aptos Narrow" w:hAnsi="Aptos Narrow" w:cs="Calibri"/>
                <w:noProof/>
                <w:sz w:val="22"/>
                <w:lang w:eastAsia="lv-LV"/>
              </w:rPr>
              <w:drawing>
                <wp:inline distT="0" distB="0" distL="0" distR="0" wp14:anchorId="6D30788E" wp14:editId="778DCB7B">
                  <wp:extent cx="408128" cy="396000"/>
                  <wp:effectExtent l="0" t="0" r="0" b="4445"/>
                  <wp:docPr id="505026641" name="Picture 505026641" descr="Best European Green Deal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st European Green Deal Royalty-Free Images, Stock Photos &amp; Pictures |  Shutterstock"/>
                          <pic:cNvPicPr>
                            <a:picLocks noChangeAspect="1" noChangeArrowheads="1"/>
                          </pic:cNvPicPr>
                        </pic:nvPicPr>
                        <pic:blipFill rotWithShape="1">
                          <a:blip r:embed="rId110" cstate="print">
                            <a:clrChange>
                              <a:clrFrom>
                                <a:srgbClr val="FFFFFF"/>
                              </a:clrFrom>
                              <a:clrTo>
                                <a:srgbClr val="FFFFFF">
                                  <a:alpha val="0"/>
                                </a:srgbClr>
                              </a:clrTo>
                            </a:clrChange>
                            <a:extLst>
                              <a:ext uri="{28A0092B-C50C-407E-A947-70E740481C1C}">
                                <a14:useLocalDpi xmlns:a14="http://schemas.microsoft.com/office/drawing/2010/main" val="0"/>
                              </a:ext>
                            </a:extLst>
                          </a:blip>
                          <a:srcRect l="23432" t="10442" r="22805" b="16753"/>
                          <a:stretch/>
                        </pic:blipFill>
                        <pic:spPr bwMode="auto">
                          <a:xfrm>
                            <a:off x="0" y="0"/>
                            <a:ext cx="408128" cy="396000"/>
                          </a:xfrm>
                          <a:prstGeom prst="rect">
                            <a:avLst/>
                          </a:prstGeom>
                          <a:noFill/>
                          <a:ln>
                            <a:noFill/>
                          </a:ln>
                          <a:extLst>
                            <a:ext uri="{53640926-AAD7-44D8-BBD7-CCE9431645EC}">
                              <a14:shadowObscured xmlns:a14="http://schemas.microsoft.com/office/drawing/2010/main"/>
                            </a:ext>
                          </a:extLst>
                        </pic:spPr>
                      </pic:pic>
                    </a:graphicData>
                  </a:graphic>
                </wp:inline>
              </w:drawing>
            </w:r>
          </w:p>
          <w:p w14:paraId="738CEBB4" w14:textId="77777777" w:rsidR="00761764" w:rsidRPr="00E77D15" w:rsidRDefault="00761764" w:rsidP="00761764">
            <w:pPr>
              <w:spacing w:before="60" w:after="60"/>
              <w:jc w:val="center"/>
              <w:rPr>
                <w:rFonts w:ascii="Aptos Narrow" w:hAnsi="Aptos Narrow" w:cs="Calibri Light"/>
                <w:sz w:val="18"/>
                <w:szCs w:val="18"/>
                <w:lang w:eastAsia="lv-LV"/>
              </w:rPr>
            </w:pPr>
            <w:r w:rsidRPr="00E77D15">
              <w:rPr>
                <w:rFonts w:ascii="Aptos Narrow" w:hAnsi="Aptos Narrow" w:cs="Calibri Light"/>
                <w:sz w:val="18"/>
                <w:szCs w:val="18"/>
                <w:lang w:eastAsia="lv-LV"/>
              </w:rPr>
              <w:t>ES zaļais kurss</w:t>
            </w:r>
          </w:p>
          <w:p w14:paraId="003B3ADA" w14:textId="77777777" w:rsidR="00761764" w:rsidRPr="00E77D15" w:rsidRDefault="00761764">
            <w:pPr>
              <w:spacing w:before="60" w:after="120"/>
              <w:jc w:val="center"/>
              <w:rPr>
                <w:rFonts w:ascii="Aptos Narrow" w:hAnsi="Aptos Narrow" w:cs="Calibri Light"/>
                <w:sz w:val="4"/>
                <w:szCs w:val="4"/>
                <w:lang w:eastAsia="lv-LV"/>
              </w:rPr>
            </w:pPr>
          </w:p>
          <w:p w14:paraId="7B4D6461" w14:textId="77777777" w:rsidR="00761764" w:rsidRPr="00E77D15" w:rsidRDefault="00761764">
            <w:pPr>
              <w:spacing w:before="60" w:after="60"/>
              <w:jc w:val="center"/>
              <w:rPr>
                <w:rFonts w:ascii="Aptos Narrow" w:hAnsi="Aptos Narrow" w:cs="Calibri Light"/>
                <w:sz w:val="18"/>
                <w:szCs w:val="18"/>
                <w:lang w:eastAsia="lv-LV"/>
              </w:rPr>
            </w:pPr>
            <w:r w:rsidRPr="00E77D15">
              <w:rPr>
                <w:rFonts w:ascii="Aptos Narrow" w:hAnsi="Aptos Narrow" w:cs="Calibri"/>
                <w:noProof/>
                <w:sz w:val="22"/>
                <w:lang w:eastAsia="lv-LV"/>
              </w:rPr>
              <w:drawing>
                <wp:inline distT="0" distB="0" distL="0" distR="0" wp14:anchorId="15C41D1B" wp14:editId="1F9D4C2F">
                  <wp:extent cx="432000" cy="432000"/>
                  <wp:effectExtent l="0" t="0" r="6350" b="6350"/>
                  <wp:docPr id="505026697" name="Picture 505026697" descr="Tech Icons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ch Icons Vector Art, Icons, and Graphics for Free Download"/>
                          <pic:cNvPicPr>
                            <a:picLocks noChangeAspect="1" noChangeArrowheads="1"/>
                          </pic:cNvPicPr>
                        </pic:nvPicPr>
                        <pic:blipFill>
                          <a:blip r:embed="rId1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p w14:paraId="6310DD5E" w14:textId="77777777" w:rsidR="00761764" w:rsidRPr="00E77D15" w:rsidRDefault="00761764" w:rsidP="00761764">
            <w:pPr>
              <w:spacing w:before="60" w:after="60"/>
              <w:jc w:val="center"/>
              <w:rPr>
                <w:rFonts w:ascii="Aptos Narrow" w:hAnsi="Aptos Narrow" w:cs="Calibri Light"/>
                <w:sz w:val="18"/>
                <w:szCs w:val="18"/>
                <w:lang w:eastAsia="lv-LV"/>
              </w:rPr>
            </w:pPr>
            <w:r w:rsidRPr="00E77D15">
              <w:rPr>
                <w:rFonts w:ascii="Aptos Narrow" w:hAnsi="Aptos Narrow" w:cs="Calibri Light"/>
                <w:sz w:val="18"/>
                <w:szCs w:val="18"/>
                <w:lang w:eastAsia="lv-LV"/>
              </w:rPr>
              <w:t>Tehnoloģiskais progress, inovācijas</w:t>
            </w:r>
          </w:p>
          <w:p w14:paraId="1909383E" w14:textId="77777777" w:rsidR="00761764" w:rsidRPr="00E77D15" w:rsidRDefault="00761764">
            <w:pPr>
              <w:spacing w:before="60" w:after="120"/>
              <w:jc w:val="center"/>
              <w:rPr>
                <w:rFonts w:ascii="Aptos Narrow" w:hAnsi="Aptos Narrow" w:cs="Calibri Light"/>
                <w:sz w:val="4"/>
                <w:szCs w:val="4"/>
                <w:lang w:eastAsia="lv-LV"/>
              </w:rPr>
            </w:pPr>
          </w:p>
          <w:p w14:paraId="11BF54E1" w14:textId="77777777" w:rsidR="00761764" w:rsidRPr="00E77D15" w:rsidRDefault="00761764">
            <w:pPr>
              <w:spacing w:before="60" w:after="60"/>
              <w:jc w:val="center"/>
              <w:rPr>
                <w:rFonts w:ascii="Aptos Narrow" w:hAnsi="Aptos Narrow" w:cs="Calibri Light"/>
                <w:sz w:val="18"/>
                <w:szCs w:val="18"/>
                <w:lang w:eastAsia="lv-LV"/>
              </w:rPr>
            </w:pPr>
            <w:r w:rsidRPr="00E77D15">
              <w:rPr>
                <w:rFonts w:ascii="Aptos Narrow" w:hAnsi="Aptos Narrow" w:cs="Calibri"/>
                <w:noProof/>
                <w:sz w:val="22"/>
                <w:lang w:eastAsia="lv-LV"/>
              </w:rPr>
              <w:drawing>
                <wp:inline distT="0" distB="0" distL="0" distR="0" wp14:anchorId="70806377" wp14:editId="0874B582">
                  <wp:extent cx="360000" cy="360000"/>
                  <wp:effectExtent l="0" t="0" r="2540" b="2540"/>
                  <wp:docPr id="505026643" name="Picture 505026643" descr="Ai Icons - Free SVG &amp; PNG Ai Images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i Icons - Free SVG &amp; PNG Ai Images - Noun Project"/>
                          <pic:cNvPicPr>
                            <a:picLocks noChangeAspect="1" noChangeArrowheads="1"/>
                          </pic:cNvPicPr>
                        </pic:nvPicPr>
                        <pic:blipFill>
                          <a:blip r:embed="rId112"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p w14:paraId="7427F19C" w14:textId="2F611D27" w:rsidR="00761764" w:rsidRPr="00E77D15" w:rsidRDefault="00761764" w:rsidP="00761764">
            <w:pPr>
              <w:spacing w:before="60" w:after="120"/>
              <w:jc w:val="center"/>
              <w:rPr>
                <w:rFonts w:ascii="Aptos Narrow" w:hAnsi="Aptos Narrow" w:cs="Calibri Light"/>
                <w:sz w:val="18"/>
                <w:szCs w:val="18"/>
                <w:lang w:eastAsia="lv-LV"/>
              </w:rPr>
            </w:pPr>
            <w:proofErr w:type="spellStart"/>
            <w:r w:rsidRPr="00E77D15">
              <w:rPr>
                <w:rFonts w:ascii="Aptos Narrow" w:hAnsi="Aptos Narrow" w:cs="Calibri Light"/>
                <w:sz w:val="18"/>
                <w:szCs w:val="18"/>
                <w:lang w:eastAsia="lv-LV"/>
              </w:rPr>
              <w:t>Digitalizācija</w:t>
            </w:r>
            <w:proofErr w:type="spellEnd"/>
            <w:r w:rsidRPr="00E77D15">
              <w:rPr>
                <w:rFonts w:ascii="Aptos Narrow" w:hAnsi="Aptos Narrow" w:cs="Calibri Light"/>
                <w:sz w:val="18"/>
                <w:szCs w:val="18"/>
                <w:lang w:eastAsia="lv-LV"/>
              </w:rPr>
              <w:t xml:space="preserve"> un mākslīgais intelekts</w:t>
            </w:r>
            <w:r w:rsidR="00605184">
              <w:rPr>
                <w:rFonts w:ascii="Aptos Narrow" w:hAnsi="Aptos Narrow" w:cs="Calibri Light"/>
                <w:sz w:val="18"/>
                <w:szCs w:val="18"/>
                <w:lang w:eastAsia="lv-LV"/>
              </w:rPr>
              <w:t xml:space="preserve"> (MI)</w:t>
            </w:r>
          </w:p>
        </w:tc>
        <w:tc>
          <w:tcPr>
            <w:tcW w:w="122" w:type="pct"/>
            <w:shd w:val="clear" w:color="auto" w:fill="E5DFEC" w:themeFill="accent4" w:themeFillTint="33"/>
          </w:tcPr>
          <w:p w14:paraId="3B6CDE84" w14:textId="387D5A47" w:rsidR="00761764" w:rsidRPr="00E77D15" w:rsidRDefault="00761764">
            <w:pPr>
              <w:spacing w:after="0"/>
              <w:rPr>
                <w:rFonts w:ascii="Calibri" w:hAnsi="Calibri" w:cs="Calibri"/>
                <w:sz w:val="22"/>
                <w:lang w:eastAsia="lv-LV"/>
              </w:rPr>
            </w:pPr>
            <w:r>
              <w:rPr>
                <w:noProof/>
              </w:rPr>
              <mc:AlternateContent>
                <mc:Choice Requires="wps">
                  <w:drawing>
                    <wp:anchor distT="0" distB="0" distL="114300" distR="114300" simplePos="0" relativeHeight="251658431" behindDoc="0" locked="0" layoutInCell="1" allowOverlap="1" wp14:anchorId="6E007909" wp14:editId="7C71E579">
                      <wp:simplePos x="0" y="0"/>
                      <wp:positionH relativeFrom="column">
                        <wp:posOffset>90170</wp:posOffset>
                      </wp:positionH>
                      <wp:positionV relativeFrom="paragraph">
                        <wp:posOffset>19685</wp:posOffset>
                      </wp:positionV>
                      <wp:extent cx="4582160" cy="893445"/>
                      <wp:effectExtent l="0" t="0" r="0" b="0"/>
                      <wp:wrapNone/>
                      <wp:docPr id="1047" name="Text Box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2160" cy="893445"/>
                              </a:xfrm>
                              <a:prstGeom prst="rect">
                                <a:avLst/>
                              </a:prstGeom>
                              <a:noFill/>
                            </wps:spPr>
                            <wps:txbx>
                              <w:txbxContent>
                                <w:p w14:paraId="62167306" w14:textId="77777777" w:rsidR="00B83D7D" w:rsidRPr="00C37E6D" w:rsidRDefault="00B83D7D" w:rsidP="00761764">
                                  <w:pPr>
                                    <w:kinsoku w:val="0"/>
                                    <w:overflowPunct w:val="0"/>
                                    <w:spacing w:after="12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①</w:t>
                                  </w:r>
                                  <w:r w:rsidRPr="00C37E6D">
                                    <w:rPr>
                                      <w:rFonts w:ascii="Aptos Narrow" w:hAnsi="Aptos Narrow" w:cs="Calibri Light"/>
                                      <w:kern w:val="24"/>
                                      <w:sz w:val="18"/>
                                      <w:szCs w:val="18"/>
                                    </w:rPr>
                                    <w:t xml:space="preserve"> </w:t>
                                  </w:r>
                                  <w:r w:rsidRPr="00C37E6D">
                                    <w:rPr>
                                      <w:rFonts w:ascii="Aptos Narrow" w:hAnsi="Aptos Narrow" w:cs="Arial"/>
                                      <w:kern w:val="24"/>
                                      <w:sz w:val="18"/>
                                      <w:szCs w:val="18"/>
                                    </w:rPr>
                                    <w:t xml:space="preserve">VISU IEDZĪVOTĀJU DZĪVES KVALITĀTE, IENĀKUMI, LABKLĀJĪBA </w:t>
                                  </w:r>
                                  <w:r w:rsidRPr="00C37E6D">
                                    <w:rPr>
                                      <w:rFonts w:ascii="Symbol" w:eastAsia="Symbol" w:hAnsi="Symbol" w:cs="Symbol"/>
                                      <w:kern w:val="24"/>
                                      <w:sz w:val="18"/>
                                      <w:szCs w:val="18"/>
                                    </w:rPr>
                                    <w:sym w:font="Symbol" w:char="F0AE"/>
                                  </w:r>
                                  <w:r w:rsidRPr="00C37E6D">
                                    <w:rPr>
                                      <w:rFonts w:ascii="Aptos Narrow" w:hAnsi="Aptos Narrow" w:cs="Arial"/>
                                      <w:kern w:val="24"/>
                                      <w:sz w:val="18"/>
                                      <w:szCs w:val="18"/>
                                    </w:rPr>
                                    <w:t xml:space="preserve"> PIEPRASĪJUMA </w:t>
                                  </w:r>
                                  <w:r>
                                    <w:rPr>
                                      <w:rFonts w:ascii="Aptos Narrow" w:hAnsi="Aptos Narrow" w:cs="Arial"/>
                                      <w:kern w:val="24"/>
                                      <w:sz w:val="18"/>
                                      <w:szCs w:val="18"/>
                                    </w:rPr>
                                    <w:br/>
                                  </w:r>
                                  <w:r w:rsidRPr="00C37E6D">
                                    <w:rPr>
                                      <w:rFonts w:ascii="Aptos Narrow" w:hAnsi="Aptos Narrow" w:cs="Arial"/>
                                      <w:kern w:val="24"/>
                                      <w:sz w:val="18"/>
                                      <w:szCs w:val="18"/>
                                    </w:rPr>
                                    <w:t>PIEAUGUMS – IEKŠĒJĀ TIRGUS ATTĪSTĪBA</w:t>
                                  </w:r>
                                </w:p>
                                <w:p w14:paraId="1247A42B" w14:textId="77777777" w:rsidR="00B83D7D" w:rsidRPr="00C37E6D" w:rsidRDefault="00B83D7D" w:rsidP="00761764">
                                  <w:pPr>
                                    <w:kinsoku w:val="0"/>
                                    <w:overflowPunct w:val="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②</w:t>
                                  </w:r>
                                  <w:r w:rsidRPr="00C37E6D">
                                    <w:rPr>
                                      <w:rFonts w:ascii="Aptos Narrow" w:hAnsi="Aptos Narrow" w:cs="Calibri Light"/>
                                      <w:kern w:val="24"/>
                                      <w:sz w:val="18"/>
                                      <w:szCs w:val="18"/>
                                    </w:rPr>
                                    <w:t xml:space="preserve"> LIEL</w:t>
                                  </w:r>
                                  <w:r w:rsidRPr="00C37E6D">
                                    <w:rPr>
                                      <w:rFonts w:ascii="Aptos Narrow" w:hAnsi="Aptos Narrow" w:cs="Arial Nova Cond"/>
                                      <w:kern w:val="24"/>
                                      <w:sz w:val="18"/>
                                      <w:szCs w:val="18"/>
                                    </w:rPr>
                                    <w:t>Ā</w:t>
                                  </w:r>
                                  <w:r w:rsidRPr="00C37E6D">
                                    <w:rPr>
                                      <w:rFonts w:ascii="Aptos Narrow" w:hAnsi="Aptos Narrow" w:cs="Calibri Light"/>
                                      <w:kern w:val="24"/>
                                      <w:sz w:val="18"/>
                                      <w:szCs w:val="18"/>
                                    </w:rPr>
                                    <w:t xml:space="preserve">KA EKONOMIKA </w:t>
                                  </w:r>
                                  <w:r w:rsidRPr="00C37E6D">
                                    <w:rPr>
                                      <w:rFonts w:ascii="Symbol" w:eastAsia="Symbol" w:hAnsi="Symbol" w:cs="Symbol"/>
                                      <w:kern w:val="24"/>
                                      <w:sz w:val="18"/>
                                      <w:szCs w:val="18"/>
                                    </w:rPr>
                                    <w:t></w:t>
                                  </w:r>
                                  <w:r w:rsidRPr="00C37E6D">
                                    <w:rPr>
                                      <w:rFonts w:ascii="Aptos Narrow" w:hAnsi="Aptos Narrow" w:cs="Calibri Light"/>
                                      <w:kern w:val="24"/>
                                      <w:sz w:val="18"/>
                                      <w:szCs w:val="18"/>
                                    </w:rPr>
                                    <w:t xml:space="preserve"> LIELĀKI IEŅĒMUMI VALSTS BUDŽETĀ = KVALITATĪVĀKI </w:t>
                                  </w:r>
                                  <w:r>
                                    <w:rPr>
                                      <w:rFonts w:ascii="Aptos Narrow" w:hAnsi="Aptos Narrow" w:cs="Calibri Light"/>
                                      <w:kern w:val="24"/>
                                      <w:sz w:val="18"/>
                                      <w:szCs w:val="18"/>
                                    </w:rPr>
                                    <w:br/>
                                  </w:r>
                                  <w:r w:rsidRPr="00C37E6D">
                                    <w:rPr>
                                      <w:rFonts w:ascii="Aptos Narrow" w:hAnsi="Aptos Narrow" w:cs="Calibri Light"/>
                                      <w:kern w:val="24"/>
                                      <w:sz w:val="18"/>
                                      <w:szCs w:val="18"/>
                                    </w:rPr>
                                    <w:t>PUBILISKIE PAKALPOJUMI, INFRASTRUKTŪRAS ATTĪSTĪBA</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E007909" id="Text Box 1047" o:spid="_x0000_s1206" type="#_x0000_t202" style="position:absolute;margin-left:7.1pt;margin-top:1.55pt;width:360.8pt;height:70.35pt;z-index:251658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" filled="f" stroked="f">
                      <v:textbox style="mso-fit-shape-to-text:t">
                        <w:txbxContent>
                          <w:p w14:paraId="62167306" w14:textId="77777777" w:rsidR="00B83D7D" w:rsidRPr="00C37E6D" w:rsidRDefault="00B83D7D" w:rsidP="00761764">
                            <w:pPr>
                              <w:kinsoku w:val="0"/>
                              <w:overflowPunct w:val="0"/>
                              <w:spacing w:after="12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①</w:t>
                            </w:r>
                            <w:r w:rsidRPr="00C37E6D">
                              <w:rPr>
                                <w:rFonts w:ascii="Aptos Narrow" w:hAnsi="Aptos Narrow" w:cs="Calibri Light"/>
                                <w:kern w:val="24"/>
                                <w:sz w:val="18"/>
                                <w:szCs w:val="18"/>
                              </w:rPr>
                              <w:t xml:space="preserve"> </w:t>
                            </w:r>
                            <w:r w:rsidRPr="00C37E6D">
                              <w:rPr>
                                <w:rFonts w:ascii="Aptos Narrow" w:hAnsi="Aptos Narrow" w:cs="Arial"/>
                                <w:kern w:val="24"/>
                                <w:sz w:val="18"/>
                                <w:szCs w:val="18"/>
                              </w:rPr>
                              <w:t xml:space="preserve">VISU IEDZĪVOTĀJU DZĪVES KVALITĀTE, IENĀKUMI, LABKLĀJĪBA </w:t>
                            </w:r>
                            <w:r w:rsidRPr="00C37E6D">
                              <w:rPr>
                                <w:rFonts w:ascii="Symbol" w:eastAsia="Symbol" w:hAnsi="Symbol" w:cs="Symbol"/>
                                <w:kern w:val="24"/>
                                <w:sz w:val="18"/>
                                <w:szCs w:val="18"/>
                              </w:rPr>
                              <w:sym w:font="Symbol" w:char="F0AE"/>
                            </w:r>
                            <w:r w:rsidRPr="00C37E6D">
                              <w:rPr>
                                <w:rFonts w:ascii="Aptos Narrow" w:hAnsi="Aptos Narrow" w:cs="Arial"/>
                                <w:kern w:val="24"/>
                                <w:sz w:val="18"/>
                                <w:szCs w:val="18"/>
                              </w:rPr>
                              <w:t xml:space="preserve"> PIEPRASĪJUMA </w:t>
                            </w:r>
                            <w:r>
                              <w:rPr>
                                <w:rFonts w:ascii="Aptos Narrow" w:hAnsi="Aptos Narrow" w:cs="Arial"/>
                                <w:kern w:val="24"/>
                                <w:sz w:val="18"/>
                                <w:szCs w:val="18"/>
                              </w:rPr>
                              <w:br/>
                            </w:r>
                            <w:r w:rsidRPr="00C37E6D">
                              <w:rPr>
                                <w:rFonts w:ascii="Aptos Narrow" w:hAnsi="Aptos Narrow" w:cs="Arial"/>
                                <w:kern w:val="24"/>
                                <w:sz w:val="18"/>
                                <w:szCs w:val="18"/>
                              </w:rPr>
                              <w:t>PIEAUGUMS – IEKŠĒJĀ TIRGUS ATTĪSTĪBA</w:t>
                            </w:r>
                          </w:p>
                          <w:p w14:paraId="1247A42B" w14:textId="77777777" w:rsidR="00B83D7D" w:rsidRPr="00C37E6D" w:rsidRDefault="00B83D7D" w:rsidP="00761764">
                            <w:pPr>
                              <w:kinsoku w:val="0"/>
                              <w:overflowPunct w:val="0"/>
                              <w:ind w:left="284" w:hanging="284"/>
                              <w:jc w:val="center"/>
                              <w:textAlignment w:val="baseline"/>
                              <w:rPr>
                                <w:rFonts w:ascii="Aptos Narrow" w:hAnsi="Aptos Narrow" w:cs="Arial"/>
                                <w:kern w:val="24"/>
                                <w:sz w:val="18"/>
                                <w:szCs w:val="18"/>
                              </w:rPr>
                            </w:pPr>
                            <w:r w:rsidRPr="00C37E6D">
                              <w:rPr>
                                <w:rFonts w:ascii="Aptos Narrow" w:hAnsi="Aptos Narrow" w:cs="Cambria Math"/>
                                <w:kern w:val="24"/>
                                <w:sz w:val="18"/>
                                <w:szCs w:val="18"/>
                              </w:rPr>
                              <w:t>②</w:t>
                            </w:r>
                            <w:r w:rsidRPr="00C37E6D">
                              <w:rPr>
                                <w:rFonts w:ascii="Aptos Narrow" w:hAnsi="Aptos Narrow" w:cs="Calibri Light"/>
                                <w:kern w:val="24"/>
                                <w:sz w:val="18"/>
                                <w:szCs w:val="18"/>
                              </w:rPr>
                              <w:t xml:space="preserve"> LIEL</w:t>
                            </w:r>
                            <w:r w:rsidRPr="00C37E6D">
                              <w:rPr>
                                <w:rFonts w:ascii="Aptos Narrow" w:hAnsi="Aptos Narrow" w:cs="Arial Nova Cond"/>
                                <w:kern w:val="24"/>
                                <w:sz w:val="18"/>
                                <w:szCs w:val="18"/>
                              </w:rPr>
                              <w:t>Ā</w:t>
                            </w:r>
                            <w:r w:rsidRPr="00C37E6D">
                              <w:rPr>
                                <w:rFonts w:ascii="Aptos Narrow" w:hAnsi="Aptos Narrow" w:cs="Calibri Light"/>
                                <w:kern w:val="24"/>
                                <w:sz w:val="18"/>
                                <w:szCs w:val="18"/>
                              </w:rPr>
                              <w:t xml:space="preserve">KA EKONOMIKA </w:t>
                            </w:r>
                            <w:r w:rsidRPr="00C37E6D">
                              <w:rPr>
                                <w:rFonts w:ascii="Symbol" w:eastAsia="Symbol" w:hAnsi="Symbol" w:cs="Symbol"/>
                                <w:kern w:val="24"/>
                                <w:sz w:val="18"/>
                                <w:szCs w:val="18"/>
                              </w:rPr>
                              <w:t></w:t>
                            </w:r>
                            <w:r w:rsidRPr="00C37E6D">
                              <w:rPr>
                                <w:rFonts w:ascii="Aptos Narrow" w:hAnsi="Aptos Narrow" w:cs="Calibri Light"/>
                                <w:kern w:val="24"/>
                                <w:sz w:val="18"/>
                                <w:szCs w:val="18"/>
                              </w:rPr>
                              <w:t xml:space="preserve"> LIELĀKI IEŅĒMUMI VALSTS BUDŽETĀ = KVALITATĪVĀKI </w:t>
                            </w:r>
                            <w:r>
                              <w:rPr>
                                <w:rFonts w:ascii="Aptos Narrow" w:hAnsi="Aptos Narrow" w:cs="Calibri Light"/>
                                <w:kern w:val="24"/>
                                <w:sz w:val="18"/>
                                <w:szCs w:val="18"/>
                              </w:rPr>
                              <w:br/>
                            </w:r>
                            <w:r w:rsidRPr="00C37E6D">
                              <w:rPr>
                                <w:rFonts w:ascii="Aptos Narrow" w:hAnsi="Aptos Narrow" w:cs="Calibri Light"/>
                                <w:kern w:val="24"/>
                                <w:sz w:val="18"/>
                                <w:szCs w:val="18"/>
                              </w:rPr>
                              <w:t>PUBILISKIE PAKALPOJUMI, INFRASTRUKTŪRAS ATTĪSTĪBA</w:t>
                            </w:r>
                          </w:p>
                        </w:txbxContent>
                      </v:textbox>
                    </v:shape>
                  </w:pict>
                </mc:Fallback>
              </mc:AlternateContent>
            </w:r>
          </w:p>
          <w:p w14:paraId="5AA136B5" w14:textId="77777777" w:rsidR="00761764" w:rsidRPr="00E77D15" w:rsidRDefault="00761764">
            <w:pPr>
              <w:spacing w:after="0"/>
              <w:rPr>
                <w:rFonts w:ascii="Calibri" w:hAnsi="Calibri" w:cs="Calibri"/>
                <w:sz w:val="22"/>
                <w:lang w:eastAsia="lv-LV"/>
              </w:rPr>
            </w:pPr>
          </w:p>
          <w:p w14:paraId="75BCA5E7" w14:textId="77777777" w:rsidR="00761764" w:rsidRPr="00E77D15" w:rsidRDefault="00761764">
            <w:pPr>
              <w:spacing w:after="0"/>
              <w:rPr>
                <w:rFonts w:ascii="Calibri" w:hAnsi="Calibri" w:cs="Calibri"/>
                <w:sz w:val="22"/>
                <w:lang w:eastAsia="lv-LV"/>
              </w:rPr>
            </w:pPr>
          </w:p>
          <w:p w14:paraId="61357B30" w14:textId="3641A37E" w:rsidR="00761764" w:rsidRPr="00E77D15" w:rsidRDefault="00761764">
            <w:pPr>
              <w:spacing w:after="0"/>
              <w:rPr>
                <w:rFonts w:ascii="Calibri" w:hAnsi="Calibri" w:cs="Calibri"/>
                <w:sz w:val="22"/>
                <w:lang w:eastAsia="lv-LV"/>
              </w:rPr>
            </w:pPr>
            <w:r>
              <w:rPr>
                <w:noProof/>
              </w:rPr>
              <mc:AlternateContent>
                <mc:Choice Requires="wps">
                  <w:drawing>
                    <wp:anchor distT="0" distB="0" distL="114300" distR="114300" simplePos="0" relativeHeight="251658429" behindDoc="0" locked="0" layoutInCell="1" allowOverlap="1" wp14:anchorId="23304E79" wp14:editId="335746BE">
                      <wp:simplePos x="0" y="0"/>
                      <wp:positionH relativeFrom="column">
                        <wp:posOffset>2070735</wp:posOffset>
                      </wp:positionH>
                      <wp:positionV relativeFrom="paragraph">
                        <wp:posOffset>171450</wp:posOffset>
                      </wp:positionV>
                      <wp:extent cx="549910" cy="374015"/>
                      <wp:effectExtent l="0" t="0" r="0" b="0"/>
                      <wp:wrapNone/>
                      <wp:docPr id="1046" name="Text Box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374015"/>
                              </a:xfrm>
                              <a:prstGeom prst="rect">
                                <a:avLst/>
                              </a:prstGeom>
                              <a:noFill/>
                            </wps:spPr>
                            <wps:txbx>
                              <w:txbxContent>
                                <w:p w14:paraId="65662844"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3304E79" id="Text Box 1046" o:spid="_x0000_s1207" type="#_x0000_t202" style="position:absolute;margin-left:163.05pt;margin-top:13.5pt;width:43.3pt;height:29.45pt;z-index:251658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" filled="f" stroked="f">
                      <v:textbox style="mso-fit-shape-to-text:t">
                        <w:txbxContent>
                          <w:p w14:paraId="65662844"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w:pict>
                </mc:Fallback>
              </mc:AlternateContent>
            </w:r>
          </w:p>
          <w:p w14:paraId="5BC3CC68" w14:textId="77777777" w:rsidR="00761764" w:rsidRPr="00E77D15" w:rsidRDefault="00761764">
            <w:pPr>
              <w:spacing w:after="0"/>
              <w:rPr>
                <w:rFonts w:ascii="Calibri" w:hAnsi="Calibri" w:cs="Calibri"/>
                <w:sz w:val="22"/>
                <w:lang w:eastAsia="lv-LV"/>
              </w:rPr>
            </w:pPr>
          </w:p>
          <w:p w14:paraId="0185A82C" w14:textId="77777777" w:rsidR="00761764" w:rsidRPr="00E77D15" w:rsidRDefault="00761764">
            <w:pPr>
              <w:spacing w:after="0"/>
              <w:rPr>
                <w:rFonts w:ascii="Calibri" w:hAnsi="Calibri" w:cs="Calibri"/>
                <w:sz w:val="22"/>
                <w:lang w:eastAsia="lv-LV"/>
              </w:rPr>
            </w:pPr>
          </w:p>
          <w:p w14:paraId="7F915328" w14:textId="4B451DC7" w:rsidR="00761764" w:rsidRPr="00E77D15" w:rsidRDefault="00761764">
            <w:pPr>
              <w:spacing w:after="0"/>
              <w:rPr>
                <w:rFonts w:ascii="Calibri" w:hAnsi="Calibri" w:cs="Calibri"/>
                <w:sz w:val="22"/>
                <w:lang w:eastAsia="lv-LV"/>
              </w:rPr>
            </w:pPr>
            <w:r>
              <w:rPr>
                <w:noProof/>
              </w:rPr>
              <mc:AlternateContent>
                <mc:Choice Requires="wps">
                  <w:drawing>
                    <wp:anchor distT="0" distB="0" distL="114300" distR="114300" simplePos="0" relativeHeight="251658426" behindDoc="0" locked="0" layoutInCell="1" allowOverlap="1" wp14:anchorId="0F3F49B5" wp14:editId="3B446E38">
                      <wp:simplePos x="0" y="0"/>
                      <wp:positionH relativeFrom="column">
                        <wp:posOffset>2071370</wp:posOffset>
                      </wp:positionH>
                      <wp:positionV relativeFrom="paragraph">
                        <wp:posOffset>127000</wp:posOffset>
                      </wp:positionV>
                      <wp:extent cx="549910" cy="374015"/>
                      <wp:effectExtent l="0" t="0" r="0" b="0"/>
                      <wp:wrapNone/>
                      <wp:docPr id="1045" name="Text Box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374015"/>
                              </a:xfrm>
                              <a:prstGeom prst="rect">
                                <a:avLst/>
                              </a:prstGeom>
                              <a:noFill/>
                            </wps:spPr>
                            <wps:txbx>
                              <w:txbxContent>
                                <w:p w14:paraId="4193CF52"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F3F49B5" id="Text Box 1045" o:spid="_x0000_s1208" type="#_x0000_t202" style="position:absolute;margin-left:163.1pt;margin-top:10pt;width:43.3pt;height:29.45pt;z-index:251658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" filled="f" stroked="f">
                      <v:textbox style="mso-fit-shape-to-text:t">
                        <w:txbxContent>
                          <w:p w14:paraId="4193CF52"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w:pict>
                </mc:Fallback>
              </mc:AlternateContent>
            </w:r>
          </w:p>
          <w:p w14:paraId="05302810" w14:textId="77777777" w:rsidR="00761764" w:rsidRPr="00E77D15" w:rsidRDefault="00761764">
            <w:pPr>
              <w:spacing w:after="0"/>
              <w:rPr>
                <w:rFonts w:ascii="Calibri" w:hAnsi="Calibri" w:cs="Calibri"/>
                <w:sz w:val="22"/>
                <w:lang w:eastAsia="lv-LV"/>
              </w:rPr>
            </w:pPr>
          </w:p>
          <w:p w14:paraId="237D9680" w14:textId="6DF07E82" w:rsidR="00761764" w:rsidRPr="00E77D15" w:rsidRDefault="00761764">
            <w:pPr>
              <w:spacing w:after="0"/>
              <w:rPr>
                <w:rFonts w:ascii="Calibri" w:hAnsi="Calibri" w:cs="Calibri"/>
                <w:sz w:val="22"/>
                <w:lang w:eastAsia="lv-LV"/>
              </w:rPr>
            </w:pPr>
            <w:r>
              <w:rPr>
                <w:noProof/>
              </w:rPr>
              <mc:AlternateContent>
                <mc:Choice Requires="wps">
                  <w:drawing>
                    <wp:anchor distT="0" distB="0" distL="114300" distR="114300" simplePos="0" relativeHeight="251658421" behindDoc="0" locked="0" layoutInCell="1" allowOverlap="1" wp14:anchorId="09FB5EC1" wp14:editId="2F551417">
                      <wp:simplePos x="0" y="0"/>
                      <wp:positionH relativeFrom="column">
                        <wp:posOffset>91440</wp:posOffset>
                      </wp:positionH>
                      <wp:positionV relativeFrom="paragraph">
                        <wp:posOffset>5715</wp:posOffset>
                      </wp:positionV>
                      <wp:extent cx="4572000" cy="360045"/>
                      <wp:effectExtent l="0" t="0" r="0" b="1905"/>
                      <wp:wrapNone/>
                      <wp:docPr id="1044" name="Text 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360045"/>
                              </a:xfrm>
                              <a:prstGeom prst="rect">
                                <a:avLst/>
                              </a:prstGeom>
                              <a:solidFill>
                                <a:sysClr val="window" lastClr="FFFFFF">
                                  <a:lumMod val="95000"/>
                                </a:sysClr>
                              </a:solidFill>
                              <a:ln w="28575">
                                <a:noFill/>
                              </a:ln>
                            </wps:spPr>
                            <wps:txbx>
                              <w:txbxContent>
                                <w:p w14:paraId="3AA443D1" w14:textId="77777777" w:rsidR="00B83D7D" w:rsidRPr="00E77D15" w:rsidRDefault="00B83D7D" w:rsidP="00761764">
                                  <w:pPr>
                                    <w:kinsoku w:val="0"/>
                                    <w:overflowPunct w:val="0"/>
                                    <w:spacing w:after="0"/>
                                    <w:jc w:val="center"/>
                                    <w:textAlignment w:val="baseline"/>
                                    <w:rPr>
                                      <w:rFonts w:ascii="Aptos Narrow" w:hAnsi="Aptos Narrow" w:cs="Arial"/>
                                      <w:color w:val="000000"/>
                                      <w:kern w:val="24"/>
                                      <w:szCs w:val="20"/>
                                    </w:rPr>
                                  </w:pPr>
                                  <w:r w:rsidRPr="00E77D15">
                                    <w:rPr>
                                      <w:rFonts w:ascii="Aptos Narrow" w:hAnsi="Aptos Narrow" w:cs="Arial"/>
                                      <w:color w:val="000000"/>
                                      <w:kern w:val="24"/>
                                      <w:szCs w:val="20"/>
                                    </w:rPr>
                                    <w:t xml:space="preserve">Jauni produkti un pakalpojumi globālā tirgū – </w:t>
                                  </w:r>
                                </w:p>
                                <w:p w14:paraId="4ACA8EE7" w14:textId="77777777" w:rsidR="00B83D7D" w:rsidRPr="00E77D15" w:rsidRDefault="00B83D7D" w:rsidP="00761764">
                                  <w:pPr>
                                    <w:kinsoku w:val="0"/>
                                    <w:overflowPunct w:val="0"/>
                                    <w:spacing w:after="0"/>
                                    <w:jc w:val="center"/>
                                    <w:textAlignment w:val="baseline"/>
                                    <w:rPr>
                                      <w:rFonts w:ascii="Aptos Narrow" w:hAnsi="Aptos Narrow" w:cs="Arial"/>
                                      <w:b/>
                                      <w:bCs/>
                                      <w:color w:val="008080"/>
                                      <w:kern w:val="24"/>
                                      <w:szCs w:val="20"/>
                                    </w:rPr>
                                  </w:pPr>
                                  <w:r w:rsidRPr="00E77D15">
                                    <w:rPr>
                                      <w:rFonts w:ascii="Aptos Narrow" w:hAnsi="Aptos Narrow" w:cs="Arial"/>
                                      <w:b/>
                                      <w:bCs/>
                                      <w:color w:val="008080"/>
                                      <w:kern w:val="24"/>
                                      <w:szCs w:val="20"/>
                                    </w:rPr>
                                    <w:t>IENĀKUMU PIEAUGUMS NO EKSPORTA</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9FB5EC1" id="Text Box 1044" o:spid="_x0000_s1209" type="#_x0000_t202" style="position:absolute;margin-left:7.2pt;margin-top:.45pt;width:5in;height:28.35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" fillcolor="#f2f2f2" stroked="f" strokeweight="2.25pt">
                      <v:textbox inset="0,0,0,0">
                        <w:txbxContent>
                          <w:p w14:paraId="3AA443D1" w14:textId="77777777" w:rsidR="00B83D7D" w:rsidRPr="00E77D15" w:rsidRDefault="00B83D7D" w:rsidP="00761764">
                            <w:pPr>
                              <w:kinsoku w:val="0"/>
                              <w:overflowPunct w:val="0"/>
                              <w:spacing w:after="0"/>
                              <w:jc w:val="center"/>
                              <w:textAlignment w:val="baseline"/>
                              <w:rPr>
                                <w:rFonts w:ascii="Aptos Narrow" w:hAnsi="Aptos Narrow" w:cs="Arial"/>
                                <w:color w:val="000000"/>
                                <w:kern w:val="24"/>
                                <w:szCs w:val="20"/>
                              </w:rPr>
                            </w:pPr>
                            <w:r w:rsidRPr="00E77D15">
                              <w:rPr>
                                <w:rFonts w:ascii="Aptos Narrow" w:hAnsi="Aptos Narrow" w:cs="Arial"/>
                                <w:color w:val="000000"/>
                                <w:kern w:val="24"/>
                                <w:szCs w:val="20"/>
                              </w:rPr>
                              <w:t xml:space="preserve">Jauni produkti un pakalpojumi globālā tirgū – </w:t>
                            </w:r>
                          </w:p>
                          <w:p w14:paraId="4ACA8EE7" w14:textId="77777777" w:rsidR="00B83D7D" w:rsidRPr="00E77D15" w:rsidRDefault="00B83D7D" w:rsidP="00761764">
                            <w:pPr>
                              <w:kinsoku w:val="0"/>
                              <w:overflowPunct w:val="0"/>
                              <w:spacing w:after="0"/>
                              <w:jc w:val="center"/>
                              <w:textAlignment w:val="baseline"/>
                              <w:rPr>
                                <w:rFonts w:ascii="Aptos Narrow" w:hAnsi="Aptos Narrow" w:cs="Arial"/>
                                <w:b/>
                                <w:bCs/>
                                <w:color w:val="008080"/>
                                <w:kern w:val="24"/>
                                <w:szCs w:val="20"/>
                              </w:rPr>
                            </w:pPr>
                            <w:r w:rsidRPr="00E77D15">
                              <w:rPr>
                                <w:rFonts w:ascii="Aptos Narrow" w:hAnsi="Aptos Narrow" w:cs="Arial"/>
                                <w:b/>
                                <w:bCs/>
                                <w:color w:val="008080"/>
                                <w:kern w:val="24"/>
                                <w:szCs w:val="20"/>
                              </w:rPr>
                              <w:t>IENĀKUMU PIEAUGUMS NO EKSPORTA</w:t>
                            </w:r>
                          </w:p>
                        </w:txbxContent>
                      </v:textbox>
                    </v:shape>
                  </w:pict>
                </mc:Fallback>
              </mc:AlternateContent>
            </w:r>
          </w:p>
          <w:p w14:paraId="2403782E" w14:textId="77777777" w:rsidR="00761764" w:rsidRPr="00E77D15" w:rsidRDefault="00761764">
            <w:pPr>
              <w:spacing w:after="0"/>
              <w:rPr>
                <w:rFonts w:ascii="Calibri" w:hAnsi="Calibri" w:cs="Calibri"/>
                <w:sz w:val="22"/>
                <w:lang w:eastAsia="lv-LV"/>
              </w:rPr>
            </w:pPr>
          </w:p>
          <w:p w14:paraId="342641B9" w14:textId="2A647950" w:rsidR="00761764" w:rsidRPr="00E77D15" w:rsidRDefault="00761764">
            <w:pPr>
              <w:spacing w:after="0"/>
              <w:rPr>
                <w:rFonts w:ascii="Calibri" w:hAnsi="Calibri" w:cs="Calibri"/>
                <w:sz w:val="22"/>
                <w:lang w:eastAsia="lv-LV"/>
              </w:rPr>
            </w:pPr>
            <w:r>
              <w:rPr>
                <w:noProof/>
              </w:rPr>
              <mc:AlternateContent>
                <mc:Choice Requires="wps">
                  <w:drawing>
                    <wp:anchor distT="0" distB="0" distL="114300" distR="114300" simplePos="0" relativeHeight="251658427" behindDoc="0" locked="0" layoutInCell="1" allowOverlap="1" wp14:anchorId="0B6EB5DC" wp14:editId="6BF17D65">
                      <wp:simplePos x="0" y="0"/>
                      <wp:positionH relativeFrom="column">
                        <wp:posOffset>2071370</wp:posOffset>
                      </wp:positionH>
                      <wp:positionV relativeFrom="paragraph">
                        <wp:posOffset>24765</wp:posOffset>
                      </wp:positionV>
                      <wp:extent cx="549910" cy="374015"/>
                      <wp:effectExtent l="0" t="0" r="0" b="0"/>
                      <wp:wrapNone/>
                      <wp:docPr id="1043" name="Text 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374015"/>
                              </a:xfrm>
                              <a:prstGeom prst="rect">
                                <a:avLst/>
                              </a:prstGeom>
                              <a:noFill/>
                            </wps:spPr>
                            <wps:txbx>
                              <w:txbxContent>
                                <w:p w14:paraId="3E2AEF0D"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B6EB5DC" id="Text Box 1043" o:spid="_x0000_s1210" type="#_x0000_t202" style="position:absolute;margin-left:163.1pt;margin-top:1.95pt;width:43.3pt;height:29.45pt;z-index:251658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" filled="f" stroked="f">
                      <v:textbox style="mso-fit-shape-to-text:t">
                        <w:txbxContent>
                          <w:p w14:paraId="3E2AEF0D"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w:pict>
                </mc:Fallback>
              </mc:AlternateContent>
            </w:r>
          </w:p>
          <w:p w14:paraId="3AB414D9" w14:textId="4055AAC5" w:rsidR="00761764" w:rsidRPr="00E77D15" w:rsidRDefault="00761764">
            <w:pPr>
              <w:spacing w:after="0"/>
              <w:rPr>
                <w:rFonts w:ascii="Calibri" w:hAnsi="Calibri" w:cs="Calibri"/>
                <w:sz w:val="22"/>
                <w:lang w:eastAsia="lv-LV"/>
              </w:rPr>
            </w:pPr>
            <w:r>
              <w:rPr>
                <w:noProof/>
              </w:rPr>
              <mc:AlternateContent>
                <mc:Choice Requires="wps">
                  <w:drawing>
                    <wp:anchor distT="0" distB="0" distL="114300" distR="114300" simplePos="0" relativeHeight="251658422" behindDoc="0" locked="0" layoutInCell="1" allowOverlap="1" wp14:anchorId="31435EB0" wp14:editId="70B73ABF">
                      <wp:simplePos x="0" y="0"/>
                      <wp:positionH relativeFrom="column">
                        <wp:posOffset>83820</wp:posOffset>
                      </wp:positionH>
                      <wp:positionV relativeFrom="paragraph">
                        <wp:posOffset>59690</wp:posOffset>
                      </wp:positionV>
                      <wp:extent cx="4572000" cy="360045"/>
                      <wp:effectExtent l="0" t="0" r="0" b="1905"/>
                      <wp:wrapNone/>
                      <wp:docPr id="1042" name="Text 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360045"/>
                              </a:xfrm>
                              <a:prstGeom prst="rect">
                                <a:avLst/>
                              </a:prstGeom>
                              <a:solidFill>
                                <a:sysClr val="window" lastClr="FFFFFF">
                                  <a:lumMod val="95000"/>
                                </a:sysClr>
                              </a:solidFill>
                              <a:ln w="28575">
                                <a:noFill/>
                              </a:ln>
                            </wps:spPr>
                            <wps:txbx>
                              <w:txbxContent>
                                <w:p w14:paraId="768E367D" w14:textId="77777777" w:rsidR="00B83D7D" w:rsidRPr="00E77D15" w:rsidRDefault="00B83D7D" w:rsidP="00761764">
                                  <w:pPr>
                                    <w:kinsoku w:val="0"/>
                                    <w:overflowPunct w:val="0"/>
                                    <w:spacing w:after="0"/>
                                    <w:jc w:val="center"/>
                                    <w:textAlignment w:val="baseline"/>
                                    <w:rPr>
                                      <w:rFonts w:ascii="Aptos Narrow" w:hAnsi="Aptos Narrow" w:cs="Arial"/>
                                      <w:color w:val="000000"/>
                                      <w:kern w:val="24"/>
                                      <w:szCs w:val="20"/>
                                    </w:rPr>
                                  </w:pPr>
                                  <w:r w:rsidRPr="00E77D15">
                                    <w:rPr>
                                      <w:rFonts w:ascii="Aptos Narrow" w:hAnsi="Aptos Narrow" w:cs="Arial"/>
                                      <w:color w:val="000000"/>
                                      <w:kern w:val="24"/>
                                      <w:szCs w:val="20"/>
                                    </w:rPr>
                                    <w:t xml:space="preserve">jaunas biznesa idejas – </w:t>
                                  </w:r>
                                  <w:r w:rsidRPr="00E77D15">
                                    <w:rPr>
                                      <w:rFonts w:ascii="Aptos Narrow" w:hAnsi="Aptos Narrow" w:cs="Arial"/>
                                      <w:b/>
                                      <w:bCs/>
                                      <w:color w:val="008080"/>
                                      <w:kern w:val="24"/>
                                      <w:szCs w:val="20"/>
                                    </w:rPr>
                                    <w:t>UZŅĒMUMU KONKURĒTSPĒJA</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1435EB0" id="Text Box 1042" o:spid="_x0000_s1211" type="#_x0000_t202" style="position:absolute;margin-left:6.6pt;margin-top:4.7pt;width:5in;height:28.35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" fillcolor="#f2f2f2" stroked="f" strokeweight="2.25pt">
                      <v:textbox inset="0,0,0,0">
                        <w:txbxContent>
                          <w:p w14:paraId="768E367D" w14:textId="77777777" w:rsidR="00B83D7D" w:rsidRPr="00E77D15" w:rsidRDefault="00B83D7D" w:rsidP="00761764">
                            <w:pPr>
                              <w:kinsoku w:val="0"/>
                              <w:overflowPunct w:val="0"/>
                              <w:spacing w:after="0"/>
                              <w:jc w:val="center"/>
                              <w:textAlignment w:val="baseline"/>
                              <w:rPr>
                                <w:rFonts w:ascii="Aptos Narrow" w:hAnsi="Aptos Narrow" w:cs="Arial"/>
                                <w:color w:val="000000"/>
                                <w:kern w:val="24"/>
                                <w:szCs w:val="20"/>
                              </w:rPr>
                            </w:pPr>
                            <w:r w:rsidRPr="00E77D15">
                              <w:rPr>
                                <w:rFonts w:ascii="Aptos Narrow" w:hAnsi="Aptos Narrow" w:cs="Arial"/>
                                <w:color w:val="000000"/>
                                <w:kern w:val="24"/>
                                <w:szCs w:val="20"/>
                              </w:rPr>
                              <w:t xml:space="preserve">jaunas biznesa idejas – </w:t>
                            </w:r>
                            <w:r w:rsidRPr="00E77D15">
                              <w:rPr>
                                <w:rFonts w:ascii="Aptos Narrow" w:hAnsi="Aptos Narrow" w:cs="Arial"/>
                                <w:b/>
                                <w:bCs/>
                                <w:color w:val="008080"/>
                                <w:kern w:val="24"/>
                                <w:szCs w:val="20"/>
                              </w:rPr>
                              <w:t>UZŅĒMUMU KONKURĒTSPĒJA</w:t>
                            </w:r>
                          </w:p>
                        </w:txbxContent>
                      </v:textbox>
                    </v:shape>
                  </w:pict>
                </mc:Fallback>
              </mc:AlternateContent>
            </w:r>
          </w:p>
          <w:p w14:paraId="29909CFA" w14:textId="77777777" w:rsidR="00761764" w:rsidRPr="00E77D15" w:rsidRDefault="00761764">
            <w:pPr>
              <w:spacing w:after="0"/>
              <w:rPr>
                <w:rFonts w:ascii="Calibri" w:hAnsi="Calibri" w:cs="Calibri"/>
                <w:sz w:val="22"/>
                <w:lang w:eastAsia="lv-LV"/>
              </w:rPr>
            </w:pPr>
          </w:p>
          <w:p w14:paraId="2BE2FBFD" w14:textId="57F5E764" w:rsidR="00761764" w:rsidRPr="00E77D15" w:rsidRDefault="00761764">
            <w:pPr>
              <w:spacing w:after="0"/>
              <w:rPr>
                <w:rFonts w:ascii="Calibri" w:hAnsi="Calibri" w:cs="Calibri"/>
                <w:sz w:val="22"/>
                <w:lang w:eastAsia="lv-LV"/>
              </w:rPr>
            </w:pPr>
            <w:r>
              <w:rPr>
                <w:noProof/>
              </w:rPr>
              <mc:AlternateContent>
                <mc:Choice Requires="wpg">
                  <w:drawing>
                    <wp:anchor distT="0" distB="0" distL="114300" distR="114300" simplePos="0" relativeHeight="251658453" behindDoc="0" locked="0" layoutInCell="1" allowOverlap="1" wp14:anchorId="00944E66" wp14:editId="2937AD08">
                      <wp:simplePos x="0" y="0"/>
                      <wp:positionH relativeFrom="column">
                        <wp:posOffset>471170</wp:posOffset>
                      </wp:positionH>
                      <wp:positionV relativeFrom="paragraph">
                        <wp:posOffset>78105</wp:posOffset>
                      </wp:positionV>
                      <wp:extent cx="3759835" cy="374015"/>
                      <wp:effectExtent l="4445" t="1905" r="0" b="0"/>
                      <wp:wrapNone/>
                      <wp:docPr id="1038"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835" cy="374015"/>
                                <a:chOff x="0" y="0"/>
                                <a:chExt cx="37599" cy="3740"/>
                              </a:xfrm>
                            </wpg:grpSpPr>
                            <wps:wsp>
                              <wps:cNvPr id="1039" name="Text Box 71"/>
                              <wps:cNvSpPr txBox="1">
                                <a:spLocks noChangeArrowheads="1"/>
                              </wps:cNvSpPr>
                              <wps:spPr bwMode="auto">
                                <a:xfrm>
                                  <a:off x="15976" y="0"/>
                                  <a:ext cx="5500"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EA669"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s:wsp>
                              <wps:cNvPr id="1040" name="Text Box 76"/>
                              <wps:cNvSpPr txBox="1">
                                <a:spLocks noChangeArrowheads="1"/>
                              </wps:cNvSpPr>
                              <wps:spPr bwMode="auto">
                                <a:xfrm>
                                  <a:off x="32099" y="0"/>
                                  <a:ext cx="5500"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9CCEF"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s:wsp>
                              <wps:cNvPr id="1041" name="Text Box 77"/>
                              <wps:cNvSpPr txBox="1">
                                <a:spLocks noChangeArrowheads="1"/>
                              </wps:cNvSpPr>
                              <wps:spPr bwMode="auto">
                                <a:xfrm>
                                  <a:off x="0" y="0"/>
                                  <a:ext cx="5499"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14C39"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0944E66" id="Group 1038" o:spid="_x0000_s1212" style="position:absolute;margin-left:37.1pt;margin-top:6.15pt;width:296.05pt;height:29.45pt;z-index:251658453" coordsize="37599,3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">
                      <v:shape id="_x0000_s1213" type="#_x0000_t202" style="position:absolute;left:15976;width:550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" filled="f" stroked="f">
                        <v:textbox style="mso-fit-shape-to-text:t">
                          <w:txbxContent>
                            <w:p w14:paraId="06CEA669"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shape id="_x0000_s1214" type="#_x0000_t202" style="position:absolute;left:32099;width:550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" filled="f" stroked="f">
                        <v:textbox style="mso-fit-shape-to-text:t">
                          <w:txbxContent>
                            <w:p w14:paraId="72A9CCEF"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shape id="_x0000_s1215" type="#_x0000_t202" style="position:absolute;width:5499;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" filled="f" stroked="f">
                        <v:textbox style="mso-fit-shape-to-text:t">
                          <w:txbxContent>
                            <w:p w14:paraId="52B14C39"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group>
                  </w:pict>
                </mc:Fallback>
              </mc:AlternateContent>
            </w:r>
          </w:p>
          <w:p w14:paraId="3DE9D23B" w14:textId="5045CA98" w:rsidR="00761764" w:rsidRPr="00E77D15" w:rsidRDefault="00761764">
            <w:pPr>
              <w:spacing w:after="0"/>
              <w:rPr>
                <w:rFonts w:ascii="Calibri" w:hAnsi="Calibri" w:cs="Calibri"/>
                <w:sz w:val="22"/>
                <w:lang w:eastAsia="lv-LV"/>
              </w:rPr>
            </w:pPr>
            <w:r>
              <w:rPr>
                <w:noProof/>
              </w:rPr>
              <mc:AlternateContent>
                <mc:Choice Requires="wps">
                  <w:drawing>
                    <wp:anchor distT="0" distB="0" distL="114300" distR="114300" simplePos="0" relativeHeight="251658423" behindDoc="0" locked="0" layoutInCell="1" allowOverlap="1" wp14:anchorId="549044F8" wp14:editId="1B02AA23">
                      <wp:simplePos x="0" y="0"/>
                      <wp:positionH relativeFrom="column">
                        <wp:posOffset>1706245</wp:posOffset>
                      </wp:positionH>
                      <wp:positionV relativeFrom="paragraph">
                        <wp:posOffset>120650</wp:posOffset>
                      </wp:positionV>
                      <wp:extent cx="1367790" cy="287655"/>
                      <wp:effectExtent l="0" t="0" r="3810" b="0"/>
                      <wp:wrapNone/>
                      <wp:docPr id="1037"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790" cy="287655"/>
                              </a:xfrm>
                              <a:prstGeom prst="rect">
                                <a:avLst/>
                              </a:prstGeom>
                              <a:solidFill>
                                <a:srgbClr val="008080"/>
                              </a:solidFill>
                              <a:ln w="22225">
                                <a:noFill/>
                              </a:ln>
                            </wps:spPr>
                            <wps:txbx>
                              <w:txbxContent>
                                <w:p w14:paraId="2440D5D8" w14:textId="77777777" w:rsidR="00B83D7D" w:rsidRPr="00E77D15" w:rsidRDefault="00B83D7D" w:rsidP="00761764">
                                  <w:pPr>
                                    <w:kinsoku w:val="0"/>
                                    <w:overflowPunct w:val="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INVESTĪCIJAS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49044F8" id="Text Box 1037" o:spid="_x0000_s1216" type="#_x0000_t202" style="position:absolute;margin-left:134.35pt;margin-top:9.5pt;width:107.7pt;height:22.65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" fillcolor="teal" stroked="f" strokeweight="1.75pt">
                      <v:textbox>
                        <w:txbxContent>
                          <w:p w14:paraId="2440D5D8" w14:textId="77777777" w:rsidR="00B83D7D" w:rsidRPr="00E77D15" w:rsidRDefault="00B83D7D" w:rsidP="00761764">
                            <w:pPr>
                              <w:kinsoku w:val="0"/>
                              <w:overflowPunct w:val="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INVESTĪCIJAS</w:t>
                            </w:r>
                          </w:p>
                        </w:txbxContent>
                      </v:textbox>
                    </v:shape>
                  </w:pict>
                </mc:Fallback>
              </mc:AlternateContent>
            </w:r>
            <w:r>
              <w:rPr>
                <w:noProof/>
              </w:rPr>
              <mc:AlternateContent>
                <mc:Choice Requires="wps">
                  <w:drawing>
                    <wp:anchor distT="0" distB="0" distL="114300" distR="114300" simplePos="0" relativeHeight="251658424" behindDoc="0" locked="0" layoutInCell="1" allowOverlap="1" wp14:anchorId="3DB2B47D" wp14:editId="04B90F61">
                      <wp:simplePos x="0" y="0"/>
                      <wp:positionH relativeFrom="column">
                        <wp:posOffset>85090</wp:posOffset>
                      </wp:positionH>
                      <wp:positionV relativeFrom="paragraph">
                        <wp:posOffset>120015</wp:posOffset>
                      </wp:positionV>
                      <wp:extent cx="1367790" cy="287655"/>
                      <wp:effectExtent l="0" t="0" r="3810" b="0"/>
                      <wp:wrapNone/>
                      <wp:docPr id="1036"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790" cy="287655"/>
                              </a:xfrm>
                              <a:prstGeom prst="rect">
                                <a:avLst/>
                              </a:prstGeom>
                              <a:solidFill>
                                <a:srgbClr val="008080"/>
                              </a:solidFill>
                              <a:ln w="22225">
                                <a:noFill/>
                              </a:ln>
                            </wps:spPr>
                            <wps:txbx>
                              <w:txbxContent>
                                <w:p w14:paraId="6E6BCF79" w14:textId="77777777" w:rsidR="00B83D7D" w:rsidRPr="00E77D15" w:rsidRDefault="00B83D7D" w:rsidP="00761764">
                                  <w:pPr>
                                    <w:kinsoku w:val="0"/>
                                    <w:overflowPunct w:val="0"/>
                                    <w:spacing w:after="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CILVĒKKAPITĀLS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DB2B47D" id="Text Box 1036" o:spid="_x0000_s1217" type="#_x0000_t202" style="position:absolute;margin-left:6.7pt;margin-top:9.45pt;width:107.7pt;height:22.65pt;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" fillcolor="teal" stroked="f" strokeweight="1.75pt">
                      <v:textbox>
                        <w:txbxContent>
                          <w:p w14:paraId="6E6BCF79" w14:textId="77777777" w:rsidR="00B83D7D" w:rsidRPr="00E77D15" w:rsidRDefault="00B83D7D" w:rsidP="00761764">
                            <w:pPr>
                              <w:kinsoku w:val="0"/>
                              <w:overflowPunct w:val="0"/>
                              <w:spacing w:after="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CILVĒKKAPITĀLS</w:t>
                            </w:r>
                          </w:p>
                        </w:txbxContent>
                      </v:textbox>
                    </v:shape>
                  </w:pict>
                </mc:Fallback>
              </mc:AlternateContent>
            </w:r>
          </w:p>
          <w:p w14:paraId="4E32F98C" w14:textId="77777777" w:rsidR="00761764" w:rsidRPr="00E77D15" w:rsidRDefault="00761764">
            <w:pPr>
              <w:spacing w:after="0"/>
              <w:rPr>
                <w:rFonts w:ascii="Calibri" w:hAnsi="Calibri" w:cs="Calibri"/>
                <w:sz w:val="22"/>
                <w:lang w:eastAsia="lv-LV"/>
              </w:rPr>
            </w:pPr>
          </w:p>
          <w:p w14:paraId="149C6114" w14:textId="02D9B365" w:rsidR="00761764" w:rsidRPr="00E77D15" w:rsidRDefault="00761764">
            <w:pPr>
              <w:spacing w:after="0"/>
              <w:rPr>
                <w:rFonts w:ascii="Calibri" w:hAnsi="Calibri" w:cs="Calibri"/>
                <w:sz w:val="22"/>
                <w:lang w:eastAsia="lv-LV"/>
              </w:rPr>
            </w:pPr>
            <w:r>
              <w:rPr>
                <w:noProof/>
              </w:rPr>
              <mc:AlternateContent>
                <mc:Choice Requires="wpg">
                  <w:drawing>
                    <wp:anchor distT="0" distB="0" distL="114300" distR="114300" simplePos="0" relativeHeight="251658454" behindDoc="0" locked="0" layoutInCell="1" allowOverlap="1" wp14:anchorId="0BC2EEEA" wp14:editId="4248EDDB">
                      <wp:simplePos x="0" y="0"/>
                      <wp:positionH relativeFrom="column">
                        <wp:posOffset>471805</wp:posOffset>
                      </wp:positionH>
                      <wp:positionV relativeFrom="paragraph">
                        <wp:posOffset>49530</wp:posOffset>
                      </wp:positionV>
                      <wp:extent cx="3759835" cy="374015"/>
                      <wp:effectExtent l="0" t="1905" r="0" b="0"/>
                      <wp:wrapNone/>
                      <wp:docPr id="1032"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835" cy="374015"/>
                                <a:chOff x="0" y="0"/>
                                <a:chExt cx="37599" cy="3740"/>
                              </a:xfrm>
                            </wpg:grpSpPr>
                            <wps:wsp>
                              <wps:cNvPr id="1033" name="Text Box 44"/>
                              <wps:cNvSpPr txBox="1">
                                <a:spLocks noChangeArrowheads="1"/>
                              </wps:cNvSpPr>
                              <wps:spPr bwMode="auto">
                                <a:xfrm>
                                  <a:off x="15976" y="0"/>
                                  <a:ext cx="5500"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F15D5"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s:wsp>
                              <wps:cNvPr id="1034" name="Text Box 64"/>
                              <wps:cNvSpPr txBox="1">
                                <a:spLocks noChangeArrowheads="1"/>
                              </wps:cNvSpPr>
                              <wps:spPr bwMode="auto">
                                <a:xfrm>
                                  <a:off x="32099" y="0"/>
                                  <a:ext cx="5500"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3BA21"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s:wsp>
                              <wps:cNvPr id="1035" name="Text Box 68"/>
                              <wps:cNvSpPr txBox="1">
                                <a:spLocks noChangeArrowheads="1"/>
                              </wps:cNvSpPr>
                              <wps:spPr bwMode="auto">
                                <a:xfrm>
                                  <a:off x="0" y="0"/>
                                  <a:ext cx="5499" cy="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547E4"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BC2EEEA" id="Group 1032" o:spid="_x0000_s1218" style="position:absolute;margin-left:37.15pt;margin-top:3.9pt;width:296.05pt;height:29.45pt;z-index:251658454" coordsize="37599,3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">
                      <v:shape id="Text Box 44" o:spid="_x0000_s1219" type="#_x0000_t202" style="position:absolute;left:15976;width:550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" filled="f" stroked="f">
                        <v:textbox style="mso-fit-shape-to-text:t">
                          <w:txbxContent>
                            <w:p w14:paraId="500F15D5"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shape id="Text Box 64" o:spid="_x0000_s1220" type="#_x0000_t202" style="position:absolute;left:32099;width:550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" filled="f" stroked="f">
                        <v:textbox style="mso-fit-shape-to-text:t">
                          <w:txbxContent>
                            <w:p w14:paraId="4703BA21"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shape id="Text Box 68" o:spid="_x0000_s1221" type="#_x0000_t202" style="position:absolute;width:5499;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" filled="f" stroked="f">
                        <v:textbox style="mso-fit-shape-to-text:t">
                          <w:txbxContent>
                            <w:p w14:paraId="5F1547E4" w14:textId="77777777" w:rsidR="00B83D7D" w:rsidRPr="00E87855" w:rsidRDefault="00B83D7D" w:rsidP="00761764">
                              <w:pPr>
                                <w:kinsoku w:val="0"/>
                                <w:overflowPunct w:val="0"/>
                                <w:jc w:val="center"/>
                                <w:textAlignment w:val="baseline"/>
                                <w:rPr>
                                  <w:rFonts w:hAnsi="Wingdings 3" w:cs="Arial"/>
                                  <w:color w:val="008080"/>
                                  <w:kern w:val="24"/>
                                  <w:sz w:val="18"/>
                                  <w:szCs w:val="18"/>
                                </w:rPr>
                              </w:pPr>
                              <w:r w:rsidRPr="00E87855">
                                <w:rPr>
                                  <w:rFonts w:ascii="Wingdings 3" w:eastAsia="Wingdings 3" w:hAnsi="Wingdings 3" w:cs="Wingdings 3"/>
                                  <w:color w:val="008080"/>
                                  <w:kern w:val="24"/>
                                  <w:sz w:val="18"/>
                                  <w:szCs w:val="18"/>
                                </w:rPr>
                                <w:t></w:t>
                              </w:r>
                            </w:p>
                          </w:txbxContent>
                        </v:textbox>
                      </v:shape>
                    </v:group>
                  </w:pict>
                </mc:Fallback>
              </mc:AlternateContent>
            </w:r>
          </w:p>
          <w:p w14:paraId="4E450159" w14:textId="7B66E80F" w:rsidR="00761764" w:rsidRPr="00E77D15" w:rsidRDefault="00761764">
            <w:pPr>
              <w:spacing w:after="0"/>
              <w:rPr>
                <w:rFonts w:ascii="Calibri" w:hAnsi="Calibri" w:cs="Calibri"/>
                <w:sz w:val="22"/>
                <w:lang w:eastAsia="lv-LV"/>
              </w:rPr>
            </w:pPr>
            <w:r>
              <w:rPr>
                <w:noProof/>
              </w:rPr>
              <mc:AlternateContent>
                <mc:Choice Requires="wps">
                  <w:drawing>
                    <wp:anchor distT="0" distB="0" distL="114300" distR="114300" simplePos="0" relativeHeight="251658425" behindDoc="0" locked="0" layoutInCell="1" allowOverlap="1" wp14:anchorId="50542FC5" wp14:editId="6F8FD18C">
                      <wp:simplePos x="0" y="0"/>
                      <wp:positionH relativeFrom="column">
                        <wp:posOffset>67945</wp:posOffset>
                      </wp:positionH>
                      <wp:positionV relativeFrom="paragraph">
                        <wp:posOffset>103505</wp:posOffset>
                      </wp:positionV>
                      <wp:extent cx="4610100" cy="678180"/>
                      <wp:effectExtent l="0" t="0" r="0" b="5080"/>
                      <wp:wrapNone/>
                      <wp:docPr id="1031"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0100" cy="678180"/>
                              </a:xfrm>
                              <a:prstGeom prst="rect">
                                <a:avLst/>
                              </a:prstGeom>
                              <a:solidFill>
                                <a:srgbClr val="008080"/>
                              </a:solidFill>
                              <a:ln w="22225">
                                <a:noFill/>
                              </a:ln>
                            </wps:spPr>
                            <wps:txbx>
                              <w:txbxContent>
                                <w:p w14:paraId="4D4015CA" w14:textId="77777777" w:rsidR="00B83D7D" w:rsidRPr="00E77D15" w:rsidRDefault="00B83D7D" w:rsidP="00761764">
                                  <w:pPr>
                                    <w:kinsoku w:val="0"/>
                                    <w:overflowPunct w:val="0"/>
                                    <w:spacing w:after="0"/>
                                    <w:ind w:left="418" w:hanging="274"/>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EFEKTĪVA VALSTS PĀRVALDE</w:t>
                                  </w:r>
                                </w:p>
                                <w:p w14:paraId="2E90D474" w14:textId="77777777" w:rsidR="00B83D7D" w:rsidRPr="00E77D15" w:rsidRDefault="00B83D7D" w:rsidP="00761764">
                                  <w:pPr>
                                    <w:kinsoku w:val="0"/>
                                    <w:overflowPunct w:val="0"/>
                                    <w:jc w:val="center"/>
                                    <w:textAlignment w:val="baseline"/>
                                    <w:rPr>
                                      <w:rFonts w:ascii="Aptos Narrow" w:hAnsi="Aptos Narrow" w:cs="Arial"/>
                                      <w:color w:val="FFFFFF"/>
                                      <w:kern w:val="24"/>
                                      <w:sz w:val="18"/>
                                      <w:szCs w:val="18"/>
                                    </w:rPr>
                                  </w:pPr>
                                  <w:r w:rsidRPr="00E77D15">
                                    <w:rPr>
                                      <w:rFonts w:ascii="Aptos Narrow" w:hAnsi="Aptos Narrow" w:cs="Arial"/>
                                      <w:color w:val="FFFFFF"/>
                                      <w:kern w:val="24"/>
                                      <w:sz w:val="18"/>
                                      <w:szCs w:val="18"/>
                                    </w:rPr>
                                    <w:t>Birokrātijas mazināšana, uz rezultātu un efektivitāti orientēts publiskais sektors, modernu digitālo risinājumu ieviešana publiskajā pārvaldē</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0542FC5" id="Text Box 1031" o:spid="_x0000_s1222" type="#_x0000_t202" style="position:absolute;margin-left:5.35pt;margin-top:8.15pt;width:363pt;height:53.4pt;z-index:251658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" fillcolor="teal" stroked="f" strokeweight="1.75pt">
                      <v:textbox style="mso-fit-shape-to-text:t">
                        <w:txbxContent>
                          <w:p w14:paraId="4D4015CA" w14:textId="77777777" w:rsidR="00B83D7D" w:rsidRPr="00E77D15" w:rsidRDefault="00B83D7D" w:rsidP="00761764">
                            <w:pPr>
                              <w:kinsoku w:val="0"/>
                              <w:overflowPunct w:val="0"/>
                              <w:spacing w:after="0"/>
                              <w:ind w:left="418" w:hanging="274"/>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EFEKTĪVA VALSTS PĀRVALDE</w:t>
                            </w:r>
                          </w:p>
                          <w:p w14:paraId="2E90D474" w14:textId="77777777" w:rsidR="00B83D7D" w:rsidRPr="00E77D15" w:rsidRDefault="00B83D7D" w:rsidP="00761764">
                            <w:pPr>
                              <w:kinsoku w:val="0"/>
                              <w:overflowPunct w:val="0"/>
                              <w:jc w:val="center"/>
                              <w:textAlignment w:val="baseline"/>
                              <w:rPr>
                                <w:rFonts w:ascii="Aptos Narrow" w:hAnsi="Aptos Narrow" w:cs="Arial"/>
                                <w:color w:val="FFFFFF"/>
                                <w:kern w:val="24"/>
                                <w:sz w:val="18"/>
                                <w:szCs w:val="18"/>
                              </w:rPr>
                            </w:pPr>
                            <w:r w:rsidRPr="00E77D15">
                              <w:rPr>
                                <w:rFonts w:ascii="Aptos Narrow" w:hAnsi="Aptos Narrow" w:cs="Arial"/>
                                <w:color w:val="FFFFFF"/>
                                <w:kern w:val="24"/>
                                <w:sz w:val="18"/>
                                <w:szCs w:val="18"/>
                              </w:rPr>
                              <w:t>Birokrātijas mazināšana, uz rezultātu un efektivitāti orientēts publiskais sektors, modernu digitālo risinājumu ieviešana publiskajā pārvaldē</w:t>
                            </w:r>
                          </w:p>
                        </w:txbxContent>
                      </v:textbox>
                    </v:shape>
                  </w:pict>
                </mc:Fallback>
              </mc:AlternateContent>
            </w:r>
          </w:p>
          <w:p w14:paraId="48519F4E" w14:textId="77777777" w:rsidR="00761764" w:rsidRPr="00E77D15" w:rsidRDefault="00761764">
            <w:pPr>
              <w:spacing w:after="0"/>
              <w:rPr>
                <w:rFonts w:ascii="Calibri" w:hAnsi="Calibri" w:cs="Calibri"/>
                <w:sz w:val="22"/>
                <w:lang w:eastAsia="lv-LV"/>
              </w:rPr>
            </w:pPr>
          </w:p>
          <w:p w14:paraId="7E59435B" w14:textId="77777777" w:rsidR="00761764" w:rsidRPr="00E77D15" w:rsidRDefault="00761764">
            <w:pPr>
              <w:spacing w:after="0"/>
              <w:rPr>
                <w:rFonts w:ascii="Calibri" w:hAnsi="Calibri" w:cs="Calibri"/>
                <w:sz w:val="22"/>
                <w:lang w:eastAsia="lv-LV"/>
              </w:rPr>
            </w:pPr>
          </w:p>
          <w:p w14:paraId="4179F9F6" w14:textId="77777777" w:rsidR="00761764" w:rsidRPr="00E77D15" w:rsidRDefault="00761764">
            <w:pPr>
              <w:tabs>
                <w:tab w:val="left" w:pos="265"/>
              </w:tabs>
              <w:spacing w:after="0"/>
              <w:jc w:val="center"/>
              <w:rPr>
                <w:rFonts w:ascii="Aptos Narrow" w:hAnsi="Aptos Narrow" w:cs="Calibri"/>
                <w:sz w:val="18"/>
                <w:szCs w:val="18"/>
                <w:lang w:eastAsia="lv-LV"/>
              </w:rPr>
            </w:pPr>
          </w:p>
        </w:tc>
        <w:tc>
          <w:tcPr>
            <w:tcW w:w="4170" w:type="pct"/>
            <w:shd w:val="clear" w:color="auto" w:fill="E5DFEC" w:themeFill="accent4" w:themeFillTint="33"/>
          </w:tcPr>
          <w:p w14:paraId="7F772E9A" w14:textId="5DB636E7" w:rsidR="00761764" w:rsidRPr="00E77D15" w:rsidRDefault="00761764">
            <w:pPr>
              <w:spacing w:before="60" w:after="60"/>
              <w:jc w:val="center"/>
              <w:rPr>
                <w:rFonts w:ascii="Aptos Narrow" w:hAnsi="Aptos Narrow" w:cs="Calibri"/>
                <w:sz w:val="18"/>
                <w:szCs w:val="18"/>
                <w:lang w:eastAsia="lv-LV"/>
              </w:rPr>
            </w:pPr>
            <w:r>
              <w:rPr>
                <w:noProof/>
              </w:rPr>
              <mc:AlternateContent>
                <mc:Choice Requires="wps">
                  <w:drawing>
                    <wp:anchor distT="0" distB="0" distL="114300" distR="114300" simplePos="0" relativeHeight="251658430" behindDoc="0" locked="0" layoutInCell="1" allowOverlap="1" wp14:anchorId="48B96B36" wp14:editId="579A8391">
                      <wp:simplePos x="0" y="0"/>
                      <wp:positionH relativeFrom="column">
                        <wp:posOffset>3116580</wp:posOffset>
                      </wp:positionH>
                      <wp:positionV relativeFrom="paragraph">
                        <wp:posOffset>2498090</wp:posOffset>
                      </wp:positionV>
                      <wp:extent cx="1367790" cy="287655"/>
                      <wp:effectExtent l="0" t="0" r="3810" b="0"/>
                      <wp:wrapNone/>
                      <wp:docPr id="103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790" cy="287655"/>
                              </a:xfrm>
                              <a:prstGeom prst="rect">
                                <a:avLst/>
                              </a:prstGeom>
                              <a:solidFill>
                                <a:srgbClr val="008080"/>
                              </a:solidFill>
                              <a:ln w="22225">
                                <a:noFill/>
                              </a:ln>
                            </wps:spPr>
                            <wps:txbx>
                              <w:txbxContent>
                                <w:p w14:paraId="19303D1C" w14:textId="77777777" w:rsidR="00B83D7D" w:rsidRPr="00E77D15" w:rsidRDefault="00B83D7D" w:rsidP="00761764">
                                  <w:pPr>
                                    <w:kinsoku w:val="0"/>
                                    <w:overflowPunct w:val="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PRODUKTIVITĀTE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8B96B36" id="Text Box 1030" o:spid="_x0000_s1223" type="#_x0000_t202" style="position:absolute;left:0;text-align:left;margin-left:245.4pt;margin-top:196.7pt;width:107.7pt;height:22.65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" fillcolor="teal" stroked="f" strokeweight="1.75pt">
                      <v:textbox>
                        <w:txbxContent>
                          <w:p w14:paraId="19303D1C" w14:textId="77777777" w:rsidR="00B83D7D" w:rsidRPr="00E77D15" w:rsidRDefault="00B83D7D" w:rsidP="00761764">
                            <w:pPr>
                              <w:kinsoku w:val="0"/>
                              <w:overflowPunct w:val="0"/>
                              <w:jc w:val="center"/>
                              <w:textAlignment w:val="baseline"/>
                              <w:rPr>
                                <w:rFonts w:ascii="Aptos Narrow" w:hAnsi="Aptos Narrow" w:cs="Arial"/>
                                <w:b/>
                                <w:bCs/>
                                <w:color w:val="FFFFFF"/>
                                <w:kern w:val="24"/>
                                <w:szCs w:val="20"/>
                              </w:rPr>
                            </w:pPr>
                            <w:r w:rsidRPr="00E77D15">
                              <w:rPr>
                                <w:rFonts w:ascii="Aptos Narrow" w:hAnsi="Aptos Narrow" w:cs="Arial"/>
                                <w:b/>
                                <w:bCs/>
                                <w:color w:val="FFFFFF"/>
                                <w:kern w:val="24"/>
                                <w:szCs w:val="20"/>
                              </w:rPr>
                              <w:t>PRODUKTIVITĀTE</w:t>
                            </w:r>
                          </w:p>
                        </w:txbxContent>
                      </v:textbox>
                    </v:shape>
                  </w:pict>
                </mc:Fallback>
              </mc:AlternateContent>
            </w:r>
            <w:r>
              <w:rPr>
                <w:noProof/>
              </w:rPr>
              <mc:AlternateContent>
                <mc:Choice Requires="wps">
                  <w:drawing>
                    <wp:anchor distT="0" distB="0" distL="114300" distR="114300" simplePos="0" relativeHeight="251658428" behindDoc="0" locked="0" layoutInCell="1" allowOverlap="1" wp14:anchorId="0C52DDDF" wp14:editId="6688FD69">
                      <wp:simplePos x="0" y="0"/>
                      <wp:positionH relativeFrom="column">
                        <wp:posOffset>-69215</wp:posOffset>
                      </wp:positionH>
                      <wp:positionV relativeFrom="paragraph">
                        <wp:posOffset>891540</wp:posOffset>
                      </wp:positionV>
                      <wp:extent cx="4572000" cy="252095"/>
                      <wp:effectExtent l="0" t="0" r="0" b="0"/>
                      <wp:wrapNone/>
                      <wp:docPr id="102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252095"/>
                              </a:xfrm>
                              <a:prstGeom prst="rect">
                                <a:avLst/>
                              </a:prstGeom>
                              <a:solidFill>
                                <a:sysClr val="window" lastClr="FFFFFF">
                                  <a:lumMod val="95000"/>
                                </a:sysClr>
                              </a:solidFill>
                              <a:ln w="28575">
                                <a:noFill/>
                              </a:ln>
                            </wps:spPr>
                            <wps:txbx>
                              <w:txbxContent>
                                <w:p w14:paraId="5B1B51DC" w14:textId="77777777" w:rsidR="00B83D7D" w:rsidRPr="00E77D15" w:rsidRDefault="00B83D7D" w:rsidP="00761764">
                                  <w:pPr>
                                    <w:kinsoku w:val="0"/>
                                    <w:overflowPunct w:val="0"/>
                                    <w:spacing w:after="0"/>
                                    <w:jc w:val="center"/>
                                    <w:textAlignment w:val="baseline"/>
                                    <w:rPr>
                                      <w:rFonts w:ascii="Aptos Narrow" w:hAnsi="Aptos Narrow" w:cs="Arial"/>
                                      <w:b/>
                                      <w:bCs/>
                                      <w:color w:val="008080"/>
                                      <w:kern w:val="24"/>
                                      <w:szCs w:val="20"/>
                                    </w:rPr>
                                  </w:pPr>
                                  <w:r w:rsidRPr="00E77D15">
                                    <w:rPr>
                                      <w:rFonts w:ascii="Aptos Narrow" w:hAnsi="Aptos Narrow" w:cs="Arial"/>
                                      <w:b/>
                                      <w:bCs/>
                                      <w:color w:val="008080"/>
                                      <w:kern w:val="24"/>
                                      <w:szCs w:val="20"/>
                                    </w:rPr>
                                    <w:t>EKONOMIKAS IZAUGSME</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C52DDDF" id="Text Box 1029" o:spid="_x0000_s1224" type="#_x0000_t202" style="position:absolute;left:0;text-align:left;margin-left:-5.45pt;margin-top:70.2pt;width:5in;height:19.85pt;z-index:251658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" fillcolor="#f2f2f2" stroked="f" strokeweight="2.25pt">
                      <v:textbox inset="0,0,0,0">
                        <w:txbxContent>
                          <w:p w14:paraId="5B1B51DC" w14:textId="77777777" w:rsidR="00B83D7D" w:rsidRPr="00E77D15" w:rsidRDefault="00B83D7D" w:rsidP="00761764">
                            <w:pPr>
                              <w:kinsoku w:val="0"/>
                              <w:overflowPunct w:val="0"/>
                              <w:spacing w:after="0"/>
                              <w:jc w:val="center"/>
                              <w:textAlignment w:val="baseline"/>
                              <w:rPr>
                                <w:rFonts w:ascii="Aptos Narrow" w:hAnsi="Aptos Narrow" w:cs="Arial"/>
                                <w:b/>
                                <w:bCs/>
                                <w:color w:val="008080"/>
                                <w:kern w:val="24"/>
                                <w:szCs w:val="20"/>
                              </w:rPr>
                            </w:pPr>
                            <w:r w:rsidRPr="00E77D15">
                              <w:rPr>
                                <w:rFonts w:ascii="Aptos Narrow" w:hAnsi="Aptos Narrow" w:cs="Arial"/>
                                <w:b/>
                                <w:bCs/>
                                <w:color w:val="008080"/>
                                <w:kern w:val="24"/>
                                <w:szCs w:val="20"/>
                              </w:rPr>
                              <w:t>EKONOMIKAS IZAUGSME</w:t>
                            </w:r>
                          </w:p>
                        </w:txbxContent>
                      </v:textbox>
                    </v:shape>
                  </w:pict>
                </mc:Fallback>
              </mc:AlternateContent>
            </w:r>
          </w:p>
        </w:tc>
      </w:tr>
    </w:tbl>
    <w:p w14:paraId="206136E0" w14:textId="77777777" w:rsidR="00EE120B" w:rsidRDefault="00EE120B" w:rsidP="00EE120B">
      <w:pPr>
        <w:jc w:val="both"/>
      </w:pPr>
    </w:p>
    <w:p w14:paraId="089B11DC" w14:textId="77777777" w:rsidR="00761764" w:rsidRPr="003F161B" w:rsidRDefault="00761764" w:rsidP="00834E74">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lastRenderedPageBreak/>
        <w:t>Vidēja un ilgtermiņa makroekonomiskais ietvars</w:t>
      </w:r>
    </w:p>
    <w:p w14:paraId="4008EC67" w14:textId="77777777" w:rsidR="00761764" w:rsidRDefault="00761764" w:rsidP="00834E74">
      <w:pPr>
        <w:spacing w:after="120"/>
        <w:jc w:val="both"/>
        <w:rPr>
          <w:rFonts w:cs="Calibri Light"/>
          <w:szCs w:val="20"/>
        </w:rPr>
      </w:pPr>
      <w:r w:rsidRPr="00AE74F0">
        <w:rPr>
          <w:rFonts w:cs="Calibri Light"/>
          <w:szCs w:val="20"/>
        </w:rPr>
        <w:t xml:space="preserve">Sagaidāmo demogrāfijas tendenču dēļ ekonomiskās izaugsmes noteicošais priekšnosacījums ir produktivitātes līmeņa paaugstināšana. Viens no galvenajiem izaicinājumiem ir jauno konkurētspējas priekšrocību veidošana, kas ir saistīts ar investīcijām </w:t>
      </w:r>
      <w:proofErr w:type="spellStart"/>
      <w:r w:rsidRPr="00AE74F0">
        <w:rPr>
          <w:rFonts w:cs="Calibri Light"/>
          <w:szCs w:val="20"/>
        </w:rPr>
        <w:t>cilvēkkapitālā</w:t>
      </w:r>
      <w:proofErr w:type="spellEnd"/>
      <w:r w:rsidRPr="00AE74F0">
        <w:rPr>
          <w:rFonts w:cs="Calibri Light"/>
          <w:szCs w:val="20"/>
        </w:rPr>
        <w:t xml:space="preserve">, tehnoloģijās, inovācijā, pētniecībā, </w:t>
      </w:r>
      <w:proofErr w:type="spellStart"/>
      <w:r w:rsidRPr="00AE74F0">
        <w:rPr>
          <w:rFonts w:cs="Calibri Light"/>
          <w:szCs w:val="20"/>
        </w:rPr>
        <w:t>digitalizācijā</w:t>
      </w:r>
      <w:proofErr w:type="spellEnd"/>
      <w:r w:rsidRPr="00AE74F0">
        <w:rPr>
          <w:rFonts w:cs="Calibri Light"/>
          <w:szCs w:val="20"/>
        </w:rPr>
        <w:t>. Jaunu konkurētspējas priekšrocību veidošana ir svarīgs nosacījums eksporta noietu tirgus paplašināšanai un eksporta apjomu pieaugumam, kam ir jākļūst par galveno izaugsmes dzinuli. Latvijas konkurētspēju ārējos un iekšējos tirgos noteiks spēja mazināt produktivitātes plaisu ar tehnoloģiski attīstītajām valstīm. Produktivitātes paaugstināšanas pamatā ir ne tikai tehnoloģiskās novitātes, ražošanas procesa vadības pilnveidošana, bet arī esošo resursu pārdale augstākās pievienotās vērtības produktu ražošanai.</w:t>
      </w:r>
    </w:p>
    <w:p w14:paraId="31621033" w14:textId="5398D297" w:rsidR="00761764" w:rsidRDefault="00761764" w:rsidP="00834E74">
      <w:pPr>
        <w:spacing w:after="120"/>
        <w:jc w:val="both"/>
        <w:rPr>
          <w:rFonts w:cs="Calibri Light"/>
          <w:szCs w:val="20"/>
        </w:rPr>
      </w:pPr>
      <w:r w:rsidRPr="00AE74F0">
        <w:rPr>
          <w:rFonts w:cs="Calibri Light"/>
          <w:szCs w:val="20"/>
        </w:rPr>
        <w:t>Mērķa scenārijā vidējā termiņā paredzēta IKP izaugsme par vidēji 4,</w:t>
      </w:r>
      <w:r>
        <w:rPr>
          <w:rFonts w:cs="Calibri Light"/>
          <w:szCs w:val="20"/>
        </w:rPr>
        <w:t>1</w:t>
      </w:r>
      <w:r w:rsidRPr="00AE74F0">
        <w:rPr>
          <w:rFonts w:cs="Calibri Light"/>
          <w:szCs w:val="20"/>
        </w:rPr>
        <w:t>% ik gadu, kam fundamentāls priekšnosacījums ir ekonomikas konkurētspējas priekšrocību balstīšana uz tehnoloģiskiem faktoriem, ražošanas efektivitāti, inovācijām, kā arī spējai pielāgoties un izmantot globālo pārmaiņu radītās iespējas. Ilgtermiņā (no 2031. līdz 2040.gadam), ekonomikas ikgadējie izaugsmes tempi kļūs lēnāki un var būt 3</w:t>
      </w:r>
      <w:r>
        <w:rPr>
          <w:rFonts w:cs="Calibri Light"/>
          <w:szCs w:val="20"/>
        </w:rPr>
        <w:t>,7</w:t>
      </w:r>
      <w:r w:rsidRPr="00AE74F0">
        <w:rPr>
          <w:rFonts w:cs="Calibri Light"/>
          <w:szCs w:val="20"/>
        </w:rPr>
        <w:t>% robežās.</w:t>
      </w:r>
    </w:p>
    <w:p w14:paraId="7817B31C" w14:textId="77777777" w:rsidR="00AE74F0" w:rsidRPr="00761764" w:rsidRDefault="00AE74F0" w:rsidP="00761764">
      <w:pPr>
        <w:spacing w:before="120" w:after="120"/>
        <w:jc w:val="right"/>
        <w:rPr>
          <w:szCs w:val="20"/>
        </w:rPr>
      </w:pPr>
      <w:r w:rsidRPr="00761764">
        <w:rPr>
          <w:szCs w:val="20"/>
        </w:rPr>
        <w:t>3.1. tabula</w:t>
      </w:r>
    </w:p>
    <w:p w14:paraId="403F29A4" w14:textId="16A9E271" w:rsidR="00AE74F0" w:rsidRPr="00834E74" w:rsidRDefault="00AE74F0" w:rsidP="00927285">
      <w:pPr>
        <w:spacing w:after="120"/>
        <w:jc w:val="center"/>
        <w:rPr>
          <w:rFonts w:ascii="Segoe UI Light" w:hAnsi="Segoe UI Light" w:cs="Segoe UI Light"/>
          <w:i/>
          <w:sz w:val="16"/>
          <w:szCs w:val="20"/>
        </w:rPr>
      </w:pPr>
      <w:r w:rsidRPr="00834E74">
        <w:rPr>
          <w:rFonts w:ascii="Segoe UI Light" w:hAnsi="Segoe UI Light" w:cs="Segoe UI Light"/>
          <w:b/>
          <w:sz w:val="18"/>
          <w:szCs w:val="20"/>
        </w:rPr>
        <w:t>Mērķa scenārija ietvars</w:t>
      </w:r>
      <w:r w:rsidRPr="00834E74">
        <w:rPr>
          <w:rFonts w:ascii="Segoe UI Light" w:hAnsi="Segoe UI Light" w:cs="Segoe UI Light"/>
          <w:b/>
          <w:sz w:val="18"/>
          <w:szCs w:val="20"/>
        </w:rPr>
        <w:br/>
      </w:r>
      <w:r w:rsidRPr="00834E74">
        <w:rPr>
          <w:rFonts w:ascii="Segoe UI Light" w:hAnsi="Segoe UI Light" w:cs="Segoe UI Light"/>
          <w:i/>
          <w:sz w:val="16"/>
          <w:szCs w:val="20"/>
        </w:rPr>
        <w:t>izmaiņas procentos</w:t>
      </w:r>
      <w:r w:rsidR="001E45A9">
        <w:rPr>
          <w:rFonts w:ascii="Segoe UI Light" w:hAnsi="Segoe UI Light" w:cs="Segoe UI Light"/>
          <w:i/>
          <w:sz w:val="16"/>
          <w:szCs w:val="20"/>
        </w:rPr>
        <w:t>, vidēji gadā</w:t>
      </w:r>
    </w:p>
    <w:tbl>
      <w:tblPr>
        <w:tblStyle w:val="GridTable5Dark-Accent31"/>
        <w:tblW w:w="75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127"/>
        <w:gridCol w:w="1347"/>
        <w:gridCol w:w="1347"/>
        <w:gridCol w:w="1347"/>
        <w:gridCol w:w="1348"/>
      </w:tblGrid>
      <w:tr w:rsidR="0078478C" w:rsidRPr="001E45A9" w14:paraId="6391692F" w14:textId="786077AD" w:rsidTr="001E45A9">
        <w:trPr>
          <w:cnfStyle w:val="100000000000" w:firstRow="1" w:lastRow="0" w:firstColumn="0" w:lastColumn="0" w:oddVBand="0" w:evenVBand="0" w:oddHBand="0" w:evenHBand="0" w:firstRowFirstColumn="0" w:firstRowLastColumn="0" w:lastRowFirstColumn="0" w:lastRowLastColumn="0"/>
          <w:trHeight w:val="283"/>
          <w:jc w:val="center"/>
        </w:trPr>
        <w:tc>
          <w:tcPr>
            <w:tcW w:w="2127" w:type="dxa"/>
            <w:shd w:val="clear" w:color="auto" w:fill="5F497A" w:themeFill="accent4" w:themeFillShade="BF"/>
          </w:tcPr>
          <w:p w14:paraId="75B918B6" w14:textId="77777777" w:rsidR="005441D6" w:rsidRPr="001E45A9" w:rsidRDefault="005441D6" w:rsidP="005441D6">
            <w:pPr>
              <w:numPr>
                <w:ilvl w:val="12"/>
                <w:numId w:val="0"/>
              </w:numPr>
              <w:spacing w:before="40" w:after="40"/>
              <w:jc w:val="center"/>
              <w:rPr>
                <w:rFonts w:ascii="Segoe UI Light" w:hAnsi="Segoe UI Light" w:cs="Segoe UI Light"/>
                <w:b w:val="0"/>
                <w:sz w:val="16"/>
                <w:szCs w:val="16"/>
              </w:rPr>
            </w:pPr>
          </w:p>
        </w:tc>
        <w:tc>
          <w:tcPr>
            <w:tcW w:w="1347" w:type="dxa"/>
            <w:shd w:val="clear" w:color="auto" w:fill="5F497A" w:themeFill="accent4" w:themeFillShade="BF"/>
            <w:vAlign w:val="center"/>
          </w:tcPr>
          <w:p w14:paraId="58F5FCD2" w14:textId="70A3AB1E" w:rsidR="005441D6" w:rsidRPr="001E45A9" w:rsidRDefault="005441D6" w:rsidP="00B43845">
            <w:pPr>
              <w:spacing w:before="40" w:after="40"/>
              <w:jc w:val="center"/>
              <w:rPr>
                <w:rFonts w:ascii="Segoe UI Light" w:hAnsi="Segoe UI Light" w:cs="Segoe UI Light"/>
                <w:sz w:val="16"/>
                <w:szCs w:val="16"/>
              </w:rPr>
            </w:pPr>
            <w:r w:rsidRPr="001E45A9">
              <w:rPr>
                <w:rFonts w:ascii="Segoe UI Light" w:eastAsia="Times New Roman" w:hAnsi="Segoe UI Light" w:cs="Segoe UI Light"/>
                <w:sz w:val="16"/>
                <w:szCs w:val="16"/>
                <w:lang w:eastAsia="lv-LV"/>
              </w:rPr>
              <w:t>2011-2019</w:t>
            </w:r>
          </w:p>
        </w:tc>
        <w:tc>
          <w:tcPr>
            <w:tcW w:w="1347" w:type="dxa"/>
            <w:shd w:val="clear" w:color="auto" w:fill="5F497A" w:themeFill="accent4" w:themeFillShade="BF"/>
            <w:vAlign w:val="center"/>
          </w:tcPr>
          <w:p w14:paraId="6FF0E41F" w14:textId="635B6FB1" w:rsidR="005441D6" w:rsidRPr="001E45A9" w:rsidRDefault="005441D6" w:rsidP="00B43845">
            <w:pPr>
              <w:spacing w:before="40" w:after="40"/>
              <w:jc w:val="center"/>
              <w:rPr>
                <w:rFonts w:ascii="Segoe UI Light" w:hAnsi="Segoe UI Light" w:cs="Segoe UI Light"/>
                <w:sz w:val="16"/>
                <w:szCs w:val="16"/>
              </w:rPr>
            </w:pPr>
            <w:r w:rsidRPr="001E45A9">
              <w:rPr>
                <w:rFonts w:ascii="Segoe UI Light" w:eastAsia="Times New Roman" w:hAnsi="Segoe UI Light" w:cs="Segoe UI Light"/>
                <w:sz w:val="16"/>
                <w:szCs w:val="16"/>
                <w:lang w:eastAsia="lv-LV"/>
              </w:rPr>
              <w:t>2020-202</w:t>
            </w:r>
            <w:r w:rsidR="00761764" w:rsidRPr="001E45A9">
              <w:rPr>
                <w:rFonts w:ascii="Segoe UI Light" w:eastAsia="Times New Roman" w:hAnsi="Segoe UI Light" w:cs="Segoe UI Light"/>
                <w:sz w:val="16"/>
                <w:szCs w:val="16"/>
                <w:lang w:eastAsia="lv-LV"/>
              </w:rPr>
              <w:t>3</w:t>
            </w:r>
          </w:p>
        </w:tc>
        <w:tc>
          <w:tcPr>
            <w:tcW w:w="1347" w:type="dxa"/>
            <w:shd w:val="clear" w:color="auto" w:fill="5F497A" w:themeFill="accent4" w:themeFillShade="BF"/>
            <w:vAlign w:val="center"/>
          </w:tcPr>
          <w:p w14:paraId="076C5F51" w14:textId="401753C4" w:rsidR="005441D6" w:rsidRPr="001E45A9" w:rsidRDefault="005441D6" w:rsidP="00B43845">
            <w:pPr>
              <w:spacing w:before="40" w:after="40"/>
              <w:jc w:val="center"/>
              <w:rPr>
                <w:rFonts w:ascii="Segoe UI Light" w:hAnsi="Segoe UI Light" w:cs="Segoe UI Light"/>
                <w:sz w:val="16"/>
                <w:szCs w:val="16"/>
              </w:rPr>
            </w:pPr>
            <w:r w:rsidRPr="001E45A9">
              <w:rPr>
                <w:rFonts w:ascii="Segoe UI Light" w:eastAsia="Times New Roman" w:hAnsi="Segoe UI Light" w:cs="Segoe UI Light"/>
                <w:sz w:val="16"/>
                <w:szCs w:val="16"/>
                <w:lang w:eastAsia="lv-LV"/>
              </w:rPr>
              <w:t>2022-2030</w:t>
            </w:r>
          </w:p>
        </w:tc>
        <w:tc>
          <w:tcPr>
            <w:tcW w:w="1348" w:type="dxa"/>
            <w:shd w:val="clear" w:color="auto" w:fill="5F497A" w:themeFill="accent4" w:themeFillShade="BF"/>
            <w:vAlign w:val="center"/>
          </w:tcPr>
          <w:p w14:paraId="27DC335E" w14:textId="60FAB197" w:rsidR="005441D6" w:rsidRPr="001E45A9" w:rsidRDefault="005441D6" w:rsidP="00B43845">
            <w:pPr>
              <w:spacing w:before="40" w:after="40"/>
              <w:jc w:val="center"/>
              <w:rPr>
                <w:rFonts w:ascii="Segoe UI Light" w:hAnsi="Segoe UI Light" w:cs="Segoe UI Light"/>
                <w:sz w:val="16"/>
                <w:szCs w:val="16"/>
              </w:rPr>
            </w:pPr>
            <w:r w:rsidRPr="001E45A9">
              <w:rPr>
                <w:rFonts w:ascii="Segoe UI Light" w:eastAsia="Times New Roman" w:hAnsi="Segoe UI Light" w:cs="Segoe UI Light"/>
                <w:sz w:val="16"/>
                <w:szCs w:val="16"/>
                <w:lang w:eastAsia="lv-LV"/>
              </w:rPr>
              <w:t>2031-2040</w:t>
            </w:r>
          </w:p>
        </w:tc>
      </w:tr>
      <w:tr w:rsidR="00E14C8C" w:rsidRPr="001E45A9" w14:paraId="3C7124C6" w14:textId="45AB5904" w:rsidTr="001E45A9">
        <w:trPr>
          <w:cnfStyle w:val="000000100000" w:firstRow="0" w:lastRow="0" w:firstColumn="0" w:lastColumn="0" w:oddVBand="0" w:evenVBand="0" w:oddHBand="1" w:evenHBand="0" w:firstRowFirstColumn="0" w:firstRowLastColumn="0" w:lastRowFirstColumn="0" w:lastRowLastColumn="0"/>
          <w:trHeight w:val="170"/>
          <w:jc w:val="center"/>
        </w:trPr>
        <w:tc>
          <w:tcPr>
            <w:tcW w:w="2127" w:type="dxa"/>
            <w:shd w:val="clear" w:color="auto" w:fill="E5DFEC" w:themeFill="accent4" w:themeFillTint="33"/>
          </w:tcPr>
          <w:p w14:paraId="5C7D2A35" w14:textId="41C60121" w:rsidR="005441D6" w:rsidRPr="001E45A9" w:rsidRDefault="005441D6" w:rsidP="005441D6">
            <w:pPr>
              <w:numPr>
                <w:ilvl w:val="12"/>
                <w:numId w:val="0"/>
              </w:numPr>
              <w:spacing w:before="40" w:after="40"/>
              <w:rPr>
                <w:rFonts w:ascii="Segoe UI Light" w:hAnsi="Segoe UI Light" w:cs="Segoe UI Light"/>
                <w:sz w:val="16"/>
                <w:szCs w:val="16"/>
              </w:rPr>
            </w:pPr>
          </w:p>
        </w:tc>
        <w:tc>
          <w:tcPr>
            <w:tcW w:w="2694" w:type="dxa"/>
            <w:gridSpan w:val="2"/>
            <w:shd w:val="clear" w:color="auto" w:fill="E5DFEC" w:themeFill="accent4" w:themeFillTint="33"/>
          </w:tcPr>
          <w:p w14:paraId="64755E79" w14:textId="53D33C9E" w:rsidR="005441D6" w:rsidRPr="001E45A9" w:rsidRDefault="005441D6" w:rsidP="005441D6">
            <w:pPr>
              <w:spacing w:before="40" w:after="40"/>
              <w:jc w:val="center"/>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Fakts</w:t>
            </w:r>
          </w:p>
        </w:tc>
        <w:tc>
          <w:tcPr>
            <w:tcW w:w="2695" w:type="dxa"/>
            <w:gridSpan w:val="2"/>
            <w:shd w:val="clear" w:color="auto" w:fill="E5DFEC" w:themeFill="accent4" w:themeFillTint="33"/>
          </w:tcPr>
          <w:p w14:paraId="5982CD50" w14:textId="1CEDC743" w:rsidR="005441D6" w:rsidRPr="001E45A9" w:rsidRDefault="005441D6" w:rsidP="005441D6">
            <w:pPr>
              <w:spacing w:before="40" w:after="40"/>
              <w:jc w:val="center"/>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Prognoze</w:t>
            </w:r>
          </w:p>
        </w:tc>
      </w:tr>
      <w:tr w:rsidR="0078478C" w:rsidRPr="001E45A9" w14:paraId="6AAA5CD5" w14:textId="0A0B4E42" w:rsidTr="005441D6">
        <w:trPr>
          <w:jc w:val="center"/>
        </w:trPr>
        <w:tc>
          <w:tcPr>
            <w:tcW w:w="2127" w:type="dxa"/>
            <w:shd w:val="clear" w:color="auto" w:fill="CCC0D9" w:themeFill="accent4" w:themeFillTint="66"/>
          </w:tcPr>
          <w:p w14:paraId="5B9C9F50" w14:textId="778409A4" w:rsidR="005441D6" w:rsidRPr="001E45A9" w:rsidRDefault="005441D6" w:rsidP="005441D6">
            <w:pPr>
              <w:numPr>
                <w:ilvl w:val="12"/>
                <w:numId w:val="0"/>
              </w:numPr>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Iedzīvotāju skaits</w:t>
            </w:r>
          </w:p>
        </w:tc>
        <w:tc>
          <w:tcPr>
            <w:tcW w:w="1347" w:type="dxa"/>
            <w:shd w:val="clear" w:color="auto" w:fill="CCC0D9" w:themeFill="accent4" w:themeFillTint="66"/>
            <w:vAlign w:val="bottom"/>
          </w:tcPr>
          <w:p w14:paraId="2298A2AC" w14:textId="1F72DDF4" w:rsidR="005441D6" w:rsidRPr="001E45A9" w:rsidRDefault="005441D6"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-1,1</w:t>
            </w:r>
          </w:p>
        </w:tc>
        <w:tc>
          <w:tcPr>
            <w:tcW w:w="1347" w:type="dxa"/>
            <w:shd w:val="clear" w:color="auto" w:fill="CCC0D9" w:themeFill="accent4" w:themeFillTint="66"/>
            <w:vAlign w:val="bottom"/>
          </w:tcPr>
          <w:p w14:paraId="54A55575" w14:textId="6A2C656E" w:rsidR="005441D6" w:rsidRPr="001E45A9" w:rsidRDefault="005441D6"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-0,</w:t>
            </w:r>
            <w:r w:rsidR="00761764" w:rsidRPr="001E45A9">
              <w:rPr>
                <w:rFonts w:ascii="Segoe UI Light" w:eastAsia="Times New Roman" w:hAnsi="Segoe UI Light" w:cs="Segoe UI Light"/>
                <w:color w:val="000000"/>
                <w:sz w:val="16"/>
                <w:szCs w:val="16"/>
                <w:lang w:eastAsia="lv-LV"/>
              </w:rPr>
              <w:t>5</w:t>
            </w:r>
          </w:p>
        </w:tc>
        <w:tc>
          <w:tcPr>
            <w:tcW w:w="1347" w:type="dxa"/>
            <w:shd w:val="clear" w:color="auto" w:fill="CCC0D9" w:themeFill="accent4" w:themeFillTint="66"/>
            <w:vAlign w:val="bottom"/>
          </w:tcPr>
          <w:p w14:paraId="65CC5373" w14:textId="2F3EF45D" w:rsidR="005441D6" w:rsidRPr="001E45A9" w:rsidRDefault="005441D6"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-0,7</w:t>
            </w:r>
          </w:p>
        </w:tc>
        <w:tc>
          <w:tcPr>
            <w:tcW w:w="1348" w:type="dxa"/>
            <w:shd w:val="clear" w:color="auto" w:fill="CCC0D9" w:themeFill="accent4" w:themeFillTint="66"/>
            <w:vAlign w:val="bottom"/>
          </w:tcPr>
          <w:p w14:paraId="6EC5E56F" w14:textId="551ED6F5" w:rsidR="005441D6" w:rsidRPr="001E45A9" w:rsidRDefault="005441D6"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-0,</w:t>
            </w:r>
            <w:r w:rsidR="00761764" w:rsidRPr="001E45A9">
              <w:rPr>
                <w:rFonts w:ascii="Segoe UI Light" w:eastAsia="Times New Roman" w:hAnsi="Segoe UI Light" w:cs="Segoe UI Light"/>
                <w:color w:val="000000"/>
                <w:sz w:val="16"/>
                <w:szCs w:val="16"/>
                <w:lang w:eastAsia="lv-LV"/>
              </w:rPr>
              <w:t>2</w:t>
            </w:r>
          </w:p>
        </w:tc>
      </w:tr>
      <w:tr w:rsidR="0078478C" w:rsidRPr="001E45A9" w14:paraId="0EA27D0D" w14:textId="38FFBAA7" w:rsidTr="005441D6">
        <w:trPr>
          <w:cnfStyle w:val="000000100000" w:firstRow="0" w:lastRow="0" w:firstColumn="0" w:lastColumn="0" w:oddVBand="0" w:evenVBand="0" w:oddHBand="1" w:evenHBand="0" w:firstRowFirstColumn="0" w:firstRowLastColumn="0" w:lastRowFirstColumn="0" w:lastRowLastColumn="0"/>
          <w:jc w:val="center"/>
        </w:trPr>
        <w:tc>
          <w:tcPr>
            <w:tcW w:w="2127" w:type="dxa"/>
            <w:shd w:val="clear" w:color="auto" w:fill="E5DFEC" w:themeFill="accent4" w:themeFillTint="33"/>
          </w:tcPr>
          <w:p w14:paraId="24B85376" w14:textId="08A9CE72" w:rsidR="005441D6" w:rsidRPr="001E45A9" w:rsidRDefault="005441D6" w:rsidP="005441D6">
            <w:pPr>
              <w:numPr>
                <w:ilvl w:val="12"/>
                <w:numId w:val="0"/>
              </w:numPr>
              <w:spacing w:before="40" w:after="40"/>
              <w:rPr>
                <w:rFonts w:ascii="Segoe UI Light" w:eastAsia="Times New Roman" w:hAnsi="Segoe UI Light" w:cs="Segoe UI Light"/>
                <w:color w:val="000000"/>
                <w:sz w:val="16"/>
                <w:szCs w:val="16"/>
                <w:lang w:eastAsia="lv-LV"/>
              </w:rPr>
            </w:pPr>
            <w:r w:rsidRPr="001E45A9">
              <w:rPr>
                <w:rFonts w:ascii="Segoe UI Light" w:eastAsia="Times New Roman" w:hAnsi="Segoe UI Light" w:cs="Segoe UI Light"/>
                <w:color w:val="000000"/>
                <w:sz w:val="16"/>
                <w:szCs w:val="16"/>
                <w:lang w:eastAsia="lv-LV"/>
              </w:rPr>
              <w:t>IKP faktiskajās cenās</w:t>
            </w:r>
          </w:p>
        </w:tc>
        <w:tc>
          <w:tcPr>
            <w:tcW w:w="1347" w:type="dxa"/>
            <w:shd w:val="clear" w:color="auto" w:fill="E5DFEC" w:themeFill="accent4" w:themeFillTint="33"/>
          </w:tcPr>
          <w:p w14:paraId="4E66A7EA" w14:textId="75618EB4" w:rsidR="005441D6" w:rsidRPr="001E45A9" w:rsidRDefault="005441D6"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6,0</w:t>
            </w:r>
          </w:p>
        </w:tc>
        <w:tc>
          <w:tcPr>
            <w:tcW w:w="1347" w:type="dxa"/>
            <w:shd w:val="clear" w:color="auto" w:fill="E5DFEC" w:themeFill="accent4" w:themeFillTint="33"/>
          </w:tcPr>
          <w:p w14:paraId="534491E0" w14:textId="2F93AAF4" w:rsidR="005441D6" w:rsidRPr="001E45A9" w:rsidRDefault="00761764"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7,2</w:t>
            </w:r>
          </w:p>
        </w:tc>
        <w:tc>
          <w:tcPr>
            <w:tcW w:w="1347" w:type="dxa"/>
            <w:shd w:val="clear" w:color="auto" w:fill="E5DFEC" w:themeFill="accent4" w:themeFillTint="33"/>
          </w:tcPr>
          <w:p w14:paraId="089D1E5D" w14:textId="6EDD40D3" w:rsidR="005441D6" w:rsidRPr="001E45A9" w:rsidRDefault="00761764"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6,3</w:t>
            </w:r>
          </w:p>
        </w:tc>
        <w:tc>
          <w:tcPr>
            <w:tcW w:w="1348" w:type="dxa"/>
            <w:shd w:val="clear" w:color="auto" w:fill="E5DFEC" w:themeFill="accent4" w:themeFillTint="33"/>
          </w:tcPr>
          <w:p w14:paraId="45A85EBA" w14:textId="53666709" w:rsidR="005441D6" w:rsidRPr="001E45A9" w:rsidRDefault="00761764"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5,6</w:t>
            </w:r>
          </w:p>
        </w:tc>
      </w:tr>
      <w:tr w:rsidR="0078478C" w:rsidRPr="001E45A9" w14:paraId="7C0FA247" w14:textId="6746D90A" w:rsidTr="005441D6">
        <w:trPr>
          <w:jc w:val="center"/>
        </w:trPr>
        <w:tc>
          <w:tcPr>
            <w:tcW w:w="2127" w:type="dxa"/>
            <w:shd w:val="clear" w:color="auto" w:fill="CCC0D9" w:themeFill="accent4" w:themeFillTint="66"/>
          </w:tcPr>
          <w:p w14:paraId="0AA41618" w14:textId="2F4BDEEB" w:rsidR="005441D6" w:rsidRPr="001E45A9" w:rsidRDefault="005441D6" w:rsidP="005441D6">
            <w:pPr>
              <w:numPr>
                <w:ilvl w:val="12"/>
                <w:numId w:val="0"/>
              </w:numPr>
              <w:spacing w:before="40" w:after="40"/>
              <w:rPr>
                <w:rFonts w:ascii="Segoe UI Light" w:eastAsia="Times New Roman" w:hAnsi="Segoe UI Light" w:cs="Segoe UI Light"/>
                <w:color w:val="000000"/>
                <w:sz w:val="16"/>
                <w:szCs w:val="16"/>
                <w:lang w:eastAsia="lv-LV"/>
              </w:rPr>
            </w:pPr>
            <w:r w:rsidRPr="001E45A9">
              <w:rPr>
                <w:rFonts w:ascii="Segoe UI Light" w:eastAsia="Times New Roman" w:hAnsi="Segoe UI Light" w:cs="Segoe UI Light"/>
                <w:color w:val="000000"/>
                <w:sz w:val="16"/>
                <w:szCs w:val="16"/>
                <w:lang w:eastAsia="lv-LV"/>
              </w:rPr>
              <w:t>IKP salīdzināmās cenās</w:t>
            </w:r>
          </w:p>
        </w:tc>
        <w:tc>
          <w:tcPr>
            <w:tcW w:w="1347" w:type="dxa"/>
            <w:shd w:val="clear" w:color="auto" w:fill="CCC0D9" w:themeFill="accent4" w:themeFillTint="66"/>
          </w:tcPr>
          <w:p w14:paraId="53F05D4D" w14:textId="0CB3AAB3" w:rsidR="005441D6" w:rsidRPr="001E45A9" w:rsidRDefault="005441D6"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3,3</w:t>
            </w:r>
          </w:p>
        </w:tc>
        <w:tc>
          <w:tcPr>
            <w:tcW w:w="1347" w:type="dxa"/>
            <w:shd w:val="clear" w:color="auto" w:fill="CCC0D9" w:themeFill="accent4" w:themeFillTint="66"/>
          </w:tcPr>
          <w:p w14:paraId="473830DC" w14:textId="7B6702EC" w:rsidR="005441D6" w:rsidRPr="001E45A9" w:rsidRDefault="00761764"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1,4</w:t>
            </w:r>
          </w:p>
        </w:tc>
        <w:tc>
          <w:tcPr>
            <w:tcW w:w="1347" w:type="dxa"/>
            <w:shd w:val="clear" w:color="auto" w:fill="CCC0D9" w:themeFill="accent4" w:themeFillTint="66"/>
          </w:tcPr>
          <w:p w14:paraId="51B73240" w14:textId="3DC2C9D3" w:rsidR="005441D6" w:rsidRPr="001E45A9" w:rsidRDefault="005441D6"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4,</w:t>
            </w:r>
            <w:r w:rsidR="00761764" w:rsidRPr="001E45A9">
              <w:rPr>
                <w:rFonts w:ascii="Segoe UI Light" w:eastAsia="Times New Roman" w:hAnsi="Segoe UI Light" w:cs="Segoe UI Light"/>
                <w:color w:val="000000"/>
                <w:sz w:val="16"/>
                <w:szCs w:val="16"/>
                <w:lang w:eastAsia="lv-LV"/>
              </w:rPr>
              <w:t>1</w:t>
            </w:r>
          </w:p>
        </w:tc>
        <w:tc>
          <w:tcPr>
            <w:tcW w:w="1348" w:type="dxa"/>
            <w:shd w:val="clear" w:color="auto" w:fill="CCC0D9" w:themeFill="accent4" w:themeFillTint="66"/>
          </w:tcPr>
          <w:p w14:paraId="24013BD0" w14:textId="79B62469" w:rsidR="005441D6" w:rsidRPr="001E45A9" w:rsidRDefault="005441D6" w:rsidP="005441D6">
            <w:pPr>
              <w:tabs>
                <w:tab w:val="decimal" w:pos="560"/>
              </w:tabs>
              <w:spacing w:before="40" w:after="40"/>
              <w:rPr>
                <w:rFonts w:ascii="Segoe UI Light" w:hAnsi="Segoe UI Light" w:cs="Segoe UI Light"/>
                <w:sz w:val="16"/>
                <w:szCs w:val="16"/>
              </w:rPr>
            </w:pPr>
            <w:r w:rsidRPr="001E45A9">
              <w:rPr>
                <w:rFonts w:ascii="Segoe UI Light" w:eastAsia="Times New Roman" w:hAnsi="Segoe UI Light" w:cs="Segoe UI Light"/>
                <w:color w:val="000000"/>
                <w:sz w:val="16"/>
                <w:szCs w:val="16"/>
                <w:lang w:eastAsia="lv-LV"/>
              </w:rPr>
              <w:t>3,</w:t>
            </w:r>
            <w:r w:rsidR="00761764" w:rsidRPr="001E45A9">
              <w:rPr>
                <w:rFonts w:ascii="Segoe UI Light" w:eastAsia="Times New Roman" w:hAnsi="Segoe UI Light" w:cs="Segoe UI Light"/>
                <w:color w:val="000000"/>
                <w:sz w:val="16"/>
                <w:szCs w:val="16"/>
                <w:lang w:eastAsia="lv-LV"/>
              </w:rPr>
              <w:t>7</w:t>
            </w:r>
          </w:p>
        </w:tc>
      </w:tr>
    </w:tbl>
    <w:p w14:paraId="68ECE095" w14:textId="5ACF48E3" w:rsidR="00AE74F0" w:rsidRPr="00761764" w:rsidRDefault="00AE74F0" w:rsidP="00A70DBF">
      <w:pPr>
        <w:spacing w:before="120" w:after="120"/>
        <w:ind w:firstLine="851"/>
        <w:jc w:val="both"/>
        <w:rPr>
          <w:rFonts w:cs="Calibri Light"/>
          <w:sz w:val="16"/>
          <w:szCs w:val="16"/>
        </w:rPr>
      </w:pPr>
      <w:r w:rsidRPr="00761764">
        <w:rPr>
          <w:rFonts w:cs="Calibri Light"/>
          <w:sz w:val="16"/>
          <w:szCs w:val="16"/>
        </w:rPr>
        <w:t>Avots: CSP dati periodā no 2011.-202</w:t>
      </w:r>
      <w:r w:rsidR="00761764" w:rsidRPr="00761764">
        <w:rPr>
          <w:rFonts w:cs="Calibri Light"/>
          <w:sz w:val="16"/>
          <w:szCs w:val="16"/>
        </w:rPr>
        <w:t>3</w:t>
      </w:r>
      <w:r w:rsidRPr="00761764">
        <w:rPr>
          <w:rFonts w:cs="Calibri Light"/>
          <w:sz w:val="16"/>
          <w:szCs w:val="16"/>
        </w:rPr>
        <w:t>.</w:t>
      </w:r>
      <w:r w:rsidR="0080669C" w:rsidRPr="00761764">
        <w:rPr>
          <w:rFonts w:cs="Calibri Light"/>
          <w:sz w:val="16"/>
          <w:szCs w:val="16"/>
        </w:rPr>
        <w:t>gad</w:t>
      </w:r>
      <w:r w:rsidRPr="00761764">
        <w:rPr>
          <w:rFonts w:cs="Calibri Light"/>
          <w:sz w:val="16"/>
          <w:szCs w:val="16"/>
        </w:rPr>
        <w:t>am, EM prognozes sākot ar 202</w:t>
      </w:r>
      <w:r w:rsidR="00761764" w:rsidRPr="00761764">
        <w:rPr>
          <w:rFonts w:cs="Calibri Light"/>
          <w:sz w:val="16"/>
          <w:szCs w:val="16"/>
        </w:rPr>
        <w:t>4</w:t>
      </w:r>
      <w:r w:rsidRPr="00761764">
        <w:rPr>
          <w:rFonts w:cs="Calibri Light"/>
          <w:sz w:val="16"/>
          <w:szCs w:val="16"/>
        </w:rPr>
        <w:t>.</w:t>
      </w:r>
      <w:r w:rsidR="0080669C" w:rsidRPr="00761764">
        <w:rPr>
          <w:rFonts w:cs="Calibri Light"/>
          <w:sz w:val="16"/>
          <w:szCs w:val="16"/>
        </w:rPr>
        <w:t>gad</w:t>
      </w:r>
      <w:r w:rsidRPr="00761764">
        <w:rPr>
          <w:rFonts w:cs="Calibri Light"/>
          <w:sz w:val="16"/>
          <w:szCs w:val="16"/>
        </w:rPr>
        <w:t>u</w:t>
      </w:r>
    </w:p>
    <w:p w14:paraId="62709828" w14:textId="5D2C0FAB" w:rsidR="00AE74F0" w:rsidRDefault="00AE74F0" w:rsidP="00B43845">
      <w:pPr>
        <w:spacing w:after="120"/>
        <w:rPr>
          <w:rFonts w:cs="Calibri Light"/>
          <w:szCs w:val="20"/>
          <w:highlight w:val="yellow"/>
        </w:rPr>
      </w:pPr>
    </w:p>
    <w:p w14:paraId="18342484" w14:textId="16A40977" w:rsidR="00A70DBF" w:rsidRPr="00AE74F0" w:rsidRDefault="00A70DBF" w:rsidP="00B43845">
      <w:pPr>
        <w:spacing w:after="120"/>
        <w:jc w:val="both"/>
        <w:rPr>
          <w:rFonts w:cs="Calibri Light"/>
          <w:szCs w:val="20"/>
        </w:rPr>
      </w:pPr>
      <w:r w:rsidRPr="00AE74F0">
        <w:rPr>
          <w:rFonts w:cs="Calibri Light"/>
          <w:szCs w:val="20"/>
        </w:rPr>
        <w:t>Atvērta darba tirgus apstākļos turpināsies algu konverģence, kas negatīvi ietekmēs uzņēmumu konkurētspēju zemas pievienotās vērtības segmentos. Iedzīvotāju skaita samazināšanās un paaugstinoties bāzei lēnāki ienākuma pieauguma tempi ilgtermiņā ietekmēs privātā patēriņa pieaugumu.</w:t>
      </w:r>
    </w:p>
    <w:p w14:paraId="5770A3E9" w14:textId="69DECFD3" w:rsidR="00A70DBF" w:rsidRPr="000855C2" w:rsidRDefault="00A70DBF" w:rsidP="005372F2">
      <w:pPr>
        <w:spacing w:after="120"/>
        <w:jc w:val="right"/>
        <w:rPr>
          <w:color w:val="000000"/>
          <w:szCs w:val="26"/>
        </w:rPr>
      </w:pPr>
      <w:r w:rsidRPr="000855C2">
        <w:rPr>
          <w:color w:val="000000"/>
          <w:szCs w:val="26"/>
        </w:rPr>
        <w:t>3.</w:t>
      </w:r>
      <w:r>
        <w:rPr>
          <w:color w:val="000000"/>
          <w:szCs w:val="26"/>
        </w:rPr>
        <w:t>4</w:t>
      </w:r>
      <w:r w:rsidRPr="000855C2">
        <w:rPr>
          <w:color w:val="000000"/>
          <w:szCs w:val="26"/>
        </w:rPr>
        <w:t>. attēls</w:t>
      </w:r>
    </w:p>
    <w:p w14:paraId="174CF93D" w14:textId="6E094DA9" w:rsidR="00A70DBF" w:rsidRDefault="00A70DBF" w:rsidP="00A70DBF">
      <w:pPr>
        <w:spacing w:after="120"/>
        <w:jc w:val="center"/>
        <w:rPr>
          <w:rFonts w:ascii="Segoe UI Light" w:hAnsi="Segoe UI Light"/>
          <w:b/>
          <w:sz w:val="18"/>
        </w:rPr>
      </w:pPr>
      <w:r w:rsidRPr="00A70DBF">
        <w:rPr>
          <w:rFonts w:ascii="Segoe UI Light" w:hAnsi="Segoe UI Light"/>
          <w:b/>
          <w:sz w:val="18"/>
        </w:rPr>
        <w:t>Latvijas tautsaimniecības izaugsme</w:t>
      </w:r>
      <w:r>
        <w:rPr>
          <w:rFonts w:ascii="Segoe UI Light" w:hAnsi="Segoe UI Light"/>
          <w:b/>
          <w:sz w:val="18"/>
        </w:rPr>
        <w:br/>
      </w:r>
      <w:r w:rsidRPr="00A70DBF">
        <w:rPr>
          <w:rFonts w:cs="Calibri Light"/>
          <w:i/>
          <w:sz w:val="16"/>
          <w:szCs w:val="20"/>
        </w:rPr>
        <w:t>IKP dinamika, 2004.gads = 100</w:t>
      </w:r>
    </w:p>
    <w:p w14:paraId="6D012068" w14:textId="04EDF231" w:rsidR="00A70DBF" w:rsidRPr="00B73A48" w:rsidRDefault="00A70DBF" w:rsidP="00A70DBF">
      <w:pPr>
        <w:spacing w:after="120"/>
        <w:ind w:left="-34"/>
        <w:jc w:val="both"/>
        <w:rPr>
          <w:rFonts w:cs="Calibri Light"/>
          <w:highlight w:val="yellow"/>
        </w:rPr>
      </w:pPr>
      <w:r w:rsidRPr="00A10272">
        <w:rPr>
          <w:rFonts w:cs="Calibri Light"/>
          <w:noProof/>
          <w:lang w:eastAsia="lv-LV"/>
        </w:rPr>
        <w:drawing>
          <wp:inline distT="0" distB="0" distL="0" distR="0" wp14:anchorId="2222E629" wp14:editId="11E4AC25">
            <wp:extent cx="5753100" cy="3012763"/>
            <wp:effectExtent l="0" t="0" r="0" b="16510"/>
            <wp:docPr id="1048" name="Chart 1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r>
        <w:rPr>
          <w:noProof/>
        </w:rPr>
        <mc:AlternateContent>
          <mc:Choice Requires="wpg">
            <w:drawing>
              <wp:anchor distT="0" distB="0" distL="114300" distR="114300" simplePos="0" relativeHeight="251658437" behindDoc="0" locked="0" layoutInCell="1" allowOverlap="1" wp14:anchorId="55B655DB" wp14:editId="613C08AA">
                <wp:simplePos x="0" y="0"/>
                <wp:positionH relativeFrom="column">
                  <wp:posOffset>186055</wp:posOffset>
                </wp:positionH>
                <wp:positionV relativeFrom="paragraph">
                  <wp:posOffset>2352675</wp:posOffset>
                </wp:positionV>
                <wp:extent cx="5471795" cy="111125"/>
                <wp:effectExtent l="24130" t="9525" r="28575" b="12700"/>
                <wp:wrapNone/>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1795" cy="111125"/>
                          <a:chOff x="1994" y="7075"/>
                          <a:chExt cx="8617" cy="175"/>
                        </a:xfrm>
                      </wpg:grpSpPr>
                      <wps:wsp>
                        <wps:cNvPr id="1056" name="Straight Connector 1"/>
                        <wps:cNvCnPr>
                          <a:cxnSpLocks/>
                        </wps:cNvCnPr>
                        <wps:spPr bwMode="auto">
                          <a:xfrm>
                            <a:off x="1994" y="7167"/>
                            <a:ext cx="8617" cy="0"/>
                          </a:xfrm>
                          <a:prstGeom prst="line">
                            <a:avLst/>
                          </a:prstGeom>
                          <a:noFill/>
                          <a:ln w="47625">
                            <a:solidFill>
                              <a:srgbClr val="4CA9B9"/>
                            </a:solidFill>
                            <a:miter lim="800000"/>
                            <a:headEnd/>
                            <a:tailEnd/>
                          </a:ln>
                          <a:extLst>
                            <a:ext uri="{909E8E84-426E-40DD-AFC4-6F175D3DCCD1}">
                              <a14:hiddenFill xmlns:a14="http://schemas.microsoft.com/office/drawing/2010/main">
                                <a:noFill/>
                              </a14:hiddenFill>
                            </a:ext>
                          </a:extLst>
                        </wps:spPr>
                        <wps:bodyPr/>
                      </wps:wsp>
                      <wps:wsp>
                        <wps:cNvPr id="1057" name="Oval 2"/>
                        <wps:cNvSpPr>
                          <a:spLocks noChangeArrowheads="1"/>
                        </wps:cNvSpPr>
                        <wps:spPr bwMode="auto">
                          <a:xfrm>
                            <a:off x="2091" y="7083"/>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58" name="Oval 3"/>
                        <wps:cNvSpPr>
                          <a:spLocks noChangeArrowheads="1"/>
                        </wps:cNvSpPr>
                        <wps:spPr bwMode="auto">
                          <a:xfrm>
                            <a:off x="4427" y="7075"/>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59" name="Oval 4"/>
                        <wps:cNvSpPr>
                          <a:spLocks noChangeArrowheads="1"/>
                        </wps:cNvSpPr>
                        <wps:spPr bwMode="auto">
                          <a:xfrm>
                            <a:off x="5603" y="7083"/>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60" name="Oval 5"/>
                        <wps:cNvSpPr>
                          <a:spLocks noChangeArrowheads="1"/>
                        </wps:cNvSpPr>
                        <wps:spPr bwMode="auto">
                          <a:xfrm>
                            <a:off x="6774" y="7083"/>
                            <a:ext cx="167"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61" name="Oval 6"/>
                        <wps:cNvSpPr>
                          <a:spLocks noChangeArrowheads="1"/>
                        </wps:cNvSpPr>
                        <wps:spPr bwMode="auto">
                          <a:xfrm>
                            <a:off x="7954" y="7075"/>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62" name="Oval 7"/>
                        <wps:cNvSpPr>
                          <a:spLocks noChangeArrowheads="1"/>
                        </wps:cNvSpPr>
                        <wps:spPr bwMode="auto">
                          <a:xfrm>
                            <a:off x="9141" y="7075"/>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63" name="Oval 8"/>
                        <wps:cNvSpPr>
                          <a:spLocks noChangeArrowheads="1"/>
                        </wps:cNvSpPr>
                        <wps:spPr bwMode="auto">
                          <a:xfrm>
                            <a:off x="10279" y="7075"/>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s:wsp>
                        <wps:cNvPr id="1064" name="Oval 9"/>
                        <wps:cNvSpPr>
                          <a:spLocks noChangeArrowheads="1"/>
                        </wps:cNvSpPr>
                        <wps:spPr bwMode="auto">
                          <a:xfrm>
                            <a:off x="3229" y="7075"/>
                            <a:ext cx="166" cy="167"/>
                          </a:xfrm>
                          <a:prstGeom prst="ellipse">
                            <a:avLst/>
                          </a:prstGeom>
                          <a:solidFill>
                            <a:srgbClr val="FFFFFF"/>
                          </a:solidFill>
                          <a:ln w="12700">
                            <a:solidFill>
                              <a:srgbClr val="1B454C"/>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60A53BAD" id="Group 1055" o:spid="_x0000_s1026" style="position:absolute;margin-left:14.65pt;margin-top:185.25pt;width:430.85pt;height:8.75pt;z-index:251658437" coordorigin="1994,7075" coordsize="861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">
                <v:line id="Straight Connector 1" o:spid="_x0000_s1027" style="position:absolute;visibility:visible;mso-wrap-style:square" from="1994,7167" to="10611,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" strokecolor="#4ca9b9" strokeweight="3.75pt">
                  <v:stroke joinstyle="miter"/>
                  <o:lock v:ext="edit" shapetype="f"/>
                </v:line>
                <v:oval id="Oval 2" o:spid="_x0000_s1028" style="position:absolute;left:2091;top:7083;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" strokecolor="#1b454c" strokeweight="1pt">
                  <v:stroke joinstyle="miter"/>
                </v:oval>
                <v:oval id="Oval 3" o:spid="_x0000_s1029" style="position:absolute;left:4427;top:7075;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" strokecolor="#1b454c" strokeweight="1pt">
                  <v:stroke joinstyle="miter"/>
                </v:oval>
                <v:oval id="Oval 4" o:spid="_x0000_s1030" style="position:absolute;left:5603;top:7083;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" strokecolor="#1b454c" strokeweight="1pt">
                  <v:stroke joinstyle="miter"/>
                </v:oval>
                <v:oval id="Oval 5" o:spid="_x0000_s1031" style="position:absolute;left:6774;top:7083;width:167;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" strokecolor="#1b454c" strokeweight="1pt">
                  <v:stroke joinstyle="miter"/>
                </v:oval>
                <v:oval id="Oval 6" o:spid="_x0000_s1032" style="position:absolute;left:7954;top:7075;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" strokecolor="#1b454c" strokeweight="1pt">
                  <v:stroke joinstyle="miter"/>
                </v:oval>
                <v:oval id="Oval 7" o:spid="_x0000_s1033" style="position:absolute;left:9141;top:7075;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" strokecolor="#1b454c" strokeweight="1pt">
                  <v:stroke joinstyle="miter"/>
                </v:oval>
                <v:oval id="Oval 8" o:spid="_x0000_s1034" style="position:absolute;left:10279;top:7075;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" strokecolor="#1b454c" strokeweight="1pt">
                  <v:stroke joinstyle="miter"/>
                </v:oval>
                <v:oval id="Oval 9" o:spid="_x0000_s1035" style="position:absolute;left:3229;top:7075;width:166;height: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" strokecolor="#1b454c" strokeweight="1pt">
                  <v:stroke joinstyle="miter"/>
                </v:oval>
              </v:group>
            </w:pict>
          </mc:Fallback>
        </mc:AlternateContent>
      </w:r>
      <w:r>
        <w:rPr>
          <w:rFonts w:cs="Calibri Light"/>
          <w:noProof/>
          <w:szCs w:val="20"/>
        </w:rPr>
        <mc:AlternateContent>
          <mc:Choice Requires="wps">
            <w:drawing>
              <wp:anchor distT="0" distB="0" distL="114300" distR="114300" simplePos="0" relativeHeight="251658436" behindDoc="0" locked="0" layoutInCell="1" allowOverlap="1" wp14:anchorId="4F089A8F" wp14:editId="456740D3">
                <wp:simplePos x="0" y="0"/>
                <wp:positionH relativeFrom="column">
                  <wp:posOffset>819150</wp:posOffset>
                </wp:positionH>
                <wp:positionV relativeFrom="paragraph">
                  <wp:posOffset>1798955</wp:posOffset>
                </wp:positionV>
                <wp:extent cx="431800" cy="431800"/>
                <wp:effectExtent l="0" t="0" r="6350" b="6350"/>
                <wp:wrapNone/>
                <wp:docPr id="1054" name="Oval 1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ellipse">
                          <a:avLst/>
                        </a:prstGeom>
                        <a:solidFill>
                          <a:schemeClr val="accent5">
                            <a:lumMod val="60000"/>
                            <a:lumOff val="40000"/>
                            <a:alpha val="80000"/>
                          </a:schemeClr>
                        </a:solidFill>
                        <a:ln>
                          <a:noFill/>
                        </a:ln>
                      </wps:spPr>
                      <wps:txbx>
                        <w:txbxContent>
                          <w:p w14:paraId="16343CC1" w14:textId="5CFCBBE9" w:rsidR="00B83D7D" w:rsidRPr="00850487" w:rsidRDefault="00B83D7D" w:rsidP="00A70DBF">
                            <w:pPr>
                              <w:overflowPunct w:val="0"/>
                              <w:spacing w:after="0"/>
                              <w:jc w:val="center"/>
                              <w:textAlignment w:val="baseline"/>
                              <w:rPr>
                                <w:rFonts w:ascii="Segoe UI Light" w:hAnsi="Segoe UI Light" w:cs="Segoe UI Light"/>
                                <w:color w:val="404040" w:themeColor="text1" w:themeTint="BF"/>
                                <w:position w:val="1"/>
                                <w:sz w:val="8"/>
                                <w:szCs w:val="8"/>
                              </w:rPr>
                            </w:pPr>
                            <w:r w:rsidRPr="00850487">
                              <w:rPr>
                                <w:rFonts w:ascii="Segoe UI Light" w:hAnsi="Segoe UI Light" w:cs="Segoe UI Light"/>
                                <w:color w:val="404040" w:themeColor="text1" w:themeTint="BF"/>
                                <w:position w:val="1"/>
                                <w:sz w:val="8"/>
                                <w:szCs w:val="8"/>
                              </w:rPr>
                              <w:t>2010.gadā IKP fakt. cenās</w:t>
                            </w:r>
                          </w:p>
                          <w:p w14:paraId="6D0B7B65" w14:textId="77777777" w:rsidR="00B83D7D" w:rsidRPr="00850487" w:rsidRDefault="00B83D7D" w:rsidP="00A70DBF">
                            <w:pPr>
                              <w:overflowPunct w:val="0"/>
                              <w:spacing w:after="0"/>
                              <w:jc w:val="center"/>
                              <w:textAlignment w:val="baseline"/>
                              <w:rPr>
                                <w:rFonts w:ascii="Segoe UI Light" w:hAnsi="Segoe UI Light" w:cs="Segoe UI Light"/>
                                <w:b/>
                                <w:bCs/>
                                <w:color w:val="404040" w:themeColor="text1" w:themeTint="BF"/>
                                <w:position w:val="1"/>
                                <w:sz w:val="8"/>
                                <w:szCs w:val="8"/>
                              </w:rPr>
                            </w:pPr>
                            <w:r w:rsidRPr="00850487">
                              <w:rPr>
                                <w:rFonts w:ascii="Segoe UI Light" w:hAnsi="Segoe UI Light" w:cs="Segoe UI Light"/>
                                <w:b/>
                                <w:bCs/>
                                <w:color w:val="404040" w:themeColor="text1" w:themeTint="BF"/>
                                <w:position w:val="1"/>
                                <w:sz w:val="12"/>
                                <w:szCs w:val="12"/>
                              </w:rPr>
                              <w:t>25</w:t>
                            </w:r>
                            <w:r w:rsidRPr="004F54BF">
                              <w:rPr>
                                <w:rFonts w:ascii="Segoe UI Light" w:hAnsi="Segoe UI Light" w:cs="Segoe UI Light"/>
                                <w:b/>
                                <w:bCs/>
                                <w:color w:val="404040" w:themeColor="text1" w:themeTint="BF"/>
                                <w:position w:val="1"/>
                                <w:sz w:val="10"/>
                                <w:szCs w:val="10"/>
                              </w:rPr>
                              <w:t xml:space="preserve"> </w:t>
                            </w:r>
                            <w:r w:rsidRPr="004F54BF">
                              <w:rPr>
                                <w:rFonts w:ascii="Segoe UI Light" w:hAnsi="Segoe UI Light" w:cs="Segoe UI Light"/>
                                <w:color w:val="404040" w:themeColor="text1" w:themeTint="BF"/>
                                <w:position w:val="1"/>
                                <w:sz w:val="10"/>
                                <w:szCs w:val="10"/>
                              </w:rPr>
                              <w:t>miljrd</w:t>
                            </w:r>
                            <w:r w:rsidRPr="004F54BF">
                              <w:rPr>
                                <w:rFonts w:ascii="Segoe UI Light" w:hAnsi="Segoe UI Light" w:cs="Segoe UI Light"/>
                                <w:color w:val="404040" w:themeColor="text1" w:themeTint="BF"/>
                                <w:position w:val="1"/>
                                <w:sz w:val="8"/>
                                <w:szCs w:val="8"/>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oval w14:anchorId="4F089A8F" id="Oval 1054" o:spid="_x0000_s1225" style="position:absolute;left:0;text-align:left;margin-left:64.5pt;margin-top:141.65pt;width:34pt;height:34pt;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" fillcolor="#92cddc [1944]" stroked="f">
                <v:fill opacity="52428f"/>
                <v:textbox inset="0,0,0,0">
                  <w:txbxContent>
                    <w:p w14:paraId="16343CC1" w14:textId="5CFCBBE9" w:rsidR="00B83D7D" w:rsidRPr="00850487" w:rsidRDefault="00B83D7D" w:rsidP="00A70DBF">
                      <w:pPr>
                        <w:overflowPunct w:val="0"/>
                        <w:spacing w:after="0"/>
                        <w:jc w:val="center"/>
                        <w:textAlignment w:val="baseline"/>
                        <w:rPr>
                          <w:rFonts w:ascii="Segoe UI Light" w:hAnsi="Segoe UI Light" w:cs="Segoe UI Light"/>
                          <w:color w:val="404040" w:themeColor="text1" w:themeTint="BF"/>
                          <w:position w:val="1"/>
                          <w:sz w:val="8"/>
                          <w:szCs w:val="8"/>
                        </w:rPr>
                      </w:pPr>
                      <w:r w:rsidRPr="00850487">
                        <w:rPr>
                          <w:rFonts w:ascii="Segoe UI Light" w:hAnsi="Segoe UI Light" w:cs="Segoe UI Light"/>
                          <w:color w:val="404040" w:themeColor="text1" w:themeTint="BF"/>
                          <w:position w:val="1"/>
                          <w:sz w:val="8"/>
                          <w:szCs w:val="8"/>
                        </w:rPr>
                        <w:t>2010.gadā IKP fakt. cenās</w:t>
                      </w:r>
                    </w:p>
                    <w:p w14:paraId="6D0B7B65" w14:textId="77777777" w:rsidR="00B83D7D" w:rsidRPr="00850487" w:rsidRDefault="00B83D7D" w:rsidP="00A70DBF">
                      <w:pPr>
                        <w:overflowPunct w:val="0"/>
                        <w:spacing w:after="0"/>
                        <w:jc w:val="center"/>
                        <w:textAlignment w:val="baseline"/>
                        <w:rPr>
                          <w:rFonts w:ascii="Segoe UI Light" w:hAnsi="Segoe UI Light" w:cs="Segoe UI Light"/>
                          <w:b/>
                          <w:bCs/>
                          <w:color w:val="404040" w:themeColor="text1" w:themeTint="BF"/>
                          <w:position w:val="1"/>
                          <w:sz w:val="8"/>
                          <w:szCs w:val="8"/>
                        </w:rPr>
                      </w:pPr>
                      <w:r w:rsidRPr="00850487">
                        <w:rPr>
                          <w:rFonts w:ascii="Segoe UI Light" w:hAnsi="Segoe UI Light" w:cs="Segoe UI Light"/>
                          <w:b/>
                          <w:bCs/>
                          <w:color w:val="404040" w:themeColor="text1" w:themeTint="BF"/>
                          <w:position w:val="1"/>
                          <w:sz w:val="12"/>
                          <w:szCs w:val="12"/>
                        </w:rPr>
                        <w:t>25</w:t>
                      </w:r>
                      <w:r w:rsidRPr="004F54BF">
                        <w:rPr>
                          <w:rFonts w:ascii="Segoe UI Light" w:hAnsi="Segoe UI Light" w:cs="Segoe UI Light"/>
                          <w:b/>
                          <w:bCs/>
                          <w:color w:val="404040" w:themeColor="text1" w:themeTint="BF"/>
                          <w:position w:val="1"/>
                          <w:sz w:val="10"/>
                          <w:szCs w:val="10"/>
                        </w:rPr>
                        <w:t xml:space="preserve"> </w:t>
                      </w:r>
                      <w:r w:rsidRPr="004F54BF">
                        <w:rPr>
                          <w:rFonts w:ascii="Segoe UI Light" w:hAnsi="Segoe UI Light" w:cs="Segoe UI Light"/>
                          <w:color w:val="404040" w:themeColor="text1" w:themeTint="BF"/>
                          <w:position w:val="1"/>
                          <w:sz w:val="10"/>
                          <w:szCs w:val="10"/>
                        </w:rPr>
                        <w:t>miljrd</w:t>
                      </w:r>
                      <w:r w:rsidRPr="004F54BF">
                        <w:rPr>
                          <w:rFonts w:ascii="Segoe UI Light" w:hAnsi="Segoe UI Light" w:cs="Segoe UI Light"/>
                          <w:color w:val="404040" w:themeColor="text1" w:themeTint="BF"/>
                          <w:position w:val="1"/>
                          <w:sz w:val="8"/>
                          <w:szCs w:val="8"/>
                        </w:rPr>
                        <w:t>.</w:t>
                      </w:r>
                    </w:p>
                  </w:txbxContent>
                </v:textbox>
              </v:oval>
            </w:pict>
          </mc:Fallback>
        </mc:AlternateContent>
      </w:r>
      <w:r>
        <w:rPr>
          <w:rFonts w:cs="Calibri Light"/>
          <w:noProof/>
          <w:szCs w:val="20"/>
        </w:rPr>
        <mc:AlternateContent>
          <mc:Choice Requires="wps">
            <w:drawing>
              <wp:anchor distT="0" distB="0" distL="114300" distR="114300" simplePos="0" relativeHeight="251658435" behindDoc="0" locked="0" layoutInCell="1" allowOverlap="1" wp14:anchorId="181E3E49" wp14:editId="6263443D">
                <wp:simplePos x="0" y="0"/>
                <wp:positionH relativeFrom="column">
                  <wp:posOffset>2748280</wp:posOffset>
                </wp:positionH>
                <wp:positionV relativeFrom="paragraph">
                  <wp:posOffset>1265555</wp:posOffset>
                </wp:positionV>
                <wp:extent cx="575945" cy="575945"/>
                <wp:effectExtent l="0" t="0" r="0" b="0"/>
                <wp:wrapNone/>
                <wp:docPr id="1053" name="Oval 10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5945"/>
                        </a:xfrm>
                        <a:prstGeom prst="ellipse">
                          <a:avLst/>
                        </a:prstGeom>
                        <a:solidFill>
                          <a:schemeClr val="accent5">
                            <a:lumMod val="60000"/>
                            <a:lumOff val="40000"/>
                            <a:alpha val="80000"/>
                          </a:schemeClr>
                        </a:solidFill>
                        <a:ln>
                          <a:noFill/>
                        </a:ln>
                      </wps:spPr>
                      <wps:txbx>
                        <w:txbxContent>
                          <w:p w14:paraId="7EECC86F" w14:textId="13C3E389" w:rsidR="00B83D7D" w:rsidRPr="004F66B7" w:rsidRDefault="00B83D7D" w:rsidP="00A70DBF">
                            <w:pPr>
                              <w:overflowPunct w:val="0"/>
                              <w:spacing w:after="0"/>
                              <w:jc w:val="center"/>
                              <w:textAlignment w:val="baseline"/>
                              <w:rPr>
                                <w:rFonts w:ascii="Segoe UI Light" w:hAnsi="Segoe UI Light" w:cs="Segoe UI Light"/>
                                <w:color w:val="404040" w:themeColor="text1" w:themeTint="BF"/>
                                <w:position w:val="1"/>
                                <w:sz w:val="10"/>
                                <w:szCs w:val="10"/>
                              </w:rPr>
                            </w:pPr>
                            <w:r w:rsidRPr="004F66B7">
                              <w:rPr>
                                <w:rFonts w:ascii="Segoe UI Light" w:hAnsi="Segoe UI Light" w:cs="Segoe UI Light"/>
                                <w:color w:val="404040" w:themeColor="text1" w:themeTint="BF"/>
                                <w:position w:val="1"/>
                                <w:sz w:val="10"/>
                                <w:szCs w:val="10"/>
                              </w:rPr>
                              <w:t>2023.gadā IKP fakt. cenās</w:t>
                            </w:r>
                          </w:p>
                          <w:p w14:paraId="5CD24847" w14:textId="77777777" w:rsidR="00B83D7D" w:rsidRPr="004F66B7" w:rsidRDefault="00B83D7D" w:rsidP="00A70DBF">
                            <w:pPr>
                              <w:overflowPunct w:val="0"/>
                              <w:spacing w:after="0"/>
                              <w:jc w:val="center"/>
                              <w:textAlignment w:val="baseline"/>
                              <w:rPr>
                                <w:rFonts w:ascii="Segoe UI Light" w:hAnsi="Segoe UI Light" w:cs="Segoe UI Light"/>
                                <w:b/>
                                <w:bCs/>
                                <w:color w:val="404040" w:themeColor="text1" w:themeTint="BF"/>
                                <w:position w:val="1"/>
                                <w:sz w:val="10"/>
                                <w:szCs w:val="10"/>
                              </w:rPr>
                            </w:pPr>
                            <w:r>
                              <w:rPr>
                                <w:rFonts w:ascii="Segoe UI Light" w:hAnsi="Segoe UI Light" w:cs="Segoe UI Light"/>
                                <w:b/>
                                <w:bCs/>
                                <w:color w:val="404040" w:themeColor="text1" w:themeTint="BF"/>
                                <w:position w:val="1"/>
                                <w:sz w:val="16"/>
                                <w:szCs w:val="16"/>
                              </w:rPr>
                              <w:t>40</w:t>
                            </w:r>
                            <w:r w:rsidRPr="004F54BF">
                              <w:rPr>
                                <w:rFonts w:ascii="Segoe UI Light" w:hAnsi="Segoe UI Light" w:cs="Segoe UI Light"/>
                                <w:color w:val="404040" w:themeColor="text1" w:themeTint="BF"/>
                                <w:position w:val="1"/>
                                <w:sz w:val="10"/>
                                <w:szCs w:val="10"/>
                              </w:rPr>
                              <w:t>miljrd.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oval w14:anchorId="181E3E49" id="Oval 1053" o:spid="_x0000_s1226" style="position:absolute;left:0;text-align:left;margin-left:216.4pt;margin-top:99.65pt;width:45.35pt;height:45.35pt;z-index:251658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" fillcolor="#92cddc [1944]" stroked="f">
                <v:fill opacity="52428f"/>
                <v:textbox inset="0,0,0,0">
                  <w:txbxContent>
                    <w:p w14:paraId="7EECC86F" w14:textId="13C3E389" w:rsidR="00B83D7D" w:rsidRPr="004F66B7" w:rsidRDefault="00B83D7D" w:rsidP="00A70DBF">
                      <w:pPr>
                        <w:overflowPunct w:val="0"/>
                        <w:spacing w:after="0"/>
                        <w:jc w:val="center"/>
                        <w:textAlignment w:val="baseline"/>
                        <w:rPr>
                          <w:rFonts w:ascii="Segoe UI Light" w:hAnsi="Segoe UI Light" w:cs="Segoe UI Light"/>
                          <w:color w:val="404040" w:themeColor="text1" w:themeTint="BF"/>
                          <w:position w:val="1"/>
                          <w:sz w:val="10"/>
                          <w:szCs w:val="10"/>
                        </w:rPr>
                      </w:pPr>
                      <w:r w:rsidRPr="004F66B7">
                        <w:rPr>
                          <w:rFonts w:ascii="Segoe UI Light" w:hAnsi="Segoe UI Light" w:cs="Segoe UI Light"/>
                          <w:color w:val="404040" w:themeColor="text1" w:themeTint="BF"/>
                          <w:position w:val="1"/>
                          <w:sz w:val="10"/>
                          <w:szCs w:val="10"/>
                        </w:rPr>
                        <w:t>2023.gadā IKP fakt. cenās</w:t>
                      </w:r>
                    </w:p>
                    <w:p w14:paraId="5CD24847" w14:textId="77777777" w:rsidR="00B83D7D" w:rsidRPr="004F66B7" w:rsidRDefault="00B83D7D" w:rsidP="00A70DBF">
                      <w:pPr>
                        <w:overflowPunct w:val="0"/>
                        <w:spacing w:after="0"/>
                        <w:jc w:val="center"/>
                        <w:textAlignment w:val="baseline"/>
                        <w:rPr>
                          <w:rFonts w:ascii="Segoe UI Light" w:hAnsi="Segoe UI Light" w:cs="Segoe UI Light"/>
                          <w:b/>
                          <w:bCs/>
                          <w:color w:val="404040" w:themeColor="text1" w:themeTint="BF"/>
                          <w:position w:val="1"/>
                          <w:sz w:val="10"/>
                          <w:szCs w:val="10"/>
                        </w:rPr>
                      </w:pPr>
                      <w:r>
                        <w:rPr>
                          <w:rFonts w:ascii="Segoe UI Light" w:hAnsi="Segoe UI Light" w:cs="Segoe UI Light"/>
                          <w:b/>
                          <w:bCs/>
                          <w:color w:val="404040" w:themeColor="text1" w:themeTint="BF"/>
                          <w:position w:val="1"/>
                          <w:sz w:val="16"/>
                          <w:szCs w:val="16"/>
                        </w:rPr>
                        <w:t>40</w:t>
                      </w:r>
                      <w:r w:rsidRPr="004F54BF">
                        <w:rPr>
                          <w:rFonts w:ascii="Segoe UI Light" w:hAnsi="Segoe UI Light" w:cs="Segoe UI Light"/>
                          <w:color w:val="404040" w:themeColor="text1" w:themeTint="BF"/>
                          <w:position w:val="1"/>
                          <w:sz w:val="10"/>
                          <w:szCs w:val="10"/>
                        </w:rPr>
                        <w:t>miljrd.</w:t>
                      </w:r>
                    </w:p>
                  </w:txbxContent>
                </v:textbox>
              </v:oval>
            </w:pict>
          </mc:Fallback>
        </mc:AlternateContent>
      </w:r>
      <w:r>
        <w:rPr>
          <w:rFonts w:cs="Calibri Light"/>
          <w:noProof/>
          <w:szCs w:val="20"/>
          <w:highlight w:val="yellow"/>
        </w:rPr>
        <mc:AlternateContent>
          <mc:Choice Requires="wps">
            <w:drawing>
              <wp:anchor distT="0" distB="0" distL="114300" distR="114300" simplePos="0" relativeHeight="251658434" behindDoc="0" locked="0" layoutInCell="1" allowOverlap="1" wp14:anchorId="5B48444B" wp14:editId="4F2D1D1B">
                <wp:simplePos x="0" y="0"/>
                <wp:positionH relativeFrom="column">
                  <wp:posOffset>4431665</wp:posOffset>
                </wp:positionH>
                <wp:positionV relativeFrom="paragraph">
                  <wp:posOffset>140335</wp:posOffset>
                </wp:positionV>
                <wp:extent cx="720090" cy="720090"/>
                <wp:effectExtent l="2540" t="6985" r="1270" b="6350"/>
                <wp:wrapNone/>
                <wp:docPr id="1052" name="Oval 1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720090"/>
                        </a:xfrm>
                        <a:prstGeom prst="ellipse">
                          <a:avLst/>
                        </a:prstGeom>
                        <a:solidFill>
                          <a:srgbClr val="C00000">
                            <a:alpha val="69000"/>
                          </a:srgb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723305" w14:textId="23191192" w:rsidR="00B83D7D" w:rsidRPr="00AB0D71" w:rsidRDefault="00B83D7D" w:rsidP="00A70DBF">
                            <w:pPr>
                              <w:overflowPunct w:val="0"/>
                              <w:spacing w:after="0"/>
                              <w:jc w:val="center"/>
                              <w:textAlignment w:val="baseline"/>
                              <w:rPr>
                                <w:rFonts w:ascii="Segoe UI Light" w:hAnsi="Segoe UI Light" w:cs="Segoe UI Light"/>
                                <w:color w:val="FFFFFF"/>
                                <w:position w:val="1"/>
                                <w:sz w:val="12"/>
                                <w:szCs w:val="12"/>
                              </w:rPr>
                            </w:pPr>
                            <w:r w:rsidRPr="00AB0D71">
                              <w:rPr>
                                <w:rFonts w:ascii="Segoe UI Light" w:hAnsi="Segoe UI Light" w:cs="Segoe UI Light"/>
                                <w:color w:val="FFFFFF"/>
                                <w:position w:val="1"/>
                                <w:sz w:val="12"/>
                                <w:szCs w:val="12"/>
                              </w:rPr>
                              <w:t>2035.gadā IKP fakt</w:t>
                            </w:r>
                            <w:r>
                              <w:rPr>
                                <w:rFonts w:ascii="Segoe UI Light" w:hAnsi="Segoe UI Light" w:cs="Segoe UI Light"/>
                                <w:color w:val="FFFFFF"/>
                                <w:position w:val="1"/>
                                <w:sz w:val="12"/>
                                <w:szCs w:val="12"/>
                              </w:rPr>
                              <w:t xml:space="preserve">. </w:t>
                            </w:r>
                            <w:r w:rsidRPr="00AB0D71">
                              <w:rPr>
                                <w:rFonts w:ascii="Segoe UI Light" w:hAnsi="Segoe UI Light" w:cs="Segoe UI Light"/>
                                <w:color w:val="FFFFFF"/>
                                <w:position w:val="1"/>
                                <w:sz w:val="12"/>
                                <w:szCs w:val="12"/>
                              </w:rPr>
                              <w:t>cenās</w:t>
                            </w:r>
                          </w:p>
                          <w:p w14:paraId="3D1C2C0C" w14:textId="77777777" w:rsidR="00B83D7D" w:rsidRPr="00A23AA1" w:rsidRDefault="00B83D7D" w:rsidP="00A70DBF">
                            <w:pPr>
                              <w:overflowPunct w:val="0"/>
                              <w:spacing w:after="0"/>
                              <w:jc w:val="center"/>
                              <w:textAlignment w:val="baseline"/>
                              <w:rPr>
                                <w:rFonts w:ascii="Segoe UI Light" w:hAnsi="Segoe UI Light" w:cs="Segoe UI Light"/>
                                <w:b/>
                                <w:bCs/>
                                <w:color w:val="FFFFFF"/>
                                <w:position w:val="1"/>
                                <w:sz w:val="28"/>
                                <w:szCs w:val="28"/>
                              </w:rPr>
                            </w:pPr>
                            <w:r w:rsidRPr="00A23AA1">
                              <w:rPr>
                                <w:rFonts w:ascii="Segoe UI Light" w:hAnsi="Segoe UI Light" w:cs="Segoe UI Light"/>
                                <w:b/>
                                <w:bCs/>
                                <w:color w:val="FFFFFF"/>
                                <w:position w:val="1"/>
                                <w:sz w:val="28"/>
                                <w:szCs w:val="28"/>
                              </w:rPr>
                              <w:t>83</w:t>
                            </w:r>
                            <w:r w:rsidRPr="004F54BF">
                              <w:rPr>
                                <w:rFonts w:ascii="Segoe UI Light" w:hAnsi="Segoe UI Light" w:cs="Segoe UI Light"/>
                                <w:color w:val="FFFFFF"/>
                                <w:position w:val="1"/>
                                <w:sz w:val="12"/>
                                <w:szCs w:val="12"/>
                              </w:rPr>
                              <w:t>miljrd</w:t>
                            </w:r>
                            <w:r w:rsidRPr="004F54BF">
                              <w:rPr>
                                <w:rFonts w:ascii="Segoe UI Light" w:hAnsi="Segoe UI Light" w:cs="Segoe UI Light"/>
                                <w:color w:val="FFFFFF"/>
                                <w:position w:val="1"/>
                                <w:sz w:val="28"/>
                                <w:szCs w:val="28"/>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oval w14:anchorId="5B48444B" id="Oval 1052" o:spid="_x0000_s1227" style="position:absolute;left:0;text-align:left;margin-left:348.95pt;margin-top:11.05pt;width:56.7pt;height:56.7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" fillcolor="#c00000" stroked="f" strokeweight="1pt">
                <v:fill opacity="45232f"/>
                <v:stroke joinstyle="miter"/>
                <v:textbox inset="0,0,0,0">
                  <w:txbxContent>
                    <w:p w14:paraId="49723305" w14:textId="23191192" w:rsidR="00B83D7D" w:rsidRPr="00AB0D71" w:rsidRDefault="00B83D7D" w:rsidP="00A70DBF">
                      <w:pPr>
                        <w:overflowPunct w:val="0"/>
                        <w:spacing w:after="0"/>
                        <w:jc w:val="center"/>
                        <w:textAlignment w:val="baseline"/>
                        <w:rPr>
                          <w:rFonts w:ascii="Segoe UI Light" w:hAnsi="Segoe UI Light" w:cs="Segoe UI Light"/>
                          <w:color w:val="FFFFFF"/>
                          <w:position w:val="1"/>
                          <w:sz w:val="12"/>
                          <w:szCs w:val="12"/>
                        </w:rPr>
                      </w:pPr>
                      <w:r w:rsidRPr="00AB0D71">
                        <w:rPr>
                          <w:rFonts w:ascii="Segoe UI Light" w:hAnsi="Segoe UI Light" w:cs="Segoe UI Light"/>
                          <w:color w:val="FFFFFF"/>
                          <w:position w:val="1"/>
                          <w:sz w:val="12"/>
                          <w:szCs w:val="12"/>
                        </w:rPr>
                        <w:t>2035.gadā IKP fakt</w:t>
                      </w:r>
                      <w:r>
                        <w:rPr>
                          <w:rFonts w:ascii="Segoe UI Light" w:hAnsi="Segoe UI Light" w:cs="Segoe UI Light"/>
                          <w:color w:val="FFFFFF"/>
                          <w:position w:val="1"/>
                          <w:sz w:val="12"/>
                          <w:szCs w:val="12"/>
                        </w:rPr>
                        <w:t xml:space="preserve">. </w:t>
                      </w:r>
                      <w:r w:rsidRPr="00AB0D71">
                        <w:rPr>
                          <w:rFonts w:ascii="Segoe UI Light" w:hAnsi="Segoe UI Light" w:cs="Segoe UI Light"/>
                          <w:color w:val="FFFFFF"/>
                          <w:position w:val="1"/>
                          <w:sz w:val="12"/>
                          <w:szCs w:val="12"/>
                        </w:rPr>
                        <w:t>cenās</w:t>
                      </w:r>
                    </w:p>
                    <w:p w14:paraId="3D1C2C0C" w14:textId="77777777" w:rsidR="00B83D7D" w:rsidRPr="00A23AA1" w:rsidRDefault="00B83D7D" w:rsidP="00A70DBF">
                      <w:pPr>
                        <w:overflowPunct w:val="0"/>
                        <w:spacing w:after="0"/>
                        <w:jc w:val="center"/>
                        <w:textAlignment w:val="baseline"/>
                        <w:rPr>
                          <w:rFonts w:ascii="Segoe UI Light" w:hAnsi="Segoe UI Light" w:cs="Segoe UI Light"/>
                          <w:b/>
                          <w:bCs/>
                          <w:color w:val="FFFFFF"/>
                          <w:position w:val="1"/>
                          <w:sz w:val="28"/>
                          <w:szCs w:val="28"/>
                        </w:rPr>
                      </w:pPr>
                      <w:r w:rsidRPr="00A23AA1">
                        <w:rPr>
                          <w:rFonts w:ascii="Segoe UI Light" w:hAnsi="Segoe UI Light" w:cs="Segoe UI Light"/>
                          <w:b/>
                          <w:bCs/>
                          <w:color w:val="FFFFFF"/>
                          <w:position w:val="1"/>
                          <w:sz w:val="28"/>
                          <w:szCs w:val="28"/>
                        </w:rPr>
                        <w:t>83</w:t>
                      </w:r>
                      <w:r w:rsidRPr="004F54BF">
                        <w:rPr>
                          <w:rFonts w:ascii="Segoe UI Light" w:hAnsi="Segoe UI Light" w:cs="Segoe UI Light"/>
                          <w:color w:val="FFFFFF"/>
                          <w:position w:val="1"/>
                          <w:sz w:val="12"/>
                          <w:szCs w:val="12"/>
                        </w:rPr>
                        <w:t>miljrd</w:t>
                      </w:r>
                      <w:r w:rsidRPr="004F54BF">
                        <w:rPr>
                          <w:rFonts w:ascii="Segoe UI Light" w:hAnsi="Segoe UI Light" w:cs="Segoe UI Light"/>
                          <w:color w:val="FFFFFF"/>
                          <w:position w:val="1"/>
                          <w:sz w:val="28"/>
                          <w:szCs w:val="28"/>
                        </w:rPr>
                        <w:t>.</w:t>
                      </w:r>
                    </w:p>
                  </w:txbxContent>
                </v:textbox>
              </v:oval>
            </w:pict>
          </mc:Fallback>
        </mc:AlternateContent>
      </w:r>
      <w:r>
        <w:rPr>
          <w:noProof/>
        </w:rPr>
        <mc:AlternateContent>
          <mc:Choice Requires="wps">
            <w:drawing>
              <wp:anchor distT="0" distB="0" distL="114300" distR="114300" simplePos="0" relativeHeight="251658432" behindDoc="0" locked="0" layoutInCell="1" allowOverlap="1" wp14:anchorId="7E70DFE9" wp14:editId="11E9831B">
                <wp:simplePos x="0" y="0"/>
                <wp:positionH relativeFrom="column">
                  <wp:posOffset>0</wp:posOffset>
                </wp:positionH>
                <wp:positionV relativeFrom="paragraph">
                  <wp:posOffset>5905500</wp:posOffset>
                </wp:positionV>
                <wp:extent cx="5120005" cy="438150"/>
                <wp:effectExtent l="0" t="0" r="0" b="0"/>
                <wp:wrapNone/>
                <wp:docPr id="1051"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005" cy="438150"/>
                        </a:xfrm>
                        <a:prstGeom prst="rect">
                          <a:avLst/>
                        </a:prstGeom>
                        <a:noFill/>
                      </wps:spPr>
                      <wps:txbx>
                        <w:txbxContent>
                          <w:p w14:paraId="342D1829" w14:textId="77777777" w:rsidR="00B83D7D" w:rsidRDefault="00B83D7D" w:rsidP="00A70DBF">
                            <w:pPr>
                              <w:textAlignment w:val="baseline"/>
                              <w:rPr>
                                <w:rFonts w:ascii="Segoe UI Light" w:eastAsia="Verdana" w:hAnsi="Segoe UI Light" w:cs="Segoe UI Light"/>
                                <w:color w:val="000000"/>
                                <w:kern w:val="24"/>
                                <w:sz w:val="23"/>
                                <w:szCs w:val="23"/>
                              </w:rPr>
                            </w:pPr>
                            <w:r>
                              <w:rPr>
                                <w:rFonts w:ascii="Segoe UI Light" w:eastAsia="Verdana" w:hAnsi="Segoe UI Light" w:cs="Segoe UI Light"/>
                                <w:color w:val="000000"/>
                                <w:kern w:val="24"/>
                                <w:sz w:val="23"/>
                                <w:szCs w:val="23"/>
                              </w:rPr>
                              <w:t>Avots</w:t>
                            </w:r>
                            <w:r>
                              <w:rPr>
                                <w:rFonts w:ascii="Segoe UI Light" w:eastAsia="Verdana" w:hAnsi="Segoe UI Light" w:cs="Segoe UI Light"/>
                                <w:color w:val="000000"/>
                                <w:kern w:val="24"/>
                                <w:sz w:val="23"/>
                                <w:szCs w:val="23"/>
                                <w:lang w:val="en-US"/>
                              </w:rPr>
                              <w:t xml:space="preserve">: </w:t>
                            </w:r>
                            <w:r>
                              <w:rPr>
                                <w:rFonts w:ascii="Segoe UI Light" w:eastAsia="Verdana" w:hAnsi="Segoe UI Light" w:cs="Segoe UI Light"/>
                                <w:color w:val="000000"/>
                                <w:kern w:val="24"/>
                                <w:sz w:val="23"/>
                                <w:szCs w:val="23"/>
                              </w:rPr>
                              <w:t>EM prognozes (2024)</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E70DFE9" id="Text Box 1051" o:spid="_x0000_s1228" type="#_x0000_t202" style="position:absolute;left:0;text-align:left;margin-left:0;margin-top:465pt;width:403.15pt;height:34.5pt;z-index:2516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" filled="f" stroked="f">
                <v:textbox style="mso-fit-shape-to-text:t">
                  <w:txbxContent>
                    <w:p w14:paraId="342D1829" w14:textId="77777777" w:rsidR="00B83D7D" w:rsidRDefault="00B83D7D" w:rsidP="00A70DBF">
                      <w:pPr>
                        <w:textAlignment w:val="baseline"/>
                        <w:rPr>
                          <w:rFonts w:ascii="Segoe UI Light" w:eastAsia="Verdana" w:hAnsi="Segoe UI Light" w:cs="Segoe UI Light"/>
                          <w:color w:val="000000"/>
                          <w:kern w:val="24"/>
                          <w:sz w:val="23"/>
                          <w:szCs w:val="23"/>
                        </w:rPr>
                      </w:pPr>
                      <w:r>
                        <w:rPr>
                          <w:rFonts w:ascii="Segoe UI Light" w:eastAsia="Verdana" w:hAnsi="Segoe UI Light" w:cs="Segoe UI Light"/>
                          <w:color w:val="000000"/>
                          <w:kern w:val="24"/>
                          <w:sz w:val="23"/>
                          <w:szCs w:val="23"/>
                        </w:rPr>
                        <w:t>Avots</w:t>
                      </w:r>
                      <w:r>
                        <w:rPr>
                          <w:rFonts w:ascii="Segoe UI Light" w:eastAsia="Verdana" w:hAnsi="Segoe UI Light" w:cs="Segoe UI Light"/>
                          <w:color w:val="000000"/>
                          <w:kern w:val="24"/>
                          <w:sz w:val="23"/>
                          <w:szCs w:val="23"/>
                          <w:lang w:val="en-US"/>
                        </w:rPr>
                        <w:t xml:space="preserve">: </w:t>
                      </w:r>
                      <w:r>
                        <w:rPr>
                          <w:rFonts w:ascii="Segoe UI Light" w:eastAsia="Verdana" w:hAnsi="Segoe UI Light" w:cs="Segoe UI Light"/>
                          <w:color w:val="000000"/>
                          <w:kern w:val="24"/>
                          <w:sz w:val="23"/>
                          <w:szCs w:val="23"/>
                        </w:rPr>
                        <w:t>EM prognozes (2024)</w:t>
                      </w:r>
                    </w:p>
                  </w:txbxContent>
                </v:textbox>
              </v:shape>
            </w:pict>
          </mc:Fallback>
        </mc:AlternateContent>
      </w:r>
      <w:r w:rsidRPr="00AB0D71">
        <w:rPr>
          <w:noProof/>
        </w:rPr>
        <w:t xml:space="preserve"> </w:t>
      </w:r>
    </w:p>
    <w:p w14:paraId="7CC20D8A" w14:textId="77777777" w:rsidR="00A70DBF" w:rsidRDefault="00A70DBF">
      <w:pPr>
        <w:spacing w:after="0"/>
        <w:rPr>
          <w:color w:val="000000"/>
          <w:szCs w:val="26"/>
        </w:rPr>
      </w:pPr>
      <w:r>
        <w:rPr>
          <w:color w:val="000000"/>
          <w:szCs w:val="26"/>
        </w:rPr>
        <w:br w:type="page"/>
      </w:r>
    </w:p>
    <w:p w14:paraId="7F1260A7" w14:textId="620235D8" w:rsidR="00A70DBF" w:rsidRPr="000855C2" w:rsidRDefault="00A70DBF" w:rsidP="005372F2">
      <w:pPr>
        <w:spacing w:after="120"/>
        <w:jc w:val="right"/>
        <w:rPr>
          <w:color w:val="000000"/>
          <w:szCs w:val="26"/>
        </w:rPr>
      </w:pPr>
      <w:r w:rsidRPr="000855C2">
        <w:rPr>
          <w:color w:val="000000"/>
          <w:szCs w:val="26"/>
        </w:rPr>
        <w:lastRenderedPageBreak/>
        <w:t>3.</w:t>
      </w:r>
      <w:r>
        <w:rPr>
          <w:color w:val="000000"/>
          <w:szCs w:val="26"/>
        </w:rPr>
        <w:t>5</w:t>
      </w:r>
      <w:r w:rsidRPr="000855C2">
        <w:rPr>
          <w:color w:val="000000"/>
          <w:szCs w:val="26"/>
        </w:rPr>
        <w:t>. attēls</w:t>
      </w:r>
    </w:p>
    <w:p w14:paraId="7F12D1F6" w14:textId="7C86E7BD" w:rsidR="00A70DBF" w:rsidRDefault="00A70DBF" w:rsidP="00A70DBF">
      <w:pPr>
        <w:spacing w:after="120"/>
        <w:jc w:val="center"/>
        <w:rPr>
          <w:rFonts w:ascii="Segoe UI Light" w:hAnsi="Segoe UI Light"/>
          <w:b/>
          <w:sz w:val="18"/>
        </w:rPr>
      </w:pPr>
      <w:r w:rsidRPr="00A70DBF">
        <w:rPr>
          <w:rFonts w:ascii="Segoe UI Light" w:hAnsi="Segoe UI Light"/>
          <w:b/>
          <w:sz w:val="18"/>
        </w:rPr>
        <w:t xml:space="preserve">Mērķa scenārija </w:t>
      </w:r>
      <w:proofErr w:type="spellStart"/>
      <w:r w:rsidRPr="00A70DBF">
        <w:rPr>
          <w:rFonts w:ascii="Segoe UI Light" w:hAnsi="Segoe UI Light"/>
          <w:b/>
          <w:sz w:val="18"/>
        </w:rPr>
        <w:t>pamatpieņēmumi</w:t>
      </w:r>
      <w:proofErr w:type="spell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DFEC" w:themeFill="accent4" w:themeFillTint="33"/>
        <w:tblLook w:val="04A0" w:firstRow="1" w:lastRow="0" w:firstColumn="1" w:lastColumn="0" w:noHBand="0" w:noVBand="1"/>
      </w:tblPr>
      <w:tblGrid>
        <w:gridCol w:w="1649"/>
        <w:gridCol w:w="7422"/>
      </w:tblGrid>
      <w:tr w:rsidR="00A70DBF" w:rsidRPr="005372F2" w14:paraId="2985A0F4" w14:textId="77777777" w:rsidTr="00A70DBF">
        <w:tc>
          <w:tcPr>
            <w:tcW w:w="5000" w:type="pct"/>
            <w:gridSpan w:val="2"/>
            <w:shd w:val="clear" w:color="auto" w:fill="E5DFEC" w:themeFill="accent4" w:themeFillTint="33"/>
            <w:vAlign w:val="center"/>
          </w:tcPr>
          <w:p w14:paraId="2DA4E22D" w14:textId="77777777" w:rsidR="00A70DBF" w:rsidRPr="005372F2" w:rsidRDefault="00A70DBF">
            <w:pPr>
              <w:spacing w:before="60" w:after="60"/>
              <w:rPr>
                <w:rFonts w:ascii="Segoe UI Light" w:hAnsi="Segoe UI Light" w:cs="Segoe UI Light"/>
                <w:b/>
                <w:bCs/>
                <w:sz w:val="16"/>
                <w:szCs w:val="16"/>
              </w:rPr>
            </w:pPr>
            <w:r w:rsidRPr="005372F2">
              <w:rPr>
                <w:rFonts w:ascii="Segoe UI Light" w:hAnsi="Segoe UI Light" w:cs="Segoe UI Light"/>
                <w:b/>
                <w:bCs/>
                <w:sz w:val="16"/>
                <w:szCs w:val="16"/>
              </w:rPr>
              <w:t>Vidēja un ilgtermiņa pieņēmumi mērķu sasniegšanai:</w:t>
            </w:r>
          </w:p>
        </w:tc>
      </w:tr>
      <w:tr w:rsidR="00A70DBF" w:rsidRPr="00A70DBF" w14:paraId="3FFF27E7" w14:textId="77777777" w:rsidTr="00A70DBF">
        <w:tc>
          <w:tcPr>
            <w:tcW w:w="909" w:type="pct"/>
            <w:shd w:val="clear" w:color="auto" w:fill="E5DFEC" w:themeFill="accent4" w:themeFillTint="33"/>
            <w:vAlign w:val="center"/>
          </w:tcPr>
          <w:p w14:paraId="067C8ADC" w14:textId="77777777" w:rsidR="00A70DBF" w:rsidRPr="00A70DBF" w:rsidRDefault="00A70DBF" w:rsidP="00A24FB0">
            <w:pPr>
              <w:spacing w:before="120" w:after="120"/>
              <w:jc w:val="center"/>
              <w:rPr>
                <w:rFonts w:ascii="Segoe UI Light" w:hAnsi="Segoe UI Light" w:cs="Segoe UI Light"/>
                <w:sz w:val="16"/>
                <w:szCs w:val="16"/>
              </w:rPr>
            </w:pPr>
            <w:r w:rsidRPr="00A70DBF">
              <w:rPr>
                <w:rFonts w:ascii="Segoe UI Light" w:hAnsi="Segoe UI Light" w:cs="Segoe UI Light"/>
                <w:noProof/>
                <w:sz w:val="16"/>
                <w:szCs w:val="16"/>
              </w:rPr>
              <w:drawing>
                <wp:inline distT="0" distB="0" distL="0" distR="0" wp14:anchorId="41144459" wp14:editId="418ED88F">
                  <wp:extent cx="288000" cy="288000"/>
                  <wp:effectExtent l="0" t="0" r="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r w:rsidRPr="00A70DBF">
              <w:rPr>
                <w:rFonts w:ascii="Segoe UI Light" w:eastAsia="Microsoft GothicNeo Light" w:hAnsi="Segoe UI Light" w:cs="Segoe UI Light"/>
                <w:sz w:val="16"/>
                <w:szCs w:val="16"/>
              </w:rPr>
              <w:br/>
              <w:t>ĀRĒJĀ VIDE</w:t>
            </w:r>
          </w:p>
        </w:tc>
        <w:tc>
          <w:tcPr>
            <w:tcW w:w="4091" w:type="pct"/>
            <w:shd w:val="clear" w:color="auto" w:fill="E5DFEC" w:themeFill="accent4" w:themeFillTint="33"/>
            <w:vAlign w:val="center"/>
          </w:tcPr>
          <w:p w14:paraId="72E7C1B5" w14:textId="77777777" w:rsidR="00A70DBF" w:rsidRPr="00A70DBF" w:rsidRDefault="00A70DBF" w:rsidP="00B43845">
            <w:pPr>
              <w:spacing w:after="0"/>
              <w:rPr>
                <w:rFonts w:ascii="Segoe UI Light" w:hAnsi="Segoe UI Light" w:cs="Segoe UI Light"/>
                <w:sz w:val="16"/>
                <w:szCs w:val="16"/>
              </w:rPr>
            </w:pPr>
            <w:r w:rsidRPr="00A70DBF">
              <w:rPr>
                <w:rFonts w:ascii="Segoe UI Light" w:hAnsi="Segoe UI Light" w:cs="Segoe UI Light"/>
                <w:sz w:val="16"/>
                <w:szCs w:val="16"/>
              </w:rPr>
              <w:t>Ģeopolitiskā situācija stabilizējas. Uzņēmumi atrod risinājumus darbības pārorientācijai uz jaunām uzņēmējdarbības nišām un jauniem preču noieta tirgiem. Piegāžu ķēdes relatīvi ātri pielāgojas jaunajiem apstākļiem.</w:t>
            </w:r>
          </w:p>
        </w:tc>
      </w:tr>
      <w:tr w:rsidR="00A70DBF" w:rsidRPr="00A70DBF" w14:paraId="75809F30" w14:textId="77777777" w:rsidTr="00A70DBF">
        <w:tc>
          <w:tcPr>
            <w:tcW w:w="909" w:type="pct"/>
            <w:shd w:val="clear" w:color="auto" w:fill="E5DFEC" w:themeFill="accent4" w:themeFillTint="33"/>
            <w:vAlign w:val="center"/>
          </w:tcPr>
          <w:p w14:paraId="3AAA992B" w14:textId="77777777" w:rsidR="00A70DBF" w:rsidRPr="00A70DBF" w:rsidRDefault="00A70DBF" w:rsidP="00A24FB0">
            <w:pPr>
              <w:spacing w:before="120" w:after="120"/>
              <w:jc w:val="center"/>
              <w:rPr>
                <w:rFonts w:ascii="Segoe UI Light" w:hAnsi="Segoe UI Light" w:cs="Segoe UI Light"/>
                <w:sz w:val="16"/>
                <w:szCs w:val="16"/>
              </w:rPr>
            </w:pPr>
            <w:r w:rsidRPr="00A70DBF">
              <w:rPr>
                <w:rFonts w:ascii="Segoe UI Light" w:hAnsi="Segoe UI Light" w:cs="Segoe UI Light"/>
                <w:noProof/>
                <w:sz w:val="16"/>
                <w:szCs w:val="16"/>
              </w:rPr>
              <w:drawing>
                <wp:inline distT="0" distB="0" distL="0" distR="0" wp14:anchorId="2016B1B4" wp14:editId="21AC125F">
                  <wp:extent cx="324000" cy="324000"/>
                  <wp:effectExtent l="0" t="0" r="0" b="0"/>
                  <wp:docPr id="1066" name="Picture 1066" descr="Technology - Free technology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chnology - Free technology icons"/>
                          <pic:cNvPicPr>
                            <a:picLocks noChangeAspect="1" noChangeArrowheads="1"/>
                          </pic:cNvPicPr>
                        </pic:nvPicPr>
                        <pic:blipFill>
                          <a:blip r:embed="rId11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A70DBF">
              <w:rPr>
                <w:rFonts w:ascii="Segoe UI Light" w:hAnsi="Segoe UI Light" w:cs="Segoe UI Light"/>
                <w:sz w:val="16"/>
                <w:szCs w:val="16"/>
              </w:rPr>
              <w:br/>
              <w:t>INVESTĪCIJAS, TEHNOLOĢIJAS</w:t>
            </w:r>
          </w:p>
        </w:tc>
        <w:tc>
          <w:tcPr>
            <w:tcW w:w="4091" w:type="pct"/>
            <w:shd w:val="clear" w:color="auto" w:fill="E5DFEC" w:themeFill="accent4" w:themeFillTint="33"/>
            <w:vAlign w:val="center"/>
          </w:tcPr>
          <w:p w14:paraId="3DC2CEB4" w14:textId="77777777" w:rsidR="00A70DBF" w:rsidRPr="00A70DBF" w:rsidRDefault="00A70DBF" w:rsidP="00B43845">
            <w:pPr>
              <w:spacing w:after="0"/>
              <w:rPr>
                <w:rFonts w:ascii="Segoe UI Light" w:hAnsi="Segoe UI Light" w:cs="Segoe UI Light"/>
                <w:sz w:val="16"/>
                <w:szCs w:val="16"/>
              </w:rPr>
            </w:pPr>
            <w:r w:rsidRPr="00A70DBF">
              <w:rPr>
                <w:rFonts w:ascii="Segoe UI Light" w:hAnsi="Segoe UI Light" w:cs="Segoe UI Light"/>
                <w:spacing w:val="-2"/>
                <w:sz w:val="16"/>
                <w:szCs w:val="16"/>
              </w:rPr>
              <w:t>Pieejamie finanšu līdzekļi pārsvarā tiek ieguldīti augstas produktivitātes uzņēmumos. Ieguldījumi ne tikai tehnoloģiskās novitātes, ražošanas procesa vadības pilnveidošanai, bet arī esošo resursu pārdalei augstākās pievienotās vērtības produktu ražošanai. Būtisks privāto investīciju pieaugums.</w:t>
            </w:r>
          </w:p>
        </w:tc>
      </w:tr>
      <w:tr w:rsidR="00A70DBF" w:rsidRPr="00A70DBF" w14:paraId="2B95A695" w14:textId="77777777" w:rsidTr="00A70DBF">
        <w:tc>
          <w:tcPr>
            <w:tcW w:w="909" w:type="pct"/>
            <w:shd w:val="clear" w:color="auto" w:fill="E5DFEC" w:themeFill="accent4" w:themeFillTint="33"/>
            <w:vAlign w:val="center"/>
          </w:tcPr>
          <w:p w14:paraId="6267DF6F" w14:textId="77777777" w:rsidR="00A70DBF" w:rsidRPr="00A70DBF" w:rsidRDefault="00A70DBF" w:rsidP="00A24FB0">
            <w:pPr>
              <w:spacing w:before="120" w:after="120"/>
              <w:jc w:val="center"/>
              <w:rPr>
                <w:rFonts w:ascii="Segoe UI Light" w:hAnsi="Segoe UI Light" w:cs="Segoe UI Light"/>
                <w:sz w:val="16"/>
                <w:szCs w:val="16"/>
              </w:rPr>
            </w:pPr>
            <w:r w:rsidRPr="00A70DBF">
              <w:rPr>
                <w:rFonts w:ascii="Segoe UI Light" w:hAnsi="Segoe UI Light" w:cs="Segoe UI Light"/>
                <w:noProof/>
                <w:sz w:val="16"/>
                <w:szCs w:val="16"/>
              </w:rPr>
              <w:drawing>
                <wp:inline distT="0" distB="0" distL="0" distR="0" wp14:anchorId="61498107" wp14:editId="5BE7E46D">
                  <wp:extent cx="383135" cy="360000"/>
                  <wp:effectExtent l="0" t="0" r="0" b="2540"/>
                  <wp:docPr id="1067" name="Picture 1067" descr="Science Icon #75284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ience Icon #75284 - Free Icons Library"/>
                          <pic:cNvPicPr>
                            <a:picLocks noChangeAspect="1" noChangeArrowheads="1"/>
                          </pic:cNvPicPr>
                        </pic:nvPicPr>
                        <pic:blipFill rotWithShape="1">
                          <a:blip r:embed="rId116" cstate="print">
                            <a:duotone>
                              <a:schemeClr val="accent1">
                                <a:shade val="45000"/>
                                <a:satMod val="135000"/>
                              </a:schemeClr>
                              <a:prstClr val="white"/>
                            </a:duotone>
                            <a:extLst>
                              <a:ext uri="{28A0092B-C50C-407E-A947-70E740481C1C}">
                                <a14:useLocalDpi xmlns:a14="http://schemas.microsoft.com/office/drawing/2010/main" val="0"/>
                              </a:ext>
                            </a:extLst>
                          </a:blip>
                          <a:srcRect l="5001" t="8080" r="5352" b="7686"/>
                          <a:stretch/>
                        </pic:blipFill>
                        <pic:spPr bwMode="auto">
                          <a:xfrm>
                            <a:off x="0" y="0"/>
                            <a:ext cx="383135"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70DBF">
              <w:rPr>
                <w:rFonts w:ascii="Segoe UI Light" w:hAnsi="Segoe UI Light" w:cs="Segoe UI Light"/>
                <w:sz w:val="16"/>
                <w:szCs w:val="16"/>
              </w:rPr>
              <w:br/>
              <w:t>INOVĀCIJAS, PĒTNIECĪBA</w:t>
            </w:r>
          </w:p>
        </w:tc>
        <w:tc>
          <w:tcPr>
            <w:tcW w:w="4091" w:type="pct"/>
            <w:shd w:val="clear" w:color="auto" w:fill="E5DFEC" w:themeFill="accent4" w:themeFillTint="33"/>
            <w:vAlign w:val="center"/>
          </w:tcPr>
          <w:p w14:paraId="45F38DD9" w14:textId="77777777" w:rsidR="00A70DBF" w:rsidRPr="00A70DBF" w:rsidRDefault="00A70DBF" w:rsidP="00B43845">
            <w:pPr>
              <w:spacing w:after="0"/>
              <w:rPr>
                <w:rFonts w:ascii="Segoe UI Light" w:hAnsi="Segoe UI Light" w:cs="Segoe UI Light"/>
                <w:sz w:val="16"/>
                <w:szCs w:val="16"/>
              </w:rPr>
            </w:pPr>
            <w:r w:rsidRPr="00A70DBF">
              <w:rPr>
                <w:rFonts w:ascii="Segoe UI Light" w:hAnsi="Segoe UI Light" w:cs="Segoe UI Light"/>
                <w:sz w:val="16"/>
                <w:szCs w:val="16"/>
              </w:rPr>
              <w:t xml:space="preserve">Būtiski palielinās finansējums P&amp;A, 2027. gadā sasniedzot 1,5% no IKP. Pieaug </w:t>
            </w:r>
            <w:r w:rsidRPr="00A70DBF">
              <w:rPr>
                <w:rFonts w:ascii="Segoe UI Light" w:hAnsi="Segoe UI Light" w:cs="Segoe UI Light"/>
                <w:spacing w:val="-2"/>
                <w:sz w:val="16"/>
                <w:szCs w:val="16"/>
              </w:rPr>
              <w:t xml:space="preserve">privātie </w:t>
            </w:r>
            <w:r w:rsidRPr="00A70DBF">
              <w:rPr>
                <w:rFonts w:ascii="Segoe UI Light" w:hAnsi="Segoe UI Light" w:cs="Segoe UI Light"/>
                <w:sz w:val="16"/>
                <w:szCs w:val="16"/>
              </w:rPr>
              <w:t>ieguldījumi pētniecībā un inovācijās.</w:t>
            </w:r>
          </w:p>
        </w:tc>
      </w:tr>
      <w:tr w:rsidR="00A70DBF" w:rsidRPr="00A70DBF" w14:paraId="31ADEA50" w14:textId="77777777" w:rsidTr="00A70DBF">
        <w:tc>
          <w:tcPr>
            <w:tcW w:w="909" w:type="pct"/>
            <w:shd w:val="clear" w:color="auto" w:fill="E5DFEC" w:themeFill="accent4" w:themeFillTint="33"/>
            <w:vAlign w:val="center"/>
          </w:tcPr>
          <w:p w14:paraId="2724796C" w14:textId="04187085" w:rsidR="00A70DBF" w:rsidRPr="00A70DBF" w:rsidRDefault="00A70DBF" w:rsidP="00A24FB0">
            <w:pPr>
              <w:spacing w:before="120" w:after="120"/>
              <w:jc w:val="center"/>
              <w:rPr>
                <w:rFonts w:ascii="Segoe UI Light" w:hAnsi="Segoe UI Light" w:cs="Segoe UI Light"/>
                <w:sz w:val="16"/>
                <w:szCs w:val="16"/>
              </w:rPr>
            </w:pPr>
            <w:r w:rsidRPr="00A70DBF">
              <w:rPr>
                <w:rFonts w:ascii="Segoe UI Light" w:hAnsi="Segoe UI Light" w:cs="Segoe UI Light"/>
                <w:noProof/>
                <w:sz w:val="16"/>
                <w:szCs w:val="16"/>
              </w:rPr>
              <w:drawing>
                <wp:inline distT="0" distB="0" distL="0" distR="0" wp14:anchorId="6A32FF3D" wp14:editId="4176B89A">
                  <wp:extent cx="324000" cy="324000"/>
                  <wp:effectExtent l="0" t="0" r="0" b="0"/>
                  <wp:docPr id="1068" name="Picture 1068" descr="Line icon for digitalisation 3127057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ne icon for digitalisation 3127057 Vector Art at Vecteezy"/>
                          <pic:cNvPicPr>
                            <a:picLocks noChangeAspect="1" noChangeArrowheads="1"/>
                          </pic:cNvPicPr>
                        </pic:nvPicPr>
                        <pic:blipFill>
                          <a:blip r:embed="rId117"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A70DBF">
              <w:rPr>
                <w:rFonts w:ascii="Segoe UI Light" w:hAnsi="Segoe UI Light" w:cs="Segoe UI Light"/>
                <w:sz w:val="16"/>
                <w:szCs w:val="16"/>
              </w:rPr>
              <w:br/>
              <w:t>DIGITALIZĀCIJA UN MĀKSLĪGAIS INTELEKTS</w:t>
            </w:r>
            <w:r w:rsidR="00605184">
              <w:rPr>
                <w:rFonts w:ascii="Segoe UI Light" w:hAnsi="Segoe UI Light" w:cs="Segoe UI Light"/>
                <w:sz w:val="16"/>
                <w:szCs w:val="16"/>
              </w:rPr>
              <w:t xml:space="preserve"> (MI)</w:t>
            </w:r>
          </w:p>
        </w:tc>
        <w:tc>
          <w:tcPr>
            <w:tcW w:w="4091" w:type="pct"/>
            <w:shd w:val="clear" w:color="auto" w:fill="E5DFEC" w:themeFill="accent4" w:themeFillTint="33"/>
            <w:vAlign w:val="center"/>
          </w:tcPr>
          <w:p w14:paraId="3D52EF2A" w14:textId="6CED591A" w:rsidR="00A70DBF" w:rsidRPr="00A70DBF" w:rsidRDefault="00A70DBF" w:rsidP="00B43845">
            <w:pPr>
              <w:spacing w:after="0"/>
              <w:rPr>
                <w:rFonts w:ascii="Segoe UI Light" w:hAnsi="Segoe UI Light" w:cs="Segoe UI Light"/>
                <w:sz w:val="16"/>
                <w:szCs w:val="16"/>
              </w:rPr>
            </w:pPr>
            <w:r w:rsidRPr="00A70DBF">
              <w:rPr>
                <w:rFonts w:ascii="Segoe UI Light" w:hAnsi="Segoe UI Light" w:cs="Segoe UI Light"/>
                <w:sz w:val="16"/>
                <w:szCs w:val="16"/>
              </w:rPr>
              <w:t xml:space="preserve">Pastiprinās pašreizējā tendence pieaugt digitālo pakalpojumu izplatībai. Atbilstoši katra uzņēmuma digitālā brieduma pakāpei notiek nepārtraukts digitālo tehnoloģiju, tai skaitā </w:t>
            </w:r>
            <w:r w:rsidR="00605184">
              <w:rPr>
                <w:rFonts w:ascii="Segoe UI Light" w:hAnsi="Segoe UI Light" w:cs="Segoe UI Light"/>
                <w:sz w:val="16"/>
                <w:szCs w:val="16"/>
              </w:rPr>
              <w:t>MI</w:t>
            </w:r>
            <w:r w:rsidRPr="00A70DBF">
              <w:rPr>
                <w:rFonts w:ascii="Segoe UI Light" w:hAnsi="Segoe UI Light" w:cs="Segoe UI Light"/>
                <w:sz w:val="16"/>
                <w:szCs w:val="16"/>
              </w:rPr>
              <w:t xml:space="preserve"> ieviešanas process. Veidojas jauni produkti un tirgus nišas. </w:t>
            </w:r>
            <w:r w:rsidRPr="00A70DBF">
              <w:rPr>
                <w:rStyle w:val="ui-provider"/>
                <w:rFonts w:ascii="Segoe UI Light" w:hAnsi="Segoe UI Light" w:cs="Segoe UI Light"/>
                <w:sz w:val="16"/>
                <w:szCs w:val="16"/>
              </w:rPr>
              <w:t xml:space="preserve">Būtiski pielielinās uzņēmumu īpatsvars, kuri ikdienā izmanto </w:t>
            </w:r>
            <w:proofErr w:type="spellStart"/>
            <w:r w:rsidRPr="00A70DBF">
              <w:rPr>
                <w:rStyle w:val="ui-provider"/>
                <w:rFonts w:ascii="Segoe UI Light" w:hAnsi="Segoe UI Light" w:cs="Segoe UI Light"/>
                <w:sz w:val="16"/>
                <w:szCs w:val="16"/>
              </w:rPr>
              <w:t>mākoņdatošanas</w:t>
            </w:r>
            <w:proofErr w:type="spellEnd"/>
            <w:r w:rsidRPr="00A70DBF">
              <w:rPr>
                <w:rStyle w:val="ui-provider"/>
                <w:rFonts w:ascii="Segoe UI Light" w:hAnsi="Segoe UI Light" w:cs="Segoe UI Light"/>
                <w:sz w:val="16"/>
                <w:szCs w:val="16"/>
              </w:rPr>
              <w:t xml:space="preserve"> pakalpojumus, kā arī ir apguvuši un lieto lielo datu analīzes metodes.</w:t>
            </w:r>
          </w:p>
        </w:tc>
      </w:tr>
      <w:tr w:rsidR="00A70DBF" w:rsidRPr="00A70DBF" w14:paraId="0227F6DC" w14:textId="77777777" w:rsidTr="00A70DBF">
        <w:tc>
          <w:tcPr>
            <w:tcW w:w="909" w:type="pct"/>
            <w:shd w:val="clear" w:color="auto" w:fill="E5DFEC" w:themeFill="accent4" w:themeFillTint="33"/>
            <w:vAlign w:val="center"/>
          </w:tcPr>
          <w:p w14:paraId="7802C08C" w14:textId="77777777" w:rsidR="00A70DBF" w:rsidRPr="00A70DBF" w:rsidRDefault="00A70DBF" w:rsidP="00A24FB0">
            <w:pPr>
              <w:spacing w:before="120" w:after="120"/>
              <w:jc w:val="center"/>
              <w:rPr>
                <w:rFonts w:ascii="Segoe UI Light" w:hAnsi="Segoe UI Light" w:cs="Segoe UI Light"/>
                <w:sz w:val="16"/>
                <w:szCs w:val="16"/>
              </w:rPr>
            </w:pPr>
            <w:r w:rsidRPr="00A70DBF">
              <w:rPr>
                <w:rFonts w:ascii="Segoe UI Light" w:hAnsi="Segoe UI Light" w:cs="Segoe UI Light"/>
                <w:noProof/>
                <w:sz w:val="16"/>
                <w:szCs w:val="16"/>
              </w:rPr>
              <w:drawing>
                <wp:inline distT="0" distB="0" distL="0" distR="0" wp14:anchorId="0294C5F0" wp14:editId="207A416F">
                  <wp:extent cx="394858" cy="360000"/>
                  <wp:effectExtent l="0" t="0" r="5715" b="2540"/>
                  <wp:docPr id="1069" name="Picture 1069" descr="1725900-200 - The Beechfield Reclamation 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725900-200 - The Beechfield Reclamation Co"/>
                          <pic:cNvPicPr>
                            <a:picLocks noChangeAspect="1" noChangeArrowheads="1"/>
                          </pic:cNvPicPr>
                        </pic:nvPicPr>
                        <pic:blipFill rotWithShape="1">
                          <a:blip r:embed="rId118" cstate="print">
                            <a:duotone>
                              <a:schemeClr val="accent1">
                                <a:shade val="45000"/>
                                <a:satMod val="135000"/>
                              </a:schemeClr>
                              <a:prstClr val="white"/>
                            </a:duotone>
                            <a:extLst>
                              <a:ext uri="{28A0092B-C50C-407E-A947-70E740481C1C}">
                                <a14:useLocalDpi xmlns:a14="http://schemas.microsoft.com/office/drawing/2010/main" val="0"/>
                              </a:ext>
                            </a:extLst>
                          </a:blip>
                          <a:srcRect l="13847" t="17697" r="11905" b="14610"/>
                          <a:stretch/>
                        </pic:blipFill>
                        <pic:spPr bwMode="auto">
                          <a:xfrm>
                            <a:off x="0" y="0"/>
                            <a:ext cx="394858"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70DBF">
              <w:rPr>
                <w:rFonts w:ascii="Segoe UI Light" w:hAnsi="Segoe UI Light" w:cs="Segoe UI Light"/>
                <w:sz w:val="16"/>
                <w:szCs w:val="16"/>
              </w:rPr>
              <w:br/>
              <w:t>ZAĻAIS KURSS</w:t>
            </w:r>
          </w:p>
        </w:tc>
        <w:tc>
          <w:tcPr>
            <w:tcW w:w="4091" w:type="pct"/>
            <w:shd w:val="clear" w:color="auto" w:fill="E5DFEC" w:themeFill="accent4" w:themeFillTint="33"/>
            <w:vAlign w:val="center"/>
          </w:tcPr>
          <w:p w14:paraId="1CA1B1A0" w14:textId="77777777" w:rsidR="00A70DBF" w:rsidRPr="00A70DBF" w:rsidRDefault="00A70DBF" w:rsidP="00B43845">
            <w:pPr>
              <w:spacing w:after="0"/>
              <w:rPr>
                <w:rFonts w:ascii="Segoe UI Light" w:hAnsi="Segoe UI Light" w:cs="Segoe UI Light"/>
                <w:sz w:val="16"/>
                <w:szCs w:val="16"/>
              </w:rPr>
            </w:pPr>
            <w:r w:rsidRPr="00A70DBF">
              <w:rPr>
                <w:rFonts w:ascii="Segoe UI Light" w:hAnsi="Segoe UI Light" w:cs="Segoe UI Light"/>
                <w:sz w:val="16"/>
                <w:szCs w:val="16"/>
              </w:rPr>
              <w:t>Savlaicīga pārorientācija un sagatavošanās pārmaiņām. Jaunu biznesa nišu meklēšana zaļo tehnoloģiju izstrādei un eksportam.</w:t>
            </w:r>
          </w:p>
        </w:tc>
      </w:tr>
      <w:tr w:rsidR="00A70DBF" w:rsidRPr="00A70DBF" w14:paraId="3CC3DD79" w14:textId="77777777" w:rsidTr="00A70DBF">
        <w:tc>
          <w:tcPr>
            <w:tcW w:w="909" w:type="pct"/>
            <w:shd w:val="clear" w:color="auto" w:fill="E5DFEC" w:themeFill="accent4" w:themeFillTint="33"/>
            <w:vAlign w:val="center"/>
          </w:tcPr>
          <w:p w14:paraId="5235FE15" w14:textId="77777777" w:rsidR="00A70DBF" w:rsidRPr="00A70DBF" w:rsidRDefault="00A70DBF" w:rsidP="00A24FB0">
            <w:pPr>
              <w:spacing w:before="120" w:after="120"/>
              <w:jc w:val="center"/>
              <w:rPr>
                <w:rFonts w:ascii="Segoe UI Light" w:hAnsi="Segoe UI Light" w:cs="Segoe UI Light"/>
                <w:sz w:val="16"/>
                <w:szCs w:val="16"/>
              </w:rPr>
            </w:pPr>
            <w:r w:rsidRPr="00A70DBF">
              <w:rPr>
                <w:rFonts w:ascii="Segoe UI Light" w:hAnsi="Segoe UI Light" w:cs="Segoe UI Light"/>
                <w:noProof/>
                <w:sz w:val="16"/>
                <w:szCs w:val="16"/>
              </w:rPr>
              <w:drawing>
                <wp:inline distT="0" distB="0" distL="0" distR="0" wp14:anchorId="0D2D107A" wp14:editId="5911F92F">
                  <wp:extent cx="378353" cy="360000"/>
                  <wp:effectExtent l="0" t="0" r="3175" b="2540"/>
                  <wp:docPr id="1070" name="Picture 1070" descr="Human resources icon on white background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uman resources icon on white background Vector Image"/>
                          <pic:cNvPicPr>
                            <a:picLocks noChangeAspect="1" noChangeArrowheads="1"/>
                          </pic:cNvPicPr>
                        </pic:nvPicPr>
                        <pic:blipFill rotWithShape="1">
                          <a:blip r:embed="rId119"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t="1" b="14124"/>
                          <a:stretch/>
                        </pic:blipFill>
                        <pic:spPr bwMode="auto">
                          <a:xfrm>
                            <a:off x="0" y="0"/>
                            <a:ext cx="378353"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70DBF">
              <w:rPr>
                <w:rFonts w:ascii="Segoe UI Light" w:hAnsi="Segoe UI Light" w:cs="Segoe UI Light"/>
                <w:sz w:val="16"/>
                <w:szCs w:val="16"/>
              </w:rPr>
              <w:br/>
              <w:t>CILVĒKKAPITĀLS</w:t>
            </w:r>
          </w:p>
        </w:tc>
        <w:tc>
          <w:tcPr>
            <w:tcW w:w="4091" w:type="pct"/>
            <w:shd w:val="clear" w:color="auto" w:fill="E5DFEC" w:themeFill="accent4" w:themeFillTint="33"/>
            <w:vAlign w:val="center"/>
          </w:tcPr>
          <w:p w14:paraId="7C615341" w14:textId="77777777" w:rsidR="00A70DBF" w:rsidRPr="00A70DBF" w:rsidRDefault="00A70DBF" w:rsidP="00B43845">
            <w:pPr>
              <w:spacing w:after="120"/>
              <w:rPr>
                <w:rFonts w:ascii="Segoe UI Light" w:hAnsi="Segoe UI Light" w:cs="Segoe UI Light"/>
                <w:sz w:val="16"/>
                <w:szCs w:val="16"/>
              </w:rPr>
            </w:pPr>
            <w:r w:rsidRPr="00A70DBF">
              <w:rPr>
                <w:rFonts w:ascii="Segoe UI Light" w:hAnsi="Segoe UI Light" w:cs="Segoe UI Light"/>
                <w:sz w:val="16"/>
                <w:szCs w:val="16"/>
              </w:rPr>
              <w:t>Papildus publiskie un privātie ieguldījumi prasmju pilnveidei, darbaspēka pārkvalificēšana uz nozarēm ar lielāko izaugsmes potenciālu. Pieaugušo izglītības piedāvājums jauno digitālo tehnoloģiju kontekstā visām sabiedrības grupām, tādējādi mazinot nevienlīdzības pieauguma riskus. Darba devēju aktīva iesaiste esošo darbinieku kompetenču paaugstināšanā, kā arī jaunu prasmju kopu izveide, lai cilvēki varētu kvalificēties jaunām profesijām ekonomikas transformācijas un robotizācijas apstākļos. Vienkāršota kārtība ārvalstu darbaspēka piesaistei uzņēmumiem, kas veic ieguldījumus vai nespēj piesaistīt darbiniekus ar nepieciešamo kvalifikāciju.</w:t>
            </w:r>
          </w:p>
        </w:tc>
      </w:tr>
    </w:tbl>
    <w:p w14:paraId="65837452" w14:textId="77777777" w:rsidR="00A70DBF" w:rsidRDefault="00A70DBF" w:rsidP="00A24FB0">
      <w:pPr>
        <w:spacing w:after="120"/>
        <w:rPr>
          <w:rFonts w:cs="Calibri Light"/>
          <w:szCs w:val="20"/>
          <w:highlight w:val="yellow"/>
        </w:rPr>
      </w:pPr>
    </w:p>
    <w:p w14:paraId="5C94DDB7" w14:textId="77777777" w:rsidR="005372F2" w:rsidRPr="003F161B" w:rsidRDefault="005372F2" w:rsidP="00A24FB0">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t>Globālās tehnoloģiju pārmaiņas un to ietekme uz tautsaimniecību</w:t>
      </w:r>
    </w:p>
    <w:p w14:paraId="560AA6B2" w14:textId="53A20F52" w:rsidR="005372F2" w:rsidRDefault="005372F2" w:rsidP="00A24FB0">
      <w:pPr>
        <w:spacing w:after="120"/>
        <w:jc w:val="both"/>
        <w:rPr>
          <w:bCs/>
          <w:szCs w:val="26"/>
        </w:rPr>
      </w:pPr>
      <w:r w:rsidRPr="009877E7">
        <w:rPr>
          <w:bCs/>
          <w:szCs w:val="26"/>
        </w:rPr>
        <w:t xml:space="preserve">Pēdējos gados pasaulē notiek straujas un visaptverošas pārmaiņas, paātrinās tehnoloģisko jauninājumu un </w:t>
      </w:r>
      <w:r w:rsidRPr="009B2F04">
        <w:rPr>
          <w:bCs/>
          <w:szCs w:val="26"/>
        </w:rPr>
        <w:t xml:space="preserve">Galvenās globālās tehnoloģiju tendences pamatā ir saistītas ar IT attīstību, </w:t>
      </w:r>
      <w:proofErr w:type="spellStart"/>
      <w:r w:rsidRPr="009B2F04">
        <w:rPr>
          <w:bCs/>
          <w:szCs w:val="26"/>
        </w:rPr>
        <w:t>digitalizāciju</w:t>
      </w:r>
      <w:proofErr w:type="spellEnd"/>
      <w:r w:rsidRPr="009B2F04">
        <w:rPr>
          <w:bCs/>
          <w:szCs w:val="26"/>
        </w:rPr>
        <w:t xml:space="preserve"> – </w:t>
      </w:r>
      <w:r w:rsidR="00605184">
        <w:rPr>
          <w:bCs/>
          <w:szCs w:val="26"/>
        </w:rPr>
        <w:t>MI</w:t>
      </w:r>
      <w:r w:rsidRPr="009B2F04">
        <w:rPr>
          <w:bCs/>
          <w:szCs w:val="26"/>
        </w:rPr>
        <w:t xml:space="preserve"> un </w:t>
      </w:r>
      <w:proofErr w:type="spellStart"/>
      <w:r w:rsidRPr="009B2F04">
        <w:rPr>
          <w:bCs/>
          <w:szCs w:val="26"/>
        </w:rPr>
        <w:t>mašīnmācīšanās</w:t>
      </w:r>
      <w:proofErr w:type="spellEnd"/>
      <w:r w:rsidRPr="009B2F04">
        <w:rPr>
          <w:bCs/>
          <w:szCs w:val="26"/>
        </w:rPr>
        <w:t>, lietu internets (</w:t>
      </w:r>
      <w:proofErr w:type="spellStart"/>
      <w:r w:rsidRPr="009B2F04">
        <w:rPr>
          <w:bCs/>
          <w:szCs w:val="26"/>
        </w:rPr>
        <w:t>IoT</w:t>
      </w:r>
      <w:proofErr w:type="spellEnd"/>
      <w:r w:rsidRPr="009B2F04">
        <w:rPr>
          <w:bCs/>
          <w:szCs w:val="26"/>
        </w:rPr>
        <w:t xml:space="preserve">), lielie dati un paplašinātā analīze, viedās pilsētas, </w:t>
      </w:r>
      <w:proofErr w:type="spellStart"/>
      <w:r w:rsidRPr="009B2F04">
        <w:rPr>
          <w:bCs/>
          <w:szCs w:val="26"/>
        </w:rPr>
        <w:t>blokķēžu</w:t>
      </w:r>
      <w:proofErr w:type="spellEnd"/>
      <w:r w:rsidRPr="009B2F04">
        <w:rPr>
          <w:bCs/>
          <w:szCs w:val="26"/>
        </w:rPr>
        <w:t xml:space="preserve"> tehnoloģijas, </w:t>
      </w:r>
      <w:proofErr w:type="spellStart"/>
      <w:r w:rsidRPr="009B2F04">
        <w:rPr>
          <w:bCs/>
          <w:szCs w:val="26"/>
        </w:rPr>
        <w:t>mākoņskaitļošana</w:t>
      </w:r>
      <w:proofErr w:type="spellEnd"/>
      <w:r w:rsidRPr="009B2F04">
        <w:rPr>
          <w:bCs/>
          <w:szCs w:val="26"/>
        </w:rPr>
        <w:t xml:space="preserve">, digitāli paplašināta realitāte, valodas </w:t>
      </w:r>
      <w:proofErr w:type="spellStart"/>
      <w:r w:rsidRPr="009B2F04">
        <w:rPr>
          <w:bCs/>
          <w:szCs w:val="26"/>
        </w:rPr>
        <w:t>digitalizācija</w:t>
      </w:r>
      <w:proofErr w:type="spellEnd"/>
      <w:r w:rsidRPr="009B2F04">
        <w:rPr>
          <w:bCs/>
          <w:szCs w:val="26"/>
        </w:rPr>
        <w:t xml:space="preserve"> un apstrāde, balss </w:t>
      </w:r>
      <w:proofErr w:type="spellStart"/>
      <w:r w:rsidRPr="009B2F04">
        <w:rPr>
          <w:bCs/>
          <w:szCs w:val="26"/>
        </w:rPr>
        <w:t>saskarnes</w:t>
      </w:r>
      <w:proofErr w:type="spellEnd"/>
      <w:r w:rsidRPr="009B2F04">
        <w:rPr>
          <w:bCs/>
          <w:szCs w:val="26"/>
        </w:rPr>
        <w:t xml:space="preserve">, datora redze un sejas atpazīšana, roboti, autonomie transportlīdzekļi, 5G tehnoloģijas, ģenētika un gēnu sekvencēšana, mašīnu radošums un dizains, digitālās platformas, bezpilota lidaparāti, 3D un 4D printeri, </w:t>
      </w:r>
      <w:proofErr w:type="spellStart"/>
      <w:r w:rsidRPr="009B2F04">
        <w:rPr>
          <w:bCs/>
          <w:szCs w:val="26"/>
        </w:rPr>
        <w:t>kiberdrošība</w:t>
      </w:r>
      <w:proofErr w:type="spellEnd"/>
      <w:r w:rsidRPr="009B2F04">
        <w:rPr>
          <w:bCs/>
          <w:szCs w:val="26"/>
        </w:rPr>
        <w:t>, kvantu skaitļošana. Teju visas apkārtējās lietas un ierīces būs savienotas, kas viennozīmīgi maina gan biznesu modeļus, gan cilvēku dzīvesveidu. Mainīsies arī pieprasījuma struktūra, piemēram, cilvēki aizvien vairāk izmantos sev saistošus/piemērotus pakalpojumus, balstoties uz liela apjoma datu analīzi.</w:t>
      </w:r>
    </w:p>
    <w:p w14:paraId="746D8ECE" w14:textId="7A90708E" w:rsidR="005372F2" w:rsidRPr="004403B2" w:rsidRDefault="005372F2" w:rsidP="00A24FB0">
      <w:pPr>
        <w:spacing w:after="120"/>
        <w:jc w:val="both"/>
        <w:rPr>
          <w:bCs/>
          <w:szCs w:val="26"/>
        </w:rPr>
      </w:pPr>
      <w:r w:rsidRPr="004403B2">
        <w:rPr>
          <w:szCs w:val="26"/>
        </w:rPr>
        <w:t>Arī Latvijā jaunās tehnoloģijas ietekmēs praktiski visas tautsaimniecības nozares. Tas izpaudīsies kā jauno tehnoloģiju izmantošana esošo biznesa procesu uzlabošanā, fiziska roku darba aizstāšana ar viedajām iekārtām, lielo datu izmantošanu lēmumu pieņemšanā un pieprasījuma apmierināšanā. Papildus digitālo tehnoloģiju attīstība rada jaunas produktu un pakalpojumu nišas. Mūsdienās viedie materiāli ir ar dažādām dzīves situācijām un vajadzībām pielāgotas dinamiskas funkcijas, kas ļauj tiem pielāgoties videi. Viedie materiāli sastopami gan sensoros, izpildmehānismus, t.sk. tie nākotnē ieņems ar vien būtiskāku lomu dažādos veselības aprūpes tehnoloģiskos risinājumos.</w:t>
      </w:r>
      <w:r w:rsidR="00E13B96">
        <w:rPr>
          <w:rStyle w:val="FootnoteReference"/>
          <w:szCs w:val="26"/>
        </w:rPr>
        <w:footnoteReference w:id="13"/>
      </w:r>
      <w:r w:rsidR="00E13B96" w:rsidRPr="004403B2">
        <w:rPr>
          <w:szCs w:val="26"/>
        </w:rPr>
        <w:t xml:space="preserve"> </w:t>
      </w:r>
      <w:r w:rsidRPr="004403B2">
        <w:rPr>
          <w:szCs w:val="26"/>
        </w:rPr>
        <w:t xml:space="preserve">Nākotnē mēs, iespējams, varēsim ražot </w:t>
      </w:r>
      <w:proofErr w:type="spellStart"/>
      <w:r w:rsidRPr="004403B2">
        <w:rPr>
          <w:szCs w:val="26"/>
        </w:rPr>
        <w:t>nanodaļiņas</w:t>
      </w:r>
      <w:proofErr w:type="spellEnd"/>
      <w:r w:rsidRPr="004403B2">
        <w:rPr>
          <w:szCs w:val="26"/>
        </w:rPr>
        <w:t xml:space="preserve">, kuras var iestrādāt krāsās, lai efektīvi uztvertu saules gaismu un ar zemām izmaksām to pārveidotu elektroenerģijā; vai </w:t>
      </w:r>
      <w:proofErr w:type="spellStart"/>
      <w:r w:rsidRPr="004403B2">
        <w:rPr>
          <w:szCs w:val="26"/>
        </w:rPr>
        <w:t>nanomateriāli</w:t>
      </w:r>
      <w:proofErr w:type="spellEnd"/>
      <w:r w:rsidRPr="004403B2">
        <w:rPr>
          <w:szCs w:val="26"/>
        </w:rPr>
        <w:t xml:space="preserve">, kas var radīt jaunas iespējas akumulatoriem ar lielu enerģijas ietilpību un mazu svaru. </w:t>
      </w:r>
      <w:proofErr w:type="spellStart"/>
      <w:r w:rsidRPr="004403B2">
        <w:rPr>
          <w:szCs w:val="26"/>
        </w:rPr>
        <w:t>Nanoelektroniskās</w:t>
      </w:r>
      <w:proofErr w:type="spellEnd"/>
      <w:r w:rsidRPr="004403B2">
        <w:rPr>
          <w:szCs w:val="26"/>
        </w:rPr>
        <w:t xml:space="preserve"> ierīces, </w:t>
      </w:r>
      <w:r w:rsidRPr="004403B2">
        <w:rPr>
          <w:szCs w:val="26"/>
        </w:rPr>
        <w:lastRenderedPageBreak/>
        <w:t xml:space="preserve">piemēram, </w:t>
      </w:r>
      <w:proofErr w:type="spellStart"/>
      <w:r w:rsidRPr="004403B2">
        <w:rPr>
          <w:szCs w:val="26"/>
        </w:rPr>
        <w:t>nanodatori</w:t>
      </w:r>
      <w:proofErr w:type="spellEnd"/>
      <w:r w:rsidRPr="004403B2">
        <w:rPr>
          <w:szCs w:val="26"/>
        </w:rPr>
        <w:t xml:space="preserve">, kurus var iestrādāt tekstilizstrādājumos un apģērbā un, kas trieciena rezultātā nodrošina funkciju dažādību – piemēram, cietības izmaiņas. Viedajiem </w:t>
      </w:r>
      <w:proofErr w:type="spellStart"/>
      <w:r w:rsidRPr="004403B2">
        <w:rPr>
          <w:szCs w:val="26"/>
        </w:rPr>
        <w:t>nanomateriāliem</w:t>
      </w:r>
      <w:proofErr w:type="spellEnd"/>
      <w:r w:rsidRPr="004403B2">
        <w:rPr>
          <w:szCs w:val="26"/>
        </w:rPr>
        <w:t xml:space="preserve"> vislielākā ietekme ir veselības aprūpē un medicīnā – implanti, protēzes, kas izgatavotas no materiāliem, kas var mainīt to virsmas un </w:t>
      </w:r>
      <w:proofErr w:type="spellStart"/>
      <w:r w:rsidRPr="004403B2">
        <w:rPr>
          <w:szCs w:val="26"/>
        </w:rPr>
        <w:t>biofunkcionalitāti</w:t>
      </w:r>
      <w:proofErr w:type="spellEnd"/>
      <w:r w:rsidRPr="004403B2">
        <w:rPr>
          <w:szCs w:val="26"/>
        </w:rPr>
        <w:t>, lai palielinātu bioloģisko savietojamību; vai sintētiskas šūnas, kas var radīt olbaltumvielu zāles, kad tās iedarbina ar gaismu utt.</w:t>
      </w:r>
      <w:r w:rsidR="00E13B96">
        <w:rPr>
          <w:rStyle w:val="FootnoteReference"/>
          <w:szCs w:val="26"/>
        </w:rPr>
        <w:footnoteReference w:id="14"/>
      </w:r>
      <w:r w:rsidR="00E13B96">
        <w:rPr>
          <w:szCs w:val="26"/>
        </w:rPr>
        <w:t xml:space="preserve"> </w:t>
      </w:r>
      <w:r w:rsidRPr="004403B2">
        <w:rPr>
          <w:szCs w:val="26"/>
        </w:rPr>
        <w:t xml:space="preserve">Atsevišķās tehnoloģiju jomās Latvijā jau ir vērā ņemami sasniegumi, piemēram, 5G, bezpilota lidaparāti, viedā pilsēta, gēnu sekvencēšana, valodas </w:t>
      </w:r>
      <w:proofErr w:type="spellStart"/>
      <w:r w:rsidRPr="004403B2">
        <w:rPr>
          <w:szCs w:val="26"/>
        </w:rPr>
        <w:t>digitalizācija</w:t>
      </w:r>
      <w:proofErr w:type="spellEnd"/>
      <w:r w:rsidRPr="004403B2">
        <w:rPr>
          <w:szCs w:val="26"/>
        </w:rPr>
        <w:t xml:space="preserve">, lielie dati. Savukārt </w:t>
      </w:r>
      <w:r w:rsidR="00605184">
        <w:rPr>
          <w:szCs w:val="26"/>
        </w:rPr>
        <w:t>MI</w:t>
      </w:r>
      <w:r w:rsidRPr="004403B2">
        <w:rPr>
          <w:szCs w:val="26"/>
        </w:rPr>
        <w:t xml:space="preserve"> un kvantu skaitļošanas jomā ir iestrādes un zinātnes bāze.</w:t>
      </w:r>
    </w:p>
    <w:p w14:paraId="75CA8551" w14:textId="70A7D2F8" w:rsidR="005372F2" w:rsidRPr="000855C2" w:rsidRDefault="005372F2" w:rsidP="005372F2">
      <w:pPr>
        <w:spacing w:after="120"/>
        <w:jc w:val="right"/>
        <w:rPr>
          <w:color w:val="000000"/>
          <w:szCs w:val="26"/>
        </w:rPr>
      </w:pPr>
      <w:r w:rsidRPr="000855C2">
        <w:rPr>
          <w:color w:val="000000"/>
          <w:szCs w:val="26"/>
        </w:rPr>
        <w:t>3.</w:t>
      </w:r>
      <w:r>
        <w:rPr>
          <w:color w:val="000000"/>
          <w:szCs w:val="26"/>
        </w:rPr>
        <w:t>6</w:t>
      </w:r>
      <w:r w:rsidRPr="000855C2">
        <w:rPr>
          <w:color w:val="000000"/>
          <w:szCs w:val="26"/>
        </w:rPr>
        <w:t>. attēls</w:t>
      </w:r>
    </w:p>
    <w:p w14:paraId="7569650A" w14:textId="073F1DCB" w:rsidR="005372F2" w:rsidRDefault="005372F2" w:rsidP="005372F2">
      <w:pPr>
        <w:spacing w:after="120"/>
        <w:jc w:val="center"/>
        <w:rPr>
          <w:rFonts w:eastAsia="SimSun" w:cs="Calibri Light"/>
          <w:b/>
          <w:bCs/>
          <w:szCs w:val="20"/>
          <w:lang w:eastAsia="zh-CN" w:bidi="lo-LA"/>
        </w:rPr>
      </w:pPr>
      <w:r w:rsidRPr="00B86E19">
        <w:rPr>
          <w:rFonts w:eastAsia="SimSun" w:cs="Calibri Light"/>
          <w:b/>
          <w:bCs/>
          <w:szCs w:val="20"/>
          <w:lang w:eastAsia="zh-CN" w:bidi="lo-LA"/>
        </w:rPr>
        <w:t>Industrializācijas cikli un produktivitāte</w:t>
      </w:r>
    </w:p>
    <w:p w14:paraId="267BF071" w14:textId="77777777" w:rsidR="005372F2" w:rsidRDefault="005372F2" w:rsidP="005372F2">
      <w:pPr>
        <w:shd w:val="clear" w:color="auto" w:fill="E5DFEC" w:themeFill="accent4" w:themeFillTint="33"/>
        <w:spacing w:after="0"/>
        <w:jc w:val="center"/>
        <w:rPr>
          <w:rFonts w:ascii="Aptos Narrow" w:hAnsi="Aptos Narrow"/>
          <w:bCs/>
        </w:rPr>
      </w:pPr>
      <w:r>
        <w:rPr>
          <w:rFonts w:ascii="Aptos Narrow" w:hAnsi="Aptos Narrow"/>
          <w:bCs/>
          <w:noProof/>
        </w:rPr>
        <w:drawing>
          <wp:inline distT="0" distB="0" distL="0" distR="0" wp14:anchorId="7BC3F969" wp14:editId="28443399">
            <wp:extent cx="4906518" cy="2333625"/>
            <wp:effectExtent l="0" t="0" r="889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20">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940422" cy="2349750"/>
                    </a:xfrm>
                    <a:prstGeom prst="rect">
                      <a:avLst/>
                    </a:prstGeom>
                  </pic:spPr>
                </pic:pic>
              </a:graphicData>
            </a:graphic>
          </wp:inline>
        </w:drawing>
      </w:r>
    </w:p>
    <w:p w14:paraId="63769154" w14:textId="77777777" w:rsidR="005372F2" w:rsidRDefault="005372F2" w:rsidP="00A24FB0">
      <w:pPr>
        <w:spacing w:after="120"/>
        <w:jc w:val="both"/>
        <w:rPr>
          <w:bCs/>
          <w:szCs w:val="26"/>
        </w:rPr>
      </w:pPr>
    </w:p>
    <w:p w14:paraId="3DCBC2F1" w14:textId="02EF3AA1" w:rsidR="005372F2" w:rsidRPr="004403B2" w:rsidRDefault="005372F2" w:rsidP="00A24FB0">
      <w:pPr>
        <w:spacing w:after="120"/>
        <w:jc w:val="both"/>
        <w:rPr>
          <w:bCs/>
          <w:szCs w:val="26"/>
        </w:rPr>
      </w:pPr>
      <w:r w:rsidRPr="004403B2">
        <w:rPr>
          <w:bCs/>
          <w:szCs w:val="26"/>
        </w:rPr>
        <w:t xml:space="preserve">Strauja tehnoloģiskā attīstība palielinās pārmaiņu tempu un radīs jaunas iespējas, bet saasinās sašķeltību starp uzvarētājiem un zaudētājiem. Automatizācija un </w:t>
      </w:r>
      <w:r w:rsidR="00605184">
        <w:rPr>
          <w:bCs/>
          <w:szCs w:val="26"/>
        </w:rPr>
        <w:t>MI</w:t>
      </w:r>
      <w:r w:rsidRPr="004403B2">
        <w:rPr>
          <w:bCs/>
          <w:szCs w:val="26"/>
        </w:rPr>
        <w:t xml:space="preserve"> draud mainīt nozares ātrāk, nekā ekonomika spēj pielāgoties, potenciāli pārvietojot darbiniekus un ierobežojot nabadzīgo valstu ierasto attīstības ceļu.</w:t>
      </w:r>
    </w:p>
    <w:p w14:paraId="4D02737D" w14:textId="77777777" w:rsidR="005372F2" w:rsidRPr="004403B2" w:rsidRDefault="005372F2" w:rsidP="00A24FB0">
      <w:pPr>
        <w:spacing w:after="120"/>
        <w:jc w:val="both"/>
        <w:rPr>
          <w:bCs/>
          <w:szCs w:val="26"/>
        </w:rPr>
      </w:pPr>
      <w:r w:rsidRPr="00191866">
        <w:rPr>
          <w:b/>
          <w:bCs/>
          <w:szCs w:val="26"/>
        </w:rPr>
        <w:t>Latvijas ekonomikas attīstību ietekmē</w:t>
      </w:r>
      <w:r>
        <w:rPr>
          <w:b/>
          <w:bCs/>
          <w:szCs w:val="26"/>
        </w:rPr>
        <w:t xml:space="preserve">s </w:t>
      </w:r>
      <w:r w:rsidRPr="00191866">
        <w:rPr>
          <w:b/>
          <w:bCs/>
          <w:szCs w:val="26"/>
        </w:rPr>
        <w:t>Eiropas kopējā klimata politika.</w:t>
      </w:r>
      <w:r w:rsidRPr="004403B2">
        <w:rPr>
          <w:szCs w:val="26"/>
        </w:rPr>
        <w:t xml:space="preserve"> ES mērķis ir panākt, ka līdz 2050. gadam Eiropa kļūst </w:t>
      </w:r>
      <w:proofErr w:type="spellStart"/>
      <w:r w:rsidRPr="004403B2">
        <w:rPr>
          <w:szCs w:val="26"/>
        </w:rPr>
        <w:t>klimatneitrāla</w:t>
      </w:r>
      <w:proofErr w:type="spellEnd"/>
      <w:r w:rsidRPr="004403B2">
        <w:rPr>
          <w:szCs w:val="26"/>
        </w:rPr>
        <w:t> – ka tās ekonomika sasniedz siltumnīcefekta gāzu neto emisiju nulles līmeni. Zaļais kurss paredz darbības resursu efektīvas izmantošanas veicināšanai, pārejot uz tīru, aprites ekonomiku, un klimata pārmaiņu, bioloģiskās daudzveidības zuduma un piesārņošanas mazināšanu</w:t>
      </w:r>
      <w:r w:rsidRPr="004403B2">
        <w:rPr>
          <w:szCs w:val="26"/>
          <w:vertAlign w:val="superscript"/>
        </w:rPr>
        <w:footnoteReference w:id="15"/>
      </w:r>
      <w:r w:rsidRPr="004403B2">
        <w:rPr>
          <w:szCs w:val="26"/>
        </w:rPr>
        <w:t xml:space="preserve">. Eiropas zaļais kurss ietekmēs </w:t>
      </w:r>
      <w:r w:rsidRPr="004403B2">
        <w:rPr>
          <w:b/>
          <w:szCs w:val="26"/>
        </w:rPr>
        <w:t>visas ekonomikas nozares</w:t>
      </w:r>
      <w:r w:rsidRPr="004403B2">
        <w:rPr>
          <w:szCs w:val="26"/>
        </w:rPr>
        <w:t>, jo sevišķi transportu, enerģētiku, lauksaimniecību un rūpniecību.</w:t>
      </w:r>
    </w:p>
    <w:p w14:paraId="72155760" w14:textId="77777777" w:rsidR="005372F2" w:rsidRPr="004403B2" w:rsidRDefault="005372F2" w:rsidP="00A24FB0">
      <w:pPr>
        <w:spacing w:after="120"/>
        <w:jc w:val="both"/>
        <w:rPr>
          <w:bCs/>
          <w:szCs w:val="26"/>
        </w:rPr>
      </w:pPr>
      <w:r w:rsidRPr="004403B2">
        <w:rPr>
          <w:bCs/>
          <w:szCs w:val="26"/>
        </w:rPr>
        <w:t>Enerģētikas sektorā lielākais izaicinājums ir saistīts ar dekarbonizāciju. Enerģijas ražošanā daudz lielāks uzsvars būs jāliek uz atjaunojamiem un alternatīvajiem energoresursiem. Savukārt fosilo resursu aizstāšana Zaļā kursu konceptā nozīmēs būtisku naftas, dabasgāzes un akmeņogļu patēriņa ierobežošanu visā ES. Esošā ģeopolitiskā situācija to tikai paātrinās.</w:t>
      </w:r>
    </w:p>
    <w:p w14:paraId="37C5FD54" w14:textId="77777777" w:rsidR="005372F2" w:rsidRPr="004403B2" w:rsidRDefault="005372F2" w:rsidP="00A24FB0">
      <w:pPr>
        <w:spacing w:after="120"/>
        <w:jc w:val="both"/>
        <w:rPr>
          <w:bCs/>
          <w:szCs w:val="26"/>
        </w:rPr>
      </w:pPr>
      <w:r w:rsidRPr="004403B2">
        <w:rPr>
          <w:bCs/>
          <w:szCs w:val="26"/>
        </w:rPr>
        <w:t xml:space="preserve">Piesārņojuma ziņā tīrāku privātā un sabiedriskā transporta veidu ieviešana ietekmēs pastāvošās piegāžu ķēdes </w:t>
      </w:r>
      <w:proofErr w:type="spellStart"/>
      <w:r w:rsidRPr="004403B2">
        <w:rPr>
          <w:bCs/>
          <w:szCs w:val="26"/>
        </w:rPr>
        <w:t>iekšdedzes</w:t>
      </w:r>
      <w:proofErr w:type="spellEnd"/>
      <w:r w:rsidRPr="004403B2">
        <w:rPr>
          <w:bCs/>
          <w:szCs w:val="26"/>
        </w:rPr>
        <w:t xml:space="preserve"> dzinēju automobiļu ražotājiem. Tajā pašā laikā šāda pāreja var veidot jaunas uzņēmējdarbības nišas alternatīvo degvielu transportlīdzekļu ražošanas ķēdēs. Transporta sektora transformācija radīs nepieciešamību pēc alternatīvo degvielu viedās infrastruktūras izveides, piemēram, viedos tīklus, ūdeņraža tīklus vai oglekļa uztveršanu, glabāšanu un izmantošanu, kā arī enerģijas uzglabāšanas risinājumu izstrādes.</w:t>
      </w:r>
    </w:p>
    <w:p w14:paraId="4194584E" w14:textId="77777777" w:rsidR="005372F2" w:rsidRPr="004403B2" w:rsidRDefault="005372F2" w:rsidP="00A24FB0">
      <w:pPr>
        <w:spacing w:after="120"/>
        <w:jc w:val="both"/>
        <w:rPr>
          <w:bCs/>
          <w:szCs w:val="26"/>
        </w:rPr>
      </w:pPr>
      <w:r w:rsidRPr="004403B2">
        <w:rPr>
          <w:bCs/>
          <w:szCs w:val="26"/>
        </w:rPr>
        <w:t>Lai mazinātu enerģijas patēriņu un izmaksas, būtisks virziens ir ēku renovācija un siltināšana. Ēku renovācija nozīmē gan celtniecības materiālu ražošanas pieaugumu, inovatīvu produktu izstrādes iespējas, gan papildus pieprasījumu būvniecības nozarei.</w:t>
      </w:r>
    </w:p>
    <w:p w14:paraId="730C8B8A" w14:textId="77777777" w:rsidR="005372F2" w:rsidRPr="004403B2" w:rsidRDefault="005372F2" w:rsidP="00A24FB0">
      <w:pPr>
        <w:spacing w:after="120"/>
        <w:jc w:val="both"/>
        <w:rPr>
          <w:bCs/>
          <w:szCs w:val="26"/>
        </w:rPr>
      </w:pPr>
      <w:r w:rsidRPr="004403B2">
        <w:rPr>
          <w:bCs/>
          <w:szCs w:val="26"/>
        </w:rPr>
        <w:t>Būtiska pārorientācija sagaida lauksaimniecības nozari, kas ietver tādas aktivitātes kā oglekļa pārvaldību un uzglabāšanu augsnē, minerālmēslu labāku pārvaldību, novatoriskus veidus, lai aizvietotu līdzšinējos augu aizsardzībā izmantotos ķīmijas līdzekļus.</w:t>
      </w:r>
    </w:p>
    <w:p w14:paraId="435219DB" w14:textId="77777777" w:rsidR="005372F2" w:rsidRPr="004403B2" w:rsidRDefault="005372F2" w:rsidP="00A24FB0">
      <w:pPr>
        <w:spacing w:after="120"/>
        <w:jc w:val="both"/>
        <w:rPr>
          <w:bCs/>
          <w:szCs w:val="26"/>
        </w:rPr>
      </w:pPr>
      <w:r w:rsidRPr="004403B2">
        <w:rPr>
          <w:szCs w:val="26"/>
        </w:rPr>
        <w:t xml:space="preserve">Pāreja uz klimata neitralitāti cieši skar arī rūpniecības nozari. Būs nepieciešams aizvien lielāku uzmanību pievērst inovācijām, lai palīdzētu uzņēmumiem transformēt esošās darbības un palīdzētu veikt veco iekārtu nomaiņu ar jaunākām, energoefektīvākām iekārtām, kas, savukārt pozitīvi ietekmēs produktivitāti. Jo īpaši tas skar cementa ražošanu, kam augstās energoietilpības dēļ pievērsta īpaša uzmanība. Vienas rūpniecības nozares un visu tās </w:t>
      </w:r>
      <w:r w:rsidRPr="004403B2">
        <w:rPr>
          <w:szCs w:val="26"/>
        </w:rPr>
        <w:lastRenderedPageBreak/>
        <w:t>vērtības ķēžu pārveidei vajadzīgi 25 gadi</w:t>
      </w:r>
      <w:r w:rsidRPr="00A65C7B">
        <w:rPr>
          <w:szCs w:val="26"/>
          <w:vertAlign w:val="superscript"/>
        </w:rPr>
        <w:footnoteReference w:id="16"/>
      </w:r>
      <w:r w:rsidRPr="004403B2">
        <w:rPr>
          <w:szCs w:val="26"/>
        </w:rPr>
        <w:t>. Tāpēc jau tagad nozarēm, plānojot savu ilgtermiņa attīstību, jāņem vērā klimata pārmaiņu iespējamie efekti. Zaļais kurss prasīs lielus finansiālus ieguldījumus un tas būs darbietilpīgs process, vienlaikus tas var radīt jaunas uzņēmējdarbības iespējas.</w:t>
      </w:r>
    </w:p>
    <w:p w14:paraId="3FB6AF9D" w14:textId="77777777" w:rsidR="005372F2" w:rsidRPr="004403B2" w:rsidRDefault="005372F2" w:rsidP="00A24FB0">
      <w:pPr>
        <w:spacing w:after="120"/>
        <w:jc w:val="both"/>
        <w:rPr>
          <w:bCs/>
          <w:szCs w:val="26"/>
        </w:rPr>
      </w:pPr>
      <w:r w:rsidRPr="004403B2">
        <w:rPr>
          <w:bCs/>
          <w:szCs w:val="26"/>
        </w:rPr>
        <w:t>Ņemot vērā tehnoloģiju straujo attīstību un jaunās iniciatīvas klimata jomā, nepieciešams gudri ieguldīt publiskos līdzekļus ekonomikas kapacitātes noturēšanai īstermiņā un ekonomikas transformācijas pasākumiem vidējā un ilgtermiņā. Lai panāktu straujāku produktivitātes pieaugumu un nodrošinātu stabilu ekonomikas izaugsmi, ir vitāli svarīgi ir ne vien ilgtspējīgi ieguldīt pieejamos publiskos finanšu līdzekļus, bet arī veicināt privāto investīciju apjoma pieaugumu, stimulējot kreditēšanas pieaugumu, kapitāla tirgus attīstību un finanšu instrumentu izmantošanu.</w:t>
      </w:r>
    </w:p>
    <w:p w14:paraId="69F7266C" w14:textId="77777777" w:rsidR="003817CC" w:rsidRPr="004403B2" w:rsidRDefault="003817CC" w:rsidP="00A24FB0">
      <w:pPr>
        <w:spacing w:after="120"/>
        <w:jc w:val="both"/>
        <w:rPr>
          <w:bCs/>
          <w:szCs w:val="26"/>
        </w:rPr>
      </w:pPr>
    </w:p>
    <w:p w14:paraId="04EB96DE" w14:textId="5AA7F56E" w:rsidR="005372F2" w:rsidRDefault="005372F2" w:rsidP="003817CC">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jc w:val="right"/>
        <w:rPr>
          <w:rFonts w:ascii="Segoe UI Light" w:hAnsi="Segoe UI Light"/>
          <w:b/>
          <w:sz w:val="16"/>
          <w:szCs w:val="16"/>
          <w:highlight w:val="yellow"/>
        </w:rPr>
      </w:pPr>
      <w:r w:rsidRPr="00FD1218">
        <w:rPr>
          <w:rFonts w:ascii="Segoe UI Light" w:hAnsi="Segoe UI Light"/>
          <w:b/>
          <w:sz w:val="16"/>
          <w:szCs w:val="16"/>
        </w:rPr>
        <w:t>Mākslīgais intelekts maina ekonomikas izaugsmes paradigmu</w:t>
      </w:r>
      <w:r w:rsidRPr="00FD1218">
        <w:rPr>
          <w:rFonts w:ascii="Segoe UI Light" w:hAnsi="Segoe UI Light"/>
          <w:b/>
          <w:sz w:val="16"/>
          <w:szCs w:val="16"/>
          <w:highlight w:val="yellow"/>
        </w:rPr>
        <w:t xml:space="preserve"> </w:t>
      </w:r>
    </w:p>
    <w:p w14:paraId="5D0777C5" w14:textId="1BA7076D" w:rsidR="005372F2" w:rsidRPr="00FD1218" w:rsidRDefault="009D2225" w:rsidP="005372F2">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Pr>
          <w:rFonts w:ascii="Segoe UI Light" w:hAnsi="Segoe UI Light"/>
          <w:bCs/>
          <w:sz w:val="16"/>
          <w:szCs w:val="18"/>
        </w:rPr>
        <w:t>MI</w:t>
      </w:r>
      <w:r w:rsidR="005372F2" w:rsidRPr="00FD1218">
        <w:rPr>
          <w:rFonts w:ascii="Segoe UI Light" w:hAnsi="Segoe UI Light"/>
          <w:bCs/>
          <w:sz w:val="16"/>
          <w:szCs w:val="18"/>
        </w:rPr>
        <w:t xml:space="preserve"> pēdējos gados ir kļuvis par vienu no visstraujāk augošajām un ietekmīgākajām tehnoloģijām pasaulē, radot būtiskas pārmaiņas gan ekonomikā, gan darba tirgū. Ar spēju automatizēt kompleksus uzdevumus, analizēt milzīgus datu apjomus un pat veikt lēmumu pieņemšanu, </w:t>
      </w:r>
      <w:r w:rsidR="00605184">
        <w:rPr>
          <w:rFonts w:ascii="Segoe UI Light" w:hAnsi="Segoe UI Light"/>
          <w:bCs/>
          <w:sz w:val="16"/>
          <w:szCs w:val="18"/>
        </w:rPr>
        <w:t>MI</w:t>
      </w:r>
      <w:r w:rsidR="005372F2" w:rsidRPr="00FD1218">
        <w:rPr>
          <w:rFonts w:ascii="Segoe UI Light" w:hAnsi="Segoe UI Light"/>
          <w:bCs/>
          <w:sz w:val="16"/>
          <w:szCs w:val="18"/>
        </w:rPr>
        <w:t xml:space="preserve"> ir radījis jaunas iespējas uzņēmumu efektivitātes un inovāciju veicināšanai.</w:t>
      </w:r>
    </w:p>
    <w:p w14:paraId="028AB875" w14:textId="0EE484A5" w:rsidR="005372F2" w:rsidRPr="00FD1218" w:rsidRDefault="005372F2" w:rsidP="005372F2">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FD1218">
        <w:rPr>
          <w:rFonts w:ascii="Segoe UI Light" w:hAnsi="Segoe UI Light"/>
          <w:bCs/>
          <w:sz w:val="16"/>
          <w:szCs w:val="18"/>
        </w:rPr>
        <w:t xml:space="preserve">Pasaules Ekonomikas foruma ziņojums par 2023. gadu attiecībā uz darba tirgus nākotni atklāj, ka aptuveni trīs ceturtdaļas aptaujāto organizāciju plāno ieviest </w:t>
      </w:r>
      <w:r w:rsidR="00605184">
        <w:rPr>
          <w:rFonts w:ascii="Segoe UI Light" w:hAnsi="Segoe UI Light"/>
          <w:bCs/>
          <w:sz w:val="16"/>
          <w:szCs w:val="18"/>
        </w:rPr>
        <w:t>MI</w:t>
      </w:r>
      <w:r w:rsidRPr="00FD1218">
        <w:rPr>
          <w:rFonts w:ascii="Segoe UI Light" w:hAnsi="Segoe UI Light"/>
          <w:bCs/>
          <w:sz w:val="16"/>
          <w:szCs w:val="18"/>
        </w:rPr>
        <w:t xml:space="preserve"> savā darbībā, un katrs otrais no tiem uzskata, ka </w:t>
      </w:r>
      <w:r w:rsidR="00605184">
        <w:rPr>
          <w:rFonts w:ascii="Segoe UI Light" w:hAnsi="Segoe UI Light"/>
          <w:bCs/>
          <w:sz w:val="16"/>
          <w:szCs w:val="18"/>
        </w:rPr>
        <w:t>MI</w:t>
      </w:r>
      <w:r w:rsidRPr="00FD1218">
        <w:rPr>
          <w:rFonts w:ascii="Segoe UI Light" w:hAnsi="Segoe UI Light"/>
          <w:bCs/>
          <w:sz w:val="16"/>
          <w:szCs w:val="18"/>
        </w:rPr>
        <w:t xml:space="preserve"> lietošana nākotnē sekmēs jaunu darbvietu radīšanu. </w:t>
      </w:r>
      <w:r w:rsidR="00605184">
        <w:rPr>
          <w:rFonts w:ascii="Segoe UI Light" w:hAnsi="Segoe UI Light"/>
          <w:bCs/>
          <w:sz w:val="16"/>
          <w:szCs w:val="18"/>
        </w:rPr>
        <w:t>MI</w:t>
      </w:r>
      <w:r w:rsidRPr="00FD1218">
        <w:rPr>
          <w:rFonts w:ascii="Segoe UI Light" w:hAnsi="Segoe UI Light"/>
          <w:bCs/>
          <w:sz w:val="16"/>
          <w:szCs w:val="18"/>
        </w:rPr>
        <w:t xml:space="preserve"> izmantojums galvenokārt uzlabos cilvēku produktivitāti, nevis aizstās cilvēku darbu. Tas neizstums cilvēkus no darba vietām, bet gan uzlabos viņu sniegumu, aizpildot zināšanu trūkumus un paplašinot piekļuvi informācijai. Pasaules Ekonomikas forums paredz, ka </w:t>
      </w:r>
      <w:r w:rsidR="00605184">
        <w:rPr>
          <w:rFonts w:ascii="Segoe UI Light" w:hAnsi="Segoe UI Light"/>
          <w:bCs/>
          <w:sz w:val="16"/>
          <w:szCs w:val="18"/>
        </w:rPr>
        <w:t>MI</w:t>
      </w:r>
      <w:r w:rsidRPr="00FD1218">
        <w:rPr>
          <w:rFonts w:ascii="Segoe UI Light" w:hAnsi="Segoe UI Light"/>
          <w:bCs/>
          <w:sz w:val="16"/>
          <w:szCs w:val="18"/>
        </w:rPr>
        <w:t xml:space="preserve"> līdz 2027. gadam kļūs par neto darbvietu radītāju.</w:t>
      </w:r>
    </w:p>
    <w:p w14:paraId="1ED30599" w14:textId="0C6E5569" w:rsidR="005372F2" w:rsidRPr="00FD1218" w:rsidRDefault="00605184" w:rsidP="005372F2">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Pr>
          <w:rFonts w:ascii="Segoe UI Light" w:hAnsi="Segoe UI Light"/>
          <w:bCs/>
          <w:sz w:val="16"/>
          <w:szCs w:val="18"/>
        </w:rPr>
        <w:t>MI</w:t>
      </w:r>
      <w:r w:rsidR="005372F2" w:rsidRPr="00FD1218">
        <w:rPr>
          <w:rFonts w:ascii="Segoe UI Light" w:hAnsi="Segoe UI Light"/>
          <w:bCs/>
          <w:sz w:val="16"/>
          <w:szCs w:val="18"/>
        </w:rPr>
        <w:t xml:space="preserve"> mainīs prasības darba vietās, radot vajadzību pēc jaunām prasmēm. Piemēram, kognitīvās prasmes kļūst arvien svarīgākas, liecinot par sarežģītu problēmu risināšanas nozīmes pieaugumu darbavietā. Gan darba devējiem, gan darbiniekiem būs jāiegulda prasmju attīstībā un </w:t>
      </w:r>
      <w:proofErr w:type="spellStart"/>
      <w:r w:rsidR="005372F2" w:rsidRPr="00FD1218">
        <w:rPr>
          <w:rFonts w:ascii="Segoe UI Light" w:hAnsi="Segoe UI Light"/>
          <w:bCs/>
          <w:sz w:val="16"/>
          <w:szCs w:val="18"/>
        </w:rPr>
        <w:t>pārkvalifikācijā</w:t>
      </w:r>
      <w:proofErr w:type="spellEnd"/>
      <w:r w:rsidR="005372F2" w:rsidRPr="00FD1218">
        <w:rPr>
          <w:rFonts w:ascii="Segoe UI Light" w:hAnsi="Segoe UI Light"/>
          <w:bCs/>
          <w:sz w:val="16"/>
          <w:szCs w:val="18"/>
        </w:rPr>
        <w:t>, lai saglabātu konkurētspēju darba tirgū.</w:t>
      </w:r>
    </w:p>
    <w:p w14:paraId="208A6EB1" w14:textId="2B0E338E" w:rsidR="005372F2" w:rsidRPr="00FD1218" w:rsidRDefault="005372F2" w:rsidP="005372F2">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FD1218">
        <w:rPr>
          <w:rFonts w:ascii="Segoe UI Light" w:hAnsi="Segoe UI Light"/>
          <w:bCs/>
          <w:sz w:val="16"/>
          <w:szCs w:val="18"/>
        </w:rPr>
        <w:t xml:space="preserve">Automatizācijas iespējas nākamajos gados turpinās pieaugt, jo </w:t>
      </w:r>
      <w:r w:rsidR="00605184">
        <w:rPr>
          <w:rFonts w:ascii="Segoe UI Light" w:hAnsi="Segoe UI Light"/>
          <w:bCs/>
          <w:sz w:val="16"/>
          <w:szCs w:val="18"/>
        </w:rPr>
        <w:t>MI</w:t>
      </w:r>
      <w:r w:rsidRPr="00FD1218">
        <w:rPr>
          <w:rFonts w:ascii="Segoe UI Light" w:hAnsi="Segoe UI Light"/>
          <w:bCs/>
          <w:sz w:val="16"/>
          <w:szCs w:val="18"/>
        </w:rPr>
        <w:t xml:space="preserve"> metodes kļūst attīstītākas un iegūst plašu pielietojumu dažādās nozarēs. Tehnoloģijas, kas piedzīvo straujākās izmaiņas, piemēram, ģeneratīvā </w:t>
      </w:r>
      <w:r w:rsidR="00605184">
        <w:rPr>
          <w:rFonts w:ascii="Segoe UI Light" w:hAnsi="Segoe UI Light"/>
          <w:bCs/>
          <w:sz w:val="16"/>
          <w:szCs w:val="18"/>
        </w:rPr>
        <w:t>MI</w:t>
      </w:r>
      <w:r w:rsidRPr="00FD1218">
        <w:rPr>
          <w:rFonts w:ascii="Segoe UI Light" w:hAnsi="Segoe UI Light"/>
          <w:bCs/>
          <w:sz w:val="16"/>
          <w:szCs w:val="18"/>
        </w:rPr>
        <w:t xml:space="preserve"> tehnoloģija, turpmāk varētu mainīt automatizējamo uzdevumu struktūru 2023.–2027. gada laikā, ņemot vērā nesenas pētījumu atziņas, ka Lielie Valodu Modeļi jau šobrīd spēj automatizēt 15% uzdevumu. Apvienojot tos ar aplikācijām, kas var novērst zināmas esošo Lielo Valodu Modeļu problēmas, šī daļa varētu pieaugt līdz pat 50%, ievērojami paaugstinot produktivitāti.</w:t>
      </w:r>
    </w:p>
    <w:p w14:paraId="79C537F1" w14:textId="2746E306" w:rsidR="005372F2" w:rsidRPr="00FD1218" w:rsidRDefault="005372F2" w:rsidP="005372F2">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proofErr w:type="spellStart"/>
      <w:r w:rsidRPr="00FD1218">
        <w:rPr>
          <w:rFonts w:ascii="Segoe UI Light" w:hAnsi="Segoe UI Light"/>
          <w:bCs/>
          <w:sz w:val="16"/>
          <w:szCs w:val="18"/>
        </w:rPr>
        <w:t>McKinsey</w:t>
      </w:r>
      <w:proofErr w:type="spellEnd"/>
      <w:r w:rsidRPr="00FD1218">
        <w:rPr>
          <w:rFonts w:ascii="Segoe UI Light" w:hAnsi="Segoe UI Light"/>
          <w:bCs/>
          <w:sz w:val="16"/>
          <w:szCs w:val="18"/>
        </w:rPr>
        <w:t xml:space="preserve"> tiešsaistes seminārā ar partneriem </w:t>
      </w:r>
      <w:proofErr w:type="spellStart"/>
      <w:r w:rsidRPr="00FD1218">
        <w:rPr>
          <w:rFonts w:ascii="Segoe UI Light" w:hAnsi="Segoe UI Light"/>
          <w:bCs/>
          <w:sz w:val="16"/>
          <w:szCs w:val="18"/>
        </w:rPr>
        <w:t>Lareina</w:t>
      </w:r>
      <w:proofErr w:type="spellEnd"/>
      <w:r w:rsidRPr="00FD1218">
        <w:rPr>
          <w:rFonts w:ascii="Segoe UI Light" w:hAnsi="Segoe UI Light"/>
          <w:bCs/>
          <w:sz w:val="16"/>
          <w:szCs w:val="18"/>
        </w:rPr>
        <w:t xml:space="preserve"> </w:t>
      </w:r>
      <w:proofErr w:type="spellStart"/>
      <w:r w:rsidRPr="00FD1218">
        <w:rPr>
          <w:rFonts w:ascii="Segoe UI Light" w:hAnsi="Segoe UI Light"/>
          <w:bCs/>
          <w:sz w:val="16"/>
          <w:szCs w:val="18"/>
        </w:rPr>
        <w:t>Yee</w:t>
      </w:r>
      <w:proofErr w:type="spellEnd"/>
      <w:r w:rsidRPr="00FD1218">
        <w:rPr>
          <w:rFonts w:ascii="Segoe UI Light" w:hAnsi="Segoe UI Light"/>
          <w:bCs/>
          <w:sz w:val="16"/>
          <w:szCs w:val="18"/>
        </w:rPr>
        <w:t xml:space="preserve"> un </w:t>
      </w:r>
      <w:proofErr w:type="spellStart"/>
      <w:r w:rsidRPr="00FD1218">
        <w:rPr>
          <w:rFonts w:ascii="Segoe UI Light" w:hAnsi="Segoe UI Light"/>
          <w:bCs/>
          <w:sz w:val="16"/>
          <w:szCs w:val="18"/>
        </w:rPr>
        <w:t>Michael</w:t>
      </w:r>
      <w:proofErr w:type="spellEnd"/>
      <w:r w:rsidRPr="00FD1218">
        <w:rPr>
          <w:rFonts w:ascii="Segoe UI Light" w:hAnsi="Segoe UI Light"/>
          <w:bCs/>
          <w:sz w:val="16"/>
          <w:szCs w:val="18"/>
        </w:rPr>
        <w:t xml:space="preserve"> </w:t>
      </w:r>
      <w:proofErr w:type="spellStart"/>
      <w:r w:rsidRPr="00FD1218">
        <w:rPr>
          <w:rFonts w:ascii="Segoe UI Light" w:hAnsi="Segoe UI Light"/>
          <w:bCs/>
          <w:sz w:val="16"/>
          <w:szCs w:val="18"/>
        </w:rPr>
        <w:t>Chui</w:t>
      </w:r>
      <w:proofErr w:type="spellEnd"/>
      <w:r w:rsidRPr="00FD1218">
        <w:rPr>
          <w:rFonts w:ascii="Segoe UI Light" w:hAnsi="Segoe UI Light"/>
          <w:bCs/>
          <w:sz w:val="16"/>
          <w:szCs w:val="18"/>
        </w:rPr>
        <w:t xml:space="preserve"> apsprieda jaunā pētījuma "Ģeneratīvā </w:t>
      </w:r>
      <w:r w:rsidR="00605184">
        <w:rPr>
          <w:rFonts w:ascii="Segoe UI Light" w:hAnsi="Segoe UI Light"/>
          <w:bCs/>
          <w:sz w:val="16"/>
          <w:szCs w:val="18"/>
        </w:rPr>
        <w:t>MI</w:t>
      </w:r>
      <w:r w:rsidRPr="00FD1218">
        <w:rPr>
          <w:rFonts w:ascii="Segoe UI Light" w:hAnsi="Segoe UI Light"/>
          <w:bCs/>
          <w:sz w:val="16"/>
          <w:szCs w:val="18"/>
        </w:rPr>
        <w:t xml:space="preserve"> ekonomiskais potenciāls: nākamā produktivitātes robeža" secinājumus par to, kā uzņēmumiem vajadzētu sagatavoties, lai gūtu labumu un mazinātu ar ģeneratīvo </w:t>
      </w:r>
      <w:r w:rsidR="00605184">
        <w:rPr>
          <w:rFonts w:ascii="Segoe UI Light" w:hAnsi="Segoe UI Light"/>
          <w:bCs/>
          <w:sz w:val="16"/>
          <w:szCs w:val="18"/>
        </w:rPr>
        <w:t>MI</w:t>
      </w:r>
      <w:r w:rsidRPr="00FD1218">
        <w:rPr>
          <w:rFonts w:ascii="Segoe UI Light" w:hAnsi="Segoe UI Light"/>
          <w:bCs/>
          <w:sz w:val="16"/>
          <w:szCs w:val="18"/>
        </w:rPr>
        <w:t xml:space="preserve"> saistītos riskus. Ģeneratīvā </w:t>
      </w:r>
      <w:r w:rsidR="00605184">
        <w:rPr>
          <w:rFonts w:ascii="Segoe UI Light" w:hAnsi="Segoe UI Light"/>
          <w:bCs/>
          <w:sz w:val="16"/>
          <w:szCs w:val="18"/>
        </w:rPr>
        <w:t>MI</w:t>
      </w:r>
      <w:r w:rsidRPr="00FD1218">
        <w:rPr>
          <w:rFonts w:ascii="Segoe UI Light" w:hAnsi="Segoe UI Light"/>
          <w:bCs/>
          <w:sz w:val="16"/>
          <w:szCs w:val="18"/>
        </w:rPr>
        <w:t xml:space="preserve"> ietekmēs visas nozares, taču lielākās ieguvējas būs mazumtirdzniecība un</w:t>
      </w:r>
      <w:r>
        <w:rPr>
          <w:rFonts w:ascii="Segoe UI Light" w:hAnsi="Segoe UI Light"/>
          <w:bCs/>
          <w:sz w:val="16"/>
          <w:szCs w:val="18"/>
        </w:rPr>
        <w:t xml:space="preserve"> </w:t>
      </w:r>
      <w:r w:rsidRPr="00FD1218">
        <w:rPr>
          <w:rFonts w:ascii="Segoe UI Light" w:hAnsi="Segoe UI Light"/>
          <w:bCs/>
          <w:sz w:val="16"/>
          <w:szCs w:val="18"/>
        </w:rPr>
        <w:t>patērētājiem paredzēto preču ražošanas nozares, finanšu pakalpojumu sektors, kā arī medicīnas nozare.</w:t>
      </w:r>
    </w:p>
    <w:p w14:paraId="1E0008DF" w14:textId="09CEAAD6" w:rsidR="005372F2" w:rsidRDefault="00605184" w:rsidP="005372F2">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Pr>
          <w:rFonts w:ascii="Segoe UI Light" w:hAnsi="Segoe UI Light"/>
          <w:bCs/>
          <w:sz w:val="16"/>
          <w:szCs w:val="18"/>
        </w:rPr>
        <w:t>MI</w:t>
      </w:r>
      <w:r w:rsidR="005372F2" w:rsidRPr="00FD1218">
        <w:rPr>
          <w:rFonts w:ascii="Segoe UI Light" w:hAnsi="Segoe UI Light"/>
          <w:bCs/>
          <w:sz w:val="16"/>
          <w:szCs w:val="18"/>
        </w:rPr>
        <w:t xml:space="preserve"> ir paredzams plašs pielietojuma potenciāls visās ekonomikas nozarēs, taču precīzu ietekmi uz ekonomiku šajā stadijā ar augstu ticamības pakāpi ir grūti prognozēt.</w:t>
      </w:r>
    </w:p>
    <w:p w14:paraId="02611148" w14:textId="77777777" w:rsidR="005372F2" w:rsidRDefault="005372F2" w:rsidP="005372F2">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8"/>
        </w:rPr>
      </w:pPr>
    </w:p>
    <w:p w14:paraId="60E0A875" w14:textId="63C80C86" w:rsidR="005372F2" w:rsidRPr="00C21DA9" w:rsidRDefault="005372F2" w:rsidP="006B2054">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0"/>
        <w:ind w:firstLine="142"/>
        <w:rPr>
          <w:rFonts w:ascii="Segoe UI Light" w:hAnsi="Segoe UI Light"/>
          <w:b/>
          <w:i/>
          <w:iCs/>
          <w:color w:val="403152" w:themeColor="accent4" w:themeShade="80"/>
          <w:sz w:val="22"/>
          <w:szCs w:val="24"/>
        </w:rPr>
      </w:pPr>
      <w:r w:rsidRPr="00C21DA9">
        <w:rPr>
          <w:rFonts w:ascii="Segoe UI Light" w:hAnsi="Segoe UI Light"/>
          <w:b/>
          <w:i/>
          <w:iCs/>
          <w:color w:val="403152" w:themeColor="accent4" w:themeShade="80"/>
          <w:sz w:val="22"/>
          <w:szCs w:val="24"/>
        </w:rPr>
        <w:t xml:space="preserve">Ģeneratīvais </w:t>
      </w:r>
      <w:r w:rsidR="00605184">
        <w:rPr>
          <w:rFonts w:ascii="Segoe UI Light" w:hAnsi="Segoe UI Light"/>
          <w:b/>
          <w:i/>
          <w:iCs/>
          <w:color w:val="403152" w:themeColor="accent4" w:themeShade="80"/>
          <w:sz w:val="22"/>
          <w:szCs w:val="24"/>
        </w:rPr>
        <w:t>MI</w:t>
      </w:r>
      <w:r w:rsidRPr="00C21DA9">
        <w:rPr>
          <w:rFonts w:ascii="Segoe UI Light" w:hAnsi="Segoe UI Light"/>
          <w:b/>
          <w:i/>
          <w:iCs/>
          <w:color w:val="403152" w:themeColor="accent4" w:themeShade="80"/>
          <w:sz w:val="22"/>
          <w:szCs w:val="24"/>
        </w:rPr>
        <w:t xml:space="preserve"> ietekmēs visas nozares, taču lielākās ieguvējas būs mazumtirdzniecība</w:t>
      </w:r>
    </w:p>
    <w:p w14:paraId="25AB7E47" w14:textId="3FCCC123" w:rsidR="005372F2" w:rsidRPr="00C21DA9" w:rsidRDefault="005372F2" w:rsidP="006B2054">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ind w:firstLine="142"/>
        <w:rPr>
          <w:rFonts w:ascii="Segoe UI Light" w:hAnsi="Segoe UI Light"/>
          <w:b/>
          <w:i/>
          <w:iCs/>
          <w:color w:val="403152" w:themeColor="accent4" w:themeShade="80"/>
          <w:sz w:val="22"/>
          <w:szCs w:val="24"/>
        </w:rPr>
      </w:pPr>
      <w:r w:rsidRPr="00C21DA9">
        <w:rPr>
          <w:rFonts w:ascii="Segoe UI Light" w:hAnsi="Segoe UI Light"/>
          <w:b/>
          <w:i/>
          <w:iCs/>
          <w:color w:val="403152" w:themeColor="accent4" w:themeShade="80"/>
          <w:sz w:val="22"/>
          <w:szCs w:val="24"/>
        </w:rPr>
        <w:t>un plašam patēriņam paredzēto preču ražošanas nozares, finanšu pakalpojumu sektors</w:t>
      </w:r>
    </w:p>
    <w:p w14:paraId="3326E130" w14:textId="77777777" w:rsidR="005372F2" w:rsidRDefault="005372F2" w:rsidP="005372F2">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8"/>
        </w:rPr>
      </w:pPr>
    </w:p>
    <w:p w14:paraId="1F32832F" w14:textId="413B12D6" w:rsidR="005372F2" w:rsidRPr="00B73A48" w:rsidRDefault="005372F2" w:rsidP="005372F2">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8"/>
          <w:highlight w:val="yellow"/>
        </w:rPr>
      </w:pPr>
      <w:r w:rsidRPr="00FD1218">
        <w:rPr>
          <w:rFonts w:ascii="Segoe UI Light" w:hAnsi="Segoe UI Light"/>
          <w:bCs/>
          <w:sz w:val="16"/>
          <w:szCs w:val="18"/>
        </w:rPr>
        <w:t xml:space="preserve">Vienā no jaunākajiem pētījumiem </w:t>
      </w:r>
      <w:proofErr w:type="spellStart"/>
      <w:r w:rsidRPr="00FD1218">
        <w:rPr>
          <w:rFonts w:ascii="Segoe UI Light" w:hAnsi="Segoe UI Light"/>
          <w:bCs/>
          <w:sz w:val="16"/>
          <w:szCs w:val="18"/>
        </w:rPr>
        <w:t>McKinsey</w:t>
      </w:r>
      <w:proofErr w:type="spellEnd"/>
      <w:r w:rsidRPr="00FD1218">
        <w:rPr>
          <w:rFonts w:ascii="Segoe UI Light" w:hAnsi="Segoe UI Light"/>
          <w:bCs/>
          <w:sz w:val="16"/>
          <w:szCs w:val="18"/>
        </w:rPr>
        <w:t xml:space="preserve"> Globālajā Institūtā par ģeneratīvo </w:t>
      </w:r>
      <w:r w:rsidR="00605184">
        <w:rPr>
          <w:rFonts w:ascii="Segoe UI Light" w:hAnsi="Segoe UI Light"/>
          <w:bCs/>
          <w:sz w:val="16"/>
          <w:szCs w:val="18"/>
        </w:rPr>
        <w:t>MI</w:t>
      </w:r>
      <w:r w:rsidRPr="00FD1218">
        <w:rPr>
          <w:rFonts w:ascii="Segoe UI Light" w:hAnsi="Segoe UI Light"/>
          <w:bCs/>
          <w:sz w:val="16"/>
          <w:szCs w:val="18"/>
        </w:rPr>
        <w:t xml:space="preserve">, izpētot 63 dažādus pielietojumus, tika prognozēts, ka </w:t>
      </w:r>
      <w:r w:rsidR="00605184">
        <w:rPr>
          <w:rFonts w:ascii="Segoe UI Light" w:hAnsi="Segoe UI Light"/>
          <w:bCs/>
          <w:sz w:val="16"/>
          <w:szCs w:val="18"/>
        </w:rPr>
        <w:t>MI</w:t>
      </w:r>
      <w:r w:rsidRPr="00FD1218">
        <w:rPr>
          <w:rFonts w:ascii="Segoe UI Light" w:hAnsi="Segoe UI Light"/>
          <w:bCs/>
          <w:sz w:val="16"/>
          <w:szCs w:val="18"/>
        </w:rPr>
        <w:t xml:space="preserve"> uzlabos produktivitāti dažādos veidos. Balstoties uz dabiskām valodu komandām </w:t>
      </w:r>
      <w:r w:rsidR="00605184">
        <w:rPr>
          <w:rFonts w:ascii="Segoe UI Light" w:hAnsi="Segoe UI Light"/>
          <w:bCs/>
          <w:sz w:val="16"/>
          <w:szCs w:val="18"/>
        </w:rPr>
        <w:t>MI</w:t>
      </w:r>
      <w:r w:rsidRPr="00FD1218">
        <w:rPr>
          <w:rFonts w:ascii="Segoe UI Light" w:hAnsi="Segoe UI Light"/>
          <w:bCs/>
          <w:sz w:val="16"/>
          <w:szCs w:val="18"/>
        </w:rPr>
        <w:t xml:space="preserve"> spēs uzlabot produktivitāti klientu apkalpošanā, radot mārketinga saturu un izstrādājot programmatūras kodus. Šāda veida uzlabojumi palielinās </w:t>
      </w:r>
      <w:r w:rsidR="00605184">
        <w:rPr>
          <w:rFonts w:ascii="Segoe UI Light" w:hAnsi="Segoe UI Light"/>
          <w:bCs/>
          <w:sz w:val="16"/>
          <w:szCs w:val="18"/>
        </w:rPr>
        <w:t>MI</w:t>
      </w:r>
      <w:r w:rsidRPr="00FD1218">
        <w:rPr>
          <w:rFonts w:ascii="Segoe UI Light" w:hAnsi="Segoe UI Light"/>
          <w:bCs/>
          <w:sz w:val="16"/>
          <w:szCs w:val="18"/>
        </w:rPr>
        <w:t xml:space="preserve"> un datu analīzes radīto produktivitātes vērtību par 15% līdz 40% salīdzinot ar iepriekšējām tehnoloģiju paaudzēm. Lai ģeneratīvais </w:t>
      </w:r>
      <w:r w:rsidR="00605184">
        <w:rPr>
          <w:rFonts w:ascii="Segoe UI Light" w:hAnsi="Segoe UI Light"/>
          <w:bCs/>
          <w:sz w:val="16"/>
          <w:szCs w:val="18"/>
        </w:rPr>
        <w:t>MI</w:t>
      </w:r>
      <w:r w:rsidRPr="00FD1218">
        <w:rPr>
          <w:rFonts w:ascii="Segoe UI Light" w:hAnsi="Segoe UI Light"/>
          <w:bCs/>
          <w:sz w:val="16"/>
          <w:szCs w:val="18"/>
        </w:rPr>
        <w:t xml:space="preserve"> veicinātu produktivitātes pieaugumu, darbiniekiem, kuri darba vidē strādā ar tehnoloģijām, būs nepieciešams pārorientēties un apgūt jaunas prasmes. Institūts prognozēja, ka </w:t>
      </w:r>
      <w:r w:rsidR="00605184">
        <w:rPr>
          <w:rFonts w:ascii="Segoe UI Light" w:hAnsi="Segoe UI Light"/>
          <w:bCs/>
          <w:sz w:val="16"/>
          <w:szCs w:val="18"/>
        </w:rPr>
        <w:t>MI</w:t>
      </w:r>
      <w:r w:rsidRPr="00FD1218">
        <w:rPr>
          <w:rFonts w:ascii="Segoe UI Light" w:hAnsi="Segoe UI Light"/>
          <w:bCs/>
          <w:sz w:val="16"/>
          <w:szCs w:val="18"/>
        </w:rPr>
        <w:t xml:space="preserve"> var palielināt produktivitāti par 0,1% līdz 0,6% ik gadu līdz 2040.gadam. Kopā ar citām tehnoloģijām darba automatizācija varētu pievienot papildus 0,2 līdz 3,3 procentpunktus produktivitātes izaugsmei.</w:t>
      </w:r>
    </w:p>
    <w:p w14:paraId="122EBFAC" w14:textId="77777777" w:rsidR="005372F2" w:rsidRDefault="005372F2" w:rsidP="006B2054">
      <w:pPr>
        <w:spacing w:after="120"/>
        <w:jc w:val="both"/>
        <w:rPr>
          <w:rFonts w:cs="Calibri Light"/>
          <w:b/>
          <w:szCs w:val="20"/>
        </w:rPr>
      </w:pPr>
    </w:p>
    <w:p w14:paraId="0EDB70BD" w14:textId="77777777" w:rsidR="005372F2" w:rsidRPr="003F161B" w:rsidRDefault="005372F2" w:rsidP="006B2054">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t>Nozaru attīstības tendences</w:t>
      </w:r>
    </w:p>
    <w:p w14:paraId="1380B6D0" w14:textId="77777777" w:rsidR="005372F2" w:rsidRPr="00292F87" w:rsidRDefault="005372F2" w:rsidP="006B2054">
      <w:pPr>
        <w:spacing w:after="120"/>
        <w:jc w:val="both"/>
        <w:rPr>
          <w:rFonts w:cs="Calibri Light"/>
        </w:rPr>
      </w:pPr>
      <w:r w:rsidRPr="00292F87">
        <w:rPr>
          <w:rFonts w:cs="Calibri Light"/>
        </w:rPr>
        <w:t xml:space="preserve">Atbilstoši Mērķa scenārija pieņēmumiem līdz 2040. gadam, pamazām mainīsies tautsaimniecības nozaru struktūra salīdzinājumā ar pašreizējo situāciju par labu nozarēm ar augstāku pievienoto vērtību. </w:t>
      </w:r>
      <w:proofErr w:type="spellStart"/>
      <w:r w:rsidRPr="00292F87">
        <w:rPr>
          <w:rFonts w:cs="Calibri Light"/>
        </w:rPr>
        <w:t>Pamatnozaru</w:t>
      </w:r>
      <w:proofErr w:type="spellEnd"/>
      <w:r w:rsidRPr="00292F87">
        <w:rPr>
          <w:rFonts w:cs="Calibri Light"/>
        </w:rPr>
        <w:t xml:space="preserve"> griezumā komercpakalpojumu nozaru īpatsvars līdz 2040. gadam varētu palielināties. Pieaugs arī IT</w:t>
      </w:r>
      <w:r>
        <w:rPr>
          <w:rFonts w:cs="Calibri Light"/>
        </w:rPr>
        <w:t>,</w:t>
      </w:r>
      <w:r w:rsidRPr="00292F87">
        <w:rPr>
          <w:rFonts w:cs="Calibri Light"/>
        </w:rPr>
        <w:t xml:space="preserve"> rūpniecības</w:t>
      </w:r>
      <w:r>
        <w:rPr>
          <w:rFonts w:cs="Calibri Light"/>
        </w:rPr>
        <w:t xml:space="preserve"> un būvniecības</w:t>
      </w:r>
      <w:r w:rsidRPr="00292F87">
        <w:rPr>
          <w:rFonts w:cs="Calibri Light"/>
        </w:rPr>
        <w:t xml:space="preserve"> nozaru īpatsvars tautsaimniecībā. Savukārt lauksaimniecības, transporta, finanšu pakalpojumu un sabiedrisko pakalpojumu nozaru īpatsvars varētu nedaudz samazināties.</w:t>
      </w:r>
    </w:p>
    <w:p w14:paraId="4BF20D39" w14:textId="77777777" w:rsidR="005372F2" w:rsidRPr="004F54BF" w:rsidRDefault="005372F2" w:rsidP="006B2054">
      <w:pPr>
        <w:spacing w:after="120"/>
        <w:jc w:val="both"/>
        <w:rPr>
          <w:rFonts w:cs="Calibri Light"/>
        </w:rPr>
      </w:pPr>
      <w:r w:rsidRPr="004F54BF">
        <w:rPr>
          <w:rFonts w:cs="Calibri Light"/>
        </w:rPr>
        <w:t>Lauksaimniecības nozarē vidējā un ilgtermiņā lielāka loma būs lielajiem uzņēmumiem, kuru izaugsmi pamatā noteiks produktivitātes pieaugums.</w:t>
      </w:r>
    </w:p>
    <w:p w14:paraId="7D044B63" w14:textId="77777777" w:rsidR="006B2054" w:rsidRPr="004A6392" w:rsidRDefault="006B2054" w:rsidP="006B2054">
      <w:pPr>
        <w:spacing w:after="120"/>
        <w:jc w:val="both"/>
        <w:rPr>
          <w:rFonts w:cs="Calibri Light"/>
          <w:highlight w:val="cyan"/>
        </w:rPr>
      </w:pPr>
      <w:r w:rsidRPr="00335C4B">
        <w:rPr>
          <w:rFonts w:cs="Calibri Light"/>
        </w:rPr>
        <w:lastRenderedPageBreak/>
        <w:t xml:space="preserve">Mērķa scenārijā vidējā un ilgtermiņā apstrādes rūpniecībai saglabājas straujāki pieauguma tempi nekā vidēji tautsaimniecībā. Vienlaikus izaugsme ne tik daudz būs saistīta ar ekstensīvu materiālietilpīgu ražošanas apjomu kāpināšanu, cik jaunāko tehnoloģisko procesu izmantošanu, </w:t>
      </w:r>
      <w:proofErr w:type="spellStart"/>
      <w:r w:rsidRPr="00335C4B">
        <w:rPr>
          <w:rFonts w:cs="Calibri Light"/>
        </w:rPr>
        <w:t>digitalizāciju</w:t>
      </w:r>
      <w:proofErr w:type="spellEnd"/>
      <w:r w:rsidRPr="00335C4B">
        <w:rPr>
          <w:rFonts w:cs="Calibri Light"/>
        </w:rPr>
        <w:t xml:space="preserve">, procesu optimizēšanu utt. Straujāka attīstība iepriekšminēto faktoru dēļ ir sagaidāma augsto un vidēji augsto tehnoloģiju nozarēs, piemēram, </w:t>
      </w:r>
      <w:r w:rsidRPr="002F5717">
        <w:rPr>
          <w:rFonts w:cs="Calibri Light"/>
        </w:rPr>
        <w:t>transportlīdzekļu ražošanā, kā arī datoru, elektronisko un elektrisko iekārtu ražošanā. Salīdzinoši strauji izaugsmes tempi tiek prognozēti arī lielākajā apstrādes rūpniecības nozarē – kokapstrādē. Vairāk uz iekšējo tirgu orientēto nozaru (piemēram, pārtikas rūpniecība) attīstību galvenokārt ietekmēs iekšzemes pieprasījuma dinamika. Nemetālisko minerālu ražošanas nozare būs cieši saistīta ar būvniecības tendencēm.</w:t>
      </w:r>
    </w:p>
    <w:p w14:paraId="65D268DC" w14:textId="77777777" w:rsidR="00AE74F0" w:rsidRPr="005372F2" w:rsidRDefault="00AE74F0" w:rsidP="006B2054">
      <w:pPr>
        <w:spacing w:after="120"/>
        <w:jc w:val="right"/>
        <w:rPr>
          <w:rFonts w:cs="Calibri Light"/>
          <w:szCs w:val="24"/>
        </w:rPr>
      </w:pPr>
      <w:r w:rsidRPr="005372F2">
        <w:rPr>
          <w:rFonts w:eastAsia="SimSun" w:cs="Calibri Light"/>
          <w:szCs w:val="20"/>
          <w:lang w:eastAsia="zh-CN" w:bidi="lo-LA"/>
        </w:rPr>
        <w:t>3.2.tabula</w:t>
      </w:r>
    </w:p>
    <w:p w14:paraId="540D9C9B" w14:textId="77777777" w:rsidR="00AE74F0" w:rsidRPr="00F44E1C" w:rsidRDefault="00AE74F0" w:rsidP="00AE74F0">
      <w:pPr>
        <w:spacing w:after="0"/>
        <w:jc w:val="center"/>
        <w:rPr>
          <w:rFonts w:ascii="Segoe UI Light" w:hAnsi="Segoe UI Light" w:cs="Segoe UI Light"/>
          <w:b/>
          <w:sz w:val="18"/>
          <w:szCs w:val="18"/>
        </w:rPr>
      </w:pPr>
      <w:r w:rsidRPr="00F44E1C">
        <w:rPr>
          <w:rFonts w:ascii="Segoe UI Light" w:hAnsi="Segoe UI Light" w:cs="Segoe UI Light"/>
          <w:b/>
          <w:sz w:val="18"/>
          <w:szCs w:val="18"/>
        </w:rPr>
        <w:t>Nozaru attīstības tendences</w:t>
      </w:r>
    </w:p>
    <w:p w14:paraId="293DDA99" w14:textId="3E9EF6C4" w:rsidR="00AE74F0" w:rsidRPr="00F44E1C" w:rsidRDefault="00AE74F0" w:rsidP="00927285">
      <w:pPr>
        <w:spacing w:after="120"/>
        <w:jc w:val="center"/>
        <w:rPr>
          <w:rFonts w:ascii="Segoe UI Light" w:hAnsi="Segoe UI Light" w:cs="Segoe UI Light"/>
          <w:i/>
          <w:sz w:val="16"/>
          <w:szCs w:val="20"/>
        </w:rPr>
      </w:pPr>
      <w:r w:rsidRPr="00F44E1C">
        <w:rPr>
          <w:rFonts w:ascii="Segoe UI Light" w:hAnsi="Segoe UI Light" w:cs="Segoe UI Light"/>
          <w:i/>
          <w:sz w:val="16"/>
          <w:szCs w:val="20"/>
        </w:rPr>
        <w:t>izmaiņas procentos</w:t>
      </w:r>
      <w:r w:rsidR="00F44E1C" w:rsidRPr="00F44E1C">
        <w:rPr>
          <w:rFonts w:ascii="Segoe UI Light" w:hAnsi="Segoe UI Light" w:cs="Segoe UI Light"/>
          <w:i/>
          <w:sz w:val="16"/>
          <w:szCs w:val="20"/>
        </w:rPr>
        <w:t>, vidēji gadā</w:t>
      </w:r>
    </w:p>
    <w:tbl>
      <w:tblPr>
        <w:tblStyle w:val="GridTable1Light-Accent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4329"/>
        <w:gridCol w:w="1011"/>
        <w:gridCol w:w="1012"/>
        <w:gridCol w:w="1011"/>
        <w:gridCol w:w="1007"/>
      </w:tblGrid>
      <w:tr w:rsidR="00811083" w:rsidRPr="00F44E1C" w14:paraId="406FF79A" w14:textId="77777777" w:rsidTr="001179C2">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6" w:type="pct"/>
            <w:tcBorders>
              <w:bottom w:val="none" w:sz="0" w:space="0" w:color="auto"/>
            </w:tcBorders>
            <w:shd w:val="clear" w:color="auto" w:fill="5F497A"/>
            <w:vAlign w:val="center"/>
          </w:tcPr>
          <w:p w14:paraId="779E7C1C" w14:textId="77777777" w:rsidR="00AE74F0" w:rsidRPr="00F44E1C" w:rsidRDefault="00AE74F0" w:rsidP="005372F2">
            <w:pPr>
              <w:spacing w:before="40" w:after="40"/>
              <w:jc w:val="center"/>
              <w:rPr>
                <w:rFonts w:ascii="Segoe UI Light" w:eastAsia="Times New Roman" w:hAnsi="Segoe UI Light" w:cs="Segoe UI Light"/>
                <w:b w:val="0"/>
                <w:color w:val="FFFFFF" w:themeColor="background1"/>
                <w:sz w:val="16"/>
                <w:szCs w:val="16"/>
                <w:lang w:eastAsia="lv-LV"/>
              </w:rPr>
            </w:pPr>
          </w:p>
        </w:tc>
        <w:tc>
          <w:tcPr>
            <w:tcW w:w="2386" w:type="pct"/>
            <w:tcBorders>
              <w:bottom w:val="none" w:sz="0" w:space="0" w:color="auto"/>
            </w:tcBorders>
            <w:shd w:val="clear" w:color="auto" w:fill="5F497A"/>
            <w:vAlign w:val="center"/>
          </w:tcPr>
          <w:p w14:paraId="160C43EC" w14:textId="77777777" w:rsidR="00AE74F0" w:rsidRPr="00F44E1C" w:rsidRDefault="00AE74F0" w:rsidP="005372F2">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color w:val="FFFFFF" w:themeColor="background1"/>
                <w:sz w:val="16"/>
                <w:szCs w:val="16"/>
                <w:lang w:eastAsia="lv-LV"/>
              </w:rPr>
            </w:pPr>
          </w:p>
        </w:tc>
        <w:tc>
          <w:tcPr>
            <w:tcW w:w="557" w:type="pct"/>
            <w:tcBorders>
              <w:bottom w:val="none" w:sz="0" w:space="0" w:color="auto"/>
            </w:tcBorders>
            <w:shd w:val="clear" w:color="auto" w:fill="5F497A"/>
            <w:noWrap/>
            <w:vAlign w:val="center"/>
            <w:hideMark/>
          </w:tcPr>
          <w:p w14:paraId="797BE207" w14:textId="434859A5" w:rsidR="00AE74F0" w:rsidRPr="00F44E1C" w:rsidRDefault="00AE74F0" w:rsidP="005372F2">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color w:val="FFFFFF" w:themeColor="background1"/>
                <w:sz w:val="16"/>
                <w:szCs w:val="16"/>
                <w:lang w:eastAsia="lv-LV"/>
              </w:rPr>
            </w:pPr>
            <w:r w:rsidRPr="00F44E1C">
              <w:rPr>
                <w:rFonts w:ascii="Segoe UI Light" w:eastAsia="Times New Roman" w:hAnsi="Segoe UI Light" w:cs="Segoe UI Light"/>
                <w:color w:val="FFFFFF" w:themeColor="background1"/>
                <w:sz w:val="16"/>
                <w:szCs w:val="16"/>
                <w:lang w:eastAsia="lv-LV"/>
              </w:rPr>
              <w:t>2011-2019</w:t>
            </w:r>
          </w:p>
        </w:tc>
        <w:tc>
          <w:tcPr>
            <w:tcW w:w="558" w:type="pct"/>
            <w:tcBorders>
              <w:bottom w:val="none" w:sz="0" w:space="0" w:color="auto"/>
            </w:tcBorders>
            <w:shd w:val="clear" w:color="auto" w:fill="5F497A"/>
            <w:noWrap/>
            <w:vAlign w:val="center"/>
            <w:hideMark/>
          </w:tcPr>
          <w:p w14:paraId="77366CA7" w14:textId="47EA5C92" w:rsidR="00AE74F0" w:rsidRPr="00F44E1C" w:rsidRDefault="00AE74F0" w:rsidP="005372F2">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color w:val="FFFFFF" w:themeColor="background1"/>
                <w:sz w:val="16"/>
                <w:szCs w:val="16"/>
                <w:lang w:eastAsia="lv-LV"/>
              </w:rPr>
            </w:pPr>
            <w:r w:rsidRPr="00F44E1C">
              <w:rPr>
                <w:rFonts w:ascii="Segoe UI Light" w:eastAsia="Times New Roman" w:hAnsi="Segoe UI Light" w:cs="Segoe UI Light"/>
                <w:color w:val="FFFFFF" w:themeColor="background1"/>
                <w:sz w:val="16"/>
                <w:szCs w:val="16"/>
                <w:lang w:eastAsia="lv-LV"/>
              </w:rPr>
              <w:t>2020-2021</w:t>
            </w:r>
          </w:p>
        </w:tc>
        <w:tc>
          <w:tcPr>
            <w:tcW w:w="557" w:type="pct"/>
            <w:tcBorders>
              <w:bottom w:val="none" w:sz="0" w:space="0" w:color="auto"/>
            </w:tcBorders>
            <w:shd w:val="clear" w:color="auto" w:fill="5F497A"/>
            <w:noWrap/>
            <w:vAlign w:val="center"/>
            <w:hideMark/>
          </w:tcPr>
          <w:p w14:paraId="783F57FF" w14:textId="03087200" w:rsidR="00AE74F0" w:rsidRPr="00F44E1C" w:rsidRDefault="00AE74F0" w:rsidP="005372F2">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color w:val="FFFFFF" w:themeColor="background1"/>
                <w:sz w:val="16"/>
                <w:szCs w:val="16"/>
                <w:lang w:eastAsia="lv-LV"/>
              </w:rPr>
            </w:pPr>
            <w:r w:rsidRPr="00F44E1C">
              <w:rPr>
                <w:rFonts w:ascii="Segoe UI Light" w:eastAsia="Times New Roman" w:hAnsi="Segoe UI Light" w:cs="Segoe UI Light"/>
                <w:color w:val="FFFFFF" w:themeColor="background1"/>
                <w:sz w:val="16"/>
                <w:szCs w:val="16"/>
                <w:lang w:eastAsia="lv-LV"/>
              </w:rPr>
              <w:t>2022-2030</w:t>
            </w:r>
          </w:p>
        </w:tc>
        <w:tc>
          <w:tcPr>
            <w:tcW w:w="555" w:type="pct"/>
            <w:tcBorders>
              <w:bottom w:val="none" w:sz="0" w:space="0" w:color="auto"/>
            </w:tcBorders>
            <w:shd w:val="clear" w:color="auto" w:fill="5F497A"/>
            <w:noWrap/>
            <w:vAlign w:val="center"/>
            <w:hideMark/>
          </w:tcPr>
          <w:p w14:paraId="28D9A3DC" w14:textId="0151417B" w:rsidR="00AE74F0" w:rsidRPr="00F44E1C" w:rsidRDefault="00AE74F0" w:rsidP="005372F2">
            <w:pPr>
              <w:spacing w:before="40" w:after="40"/>
              <w:jc w:val="center"/>
              <w:cnfStyle w:val="100000000000" w:firstRow="1" w:lastRow="0" w:firstColumn="0" w:lastColumn="0" w:oddVBand="0" w:evenVBand="0" w:oddHBand="0" w:evenHBand="0" w:firstRowFirstColumn="0" w:firstRowLastColumn="0" w:lastRowFirstColumn="0" w:lastRowLastColumn="0"/>
              <w:rPr>
                <w:rFonts w:ascii="Segoe UI Light" w:eastAsia="Times New Roman" w:hAnsi="Segoe UI Light" w:cs="Segoe UI Light"/>
                <w:b w:val="0"/>
                <w:color w:val="FFFFFF" w:themeColor="background1"/>
                <w:sz w:val="16"/>
                <w:szCs w:val="16"/>
                <w:lang w:eastAsia="lv-LV"/>
              </w:rPr>
            </w:pPr>
            <w:r w:rsidRPr="00F44E1C">
              <w:rPr>
                <w:rFonts w:ascii="Segoe UI Light" w:eastAsia="Times New Roman" w:hAnsi="Segoe UI Light" w:cs="Segoe UI Light"/>
                <w:color w:val="FFFFFF" w:themeColor="background1"/>
                <w:sz w:val="16"/>
                <w:szCs w:val="16"/>
                <w:lang w:eastAsia="lv-LV"/>
              </w:rPr>
              <w:t>2031-2040</w:t>
            </w:r>
          </w:p>
        </w:tc>
      </w:tr>
      <w:tr w:rsidR="00811083" w:rsidRPr="00F44E1C" w14:paraId="2D4F6303" w14:textId="77777777" w:rsidTr="001179C2">
        <w:trPr>
          <w:trHeight w:val="270"/>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227AB021" w14:textId="77777777" w:rsidR="00811083" w:rsidRPr="00F44E1C" w:rsidRDefault="00811083" w:rsidP="005372F2">
            <w:pPr>
              <w:spacing w:before="40" w:after="40"/>
              <w:jc w:val="center"/>
              <w:rPr>
                <w:rFonts w:ascii="Segoe UI Light" w:eastAsia="Times New Roman" w:hAnsi="Segoe UI Light" w:cs="Segoe UI Light"/>
                <w:b w:val="0"/>
                <w:color w:val="000000"/>
                <w:sz w:val="16"/>
                <w:szCs w:val="16"/>
                <w:lang w:eastAsia="lv-LV"/>
              </w:rPr>
            </w:pPr>
          </w:p>
        </w:tc>
        <w:tc>
          <w:tcPr>
            <w:tcW w:w="2386" w:type="pct"/>
            <w:shd w:val="clear" w:color="auto" w:fill="E5DFEC"/>
          </w:tcPr>
          <w:p w14:paraId="57C3AC04" w14:textId="77777777" w:rsidR="00811083" w:rsidRPr="00F44E1C" w:rsidRDefault="00811083" w:rsidP="005372F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eastAsia="lv-LV"/>
              </w:rPr>
            </w:pPr>
          </w:p>
        </w:tc>
        <w:tc>
          <w:tcPr>
            <w:tcW w:w="1115" w:type="pct"/>
            <w:gridSpan w:val="2"/>
            <w:shd w:val="clear" w:color="auto" w:fill="E5DFEC"/>
            <w:noWrap/>
          </w:tcPr>
          <w:p w14:paraId="23514366" w14:textId="63DC3146" w:rsidR="00811083" w:rsidRPr="00F44E1C" w:rsidRDefault="00811083"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Fakts</w:t>
            </w:r>
          </w:p>
        </w:tc>
        <w:tc>
          <w:tcPr>
            <w:tcW w:w="1112" w:type="pct"/>
            <w:gridSpan w:val="2"/>
            <w:shd w:val="clear" w:color="auto" w:fill="E5DFEC"/>
            <w:noWrap/>
          </w:tcPr>
          <w:p w14:paraId="55A16FEB" w14:textId="0648317D" w:rsidR="00811083" w:rsidRPr="00F44E1C" w:rsidRDefault="00811083"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Prognoze</w:t>
            </w:r>
          </w:p>
        </w:tc>
      </w:tr>
      <w:tr w:rsidR="005372F2" w:rsidRPr="00F44E1C" w14:paraId="21654111"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59963F5B" w14:textId="77777777" w:rsidR="005372F2" w:rsidRPr="00F44E1C" w:rsidRDefault="005372F2" w:rsidP="005372F2">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A</w:t>
            </w:r>
          </w:p>
        </w:tc>
        <w:tc>
          <w:tcPr>
            <w:tcW w:w="2386" w:type="pct"/>
            <w:shd w:val="clear" w:color="auto" w:fill="CCC0D9"/>
          </w:tcPr>
          <w:p w14:paraId="74097B05" w14:textId="77777777" w:rsidR="005372F2" w:rsidRPr="00F44E1C" w:rsidRDefault="005372F2" w:rsidP="005372F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Lauksaimniecība, mežsaimniecība, zvejniecība</w:t>
            </w:r>
          </w:p>
        </w:tc>
        <w:tc>
          <w:tcPr>
            <w:tcW w:w="557" w:type="pct"/>
            <w:shd w:val="clear" w:color="auto" w:fill="CCC0D9"/>
            <w:noWrap/>
            <w:vAlign w:val="bottom"/>
            <w:hideMark/>
          </w:tcPr>
          <w:p w14:paraId="2AC15D6A" w14:textId="36D29BFD"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4</w:t>
            </w:r>
          </w:p>
        </w:tc>
        <w:tc>
          <w:tcPr>
            <w:tcW w:w="558" w:type="pct"/>
            <w:shd w:val="clear" w:color="auto" w:fill="CCC0D9"/>
            <w:noWrap/>
            <w:vAlign w:val="bottom"/>
            <w:hideMark/>
          </w:tcPr>
          <w:p w14:paraId="572962E1" w14:textId="32B8DD07"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-0</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4</w:t>
            </w:r>
          </w:p>
        </w:tc>
        <w:tc>
          <w:tcPr>
            <w:tcW w:w="557" w:type="pct"/>
            <w:shd w:val="clear" w:color="auto" w:fill="CCC0D9"/>
            <w:noWrap/>
            <w:vAlign w:val="bottom"/>
            <w:hideMark/>
          </w:tcPr>
          <w:p w14:paraId="69C3347E" w14:textId="2CC9403F"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4</w:t>
            </w:r>
          </w:p>
        </w:tc>
        <w:tc>
          <w:tcPr>
            <w:tcW w:w="555" w:type="pct"/>
            <w:shd w:val="clear" w:color="auto" w:fill="CCC0D9"/>
            <w:noWrap/>
            <w:vAlign w:val="bottom"/>
            <w:hideMark/>
          </w:tcPr>
          <w:p w14:paraId="00C1AF0D" w14:textId="3CB7F351"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5</w:t>
            </w:r>
          </w:p>
        </w:tc>
      </w:tr>
      <w:tr w:rsidR="005372F2" w:rsidRPr="00F44E1C" w14:paraId="361C84BB"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447DFD9F" w14:textId="77777777" w:rsidR="005372F2" w:rsidRPr="00F44E1C" w:rsidRDefault="005372F2" w:rsidP="005372F2">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BDE</w:t>
            </w:r>
          </w:p>
        </w:tc>
        <w:tc>
          <w:tcPr>
            <w:tcW w:w="2386" w:type="pct"/>
            <w:shd w:val="clear" w:color="auto" w:fill="E5DFEC"/>
          </w:tcPr>
          <w:p w14:paraId="307796F0" w14:textId="77777777" w:rsidR="005372F2" w:rsidRPr="00F44E1C" w:rsidRDefault="005372F2" w:rsidP="005372F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Pārējā rūpniecība</w:t>
            </w:r>
          </w:p>
        </w:tc>
        <w:tc>
          <w:tcPr>
            <w:tcW w:w="557" w:type="pct"/>
            <w:shd w:val="clear" w:color="auto" w:fill="E5DFEC"/>
            <w:noWrap/>
            <w:vAlign w:val="bottom"/>
            <w:hideMark/>
          </w:tcPr>
          <w:p w14:paraId="76E652FF" w14:textId="6E6B8EF2"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1</w:t>
            </w:r>
          </w:p>
        </w:tc>
        <w:tc>
          <w:tcPr>
            <w:tcW w:w="558" w:type="pct"/>
            <w:shd w:val="clear" w:color="auto" w:fill="E5DFEC"/>
            <w:noWrap/>
            <w:vAlign w:val="bottom"/>
            <w:hideMark/>
          </w:tcPr>
          <w:p w14:paraId="7D0AEA5B" w14:textId="54E22A7A"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6</w:t>
            </w:r>
          </w:p>
        </w:tc>
        <w:tc>
          <w:tcPr>
            <w:tcW w:w="557" w:type="pct"/>
            <w:shd w:val="clear" w:color="auto" w:fill="E5DFEC"/>
            <w:noWrap/>
            <w:vAlign w:val="bottom"/>
            <w:hideMark/>
          </w:tcPr>
          <w:p w14:paraId="26CDB0A7" w14:textId="0A7BD9A1"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2</w:t>
            </w:r>
          </w:p>
        </w:tc>
        <w:tc>
          <w:tcPr>
            <w:tcW w:w="555" w:type="pct"/>
            <w:shd w:val="clear" w:color="auto" w:fill="E5DFEC"/>
            <w:noWrap/>
            <w:vAlign w:val="bottom"/>
            <w:hideMark/>
          </w:tcPr>
          <w:p w14:paraId="3BFEB96E" w14:textId="7FDB42F6"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0</w:t>
            </w:r>
          </w:p>
        </w:tc>
      </w:tr>
      <w:tr w:rsidR="005372F2" w:rsidRPr="00F44E1C" w14:paraId="14A71C74"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7F1CD69E" w14:textId="77777777" w:rsidR="005372F2" w:rsidRPr="00F44E1C" w:rsidRDefault="005372F2" w:rsidP="005372F2">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B</w:t>
            </w:r>
          </w:p>
        </w:tc>
        <w:tc>
          <w:tcPr>
            <w:tcW w:w="2386" w:type="pct"/>
            <w:shd w:val="clear" w:color="auto" w:fill="CCC0D9"/>
          </w:tcPr>
          <w:p w14:paraId="10625FB1" w14:textId="77777777" w:rsidR="005372F2" w:rsidRPr="00F44E1C" w:rsidRDefault="005372F2" w:rsidP="005372F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Ieguves rūpniecība</w:t>
            </w:r>
          </w:p>
        </w:tc>
        <w:tc>
          <w:tcPr>
            <w:tcW w:w="557" w:type="pct"/>
            <w:shd w:val="clear" w:color="auto" w:fill="CCC0D9"/>
            <w:noWrap/>
            <w:vAlign w:val="bottom"/>
            <w:hideMark/>
          </w:tcPr>
          <w:p w14:paraId="28FDB92F" w14:textId="61AD07DB"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1</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3</w:t>
            </w:r>
          </w:p>
        </w:tc>
        <w:tc>
          <w:tcPr>
            <w:tcW w:w="558" w:type="pct"/>
            <w:shd w:val="clear" w:color="auto" w:fill="CCC0D9"/>
            <w:noWrap/>
            <w:vAlign w:val="bottom"/>
            <w:hideMark/>
          </w:tcPr>
          <w:p w14:paraId="28B5F62D" w14:textId="69C75C7A"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-5</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7</w:t>
            </w:r>
          </w:p>
        </w:tc>
        <w:tc>
          <w:tcPr>
            <w:tcW w:w="557" w:type="pct"/>
            <w:shd w:val="clear" w:color="auto" w:fill="CCC0D9"/>
            <w:noWrap/>
            <w:vAlign w:val="bottom"/>
            <w:hideMark/>
          </w:tcPr>
          <w:p w14:paraId="67B1D55E" w14:textId="7579E5B6"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1</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8</w:t>
            </w:r>
          </w:p>
        </w:tc>
        <w:tc>
          <w:tcPr>
            <w:tcW w:w="555" w:type="pct"/>
            <w:shd w:val="clear" w:color="auto" w:fill="CCC0D9"/>
            <w:noWrap/>
            <w:vAlign w:val="bottom"/>
            <w:hideMark/>
          </w:tcPr>
          <w:p w14:paraId="2C5359C1" w14:textId="04D6A54D"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1</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4</w:t>
            </w:r>
          </w:p>
        </w:tc>
      </w:tr>
      <w:tr w:rsidR="005372F2" w:rsidRPr="00F44E1C" w14:paraId="0835F1A1"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69FB51B9" w14:textId="77777777" w:rsidR="005372F2" w:rsidRPr="00F44E1C" w:rsidRDefault="005372F2" w:rsidP="005372F2">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D</w:t>
            </w:r>
          </w:p>
        </w:tc>
        <w:tc>
          <w:tcPr>
            <w:tcW w:w="2386" w:type="pct"/>
            <w:shd w:val="clear" w:color="auto" w:fill="E5DFEC"/>
          </w:tcPr>
          <w:p w14:paraId="697B2043" w14:textId="77777777" w:rsidR="005372F2" w:rsidRPr="00F44E1C" w:rsidRDefault="005372F2" w:rsidP="005372F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Elektroenerģija, gāze, siltumapgāde</w:t>
            </w:r>
          </w:p>
        </w:tc>
        <w:tc>
          <w:tcPr>
            <w:tcW w:w="557" w:type="pct"/>
            <w:shd w:val="clear" w:color="auto" w:fill="E5DFEC"/>
            <w:noWrap/>
            <w:vAlign w:val="bottom"/>
            <w:hideMark/>
          </w:tcPr>
          <w:p w14:paraId="3391A66C" w14:textId="6C135AC8"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-7</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2</w:t>
            </w:r>
          </w:p>
        </w:tc>
        <w:tc>
          <w:tcPr>
            <w:tcW w:w="558" w:type="pct"/>
            <w:shd w:val="clear" w:color="auto" w:fill="E5DFEC"/>
            <w:noWrap/>
            <w:vAlign w:val="bottom"/>
            <w:hideMark/>
          </w:tcPr>
          <w:p w14:paraId="75AA4F47" w14:textId="2409F96F"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11</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1</w:t>
            </w:r>
          </w:p>
        </w:tc>
        <w:tc>
          <w:tcPr>
            <w:tcW w:w="557" w:type="pct"/>
            <w:shd w:val="clear" w:color="auto" w:fill="E5DFEC"/>
            <w:noWrap/>
            <w:vAlign w:val="bottom"/>
            <w:hideMark/>
          </w:tcPr>
          <w:p w14:paraId="21B05307" w14:textId="41E0EC34"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7</w:t>
            </w:r>
          </w:p>
        </w:tc>
        <w:tc>
          <w:tcPr>
            <w:tcW w:w="555" w:type="pct"/>
            <w:shd w:val="clear" w:color="auto" w:fill="E5DFEC"/>
            <w:noWrap/>
            <w:vAlign w:val="bottom"/>
            <w:hideMark/>
          </w:tcPr>
          <w:p w14:paraId="046DED51" w14:textId="5AB3BBB0"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7</w:t>
            </w:r>
          </w:p>
        </w:tc>
      </w:tr>
      <w:tr w:rsidR="005372F2" w:rsidRPr="00F44E1C" w14:paraId="090513EA"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18835F9E" w14:textId="77777777" w:rsidR="005372F2" w:rsidRPr="00F44E1C" w:rsidRDefault="005372F2" w:rsidP="005372F2">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E</w:t>
            </w:r>
          </w:p>
        </w:tc>
        <w:tc>
          <w:tcPr>
            <w:tcW w:w="2386" w:type="pct"/>
            <w:shd w:val="clear" w:color="auto" w:fill="CCC0D9"/>
          </w:tcPr>
          <w:p w14:paraId="02F7F7BC" w14:textId="77777777" w:rsidR="005372F2" w:rsidRPr="00F44E1C" w:rsidRDefault="005372F2" w:rsidP="005372F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Ūdens apgāde, notekūdeņu, atkritumu apsaimniekošana</w:t>
            </w:r>
          </w:p>
        </w:tc>
        <w:tc>
          <w:tcPr>
            <w:tcW w:w="557" w:type="pct"/>
            <w:shd w:val="clear" w:color="auto" w:fill="CCC0D9"/>
            <w:noWrap/>
            <w:vAlign w:val="bottom"/>
            <w:hideMark/>
          </w:tcPr>
          <w:p w14:paraId="7DE797C6" w14:textId="37D3AE8D"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0</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8</w:t>
            </w:r>
          </w:p>
        </w:tc>
        <w:tc>
          <w:tcPr>
            <w:tcW w:w="558" w:type="pct"/>
            <w:shd w:val="clear" w:color="auto" w:fill="CCC0D9"/>
            <w:noWrap/>
            <w:vAlign w:val="bottom"/>
            <w:hideMark/>
          </w:tcPr>
          <w:p w14:paraId="38B674C7" w14:textId="711C3B6E"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4</w:t>
            </w:r>
          </w:p>
        </w:tc>
        <w:tc>
          <w:tcPr>
            <w:tcW w:w="557" w:type="pct"/>
            <w:shd w:val="clear" w:color="auto" w:fill="CCC0D9"/>
            <w:noWrap/>
            <w:vAlign w:val="bottom"/>
            <w:hideMark/>
          </w:tcPr>
          <w:p w14:paraId="4AAACBC9" w14:textId="7DDC9F2E"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8</w:t>
            </w:r>
          </w:p>
        </w:tc>
        <w:tc>
          <w:tcPr>
            <w:tcW w:w="555" w:type="pct"/>
            <w:shd w:val="clear" w:color="auto" w:fill="CCC0D9"/>
            <w:noWrap/>
            <w:vAlign w:val="bottom"/>
            <w:hideMark/>
          </w:tcPr>
          <w:p w14:paraId="1558C187" w14:textId="3659D64F"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0</w:t>
            </w:r>
          </w:p>
        </w:tc>
      </w:tr>
      <w:tr w:rsidR="005372F2" w:rsidRPr="00F44E1C" w14:paraId="0C43D1B5"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22D9B081" w14:textId="77777777" w:rsidR="005372F2" w:rsidRPr="00F44E1C" w:rsidRDefault="005372F2" w:rsidP="005372F2">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C</w:t>
            </w:r>
          </w:p>
        </w:tc>
        <w:tc>
          <w:tcPr>
            <w:tcW w:w="2386" w:type="pct"/>
            <w:shd w:val="clear" w:color="auto" w:fill="E5DFEC"/>
          </w:tcPr>
          <w:p w14:paraId="14551D0F" w14:textId="77777777" w:rsidR="005372F2" w:rsidRPr="00F44E1C" w:rsidRDefault="005372F2" w:rsidP="005372F2">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Apstrādes rūpniecība</w:t>
            </w:r>
          </w:p>
        </w:tc>
        <w:tc>
          <w:tcPr>
            <w:tcW w:w="557" w:type="pct"/>
            <w:shd w:val="clear" w:color="auto" w:fill="E5DFEC"/>
            <w:noWrap/>
            <w:vAlign w:val="bottom"/>
            <w:hideMark/>
          </w:tcPr>
          <w:p w14:paraId="204873E9" w14:textId="469B177C"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2</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9</w:t>
            </w:r>
          </w:p>
        </w:tc>
        <w:tc>
          <w:tcPr>
            <w:tcW w:w="558" w:type="pct"/>
            <w:shd w:val="clear" w:color="auto" w:fill="E5DFEC"/>
            <w:noWrap/>
            <w:vAlign w:val="bottom"/>
            <w:hideMark/>
          </w:tcPr>
          <w:p w14:paraId="1693729C" w14:textId="3AE421A9"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1</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8</w:t>
            </w:r>
          </w:p>
        </w:tc>
        <w:tc>
          <w:tcPr>
            <w:tcW w:w="557" w:type="pct"/>
            <w:shd w:val="clear" w:color="auto" w:fill="E5DFEC"/>
            <w:noWrap/>
            <w:vAlign w:val="bottom"/>
            <w:hideMark/>
          </w:tcPr>
          <w:p w14:paraId="31A090A8" w14:textId="6A1D3CFA"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5</w:t>
            </w:r>
          </w:p>
        </w:tc>
        <w:tc>
          <w:tcPr>
            <w:tcW w:w="555" w:type="pct"/>
            <w:shd w:val="clear" w:color="auto" w:fill="E5DFEC"/>
            <w:noWrap/>
            <w:vAlign w:val="bottom"/>
            <w:hideMark/>
          </w:tcPr>
          <w:p w14:paraId="77DA4988" w14:textId="21B50CBA" w:rsidR="005372F2" w:rsidRPr="00F44E1C" w:rsidRDefault="005372F2" w:rsidP="005372F2">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2</w:t>
            </w:r>
          </w:p>
        </w:tc>
      </w:tr>
      <w:tr w:rsidR="000A6F5F" w:rsidRPr="00F44E1C" w14:paraId="4B99A687"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20D0C46E"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c10-12</w:t>
            </w:r>
          </w:p>
        </w:tc>
        <w:tc>
          <w:tcPr>
            <w:tcW w:w="2386" w:type="pct"/>
            <w:shd w:val="clear" w:color="auto" w:fill="CCC0D9"/>
          </w:tcPr>
          <w:p w14:paraId="040C61DE"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Pārtika, dzērieni</w:t>
            </w:r>
          </w:p>
        </w:tc>
        <w:tc>
          <w:tcPr>
            <w:tcW w:w="557" w:type="pct"/>
            <w:shd w:val="clear" w:color="auto" w:fill="CCC0D9"/>
            <w:noWrap/>
            <w:vAlign w:val="bottom"/>
            <w:hideMark/>
          </w:tcPr>
          <w:p w14:paraId="6A133413" w14:textId="1840BBC0"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-0</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6</w:t>
            </w:r>
          </w:p>
        </w:tc>
        <w:tc>
          <w:tcPr>
            <w:tcW w:w="558" w:type="pct"/>
            <w:shd w:val="clear" w:color="auto" w:fill="CCC0D9"/>
            <w:noWrap/>
            <w:vAlign w:val="bottom"/>
            <w:hideMark/>
          </w:tcPr>
          <w:p w14:paraId="7DC1A01B" w14:textId="7F315A5F"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7</w:t>
            </w:r>
          </w:p>
        </w:tc>
        <w:tc>
          <w:tcPr>
            <w:tcW w:w="557" w:type="pct"/>
            <w:shd w:val="clear" w:color="auto" w:fill="CCC0D9"/>
            <w:noWrap/>
            <w:vAlign w:val="bottom"/>
            <w:hideMark/>
          </w:tcPr>
          <w:p w14:paraId="08281889" w14:textId="7112C0A4"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0</w:t>
            </w:r>
          </w:p>
        </w:tc>
        <w:tc>
          <w:tcPr>
            <w:tcW w:w="555" w:type="pct"/>
            <w:shd w:val="clear" w:color="auto" w:fill="CCC0D9"/>
            <w:noWrap/>
            <w:vAlign w:val="bottom"/>
            <w:hideMark/>
          </w:tcPr>
          <w:p w14:paraId="0541E277" w14:textId="682233BF"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7</w:t>
            </w:r>
          </w:p>
        </w:tc>
      </w:tr>
      <w:tr w:rsidR="000A6F5F" w:rsidRPr="00F44E1C" w14:paraId="425FD455"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609664D4"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c13-15</w:t>
            </w:r>
          </w:p>
        </w:tc>
        <w:tc>
          <w:tcPr>
            <w:tcW w:w="2386" w:type="pct"/>
            <w:shd w:val="clear" w:color="auto" w:fill="E5DFEC"/>
          </w:tcPr>
          <w:p w14:paraId="04A7066A"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Vieglā rūpniecība</w:t>
            </w:r>
          </w:p>
        </w:tc>
        <w:tc>
          <w:tcPr>
            <w:tcW w:w="557" w:type="pct"/>
            <w:shd w:val="clear" w:color="auto" w:fill="E5DFEC"/>
            <w:noWrap/>
            <w:vAlign w:val="bottom"/>
            <w:hideMark/>
          </w:tcPr>
          <w:p w14:paraId="16ADCB7B" w14:textId="3554CC6D"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-1</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0</w:t>
            </w:r>
          </w:p>
        </w:tc>
        <w:tc>
          <w:tcPr>
            <w:tcW w:w="558" w:type="pct"/>
            <w:shd w:val="clear" w:color="auto" w:fill="E5DFEC"/>
            <w:noWrap/>
            <w:vAlign w:val="bottom"/>
            <w:hideMark/>
          </w:tcPr>
          <w:p w14:paraId="2463DF4A" w14:textId="772438E5"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-0</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1</w:t>
            </w:r>
          </w:p>
        </w:tc>
        <w:tc>
          <w:tcPr>
            <w:tcW w:w="557" w:type="pct"/>
            <w:shd w:val="clear" w:color="auto" w:fill="E5DFEC"/>
            <w:noWrap/>
            <w:vAlign w:val="bottom"/>
            <w:hideMark/>
          </w:tcPr>
          <w:p w14:paraId="2679D6CD" w14:textId="113183FE"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4</w:t>
            </w:r>
          </w:p>
        </w:tc>
        <w:tc>
          <w:tcPr>
            <w:tcW w:w="555" w:type="pct"/>
            <w:shd w:val="clear" w:color="auto" w:fill="E5DFEC"/>
            <w:noWrap/>
            <w:vAlign w:val="bottom"/>
            <w:hideMark/>
          </w:tcPr>
          <w:p w14:paraId="2B3243CD" w14:textId="5070E5EE"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0</w:t>
            </w:r>
          </w:p>
        </w:tc>
      </w:tr>
      <w:tr w:rsidR="000A6F5F" w:rsidRPr="00F44E1C" w14:paraId="4DBC2E2A"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716197F1"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c16</w:t>
            </w:r>
          </w:p>
        </w:tc>
        <w:tc>
          <w:tcPr>
            <w:tcW w:w="2386" w:type="pct"/>
            <w:shd w:val="clear" w:color="auto" w:fill="CCC0D9"/>
          </w:tcPr>
          <w:p w14:paraId="480EFB4D"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Kokapstrāde</w:t>
            </w:r>
          </w:p>
        </w:tc>
        <w:tc>
          <w:tcPr>
            <w:tcW w:w="557" w:type="pct"/>
            <w:shd w:val="clear" w:color="auto" w:fill="CCC0D9"/>
            <w:noWrap/>
            <w:vAlign w:val="bottom"/>
            <w:hideMark/>
          </w:tcPr>
          <w:p w14:paraId="01CB9178" w14:textId="0C8676D4"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2</w:t>
            </w:r>
          </w:p>
        </w:tc>
        <w:tc>
          <w:tcPr>
            <w:tcW w:w="558" w:type="pct"/>
            <w:shd w:val="clear" w:color="auto" w:fill="CCC0D9"/>
            <w:noWrap/>
            <w:vAlign w:val="bottom"/>
            <w:hideMark/>
          </w:tcPr>
          <w:p w14:paraId="7998498F" w14:textId="39AB073B"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7</w:t>
            </w:r>
          </w:p>
        </w:tc>
        <w:tc>
          <w:tcPr>
            <w:tcW w:w="557" w:type="pct"/>
            <w:shd w:val="clear" w:color="auto" w:fill="CCC0D9"/>
            <w:noWrap/>
            <w:vAlign w:val="bottom"/>
            <w:hideMark/>
          </w:tcPr>
          <w:p w14:paraId="624AF028" w14:textId="6BD51C14"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5</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0</w:t>
            </w:r>
          </w:p>
        </w:tc>
        <w:tc>
          <w:tcPr>
            <w:tcW w:w="555" w:type="pct"/>
            <w:shd w:val="clear" w:color="auto" w:fill="CCC0D9"/>
            <w:noWrap/>
            <w:vAlign w:val="bottom"/>
            <w:hideMark/>
          </w:tcPr>
          <w:p w14:paraId="6FEC0D03" w14:textId="303B1535"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7</w:t>
            </w:r>
          </w:p>
        </w:tc>
      </w:tr>
      <w:tr w:rsidR="000A6F5F" w:rsidRPr="00F44E1C" w14:paraId="4912D7A3"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4743E7AF"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c17-19</w:t>
            </w:r>
          </w:p>
        </w:tc>
        <w:tc>
          <w:tcPr>
            <w:tcW w:w="2386" w:type="pct"/>
            <w:shd w:val="clear" w:color="auto" w:fill="E5DFEC"/>
          </w:tcPr>
          <w:p w14:paraId="131C0A08"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Papīra ražošana, poligrāfija</w:t>
            </w:r>
          </w:p>
        </w:tc>
        <w:tc>
          <w:tcPr>
            <w:tcW w:w="557" w:type="pct"/>
            <w:shd w:val="clear" w:color="auto" w:fill="E5DFEC"/>
            <w:noWrap/>
            <w:vAlign w:val="bottom"/>
            <w:hideMark/>
          </w:tcPr>
          <w:p w14:paraId="35B98623" w14:textId="304E3EC3"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7</w:t>
            </w:r>
          </w:p>
        </w:tc>
        <w:tc>
          <w:tcPr>
            <w:tcW w:w="558" w:type="pct"/>
            <w:shd w:val="clear" w:color="auto" w:fill="E5DFEC"/>
            <w:noWrap/>
            <w:vAlign w:val="bottom"/>
            <w:hideMark/>
          </w:tcPr>
          <w:p w14:paraId="295BAD28" w14:textId="294D9409"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-5</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5</w:t>
            </w:r>
          </w:p>
        </w:tc>
        <w:tc>
          <w:tcPr>
            <w:tcW w:w="557" w:type="pct"/>
            <w:shd w:val="clear" w:color="auto" w:fill="E5DFEC"/>
            <w:noWrap/>
            <w:vAlign w:val="bottom"/>
            <w:hideMark/>
          </w:tcPr>
          <w:p w14:paraId="3D0E931A" w14:textId="267812B5"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8</w:t>
            </w:r>
          </w:p>
        </w:tc>
        <w:tc>
          <w:tcPr>
            <w:tcW w:w="555" w:type="pct"/>
            <w:shd w:val="clear" w:color="auto" w:fill="E5DFEC"/>
            <w:noWrap/>
            <w:vAlign w:val="bottom"/>
            <w:hideMark/>
          </w:tcPr>
          <w:p w14:paraId="732E0F6E" w14:textId="29CE4DD7"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4</w:t>
            </w:r>
          </w:p>
        </w:tc>
      </w:tr>
      <w:tr w:rsidR="000A6F5F" w:rsidRPr="00F44E1C" w14:paraId="69266826"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72E7589C"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c20-21</w:t>
            </w:r>
          </w:p>
        </w:tc>
        <w:tc>
          <w:tcPr>
            <w:tcW w:w="2386" w:type="pct"/>
            <w:shd w:val="clear" w:color="auto" w:fill="CCC0D9"/>
          </w:tcPr>
          <w:p w14:paraId="303F550E"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Ķīmija, farmācija</w:t>
            </w:r>
          </w:p>
        </w:tc>
        <w:tc>
          <w:tcPr>
            <w:tcW w:w="557" w:type="pct"/>
            <w:shd w:val="clear" w:color="auto" w:fill="CCC0D9"/>
            <w:noWrap/>
            <w:vAlign w:val="bottom"/>
            <w:hideMark/>
          </w:tcPr>
          <w:p w14:paraId="08AEC1A5" w14:textId="3CB67C72"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1</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2</w:t>
            </w:r>
          </w:p>
        </w:tc>
        <w:tc>
          <w:tcPr>
            <w:tcW w:w="558" w:type="pct"/>
            <w:shd w:val="clear" w:color="auto" w:fill="CCC0D9"/>
            <w:noWrap/>
            <w:vAlign w:val="bottom"/>
            <w:hideMark/>
          </w:tcPr>
          <w:p w14:paraId="33479C53" w14:textId="4CFC388A"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0</w:t>
            </w:r>
          </w:p>
        </w:tc>
        <w:tc>
          <w:tcPr>
            <w:tcW w:w="557" w:type="pct"/>
            <w:shd w:val="clear" w:color="auto" w:fill="CCC0D9"/>
            <w:noWrap/>
            <w:vAlign w:val="bottom"/>
            <w:hideMark/>
          </w:tcPr>
          <w:p w14:paraId="5D44FDA2" w14:textId="5E9C52B5"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8</w:t>
            </w:r>
          </w:p>
        </w:tc>
        <w:tc>
          <w:tcPr>
            <w:tcW w:w="555" w:type="pct"/>
            <w:shd w:val="clear" w:color="auto" w:fill="CCC0D9"/>
            <w:noWrap/>
            <w:vAlign w:val="bottom"/>
            <w:hideMark/>
          </w:tcPr>
          <w:p w14:paraId="3AC315C1" w14:textId="486F552D"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5</w:t>
            </w:r>
          </w:p>
        </w:tc>
      </w:tr>
      <w:tr w:rsidR="000A6F5F" w:rsidRPr="00F44E1C" w14:paraId="0B72A938"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01766E3F"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c22</w:t>
            </w:r>
          </w:p>
        </w:tc>
        <w:tc>
          <w:tcPr>
            <w:tcW w:w="2386" w:type="pct"/>
            <w:shd w:val="clear" w:color="auto" w:fill="E5DFEC"/>
          </w:tcPr>
          <w:p w14:paraId="377024B4"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Gumija un plastmasa</w:t>
            </w:r>
          </w:p>
        </w:tc>
        <w:tc>
          <w:tcPr>
            <w:tcW w:w="557" w:type="pct"/>
            <w:shd w:val="clear" w:color="auto" w:fill="E5DFEC"/>
            <w:noWrap/>
            <w:vAlign w:val="bottom"/>
            <w:hideMark/>
          </w:tcPr>
          <w:p w14:paraId="643CE19C" w14:textId="5620B5C8"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2</w:t>
            </w:r>
          </w:p>
        </w:tc>
        <w:tc>
          <w:tcPr>
            <w:tcW w:w="558" w:type="pct"/>
            <w:shd w:val="clear" w:color="auto" w:fill="E5DFEC"/>
            <w:noWrap/>
            <w:vAlign w:val="bottom"/>
            <w:hideMark/>
          </w:tcPr>
          <w:p w14:paraId="0EA80946" w14:textId="2579BD30"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-0</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1</w:t>
            </w:r>
          </w:p>
        </w:tc>
        <w:tc>
          <w:tcPr>
            <w:tcW w:w="557" w:type="pct"/>
            <w:shd w:val="clear" w:color="auto" w:fill="E5DFEC"/>
            <w:noWrap/>
            <w:vAlign w:val="bottom"/>
            <w:hideMark/>
          </w:tcPr>
          <w:p w14:paraId="5F786F9C" w14:textId="3B031AC2"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6</w:t>
            </w:r>
          </w:p>
        </w:tc>
        <w:tc>
          <w:tcPr>
            <w:tcW w:w="555" w:type="pct"/>
            <w:shd w:val="clear" w:color="auto" w:fill="E5DFEC"/>
            <w:noWrap/>
            <w:vAlign w:val="bottom"/>
            <w:hideMark/>
          </w:tcPr>
          <w:p w14:paraId="2A5EA1D1" w14:textId="385916F6"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2</w:t>
            </w:r>
          </w:p>
        </w:tc>
      </w:tr>
      <w:tr w:rsidR="000A6F5F" w:rsidRPr="00F44E1C" w14:paraId="3683CB36"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48D27819"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c23</w:t>
            </w:r>
          </w:p>
        </w:tc>
        <w:tc>
          <w:tcPr>
            <w:tcW w:w="2386" w:type="pct"/>
            <w:shd w:val="clear" w:color="auto" w:fill="CCC0D9"/>
          </w:tcPr>
          <w:p w14:paraId="4D563E1C"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Nemetāliskie minerāli</w:t>
            </w:r>
          </w:p>
        </w:tc>
        <w:tc>
          <w:tcPr>
            <w:tcW w:w="557" w:type="pct"/>
            <w:shd w:val="clear" w:color="auto" w:fill="CCC0D9"/>
            <w:noWrap/>
            <w:vAlign w:val="bottom"/>
            <w:hideMark/>
          </w:tcPr>
          <w:p w14:paraId="009988A6" w14:textId="47E96D22"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5</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3</w:t>
            </w:r>
          </w:p>
        </w:tc>
        <w:tc>
          <w:tcPr>
            <w:tcW w:w="558" w:type="pct"/>
            <w:shd w:val="clear" w:color="auto" w:fill="CCC0D9"/>
            <w:noWrap/>
            <w:vAlign w:val="bottom"/>
            <w:hideMark/>
          </w:tcPr>
          <w:p w14:paraId="1D1BFEEE" w14:textId="3C106845"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-0</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8</w:t>
            </w:r>
          </w:p>
        </w:tc>
        <w:tc>
          <w:tcPr>
            <w:tcW w:w="557" w:type="pct"/>
            <w:shd w:val="clear" w:color="auto" w:fill="CCC0D9"/>
            <w:noWrap/>
            <w:vAlign w:val="bottom"/>
            <w:hideMark/>
          </w:tcPr>
          <w:p w14:paraId="560FB3E6" w14:textId="42C73E0C"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2</w:t>
            </w:r>
          </w:p>
        </w:tc>
        <w:tc>
          <w:tcPr>
            <w:tcW w:w="555" w:type="pct"/>
            <w:shd w:val="clear" w:color="auto" w:fill="CCC0D9"/>
            <w:noWrap/>
            <w:vAlign w:val="bottom"/>
            <w:hideMark/>
          </w:tcPr>
          <w:p w14:paraId="33754FD1" w14:textId="63F5E112"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9</w:t>
            </w:r>
          </w:p>
        </w:tc>
      </w:tr>
      <w:tr w:rsidR="000A6F5F" w:rsidRPr="00F44E1C" w14:paraId="4384A28E"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791798A0"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c25</w:t>
            </w:r>
          </w:p>
        </w:tc>
        <w:tc>
          <w:tcPr>
            <w:tcW w:w="2386" w:type="pct"/>
            <w:shd w:val="clear" w:color="auto" w:fill="E5DFEC"/>
          </w:tcPr>
          <w:p w14:paraId="1947334E"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Gatavie metālizstrādājumi</w:t>
            </w:r>
          </w:p>
        </w:tc>
        <w:tc>
          <w:tcPr>
            <w:tcW w:w="557" w:type="pct"/>
            <w:shd w:val="clear" w:color="auto" w:fill="E5DFEC"/>
            <w:noWrap/>
            <w:vAlign w:val="bottom"/>
            <w:hideMark/>
          </w:tcPr>
          <w:p w14:paraId="5B87F081" w14:textId="22ADC927"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8</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8</w:t>
            </w:r>
          </w:p>
        </w:tc>
        <w:tc>
          <w:tcPr>
            <w:tcW w:w="558" w:type="pct"/>
            <w:shd w:val="clear" w:color="auto" w:fill="E5DFEC"/>
            <w:noWrap/>
            <w:vAlign w:val="bottom"/>
            <w:hideMark/>
          </w:tcPr>
          <w:p w14:paraId="09227569" w14:textId="30DA55ED"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1</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4</w:t>
            </w:r>
          </w:p>
        </w:tc>
        <w:tc>
          <w:tcPr>
            <w:tcW w:w="557" w:type="pct"/>
            <w:shd w:val="clear" w:color="auto" w:fill="E5DFEC"/>
            <w:noWrap/>
            <w:vAlign w:val="bottom"/>
            <w:hideMark/>
          </w:tcPr>
          <w:p w14:paraId="09FEE9E1" w14:textId="1C7FCD62"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5</w:t>
            </w:r>
          </w:p>
        </w:tc>
        <w:tc>
          <w:tcPr>
            <w:tcW w:w="555" w:type="pct"/>
            <w:shd w:val="clear" w:color="auto" w:fill="E5DFEC"/>
            <w:noWrap/>
            <w:vAlign w:val="bottom"/>
            <w:hideMark/>
          </w:tcPr>
          <w:p w14:paraId="135F2113" w14:textId="3625D1BE"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2</w:t>
            </w:r>
          </w:p>
        </w:tc>
      </w:tr>
      <w:tr w:rsidR="000A6F5F" w:rsidRPr="00F44E1C" w14:paraId="08475788"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525CF475"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c26-28</w:t>
            </w:r>
          </w:p>
        </w:tc>
        <w:tc>
          <w:tcPr>
            <w:tcW w:w="2386" w:type="pct"/>
            <w:shd w:val="clear" w:color="auto" w:fill="CCC0D9"/>
          </w:tcPr>
          <w:p w14:paraId="531B024C"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Elektriskās ierīces, mašīnas un iekārtas</w:t>
            </w:r>
          </w:p>
        </w:tc>
        <w:tc>
          <w:tcPr>
            <w:tcW w:w="557" w:type="pct"/>
            <w:shd w:val="clear" w:color="auto" w:fill="CCC0D9"/>
            <w:noWrap/>
            <w:vAlign w:val="bottom"/>
            <w:hideMark/>
          </w:tcPr>
          <w:p w14:paraId="4E33F6A0" w14:textId="79FBCBB6"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10</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4</w:t>
            </w:r>
          </w:p>
        </w:tc>
        <w:tc>
          <w:tcPr>
            <w:tcW w:w="558" w:type="pct"/>
            <w:shd w:val="clear" w:color="auto" w:fill="CCC0D9"/>
            <w:noWrap/>
            <w:vAlign w:val="bottom"/>
            <w:hideMark/>
          </w:tcPr>
          <w:p w14:paraId="3A8929DF" w14:textId="1387AE59"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12</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8</w:t>
            </w:r>
          </w:p>
        </w:tc>
        <w:tc>
          <w:tcPr>
            <w:tcW w:w="557" w:type="pct"/>
            <w:shd w:val="clear" w:color="auto" w:fill="CCC0D9"/>
            <w:noWrap/>
            <w:vAlign w:val="bottom"/>
            <w:hideMark/>
          </w:tcPr>
          <w:p w14:paraId="3B18305F" w14:textId="27D46D41"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5</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2</w:t>
            </w:r>
          </w:p>
        </w:tc>
        <w:tc>
          <w:tcPr>
            <w:tcW w:w="555" w:type="pct"/>
            <w:shd w:val="clear" w:color="auto" w:fill="CCC0D9"/>
            <w:noWrap/>
            <w:vAlign w:val="bottom"/>
            <w:hideMark/>
          </w:tcPr>
          <w:p w14:paraId="2A04769E" w14:textId="39954899"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8</w:t>
            </w:r>
          </w:p>
        </w:tc>
      </w:tr>
      <w:tr w:rsidR="000A6F5F" w:rsidRPr="00F44E1C" w14:paraId="4EA101AF"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33F59E80"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c29-30</w:t>
            </w:r>
          </w:p>
        </w:tc>
        <w:tc>
          <w:tcPr>
            <w:tcW w:w="2386" w:type="pct"/>
            <w:shd w:val="clear" w:color="auto" w:fill="E5DFEC"/>
          </w:tcPr>
          <w:p w14:paraId="70CE60C6"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Transportlīdzekļu ražošana</w:t>
            </w:r>
          </w:p>
        </w:tc>
        <w:tc>
          <w:tcPr>
            <w:tcW w:w="557" w:type="pct"/>
            <w:shd w:val="clear" w:color="auto" w:fill="E5DFEC"/>
            <w:noWrap/>
            <w:vAlign w:val="bottom"/>
            <w:hideMark/>
          </w:tcPr>
          <w:p w14:paraId="386388B0" w14:textId="6ACD365C"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5</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3</w:t>
            </w:r>
          </w:p>
        </w:tc>
        <w:tc>
          <w:tcPr>
            <w:tcW w:w="558" w:type="pct"/>
            <w:shd w:val="clear" w:color="auto" w:fill="E5DFEC"/>
            <w:noWrap/>
            <w:vAlign w:val="bottom"/>
            <w:hideMark/>
          </w:tcPr>
          <w:p w14:paraId="5D7F8C0C" w14:textId="13DE5503"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1</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4</w:t>
            </w:r>
          </w:p>
        </w:tc>
        <w:tc>
          <w:tcPr>
            <w:tcW w:w="557" w:type="pct"/>
            <w:shd w:val="clear" w:color="auto" w:fill="E5DFEC"/>
            <w:noWrap/>
            <w:vAlign w:val="bottom"/>
            <w:hideMark/>
          </w:tcPr>
          <w:p w14:paraId="012C8679" w14:textId="0A60C88D"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5</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6</w:t>
            </w:r>
          </w:p>
        </w:tc>
        <w:tc>
          <w:tcPr>
            <w:tcW w:w="555" w:type="pct"/>
            <w:shd w:val="clear" w:color="auto" w:fill="E5DFEC"/>
            <w:noWrap/>
            <w:vAlign w:val="bottom"/>
            <w:hideMark/>
          </w:tcPr>
          <w:p w14:paraId="242F88D4" w14:textId="4F23FE77"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5</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2</w:t>
            </w:r>
          </w:p>
        </w:tc>
      </w:tr>
      <w:tr w:rsidR="000A6F5F" w:rsidRPr="00F44E1C" w14:paraId="34AE0FD7"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11CA85A9"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c31-32</w:t>
            </w:r>
          </w:p>
        </w:tc>
        <w:tc>
          <w:tcPr>
            <w:tcW w:w="2386" w:type="pct"/>
            <w:shd w:val="clear" w:color="auto" w:fill="CCC0D9"/>
          </w:tcPr>
          <w:p w14:paraId="21764F8E"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Mēbeļu ražošana u.c.</w:t>
            </w:r>
          </w:p>
        </w:tc>
        <w:tc>
          <w:tcPr>
            <w:tcW w:w="557" w:type="pct"/>
            <w:shd w:val="clear" w:color="auto" w:fill="CCC0D9"/>
            <w:noWrap/>
            <w:vAlign w:val="bottom"/>
            <w:hideMark/>
          </w:tcPr>
          <w:p w14:paraId="52D6C60A" w14:textId="3A0EAFB0"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4</w:t>
            </w:r>
          </w:p>
        </w:tc>
        <w:tc>
          <w:tcPr>
            <w:tcW w:w="558" w:type="pct"/>
            <w:shd w:val="clear" w:color="auto" w:fill="CCC0D9"/>
            <w:noWrap/>
            <w:vAlign w:val="bottom"/>
            <w:hideMark/>
          </w:tcPr>
          <w:p w14:paraId="1478441A" w14:textId="46D1B487"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3</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1</w:t>
            </w:r>
          </w:p>
        </w:tc>
        <w:tc>
          <w:tcPr>
            <w:tcW w:w="557" w:type="pct"/>
            <w:shd w:val="clear" w:color="auto" w:fill="CCC0D9"/>
            <w:noWrap/>
            <w:vAlign w:val="bottom"/>
            <w:hideMark/>
          </w:tcPr>
          <w:p w14:paraId="64D96472" w14:textId="1819E340"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2</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8</w:t>
            </w:r>
          </w:p>
        </w:tc>
        <w:tc>
          <w:tcPr>
            <w:tcW w:w="555" w:type="pct"/>
            <w:shd w:val="clear" w:color="auto" w:fill="CCC0D9"/>
            <w:noWrap/>
            <w:vAlign w:val="bottom"/>
            <w:hideMark/>
          </w:tcPr>
          <w:p w14:paraId="02EF62CD" w14:textId="287AFEFC"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2</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2</w:t>
            </w:r>
          </w:p>
        </w:tc>
      </w:tr>
      <w:tr w:rsidR="000A6F5F" w:rsidRPr="00F44E1C" w14:paraId="4B440D77"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14A27BE2" w14:textId="77777777" w:rsidR="000A6F5F" w:rsidRPr="00F44E1C" w:rsidRDefault="000A6F5F" w:rsidP="000A6F5F">
            <w:pPr>
              <w:spacing w:before="40" w:after="40"/>
              <w:jc w:val="right"/>
              <w:rPr>
                <w:rFonts w:ascii="Segoe UI Light" w:eastAsia="Times New Roman" w:hAnsi="Segoe UI Light" w:cs="Segoe UI Light"/>
                <w:b w:val="0"/>
                <w:i/>
                <w:color w:val="000000"/>
                <w:sz w:val="16"/>
                <w:szCs w:val="16"/>
                <w:lang w:eastAsia="lv-LV"/>
              </w:rPr>
            </w:pPr>
            <w:r w:rsidRPr="00F44E1C">
              <w:rPr>
                <w:rFonts w:ascii="Segoe UI Light" w:eastAsia="Times New Roman" w:hAnsi="Segoe UI Light" w:cs="Segoe UI Light"/>
                <w:b w:val="0"/>
                <w:i/>
                <w:color w:val="000000"/>
                <w:sz w:val="16"/>
                <w:szCs w:val="16"/>
                <w:lang w:eastAsia="lv-LV"/>
              </w:rPr>
              <w:t>c33</w:t>
            </w:r>
          </w:p>
        </w:tc>
        <w:tc>
          <w:tcPr>
            <w:tcW w:w="2386" w:type="pct"/>
            <w:shd w:val="clear" w:color="auto" w:fill="E5DFEC"/>
          </w:tcPr>
          <w:p w14:paraId="3877503D" w14:textId="77777777" w:rsidR="000A6F5F" w:rsidRPr="00F44E1C" w:rsidRDefault="000A6F5F" w:rsidP="000A6F5F">
            <w:pPr>
              <w:spacing w:before="40" w:after="40"/>
              <w:ind w:left="254"/>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Iekārtu remonts</w:t>
            </w:r>
          </w:p>
        </w:tc>
        <w:tc>
          <w:tcPr>
            <w:tcW w:w="557" w:type="pct"/>
            <w:shd w:val="clear" w:color="auto" w:fill="E5DFEC"/>
            <w:noWrap/>
            <w:vAlign w:val="bottom"/>
            <w:hideMark/>
          </w:tcPr>
          <w:p w14:paraId="544E0468" w14:textId="13F04C2A"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2</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9</w:t>
            </w:r>
          </w:p>
        </w:tc>
        <w:tc>
          <w:tcPr>
            <w:tcW w:w="558" w:type="pct"/>
            <w:shd w:val="clear" w:color="auto" w:fill="E5DFEC"/>
            <w:noWrap/>
            <w:vAlign w:val="bottom"/>
            <w:hideMark/>
          </w:tcPr>
          <w:p w14:paraId="500BF83A" w14:textId="0565BD2A"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1</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8</w:t>
            </w:r>
          </w:p>
        </w:tc>
        <w:tc>
          <w:tcPr>
            <w:tcW w:w="557" w:type="pct"/>
            <w:shd w:val="clear" w:color="auto" w:fill="E5DFEC"/>
            <w:noWrap/>
            <w:vAlign w:val="bottom"/>
            <w:hideMark/>
          </w:tcPr>
          <w:p w14:paraId="763E98DE" w14:textId="1EDD2C98"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5</w:t>
            </w:r>
          </w:p>
        </w:tc>
        <w:tc>
          <w:tcPr>
            <w:tcW w:w="555" w:type="pct"/>
            <w:shd w:val="clear" w:color="auto" w:fill="E5DFEC"/>
            <w:noWrap/>
            <w:vAlign w:val="bottom"/>
            <w:hideMark/>
          </w:tcPr>
          <w:p w14:paraId="5A7B67A5" w14:textId="14449C99"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i/>
                <w:color w:val="000000"/>
                <w:sz w:val="16"/>
                <w:szCs w:val="16"/>
                <w:lang w:eastAsia="lv-LV"/>
              </w:rPr>
            </w:pPr>
            <w:r w:rsidRPr="00F44E1C">
              <w:rPr>
                <w:rFonts w:ascii="Segoe UI Light" w:eastAsia="Times New Roman" w:hAnsi="Segoe UI Light" w:cs="Segoe UI Light"/>
                <w:i/>
                <w:color w:val="000000"/>
                <w:sz w:val="16"/>
                <w:szCs w:val="16"/>
                <w:lang w:eastAsia="lv-LV"/>
              </w:rPr>
              <w:t>4</w:t>
            </w:r>
            <w:r w:rsidR="005C593D">
              <w:rPr>
                <w:rFonts w:ascii="Segoe UI Light" w:eastAsia="Times New Roman" w:hAnsi="Segoe UI Light" w:cs="Segoe UI Light"/>
                <w:i/>
                <w:color w:val="000000"/>
                <w:sz w:val="16"/>
                <w:szCs w:val="16"/>
                <w:lang w:eastAsia="lv-LV"/>
              </w:rPr>
              <w:t>,</w:t>
            </w:r>
            <w:r w:rsidRPr="00F44E1C">
              <w:rPr>
                <w:rFonts w:ascii="Segoe UI Light" w:eastAsia="Times New Roman" w:hAnsi="Segoe UI Light" w:cs="Segoe UI Light"/>
                <w:i/>
                <w:color w:val="000000"/>
                <w:sz w:val="16"/>
                <w:szCs w:val="16"/>
                <w:lang w:eastAsia="lv-LV"/>
              </w:rPr>
              <w:t>2</w:t>
            </w:r>
          </w:p>
        </w:tc>
      </w:tr>
      <w:tr w:rsidR="000A6F5F" w:rsidRPr="00F44E1C" w14:paraId="6629F07B"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0CC576FC"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F</w:t>
            </w:r>
          </w:p>
        </w:tc>
        <w:tc>
          <w:tcPr>
            <w:tcW w:w="2386" w:type="pct"/>
            <w:shd w:val="clear" w:color="auto" w:fill="CCC0D9"/>
          </w:tcPr>
          <w:p w14:paraId="0E72527A"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Būvniecība</w:t>
            </w:r>
          </w:p>
        </w:tc>
        <w:tc>
          <w:tcPr>
            <w:tcW w:w="557" w:type="pct"/>
            <w:shd w:val="clear" w:color="auto" w:fill="CCC0D9"/>
            <w:noWrap/>
            <w:vAlign w:val="bottom"/>
            <w:hideMark/>
          </w:tcPr>
          <w:p w14:paraId="52D2DD3F" w14:textId="371BFCAC"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6</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3</w:t>
            </w:r>
          </w:p>
        </w:tc>
        <w:tc>
          <w:tcPr>
            <w:tcW w:w="558" w:type="pct"/>
            <w:shd w:val="clear" w:color="auto" w:fill="CCC0D9"/>
            <w:noWrap/>
            <w:vAlign w:val="bottom"/>
            <w:hideMark/>
          </w:tcPr>
          <w:p w14:paraId="7E7EAC4C" w14:textId="24D809FC"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8</w:t>
            </w:r>
          </w:p>
        </w:tc>
        <w:tc>
          <w:tcPr>
            <w:tcW w:w="557" w:type="pct"/>
            <w:shd w:val="clear" w:color="auto" w:fill="CCC0D9"/>
            <w:noWrap/>
            <w:vAlign w:val="bottom"/>
            <w:hideMark/>
          </w:tcPr>
          <w:p w14:paraId="5CA4EDD2" w14:textId="1DCF7E2A"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6</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0</w:t>
            </w:r>
          </w:p>
        </w:tc>
        <w:tc>
          <w:tcPr>
            <w:tcW w:w="555" w:type="pct"/>
            <w:shd w:val="clear" w:color="auto" w:fill="CCC0D9"/>
            <w:noWrap/>
            <w:vAlign w:val="bottom"/>
            <w:hideMark/>
          </w:tcPr>
          <w:p w14:paraId="3E448833" w14:textId="5E3460A3"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2</w:t>
            </w:r>
          </w:p>
        </w:tc>
      </w:tr>
      <w:tr w:rsidR="000A6F5F" w:rsidRPr="00F44E1C" w14:paraId="7BBB45BB"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71FB845C"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G</w:t>
            </w:r>
          </w:p>
        </w:tc>
        <w:tc>
          <w:tcPr>
            <w:tcW w:w="2386" w:type="pct"/>
            <w:shd w:val="clear" w:color="auto" w:fill="E5DFEC"/>
          </w:tcPr>
          <w:p w14:paraId="5911A9EB"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Vairumtirdzniecība un mazumtirdzniecība</w:t>
            </w:r>
          </w:p>
        </w:tc>
        <w:tc>
          <w:tcPr>
            <w:tcW w:w="557" w:type="pct"/>
            <w:shd w:val="clear" w:color="auto" w:fill="E5DFEC"/>
            <w:noWrap/>
            <w:vAlign w:val="bottom"/>
            <w:hideMark/>
          </w:tcPr>
          <w:p w14:paraId="15B076D0" w14:textId="458CEE71"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4</w:t>
            </w:r>
          </w:p>
        </w:tc>
        <w:tc>
          <w:tcPr>
            <w:tcW w:w="558" w:type="pct"/>
            <w:shd w:val="clear" w:color="auto" w:fill="E5DFEC"/>
            <w:noWrap/>
            <w:vAlign w:val="bottom"/>
            <w:hideMark/>
          </w:tcPr>
          <w:p w14:paraId="2DCAC641" w14:textId="1BF62C84"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0</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6</w:t>
            </w:r>
          </w:p>
        </w:tc>
        <w:tc>
          <w:tcPr>
            <w:tcW w:w="557" w:type="pct"/>
            <w:shd w:val="clear" w:color="auto" w:fill="E5DFEC"/>
            <w:noWrap/>
            <w:vAlign w:val="bottom"/>
            <w:hideMark/>
          </w:tcPr>
          <w:p w14:paraId="57248A65" w14:textId="531DD886"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2</w:t>
            </w:r>
          </w:p>
        </w:tc>
        <w:tc>
          <w:tcPr>
            <w:tcW w:w="555" w:type="pct"/>
            <w:shd w:val="clear" w:color="auto" w:fill="E5DFEC"/>
            <w:noWrap/>
            <w:vAlign w:val="bottom"/>
            <w:hideMark/>
          </w:tcPr>
          <w:p w14:paraId="2FDE3C47" w14:textId="4C7A0C2D"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8</w:t>
            </w:r>
          </w:p>
        </w:tc>
      </w:tr>
      <w:tr w:rsidR="000A6F5F" w:rsidRPr="00F44E1C" w14:paraId="673C3BFC"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5A6F243F"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H</w:t>
            </w:r>
          </w:p>
        </w:tc>
        <w:tc>
          <w:tcPr>
            <w:tcW w:w="2386" w:type="pct"/>
            <w:shd w:val="clear" w:color="auto" w:fill="CCC0D9"/>
          </w:tcPr>
          <w:p w14:paraId="74CE74E7"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Transports un uzglabāšana</w:t>
            </w:r>
          </w:p>
        </w:tc>
        <w:tc>
          <w:tcPr>
            <w:tcW w:w="557" w:type="pct"/>
            <w:shd w:val="clear" w:color="auto" w:fill="CCC0D9"/>
            <w:noWrap/>
            <w:vAlign w:val="bottom"/>
            <w:hideMark/>
          </w:tcPr>
          <w:p w14:paraId="2F67B0F7" w14:textId="773A8709"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2</w:t>
            </w:r>
          </w:p>
        </w:tc>
        <w:tc>
          <w:tcPr>
            <w:tcW w:w="558" w:type="pct"/>
            <w:shd w:val="clear" w:color="auto" w:fill="CCC0D9"/>
            <w:noWrap/>
            <w:vAlign w:val="bottom"/>
            <w:hideMark/>
          </w:tcPr>
          <w:p w14:paraId="37FCAEB3" w14:textId="186A3E71"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7</w:t>
            </w:r>
          </w:p>
        </w:tc>
        <w:tc>
          <w:tcPr>
            <w:tcW w:w="557" w:type="pct"/>
            <w:shd w:val="clear" w:color="auto" w:fill="CCC0D9"/>
            <w:noWrap/>
            <w:vAlign w:val="bottom"/>
            <w:hideMark/>
          </w:tcPr>
          <w:p w14:paraId="73C6E0FE" w14:textId="3841334B"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0</w:t>
            </w:r>
          </w:p>
        </w:tc>
        <w:tc>
          <w:tcPr>
            <w:tcW w:w="555" w:type="pct"/>
            <w:shd w:val="clear" w:color="auto" w:fill="CCC0D9"/>
            <w:noWrap/>
            <w:vAlign w:val="bottom"/>
            <w:hideMark/>
          </w:tcPr>
          <w:p w14:paraId="2FB2538E" w14:textId="5FF5F077"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1</w:t>
            </w:r>
          </w:p>
        </w:tc>
      </w:tr>
      <w:tr w:rsidR="000A6F5F" w:rsidRPr="00F44E1C" w14:paraId="6B91A01C"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0CD624BE"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I</w:t>
            </w:r>
          </w:p>
        </w:tc>
        <w:tc>
          <w:tcPr>
            <w:tcW w:w="2386" w:type="pct"/>
            <w:shd w:val="clear" w:color="auto" w:fill="E5DFEC"/>
          </w:tcPr>
          <w:p w14:paraId="0E4C399C"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Izmitināšanas un ēdināšanas apkalpojumi</w:t>
            </w:r>
          </w:p>
        </w:tc>
        <w:tc>
          <w:tcPr>
            <w:tcW w:w="557" w:type="pct"/>
            <w:shd w:val="clear" w:color="auto" w:fill="E5DFEC"/>
            <w:noWrap/>
            <w:vAlign w:val="bottom"/>
            <w:hideMark/>
          </w:tcPr>
          <w:p w14:paraId="1D4ACC12" w14:textId="010D7DF6"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2</w:t>
            </w:r>
          </w:p>
        </w:tc>
        <w:tc>
          <w:tcPr>
            <w:tcW w:w="558" w:type="pct"/>
            <w:shd w:val="clear" w:color="auto" w:fill="E5DFEC"/>
            <w:noWrap/>
            <w:vAlign w:val="bottom"/>
            <w:hideMark/>
          </w:tcPr>
          <w:p w14:paraId="5983A36E" w14:textId="61D67781"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2</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7</w:t>
            </w:r>
          </w:p>
        </w:tc>
        <w:tc>
          <w:tcPr>
            <w:tcW w:w="557" w:type="pct"/>
            <w:shd w:val="clear" w:color="auto" w:fill="E5DFEC"/>
            <w:noWrap/>
            <w:vAlign w:val="bottom"/>
            <w:hideMark/>
          </w:tcPr>
          <w:p w14:paraId="2A21AB73" w14:textId="300A0C1C"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5</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0</w:t>
            </w:r>
          </w:p>
        </w:tc>
        <w:tc>
          <w:tcPr>
            <w:tcW w:w="555" w:type="pct"/>
            <w:shd w:val="clear" w:color="auto" w:fill="E5DFEC"/>
            <w:noWrap/>
            <w:vAlign w:val="bottom"/>
            <w:hideMark/>
          </w:tcPr>
          <w:p w14:paraId="68BB1140" w14:textId="0F7E047D"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2</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6</w:t>
            </w:r>
          </w:p>
        </w:tc>
      </w:tr>
      <w:tr w:rsidR="000A6F5F" w:rsidRPr="00F44E1C" w14:paraId="787F2803"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4CB84689"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J</w:t>
            </w:r>
          </w:p>
        </w:tc>
        <w:tc>
          <w:tcPr>
            <w:tcW w:w="2386" w:type="pct"/>
            <w:shd w:val="clear" w:color="auto" w:fill="CCC0D9"/>
          </w:tcPr>
          <w:p w14:paraId="5476D30E"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Informācijas un komunikācijas pakalpojumi</w:t>
            </w:r>
          </w:p>
        </w:tc>
        <w:tc>
          <w:tcPr>
            <w:tcW w:w="557" w:type="pct"/>
            <w:shd w:val="clear" w:color="auto" w:fill="CCC0D9"/>
            <w:noWrap/>
            <w:vAlign w:val="bottom"/>
            <w:hideMark/>
          </w:tcPr>
          <w:p w14:paraId="6D8B9F64" w14:textId="4F79A8A3"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5</w:t>
            </w:r>
          </w:p>
        </w:tc>
        <w:tc>
          <w:tcPr>
            <w:tcW w:w="558" w:type="pct"/>
            <w:shd w:val="clear" w:color="auto" w:fill="CCC0D9"/>
            <w:noWrap/>
            <w:vAlign w:val="bottom"/>
            <w:hideMark/>
          </w:tcPr>
          <w:p w14:paraId="206EC155" w14:textId="0E4C2DCC"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6</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9</w:t>
            </w:r>
          </w:p>
        </w:tc>
        <w:tc>
          <w:tcPr>
            <w:tcW w:w="557" w:type="pct"/>
            <w:shd w:val="clear" w:color="auto" w:fill="CCC0D9"/>
            <w:noWrap/>
            <w:vAlign w:val="bottom"/>
            <w:hideMark/>
          </w:tcPr>
          <w:p w14:paraId="53FB930C" w14:textId="71E7DDBA"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5</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7</w:t>
            </w:r>
          </w:p>
        </w:tc>
        <w:tc>
          <w:tcPr>
            <w:tcW w:w="555" w:type="pct"/>
            <w:shd w:val="clear" w:color="auto" w:fill="CCC0D9"/>
            <w:noWrap/>
            <w:vAlign w:val="bottom"/>
            <w:hideMark/>
          </w:tcPr>
          <w:p w14:paraId="754523E6" w14:textId="0A6A04A5"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1</w:t>
            </w:r>
          </w:p>
        </w:tc>
      </w:tr>
      <w:tr w:rsidR="000A6F5F" w:rsidRPr="00F44E1C" w14:paraId="3D0B8358"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412EE5DD"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K</w:t>
            </w:r>
          </w:p>
        </w:tc>
        <w:tc>
          <w:tcPr>
            <w:tcW w:w="2386" w:type="pct"/>
            <w:shd w:val="clear" w:color="auto" w:fill="E5DFEC"/>
          </w:tcPr>
          <w:p w14:paraId="3F3522FB"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Finanšu un apdrošināšanas darbības</w:t>
            </w:r>
          </w:p>
        </w:tc>
        <w:tc>
          <w:tcPr>
            <w:tcW w:w="557" w:type="pct"/>
            <w:shd w:val="clear" w:color="auto" w:fill="E5DFEC"/>
            <w:noWrap/>
            <w:vAlign w:val="bottom"/>
            <w:hideMark/>
          </w:tcPr>
          <w:p w14:paraId="748BCCE6" w14:textId="75DDA2FA"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-2</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3</w:t>
            </w:r>
          </w:p>
        </w:tc>
        <w:tc>
          <w:tcPr>
            <w:tcW w:w="558" w:type="pct"/>
            <w:shd w:val="clear" w:color="auto" w:fill="E5DFEC"/>
            <w:noWrap/>
            <w:vAlign w:val="bottom"/>
            <w:hideMark/>
          </w:tcPr>
          <w:p w14:paraId="32408BF7" w14:textId="03240AEF"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2</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0</w:t>
            </w:r>
          </w:p>
        </w:tc>
        <w:tc>
          <w:tcPr>
            <w:tcW w:w="557" w:type="pct"/>
            <w:shd w:val="clear" w:color="auto" w:fill="E5DFEC"/>
            <w:noWrap/>
            <w:vAlign w:val="bottom"/>
            <w:hideMark/>
          </w:tcPr>
          <w:p w14:paraId="714658AC" w14:textId="3834C731"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2</w:t>
            </w:r>
          </w:p>
        </w:tc>
        <w:tc>
          <w:tcPr>
            <w:tcW w:w="555" w:type="pct"/>
            <w:shd w:val="clear" w:color="auto" w:fill="E5DFEC"/>
            <w:noWrap/>
            <w:vAlign w:val="bottom"/>
            <w:hideMark/>
          </w:tcPr>
          <w:p w14:paraId="32C4A570" w14:textId="7F818F40"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1</w:t>
            </w:r>
          </w:p>
        </w:tc>
      </w:tr>
      <w:tr w:rsidR="000A6F5F" w:rsidRPr="00F44E1C" w14:paraId="059D30AA"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7DBA8FA5"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L</w:t>
            </w:r>
          </w:p>
        </w:tc>
        <w:tc>
          <w:tcPr>
            <w:tcW w:w="2386" w:type="pct"/>
            <w:shd w:val="clear" w:color="auto" w:fill="CCC0D9"/>
          </w:tcPr>
          <w:p w14:paraId="7925B47C"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Operācijas ar nekustamo īpašumu</w:t>
            </w:r>
          </w:p>
        </w:tc>
        <w:tc>
          <w:tcPr>
            <w:tcW w:w="557" w:type="pct"/>
            <w:shd w:val="clear" w:color="auto" w:fill="CCC0D9"/>
            <w:noWrap/>
            <w:vAlign w:val="bottom"/>
            <w:hideMark/>
          </w:tcPr>
          <w:p w14:paraId="3689E984" w14:textId="40851BD6"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1</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7</w:t>
            </w:r>
          </w:p>
        </w:tc>
        <w:tc>
          <w:tcPr>
            <w:tcW w:w="558" w:type="pct"/>
            <w:shd w:val="clear" w:color="auto" w:fill="CCC0D9"/>
            <w:noWrap/>
            <w:vAlign w:val="bottom"/>
            <w:hideMark/>
          </w:tcPr>
          <w:p w14:paraId="63D03927" w14:textId="386B906E"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1</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7</w:t>
            </w:r>
          </w:p>
        </w:tc>
        <w:tc>
          <w:tcPr>
            <w:tcW w:w="557" w:type="pct"/>
            <w:shd w:val="clear" w:color="auto" w:fill="CCC0D9"/>
            <w:noWrap/>
            <w:vAlign w:val="bottom"/>
            <w:hideMark/>
          </w:tcPr>
          <w:p w14:paraId="462D82F5" w14:textId="746F2411"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6</w:t>
            </w:r>
          </w:p>
        </w:tc>
        <w:tc>
          <w:tcPr>
            <w:tcW w:w="555" w:type="pct"/>
            <w:shd w:val="clear" w:color="auto" w:fill="CCC0D9"/>
            <w:noWrap/>
            <w:vAlign w:val="bottom"/>
            <w:hideMark/>
          </w:tcPr>
          <w:p w14:paraId="5B05B929" w14:textId="0FEE029E"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2</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5</w:t>
            </w:r>
          </w:p>
        </w:tc>
      </w:tr>
      <w:tr w:rsidR="000A6F5F" w:rsidRPr="00F44E1C" w14:paraId="4749BDFB"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7A60AA45"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MNS</w:t>
            </w:r>
          </w:p>
        </w:tc>
        <w:tc>
          <w:tcPr>
            <w:tcW w:w="2386" w:type="pct"/>
            <w:shd w:val="clear" w:color="auto" w:fill="E5DFEC"/>
          </w:tcPr>
          <w:p w14:paraId="697101F7"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Komercpakalpojumi</w:t>
            </w:r>
          </w:p>
        </w:tc>
        <w:tc>
          <w:tcPr>
            <w:tcW w:w="557" w:type="pct"/>
            <w:shd w:val="clear" w:color="auto" w:fill="E5DFEC"/>
            <w:noWrap/>
            <w:vAlign w:val="bottom"/>
            <w:hideMark/>
          </w:tcPr>
          <w:p w14:paraId="2F6545F6" w14:textId="14CDF740"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4</w:t>
            </w:r>
          </w:p>
        </w:tc>
        <w:tc>
          <w:tcPr>
            <w:tcW w:w="558" w:type="pct"/>
            <w:shd w:val="clear" w:color="auto" w:fill="E5DFEC"/>
            <w:noWrap/>
            <w:vAlign w:val="bottom"/>
            <w:hideMark/>
          </w:tcPr>
          <w:p w14:paraId="5B39B10D" w14:textId="6E3E6E87"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5</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1</w:t>
            </w:r>
          </w:p>
        </w:tc>
        <w:tc>
          <w:tcPr>
            <w:tcW w:w="557" w:type="pct"/>
            <w:shd w:val="clear" w:color="auto" w:fill="E5DFEC"/>
            <w:noWrap/>
            <w:vAlign w:val="bottom"/>
            <w:hideMark/>
          </w:tcPr>
          <w:p w14:paraId="4F4A32E3" w14:textId="1881E51F"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5</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1</w:t>
            </w:r>
          </w:p>
        </w:tc>
        <w:tc>
          <w:tcPr>
            <w:tcW w:w="555" w:type="pct"/>
            <w:shd w:val="clear" w:color="auto" w:fill="E5DFEC"/>
            <w:noWrap/>
            <w:vAlign w:val="bottom"/>
            <w:hideMark/>
          </w:tcPr>
          <w:p w14:paraId="6C8F0F45" w14:textId="06B5B9BE"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9</w:t>
            </w:r>
          </w:p>
        </w:tc>
      </w:tr>
      <w:tr w:rsidR="000A6F5F" w:rsidRPr="00F44E1C" w14:paraId="1A34B792"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730A2005"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O</w:t>
            </w:r>
          </w:p>
        </w:tc>
        <w:tc>
          <w:tcPr>
            <w:tcW w:w="2386" w:type="pct"/>
            <w:shd w:val="clear" w:color="auto" w:fill="CCC0D9"/>
          </w:tcPr>
          <w:p w14:paraId="667B57D9"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Valsts pārvalde</w:t>
            </w:r>
          </w:p>
        </w:tc>
        <w:tc>
          <w:tcPr>
            <w:tcW w:w="557" w:type="pct"/>
            <w:shd w:val="clear" w:color="auto" w:fill="CCC0D9"/>
            <w:noWrap/>
            <w:vAlign w:val="bottom"/>
            <w:hideMark/>
          </w:tcPr>
          <w:p w14:paraId="24E61FBD" w14:textId="0D80DEEA"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1</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6</w:t>
            </w:r>
          </w:p>
        </w:tc>
        <w:tc>
          <w:tcPr>
            <w:tcW w:w="558" w:type="pct"/>
            <w:shd w:val="clear" w:color="auto" w:fill="CCC0D9"/>
            <w:noWrap/>
            <w:vAlign w:val="bottom"/>
            <w:hideMark/>
          </w:tcPr>
          <w:p w14:paraId="2B5C4B76" w14:textId="71CB728B"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3</w:t>
            </w:r>
          </w:p>
        </w:tc>
        <w:tc>
          <w:tcPr>
            <w:tcW w:w="557" w:type="pct"/>
            <w:shd w:val="clear" w:color="auto" w:fill="CCC0D9"/>
            <w:noWrap/>
            <w:vAlign w:val="bottom"/>
            <w:hideMark/>
          </w:tcPr>
          <w:p w14:paraId="0EC7B162" w14:textId="16B060B1"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2</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5</w:t>
            </w:r>
          </w:p>
        </w:tc>
        <w:tc>
          <w:tcPr>
            <w:tcW w:w="555" w:type="pct"/>
            <w:shd w:val="clear" w:color="auto" w:fill="CCC0D9"/>
            <w:noWrap/>
            <w:vAlign w:val="bottom"/>
            <w:hideMark/>
          </w:tcPr>
          <w:p w14:paraId="1DECA2F8" w14:textId="710826CD"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6</w:t>
            </w:r>
          </w:p>
        </w:tc>
      </w:tr>
      <w:tr w:rsidR="000A6F5F" w:rsidRPr="00F44E1C" w14:paraId="768A21C0"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73732DB5"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P</w:t>
            </w:r>
          </w:p>
        </w:tc>
        <w:tc>
          <w:tcPr>
            <w:tcW w:w="2386" w:type="pct"/>
            <w:shd w:val="clear" w:color="auto" w:fill="E5DFEC"/>
          </w:tcPr>
          <w:p w14:paraId="24AD7882"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Izglītība</w:t>
            </w:r>
          </w:p>
        </w:tc>
        <w:tc>
          <w:tcPr>
            <w:tcW w:w="557" w:type="pct"/>
            <w:shd w:val="clear" w:color="auto" w:fill="E5DFEC"/>
            <w:noWrap/>
            <w:vAlign w:val="bottom"/>
            <w:hideMark/>
          </w:tcPr>
          <w:p w14:paraId="2DF4E187" w14:textId="11D2AEF2"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1</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8</w:t>
            </w:r>
          </w:p>
        </w:tc>
        <w:tc>
          <w:tcPr>
            <w:tcW w:w="558" w:type="pct"/>
            <w:shd w:val="clear" w:color="auto" w:fill="E5DFEC"/>
            <w:noWrap/>
            <w:vAlign w:val="bottom"/>
            <w:hideMark/>
          </w:tcPr>
          <w:p w14:paraId="267CCAC4" w14:textId="1A64D308"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0</w:t>
            </w:r>
          </w:p>
        </w:tc>
        <w:tc>
          <w:tcPr>
            <w:tcW w:w="557" w:type="pct"/>
            <w:shd w:val="clear" w:color="auto" w:fill="E5DFEC"/>
            <w:noWrap/>
            <w:vAlign w:val="bottom"/>
            <w:hideMark/>
          </w:tcPr>
          <w:p w14:paraId="1C7B8910" w14:textId="151D1BB3"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2</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8</w:t>
            </w:r>
          </w:p>
        </w:tc>
        <w:tc>
          <w:tcPr>
            <w:tcW w:w="555" w:type="pct"/>
            <w:shd w:val="clear" w:color="auto" w:fill="E5DFEC"/>
            <w:noWrap/>
            <w:vAlign w:val="bottom"/>
            <w:hideMark/>
          </w:tcPr>
          <w:p w14:paraId="4A45E5B5" w14:textId="0D231C4A"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7</w:t>
            </w:r>
          </w:p>
        </w:tc>
      </w:tr>
      <w:tr w:rsidR="000A6F5F" w:rsidRPr="00F44E1C" w14:paraId="4130DEF3"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2C3DAA27"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Q</w:t>
            </w:r>
          </w:p>
        </w:tc>
        <w:tc>
          <w:tcPr>
            <w:tcW w:w="2386" w:type="pct"/>
            <w:shd w:val="clear" w:color="auto" w:fill="CCC0D9"/>
          </w:tcPr>
          <w:p w14:paraId="54B5671E"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Veselība un sociālā aprūpe</w:t>
            </w:r>
          </w:p>
        </w:tc>
        <w:tc>
          <w:tcPr>
            <w:tcW w:w="557" w:type="pct"/>
            <w:shd w:val="clear" w:color="auto" w:fill="CCC0D9"/>
            <w:noWrap/>
            <w:vAlign w:val="bottom"/>
            <w:hideMark/>
          </w:tcPr>
          <w:p w14:paraId="4E41D8A4" w14:textId="18E9F0C3"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8</w:t>
            </w:r>
          </w:p>
        </w:tc>
        <w:tc>
          <w:tcPr>
            <w:tcW w:w="558" w:type="pct"/>
            <w:shd w:val="clear" w:color="auto" w:fill="CCC0D9"/>
            <w:noWrap/>
            <w:vAlign w:val="bottom"/>
            <w:hideMark/>
          </w:tcPr>
          <w:p w14:paraId="4F20F740" w14:textId="0BF0964B"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0</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5</w:t>
            </w:r>
          </w:p>
        </w:tc>
        <w:tc>
          <w:tcPr>
            <w:tcW w:w="557" w:type="pct"/>
            <w:shd w:val="clear" w:color="auto" w:fill="CCC0D9"/>
            <w:noWrap/>
            <w:vAlign w:val="bottom"/>
            <w:hideMark/>
          </w:tcPr>
          <w:p w14:paraId="3EBA2CC4" w14:textId="6B99C44C"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2</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6</w:t>
            </w:r>
          </w:p>
        </w:tc>
        <w:tc>
          <w:tcPr>
            <w:tcW w:w="555" w:type="pct"/>
            <w:shd w:val="clear" w:color="auto" w:fill="CCC0D9"/>
            <w:noWrap/>
            <w:vAlign w:val="bottom"/>
            <w:hideMark/>
          </w:tcPr>
          <w:p w14:paraId="07541EDE" w14:textId="4AD62A2D"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0</w:t>
            </w:r>
          </w:p>
        </w:tc>
      </w:tr>
      <w:tr w:rsidR="000A6F5F" w:rsidRPr="00F44E1C" w14:paraId="349D2C7C"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0AE5E1E1" w14:textId="77777777" w:rsidR="000A6F5F" w:rsidRPr="00F44E1C" w:rsidRDefault="000A6F5F" w:rsidP="000A6F5F">
            <w:pPr>
              <w:spacing w:before="40" w:after="40"/>
              <w:jc w:val="right"/>
              <w:rPr>
                <w:rFonts w:ascii="Segoe UI Light" w:eastAsia="Times New Roman" w:hAnsi="Segoe UI Light" w:cs="Segoe UI Light"/>
                <w:b w:val="0"/>
                <w:color w:val="000000"/>
                <w:sz w:val="16"/>
                <w:szCs w:val="16"/>
                <w:lang w:eastAsia="lv-LV"/>
              </w:rPr>
            </w:pPr>
            <w:r w:rsidRPr="00F44E1C">
              <w:rPr>
                <w:rFonts w:ascii="Segoe UI Light" w:eastAsia="Times New Roman" w:hAnsi="Segoe UI Light" w:cs="Segoe UI Light"/>
                <w:b w:val="0"/>
                <w:color w:val="000000"/>
                <w:sz w:val="16"/>
                <w:szCs w:val="16"/>
                <w:lang w:eastAsia="lv-LV"/>
              </w:rPr>
              <w:t>R</w:t>
            </w:r>
          </w:p>
        </w:tc>
        <w:tc>
          <w:tcPr>
            <w:tcW w:w="2386" w:type="pct"/>
            <w:shd w:val="clear" w:color="auto" w:fill="E5DFEC"/>
          </w:tcPr>
          <w:p w14:paraId="301720CC"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Māksla, izklaide un atpūta</w:t>
            </w:r>
          </w:p>
        </w:tc>
        <w:tc>
          <w:tcPr>
            <w:tcW w:w="557" w:type="pct"/>
            <w:shd w:val="clear" w:color="auto" w:fill="E5DFEC"/>
            <w:noWrap/>
            <w:vAlign w:val="bottom"/>
            <w:hideMark/>
          </w:tcPr>
          <w:p w14:paraId="02520476" w14:textId="0D3EE862"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6</w:t>
            </w:r>
          </w:p>
        </w:tc>
        <w:tc>
          <w:tcPr>
            <w:tcW w:w="558" w:type="pct"/>
            <w:shd w:val="clear" w:color="auto" w:fill="E5DFEC"/>
            <w:noWrap/>
            <w:vAlign w:val="bottom"/>
            <w:hideMark/>
          </w:tcPr>
          <w:p w14:paraId="1F81C7E2" w14:textId="74585053"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-0</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3</w:t>
            </w:r>
          </w:p>
        </w:tc>
        <w:tc>
          <w:tcPr>
            <w:tcW w:w="557" w:type="pct"/>
            <w:shd w:val="clear" w:color="auto" w:fill="E5DFEC"/>
            <w:noWrap/>
            <w:vAlign w:val="bottom"/>
            <w:hideMark/>
          </w:tcPr>
          <w:p w14:paraId="50DDF89A" w14:textId="72684288"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4</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0</w:t>
            </w:r>
          </w:p>
        </w:tc>
        <w:tc>
          <w:tcPr>
            <w:tcW w:w="555" w:type="pct"/>
            <w:shd w:val="clear" w:color="auto" w:fill="E5DFEC"/>
            <w:noWrap/>
            <w:vAlign w:val="bottom"/>
            <w:hideMark/>
          </w:tcPr>
          <w:p w14:paraId="6E971212" w14:textId="7112F186"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3</w:t>
            </w:r>
            <w:r w:rsidR="005C593D">
              <w:rPr>
                <w:rFonts w:ascii="Segoe UI Light" w:eastAsia="Times New Roman" w:hAnsi="Segoe UI Light" w:cs="Segoe UI Light"/>
                <w:color w:val="000000"/>
                <w:sz w:val="16"/>
                <w:szCs w:val="16"/>
                <w:lang w:eastAsia="lv-LV"/>
              </w:rPr>
              <w:t>,</w:t>
            </w:r>
            <w:r w:rsidRPr="00F44E1C">
              <w:rPr>
                <w:rFonts w:ascii="Segoe UI Light" w:eastAsia="Times New Roman" w:hAnsi="Segoe UI Light" w:cs="Segoe UI Light"/>
                <w:color w:val="000000"/>
                <w:sz w:val="16"/>
                <w:szCs w:val="16"/>
                <w:lang w:eastAsia="lv-LV"/>
              </w:rPr>
              <w:t>4</w:t>
            </w:r>
          </w:p>
        </w:tc>
      </w:tr>
      <w:tr w:rsidR="000A6F5F" w:rsidRPr="00F44E1C" w14:paraId="5374B6FD"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0CC052EA" w14:textId="77777777" w:rsidR="000A6F5F" w:rsidRPr="00F44E1C" w:rsidRDefault="000A6F5F" w:rsidP="000A6F5F">
            <w:pPr>
              <w:spacing w:before="40" w:after="40"/>
              <w:jc w:val="right"/>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color w:val="000000"/>
                <w:sz w:val="16"/>
                <w:szCs w:val="16"/>
                <w:lang w:eastAsia="lv-LV"/>
              </w:rPr>
              <w:t>B1G</w:t>
            </w:r>
          </w:p>
        </w:tc>
        <w:tc>
          <w:tcPr>
            <w:tcW w:w="2386" w:type="pct"/>
            <w:shd w:val="clear" w:color="auto" w:fill="CCC0D9"/>
          </w:tcPr>
          <w:p w14:paraId="49398185" w14:textId="77777777" w:rsidR="000A6F5F" w:rsidRPr="00F44E1C" w:rsidRDefault="000A6F5F" w:rsidP="000A6F5F">
            <w:pPr>
              <w:spacing w:before="40" w:after="40"/>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b/>
                <w:color w:val="000000"/>
                <w:sz w:val="16"/>
                <w:szCs w:val="16"/>
                <w:lang w:eastAsia="lv-LV"/>
              </w:rPr>
            </w:pPr>
            <w:r w:rsidRPr="00F44E1C">
              <w:rPr>
                <w:rFonts w:ascii="Segoe UI Light" w:eastAsia="Times New Roman" w:hAnsi="Segoe UI Light" w:cs="Segoe UI Light"/>
                <w:b/>
                <w:color w:val="000000"/>
                <w:sz w:val="16"/>
                <w:szCs w:val="16"/>
                <w:lang w:eastAsia="lv-LV"/>
              </w:rPr>
              <w:t>IKP</w:t>
            </w:r>
          </w:p>
        </w:tc>
        <w:tc>
          <w:tcPr>
            <w:tcW w:w="557" w:type="pct"/>
            <w:shd w:val="clear" w:color="auto" w:fill="CCC0D9"/>
            <w:noWrap/>
            <w:vAlign w:val="bottom"/>
            <w:hideMark/>
          </w:tcPr>
          <w:p w14:paraId="3E2AB318" w14:textId="72B7C441"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b/>
                <w:color w:val="000000"/>
                <w:sz w:val="16"/>
                <w:szCs w:val="16"/>
                <w:lang w:eastAsia="lv-LV"/>
              </w:rPr>
              <w:t>3</w:t>
            </w:r>
            <w:r w:rsidR="005C593D">
              <w:rPr>
                <w:rFonts w:ascii="Segoe UI Light" w:eastAsia="Times New Roman" w:hAnsi="Segoe UI Light" w:cs="Segoe UI Light"/>
                <w:b/>
                <w:color w:val="000000"/>
                <w:sz w:val="16"/>
                <w:szCs w:val="16"/>
                <w:lang w:eastAsia="lv-LV"/>
              </w:rPr>
              <w:t>,</w:t>
            </w:r>
            <w:r w:rsidRPr="00F44E1C">
              <w:rPr>
                <w:rFonts w:ascii="Segoe UI Light" w:eastAsia="Times New Roman" w:hAnsi="Segoe UI Light" w:cs="Segoe UI Light"/>
                <w:b/>
                <w:color w:val="000000"/>
                <w:sz w:val="16"/>
                <w:szCs w:val="16"/>
                <w:lang w:eastAsia="lv-LV"/>
              </w:rPr>
              <w:t>1</w:t>
            </w:r>
          </w:p>
        </w:tc>
        <w:tc>
          <w:tcPr>
            <w:tcW w:w="558" w:type="pct"/>
            <w:shd w:val="clear" w:color="auto" w:fill="CCC0D9"/>
            <w:noWrap/>
            <w:vAlign w:val="bottom"/>
            <w:hideMark/>
          </w:tcPr>
          <w:p w14:paraId="07256927" w14:textId="4D5FA653"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b/>
                <w:color w:val="000000"/>
                <w:sz w:val="16"/>
                <w:szCs w:val="16"/>
                <w:lang w:eastAsia="lv-LV"/>
              </w:rPr>
              <w:t>1</w:t>
            </w:r>
            <w:r w:rsidR="005C593D">
              <w:rPr>
                <w:rFonts w:ascii="Segoe UI Light" w:eastAsia="Times New Roman" w:hAnsi="Segoe UI Light" w:cs="Segoe UI Light"/>
                <w:b/>
                <w:color w:val="000000"/>
                <w:sz w:val="16"/>
                <w:szCs w:val="16"/>
                <w:lang w:eastAsia="lv-LV"/>
              </w:rPr>
              <w:t>,</w:t>
            </w:r>
            <w:r w:rsidRPr="00F44E1C">
              <w:rPr>
                <w:rFonts w:ascii="Segoe UI Light" w:eastAsia="Times New Roman" w:hAnsi="Segoe UI Light" w:cs="Segoe UI Light"/>
                <w:b/>
                <w:color w:val="000000"/>
                <w:sz w:val="16"/>
                <w:szCs w:val="16"/>
                <w:lang w:eastAsia="lv-LV"/>
              </w:rPr>
              <w:t>4</w:t>
            </w:r>
          </w:p>
        </w:tc>
        <w:tc>
          <w:tcPr>
            <w:tcW w:w="557" w:type="pct"/>
            <w:shd w:val="clear" w:color="auto" w:fill="CCC0D9"/>
            <w:noWrap/>
            <w:vAlign w:val="bottom"/>
            <w:hideMark/>
          </w:tcPr>
          <w:p w14:paraId="413FB0F2" w14:textId="6F2FB6CB"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b/>
                <w:color w:val="000000"/>
                <w:sz w:val="16"/>
                <w:szCs w:val="16"/>
                <w:lang w:eastAsia="lv-LV"/>
              </w:rPr>
              <w:t>4</w:t>
            </w:r>
            <w:r w:rsidR="005C593D">
              <w:rPr>
                <w:rFonts w:ascii="Segoe UI Light" w:eastAsia="Times New Roman" w:hAnsi="Segoe UI Light" w:cs="Segoe UI Light"/>
                <w:b/>
                <w:color w:val="000000"/>
                <w:sz w:val="16"/>
                <w:szCs w:val="16"/>
                <w:lang w:eastAsia="lv-LV"/>
              </w:rPr>
              <w:t>,</w:t>
            </w:r>
            <w:r w:rsidRPr="00F44E1C">
              <w:rPr>
                <w:rFonts w:ascii="Segoe UI Light" w:eastAsia="Times New Roman" w:hAnsi="Segoe UI Light" w:cs="Segoe UI Light"/>
                <w:b/>
                <w:color w:val="000000"/>
                <w:sz w:val="16"/>
                <w:szCs w:val="16"/>
                <w:lang w:eastAsia="lv-LV"/>
              </w:rPr>
              <w:t>1</w:t>
            </w:r>
          </w:p>
        </w:tc>
        <w:tc>
          <w:tcPr>
            <w:tcW w:w="555" w:type="pct"/>
            <w:shd w:val="clear" w:color="auto" w:fill="CCC0D9"/>
            <w:noWrap/>
            <w:vAlign w:val="bottom"/>
            <w:hideMark/>
          </w:tcPr>
          <w:p w14:paraId="4373FB19" w14:textId="37A50F61" w:rsidR="000A6F5F" w:rsidRPr="00F44E1C" w:rsidRDefault="000A6F5F" w:rsidP="000A6F5F">
            <w:pPr>
              <w:spacing w:before="40" w:after="40"/>
              <w:jc w:val="center"/>
              <w:cnfStyle w:val="000000000000" w:firstRow="0" w:lastRow="0" w:firstColumn="0" w:lastColumn="0" w:oddVBand="0" w:evenVBand="0" w:oddHBand="0" w:evenHBand="0" w:firstRowFirstColumn="0" w:firstRowLastColumn="0" w:lastRowFirstColumn="0" w:lastRowLastColumn="0"/>
              <w:rPr>
                <w:rFonts w:ascii="Segoe UI Light" w:eastAsia="Times New Roman" w:hAnsi="Segoe UI Light" w:cs="Segoe UI Light"/>
                <w:color w:val="000000"/>
                <w:sz w:val="16"/>
                <w:szCs w:val="16"/>
                <w:lang w:eastAsia="lv-LV"/>
              </w:rPr>
            </w:pPr>
            <w:r w:rsidRPr="00F44E1C">
              <w:rPr>
                <w:rFonts w:ascii="Segoe UI Light" w:eastAsia="Times New Roman" w:hAnsi="Segoe UI Light" w:cs="Segoe UI Light"/>
                <w:b/>
                <w:color w:val="000000"/>
                <w:sz w:val="16"/>
                <w:szCs w:val="16"/>
                <w:lang w:eastAsia="lv-LV"/>
              </w:rPr>
              <w:t>3</w:t>
            </w:r>
            <w:r w:rsidR="005C593D">
              <w:rPr>
                <w:rFonts w:ascii="Segoe UI Light" w:eastAsia="Times New Roman" w:hAnsi="Segoe UI Light" w:cs="Segoe UI Light"/>
                <w:b/>
                <w:color w:val="000000"/>
                <w:sz w:val="16"/>
                <w:szCs w:val="16"/>
                <w:lang w:eastAsia="lv-LV"/>
              </w:rPr>
              <w:t>,</w:t>
            </w:r>
            <w:r w:rsidRPr="00F44E1C">
              <w:rPr>
                <w:rFonts w:ascii="Segoe UI Light" w:eastAsia="Times New Roman" w:hAnsi="Segoe UI Light" w:cs="Segoe UI Light"/>
                <w:b/>
                <w:color w:val="000000"/>
                <w:sz w:val="16"/>
                <w:szCs w:val="16"/>
                <w:lang w:eastAsia="lv-LV"/>
              </w:rPr>
              <w:t>7</w:t>
            </w:r>
          </w:p>
        </w:tc>
      </w:tr>
    </w:tbl>
    <w:p w14:paraId="49089707" w14:textId="77777777" w:rsidR="00C67918" w:rsidRPr="005372F2" w:rsidRDefault="00C67918" w:rsidP="007F2239">
      <w:pPr>
        <w:spacing w:after="120"/>
        <w:jc w:val="both"/>
        <w:rPr>
          <w:rFonts w:cs="Calibri Light"/>
          <w:szCs w:val="20"/>
        </w:rPr>
      </w:pPr>
    </w:p>
    <w:p w14:paraId="0C1975F8" w14:textId="77777777" w:rsidR="003F161B" w:rsidRDefault="003F161B">
      <w:pPr>
        <w:spacing w:after="0"/>
        <w:rPr>
          <w:rFonts w:cs="Calibri Light"/>
        </w:rPr>
      </w:pPr>
      <w:r>
        <w:rPr>
          <w:rFonts w:cs="Calibri Light"/>
        </w:rPr>
        <w:br w:type="page"/>
      </w:r>
    </w:p>
    <w:p w14:paraId="4D90D203" w14:textId="58CEAEEC" w:rsidR="000A6F5F" w:rsidRPr="002F5717" w:rsidRDefault="000A6F5F" w:rsidP="000A6F5F">
      <w:pPr>
        <w:spacing w:after="120"/>
        <w:jc w:val="both"/>
        <w:rPr>
          <w:rFonts w:cs="Calibri Light"/>
        </w:rPr>
      </w:pPr>
      <w:r w:rsidRPr="002F5717">
        <w:rPr>
          <w:rFonts w:cs="Calibri Light"/>
        </w:rPr>
        <w:lastRenderedPageBreak/>
        <w:t xml:space="preserve">No tautsaimniecības </w:t>
      </w:r>
      <w:proofErr w:type="spellStart"/>
      <w:r w:rsidRPr="002F5717">
        <w:rPr>
          <w:rFonts w:cs="Calibri Light"/>
        </w:rPr>
        <w:t>pamatnozarēm</w:t>
      </w:r>
      <w:proofErr w:type="spellEnd"/>
      <w:r w:rsidRPr="002F5717">
        <w:rPr>
          <w:rFonts w:cs="Calibri Light"/>
        </w:rPr>
        <w:t xml:space="preserve"> viena no straujākajām izaugsmēm Mērķa scenārijā gan vidējā, gan ilgtermiņā sagaidāma būvniecības nozarē, ko sekmēs gan lielo investīciju projektu īstenošana (piemēram, Rail </w:t>
      </w:r>
      <w:proofErr w:type="spellStart"/>
      <w:r w:rsidRPr="002F5717">
        <w:rPr>
          <w:rFonts w:cs="Calibri Light"/>
        </w:rPr>
        <w:t>Baltica</w:t>
      </w:r>
      <w:proofErr w:type="spellEnd"/>
      <w:r w:rsidRPr="002F5717">
        <w:rPr>
          <w:rFonts w:cs="Calibri Light"/>
        </w:rPr>
        <w:t>), gan nepieciešamība pakāpeniski atjaunot pašreizējo dzīvojamo fondu.</w:t>
      </w:r>
    </w:p>
    <w:p w14:paraId="47D58D1D" w14:textId="77777777" w:rsidR="000A6F5F" w:rsidRPr="002F5717" w:rsidRDefault="000A6F5F" w:rsidP="000A6F5F">
      <w:pPr>
        <w:spacing w:after="120"/>
        <w:jc w:val="both"/>
        <w:rPr>
          <w:rFonts w:cs="Calibri Light"/>
        </w:rPr>
      </w:pPr>
      <w:r w:rsidRPr="002F5717">
        <w:rPr>
          <w:rFonts w:cs="Calibri Light"/>
        </w:rPr>
        <w:t>Tāpat strauja izaugsme</w:t>
      </w:r>
      <w:r>
        <w:rPr>
          <w:rFonts w:cs="Calibri Light"/>
        </w:rPr>
        <w:t xml:space="preserve"> būs vērojama arī</w:t>
      </w:r>
      <w:r w:rsidRPr="002F5717">
        <w:rPr>
          <w:rFonts w:cs="Calibri Light"/>
        </w:rPr>
        <w:t xml:space="preserve"> turpināsies informācijas un komunikācijas pakalpojumu nozarē. Tas ir saistīts ar aizvien pieaugošo pieprasījumu pēc ražošanas un pakalpojumu procesu </w:t>
      </w:r>
      <w:proofErr w:type="spellStart"/>
      <w:r w:rsidRPr="002F5717">
        <w:rPr>
          <w:rFonts w:cs="Calibri Light"/>
        </w:rPr>
        <w:t>digitalizācijas</w:t>
      </w:r>
      <w:proofErr w:type="spellEnd"/>
      <w:r w:rsidRPr="002F5717">
        <w:rPr>
          <w:rFonts w:cs="Calibri Light"/>
        </w:rPr>
        <w:t xml:space="preserve">, kā arī globālajām IT nozares attīstības tendencēm. </w:t>
      </w:r>
    </w:p>
    <w:p w14:paraId="66936B13" w14:textId="77777777" w:rsidR="000A6F5F" w:rsidRPr="002F5717" w:rsidRDefault="000A6F5F" w:rsidP="000A6F5F">
      <w:pPr>
        <w:spacing w:after="120"/>
        <w:jc w:val="both"/>
        <w:rPr>
          <w:rFonts w:cs="Calibri Light"/>
        </w:rPr>
      </w:pPr>
      <w:r w:rsidRPr="002F5717">
        <w:rPr>
          <w:rFonts w:cs="Calibri Light"/>
        </w:rPr>
        <w:t>Salīdzinoši strauji pieauguma tempi sagaidāmi arī izmitināšanas un ēdināšanas nozarē, ko noteiks gan tūrisma pakalpojumu eksporta paplašināšanās, gan arī izaugsme iekšzemes tūrisma pakalpojumu pieprasījumā.</w:t>
      </w:r>
    </w:p>
    <w:p w14:paraId="407F9410" w14:textId="77777777" w:rsidR="000A6F5F" w:rsidRPr="002F5717" w:rsidRDefault="000A6F5F" w:rsidP="000A6F5F">
      <w:pPr>
        <w:spacing w:after="120"/>
        <w:jc w:val="both"/>
        <w:rPr>
          <w:rFonts w:cs="Calibri Light"/>
        </w:rPr>
      </w:pPr>
      <w:r w:rsidRPr="002F5717">
        <w:rPr>
          <w:rFonts w:cs="Calibri Light"/>
        </w:rPr>
        <w:t xml:space="preserve">Transporta un uzglabāšanas nozares izaugsmi lielā mērā sekmēs gaisa transporta un autotransporta nozaru attīstība. Savukārt tranzīta nozarē dinamika būs ievērojami lēnāka, ko noteiks nepieciešamība meklēt jaunus kravu veidus un piegādes ceļus, lai aizstātu Krievijas naftas produktu un akmeņogļu kravu apjomus. Nozīmīga loma būs </w:t>
      </w:r>
      <w:proofErr w:type="spellStart"/>
      <w:r w:rsidRPr="002F5717">
        <w:rPr>
          <w:rFonts w:cs="Calibri Light"/>
        </w:rPr>
        <w:t>RailBaltic</w:t>
      </w:r>
      <w:proofErr w:type="spellEnd"/>
      <w:r w:rsidRPr="002F5717">
        <w:rPr>
          <w:rFonts w:cs="Calibri Light"/>
        </w:rPr>
        <w:t xml:space="preserve"> projekta īstenošanai ilgtermiņā, tai skaitā paredzama ietekme uz dzelzceļa nozares izglītību.</w:t>
      </w:r>
    </w:p>
    <w:p w14:paraId="796013AF" w14:textId="77777777" w:rsidR="000A6F5F" w:rsidRPr="00A65C7B" w:rsidRDefault="000A6F5F" w:rsidP="000A6F5F">
      <w:pPr>
        <w:spacing w:after="120"/>
        <w:jc w:val="both"/>
        <w:rPr>
          <w:rFonts w:cs="Calibri Light"/>
        </w:rPr>
      </w:pPr>
      <w:r w:rsidRPr="002F5717">
        <w:rPr>
          <w:rFonts w:cs="Calibri Light"/>
        </w:rPr>
        <w:t xml:space="preserve">Uz iekšējo pieprasījumu orientēto nozaru – tirdzniecība un citi komercpakalpojumi – attīstība būs cieši saistīta ar privātā patēriņa dinamiku un pārējo tautsaimniecības nozaru radīto pieprasījumu. Tirdzniecības nozarē izaugsme lielā mērā  būs balstīta uz produktivitātes pieaugumu, ņemot vērā ar vien plašāku dažādu tirdzniecības procesu automatizācijas risinājumu izplatību. Vienlaikus sabiedrisko pakalpojumu nozaru (valsts pārvalde un aizsardzība, </w:t>
      </w:r>
      <w:r w:rsidRPr="00A65C7B">
        <w:rPr>
          <w:rFonts w:cs="Calibri Light"/>
        </w:rPr>
        <w:t>izglītība, veselības un sociālā aprūpe) attīstību ilgtermiņā turpinās ietekmēt demogrāfijas tendences un procesi.</w:t>
      </w:r>
    </w:p>
    <w:p w14:paraId="75E013A9" w14:textId="551E768A" w:rsidR="000A6F5F" w:rsidRDefault="000A6F5F" w:rsidP="000A6F5F">
      <w:pPr>
        <w:spacing w:after="120"/>
        <w:jc w:val="both"/>
        <w:rPr>
          <w:rFonts w:cs="Calibri Light"/>
          <w:szCs w:val="20"/>
        </w:rPr>
      </w:pPr>
      <w:r w:rsidRPr="00A65C7B">
        <w:rPr>
          <w:rFonts w:cs="Calibri Light"/>
        </w:rPr>
        <w:t>Ņemot vērā ekonomikas transformācijas nepieciešamību, būtiska loma nākamajos gados būs nišas nozaru attīstībai ar augstu produktu un pakalpojumu pievienoto vērtību.</w:t>
      </w:r>
      <w:r>
        <w:rPr>
          <w:rFonts w:cs="Calibri Light"/>
        </w:rPr>
        <w:t xml:space="preserve"> </w:t>
      </w:r>
      <w:r w:rsidRPr="008D7CBB">
        <w:rPr>
          <w:rFonts w:cs="Calibri Light"/>
          <w:szCs w:val="20"/>
        </w:rPr>
        <w:t>Ekonomikas transformācijai būtiska loma būs uzņēmumu klasteru un piegādātāju veidošanai ap produktiem un pakalpojumiem ar augstu pievienoto vērtību. Aizvien biežāk saskarsimies ar augstas pievienotās vērtības starpnozaru produktiem, kuru radīšanai nepieciešama dažādu jomu profesionāļu sinerģiska sadarbība.</w:t>
      </w:r>
    </w:p>
    <w:p w14:paraId="44C004AC" w14:textId="77777777" w:rsidR="000A6F5F" w:rsidRDefault="000A6F5F" w:rsidP="000A6F5F">
      <w:pPr>
        <w:spacing w:after="120"/>
        <w:jc w:val="both"/>
        <w:rPr>
          <w:rFonts w:cs="Calibri Light"/>
          <w:szCs w:val="20"/>
        </w:rPr>
      </w:pPr>
    </w:p>
    <w:p w14:paraId="6FB7CD61" w14:textId="77777777" w:rsidR="000A6F5F" w:rsidRPr="008D7CBB" w:rsidRDefault="000A6F5F" w:rsidP="000A6F5F">
      <w:pPr>
        <w:spacing w:after="120"/>
        <w:jc w:val="both"/>
        <w:rPr>
          <w:rFonts w:cs="Calibri Light"/>
        </w:rPr>
      </w:pPr>
    </w:p>
    <w:p w14:paraId="2908DF68" w14:textId="54765986" w:rsidR="00367E78" w:rsidRPr="00080A71" w:rsidRDefault="00367E78" w:rsidP="00080A71">
      <w:pPr>
        <w:pStyle w:val="Heading3"/>
      </w:pPr>
      <w:bookmarkStart w:id="60" w:name="_Toc183620103"/>
      <w:r w:rsidRPr="00080A71">
        <w:t>3.2.2. Demogrāfijas prognozes</w:t>
      </w:r>
      <w:bookmarkEnd w:id="59"/>
      <w:bookmarkEnd w:id="60"/>
    </w:p>
    <w:p w14:paraId="21DDA563" w14:textId="48246ED4" w:rsidR="00361642" w:rsidRDefault="00361642" w:rsidP="00814506">
      <w:pPr>
        <w:spacing w:after="120"/>
        <w:jc w:val="both"/>
        <w:rPr>
          <w:color w:val="000000" w:themeColor="text1"/>
        </w:rPr>
      </w:pPr>
      <w:bookmarkStart w:id="61" w:name="_Toc517876441"/>
      <w:r w:rsidRPr="00B8141F">
        <w:t xml:space="preserve">Saskaņā ar EM demogrāfijas prognožu Mērķa scenāriju, iedzīvotāju skaits Latvijā līdz 2040.gadam turpinās samazināties, vienlaikus iedzīvotāju skaita negatīvā dinamika palēnināsies, ko ietekmēs uzlabojumi gan iedzīvotāju starptautiskās migrācijas plūsmās, gan dabiskā pieauguma bilancē. Galvenais iedzīvotāju skaita samazināšanās iemesls gan vidējā, gan ilgtermiņā būs sabiedrības novecošanās tendences, līdz ar to negatīvā plaisa starp dzimstības un mirstības rādītājiem saglabāsies līdz pat 2040.gadam. Būtiskākais iedzīvotāju skaita samazinājums prognozējams starp iedzīvotājiem darbaspējas vecumā, līdz ar to demogrāfiskie procesi atstās jūtamu ietekmi uz darba tirgu. Jāatzīmē, ka pozitīvu ietekmi uz iedzīvotāju skaita dinamiku ir atstājusi arī Ukrainas kara bēgļu plūsma Latvijā. 2023.gada sākumā, salīdzinot ar 2022.gada sākumu, iedzīvotāju skaits Latvijā pieauga par 0,4%, kas ir pirmais pieaugums iedzīvotāju kopskaita pēdējo 30 gadu laikā. Lai arī ienākošā kara bēgļu plūsma kopumā atstāj pozitīvu ietekmi uz iedzīvotāju skaita dinamiku, tomēr jāņem vērā, ka šis efekts laika gaitā var mazināties, ņemot vērā bēgļu atgriešanos mājās vai dodoties tālāk uz ES valstīm. Ņemot vērā to noturīgs pozitīvs migrācijas saldo sagaidāms vien </w:t>
      </w:r>
      <w:r w:rsidRPr="00B8141F">
        <w:rPr>
          <w:color w:val="000000" w:themeColor="text1"/>
        </w:rPr>
        <w:t>ap 2027./2028.gadu.</w:t>
      </w:r>
    </w:p>
    <w:p w14:paraId="1041D210" w14:textId="77777777" w:rsidR="00814506" w:rsidRPr="00B8141F" w:rsidRDefault="00814506" w:rsidP="00814506">
      <w:pPr>
        <w:spacing w:after="120"/>
        <w:jc w:val="both"/>
      </w:pPr>
    </w:p>
    <w:p w14:paraId="57374276" w14:textId="77777777" w:rsidR="003F161B" w:rsidRDefault="003F161B">
      <w:pPr>
        <w:spacing w:after="0"/>
        <w:rPr>
          <w:rFonts w:ascii="Aptos Narrow" w:hAnsi="Aptos Narrow"/>
          <w:b/>
          <w:color w:val="5F497A" w:themeColor="accent4" w:themeShade="BF"/>
          <w:sz w:val="28"/>
          <w:szCs w:val="28"/>
        </w:rPr>
      </w:pPr>
      <w:r>
        <w:rPr>
          <w:rFonts w:ascii="Aptos Narrow" w:hAnsi="Aptos Narrow"/>
          <w:b/>
          <w:color w:val="5F497A" w:themeColor="accent4" w:themeShade="BF"/>
          <w:sz w:val="28"/>
          <w:szCs w:val="28"/>
        </w:rPr>
        <w:br w:type="page"/>
      </w:r>
    </w:p>
    <w:p w14:paraId="321B359F" w14:textId="7C39F9F6" w:rsidR="00035D66" w:rsidRPr="003F161B" w:rsidRDefault="00035D66" w:rsidP="00814506">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lastRenderedPageBreak/>
        <w:t>Iedzīvotāju skaita un vecumstruktūras izmaiņas</w:t>
      </w:r>
    </w:p>
    <w:p w14:paraId="621352F6" w14:textId="56698070" w:rsidR="00361642" w:rsidRPr="00CB0929" w:rsidRDefault="00361642" w:rsidP="00814506">
      <w:pPr>
        <w:spacing w:after="120"/>
        <w:jc w:val="both"/>
      </w:pPr>
      <w:r w:rsidRPr="00B8141F">
        <w:t xml:space="preserve">Kopumā sagaidāms, ka iedzīvotāju skaits 2040.gadā Latvijā varētu samazināties līdz 1,76 milj., kas ir par aptuveni 6,6% jeb 125 </w:t>
      </w:r>
      <w:r w:rsidRPr="00353221">
        <w:t>tūkst</w:t>
      </w:r>
      <w:r w:rsidRPr="00CB0929">
        <w:t>. mazāk nekā 2023.gada sākumā. Jāatzīmē, salīdzinot ar 2022.gada EM demogrāfijas prognožu mērķa scenāriju</w:t>
      </w:r>
      <w:r w:rsidRPr="00CB0929">
        <w:rPr>
          <w:vertAlign w:val="superscript"/>
        </w:rPr>
        <w:footnoteReference w:id="17"/>
      </w:r>
      <w:r w:rsidRPr="00CB0929">
        <w:t xml:space="preserve">, iedzīvotāju skaita prognozes kopumā pārskatītas uz augšu (2040.gadā par 28,3 tūkst. vairāk nekā 2022.gada prognozēs), ko galvenokārt ietekmējis lielāks bēgļu pieplūdums Ukrainas nekā iepriekš prognozēts, kā arī zemāki mirstības rādītāji. </w:t>
      </w:r>
    </w:p>
    <w:p w14:paraId="2CFEED1C" w14:textId="47CF6397" w:rsidR="00035D66" w:rsidRPr="00CB0929" w:rsidRDefault="00035D66" w:rsidP="005664E2">
      <w:pPr>
        <w:spacing w:after="120"/>
        <w:jc w:val="right"/>
        <w:rPr>
          <w:szCs w:val="20"/>
        </w:rPr>
      </w:pPr>
      <w:r w:rsidRPr="00CB0929">
        <w:rPr>
          <w:szCs w:val="20"/>
        </w:rPr>
        <w:t>3.3. tabula</w:t>
      </w:r>
    </w:p>
    <w:p w14:paraId="4ADB1D11" w14:textId="77777777" w:rsidR="00035D66" w:rsidRPr="00CB0929" w:rsidRDefault="00035D66" w:rsidP="00035D66">
      <w:pPr>
        <w:pStyle w:val="9pirmstab3"/>
        <w:tabs>
          <w:tab w:val="left" w:pos="720"/>
        </w:tabs>
        <w:suppressAutoHyphens/>
        <w:spacing w:after="120"/>
        <w:rPr>
          <w:rFonts w:ascii="Segoe UI Light" w:hAnsi="Segoe UI Light"/>
          <w:bCs/>
          <w:i/>
          <w:sz w:val="16"/>
          <w:szCs w:val="18"/>
        </w:rPr>
      </w:pPr>
      <w:r w:rsidRPr="00CB0929">
        <w:rPr>
          <w:rFonts w:ascii="Segoe UI Light" w:hAnsi="Segoe UI Light"/>
          <w:b/>
          <w:bCs/>
          <w:szCs w:val="18"/>
        </w:rPr>
        <w:t>Iedzīvotāju dabiskās kustības galvenie rādītāji</w:t>
      </w:r>
      <w:r w:rsidRPr="00CB0929">
        <w:rPr>
          <w:rFonts w:ascii="Segoe UI Light" w:hAnsi="Segoe UI Light"/>
          <w:b/>
          <w:bCs/>
          <w:szCs w:val="18"/>
        </w:rPr>
        <w:br/>
      </w:r>
      <w:r w:rsidRPr="00CB0929">
        <w:rPr>
          <w:rFonts w:ascii="Segoe UI Light" w:hAnsi="Segoe UI Light"/>
          <w:bCs/>
          <w:i/>
          <w:sz w:val="16"/>
          <w:szCs w:val="18"/>
        </w:rPr>
        <w:t>tūkstošos</w:t>
      </w:r>
    </w:p>
    <w:tbl>
      <w:tblPr>
        <w:tblStyle w:val="GridTable5Dark-Accent31"/>
        <w:tblW w:w="6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969"/>
        <w:gridCol w:w="850"/>
        <w:gridCol w:w="850"/>
        <w:gridCol w:w="850"/>
      </w:tblGrid>
      <w:tr w:rsidR="0078478C" w:rsidRPr="00CB0929" w14:paraId="0A1DB8B4" w14:textId="77777777">
        <w:trPr>
          <w:cnfStyle w:val="100000000000" w:firstRow="1" w:lastRow="0" w:firstColumn="0" w:lastColumn="0" w:oddVBand="0" w:evenVBand="0" w:oddHBand="0" w:evenHBand="0" w:firstRowFirstColumn="0" w:firstRowLastColumn="0" w:lastRowFirstColumn="0" w:lastRowLastColumn="0"/>
          <w:jc w:val="center"/>
        </w:trPr>
        <w:tc>
          <w:tcPr>
            <w:tcW w:w="3969" w:type="dxa"/>
            <w:shd w:val="clear" w:color="auto" w:fill="5F497A" w:themeFill="accent4" w:themeFillShade="BF"/>
          </w:tcPr>
          <w:p w14:paraId="52F70378" w14:textId="77777777" w:rsidR="00035D66" w:rsidRPr="00CB0929" w:rsidRDefault="00035D66">
            <w:pPr>
              <w:numPr>
                <w:ilvl w:val="12"/>
                <w:numId w:val="0"/>
              </w:numPr>
              <w:spacing w:before="40" w:after="40"/>
              <w:jc w:val="center"/>
              <w:rPr>
                <w:rFonts w:ascii="Segoe UI Light" w:hAnsi="Segoe UI Light"/>
                <w:b w:val="0"/>
                <w:sz w:val="16"/>
                <w:szCs w:val="16"/>
              </w:rPr>
            </w:pPr>
          </w:p>
        </w:tc>
        <w:tc>
          <w:tcPr>
            <w:tcW w:w="850" w:type="dxa"/>
            <w:shd w:val="clear" w:color="auto" w:fill="5F497A" w:themeFill="accent4" w:themeFillShade="BF"/>
          </w:tcPr>
          <w:p w14:paraId="694CFAD1" w14:textId="77777777" w:rsidR="00035D66" w:rsidRPr="00CB0929" w:rsidRDefault="00035D66">
            <w:pPr>
              <w:keepLines/>
              <w:numPr>
                <w:ilvl w:val="12"/>
                <w:numId w:val="0"/>
              </w:numPr>
              <w:spacing w:before="40" w:after="40"/>
              <w:ind w:left="-79" w:right="-56"/>
              <w:jc w:val="center"/>
              <w:rPr>
                <w:rFonts w:ascii="Segoe UI Light" w:hAnsi="Segoe UI Light"/>
                <w:sz w:val="16"/>
                <w:szCs w:val="16"/>
              </w:rPr>
            </w:pPr>
            <w:r w:rsidRPr="00CB0929">
              <w:rPr>
                <w:rFonts w:ascii="Segoe UI Light" w:hAnsi="Segoe UI Light"/>
                <w:sz w:val="16"/>
                <w:szCs w:val="16"/>
              </w:rPr>
              <w:t>2023</w:t>
            </w:r>
          </w:p>
        </w:tc>
        <w:tc>
          <w:tcPr>
            <w:tcW w:w="850" w:type="dxa"/>
            <w:shd w:val="clear" w:color="auto" w:fill="5F497A" w:themeFill="accent4" w:themeFillShade="BF"/>
          </w:tcPr>
          <w:p w14:paraId="493F172A" w14:textId="77777777" w:rsidR="00035D66" w:rsidRPr="00CB0929" w:rsidRDefault="00035D66">
            <w:pPr>
              <w:keepLines/>
              <w:numPr>
                <w:ilvl w:val="12"/>
                <w:numId w:val="0"/>
              </w:numPr>
              <w:spacing w:before="40" w:after="40"/>
              <w:ind w:left="-79" w:right="-56"/>
              <w:jc w:val="center"/>
              <w:rPr>
                <w:rFonts w:ascii="Segoe UI Light" w:hAnsi="Segoe UI Light"/>
                <w:sz w:val="16"/>
                <w:szCs w:val="16"/>
              </w:rPr>
            </w:pPr>
            <w:r w:rsidRPr="00CB0929">
              <w:rPr>
                <w:rFonts w:ascii="Segoe UI Light" w:hAnsi="Segoe UI Light"/>
                <w:sz w:val="16"/>
                <w:szCs w:val="16"/>
              </w:rPr>
              <w:t>2030</w:t>
            </w:r>
          </w:p>
        </w:tc>
        <w:tc>
          <w:tcPr>
            <w:tcW w:w="850" w:type="dxa"/>
            <w:shd w:val="clear" w:color="auto" w:fill="5F497A" w:themeFill="accent4" w:themeFillShade="BF"/>
          </w:tcPr>
          <w:p w14:paraId="14688E09" w14:textId="77777777" w:rsidR="00035D66" w:rsidRPr="00CB0929" w:rsidRDefault="00035D66">
            <w:pPr>
              <w:keepLines/>
              <w:numPr>
                <w:ilvl w:val="12"/>
                <w:numId w:val="0"/>
              </w:numPr>
              <w:spacing w:before="40" w:after="40"/>
              <w:ind w:left="-79" w:right="-56"/>
              <w:jc w:val="center"/>
              <w:rPr>
                <w:rFonts w:ascii="Segoe UI Light" w:hAnsi="Segoe UI Light"/>
                <w:sz w:val="16"/>
                <w:szCs w:val="16"/>
              </w:rPr>
            </w:pPr>
            <w:r w:rsidRPr="00CB0929">
              <w:rPr>
                <w:rFonts w:ascii="Segoe UI Light" w:hAnsi="Segoe UI Light"/>
                <w:sz w:val="16"/>
                <w:szCs w:val="16"/>
              </w:rPr>
              <w:t>2040</w:t>
            </w:r>
          </w:p>
        </w:tc>
      </w:tr>
      <w:tr w:rsidR="0078478C" w:rsidRPr="00CB0929" w14:paraId="782C776A" w14:textId="77777777">
        <w:trPr>
          <w:cnfStyle w:val="000000100000" w:firstRow="0" w:lastRow="0" w:firstColumn="0" w:lastColumn="0" w:oddVBand="0" w:evenVBand="0" w:oddHBand="1" w:evenHBand="0" w:firstRowFirstColumn="0" w:firstRowLastColumn="0" w:lastRowFirstColumn="0" w:lastRowLastColumn="0"/>
          <w:jc w:val="center"/>
        </w:trPr>
        <w:tc>
          <w:tcPr>
            <w:tcW w:w="3969" w:type="dxa"/>
            <w:shd w:val="clear" w:color="auto" w:fill="E5DFEC" w:themeFill="accent4" w:themeFillTint="33"/>
            <w:hideMark/>
          </w:tcPr>
          <w:p w14:paraId="3143852B" w14:textId="7C8831EF" w:rsidR="00361642" w:rsidRPr="00CB0929" w:rsidRDefault="00361642" w:rsidP="00361642">
            <w:pPr>
              <w:numPr>
                <w:ilvl w:val="12"/>
                <w:numId w:val="0"/>
              </w:numPr>
              <w:spacing w:before="40" w:after="40"/>
              <w:rPr>
                <w:rFonts w:ascii="Segoe UI Light" w:hAnsi="Segoe UI Light"/>
                <w:sz w:val="16"/>
                <w:szCs w:val="16"/>
              </w:rPr>
            </w:pPr>
            <w:r w:rsidRPr="00CB0929">
              <w:rPr>
                <w:rFonts w:ascii="Segoe UI Light" w:hAnsi="Segoe UI Light"/>
                <w:sz w:val="16"/>
                <w:szCs w:val="16"/>
              </w:rPr>
              <w:t>Iedzīvotāju skaits</w:t>
            </w:r>
            <w:r w:rsidR="0033481B" w:rsidRPr="00CB0929">
              <w:rPr>
                <w:rFonts w:ascii="Segoe UI Light" w:hAnsi="Segoe UI Light"/>
                <w:sz w:val="16"/>
                <w:szCs w:val="16"/>
              </w:rPr>
              <w:t xml:space="preserve"> </w:t>
            </w:r>
            <w:r w:rsidRPr="00CB0929">
              <w:rPr>
                <w:rFonts w:ascii="Segoe UI Light" w:hAnsi="Segoe UI Light"/>
                <w:sz w:val="16"/>
                <w:szCs w:val="16"/>
              </w:rPr>
              <w:t>gada sākumā</w:t>
            </w:r>
          </w:p>
        </w:tc>
        <w:tc>
          <w:tcPr>
            <w:tcW w:w="850" w:type="dxa"/>
            <w:shd w:val="clear" w:color="auto" w:fill="E5DFEC" w:themeFill="accent4" w:themeFillTint="33"/>
            <w:hideMark/>
          </w:tcPr>
          <w:p w14:paraId="065889CF" w14:textId="4B202EB9" w:rsidR="00361642" w:rsidRPr="00CB0929" w:rsidRDefault="00361642" w:rsidP="00361642">
            <w:pPr>
              <w:spacing w:before="40" w:after="40"/>
              <w:jc w:val="center"/>
              <w:rPr>
                <w:rFonts w:ascii="Segoe UI Light" w:hAnsi="Segoe UI Light"/>
                <w:sz w:val="16"/>
                <w:szCs w:val="16"/>
              </w:rPr>
            </w:pPr>
            <w:r w:rsidRPr="00CB0929">
              <w:rPr>
                <w:rFonts w:ascii="Segoe UI Light" w:hAnsi="Segoe UI Light"/>
                <w:sz w:val="16"/>
                <w:szCs w:val="16"/>
              </w:rPr>
              <w:t>1</w:t>
            </w:r>
            <w:r w:rsidR="0033481B" w:rsidRPr="00CB0929">
              <w:rPr>
                <w:rFonts w:ascii="Segoe UI Light" w:hAnsi="Segoe UI Light"/>
                <w:sz w:val="16"/>
                <w:szCs w:val="16"/>
              </w:rPr>
              <w:t xml:space="preserve"> </w:t>
            </w:r>
            <w:r w:rsidRPr="00CB0929">
              <w:rPr>
                <w:rFonts w:ascii="Segoe UI Light" w:hAnsi="Segoe UI Light"/>
                <w:sz w:val="16"/>
                <w:szCs w:val="16"/>
              </w:rPr>
              <w:t>883</w:t>
            </w:r>
          </w:p>
        </w:tc>
        <w:tc>
          <w:tcPr>
            <w:tcW w:w="850" w:type="dxa"/>
            <w:shd w:val="clear" w:color="auto" w:fill="E5DFEC" w:themeFill="accent4" w:themeFillTint="33"/>
            <w:hideMark/>
          </w:tcPr>
          <w:p w14:paraId="0DAB6CBF" w14:textId="3000CDBA" w:rsidR="00361642" w:rsidRPr="00CB0929" w:rsidRDefault="00361642" w:rsidP="00361642">
            <w:pPr>
              <w:spacing w:before="40" w:after="40"/>
              <w:jc w:val="center"/>
              <w:rPr>
                <w:rFonts w:ascii="Segoe UI Light" w:hAnsi="Segoe UI Light"/>
                <w:sz w:val="16"/>
                <w:szCs w:val="16"/>
              </w:rPr>
            </w:pPr>
            <w:r w:rsidRPr="00CB0929">
              <w:rPr>
                <w:rFonts w:ascii="Segoe UI Light" w:hAnsi="Segoe UI Light"/>
                <w:sz w:val="16"/>
                <w:szCs w:val="16"/>
              </w:rPr>
              <w:t>1</w:t>
            </w:r>
            <w:r w:rsidR="0033481B" w:rsidRPr="00CB0929">
              <w:rPr>
                <w:rFonts w:ascii="Segoe UI Light" w:hAnsi="Segoe UI Light"/>
                <w:sz w:val="16"/>
                <w:szCs w:val="16"/>
              </w:rPr>
              <w:t xml:space="preserve"> </w:t>
            </w:r>
            <w:r w:rsidRPr="00CB0929">
              <w:rPr>
                <w:rFonts w:ascii="Segoe UI Light" w:hAnsi="Segoe UI Light"/>
                <w:sz w:val="16"/>
                <w:szCs w:val="16"/>
              </w:rPr>
              <w:t>798</w:t>
            </w:r>
          </w:p>
        </w:tc>
        <w:tc>
          <w:tcPr>
            <w:tcW w:w="850" w:type="dxa"/>
            <w:shd w:val="clear" w:color="auto" w:fill="E5DFEC" w:themeFill="accent4" w:themeFillTint="33"/>
            <w:hideMark/>
          </w:tcPr>
          <w:p w14:paraId="047784C0" w14:textId="4D162D5E" w:rsidR="00361642" w:rsidRPr="00CB0929" w:rsidRDefault="00361642" w:rsidP="00361642">
            <w:pPr>
              <w:spacing w:before="40" w:after="40"/>
              <w:jc w:val="center"/>
              <w:rPr>
                <w:rFonts w:ascii="Segoe UI Light" w:hAnsi="Segoe UI Light"/>
                <w:sz w:val="16"/>
                <w:szCs w:val="16"/>
              </w:rPr>
            </w:pPr>
            <w:r w:rsidRPr="00CB0929">
              <w:rPr>
                <w:rFonts w:ascii="Segoe UI Light" w:hAnsi="Segoe UI Light"/>
                <w:sz w:val="16"/>
                <w:szCs w:val="16"/>
              </w:rPr>
              <w:t>1</w:t>
            </w:r>
            <w:r w:rsidR="0033481B" w:rsidRPr="00CB0929">
              <w:rPr>
                <w:rFonts w:ascii="Segoe UI Light" w:hAnsi="Segoe UI Light"/>
                <w:sz w:val="16"/>
                <w:szCs w:val="16"/>
              </w:rPr>
              <w:t xml:space="preserve"> </w:t>
            </w:r>
            <w:r w:rsidRPr="00CB0929">
              <w:rPr>
                <w:rFonts w:ascii="Segoe UI Light" w:hAnsi="Segoe UI Light"/>
                <w:sz w:val="16"/>
                <w:szCs w:val="16"/>
              </w:rPr>
              <w:t>758</w:t>
            </w:r>
          </w:p>
        </w:tc>
      </w:tr>
      <w:tr w:rsidR="0078478C" w:rsidRPr="00CB0929" w14:paraId="330BD762" w14:textId="77777777">
        <w:trPr>
          <w:jc w:val="center"/>
        </w:trPr>
        <w:tc>
          <w:tcPr>
            <w:tcW w:w="3969" w:type="dxa"/>
            <w:shd w:val="clear" w:color="auto" w:fill="CCC0D9" w:themeFill="accent4" w:themeFillTint="66"/>
            <w:hideMark/>
          </w:tcPr>
          <w:p w14:paraId="5CEE0A27" w14:textId="3D044337" w:rsidR="00361642" w:rsidRPr="00CB0929" w:rsidRDefault="00361642" w:rsidP="00361642">
            <w:pPr>
              <w:numPr>
                <w:ilvl w:val="12"/>
                <w:numId w:val="0"/>
              </w:numPr>
              <w:spacing w:before="40" w:after="40"/>
              <w:rPr>
                <w:rFonts w:ascii="Segoe UI Light" w:hAnsi="Segoe UI Light"/>
                <w:sz w:val="16"/>
                <w:szCs w:val="16"/>
              </w:rPr>
            </w:pPr>
            <w:r w:rsidRPr="00CB0929">
              <w:rPr>
                <w:rFonts w:ascii="Segoe UI Light" w:hAnsi="Segoe UI Light"/>
                <w:sz w:val="16"/>
                <w:szCs w:val="16"/>
              </w:rPr>
              <w:t>Iedzīvotāju skaita izmaiņas, salīdzinot ar 2021.gadu</w:t>
            </w:r>
          </w:p>
        </w:tc>
        <w:tc>
          <w:tcPr>
            <w:tcW w:w="850" w:type="dxa"/>
            <w:shd w:val="clear" w:color="auto" w:fill="CCC0D9" w:themeFill="accent4" w:themeFillTint="66"/>
          </w:tcPr>
          <w:p w14:paraId="330862B2" w14:textId="77777777" w:rsidR="00361642" w:rsidRPr="00CB0929" w:rsidRDefault="00361642" w:rsidP="00361642">
            <w:pPr>
              <w:tabs>
                <w:tab w:val="decimal" w:pos="317"/>
              </w:tabs>
              <w:spacing w:before="40" w:after="40"/>
              <w:rPr>
                <w:rFonts w:ascii="Segoe UI Light" w:hAnsi="Segoe UI Light"/>
                <w:sz w:val="16"/>
                <w:szCs w:val="16"/>
              </w:rPr>
            </w:pPr>
            <w:r w:rsidRPr="00CB0929">
              <w:rPr>
                <w:rFonts w:ascii="Segoe UI Light" w:hAnsi="Segoe UI Light"/>
                <w:sz w:val="16"/>
                <w:szCs w:val="16"/>
              </w:rPr>
              <w:t>–</w:t>
            </w:r>
          </w:p>
        </w:tc>
        <w:tc>
          <w:tcPr>
            <w:tcW w:w="850" w:type="dxa"/>
            <w:shd w:val="clear" w:color="auto" w:fill="CCC0D9" w:themeFill="accent4" w:themeFillTint="66"/>
            <w:hideMark/>
          </w:tcPr>
          <w:p w14:paraId="63BF090C" w14:textId="550AF841" w:rsidR="00361642" w:rsidRPr="00CB0929" w:rsidRDefault="00361642" w:rsidP="00361642">
            <w:pPr>
              <w:spacing w:before="40" w:after="40"/>
              <w:jc w:val="center"/>
              <w:rPr>
                <w:rFonts w:ascii="Segoe UI Light" w:hAnsi="Segoe UI Light"/>
                <w:sz w:val="16"/>
                <w:szCs w:val="16"/>
              </w:rPr>
            </w:pPr>
            <w:r w:rsidRPr="00CB0929">
              <w:rPr>
                <w:rFonts w:ascii="Segoe UI Light" w:hAnsi="Segoe UI Light"/>
                <w:sz w:val="16"/>
                <w:szCs w:val="16"/>
              </w:rPr>
              <w:t>-84</w:t>
            </w:r>
            <w:r w:rsidR="005C593D">
              <w:rPr>
                <w:rFonts w:ascii="Segoe UI Light" w:hAnsi="Segoe UI Light"/>
                <w:sz w:val="16"/>
                <w:szCs w:val="16"/>
              </w:rPr>
              <w:t>,</w:t>
            </w:r>
            <w:r w:rsidRPr="00CB0929">
              <w:rPr>
                <w:rFonts w:ascii="Segoe UI Light" w:hAnsi="Segoe UI Light"/>
                <w:sz w:val="16"/>
                <w:szCs w:val="16"/>
              </w:rPr>
              <w:t>8</w:t>
            </w:r>
          </w:p>
        </w:tc>
        <w:tc>
          <w:tcPr>
            <w:tcW w:w="850" w:type="dxa"/>
            <w:shd w:val="clear" w:color="auto" w:fill="CCC0D9" w:themeFill="accent4" w:themeFillTint="66"/>
            <w:hideMark/>
          </w:tcPr>
          <w:p w14:paraId="32CB0F04" w14:textId="34BC57F1" w:rsidR="00361642" w:rsidRPr="00CB0929" w:rsidRDefault="00361642" w:rsidP="00361642">
            <w:pPr>
              <w:spacing w:before="40" w:after="40"/>
              <w:jc w:val="center"/>
              <w:rPr>
                <w:rFonts w:ascii="Segoe UI Light" w:hAnsi="Segoe UI Light"/>
                <w:sz w:val="16"/>
                <w:szCs w:val="16"/>
              </w:rPr>
            </w:pPr>
            <w:r w:rsidRPr="00CB0929">
              <w:rPr>
                <w:rFonts w:ascii="Segoe UI Light" w:hAnsi="Segoe UI Light"/>
                <w:sz w:val="16"/>
                <w:szCs w:val="16"/>
              </w:rPr>
              <w:t>-125</w:t>
            </w:r>
            <w:r w:rsidR="005C593D">
              <w:rPr>
                <w:rFonts w:ascii="Segoe UI Light" w:hAnsi="Segoe UI Light"/>
                <w:sz w:val="16"/>
                <w:szCs w:val="16"/>
              </w:rPr>
              <w:t>,</w:t>
            </w:r>
            <w:r w:rsidRPr="00CB0929">
              <w:rPr>
                <w:rFonts w:ascii="Segoe UI Light" w:hAnsi="Segoe UI Light"/>
                <w:sz w:val="16"/>
                <w:szCs w:val="16"/>
              </w:rPr>
              <w:t>0</w:t>
            </w:r>
          </w:p>
        </w:tc>
      </w:tr>
      <w:tr w:rsidR="0078478C" w:rsidRPr="00CB0929" w14:paraId="26FB3A0F" w14:textId="77777777">
        <w:trPr>
          <w:cnfStyle w:val="000000100000" w:firstRow="0" w:lastRow="0" w:firstColumn="0" w:lastColumn="0" w:oddVBand="0" w:evenVBand="0" w:oddHBand="1" w:evenHBand="0" w:firstRowFirstColumn="0" w:firstRowLastColumn="0" w:lastRowFirstColumn="0" w:lastRowLastColumn="0"/>
          <w:jc w:val="center"/>
        </w:trPr>
        <w:tc>
          <w:tcPr>
            <w:tcW w:w="3969" w:type="dxa"/>
            <w:shd w:val="clear" w:color="auto" w:fill="E5DFEC" w:themeFill="accent4" w:themeFillTint="33"/>
            <w:hideMark/>
          </w:tcPr>
          <w:p w14:paraId="685296A7" w14:textId="77777777" w:rsidR="00361642" w:rsidRPr="00CB0929" w:rsidRDefault="00361642" w:rsidP="00361642">
            <w:pPr>
              <w:numPr>
                <w:ilvl w:val="12"/>
                <w:numId w:val="0"/>
              </w:numPr>
              <w:spacing w:before="40" w:after="40"/>
              <w:ind w:left="199"/>
              <w:rPr>
                <w:rFonts w:ascii="Segoe UI Light" w:hAnsi="Segoe UI Light"/>
                <w:sz w:val="16"/>
                <w:szCs w:val="16"/>
              </w:rPr>
            </w:pPr>
            <w:r w:rsidRPr="00CB0929">
              <w:rPr>
                <w:rFonts w:ascii="Segoe UI Light" w:hAnsi="Segoe UI Light"/>
                <w:sz w:val="16"/>
                <w:szCs w:val="16"/>
              </w:rPr>
              <w:t>t.sk. migrācijas ietekme</w:t>
            </w:r>
          </w:p>
        </w:tc>
        <w:tc>
          <w:tcPr>
            <w:tcW w:w="850" w:type="dxa"/>
            <w:shd w:val="clear" w:color="auto" w:fill="E5DFEC" w:themeFill="accent4" w:themeFillTint="33"/>
          </w:tcPr>
          <w:p w14:paraId="436A6C85" w14:textId="77777777" w:rsidR="00361642" w:rsidRPr="00CB0929" w:rsidRDefault="00361642" w:rsidP="00361642">
            <w:pPr>
              <w:tabs>
                <w:tab w:val="decimal" w:pos="317"/>
              </w:tabs>
              <w:spacing w:before="40" w:after="40"/>
              <w:rPr>
                <w:rFonts w:ascii="Segoe UI Light" w:hAnsi="Segoe UI Light"/>
                <w:sz w:val="16"/>
                <w:szCs w:val="16"/>
              </w:rPr>
            </w:pPr>
            <w:r w:rsidRPr="00CB0929">
              <w:rPr>
                <w:rFonts w:ascii="Segoe UI Light" w:hAnsi="Segoe UI Light"/>
                <w:sz w:val="16"/>
                <w:szCs w:val="16"/>
              </w:rPr>
              <w:t>–</w:t>
            </w:r>
          </w:p>
        </w:tc>
        <w:tc>
          <w:tcPr>
            <w:tcW w:w="850" w:type="dxa"/>
            <w:shd w:val="clear" w:color="auto" w:fill="E5DFEC" w:themeFill="accent4" w:themeFillTint="33"/>
            <w:hideMark/>
          </w:tcPr>
          <w:p w14:paraId="64D1FAB6" w14:textId="1B915030" w:rsidR="00361642" w:rsidRPr="00CB0929" w:rsidRDefault="00361642" w:rsidP="00361642">
            <w:pPr>
              <w:spacing w:before="40" w:after="40"/>
              <w:jc w:val="center"/>
              <w:rPr>
                <w:rFonts w:ascii="Segoe UI Light" w:hAnsi="Segoe UI Light"/>
                <w:sz w:val="16"/>
                <w:szCs w:val="16"/>
              </w:rPr>
            </w:pPr>
            <w:r w:rsidRPr="00CB0929">
              <w:rPr>
                <w:rFonts w:ascii="Segoe UI Light" w:hAnsi="Segoe UI Light"/>
                <w:sz w:val="16"/>
                <w:szCs w:val="16"/>
              </w:rPr>
              <w:t>-0</w:t>
            </w:r>
            <w:r w:rsidR="005C593D">
              <w:rPr>
                <w:rFonts w:ascii="Segoe UI Light" w:hAnsi="Segoe UI Light"/>
                <w:sz w:val="16"/>
                <w:szCs w:val="16"/>
              </w:rPr>
              <w:t>,</w:t>
            </w:r>
            <w:r w:rsidRPr="00CB0929">
              <w:rPr>
                <w:rFonts w:ascii="Segoe UI Light" w:hAnsi="Segoe UI Light"/>
                <w:sz w:val="16"/>
                <w:szCs w:val="16"/>
              </w:rPr>
              <w:t>8</w:t>
            </w:r>
          </w:p>
        </w:tc>
        <w:tc>
          <w:tcPr>
            <w:tcW w:w="850" w:type="dxa"/>
            <w:shd w:val="clear" w:color="auto" w:fill="E5DFEC" w:themeFill="accent4" w:themeFillTint="33"/>
            <w:hideMark/>
          </w:tcPr>
          <w:p w14:paraId="668C147F" w14:textId="02D9A1A4" w:rsidR="00361642" w:rsidRPr="00CB0929" w:rsidRDefault="00361642" w:rsidP="00361642">
            <w:pPr>
              <w:spacing w:before="40" w:after="40"/>
              <w:jc w:val="center"/>
              <w:rPr>
                <w:rFonts w:ascii="Segoe UI Light" w:hAnsi="Segoe UI Light"/>
                <w:sz w:val="16"/>
                <w:szCs w:val="16"/>
              </w:rPr>
            </w:pPr>
            <w:r w:rsidRPr="00CB0929">
              <w:rPr>
                <w:rFonts w:ascii="Segoe UI Light" w:hAnsi="Segoe UI Light"/>
                <w:sz w:val="16"/>
                <w:szCs w:val="16"/>
              </w:rPr>
              <w:t>46</w:t>
            </w:r>
            <w:r w:rsidR="005C593D">
              <w:rPr>
                <w:rFonts w:ascii="Segoe UI Light" w:hAnsi="Segoe UI Light"/>
                <w:sz w:val="16"/>
                <w:szCs w:val="16"/>
              </w:rPr>
              <w:t>,</w:t>
            </w:r>
            <w:r w:rsidRPr="00CB0929">
              <w:rPr>
                <w:rFonts w:ascii="Segoe UI Light" w:hAnsi="Segoe UI Light"/>
                <w:sz w:val="16"/>
                <w:szCs w:val="16"/>
              </w:rPr>
              <w:t>3</w:t>
            </w:r>
          </w:p>
        </w:tc>
      </w:tr>
      <w:tr w:rsidR="0078478C" w:rsidRPr="00CB0929" w14:paraId="78BBC05F" w14:textId="77777777">
        <w:trPr>
          <w:jc w:val="center"/>
        </w:trPr>
        <w:tc>
          <w:tcPr>
            <w:tcW w:w="3969" w:type="dxa"/>
            <w:shd w:val="clear" w:color="auto" w:fill="CCC0D9" w:themeFill="accent4" w:themeFillTint="66"/>
            <w:hideMark/>
          </w:tcPr>
          <w:p w14:paraId="0EEF16D6" w14:textId="77777777" w:rsidR="00361642" w:rsidRPr="00CB0929" w:rsidRDefault="00361642" w:rsidP="00361642">
            <w:pPr>
              <w:numPr>
                <w:ilvl w:val="12"/>
                <w:numId w:val="0"/>
              </w:numPr>
              <w:spacing w:before="40" w:after="40"/>
              <w:ind w:left="199"/>
              <w:rPr>
                <w:rFonts w:ascii="Segoe UI Light" w:hAnsi="Segoe UI Light"/>
                <w:sz w:val="16"/>
                <w:szCs w:val="16"/>
              </w:rPr>
            </w:pPr>
            <w:r w:rsidRPr="00CB0929">
              <w:rPr>
                <w:rFonts w:ascii="Segoe UI Light" w:hAnsi="Segoe UI Light"/>
                <w:sz w:val="16"/>
                <w:szCs w:val="16"/>
              </w:rPr>
              <w:t>t.sk. dabiskā pieauguma ietekme</w:t>
            </w:r>
          </w:p>
        </w:tc>
        <w:tc>
          <w:tcPr>
            <w:tcW w:w="850" w:type="dxa"/>
            <w:shd w:val="clear" w:color="auto" w:fill="CCC0D9" w:themeFill="accent4" w:themeFillTint="66"/>
          </w:tcPr>
          <w:p w14:paraId="054BCADD" w14:textId="77777777" w:rsidR="00361642" w:rsidRPr="00CB0929" w:rsidRDefault="00361642" w:rsidP="00361642">
            <w:pPr>
              <w:tabs>
                <w:tab w:val="decimal" w:pos="317"/>
              </w:tabs>
              <w:spacing w:before="40" w:after="40"/>
              <w:rPr>
                <w:rFonts w:ascii="Segoe UI Light" w:hAnsi="Segoe UI Light"/>
                <w:sz w:val="16"/>
                <w:szCs w:val="16"/>
              </w:rPr>
            </w:pPr>
            <w:r w:rsidRPr="00CB0929">
              <w:rPr>
                <w:rFonts w:ascii="Segoe UI Light" w:hAnsi="Segoe UI Light"/>
                <w:sz w:val="16"/>
                <w:szCs w:val="16"/>
              </w:rPr>
              <w:t>–</w:t>
            </w:r>
          </w:p>
        </w:tc>
        <w:tc>
          <w:tcPr>
            <w:tcW w:w="850" w:type="dxa"/>
            <w:shd w:val="clear" w:color="auto" w:fill="CCC0D9" w:themeFill="accent4" w:themeFillTint="66"/>
            <w:hideMark/>
          </w:tcPr>
          <w:p w14:paraId="47B23FD3" w14:textId="06B80C16" w:rsidR="00361642" w:rsidRPr="00CB0929" w:rsidRDefault="00361642" w:rsidP="00361642">
            <w:pPr>
              <w:spacing w:before="40" w:after="40"/>
              <w:jc w:val="center"/>
              <w:rPr>
                <w:rFonts w:ascii="Segoe UI Light" w:hAnsi="Segoe UI Light"/>
                <w:sz w:val="16"/>
                <w:szCs w:val="16"/>
              </w:rPr>
            </w:pPr>
            <w:r w:rsidRPr="00CB0929">
              <w:rPr>
                <w:rFonts w:ascii="Segoe UI Light" w:hAnsi="Segoe UI Light"/>
                <w:sz w:val="16"/>
                <w:szCs w:val="16"/>
              </w:rPr>
              <w:t>-84</w:t>
            </w:r>
            <w:r w:rsidR="005C593D">
              <w:rPr>
                <w:rFonts w:ascii="Segoe UI Light" w:hAnsi="Segoe UI Light"/>
                <w:sz w:val="16"/>
                <w:szCs w:val="16"/>
              </w:rPr>
              <w:t>,</w:t>
            </w:r>
            <w:r w:rsidRPr="00CB0929">
              <w:rPr>
                <w:rFonts w:ascii="Segoe UI Light" w:hAnsi="Segoe UI Light"/>
                <w:sz w:val="16"/>
                <w:szCs w:val="16"/>
              </w:rPr>
              <w:t>0</w:t>
            </w:r>
          </w:p>
        </w:tc>
        <w:tc>
          <w:tcPr>
            <w:tcW w:w="850" w:type="dxa"/>
            <w:shd w:val="clear" w:color="auto" w:fill="CCC0D9" w:themeFill="accent4" w:themeFillTint="66"/>
            <w:hideMark/>
          </w:tcPr>
          <w:p w14:paraId="1C475CB1" w14:textId="69263349" w:rsidR="00361642" w:rsidRPr="00CB0929" w:rsidRDefault="00361642" w:rsidP="00361642">
            <w:pPr>
              <w:spacing w:before="40" w:after="40"/>
              <w:jc w:val="center"/>
              <w:rPr>
                <w:rFonts w:ascii="Segoe UI Light" w:hAnsi="Segoe UI Light"/>
                <w:sz w:val="16"/>
                <w:szCs w:val="16"/>
              </w:rPr>
            </w:pPr>
            <w:r w:rsidRPr="00CB0929">
              <w:rPr>
                <w:rFonts w:ascii="Segoe UI Light" w:hAnsi="Segoe UI Light"/>
                <w:sz w:val="16"/>
                <w:szCs w:val="16"/>
              </w:rPr>
              <w:t>-171</w:t>
            </w:r>
            <w:r w:rsidR="005C593D">
              <w:rPr>
                <w:rFonts w:ascii="Segoe UI Light" w:hAnsi="Segoe UI Light"/>
                <w:sz w:val="16"/>
                <w:szCs w:val="16"/>
              </w:rPr>
              <w:t>,</w:t>
            </w:r>
            <w:r w:rsidRPr="00CB0929">
              <w:rPr>
                <w:rFonts w:ascii="Segoe UI Light" w:hAnsi="Segoe UI Light"/>
                <w:sz w:val="16"/>
                <w:szCs w:val="16"/>
              </w:rPr>
              <w:t>3</w:t>
            </w:r>
          </w:p>
        </w:tc>
      </w:tr>
    </w:tbl>
    <w:p w14:paraId="55D0070E" w14:textId="1B3E334F" w:rsidR="00035D66" w:rsidRPr="00CB0929" w:rsidRDefault="00035D66" w:rsidP="008F6910">
      <w:pPr>
        <w:spacing w:before="120" w:after="120"/>
        <w:ind w:left="720" w:firstLine="697"/>
        <w:jc w:val="both"/>
        <w:rPr>
          <w:rFonts w:cs="Calibri Light"/>
          <w:sz w:val="16"/>
          <w:szCs w:val="14"/>
        </w:rPr>
      </w:pPr>
      <w:r w:rsidRPr="00CB0929">
        <w:rPr>
          <w:rFonts w:cs="Calibri Light"/>
          <w:sz w:val="16"/>
          <w:szCs w:val="14"/>
        </w:rPr>
        <w:t>Avots: CSP dati 2023.</w:t>
      </w:r>
      <w:r w:rsidR="0080669C" w:rsidRPr="00CB0929">
        <w:rPr>
          <w:rFonts w:cs="Calibri Light"/>
          <w:sz w:val="16"/>
          <w:szCs w:val="14"/>
        </w:rPr>
        <w:t>gad</w:t>
      </w:r>
      <w:r w:rsidRPr="00CB0929">
        <w:rPr>
          <w:rFonts w:cs="Calibri Light"/>
          <w:sz w:val="16"/>
          <w:szCs w:val="14"/>
        </w:rPr>
        <w:t>am, EM prognozes 2030. un 2040.</w:t>
      </w:r>
      <w:r w:rsidR="0080669C" w:rsidRPr="00CB0929">
        <w:rPr>
          <w:rFonts w:cs="Calibri Light"/>
          <w:sz w:val="16"/>
          <w:szCs w:val="14"/>
        </w:rPr>
        <w:t>gad</w:t>
      </w:r>
      <w:r w:rsidRPr="00CB0929">
        <w:rPr>
          <w:rFonts w:cs="Calibri Light"/>
          <w:sz w:val="16"/>
          <w:szCs w:val="14"/>
        </w:rPr>
        <w:t>am</w:t>
      </w:r>
    </w:p>
    <w:p w14:paraId="1FEE3913" w14:textId="77777777" w:rsidR="008F6910" w:rsidRPr="00CB0929" w:rsidRDefault="008F6910" w:rsidP="00814506">
      <w:pPr>
        <w:spacing w:before="120" w:after="120"/>
        <w:jc w:val="both"/>
        <w:rPr>
          <w:rFonts w:cs="Segoe UI"/>
        </w:rPr>
      </w:pPr>
    </w:p>
    <w:p w14:paraId="7650EF82" w14:textId="77777777" w:rsidR="00814506" w:rsidRPr="00CB0929" w:rsidRDefault="00814506" w:rsidP="00814506">
      <w:pPr>
        <w:spacing w:after="120"/>
        <w:jc w:val="both"/>
      </w:pPr>
      <w:r w:rsidRPr="00CB0929">
        <w:t>Jāatzīmē, ka Latvijā jau ilgstoši turpina samazināties iedzīvotāju skaits, turklāt būtiskākais iedzīvotāju skaita samazinājums vērojams starp iedzīvotājiem darbaspējas vecumā. Iedzīvotāju skaita samazinājumu darbaspējas vecumā lielā mērā ietekmējusi iedzīvotāju ekonomiskā emigrācija, jo īpaši laikā pēc 2008.gada globālās finanšu krīzes. Jāņem vērā, ka ekonomisko emigrantu plūsmu galvenokārt veido iedzīvotāji ekonomiski aktīvākajās vecuma grupās, līdz ar to pastiprinot sabiedrības novecošanās tendences, gan arī  kopumā negatīvi ietekmēju iedzīvotāju ataudzi.</w:t>
      </w:r>
    </w:p>
    <w:p w14:paraId="14EAC90D" w14:textId="77777777" w:rsidR="00035D66" w:rsidRPr="00CB0929" w:rsidRDefault="00035D66" w:rsidP="005664E2">
      <w:pPr>
        <w:spacing w:after="120"/>
        <w:jc w:val="right"/>
        <w:rPr>
          <w:color w:val="000000"/>
          <w:szCs w:val="20"/>
        </w:rPr>
      </w:pPr>
      <w:r w:rsidRPr="00CB0929">
        <w:rPr>
          <w:color w:val="000000"/>
          <w:szCs w:val="20"/>
        </w:rPr>
        <w:t>3.4. attēls</w:t>
      </w:r>
    </w:p>
    <w:p w14:paraId="0E2FAA3A" w14:textId="77777777" w:rsidR="00035D66" w:rsidRPr="00CB0929" w:rsidRDefault="00035D66" w:rsidP="00035D66">
      <w:pPr>
        <w:spacing w:after="120"/>
        <w:jc w:val="center"/>
        <w:rPr>
          <w:rFonts w:ascii="Segoe UI Light" w:hAnsi="Segoe UI Light"/>
          <w:color w:val="000000"/>
          <w:sz w:val="16"/>
          <w:szCs w:val="20"/>
        </w:rPr>
      </w:pPr>
      <w:r w:rsidRPr="00CB0929">
        <w:rPr>
          <w:noProof/>
        </w:rPr>
        <mc:AlternateContent>
          <mc:Choice Requires="wps">
            <w:drawing>
              <wp:anchor distT="0" distB="0" distL="114300" distR="114300" simplePos="0" relativeHeight="251658243" behindDoc="0" locked="0" layoutInCell="1" allowOverlap="1" wp14:anchorId="3D80F6DF" wp14:editId="178BA840">
                <wp:simplePos x="0" y="0"/>
                <wp:positionH relativeFrom="column">
                  <wp:posOffset>182245</wp:posOffset>
                </wp:positionH>
                <wp:positionV relativeFrom="paragraph">
                  <wp:posOffset>293370</wp:posOffset>
                </wp:positionV>
                <wp:extent cx="559435" cy="300355"/>
                <wp:effectExtent l="0" t="0" r="0" b="0"/>
                <wp:wrapNone/>
                <wp:docPr id="1344" name="Rectangle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300355"/>
                        </a:xfrm>
                        <a:prstGeom prst="rect">
                          <a:avLst/>
                        </a:prstGeom>
                      </wps:spPr>
                      <wps:txbx>
                        <w:txbxContent>
                          <w:p w14:paraId="7E728A94" w14:textId="77777777" w:rsidR="00B83D7D" w:rsidRPr="000629C8" w:rsidRDefault="00B83D7D" w:rsidP="00035D66">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2,28 milj.</w:t>
                            </w:r>
                          </w:p>
                          <w:p w14:paraId="0B3B4FBF" w14:textId="77777777" w:rsidR="00B83D7D" w:rsidRDefault="00B83D7D" w:rsidP="00035D66">
                            <w:pPr>
                              <w:pStyle w:val="NormalWeb"/>
                              <w:spacing w:before="0" w:beforeAutospacing="0" w:after="0" w:afterAutospacing="0"/>
                              <w:textAlignment w:val="baseline"/>
                              <w:rPr>
                                <w:rFonts w:ascii="Segoe UI Light" w:hAnsi="Segoe UI Light"/>
                                <w:sz w:val="16"/>
                                <w:szCs w:val="16"/>
                              </w:rPr>
                            </w:pPr>
                          </w:p>
                          <w:p w14:paraId="7D6F0F26" w14:textId="77777777" w:rsidR="00B83D7D" w:rsidRPr="00973B07" w:rsidRDefault="00B83D7D" w:rsidP="00035D66">
                            <w:pPr>
                              <w:pStyle w:val="NormalWeb"/>
                              <w:spacing w:before="0" w:beforeAutospacing="0" w:after="0" w:afterAutospacing="0"/>
                              <w:textAlignment w:val="baseline"/>
                              <w:rPr>
                                <w:rFonts w:ascii="Segoe UI Light" w:hAnsi="Segoe UI Light"/>
                                <w:sz w:val="16"/>
                                <w:szCs w:val="16"/>
                              </w:rPr>
                            </w:pPr>
                          </w:p>
                        </w:txbxContent>
                      </wps:txbx>
                      <wps:bodyPr wrap="none">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D80F6DF" id="Rectangle 1344" o:spid="_x0000_s1229" style="position:absolute;left:0;text-align:left;margin-left:14.35pt;margin-top:23.1pt;width:44.05pt;height:23.65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" filled="f" stroked="f">
                <v:textbox>
                  <w:txbxContent>
                    <w:p w14:paraId="7E728A94" w14:textId="77777777" w:rsidR="00B83D7D" w:rsidRPr="000629C8" w:rsidRDefault="00B83D7D" w:rsidP="00035D66">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2,28 milj.</w:t>
                      </w:r>
                    </w:p>
                    <w:p w14:paraId="0B3B4FBF" w14:textId="77777777" w:rsidR="00B83D7D" w:rsidRDefault="00B83D7D" w:rsidP="00035D66">
                      <w:pPr>
                        <w:pStyle w:val="NormalWeb"/>
                        <w:spacing w:before="0" w:beforeAutospacing="0" w:after="0" w:afterAutospacing="0"/>
                        <w:textAlignment w:val="baseline"/>
                        <w:rPr>
                          <w:rFonts w:ascii="Segoe UI Light" w:hAnsi="Segoe UI Light"/>
                          <w:sz w:val="16"/>
                          <w:szCs w:val="16"/>
                        </w:rPr>
                      </w:pPr>
                    </w:p>
                    <w:p w14:paraId="7D6F0F26" w14:textId="77777777" w:rsidR="00B83D7D" w:rsidRPr="00973B07" w:rsidRDefault="00B83D7D" w:rsidP="00035D66">
                      <w:pPr>
                        <w:pStyle w:val="NormalWeb"/>
                        <w:spacing w:before="0" w:beforeAutospacing="0" w:after="0" w:afterAutospacing="0"/>
                        <w:textAlignment w:val="baseline"/>
                        <w:rPr>
                          <w:rFonts w:ascii="Segoe UI Light" w:hAnsi="Segoe UI Light"/>
                          <w:sz w:val="16"/>
                          <w:szCs w:val="16"/>
                        </w:rPr>
                      </w:pPr>
                    </w:p>
                  </w:txbxContent>
                </v:textbox>
              </v:rect>
            </w:pict>
          </mc:Fallback>
        </mc:AlternateContent>
      </w:r>
      <w:r w:rsidRPr="00CB0929">
        <w:rPr>
          <w:rFonts w:ascii="Segoe UI Light" w:hAnsi="Segoe UI Light"/>
          <w:b/>
          <w:color w:val="000000"/>
          <w:sz w:val="18"/>
          <w:szCs w:val="20"/>
        </w:rPr>
        <w:t>Iedzīvotāju skaita sadalījums pa vecuma grupām</w:t>
      </w:r>
      <w:r w:rsidRPr="00CB0929">
        <w:rPr>
          <w:rFonts w:ascii="Segoe UI Light" w:hAnsi="Segoe UI Light"/>
          <w:b/>
          <w:color w:val="000000"/>
          <w:sz w:val="18"/>
          <w:szCs w:val="20"/>
        </w:rPr>
        <w:br/>
      </w:r>
      <w:r w:rsidRPr="00CB0929">
        <w:rPr>
          <w:rFonts w:ascii="Segoe UI Light" w:hAnsi="Segoe UI Light"/>
          <w:i/>
          <w:color w:val="000000"/>
          <w:sz w:val="16"/>
          <w:szCs w:val="20"/>
        </w:rPr>
        <w:t>milj. un procentos</w:t>
      </w:r>
    </w:p>
    <w:p w14:paraId="55A236E1" w14:textId="4BFCAEC6" w:rsidR="00035D66" w:rsidRPr="00CB0929" w:rsidRDefault="008F6910" w:rsidP="00035D66">
      <w:pPr>
        <w:jc w:val="both"/>
        <w:rPr>
          <w:rFonts w:ascii="Segoe UI Light" w:hAnsi="Segoe UI Light" w:cs="Segoe UI"/>
          <w:sz w:val="18"/>
          <w:szCs w:val="18"/>
        </w:rPr>
      </w:pPr>
      <w:r w:rsidRPr="00CB0929">
        <w:rPr>
          <w:noProof/>
        </w:rPr>
        <mc:AlternateContent>
          <mc:Choice Requires="wps">
            <w:drawing>
              <wp:anchor distT="0" distB="0" distL="114299" distR="114299" simplePos="0" relativeHeight="251658242" behindDoc="0" locked="0" layoutInCell="1" allowOverlap="1" wp14:anchorId="42464875" wp14:editId="5EC5D2DE">
                <wp:simplePos x="0" y="0"/>
                <wp:positionH relativeFrom="page">
                  <wp:posOffset>4184193</wp:posOffset>
                </wp:positionH>
                <wp:positionV relativeFrom="paragraph">
                  <wp:posOffset>589280</wp:posOffset>
                </wp:positionV>
                <wp:extent cx="0" cy="1870710"/>
                <wp:effectExtent l="0" t="0" r="19050" b="15240"/>
                <wp:wrapNone/>
                <wp:docPr id="1346" name="Straight Connector 13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70710"/>
                        </a:xfrm>
                        <a:prstGeom prst="line">
                          <a:avLst/>
                        </a:prstGeom>
                        <a:noFill/>
                        <a:ln w="19050" cap="flat" cmpd="sng" algn="ctr">
                          <a:solidFill>
                            <a:sysClr val="windowText" lastClr="000000">
                              <a:lumMod val="65000"/>
                              <a:lumOff val="35000"/>
                              <a:alpha val="59000"/>
                            </a:sys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B15441C" id="Straight Connector 1346" o:spid="_x0000_s1026" style="position:absolute;z-index:25165824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margin;mso-height-relative:margin" from="329.45pt,46.4pt" to="329.45pt,1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" strokecolor="#595959" strokeweight="1.5pt">
                <v:stroke dashstyle="dash" opacity="38550f" joinstyle="miter"/>
                <o:lock v:ext="edit" shapetype="f"/>
                <w10:wrap anchorx="page"/>
              </v:line>
            </w:pict>
          </mc:Fallback>
        </mc:AlternateContent>
      </w:r>
      <w:r w:rsidR="00035D66" w:rsidRPr="00CB0929">
        <w:rPr>
          <w:noProof/>
        </w:rPr>
        <mc:AlternateContent>
          <mc:Choice Requires="wps">
            <w:drawing>
              <wp:anchor distT="0" distB="0" distL="114300" distR="114300" simplePos="0" relativeHeight="251658240" behindDoc="0" locked="0" layoutInCell="1" allowOverlap="1" wp14:anchorId="63C24D8E" wp14:editId="0A996346">
                <wp:simplePos x="0" y="0"/>
                <wp:positionH relativeFrom="page">
                  <wp:posOffset>3894658</wp:posOffset>
                </wp:positionH>
                <wp:positionV relativeFrom="paragraph">
                  <wp:posOffset>265430</wp:posOffset>
                </wp:positionV>
                <wp:extent cx="542925" cy="259080"/>
                <wp:effectExtent l="0" t="0" r="0" b="0"/>
                <wp:wrapNone/>
                <wp:docPr id="1345" name="Rectangle 1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259080"/>
                        </a:xfrm>
                        <a:prstGeom prst="rect">
                          <a:avLst/>
                        </a:prstGeom>
                      </wps:spPr>
                      <wps:txbx>
                        <w:txbxContent>
                          <w:p w14:paraId="28A530EC" w14:textId="77777777" w:rsidR="00B83D7D" w:rsidRPr="000629C8" w:rsidRDefault="00B83D7D" w:rsidP="00035D66">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1,8</w:t>
                            </w:r>
                            <w:r>
                              <w:rPr>
                                <w:rFonts w:ascii="Segoe UI Light" w:hAnsi="Segoe UI Light" w:cs="Aharoni"/>
                                <w:color w:val="404040"/>
                                <w:kern w:val="24"/>
                                <w:sz w:val="16"/>
                                <w:szCs w:val="16"/>
                              </w:rPr>
                              <w:t>8</w:t>
                            </w:r>
                            <w:r w:rsidRPr="000629C8">
                              <w:rPr>
                                <w:rFonts w:ascii="Segoe UI Light" w:hAnsi="Segoe UI Light" w:cs="Aharoni"/>
                                <w:color w:val="404040"/>
                                <w:kern w:val="24"/>
                                <w:sz w:val="16"/>
                                <w:szCs w:val="16"/>
                              </w:rPr>
                              <w:t xml:space="preserve"> milj.</w:t>
                            </w:r>
                          </w:p>
                          <w:p w14:paraId="64529AFC" w14:textId="77777777" w:rsidR="00B83D7D" w:rsidRDefault="00B83D7D" w:rsidP="00035D66">
                            <w:pPr>
                              <w:pStyle w:val="NormalWeb"/>
                              <w:spacing w:before="0" w:beforeAutospacing="0" w:after="0" w:afterAutospacing="0"/>
                              <w:textAlignment w:val="baseline"/>
                              <w:rPr>
                                <w:rFonts w:ascii="Segoe UI Light" w:hAnsi="Segoe UI Light"/>
                                <w:sz w:val="16"/>
                                <w:szCs w:val="16"/>
                              </w:rPr>
                            </w:pPr>
                          </w:p>
                          <w:p w14:paraId="501099CD" w14:textId="77777777" w:rsidR="00B83D7D" w:rsidRPr="00973B07" w:rsidRDefault="00B83D7D" w:rsidP="00035D66">
                            <w:pPr>
                              <w:pStyle w:val="NormalWeb"/>
                              <w:spacing w:before="0" w:beforeAutospacing="0" w:after="0" w:afterAutospacing="0"/>
                              <w:textAlignment w:val="baseline"/>
                              <w:rPr>
                                <w:rFonts w:ascii="Segoe UI Light" w:hAnsi="Segoe UI Light"/>
                                <w:sz w:val="16"/>
                                <w:szCs w:val="16"/>
                              </w:rPr>
                            </w:pPr>
                          </w:p>
                        </w:txbxContent>
                      </wps:txbx>
                      <wps:bodyPr wrap="none">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3C24D8E" id="Rectangle 1345" o:spid="_x0000_s1230" style="position:absolute;left:0;text-align:left;margin-left:306.65pt;margin-top:20.9pt;width:42.75pt;height:20.4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" filled="f" stroked="f">
                <v:textbox>
                  <w:txbxContent>
                    <w:p w14:paraId="28A530EC" w14:textId="77777777" w:rsidR="00B83D7D" w:rsidRPr="000629C8" w:rsidRDefault="00B83D7D" w:rsidP="00035D66">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1,8</w:t>
                      </w:r>
                      <w:r>
                        <w:rPr>
                          <w:rFonts w:ascii="Segoe UI Light" w:hAnsi="Segoe UI Light" w:cs="Aharoni"/>
                          <w:color w:val="404040"/>
                          <w:kern w:val="24"/>
                          <w:sz w:val="16"/>
                          <w:szCs w:val="16"/>
                        </w:rPr>
                        <w:t>8</w:t>
                      </w:r>
                      <w:r w:rsidRPr="000629C8">
                        <w:rPr>
                          <w:rFonts w:ascii="Segoe UI Light" w:hAnsi="Segoe UI Light" w:cs="Aharoni"/>
                          <w:color w:val="404040"/>
                          <w:kern w:val="24"/>
                          <w:sz w:val="16"/>
                          <w:szCs w:val="16"/>
                        </w:rPr>
                        <w:t xml:space="preserve"> milj.</w:t>
                      </w:r>
                    </w:p>
                    <w:p w14:paraId="64529AFC" w14:textId="77777777" w:rsidR="00B83D7D" w:rsidRDefault="00B83D7D" w:rsidP="00035D66">
                      <w:pPr>
                        <w:pStyle w:val="NormalWeb"/>
                        <w:spacing w:before="0" w:beforeAutospacing="0" w:after="0" w:afterAutospacing="0"/>
                        <w:textAlignment w:val="baseline"/>
                        <w:rPr>
                          <w:rFonts w:ascii="Segoe UI Light" w:hAnsi="Segoe UI Light"/>
                          <w:sz w:val="16"/>
                          <w:szCs w:val="16"/>
                        </w:rPr>
                      </w:pPr>
                    </w:p>
                    <w:p w14:paraId="501099CD" w14:textId="77777777" w:rsidR="00B83D7D" w:rsidRPr="00973B07" w:rsidRDefault="00B83D7D" w:rsidP="00035D66">
                      <w:pPr>
                        <w:pStyle w:val="NormalWeb"/>
                        <w:spacing w:before="0" w:beforeAutospacing="0" w:after="0" w:afterAutospacing="0"/>
                        <w:textAlignment w:val="baseline"/>
                        <w:rPr>
                          <w:rFonts w:ascii="Segoe UI Light" w:hAnsi="Segoe UI Light"/>
                          <w:sz w:val="16"/>
                          <w:szCs w:val="16"/>
                        </w:rPr>
                      </w:pPr>
                    </w:p>
                  </w:txbxContent>
                </v:textbox>
                <w10:wrap anchorx="page"/>
              </v:rect>
            </w:pict>
          </mc:Fallback>
        </mc:AlternateContent>
      </w:r>
      <w:r w:rsidR="00035D66" w:rsidRPr="00CB0929">
        <w:rPr>
          <w:noProof/>
        </w:rPr>
        <mc:AlternateContent>
          <mc:Choice Requires="wps">
            <w:drawing>
              <wp:anchor distT="0" distB="0" distL="114300" distR="114300" simplePos="0" relativeHeight="251658241" behindDoc="0" locked="0" layoutInCell="1" allowOverlap="1" wp14:anchorId="1C28A217" wp14:editId="5DDF1AA7">
                <wp:simplePos x="0" y="0"/>
                <wp:positionH relativeFrom="margin">
                  <wp:posOffset>5183505</wp:posOffset>
                </wp:positionH>
                <wp:positionV relativeFrom="paragraph">
                  <wp:posOffset>406400</wp:posOffset>
                </wp:positionV>
                <wp:extent cx="541655" cy="252730"/>
                <wp:effectExtent l="0" t="0" r="0" b="0"/>
                <wp:wrapNone/>
                <wp:docPr id="1347" name="Rectangle 1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655" cy="252730"/>
                        </a:xfrm>
                        <a:prstGeom prst="rect">
                          <a:avLst/>
                        </a:prstGeom>
                      </wps:spPr>
                      <wps:txbx>
                        <w:txbxContent>
                          <w:p w14:paraId="27E928AA" w14:textId="77777777" w:rsidR="00B83D7D" w:rsidRPr="000629C8" w:rsidRDefault="00B83D7D" w:rsidP="00035D66">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1,7</w:t>
                            </w:r>
                            <w:r>
                              <w:rPr>
                                <w:rFonts w:ascii="Segoe UI Light" w:hAnsi="Segoe UI Light" w:cs="Aharoni"/>
                                <w:color w:val="404040"/>
                                <w:kern w:val="24"/>
                                <w:sz w:val="16"/>
                                <w:szCs w:val="16"/>
                              </w:rPr>
                              <w:t>4</w:t>
                            </w:r>
                            <w:r w:rsidRPr="000629C8">
                              <w:rPr>
                                <w:rFonts w:ascii="Segoe UI Light" w:hAnsi="Segoe UI Light" w:cs="Aharoni"/>
                                <w:color w:val="404040"/>
                                <w:kern w:val="24"/>
                                <w:sz w:val="16"/>
                                <w:szCs w:val="16"/>
                              </w:rPr>
                              <w:t xml:space="preserve"> milj.</w:t>
                            </w:r>
                          </w:p>
                          <w:p w14:paraId="36C9B768" w14:textId="77777777" w:rsidR="00B83D7D" w:rsidRDefault="00B83D7D" w:rsidP="00035D66">
                            <w:pPr>
                              <w:pStyle w:val="NormalWeb"/>
                              <w:spacing w:before="0" w:beforeAutospacing="0" w:after="0" w:afterAutospacing="0"/>
                              <w:textAlignment w:val="baseline"/>
                              <w:rPr>
                                <w:rFonts w:ascii="Segoe UI Light" w:hAnsi="Segoe UI Light"/>
                                <w:sz w:val="16"/>
                                <w:szCs w:val="16"/>
                              </w:rPr>
                            </w:pPr>
                          </w:p>
                          <w:p w14:paraId="738DECB7" w14:textId="77777777" w:rsidR="00B83D7D" w:rsidRPr="00973B07" w:rsidRDefault="00B83D7D" w:rsidP="00035D66">
                            <w:pPr>
                              <w:pStyle w:val="NormalWeb"/>
                              <w:spacing w:before="0" w:beforeAutospacing="0" w:after="0" w:afterAutospacing="0"/>
                              <w:textAlignment w:val="baseline"/>
                              <w:rPr>
                                <w:rFonts w:ascii="Segoe UI Light" w:hAnsi="Segoe UI Light"/>
                                <w:sz w:val="16"/>
                                <w:szCs w:val="16"/>
                              </w:rPr>
                            </w:pPr>
                          </w:p>
                        </w:txbxContent>
                      </wps:txbx>
                      <wps:bodyPr wrap="none">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C28A217" id="Rectangle 1347" o:spid="_x0000_s1231" style="position:absolute;left:0;text-align:left;margin-left:408.15pt;margin-top:32pt;width:42.65pt;height:19.9pt;z-index:251658241;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" filled="f" stroked="f">
                <v:textbox>
                  <w:txbxContent>
                    <w:p w14:paraId="27E928AA" w14:textId="77777777" w:rsidR="00B83D7D" w:rsidRPr="000629C8" w:rsidRDefault="00B83D7D" w:rsidP="00035D66">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1,7</w:t>
                      </w:r>
                      <w:r>
                        <w:rPr>
                          <w:rFonts w:ascii="Segoe UI Light" w:hAnsi="Segoe UI Light" w:cs="Aharoni"/>
                          <w:color w:val="404040"/>
                          <w:kern w:val="24"/>
                          <w:sz w:val="16"/>
                          <w:szCs w:val="16"/>
                        </w:rPr>
                        <w:t>4</w:t>
                      </w:r>
                      <w:r w:rsidRPr="000629C8">
                        <w:rPr>
                          <w:rFonts w:ascii="Segoe UI Light" w:hAnsi="Segoe UI Light" w:cs="Aharoni"/>
                          <w:color w:val="404040"/>
                          <w:kern w:val="24"/>
                          <w:sz w:val="16"/>
                          <w:szCs w:val="16"/>
                        </w:rPr>
                        <w:t xml:space="preserve"> milj.</w:t>
                      </w:r>
                    </w:p>
                    <w:p w14:paraId="36C9B768" w14:textId="77777777" w:rsidR="00B83D7D" w:rsidRDefault="00B83D7D" w:rsidP="00035D66">
                      <w:pPr>
                        <w:pStyle w:val="NormalWeb"/>
                        <w:spacing w:before="0" w:beforeAutospacing="0" w:after="0" w:afterAutospacing="0"/>
                        <w:textAlignment w:val="baseline"/>
                        <w:rPr>
                          <w:rFonts w:ascii="Segoe UI Light" w:hAnsi="Segoe UI Light"/>
                          <w:sz w:val="16"/>
                          <w:szCs w:val="16"/>
                        </w:rPr>
                      </w:pPr>
                    </w:p>
                    <w:p w14:paraId="738DECB7" w14:textId="77777777" w:rsidR="00B83D7D" w:rsidRPr="00973B07" w:rsidRDefault="00B83D7D" w:rsidP="00035D66">
                      <w:pPr>
                        <w:pStyle w:val="NormalWeb"/>
                        <w:spacing w:before="0" w:beforeAutospacing="0" w:after="0" w:afterAutospacing="0"/>
                        <w:textAlignment w:val="baseline"/>
                        <w:rPr>
                          <w:rFonts w:ascii="Segoe UI Light" w:hAnsi="Segoe UI Light"/>
                          <w:sz w:val="16"/>
                          <w:szCs w:val="16"/>
                        </w:rPr>
                      </w:pPr>
                    </w:p>
                  </w:txbxContent>
                </v:textbox>
                <w10:wrap anchorx="margin"/>
              </v:rect>
            </w:pict>
          </mc:Fallback>
        </mc:AlternateContent>
      </w:r>
      <w:r w:rsidRPr="00CB0929">
        <w:rPr>
          <w:rFonts w:ascii="Segoe UI Light" w:hAnsi="Segoe UI Light"/>
          <w:noProof/>
          <w:color w:val="000000"/>
          <w:sz w:val="16"/>
          <w:szCs w:val="16"/>
          <w:lang w:eastAsia="lv-LV"/>
        </w:rPr>
        <w:drawing>
          <wp:inline distT="0" distB="0" distL="0" distR="0" wp14:anchorId="15B95459" wp14:editId="01E58FF3">
            <wp:extent cx="5759450" cy="2729552"/>
            <wp:effectExtent l="0" t="0" r="0" b="0"/>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4B203E56" w14:textId="166DE350" w:rsidR="00035D66" w:rsidRPr="00CB0929" w:rsidRDefault="00035D66" w:rsidP="00035D66">
      <w:pPr>
        <w:jc w:val="both"/>
        <w:rPr>
          <w:rFonts w:cs="Calibri Light"/>
          <w:sz w:val="16"/>
          <w:szCs w:val="14"/>
        </w:rPr>
      </w:pPr>
      <w:r w:rsidRPr="00CB0929">
        <w:rPr>
          <w:rFonts w:cs="Calibri Light"/>
          <w:sz w:val="16"/>
          <w:szCs w:val="14"/>
        </w:rPr>
        <w:t>Avots: CSP dati līdz 2023.</w:t>
      </w:r>
      <w:r w:rsidR="0080669C" w:rsidRPr="00CB0929">
        <w:rPr>
          <w:rFonts w:cs="Calibri Light"/>
          <w:sz w:val="16"/>
          <w:szCs w:val="14"/>
        </w:rPr>
        <w:t>gad</w:t>
      </w:r>
      <w:r w:rsidRPr="00CB0929">
        <w:rPr>
          <w:rFonts w:cs="Calibri Light"/>
          <w:sz w:val="16"/>
          <w:szCs w:val="14"/>
        </w:rPr>
        <w:t>am, EM prognozes sākot ar 2024.</w:t>
      </w:r>
      <w:r w:rsidR="0080669C" w:rsidRPr="00CB0929">
        <w:rPr>
          <w:rFonts w:cs="Calibri Light"/>
          <w:sz w:val="16"/>
          <w:szCs w:val="14"/>
        </w:rPr>
        <w:t>gad</w:t>
      </w:r>
      <w:r w:rsidRPr="00CB0929">
        <w:rPr>
          <w:rFonts w:cs="Calibri Light"/>
          <w:sz w:val="16"/>
          <w:szCs w:val="14"/>
        </w:rPr>
        <w:t>u</w:t>
      </w:r>
    </w:p>
    <w:p w14:paraId="495BB46E" w14:textId="77777777" w:rsidR="00814506" w:rsidRPr="00CB0929" w:rsidRDefault="00814506" w:rsidP="00814506">
      <w:pPr>
        <w:spacing w:before="120" w:after="120"/>
        <w:jc w:val="both"/>
        <w:rPr>
          <w:rFonts w:cs="Segoe UI"/>
        </w:rPr>
      </w:pPr>
    </w:p>
    <w:p w14:paraId="191FABC3" w14:textId="7954E82B" w:rsidR="00814506" w:rsidRPr="00CB0929" w:rsidRDefault="00814506" w:rsidP="00814506">
      <w:pPr>
        <w:spacing w:before="120" w:after="120"/>
        <w:jc w:val="both"/>
        <w:rPr>
          <w:rFonts w:cs="Segoe UI"/>
        </w:rPr>
      </w:pPr>
      <w:r w:rsidRPr="00CB0929">
        <w:rPr>
          <w:rFonts w:cs="Segoe UI"/>
        </w:rPr>
        <w:t>Kopumā paredzamas, ka iedzīvotāju skaits vecuma grupā no 15 līdz 64 gadiem līdz 2040.gadam samazināsies par 126,1 tūkst. jeb 10,6%, salīdzinot ar 2023.gada sākumu, vienlaikus iedzīvotāju skaits vecumā no 65 gadiem palielināsies par gandrīz 67 tūkst. jeb 16,9%. Šīs tendences kopumā noteiks, ka iedzīvotāju īpatsvars vecumā no 15 līdz 64 gadiem iedzīvotāju kopskaitā samazināsies no 63% 2023.gadā līdz 60% 2040.gadā.</w:t>
      </w:r>
    </w:p>
    <w:p w14:paraId="6F0D144E" w14:textId="0443FC43" w:rsidR="00814506" w:rsidRDefault="00814506" w:rsidP="00814506">
      <w:pPr>
        <w:spacing w:after="120"/>
        <w:jc w:val="both"/>
        <w:rPr>
          <w:szCs w:val="26"/>
        </w:rPr>
      </w:pPr>
      <w:r w:rsidRPr="00CB0929">
        <w:rPr>
          <w:szCs w:val="26"/>
        </w:rPr>
        <w:lastRenderedPageBreak/>
        <w:t xml:space="preserve">Ņemot vērā sabiedrības novecošanās tendences, sagaidāms, ka iedzīvotāju vidējais vecums līdz 2040.gada varētu pieaugt līdz 45,7 gadiem </w:t>
      </w:r>
      <w:r w:rsidRPr="00CB0929">
        <w:rPr>
          <w:rFonts w:ascii="Segoe UI Light" w:hAnsi="Segoe UI Light"/>
          <w:sz w:val="16"/>
          <w:szCs w:val="16"/>
        </w:rPr>
        <w:t xml:space="preserve">– </w:t>
      </w:r>
      <w:r w:rsidRPr="00CB0929">
        <w:rPr>
          <w:szCs w:val="26"/>
        </w:rPr>
        <w:t>par vidēji 2,8 gadiem, salīdzinot ar 2023.gada sākumu (42,9 gadi).</w:t>
      </w:r>
    </w:p>
    <w:p w14:paraId="11334018" w14:textId="77777777" w:rsidR="000E5937" w:rsidRPr="00CB0929" w:rsidRDefault="000E5937" w:rsidP="000E5937">
      <w:pPr>
        <w:spacing w:after="120"/>
        <w:jc w:val="right"/>
        <w:rPr>
          <w:color w:val="000000"/>
          <w:szCs w:val="20"/>
        </w:rPr>
      </w:pPr>
      <w:r w:rsidRPr="00CB0929">
        <w:rPr>
          <w:color w:val="000000"/>
          <w:szCs w:val="20"/>
        </w:rPr>
        <w:t>3.5. attēls</w:t>
      </w:r>
    </w:p>
    <w:p w14:paraId="762E9B54" w14:textId="77777777" w:rsidR="000E5937" w:rsidRPr="00CB0929" w:rsidRDefault="000E5937" w:rsidP="000E5937">
      <w:pPr>
        <w:spacing w:after="120"/>
        <w:jc w:val="center"/>
        <w:rPr>
          <w:rFonts w:ascii="Segoe UI Light" w:hAnsi="Segoe UI Light"/>
          <w:color w:val="000000"/>
          <w:sz w:val="16"/>
          <w:szCs w:val="20"/>
        </w:rPr>
      </w:pPr>
      <w:r w:rsidRPr="00CB0929">
        <w:rPr>
          <w:rFonts w:ascii="Segoe UI Light" w:hAnsi="Segoe UI Light"/>
          <w:b/>
          <w:color w:val="000000"/>
          <w:sz w:val="18"/>
          <w:szCs w:val="20"/>
        </w:rPr>
        <w:t xml:space="preserve">Iedzīvotāju vecuma un dzimuma struktūra </w:t>
      </w:r>
      <w:r w:rsidRPr="00CB0929">
        <w:rPr>
          <w:rFonts w:ascii="Segoe UI Light" w:hAnsi="Segoe UI Light"/>
          <w:b/>
          <w:color w:val="000000"/>
          <w:sz w:val="18"/>
          <w:szCs w:val="20"/>
        </w:rPr>
        <w:br/>
      </w:r>
      <w:r w:rsidRPr="00CB0929">
        <w:rPr>
          <w:rFonts w:ascii="Segoe UI Light" w:hAnsi="Segoe UI Light"/>
          <w:i/>
          <w:color w:val="000000"/>
          <w:sz w:val="16"/>
          <w:szCs w:val="20"/>
        </w:rPr>
        <w:t>tūkstošos</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5"/>
      </w:tblGrid>
      <w:tr w:rsidR="000E5937" w:rsidRPr="00CB0929" w14:paraId="020A519D" w14:textId="77777777" w:rsidTr="007B5C66">
        <w:tc>
          <w:tcPr>
            <w:tcW w:w="4526" w:type="dxa"/>
            <w:tcMar>
              <w:left w:w="0" w:type="dxa"/>
              <w:right w:w="0" w:type="dxa"/>
            </w:tcMar>
            <w:vAlign w:val="center"/>
          </w:tcPr>
          <w:p w14:paraId="7509D1B6" w14:textId="77777777" w:rsidR="000E5937" w:rsidRPr="00CB0929" w:rsidRDefault="000E5937" w:rsidP="007B5C66">
            <w:pPr>
              <w:spacing w:after="0"/>
              <w:jc w:val="center"/>
              <w:rPr>
                <w:rFonts w:cs="Segoe UI"/>
                <w:b/>
                <w:bCs/>
                <w:szCs w:val="20"/>
              </w:rPr>
            </w:pPr>
            <w:r w:rsidRPr="00CB0929">
              <w:rPr>
                <w:rFonts w:cs="Segoe UI"/>
                <w:b/>
                <w:bCs/>
                <w:szCs w:val="20"/>
              </w:rPr>
              <w:t xml:space="preserve">           2023</w:t>
            </w:r>
            <w:r>
              <w:rPr>
                <w:rFonts w:cs="Segoe UI"/>
                <w:b/>
                <w:bCs/>
                <w:szCs w:val="20"/>
              </w:rPr>
              <w:t>. gad</w:t>
            </w:r>
            <w:r w:rsidRPr="00CB0929">
              <w:rPr>
                <w:rFonts w:cs="Segoe UI"/>
                <w:b/>
                <w:bCs/>
                <w:szCs w:val="20"/>
              </w:rPr>
              <w:t>s</w:t>
            </w:r>
          </w:p>
        </w:tc>
        <w:tc>
          <w:tcPr>
            <w:tcW w:w="4545" w:type="dxa"/>
            <w:tcMar>
              <w:left w:w="0" w:type="dxa"/>
              <w:right w:w="0" w:type="dxa"/>
            </w:tcMar>
            <w:vAlign w:val="center"/>
          </w:tcPr>
          <w:p w14:paraId="14BF180C" w14:textId="77777777" w:rsidR="000E5937" w:rsidRPr="00CB0929" w:rsidRDefault="000E5937" w:rsidP="007B5C66">
            <w:pPr>
              <w:spacing w:after="0"/>
              <w:jc w:val="center"/>
              <w:rPr>
                <w:rFonts w:cs="Segoe UI"/>
                <w:szCs w:val="20"/>
              </w:rPr>
            </w:pPr>
            <w:r w:rsidRPr="00CB0929">
              <w:rPr>
                <w:rFonts w:cs="Segoe UI"/>
                <w:b/>
                <w:bCs/>
                <w:szCs w:val="20"/>
              </w:rPr>
              <w:t xml:space="preserve">          2040</w:t>
            </w:r>
            <w:r>
              <w:rPr>
                <w:rFonts w:cs="Segoe UI"/>
                <w:b/>
                <w:bCs/>
                <w:szCs w:val="20"/>
              </w:rPr>
              <w:t>. gad</w:t>
            </w:r>
            <w:r w:rsidRPr="00CB0929">
              <w:rPr>
                <w:rFonts w:cs="Segoe UI"/>
                <w:b/>
                <w:bCs/>
                <w:szCs w:val="20"/>
              </w:rPr>
              <w:t>s</w:t>
            </w:r>
          </w:p>
        </w:tc>
      </w:tr>
      <w:tr w:rsidR="000E5937" w:rsidRPr="00CB0929" w14:paraId="57ED5F89" w14:textId="77777777" w:rsidTr="007B5C66">
        <w:tc>
          <w:tcPr>
            <w:tcW w:w="4526" w:type="dxa"/>
            <w:tcMar>
              <w:left w:w="0" w:type="dxa"/>
              <w:right w:w="0" w:type="dxa"/>
            </w:tcMar>
            <w:vAlign w:val="center"/>
          </w:tcPr>
          <w:p w14:paraId="60E9B1ED" w14:textId="77777777" w:rsidR="000E5937" w:rsidRPr="00CB0929" w:rsidRDefault="000E5937" w:rsidP="007B5C66">
            <w:pPr>
              <w:spacing w:after="0"/>
              <w:jc w:val="center"/>
              <w:rPr>
                <w:rFonts w:cs="Segoe UI"/>
              </w:rPr>
            </w:pPr>
            <w:r w:rsidRPr="00CB0929">
              <w:rPr>
                <w:rFonts w:cs="Segoe UI"/>
                <w:noProof/>
                <w:szCs w:val="20"/>
              </w:rPr>
              <w:drawing>
                <wp:inline distT="0" distB="0" distL="0" distR="0" wp14:anchorId="1321C0C3" wp14:editId="10ECA6B3">
                  <wp:extent cx="2750820" cy="2160000"/>
                  <wp:effectExtent l="0" t="0" r="0" b="0"/>
                  <wp:docPr id="1400" name="Chart 1400">
                    <a:extLst xmlns:a="http://schemas.openxmlformats.org/drawingml/2006/main">
                      <a:ext uri="{FF2B5EF4-FFF2-40B4-BE49-F238E27FC236}">
                        <a16:creationId xmlns:a16="http://schemas.microsoft.com/office/drawing/2014/main" id="{7C774218-6D46-46BD-83EB-A6E93F07A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tc>
        <w:tc>
          <w:tcPr>
            <w:tcW w:w="4545" w:type="dxa"/>
            <w:tcMar>
              <w:left w:w="0" w:type="dxa"/>
              <w:right w:w="0" w:type="dxa"/>
            </w:tcMar>
            <w:vAlign w:val="center"/>
          </w:tcPr>
          <w:p w14:paraId="005BAC4B" w14:textId="77777777" w:rsidR="000E5937" w:rsidRPr="00CB0929" w:rsidRDefault="000E5937" w:rsidP="007B5C66">
            <w:pPr>
              <w:spacing w:after="0"/>
              <w:jc w:val="center"/>
              <w:rPr>
                <w:rFonts w:cs="Segoe UI"/>
              </w:rPr>
            </w:pPr>
            <w:r w:rsidRPr="00CB0929">
              <w:rPr>
                <w:noProof/>
              </w:rPr>
              <mc:AlternateContent>
                <mc:Choice Requires="wps">
                  <w:drawing>
                    <wp:anchor distT="0" distB="0" distL="114300" distR="114300" simplePos="0" relativeHeight="251824343" behindDoc="0" locked="0" layoutInCell="1" allowOverlap="1" wp14:anchorId="61C3DACC" wp14:editId="31AD9FAC">
                      <wp:simplePos x="0" y="0"/>
                      <wp:positionH relativeFrom="column">
                        <wp:posOffset>1677035</wp:posOffset>
                      </wp:positionH>
                      <wp:positionV relativeFrom="paragraph">
                        <wp:posOffset>862330</wp:posOffset>
                      </wp:positionV>
                      <wp:extent cx="806450" cy="29210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50" cy="292100"/>
                              </a:xfrm>
                              <a:prstGeom prst="rect">
                                <a:avLst/>
                              </a:prstGeom>
                            </wps:spPr>
                            <wps:txbx>
                              <w:txbxContent>
                                <w:p w14:paraId="3C00216B" w14:textId="77777777" w:rsidR="00B83D7D" w:rsidRPr="0018412F" w:rsidRDefault="00B83D7D" w:rsidP="000E5937">
                                  <w:pPr>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923</w:t>
                                  </w:r>
                                  <w:r w:rsidRPr="0018412F">
                                    <w:rPr>
                                      <w:rFonts w:ascii="Segoe UI Light" w:hAnsi="Segoe UI Light" w:cs="Segoe UI Light"/>
                                      <w:color w:val="FFFFFF" w:themeColor="background1"/>
                                      <w:sz w:val="16"/>
                                      <w:szCs w:val="16"/>
                                    </w:rPr>
                                    <w:t>,</w:t>
                                  </w:r>
                                  <w:r>
                                    <w:rPr>
                                      <w:rFonts w:ascii="Segoe UI Light" w:hAnsi="Segoe UI Light" w:cs="Segoe UI Light"/>
                                      <w:color w:val="FFFFFF" w:themeColor="background1"/>
                                      <w:sz w:val="16"/>
                                      <w:szCs w:val="16"/>
                                    </w:rPr>
                                    <w:t>3</w:t>
                                  </w:r>
                                  <w:r w:rsidRPr="0018412F">
                                    <w:rPr>
                                      <w:rFonts w:ascii="Segoe UI Light" w:hAnsi="Segoe UI Light" w:cs="Segoe UI Light"/>
                                      <w:color w:val="FFFFFF" w:themeColor="background1"/>
                                      <w:sz w:val="16"/>
                                      <w:szCs w:val="16"/>
                                    </w:rPr>
                                    <w:t xml:space="preserve"> tūkst.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1C3DACC" id="Text Box 27" o:spid="_x0000_s1232" type="#_x0000_t202" style="position:absolute;left:0;text-align:left;margin-left:132.05pt;margin-top:67.9pt;width:63.5pt;height:23pt;z-index:251824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" filled="f" stroked="f">
                      <v:textbox>
                        <w:txbxContent>
                          <w:p w14:paraId="3C00216B" w14:textId="77777777" w:rsidR="00B83D7D" w:rsidRPr="0018412F" w:rsidRDefault="00B83D7D" w:rsidP="000E5937">
                            <w:pPr>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923</w:t>
                            </w:r>
                            <w:r w:rsidRPr="0018412F">
                              <w:rPr>
                                <w:rFonts w:ascii="Segoe UI Light" w:hAnsi="Segoe UI Light" w:cs="Segoe UI Light"/>
                                <w:color w:val="FFFFFF" w:themeColor="background1"/>
                                <w:sz w:val="16"/>
                                <w:szCs w:val="16"/>
                              </w:rPr>
                              <w:t>,</w:t>
                            </w:r>
                            <w:r>
                              <w:rPr>
                                <w:rFonts w:ascii="Segoe UI Light" w:hAnsi="Segoe UI Light" w:cs="Segoe UI Light"/>
                                <w:color w:val="FFFFFF" w:themeColor="background1"/>
                                <w:sz w:val="16"/>
                                <w:szCs w:val="16"/>
                              </w:rPr>
                              <w:t>3</w:t>
                            </w:r>
                            <w:r w:rsidRPr="0018412F">
                              <w:rPr>
                                <w:rFonts w:ascii="Segoe UI Light" w:hAnsi="Segoe UI Light" w:cs="Segoe UI Light"/>
                                <w:color w:val="FFFFFF" w:themeColor="background1"/>
                                <w:sz w:val="16"/>
                                <w:szCs w:val="16"/>
                              </w:rPr>
                              <w:t xml:space="preserve"> tūkst.</w:t>
                            </w:r>
                          </w:p>
                        </w:txbxContent>
                      </v:textbox>
                    </v:shape>
                  </w:pict>
                </mc:Fallback>
              </mc:AlternateContent>
            </w:r>
            <w:r w:rsidRPr="00CB0929">
              <w:rPr>
                <w:rFonts w:cs="Segoe UI"/>
                <w:noProof/>
                <w:sz w:val="22"/>
              </w:rPr>
              <w:drawing>
                <wp:inline distT="0" distB="0" distL="0" distR="0" wp14:anchorId="6CD361F9" wp14:editId="04627B28">
                  <wp:extent cx="2886075" cy="2160000"/>
                  <wp:effectExtent l="0" t="0" r="0" b="0"/>
                  <wp:docPr id="1402" name="Chart 1402">
                    <a:extLst xmlns:a="http://schemas.openxmlformats.org/drawingml/2006/main">
                      <a:ext uri="{FF2B5EF4-FFF2-40B4-BE49-F238E27FC236}">
                        <a16:creationId xmlns:a16="http://schemas.microsoft.com/office/drawing/2014/main" id="{7C774218-6D46-46BD-83EB-A6E93F07A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c>
      </w:tr>
    </w:tbl>
    <w:p w14:paraId="3F95C999" w14:textId="77777777" w:rsidR="00035D66" w:rsidRPr="00CB0929" w:rsidRDefault="00035D66" w:rsidP="00814506">
      <w:pPr>
        <w:spacing w:after="120"/>
        <w:jc w:val="both"/>
        <w:rPr>
          <w:rFonts w:cs="Segoe UI"/>
          <w:szCs w:val="20"/>
        </w:rPr>
      </w:pPr>
    </w:p>
    <w:p w14:paraId="07867783" w14:textId="58610ED5" w:rsidR="008F6910" w:rsidRPr="00CB0929" w:rsidRDefault="008F6910" w:rsidP="00814506">
      <w:pPr>
        <w:spacing w:after="120"/>
        <w:jc w:val="both"/>
        <w:rPr>
          <w:rFonts w:cs="Segoe UI"/>
          <w:szCs w:val="20"/>
        </w:rPr>
      </w:pPr>
      <w:r w:rsidRPr="00CB0929">
        <w:rPr>
          <w:rFonts w:cs="Segoe UI"/>
          <w:szCs w:val="20"/>
        </w:rPr>
        <w:t>Līdz ar sabiedrības novecošanos, arī turpmāk demogrāfiskās slodzes rādītāji Latvijā pieaugs. Sagaidāms, ka demogrāfiskās slodzes līmenis līdz 2040. gadam palielināsies par gandrīz 12%, salīdzinot ar 2023.gadu, kas nozīmē, ka 2040.gadā uz katriem 1000 iedzīvotājiem darbaspējas vecumā būs 656 iedzīvotāji ārpus darbaspējas, turklāt 66% no tiem būs vecumā virs 64 gadiem.</w:t>
      </w:r>
    </w:p>
    <w:p w14:paraId="4B6E88AF" w14:textId="77777777" w:rsidR="00035D66" w:rsidRPr="00CB0929" w:rsidRDefault="00035D66" w:rsidP="005664E2">
      <w:pPr>
        <w:spacing w:after="120"/>
        <w:jc w:val="right"/>
        <w:rPr>
          <w:color w:val="000000"/>
          <w:szCs w:val="20"/>
        </w:rPr>
      </w:pPr>
      <w:r w:rsidRPr="00CB0929">
        <w:rPr>
          <w:color w:val="000000"/>
          <w:szCs w:val="20"/>
        </w:rPr>
        <w:t>3.6. attēls</w:t>
      </w:r>
    </w:p>
    <w:p w14:paraId="6A7E8647" w14:textId="5DB6FF3D" w:rsidR="00035D66" w:rsidRPr="00CB0929" w:rsidRDefault="00035D66" w:rsidP="00035D66">
      <w:pPr>
        <w:spacing w:after="120"/>
        <w:jc w:val="center"/>
        <w:rPr>
          <w:rFonts w:ascii="Segoe UI Light" w:hAnsi="Segoe UI Light"/>
          <w:bCs/>
          <w:i/>
          <w:color w:val="000000"/>
          <w:sz w:val="16"/>
          <w:szCs w:val="20"/>
        </w:rPr>
      </w:pPr>
      <w:r w:rsidRPr="00CB0929">
        <w:rPr>
          <w:rFonts w:ascii="Segoe UI Light" w:hAnsi="Segoe UI Light"/>
          <w:b/>
          <w:color w:val="000000"/>
          <w:sz w:val="18"/>
          <w:szCs w:val="20"/>
        </w:rPr>
        <w:t>Demogrāfiskā slodze</w:t>
      </w:r>
      <w:r w:rsidRPr="00CB0929">
        <w:rPr>
          <w:rFonts w:ascii="Segoe UI Light" w:hAnsi="Segoe UI Light"/>
          <w:b/>
          <w:color w:val="000000"/>
          <w:sz w:val="18"/>
          <w:szCs w:val="20"/>
        </w:rPr>
        <w:br/>
      </w:r>
      <w:r w:rsidRPr="00CB0929">
        <w:rPr>
          <w:rFonts w:ascii="Segoe UI Light" w:hAnsi="Segoe UI Light"/>
          <w:bCs/>
          <w:i/>
          <w:color w:val="000000"/>
          <w:sz w:val="16"/>
          <w:szCs w:val="20"/>
        </w:rPr>
        <w:t>Darbspējas vecumu nesasniegušo un pārsniegušo personu skaits vidēji uz 1000 iedzīvotājiem darbspējas vecumā (15-64</w:t>
      </w:r>
      <w:r w:rsidR="00E002CB" w:rsidRPr="00CB0929">
        <w:rPr>
          <w:rFonts w:ascii="Segoe UI Light" w:hAnsi="Segoe UI Light"/>
          <w:bCs/>
          <w:i/>
          <w:color w:val="000000"/>
          <w:sz w:val="16"/>
          <w:szCs w:val="20"/>
        </w:rPr>
        <w:t xml:space="preserve"> </w:t>
      </w:r>
      <w:r w:rsidR="0080669C" w:rsidRPr="00CB0929">
        <w:rPr>
          <w:rFonts w:ascii="Segoe UI Light" w:hAnsi="Segoe UI Light"/>
          <w:bCs/>
          <w:i/>
          <w:color w:val="000000"/>
          <w:sz w:val="16"/>
          <w:szCs w:val="20"/>
        </w:rPr>
        <w:t>gad</w:t>
      </w:r>
      <w:r w:rsidRPr="00CB0929">
        <w:rPr>
          <w:rFonts w:ascii="Segoe UI Light" w:hAnsi="Segoe UI Light"/>
          <w:bCs/>
          <w:i/>
          <w:color w:val="000000"/>
          <w:sz w:val="16"/>
          <w:szCs w:val="20"/>
        </w:rPr>
        <w:t>i)</w:t>
      </w:r>
      <w:r w:rsidRPr="00CB0929">
        <w:rPr>
          <w:rFonts w:ascii="Segoe UI Light" w:hAnsi="Segoe UI Light"/>
          <w:bCs/>
          <w:i/>
          <w:color w:val="000000"/>
          <w:sz w:val="16"/>
          <w:szCs w:val="20"/>
          <w:vertAlign w:val="superscript"/>
        </w:rPr>
        <w:t>*</w:t>
      </w:r>
    </w:p>
    <w:p w14:paraId="12F2306E" w14:textId="77777777" w:rsidR="00035D66" w:rsidRPr="00CB0929" w:rsidRDefault="00035D66" w:rsidP="00035D66">
      <w:pPr>
        <w:jc w:val="center"/>
        <w:rPr>
          <w:color w:val="000000"/>
        </w:rPr>
      </w:pPr>
      <w:r w:rsidRPr="00CB0929">
        <w:rPr>
          <w:noProof/>
        </w:rPr>
        <mc:AlternateContent>
          <mc:Choice Requires="wps">
            <w:drawing>
              <wp:anchor distT="0" distB="0" distL="114300" distR="114300" simplePos="0" relativeHeight="251658244" behindDoc="0" locked="0" layoutInCell="1" allowOverlap="1" wp14:anchorId="6CFB2FB0" wp14:editId="4920A8CA">
                <wp:simplePos x="0" y="0"/>
                <wp:positionH relativeFrom="page">
                  <wp:posOffset>4155034</wp:posOffset>
                </wp:positionH>
                <wp:positionV relativeFrom="paragraph">
                  <wp:posOffset>71223</wp:posOffset>
                </wp:positionV>
                <wp:extent cx="0" cy="1848434"/>
                <wp:effectExtent l="0" t="0" r="38100" b="19050"/>
                <wp:wrapNone/>
                <wp:docPr id="1349" name="Straight Connector 1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848434"/>
                        </a:xfrm>
                        <a:prstGeom prst="line">
                          <a:avLst/>
                        </a:prstGeom>
                        <a:noFill/>
                        <a:ln w="19050" cap="flat" cmpd="sng" algn="ctr">
                          <a:solidFill>
                            <a:sysClr val="windowText" lastClr="000000">
                              <a:lumMod val="65000"/>
                              <a:lumOff val="35000"/>
                              <a:alpha val="59000"/>
                            </a:sys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4F6F829" id="Straight Connector 1349" o:spid="_x0000_s1026" style="position:absolute;flip:x;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27.15pt,5.6pt" to="327.1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" strokecolor="#595959" strokeweight="1.5pt">
                <v:stroke dashstyle="dash" opacity="38550f" joinstyle="miter"/>
                <o:lock v:ext="edit" shapetype="f"/>
                <w10:wrap anchorx="page"/>
              </v:line>
            </w:pict>
          </mc:Fallback>
        </mc:AlternateContent>
      </w:r>
      <w:r w:rsidRPr="00CB0929">
        <w:rPr>
          <w:b/>
          <w:noProof/>
          <w:color w:val="000000"/>
          <w:szCs w:val="20"/>
          <w:lang w:eastAsia="lv-LV"/>
        </w:rPr>
        <w:drawing>
          <wp:inline distT="0" distB="0" distL="0" distR="0" wp14:anchorId="61CD9D61" wp14:editId="55C96DF4">
            <wp:extent cx="5760000" cy="2160000"/>
            <wp:effectExtent l="0" t="0" r="0" b="0"/>
            <wp:docPr id="235" name="Chart 2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7038AF3E" w14:textId="407E1670" w:rsidR="00035D66" w:rsidRPr="00CB0929" w:rsidRDefault="00035D66" w:rsidP="008F6910">
      <w:pPr>
        <w:spacing w:after="120"/>
        <w:jc w:val="both"/>
        <w:rPr>
          <w:rFonts w:cs="Calibri Light"/>
          <w:sz w:val="16"/>
          <w:szCs w:val="14"/>
        </w:rPr>
      </w:pPr>
      <w:r w:rsidRPr="00CB0929">
        <w:rPr>
          <w:rFonts w:cs="Calibri Light"/>
          <w:sz w:val="16"/>
          <w:szCs w:val="14"/>
        </w:rPr>
        <w:t>Avots: CSP dati līdz 2023.</w:t>
      </w:r>
      <w:r w:rsidR="0080669C" w:rsidRPr="00CB0929">
        <w:rPr>
          <w:rFonts w:cs="Calibri Light"/>
          <w:sz w:val="16"/>
          <w:szCs w:val="14"/>
        </w:rPr>
        <w:t>gad</w:t>
      </w:r>
      <w:r w:rsidRPr="00CB0929">
        <w:rPr>
          <w:rFonts w:cs="Calibri Light"/>
          <w:sz w:val="16"/>
          <w:szCs w:val="14"/>
        </w:rPr>
        <w:t>am, EM prognozes sākot ar 2024.</w:t>
      </w:r>
      <w:r w:rsidR="0080669C" w:rsidRPr="00CB0929">
        <w:rPr>
          <w:rFonts w:cs="Calibri Light"/>
          <w:sz w:val="16"/>
          <w:szCs w:val="14"/>
        </w:rPr>
        <w:t>gad</w:t>
      </w:r>
      <w:r w:rsidRPr="00CB0929">
        <w:rPr>
          <w:rFonts w:cs="Calibri Light"/>
          <w:sz w:val="16"/>
          <w:szCs w:val="14"/>
        </w:rPr>
        <w:t>u</w:t>
      </w:r>
    </w:p>
    <w:p w14:paraId="46A27892" w14:textId="77777777" w:rsidR="008F6910" w:rsidRPr="00CB0929" w:rsidRDefault="008F6910" w:rsidP="00814506">
      <w:pPr>
        <w:spacing w:after="120"/>
        <w:jc w:val="both"/>
        <w:rPr>
          <w:color w:val="000000"/>
          <w:spacing w:val="-2"/>
        </w:rPr>
      </w:pPr>
    </w:p>
    <w:p w14:paraId="49A7E212" w14:textId="7DB29246" w:rsidR="00035D66" w:rsidRPr="00CB0929" w:rsidRDefault="00035D66" w:rsidP="00814506">
      <w:pPr>
        <w:spacing w:after="120"/>
        <w:jc w:val="both"/>
        <w:rPr>
          <w:color w:val="000000"/>
          <w:spacing w:val="-2"/>
        </w:rPr>
      </w:pPr>
      <w:r w:rsidRPr="00CB0929">
        <w:rPr>
          <w:color w:val="000000"/>
          <w:spacing w:val="-2"/>
        </w:rPr>
        <w:t>Jāatzīmē, ka negatīvās demogrāfijas tendences atstāj būtisku ietekmi uz darba tirgu. Darbaspēka rezerves Latvijā ilgstoši samazinās negatīvo demogrāfijas tendenču ietekmē. Lai mazinātu iedzīvotāju novecošanās negatīvo ietekmi uz darba tirgu un sociālo apdrošināšanas sistēmu, vidējā termiņā būtiski ir pasākumi iedzīvotāju ekonomiskās aktivitātes veicināšanai, kā arī nepieciešams mazināt šķēršļus jauno speciālistu ātrākai ienākšanai darba tirgū. Vienlaikus ilgtermiņā jāturpina koncentrēties uz negatīvās demogrāfiskās bilances izlīdzināšanu.</w:t>
      </w:r>
    </w:p>
    <w:p w14:paraId="102E40CA" w14:textId="77777777" w:rsidR="008F6910" w:rsidRPr="00CB0929" w:rsidRDefault="008F6910" w:rsidP="00814506">
      <w:pPr>
        <w:spacing w:after="120"/>
        <w:jc w:val="both"/>
        <w:rPr>
          <w:color w:val="000000"/>
          <w:spacing w:val="-2"/>
        </w:rPr>
      </w:pPr>
    </w:p>
    <w:p w14:paraId="10B9F356" w14:textId="77777777" w:rsidR="003F161B" w:rsidRDefault="003F161B">
      <w:pPr>
        <w:spacing w:after="0"/>
        <w:rPr>
          <w:rFonts w:ascii="Aptos Narrow" w:hAnsi="Aptos Narrow"/>
          <w:b/>
          <w:color w:val="5F497A" w:themeColor="accent4" w:themeShade="BF"/>
          <w:sz w:val="28"/>
          <w:szCs w:val="28"/>
        </w:rPr>
      </w:pPr>
      <w:r>
        <w:rPr>
          <w:rFonts w:ascii="Aptos Narrow" w:hAnsi="Aptos Narrow"/>
          <w:b/>
          <w:color w:val="5F497A" w:themeColor="accent4" w:themeShade="BF"/>
          <w:sz w:val="28"/>
          <w:szCs w:val="28"/>
        </w:rPr>
        <w:br w:type="page"/>
      </w:r>
    </w:p>
    <w:p w14:paraId="4898B2D1" w14:textId="037A9530" w:rsidR="00035D66" w:rsidRPr="003F161B" w:rsidRDefault="00035D66" w:rsidP="00814506">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lastRenderedPageBreak/>
        <w:t>Iedzīvotāju dabiskais pieaugums</w:t>
      </w:r>
    </w:p>
    <w:p w14:paraId="69BDA509" w14:textId="77777777" w:rsidR="005664E2" w:rsidRPr="00CB0929" w:rsidRDefault="005664E2" w:rsidP="00814506">
      <w:pPr>
        <w:spacing w:after="120"/>
        <w:jc w:val="both"/>
        <w:rPr>
          <w:color w:val="000000"/>
          <w:szCs w:val="20"/>
        </w:rPr>
      </w:pPr>
      <w:r w:rsidRPr="00CB0929">
        <w:rPr>
          <w:color w:val="000000"/>
          <w:szCs w:val="20"/>
        </w:rPr>
        <w:t>Lai arī relatīvajā izteiksmē galvenās dabiskā pieauguma rādītāja pozīcijas gan dzimstības, gan mirstības pusē nākamajos gados uzlabosies, tomēr neskatoties uz to absolūtā izteiksmē negatīvā plaisa starp dzimušajiem un mirušajiem saglabāsies.</w:t>
      </w:r>
    </w:p>
    <w:p w14:paraId="2B714035" w14:textId="59C53191" w:rsidR="005664E2" w:rsidRPr="00CB0929" w:rsidRDefault="005664E2" w:rsidP="00814506">
      <w:pPr>
        <w:spacing w:after="120"/>
        <w:jc w:val="both"/>
        <w:rPr>
          <w:color w:val="000000"/>
        </w:rPr>
      </w:pPr>
      <w:r w:rsidRPr="00CB0929">
        <w:rPr>
          <w:color w:val="000000" w:themeColor="text1"/>
        </w:rPr>
        <w:t>Sagaidāms, ka dzimstības rādītāju bāzes tendences kopumā gan vidēja, gan ilgtermiņā uzlabosies – summārais dzimstības koeficients līdz 2040.gadam varētu palielināties par 38,2%, salīdzinot ar 2023.gadu, un sasniegt 1,880 punktu līmeni, kāds bija vērojams Latvijā pagājušā gadsimta 90-to gadu sākumā. Vienlaikus jāņem vērā, ka sieviešu skaits reproduktīvā vecumā (no 15 līdz 49 gadiem) turpinās samazināties (līdz 2040.gadam par 18% jeb 70,8 tūkst.), tādēļ kopumā jaundzimušo skaita pieaugums absolūtā izteiksmē būs salīdzinoši lēns, jo īpaši vidējā termiņā (no 0,5-0,7% gadā). Straujāks jaundzimušo skaita pieaugums sagaidāms pēc 2030.gadā – par vidēji 0,9-1,4% gadā. Kopumā jaundzimušo skaits 2030.gadā, salīdzinot ar 2023.gadu, varētu būt par 539 jaundzimušo (3,7%) vairāk nekā 2023.gadā, bet 2040.gadā par 2393 (16,5%) jaundzimušo vairāk.</w:t>
      </w:r>
    </w:p>
    <w:p w14:paraId="30D0D225" w14:textId="77777777" w:rsidR="00035D66" w:rsidRPr="00CB0929" w:rsidRDefault="00035D66" w:rsidP="005664E2">
      <w:pPr>
        <w:spacing w:after="120"/>
        <w:jc w:val="right"/>
        <w:rPr>
          <w:color w:val="000000"/>
          <w:szCs w:val="20"/>
        </w:rPr>
      </w:pPr>
      <w:r w:rsidRPr="00CB0929">
        <w:rPr>
          <w:color w:val="000000"/>
          <w:szCs w:val="20"/>
        </w:rPr>
        <w:t>3.4. tabula</w:t>
      </w:r>
    </w:p>
    <w:p w14:paraId="561A9B46" w14:textId="77777777" w:rsidR="00035D66" w:rsidRPr="00CB0929" w:rsidRDefault="00035D66" w:rsidP="00035D66">
      <w:pPr>
        <w:spacing w:after="120"/>
        <w:jc w:val="center"/>
        <w:rPr>
          <w:rFonts w:ascii="Segoe UI Light" w:hAnsi="Segoe UI Light"/>
          <w:b/>
          <w:color w:val="000000"/>
          <w:sz w:val="18"/>
          <w:szCs w:val="18"/>
        </w:rPr>
      </w:pPr>
      <w:r w:rsidRPr="00CB0929">
        <w:rPr>
          <w:rFonts w:ascii="Segoe UI Light" w:hAnsi="Segoe UI Light"/>
          <w:b/>
          <w:color w:val="000000"/>
          <w:sz w:val="18"/>
          <w:szCs w:val="18"/>
        </w:rPr>
        <w:t>Iedzīvotāju dabiskās kustības galvenie rādītāji</w:t>
      </w:r>
    </w:p>
    <w:tbl>
      <w:tblPr>
        <w:tblStyle w:val="GridTable5Dark-Accent31"/>
        <w:tblW w:w="50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5334"/>
        <w:gridCol w:w="1247"/>
        <w:gridCol w:w="1245"/>
        <w:gridCol w:w="1249"/>
      </w:tblGrid>
      <w:tr w:rsidR="0078478C" w:rsidRPr="00CB0929" w14:paraId="0BE2C0F6" w14:textId="77777777" w:rsidTr="00C00282">
        <w:trPr>
          <w:cnfStyle w:val="100000000000" w:firstRow="1" w:lastRow="0" w:firstColumn="0" w:lastColumn="0" w:oddVBand="0" w:evenVBand="0" w:oddHBand="0" w:evenHBand="0" w:firstRowFirstColumn="0" w:firstRowLastColumn="0" w:lastRowFirstColumn="0" w:lastRowLastColumn="0"/>
          <w:trHeight w:val="269"/>
        </w:trPr>
        <w:tc>
          <w:tcPr>
            <w:tcW w:w="2939" w:type="pct"/>
            <w:shd w:val="clear" w:color="auto" w:fill="5F497A" w:themeFill="accent4" w:themeFillShade="BF"/>
            <w:noWrap/>
          </w:tcPr>
          <w:p w14:paraId="55C3B15B" w14:textId="77777777" w:rsidR="00035D66" w:rsidRPr="00CB0929" w:rsidRDefault="00035D66">
            <w:pPr>
              <w:spacing w:before="40" w:after="40"/>
              <w:jc w:val="center"/>
              <w:rPr>
                <w:rFonts w:ascii="Segoe UI Light" w:eastAsia="Arial Unicode MS" w:hAnsi="Segoe UI Light"/>
                <w:b w:val="0"/>
                <w:sz w:val="16"/>
                <w:szCs w:val="16"/>
              </w:rPr>
            </w:pPr>
          </w:p>
        </w:tc>
        <w:tc>
          <w:tcPr>
            <w:tcW w:w="687" w:type="pct"/>
            <w:shd w:val="clear" w:color="auto" w:fill="5F497A" w:themeFill="accent4" w:themeFillShade="BF"/>
            <w:hideMark/>
          </w:tcPr>
          <w:p w14:paraId="4F77E399" w14:textId="77777777" w:rsidR="00035D66" w:rsidRPr="00CB0929" w:rsidRDefault="00035D66">
            <w:pPr>
              <w:spacing w:before="40" w:after="40"/>
              <w:jc w:val="center"/>
              <w:rPr>
                <w:rFonts w:ascii="Segoe UI Light" w:hAnsi="Segoe UI Light"/>
                <w:sz w:val="16"/>
                <w:szCs w:val="16"/>
              </w:rPr>
            </w:pPr>
            <w:r w:rsidRPr="00CB0929">
              <w:rPr>
                <w:rFonts w:ascii="Segoe UI Light" w:hAnsi="Segoe UI Light"/>
                <w:sz w:val="16"/>
                <w:szCs w:val="16"/>
              </w:rPr>
              <w:t>Fakts*</w:t>
            </w:r>
          </w:p>
        </w:tc>
        <w:tc>
          <w:tcPr>
            <w:tcW w:w="1374" w:type="pct"/>
            <w:gridSpan w:val="2"/>
            <w:shd w:val="clear" w:color="auto" w:fill="5F497A" w:themeFill="accent4" w:themeFillShade="BF"/>
            <w:hideMark/>
          </w:tcPr>
          <w:p w14:paraId="456341DE" w14:textId="77777777" w:rsidR="00035D66" w:rsidRPr="00CB0929" w:rsidRDefault="00035D66">
            <w:pPr>
              <w:spacing w:before="40" w:after="40"/>
              <w:jc w:val="center"/>
              <w:rPr>
                <w:rFonts w:ascii="Segoe UI Light" w:hAnsi="Segoe UI Light"/>
                <w:sz w:val="16"/>
                <w:szCs w:val="16"/>
              </w:rPr>
            </w:pPr>
            <w:r w:rsidRPr="00CB0929">
              <w:rPr>
                <w:rFonts w:ascii="Segoe UI Light" w:hAnsi="Segoe UI Light"/>
                <w:sz w:val="16"/>
                <w:szCs w:val="16"/>
              </w:rPr>
              <w:t>Prognoze</w:t>
            </w:r>
          </w:p>
        </w:tc>
      </w:tr>
      <w:tr w:rsidR="0078478C" w:rsidRPr="00CB0929" w14:paraId="311267E6" w14:textId="77777777" w:rsidTr="00C00282">
        <w:trPr>
          <w:cnfStyle w:val="000000100000" w:firstRow="0" w:lastRow="0" w:firstColumn="0" w:lastColumn="0" w:oddVBand="0" w:evenVBand="0" w:oddHBand="1" w:evenHBand="0" w:firstRowFirstColumn="0" w:firstRowLastColumn="0" w:lastRowFirstColumn="0" w:lastRowLastColumn="0"/>
          <w:trHeight w:val="129"/>
        </w:trPr>
        <w:tc>
          <w:tcPr>
            <w:tcW w:w="2939" w:type="pct"/>
            <w:shd w:val="clear" w:color="auto" w:fill="5F497A" w:themeFill="accent4" w:themeFillShade="BF"/>
            <w:noWrap/>
          </w:tcPr>
          <w:p w14:paraId="151152A5" w14:textId="77777777" w:rsidR="00035D66" w:rsidRPr="00CB0929" w:rsidRDefault="00035D66">
            <w:pPr>
              <w:spacing w:before="40" w:after="40"/>
              <w:jc w:val="both"/>
              <w:rPr>
                <w:rFonts w:ascii="Segoe UI Light" w:eastAsia="Arial Unicode MS" w:hAnsi="Segoe UI Light"/>
                <w:color w:val="FFFFFF"/>
                <w:sz w:val="16"/>
                <w:szCs w:val="16"/>
              </w:rPr>
            </w:pPr>
          </w:p>
        </w:tc>
        <w:tc>
          <w:tcPr>
            <w:tcW w:w="687" w:type="pct"/>
            <w:shd w:val="clear" w:color="auto" w:fill="5F497A" w:themeFill="accent4" w:themeFillShade="BF"/>
            <w:hideMark/>
          </w:tcPr>
          <w:p w14:paraId="549C3D09" w14:textId="77777777" w:rsidR="00035D66" w:rsidRPr="00CB0929" w:rsidRDefault="00035D66">
            <w:pPr>
              <w:tabs>
                <w:tab w:val="left" w:pos="213"/>
              </w:tabs>
              <w:spacing w:before="40" w:after="40"/>
              <w:jc w:val="center"/>
              <w:rPr>
                <w:rFonts w:ascii="Segoe UI Light" w:hAnsi="Segoe UI Light"/>
                <w:b/>
                <w:color w:val="FFFFFF"/>
                <w:sz w:val="16"/>
                <w:szCs w:val="16"/>
              </w:rPr>
            </w:pPr>
            <w:r w:rsidRPr="00CB0929">
              <w:rPr>
                <w:rFonts w:ascii="Segoe UI Light" w:hAnsi="Segoe UI Light"/>
                <w:b/>
                <w:color w:val="FFFFFF"/>
                <w:sz w:val="16"/>
                <w:szCs w:val="16"/>
              </w:rPr>
              <w:t>2023</w:t>
            </w:r>
          </w:p>
        </w:tc>
        <w:tc>
          <w:tcPr>
            <w:tcW w:w="686" w:type="pct"/>
            <w:shd w:val="clear" w:color="auto" w:fill="5F497A" w:themeFill="accent4" w:themeFillShade="BF"/>
            <w:hideMark/>
          </w:tcPr>
          <w:p w14:paraId="08DE6BD9" w14:textId="77777777" w:rsidR="00035D66" w:rsidRPr="00CB0929" w:rsidRDefault="00035D66">
            <w:pPr>
              <w:tabs>
                <w:tab w:val="left" w:pos="161"/>
              </w:tabs>
              <w:spacing w:before="40" w:after="40"/>
              <w:jc w:val="center"/>
              <w:rPr>
                <w:rFonts w:ascii="Segoe UI Light" w:hAnsi="Segoe UI Light"/>
                <w:b/>
                <w:color w:val="FFFFFF"/>
                <w:sz w:val="16"/>
                <w:szCs w:val="16"/>
              </w:rPr>
            </w:pPr>
            <w:r w:rsidRPr="00CB0929">
              <w:rPr>
                <w:rFonts w:ascii="Segoe UI Light" w:hAnsi="Segoe UI Light"/>
                <w:b/>
                <w:color w:val="FFFFFF"/>
                <w:sz w:val="16"/>
                <w:szCs w:val="16"/>
              </w:rPr>
              <w:t>2030</w:t>
            </w:r>
          </w:p>
        </w:tc>
        <w:tc>
          <w:tcPr>
            <w:tcW w:w="688" w:type="pct"/>
            <w:shd w:val="clear" w:color="auto" w:fill="5F497A" w:themeFill="accent4" w:themeFillShade="BF"/>
            <w:hideMark/>
          </w:tcPr>
          <w:p w14:paraId="57DC14AF" w14:textId="77777777" w:rsidR="00035D66" w:rsidRPr="00CB0929" w:rsidRDefault="00035D66">
            <w:pPr>
              <w:spacing w:before="40" w:after="40"/>
              <w:jc w:val="center"/>
              <w:rPr>
                <w:rFonts w:ascii="Segoe UI Light" w:hAnsi="Segoe UI Light"/>
                <w:b/>
                <w:color w:val="FFFFFF"/>
                <w:sz w:val="16"/>
                <w:szCs w:val="16"/>
              </w:rPr>
            </w:pPr>
            <w:r w:rsidRPr="00CB0929">
              <w:rPr>
                <w:rFonts w:ascii="Segoe UI Light" w:hAnsi="Segoe UI Light"/>
                <w:b/>
                <w:color w:val="FFFFFF"/>
                <w:sz w:val="16"/>
                <w:szCs w:val="16"/>
              </w:rPr>
              <w:t>2040</w:t>
            </w:r>
          </w:p>
        </w:tc>
      </w:tr>
      <w:tr w:rsidR="0078478C" w:rsidRPr="00CB0929" w14:paraId="4F7639A1" w14:textId="77777777" w:rsidTr="00C00282">
        <w:trPr>
          <w:trHeight w:val="257"/>
        </w:trPr>
        <w:tc>
          <w:tcPr>
            <w:tcW w:w="2939" w:type="pct"/>
            <w:shd w:val="clear" w:color="auto" w:fill="E5DFEC" w:themeFill="accent4" w:themeFillTint="33"/>
            <w:hideMark/>
          </w:tcPr>
          <w:p w14:paraId="2A28B2BB" w14:textId="77777777" w:rsidR="008F6910" w:rsidRPr="00CB0929" w:rsidRDefault="008F6910" w:rsidP="008F6910">
            <w:pPr>
              <w:spacing w:before="40" w:after="40"/>
              <w:rPr>
                <w:rFonts w:ascii="Segoe UI Light" w:hAnsi="Segoe UI Light"/>
                <w:sz w:val="16"/>
                <w:szCs w:val="16"/>
              </w:rPr>
            </w:pPr>
            <w:r w:rsidRPr="00CB0929">
              <w:rPr>
                <w:rFonts w:ascii="Segoe UI Light" w:hAnsi="Segoe UI Light"/>
                <w:bCs/>
                <w:sz w:val="16"/>
                <w:szCs w:val="16"/>
              </w:rPr>
              <w:t>Jaundzimušo skaits uz 1000 iedzīvotājiem (vispārīgais dzimstības koeficients)</w:t>
            </w:r>
          </w:p>
        </w:tc>
        <w:tc>
          <w:tcPr>
            <w:tcW w:w="687" w:type="pct"/>
            <w:shd w:val="clear" w:color="auto" w:fill="E5DFEC" w:themeFill="accent4" w:themeFillTint="33"/>
            <w:hideMark/>
          </w:tcPr>
          <w:p w14:paraId="765D710B" w14:textId="6BCF9192"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7</w:t>
            </w:r>
            <w:r w:rsidR="005664E2" w:rsidRPr="00CB0929">
              <w:rPr>
                <w:rFonts w:ascii="Segoe UI Light" w:hAnsi="Segoe UI Light"/>
                <w:bCs/>
                <w:sz w:val="16"/>
                <w:szCs w:val="16"/>
              </w:rPr>
              <w:t>,</w:t>
            </w:r>
            <w:r w:rsidRPr="00CB0929">
              <w:rPr>
                <w:rFonts w:ascii="Segoe UI Light" w:hAnsi="Segoe UI Light"/>
                <w:bCs/>
                <w:sz w:val="16"/>
                <w:szCs w:val="16"/>
              </w:rPr>
              <w:t>7</w:t>
            </w:r>
          </w:p>
        </w:tc>
        <w:tc>
          <w:tcPr>
            <w:tcW w:w="686" w:type="pct"/>
            <w:shd w:val="clear" w:color="auto" w:fill="E5DFEC" w:themeFill="accent4" w:themeFillTint="33"/>
            <w:hideMark/>
          </w:tcPr>
          <w:p w14:paraId="79C6AD47" w14:textId="32092D81"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8</w:t>
            </w:r>
            <w:r w:rsidR="005664E2" w:rsidRPr="00CB0929">
              <w:rPr>
                <w:rFonts w:ascii="Segoe UI Light" w:hAnsi="Segoe UI Light"/>
                <w:bCs/>
                <w:sz w:val="16"/>
                <w:szCs w:val="16"/>
              </w:rPr>
              <w:t>,</w:t>
            </w:r>
            <w:r w:rsidRPr="00CB0929">
              <w:rPr>
                <w:rFonts w:ascii="Segoe UI Light" w:hAnsi="Segoe UI Light"/>
                <w:bCs/>
                <w:sz w:val="16"/>
                <w:szCs w:val="16"/>
              </w:rPr>
              <w:t>4</w:t>
            </w:r>
          </w:p>
        </w:tc>
        <w:tc>
          <w:tcPr>
            <w:tcW w:w="688" w:type="pct"/>
            <w:shd w:val="clear" w:color="auto" w:fill="E5DFEC" w:themeFill="accent4" w:themeFillTint="33"/>
            <w:hideMark/>
          </w:tcPr>
          <w:p w14:paraId="55F2676A" w14:textId="5B795FD5"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9</w:t>
            </w:r>
            <w:r w:rsidR="005664E2" w:rsidRPr="00CB0929">
              <w:rPr>
                <w:rFonts w:ascii="Segoe UI Light" w:hAnsi="Segoe UI Light"/>
                <w:bCs/>
                <w:sz w:val="16"/>
                <w:szCs w:val="16"/>
              </w:rPr>
              <w:t>,</w:t>
            </w:r>
            <w:r w:rsidRPr="00CB0929">
              <w:rPr>
                <w:rFonts w:ascii="Segoe UI Light" w:hAnsi="Segoe UI Light"/>
                <w:bCs/>
                <w:sz w:val="16"/>
                <w:szCs w:val="16"/>
              </w:rPr>
              <w:t>7</w:t>
            </w:r>
          </w:p>
        </w:tc>
      </w:tr>
      <w:tr w:rsidR="0078478C" w:rsidRPr="00CB0929" w14:paraId="0B9983A6" w14:textId="77777777" w:rsidTr="00C00282">
        <w:trPr>
          <w:cnfStyle w:val="000000100000" w:firstRow="0" w:lastRow="0" w:firstColumn="0" w:lastColumn="0" w:oddVBand="0" w:evenVBand="0" w:oddHBand="1" w:evenHBand="0" w:firstRowFirstColumn="0" w:firstRowLastColumn="0" w:lastRowFirstColumn="0" w:lastRowLastColumn="0"/>
          <w:trHeight w:val="201"/>
        </w:trPr>
        <w:tc>
          <w:tcPr>
            <w:tcW w:w="2939" w:type="pct"/>
            <w:shd w:val="clear" w:color="auto" w:fill="CCC0D9" w:themeFill="accent4" w:themeFillTint="66"/>
            <w:hideMark/>
          </w:tcPr>
          <w:p w14:paraId="058DB374" w14:textId="77777777" w:rsidR="008F6910" w:rsidRPr="00CB0929" w:rsidRDefault="008F6910" w:rsidP="008F6910">
            <w:pPr>
              <w:spacing w:before="40" w:after="40"/>
              <w:rPr>
                <w:rFonts w:ascii="Segoe UI Light" w:hAnsi="Segoe UI Light"/>
                <w:sz w:val="16"/>
                <w:szCs w:val="16"/>
              </w:rPr>
            </w:pPr>
            <w:r w:rsidRPr="00CB0929">
              <w:rPr>
                <w:rFonts w:ascii="Segoe UI Light" w:hAnsi="Segoe UI Light"/>
                <w:bCs/>
                <w:sz w:val="16"/>
                <w:szCs w:val="16"/>
              </w:rPr>
              <w:t>Mirstība uz 1000 iedzīvotājiem (vispārīgais mirstības koeficients)</w:t>
            </w:r>
          </w:p>
        </w:tc>
        <w:tc>
          <w:tcPr>
            <w:tcW w:w="687" w:type="pct"/>
            <w:shd w:val="clear" w:color="auto" w:fill="CCC0D9" w:themeFill="accent4" w:themeFillTint="66"/>
            <w:hideMark/>
          </w:tcPr>
          <w:p w14:paraId="282A1414" w14:textId="71F6509F"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14</w:t>
            </w:r>
            <w:r w:rsidR="005664E2" w:rsidRPr="00CB0929">
              <w:rPr>
                <w:rFonts w:ascii="Segoe UI Light" w:hAnsi="Segoe UI Light"/>
                <w:bCs/>
                <w:sz w:val="16"/>
                <w:szCs w:val="16"/>
              </w:rPr>
              <w:t>,</w:t>
            </w:r>
            <w:r w:rsidRPr="00CB0929">
              <w:rPr>
                <w:rFonts w:ascii="Segoe UI Light" w:hAnsi="Segoe UI Light"/>
                <w:bCs/>
                <w:sz w:val="16"/>
                <w:szCs w:val="16"/>
              </w:rPr>
              <w:t>9</w:t>
            </w:r>
          </w:p>
        </w:tc>
        <w:tc>
          <w:tcPr>
            <w:tcW w:w="686" w:type="pct"/>
            <w:shd w:val="clear" w:color="auto" w:fill="CCC0D9" w:themeFill="accent4" w:themeFillTint="66"/>
            <w:hideMark/>
          </w:tcPr>
          <w:p w14:paraId="7150F9D0" w14:textId="6E3A5BDD"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14</w:t>
            </w:r>
            <w:r w:rsidR="005664E2" w:rsidRPr="00CB0929">
              <w:rPr>
                <w:rFonts w:ascii="Segoe UI Light" w:hAnsi="Segoe UI Light"/>
                <w:bCs/>
                <w:sz w:val="16"/>
                <w:szCs w:val="16"/>
              </w:rPr>
              <w:t>,</w:t>
            </w:r>
            <w:r w:rsidRPr="00CB0929">
              <w:rPr>
                <w:rFonts w:ascii="Segoe UI Light" w:hAnsi="Segoe UI Light"/>
                <w:bCs/>
                <w:sz w:val="16"/>
                <w:szCs w:val="16"/>
              </w:rPr>
              <w:t>1</w:t>
            </w:r>
          </w:p>
        </w:tc>
        <w:tc>
          <w:tcPr>
            <w:tcW w:w="688" w:type="pct"/>
            <w:shd w:val="clear" w:color="auto" w:fill="CCC0D9" w:themeFill="accent4" w:themeFillTint="66"/>
            <w:hideMark/>
          </w:tcPr>
          <w:p w14:paraId="4A8C8365" w14:textId="55F3AD28"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13</w:t>
            </w:r>
            <w:r w:rsidR="005664E2" w:rsidRPr="00CB0929">
              <w:rPr>
                <w:rFonts w:ascii="Segoe UI Light" w:hAnsi="Segoe UI Light"/>
                <w:bCs/>
                <w:sz w:val="16"/>
                <w:szCs w:val="16"/>
              </w:rPr>
              <w:t>,</w:t>
            </w:r>
            <w:r w:rsidRPr="00CB0929">
              <w:rPr>
                <w:rFonts w:ascii="Segoe UI Light" w:hAnsi="Segoe UI Light"/>
                <w:bCs/>
                <w:sz w:val="16"/>
                <w:szCs w:val="16"/>
              </w:rPr>
              <w:t>7</w:t>
            </w:r>
          </w:p>
        </w:tc>
      </w:tr>
      <w:tr w:rsidR="0078478C" w:rsidRPr="00CB0929" w14:paraId="3CA201BF" w14:textId="77777777" w:rsidTr="00C00282">
        <w:trPr>
          <w:trHeight w:val="309"/>
        </w:trPr>
        <w:tc>
          <w:tcPr>
            <w:tcW w:w="2939" w:type="pct"/>
            <w:shd w:val="clear" w:color="auto" w:fill="E5DFEC" w:themeFill="accent4" w:themeFillTint="33"/>
            <w:hideMark/>
          </w:tcPr>
          <w:p w14:paraId="1B5C357F" w14:textId="77777777" w:rsidR="008F6910" w:rsidRPr="00CB0929" w:rsidRDefault="008F6910" w:rsidP="008F6910">
            <w:pPr>
              <w:spacing w:before="40" w:after="40"/>
              <w:rPr>
                <w:rFonts w:ascii="Segoe UI Light" w:hAnsi="Segoe UI Light"/>
                <w:sz w:val="16"/>
                <w:szCs w:val="16"/>
              </w:rPr>
            </w:pPr>
            <w:r w:rsidRPr="00CB0929">
              <w:rPr>
                <w:rFonts w:ascii="Segoe UI Light" w:hAnsi="Segoe UI Light"/>
                <w:bCs/>
                <w:sz w:val="16"/>
                <w:szCs w:val="16"/>
              </w:rPr>
              <w:t>Dabiskais pieaugums uz 1000 iedzīvotājiem</w:t>
            </w:r>
          </w:p>
        </w:tc>
        <w:tc>
          <w:tcPr>
            <w:tcW w:w="687" w:type="pct"/>
            <w:shd w:val="clear" w:color="auto" w:fill="E5DFEC" w:themeFill="accent4" w:themeFillTint="33"/>
            <w:hideMark/>
          </w:tcPr>
          <w:p w14:paraId="3B7D19D6" w14:textId="37004DCB"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-7</w:t>
            </w:r>
            <w:r w:rsidR="005664E2" w:rsidRPr="00CB0929">
              <w:rPr>
                <w:rFonts w:ascii="Segoe UI Light" w:hAnsi="Segoe UI Light"/>
                <w:bCs/>
                <w:sz w:val="16"/>
                <w:szCs w:val="16"/>
              </w:rPr>
              <w:t>,</w:t>
            </w:r>
            <w:r w:rsidRPr="00CB0929">
              <w:rPr>
                <w:rFonts w:ascii="Segoe UI Light" w:hAnsi="Segoe UI Light"/>
                <w:bCs/>
                <w:sz w:val="16"/>
                <w:szCs w:val="16"/>
              </w:rPr>
              <w:t>2</w:t>
            </w:r>
          </w:p>
        </w:tc>
        <w:tc>
          <w:tcPr>
            <w:tcW w:w="686" w:type="pct"/>
            <w:shd w:val="clear" w:color="auto" w:fill="E5DFEC" w:themeFill="accent4" w:themeFillTint="33"/>
            <w:hideMark/>
          </w:tcPr>
          <w:p w14:paraId="4954F245" w14:textId="3D0FF003"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-5</w:t>
            </w:r>
            <w:r w:rsidR="005664E2" w:rsidRPr="00CB0929">
              <w:rPr>
                <w:rFonts w:ascii="Segoe UI Light" w:hAnsi="Segoe UI Light"/>
                <w:bCs/>
                <w:sz w:val="16"/>
                <w:szCs w:val="16"/>
              </w:rPr>
              <w:t>,</w:t>
            </w:r>
            <w:r w:rsidRPr="00CB0929">
              <w:rPr>
                <w:rFonts w:ascii="Segoe UI Light" w:hAnsi="Segoe UI Light"/>
                <w:bCs/>
                <w:sz w:val="16"/>
                <w:szCs w:val="16"/>
              </w:rPr>
              <w:t>8</w:t>
            </w:r>
          </w:p>
        </w:tc>
        <w:tc>
          <w:tcPr>
            <w:tcW w:w="688" w:type="pct"/>
            <w:shd w:val="clear" w:color="auto" w:fill="E5DFEC" w:themeFill="accent4" w:themeFillTint="33"/>
            <w:hideMark/>
          </w:tcPr>
          <w:p w14:paraId="5ADF1E80" w14:textId="2FA71520"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-3</w:t>
            </w:r>
            <w:r w:rsidR="005664E2" w:rsidRPr="00CB0929">
              <w:rPr>
                <w:rFonts w:ascii="Segoe UI Light" w:hAnsi="Segoe UI Light"/>
                <w:bCs/>
                <w:sz w:val="16"/>
                <w:szCs w:val="16"/>
              </w:rPr>
              <w:t>,</w:t>
            </w:r>
            <w:r w:rsidRPr="00CB0929">
              <w:rPr>
                <w:rFonts w:ascii="Segoe UI Light" w:hAnsi="Segoe UI Light"/>
                <w:bCs/>
                <w:sz w:val="16"/>
                <w:szCs w:val="16"/>
              </w:rPr>
              <w:t>9</w:t>
            </w:r>
          </w:p>
        </w:tc>
      </w:tr>
      <w:tr w:rsidR="0078478C" w:rsidRPr="00CB0929" w14:paraId="3FE53051" w14:textId="77777777" w:rsidTr="00C00282">
        <w:trPr>
          <w:cnfStyle w:val="000000100000" w:firstRow="0" w:lastRow="0" w:firstColumn="0" w:lastColumn="0" w:oddVBand="0" w:evenVBand="0" w:oddHBand="1" w:evenHBand="0" w:firstRowFirstColumn="0" w:firstRowLastColumn="0" w:lastRowFirstColumn="0" w:lastRowLastColumn="0"/>
          <w:trHeight w:val="315"/>
        </w:trPr>
        <w:tc>
          <w:tcPr>
            <w:tcW w:w="2939" w:type="pct"/>
            <w:shd w:val="clear" w:color="auto" w:fill="CCC0D9" w:themeFill="accent4" w:themeFillTint="66"/>
            <w:hideMark/>
          </w:tcPr>
          <w:p w14:paraId="2E29CFC9" w14:textId="77777777" w:rsidR="008F6910" w:rsidRPr="00CB0929" w:rsidRDefault="008F6910" w:rsidP="008F6910">
            <w:pPr>
              <w:spacing w:before="40" w:after="40"/>
              <w:rPr>
                <w:rFonts w:ascii="Segoe UI Light" w:hAnsi="Segoe UI Light"/>
                <w:sz w:val="16"/>
                <w:szCs w:val="16"/>
              </w:rPr>
            </w:pPr>
            <w:r w:rsidRPr="00CB0929">
              <w:rPr>
                <w:rFonts w:ascii="Segoe UI Light" w:hAnsi="Segoe UI Light"/>
                <w:bCs/>
                <w:sz w:val="16"/>
                <w:szCs w:val="16"/>
              </w:rPr>
              <w:t>Summārais dzimstības koeficients</w:t>
            </w:r>
          </w:p>
        </w:tc>
        <w:tc>
          <w:tcPr>
            <w:tcW w:w="687" w:type="pct"/>
            <w:shd w:val="clear" w:color="auto" w:fill="CCC0D9" w:themeFill="accent4" w:themeFillTint="66"/>
            <w:hideMark/>
          </w:tcPr>
          <w:p w14:paraId="15150BDE" w14:textId="7A18AA0D"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1</w:t>
            </w:r>
            <w:r w:rsidR="005664E2" w:rsidRPr="00CB0929">
              <w:rPr>
                <w:rFonts w:ascii="Segoe UI Light" w:hAnsi="Segoe UI Light"/>
                <w:bCs/>
                <w:sz w:val="16"/>
                <w:szCs w:val="16"/>
              </w:rPr>
              <w:t>,</w:t>
            </w:r>
            <w:r w:rsidRPr="00CB0929">
              <w:rPr>
                <w:rFonts w:ascii="Segoe UI Light" w:hAnsi="Segoe UI Light"/>
                <w:bCs/>
                <w:sz w:val="16"/>
                <w:szCs w:val="16"/>
              </w:rPr>
              <w:t>360</w:t>
            </w:r>
          </w:p>
        </w:tc>
        <w:tc>
          <w:tcPr>
            <w:tcW w:w="686" w:type="pct"/>
            <w:shd w:val="clear" w:color="auto" w:fill="CCC0D9" w:themeFill="accent4" w:themeFillTint="66"/>
            <w:hideMark/>
          </w:tcPr>
          <w:p w14:paraId="6374FFD0" w14:textId="1135D0BE"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1</w:t>
            </w:r>
            <w:r w:rsidR="005664E2" w:rsidRPr="00CB0929">
              <w:rPr>
                <w:rFonts w:ascii="Segoe UI Light" w:hAnsi="Segoe UI Light"/>
                <w:bCs/>
                <w:sz w:val="16"/>
                <w:szCs w:val="16"/>
              </w:rPr>
              <w:t>,</w:t>
            </w:r>
            <w:r w:rsidRPr="00CB0929">
              <w:rPr>
                <w:rFonts w:ascii="Segoe UI Light" w:hAnsi="Segoe UI Light"/>
                <w:bCs/>
                <w:sz w:val="16"/>
                <w:szCs w:val="16"/>
              </w:rPr>
              <w:t>666</w:t>
            </w:r>
          </w:p>
        </w:tc>
        <w:tc>
          <w:tcPr>
            <w:tcW w:w="688" w:type="pct"/>
            <w:shd w:val="clear" w:color="auto" w:fill="CCC0D9" w:themeFill="accent4" w:themeFillTint="66"/>
            <w:hideMark/>
          </w:tcPr>
          <w:p w14:paraId="1A86C94C" w14:textId="01D7FE69"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1</w:t>
            </w:r>
            <w:r w:rsidR="005664E2" w:rsidRPr="00CB0929">
              <w:rPr>
                <w:rFonts w:ascii="Segoe UI Light" w:hAnsi="Segoe UI Light"/>
                <w:bCs/>
                <w:sz w:val="16"/>
                <w:szCs w:val="16"/>
              </w:rPr>
              <w:t>,</w:t>
            </w:r>
            <w:r w:rsidRPr="00CB0929">
              <w:rPr>
                <w:rFonts w:ascii="Segoe UI Light" w:hAnsi="Segoe UI Light"/>
                <w:bCs/>
                <w:sz w:val="16"/>
                <w:szCs w:val="16"/>
              </w:rPr>
              <w:t>880</w:t>
            </w:r>
          </w:p>
        </w:tc>
      </w:tr>
      <w:tr w:rsidR="0078478C" w:rsidRPr="00CB0929" w14:paraId="4DE5AE1C" w14:textId="77777777" w:rsidTr="00C00282">
        <w:trPr>
          <w:trHeight w:val="261"/>
        </w:trPr>
        <w:tc>
          <w:tcPr>
            <w:tcW w:w="2939" w:type="pct"/>
            <w:shd w:val="clear" w:color="auto" w:fill="E5DFEC" w:themeFill="accent4" w:themeFillTint="33"/>
            <w:hideMark/>
          </w:tcPr>
          <w:p w14:paraId="567B66BF" w14:textId="77777777" w:rsidR="008F6910" w:rsidRPr="00CB0929" w:rsidRDefault="008F6910" w:rsidP="008F6910">
            <w:pPr>
              <w:spacing w:before="40" w:after="40"/>
              <w:rPr>
                <w:rFonts w:ascii="Segoe UI Light" w:hAnsi="Segoe UI Light"/>
                <w:sz w:val="16"/>
                <w:szCs w:val="16"/>
              </w:rPr>
            </w:pPr>
            <w:r w:rsidRPr="00CB0929">
              <w:rPr>
                <w:rFonts w:ascii="Segoe UI Light" w:hAnsi="Segoe UI Light"/>
                <w:bCs/>
                <w:sz w:val="16"/>
                <w:szCs w:val="16"/>
              </w:rPr>
              <w:t>Jaundzimušo vidējais paredzamais mūža ilgums (gados)</w:t>
            </w:r>
          </w:p>
        </w:tc>
        <w:tc>
          <w:tcPr>
            <w:tcW w:w="687" w:type="pct"/>
            <w:shd w:val="clear" w:color="auto" w:fill="E5DFEC" w:themeFill="accent4" w:themeFillTint="33"/>
            <w:hideMark/>
          </w:tcPr>
          <w:p w14:paraId="572186A0" w14:textId="18D5BD84" w:rsidR="008F6910" w:rsidRPr="00CB0929" w:rsidRDefault="008F6910" w:rsidP="008F6910">
            <w:pPr>
              <w:tabs>
                <w:tab w:val="left" w:pos="213"/>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75</w:t>
            </w:r>
            <w:r w:rsidR="005664E2" w:rsidRPr="00CB0929">
              <w:rPr>
                <w:rFonts w:ascii="Segoe UI Light" w:hAnsi="Segoe UI Light"/>
                <w:bCs/>
                <w:sz w:val="16"/>
                <w:szCs w:val="16"/>
              </w:rPr>
              <w:t>,</w:t>
            </w:r>
            <w:r w:rsidRPr="00CB0929">
              <w:rPr>
                <w:rFonts w:ascii="Segoe UI Light" w:hAnsi="Segoe UI Light"/>
                <w:bCs/>
                <w:sz w:val="16"/>
                <w:szCs w:val="16"/>
              </w:rPr>
              <w:t>5</w:t>
            </w:r>
          </w:p>
        </w:tc>
        <w:tc>
          <w:tcPr>
            <w:tcW w:w="686" w:type="pct"/>
            <w:shd w:val="clear" w:color="auto" w:fill="E5DFEC" w:themeFill="accent4" w:themeFillTint="33"/>
            <w:hideMark/>
          </w:tcPr>
          <w:p w14:paraId="3C368EC7" w14:textId="188915FF" w:rsidR="008F6910" w:rsidRPr="00CB0929" w:rsidRDefault="008F6910" w:rsidP="008F6910">
            <w:pPr>
              <w:tabs>
                <w:tab w:val="left" w:pos="161"/>
                <w:tab w:val="decimal" w:pos="607"/>
              </w:tabs>
              <w:spacing w:before="40" w:after="40"/>
              <w:jc w:val="center"/>
              <w:rPr>
                <w:rFonts w:ascii="Segoe UI Light" w:hAnsi="Segoe UI Light"/>
                <w:bCs/>
                <w:sz w:val="16"/>
                <w:szCs w:val="16"/>
              </w:rPr>
            </w:pPr>
            <w:r w:rsidRPr="00CB0929">
              <w:rPr>
                <w:rFonts w:ascii="Segoe UI Light" w:hAnsi="Segoe UI Light"/>
                <w:bCs/>
                <w:sz w:val="16"/>
                <w:szCs w:val="16"/>
              </w:rPr>
              <w:t>77</w:t>
            </w:r>
            <w:r w:rsidR="005664E2" w:rsidRPr="00CB0929">
              <w:rPr>
                <w:rFonts w:ascii="Segoe UI Light" w:hAnsi="Segoe UI Light"/>
                <w:bCs/>
                <w:sz w:val="16"/>
                <w:szCs w:val="16"/>
              </w:rPr>
              <w:t>,</w:t>
            </w:r>
            <w:r w:rsidRPr="00CB0929">
              <w:rPr>
                <w:rFonts w:ascii="Segoe UI Light" w:hAnsi="Segoe UI Light"/>
                <w:bCs/>
                <w:sz w:val="16"/>
                <w:szCs w:val="16"/>
              </w:rPr>
              <w:t>7</w:t>
            </w:r>
          </w:p>
        </w:tc>
        <w:tc>
          <w:tcPr>
            <w:tcW w:w="688" w:type="pct"/>
            <w:shd w:val="clear" w:color="auto" w:fill="E5DFEC" w:themeFill="accent4" w:themeFillTint="33"/>
            <w:hideMark/>
          </w:tcPr>
          <w:p w14:paraId="14103C4A" w14:textId="30461400" w:rsidR="008F6910" w:rsidRPr="00CB0929" w:rsidRDefault="008F6910" w:rsidP="008F6910">
            <w:pPr>
              <w:tabs>
                <w:tab w:val="left" w:pos="171"/>
                <w:tab w:val="decimal" w:pos="552"/>
              </w:tabs>
              <w:spacing w:before="40" w:after="40"/>
              <w:jc w:val="center"/>
              <w:rPr>
                <w:rFonts w:ascii="Segoe UI Light" w:hAnsi="Segoe UI Light"/>
                <w:bCs/>
                <w:sz w:val="16"/>
                <w:szCs w:val="16"/>
              </w:rPr>
            </w:pPr>
            <w:r w:rsidRPr="00CB0929">
              <w:rPr>
                <w:rFonts w:ascii="Segoe UI Light" w:hAnsi="Segoe UI Light"/>
                <w:bCs/>
                <w:sz w:val="16"/>
                <w:szCs w:val="16"/>
              </w:rPr>
              <w:t>80</w:t>
            </w:r>
            <w:r w:rsidR="005664E2" w:rsidRPr="00CB0929">
              <w:rPr>
                <w:rFonts w:ascii="Segoe UI Light" w:hAnsi="Segoe UI Light"/>
                <w:bCs/>
                <w:sz w:val="16"/>
                <w:szCs w:val="16"/>
              </w:rPr>
              <w:t>,</w:t>
            </w:r>
            <w:r w:rsidRPr="00CB0929">
              <w:rPr>
                <w:rFonts w:ascii="Segoe UI Light" w:hAnsi="Segoe UI Light"/>
                <w:bCs/>
                <w:sz w:val="16"/>
                <w:szCs w:val="16"/>
              </w:rPr>
              <w:t>1</w:t>
            </w:r>
          </w:p>
        </w:tc>
      </w:tr>
    </w:tbl>
    <w:p w14:paraId="7F555018" w14:textId="6154E0DF" w:rsidR="00035D66" w:rsidRPr="00CB0929" w:rsidRDefault="00035D66" w:rsidP="008F6910">
      <w:pPr>
        <w:spacing w:before="120" w:after="120"/>
        <w:ind w:left="284" w:hanging="284"/>
        <w:jc w:val="both"/>
        <w:rPr>
          <w:rFonts w:cs="Calibri Light"/>
          <w:sz w:val="16"/>
          <w:szCs w:val="16"/>
        </w:rPr>
      </w:pPr>
      <w:r w:rsidRPr="00CB0929">
        <w:rPr>
          <w:rFonts w:cs="Calibri Light"/>
          <w:sz w:val="16"/>
          <w:szCs w:val="16"/>
        </w:rPr>
        <w:t>Avots: * EM novērtējums balstoties uz CSP datiem par 2023.</w:t>
      </w:r>
      <w:r w:rsidR="0080669C" w:rsidRPr="00CB0929">
        <w:rPr>
          <w:rFonts w:cs="Calibri Light"/>
          <w:sz w:val="16"/>
          <w:szCs w:val="16"/>
        </w:rPr>
        <w:t>gad</w:t>
      </w:r>
      <w:r w:rsidRPr="00CB0929">
        <w:rPr>
          <w:rFonts w:cs="Calibri Light"/>
          <w:sz w:val="16"/>
          <w:szCs w:val="16"/>
        </w:rPr>
        <w:t>u, EM prognozes 2030. un 2040.</w:t>
      </w:r>
      <w:r w:rsidR="0080669C" w:rsidRPr="00CB0929">
        <w:rPr>
          <w:rFonts w:cs="Calibri Light"/>
          <w:sz w:val="16"/>
          <w:szCs w:val="16"/>
        </w:rPr>
        <w:t>gad</w:t>
      </w:r>
      <w:r w:rsidRPr="00CB0929">
        <w:rPr>
          <w:rFonts w:cs="Calibri Light"/>
          <w:sz w:val="16"/>
          <w:szCs w:val="16"/>
        </w:rPr>
        <w:t>am</w:t>
      </w:r>
    </w:p>
    <w:p w14:paraId="75A05EB7" w14:textId="77777777" w:rsidR="003F161B" w:rsidRDefault="003F161B" w:rsidP="00814506">
      <w:pPr>
        <w:spacing w:after="120"/>
        <w:jc w:val="both"/>
        <w:rPr>
          <w:color w:val="000000"/>
          <w:szCs w:val="20"/>
        </w:rPr>
      </w:pPr>
    </w:p>
    <w:p w14:paraId="4C7B125E" w14:textId="48B8D3C1" w:rsidR="00814506" w:rsidRPr="00CB0929" w:rsidRDefault="00814506" w:rsidP="00814506">
      <w:pPr>
        <w:spacing w:after="120"/>
        <w:jc w:val="both"/>
        <w:rPr>
          <w:color w:val="000000"/>
          <w:szCs w:val="20"/>
        </w:rPr>
      </w:pPr>
      <w:r w:rsidRPr="00CB0929">
        <w:rPr>
          <w:color w:val="000000"/>
          <w:szCs w:val="20"/>
        </w:rPr>
        <w:t>Lai notiktu normāla paaudžu nomaiņa, summārajam dzimstības rādītājam vajadzētu būt ne mazākam par 2. Pēdējo reizi Latvijā summārais dzimstības koeficients pārsniedza šo līmeni pagājušā gadsimta 80.gadu beigās.</w:t>
      </w:r>
    </w:p>
    <w:p w14:paraId="6821FD89" w14:textId="4795D1B8" w:rsidR="005664E2" w:rsidRPr="00CB0929" w:rsidRDefault="005664E2" w:rsidP="00814506">
      <w:pPr>
        <w:spacing w:after="120"/>
        <w:jc w:val="both"/>
        <w:rPr>
          <w:color w:val="000000"/>
          <w:szCs w:val="20"/>
        </w:rPr>
      </w:pPr>
      <w:r w:rsidRPr="00CB0929">
        <w:rPr>
          <w:color w:val="000000"/>
          <w:szCs w:val="20"/>
        </w:rPr>
        <w:t>Līdz ar uzlabojumiem iedzīvotāju labklājības līmenī un plašākai pieejai veselības aprūpes pakalpojumiem, kopumā iedzīvotāju mirstības rādītāji gan vidējā, gan ilgtermiņā samazināsies. Sagaidāms, ka līdz 2040.gadam iedzīvotāju relatīvie mirstības rādītāji samazināsies gandrīz visās vecuma grupās, kas ietekmēs arī kopumā mirušo skaita uz 1000 iedzīvotājiem samazināšanos – sagaidāms, ka mirstība uz 1000 iedzīvotājiem līdz 2040.gadam varētu samazināties par aptuveni 8%. Tāpat pieaugs jaundzimušo vidējais paredzamais mūža ilgums no 75,5 gadiem 2023.gadā līdz vidēji 80,1 gadiem 2040.gadā.</w:t>
      </w:r>
    </w:p>
    <w:p w14:paraId="7B08656E" w14:textId="77777777" w:rsidR="005664E2" w:rsidRPr="00CB0929" w:rsidRDefault="005664E2" w:rsidP="00814506">
      <w:pPr>
        <w:spacing w:after="120"/>
        <w:jc w:val="both"/>
        <w:rPr>
          <w:color w:val="000000"/>
          <w:szCs w:val="20"/>
        </w:rPr>
      </w:pPr>
      <w:r w:rsidRPr="00CB0929">
        <w:rPr>
          <w:color w:val="000000"/>
          <w:szCs w:val="20"/>
        </w:rPr>
        <w:t xml:space="preserve">Ņemot vērā augstāk minēto, sagaidāms, ka plaisa starp jaundzimušo un mirušo skaitu nākamajos gados pakāpeniski saruks, tomēr tā joprojām saglabāsies negatīva, ņemot vērā ievērojami zemākus dzimstības rādītājus, salīdzinot ar iedzīvotāju mirstību absolūtā izteiksmē. </w:t>
      </w:r>
    </w:p>
    <w:p w14:paraId="32AA9E11" w14:textId="77777777" w:rsidR="008F6910" w:rsidRPr="00CB0929" w:rsidRDefault="008F6910" w:rsidP="00814506">
      <w:pPr>
        <w:spacing w:after="120"/>
        <w:jc w:val="both"/>
        <w:rPr>
          <w:color w:val="000000"/>
          <w:szCs w:val="20"/>
        </w:rPr>
      </w:pPr>
    </w:p>
    <w:p w14:paraId="66F38385" w14:textId="77777777" w:rsidR="00035D66" w:rsidRPr="003F161B" w:rsidRDefault="00035D66" w:rsidP="00814506">
      <w:pPr>
        <w:spacing w:after="120"/>
        <w:jc w:val="both"/>
        <w:rPr>
          <w:rFonts w:ascii="Aptos Narrow" w:hAnsi="Aptos Narrow"/>
          <w:b/>
          <w:color w:val="5F497A" w:themeColor="accent4" w:themeShade="BF"/>
          <w:sz w:val="28"/>
          <w:szCs w:val="28"/>
        </w:rPr>
      </w:pPr>
      <w:r w:rsidRPr="003F161B">
        <w:rPr>
          <w:rFonts w:ascii="Aptos Narrow" w:hAnsi="Aptos Narrow"/>
          <w:b/>
          <w:color w:val="5F497A" w:themeColor="accent4" w:themeShade="BF"/>
          <w:sz w:val="28"/>
          <w:szCs w:val="28"/>
        </w:rPr>
        <w:t>Starptautiskā iedzīvotāju ilgtermiņa migrācija</w:t>
      </w:r>
    </w:p>
    <w:p w14:paraId="3F03FE90" w14:textId="77777777" w:rsidR="005664E2" w:rsidRPr="00CB0929" w:rsidRDefault="005664E2" w:rsidP="00814506">
      <w:pPr>
        <w:spacing w:after="120"/>
        <w:jc w:val="both"/>
        <w:rPr>
          <w:color w:val="000000"/>
          <w:szCs w:val="20"/>
        </w:rPr>
      </w:pPr>
      <w:r w:rsidRPr="00CB0929">
        <w:rPr>
          <w:color w:val="000000"/>
          <w:szCs w:val="20"/>
        </w:rPr>
        <w:t>Iedzīvotāju starptautiskās migrācijas scenārija pieņēmumu pamatā ir ekonomikas izaugsmes mērķa scenārijs, kas paredz, ka nākamajos gados Latvijas IKP uz 1 iedzīvotāju turpinās pakāpeniski pietuvoties ES vidējam līmenim, tādejādi kopumā mazinot ienākumu plaisu ar ekonomiski attīstītākām ES dalībvalstīm.</w:t>
      </w:r>
    </w:p>
    <w:p w14:paraId="1749AEC2" w14:textId="3EE59235" w:rsidR="005664E2" w:rsidRPr="00CB0929" w:rsidRDefault="005664E2" w:rsidP="00814506">
      <w:pPr>
        <w:spacing w:after="120"/>
        <w:jc w:val="both"/>
      </w:pPr>
      <w:r w:rsidRPr="00CB0929">
        <w:t xml:space="preserve">Lai gan 2022. un 2023.gadā Latvijā bija vērojams būtisks imigrācijas pieaugums, kas pirmo reizi kopš Latvijas neatkarības atgūšanas ir nodrošinājis pozitīvu migrācijas bilanci, tomēr jāņem vērā, ka šāda tendence ir īslaicīga un jau 2024.gadā emigrējošo skaits varētu atkal pārsniegt imigrāciju. Jāņem vērā, ka daļa no Ukrainas bēgļiem pakāpeniski atgriežas mājās, vai arī, ņemot vērā Latvijas darba tirgus nelielos izmērus, dodas tālāk uz valstīm ar plašākām nodarbinātības iespējām. </w:t>
      </w:r>
    </w:p>
    <w:p w14:paraId="00C21728" w14:textId="5D4A99EF" w:rsidR="005664E2" w:rsidRPr="00CB0929" w:rsidRDefault="005664E2" w:rsidP="00814506">
      <w:pPr>
        <w:spacing w:after="120"/>
        <w:jc w:val="both"/>
        <w:rPr>
          <w:color w:val="000000"/>
        </w:rPr>
      </w:pPr>
      <w:bookmarkStart w:id="62" w:name="_Hlk168923068"/>
      <w:r w:rsidRPr="00CB0929">
        <w:rPr>
          <w:color w:val="000000" w:themeColor="text1"/>
        </w:rPr>
        <w:t xml:space="preserve">Jāatzīmē, ka būtisks priekšnosacījums noturīgai migrācijas plūsmu maiņai ir straujāka ekonomikas izaugsme (ekonomikas izrāviens) un vairāk kvalitatīvu un labi apmaksātu darbavietu darba tirgū. Lai atturētu iedzīvotāju aizceļošanu labāku nodarbinātības iespēju meklējumos ārpus valsts robežām, kā arī radītu pamatu pārdomām par atgriešanos tiem, kas emigrējuši no Latvijas iepriekšējos gados, vidējai darba algai Latvijā būtu jābūt vismaz minimālās algas līmenī galvenajās Latvijas migrantu mērķa valstīs. 2023.gada decembrī vidējā darba alga Latvijā  bija 1 692 </w:t>
      </w:r>
      <w:r w:rsidR="00CF7B9C" w:rsidRPr="00CB0929">
        <w:rPr>
          <w:rFonts w:cs="Calibri Light"/>
          <w:szCs w:val="20"/>
        </w:rPr>
        <w:t>EUR</w:t>
      </w:r>
      <w:r w:rsidRPr="00CB0929">
        <w:rPr>
          <w:color w:val="000000" w:themeColor="text1"/>
        </w:rPr>
        <w:t xml:space="preserve">/mēnesī, kas joprojām bija par aptuveni 11% mazāk nekā minimālās darba algas likme šajā laikā Īrijā </w:t>
      </w:r>
      <w:r w:rsidRPr="00CB0929">
        <w:rPr>
          <w:color w:val="000000" w:themeColor="text1"/>
        </w:rPr>
        <w:lastRenderedPageBreak/>
        <w:t xml:space="preserve">(1 909,70 </w:t>
      </w:r>
      <w:r w:rsidR="00CF7B9C" w:rsidRPr="00CB0929">
        <w:rPr>
          <w:rFonts w:cs="Calibri Light"/>
          <w:szCs w:val="20"/>
        </w:rPr>
        <w:t>EUR</w:t>
      </w:r>
      <w:r w:rsidRPr="00CB0929">
        <w:rPr>
          <w:color w:val="000000" w:themeColor="text1"/>
        </w:rPr>
        <w:t>/mēnesī), bet par aptuveni 15,3% mazāk nekā</w:t>
      </w:r>
      <w:r w:rsidRPr="00CB0929">
        <w:t xml:space="preserve"> </w:t>
      </w:r>
      <w:r w:rsidRPr="00CB0929">
        <w:rPr>
          <w:color w:val="000000" w:themeColor="text1"/>
        </w:rPr>
        <w:t xml:space="preserve">Vācijā (1 997 </w:t>
      </w:r>
      <w:r w:rsidR="00CF7B9C" w:rsidRPr="00CB0929">
        <w:rPr>
          <w:rFonts w:cs="Calibri Light"/>
          <w:szCs w:val="20"/>
        </w:rPr>
        <w:t>EUR</w:t>
      </w:r>
      <w:r w:rsidRPr="00CB0929">
        <w:rPr>
          <w:color w:val="000000" w:themeColor="text1"/>
        </w:rPr>
        <w:t>/mēnesī). Lai gan aizvadītajos 5 gados atalgojuma starpība starp Latviju un Eiropas vecajām ekonomikām ir jūtami sarukusi (piemēram, starpība starp vidējo atalgojumu Latvijā un minimālās algas likmi Īrijā periodā no 2018.gada decembra līdz 2023.gada decembrim ir samazinājusies par gandrīz 24 procentpunktiem, bet starp Vāciju – gandrīz 16 procentpunkti), tomēr neskatoties uz to, saglabājoties līdzšinējiem algu konverģences tempiem, Īrijas minimālā atalgojuma līmeni Latvija varētu sasniegt vien pēc vidēji 2-3 gadiem, bet Vācijas tikai pēc aptuveni 5 gadiem. Ņemot vērā to, būtiski ir paātrināt Latvijas pietuvošanos ES attīstītāko valstu ekonomikām, kas ļautu ātrāk izlīdzināt ienākumu plaisu starp Latviju un Latvijas emigrantu mērķa valstīm.</w:t>
      </w:r>
    </w:p>
    <w:bookmarkEnd w:id="62"/>
    <w:p w14:paraId="481D0802" w14:textId="77777777" w:rsidR="00035D66" w:rsidRPr="00CB0929" w:rsidRDefault="00035D66" w:rsidP="005664E2">
      <w:pPr>
        <w:spacing w:after="120"/>
        <w:jc w:val="right"/>
        <w:rPr>
          <w:color w:val="000000"/>
          <w:szCs w:val="20"/>
        </w:rPr>
      </w:pPr>
      <w:r w:rsidRPr="00CB0929">
        <w:rPr>
          <w:color w:val="000000"/>
          <w:szCs w:val="20"/>
        </w:rPr>
        <w:t>3.5. tabula</w:t>
      </w:r>
    </w:p>
    <w:p w14:paraId="1CC9129E" w14:textId="77777777" w:rsidR="00035D66" w:rsidRPr="00CB0929" w:rsidRDefault="00035D66" w:rsidP="00035D66">
      <w:pPr>
        <w:spacing w:after="120"/>
        <w:jc w:val="center"/>
        <w:rPr>
          <w:rFonts w:ascii="Segoe UI Light" w:hAnsi="Segoe UI Light"/>
          <w:b/>
          <w:color w:val="000000"/>
          <w:sz w:val="18"/>
          <w:szCs w:val="20"/>
        </w:rPr>
      </w:pPr>
      <w:r w:rsidRPr="00CB0929">
        <w:rPr>
          <w:rFonts w:ascii="Segoe UI Light" w:hAnsi="Segoe UI Light"/>
          <w:b/>
          <w:color w:val="000000"/>
          <w:sz w:val="18"/>
          <w:szCs w:val="20"/>
        </w:rPr>
        <w:t>Iedzīvotāju starptautiskās migrācijas galvenie rādītāji</w:t>
      </w:r>
    </w:p>
    <w:tbl>
      <w:tblPr>
        <w:tblStyle w:val="GridTable5Dark-Accent31"/>
        <w:tblW w:w="365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20" w:firstRow="1" w:lastRow="0" w:firstColumn="0" w:lastColumn="0" w:noHBand="0" w:noVBand="1"/>
      </w:tblPr>
      <w:tblGrid>
        <w:gridCol w:w="3315"/>
        <w:gridCol w:w="1658"/>
        <w:gridCol w:w="1658"/>
      </w:tblGrid>
      <w:tr w:rsidR="0078478C" w:rsidRPr="00CB0929" w14:paraId="167EE707" w14:textId="77777777" w:rsidTr="008F6910">
        <w:trPr>
          <w:cnfStyle w:val="100000000000" w:firstRow="1" w:lastRow="0" w:firstColumn="0" w:lastColumn="0" w:oddVBand="0" w:evenVBand="0" w:oddHBand="0" w:evenHBand="0" w:firstRowFirstColumn="0" w:firstRowLastColumn="0" w:lastRowFirstColumn="0" w:lastRowLastColumn="0"/>
          <w:jc w:val="center"/>
        </w:trPr>
        <w:tc>
          <w:tcPr>
            <w:tcW w:w="2499" w:type="pct"/>
            <w:shd w:val="clear" w:color="auto" w:fill="5F497A" w:themeFill="accent4" w:themeFillShade="BF"/>
            <w:noWrap/>
          </w:tcPr>
          <w:p w14:paraId="68DBE6D3" w14:textId="77777777" w:rsidR="008F6910" w:rsidRPr="00CB0929" w:rsidRDefault="008F6910" w:rsidP="008F6910">
            <w:pPr>
              <w:spacing w:before="40" w:after="40"/>
              <w:jc w:val="both"/>
              <w:rPr>
                <w:rFonts w:ascii="Segoe UI Light" w:eastAsia="Arial Unicode MS" w:hAnsi="Segoe UI Light"/>
                <w:b w:val="0"/>
                <w:sz w:val="16"/>
                <w:szCs w:val="16"/>
              </w:rPr>
            </w:pPr>
          </w:p>
        </w:tc>
        <w:tc>
          <w:tcPr>
            <w:tcW w:w="1250" w:type="pct"/>
            <w:shd w:val="clear" w:color="auto" w:fill="5F497A" w:themeFill="accent4" w:themeFillShade="BF"/>
            <w:hideMark/>
          </w:tcPr>
          <w:p w14:paraId="57332C08" w14:textId="3D76B0DA" w:rsidR="008F6910" w:rsidRPr="00CB0929" w:rsidRDefault="008F6910" w:rsidP="008F6910">
            <w:pPr>
              <w:spacing w:before="40" w:after="40"/>
              <w:jc w:val="center"/>
              <w:rPr>
                <w:rFonts w:ascii="Segoe UI Light" w:hAnsi="Segoe UI Light"/>
                <w:sz w:val="16"/>
                <w:szCs w:val="16"/>
              </w:rPr>
            </w:pPr>
            <w:r w:rsidRPr="00CB0929">
              <w:rPr>
                <w:rFonts w:ascii="Segoe UI Light" w:hAnsi="Segoe UI Light"/>
                <w:sz w:val="16"/>
                <w:szCs w:val="16"/>
              </w:rPr>
              <w:t>2023-2029</w:t>
            </w:r>
          </w:p>
        </w:tc>
        <w:tc>
          <w:tcPr>
            <w:tcW w:w="1250" w:type="pct"/>
            <w:shd w:val="clear" w:color="auto" w:fill="5F497A" w:themeFill="accent4" w:themeFillShade="BF"/>
            <w:hideMark/>
          </w:tcPr>
          <w:p w14:paraId="612D00A7" w14:textId="6FA37E5C" w:rsidR="008F6910" w:rsidRPr="00CB0929" w:rsidRDefault="008F6910" w:rsidP="008F6910">
            <w:pPr>
              <w:spacing w:before="40" w:after="40"/>
              <w:jc w:val="center"/>
              <w:rPr>
                <w:rFonts w:ascii="Segoe UI Light" w:hAnsi="Segoe UI Light"/>
                <w:sz w:val="16"/>
                <w:szCs w:val="16"/>
              </w:rPr>
            </w:pPr>
            <w:r w:rsidRPr="00CB0929">
              <w:rPr>
                <w:rFonts w:ascii="Segoe UI Light" w:hAnsi="Segoe UI Light"/>
                <w:sz w:val="16"/>
                <w:szCs w:val="16"/>
              </w:rPr>
              <w:t>2030-2039</w:t>
            </w:r>
          </w:p>
        </w:tc>
      </w:tr>
      <w:tr w:rsidR="0078478C" w:rsidRPr="00CB0929" w14:paraId="4C2717EF" w14:textId="77777777" w:rsidTr="008F6910">
        <w:trPr>
          <w:cnfStyle w:val="000000100000" w:firstRow="0" w:lastRow="0" w:firstColumn="0" w:lastColumn="0" w:oddVBand="0" w:evenVBand="0" w:oddHBand="1" w:evenHBand="0" w:firstRowFirstColumn="0" w:firstRowLastColumn="0" w:lastRowFirstColumn="0" w:lastRowLastColumn="0"/>
          <w:jc w:val="center"/>
        </w:trPr>
        <w:tc>
          <w:tcPr>
            <w:tcW w:w="2499" w:type="pct"/>
            <w:shd w:val="clear" w:color="auto" w:fill="E5DFEC" w:themeFill="accent4" w:themeFillTint="33"/>
            <w:hideMark/>
          </w:tcPr>
          <w:p w14:paraId="1D71C1A6" w14:textId="77777777" w:rsidR="008F6910" w:rsidRPr="00CB0929" w:rsidRDefault="008F6910" w:rsidP="008F6910">
            <w:pPr>
              <w:spacing w:before="40" w:after="40"/>
              <w:rPr>
                <w:rFonts w:ascii="Segoe UI Light" w:hAnsi="Segoe UI Light"/>
                <w:sz w:val="16"/>
                <w:szCs w:val="16"/>
              </w:rPr>
            </w:pPr>
            <w:r w:rsidRPr="00CB0929">
              <w:rPr>
                <w:rFonts w:ascii="Segoe UI Light" w:hAnsi="Segoe UI Light"/>
                <w:bCs/>
                <w:sz w:val="16"/>
                <w:szCs w:val="16"/>
              </w:rPr>
              <w:t>Emigrācija, tūkst.</w:t>
            </w:r>
          </w:p>
        </w:tc>
        <w:tc>
          <w:tcPr>
            <w:tcW w:w="1250" w:type="pct"/>
            <w:shd w:val="clear" w:color="auto" w:fill="E5DFEC" w:themeFill="accent4" w:themeFillTint="33"/>
            <w:hideMark/>
          </w:tcPr>
          <w:p w14:paraId="301EC96F" w14:textId="4FFAF2A2" w:rsidR="008F6910" w:rsidRPr="00CB0929" w:rsidRDefault="008F6910" w:rsidP="008F6910">
            <w:pPr>
              <w:spacing w:before="40" w:after="40"/>
              <w:jc w:val="center"/>
              <w:rPr>
                <w:rFonts w:ascii="Segoe UI Light" w:hAnsi="Segoe UI Light"/>
                <w:bCs/>
                <w:sz w:val="16"/>
                <w:szCs w:val="16"/>
              </w:rPr>
            </w:pPr>
            <w:r w:rsidRPr="00CB0929">
              <w:rPr>
                <w:rFonts w:ascii="Segoe UI Light" w:hAnsi="Segoe UI Light"/>
                <w:bCs/>
                <w:sz w:val="16"/>
                <w:szCs w:val="16"/>
              </w:rPr>
              <w:t>118</w:t>
            </w:r>
            <w:r w:rsidR="005C593D">
              <w:rPr>
                <w:rFonts w:ascii="Segoe UI Light" w:hAnsi="Segoe UI Light"/>
                <w:bCs/>
                <w:sz w:val="16"/>
                <w:szCs w:val="16"/>
              </w:rPr>
              <w:t>,</w:t>
            </w:r>
            <w:r w:rsidRPr="00CB0929">
              <w:rPr>
                <w:rFonts w:ascii="Segoe UI Light" w:hAnsi="Segoe UI Light"/>
                <w:bCs/>
                <w:sz w:val="16"/>
                <w:szCs w:val="16"/>
              </w:rPr>
              <w:t>7</w:t>
            </w:r>
          </w:p>
        </w:tc>
        <w:tc>
          <w:tcPr>
            <w:tcW w:w="1250" w:type="pct"/>
            <w:shd w:val="clear" w:color="auto" w:fill="E5DFEC" w:themeFill="accent4" w:themeFillTint="33"/>
            <w:hideMark/>
          </w:tcPr>
          <w:p w14:paraId="28226FC8" w14:textId="18300452" w:rsidR="008F6910" w:rsidRPr="00CB0929" w:rsidRDefault="008F6910" w:rsidP="008F6910">
            <w:pPr>
              <w:spacing w:before="40" w:after="40"/>
              <w:jc w:val="center"/>
              <w:rPr>
                <w:rFonts w:ascii="Segoe UI Light" w:hAnsi="Segoe UI Light"/>
                <w:bCs/>
                <w:sz w:val="16"/>
                <w:szCs w:val="16"/>
              </w:rPr>
            </w:pPr>
            <w:r w:rsidRPr="00CB0929">
              <w:rPr>
                <w:rFonts w:ascii="Segoe UI Light" w:hAnsi="Segoe UI Light"/>
                <w:bCs/>
                <w:sz w:val="16"/>
                <w:szCs w:val="16"/>
              </w:rPr>
              <w:t>135</w:t>
            </w:r>
            <w:r w:rsidR="005C593D">
              <w:rPr>
                <w:rFonts w:ascii="Segoe UI Light" w:hAnsi="Segoe UI Light"/>
                <w:bCs/>
                <w:sz w:val="16"/>
                <w:szCs w:val="16"/>
              </w:rPr>
              <w:t>,</w:t>
            </w:r>
            <w:r w:rsidRPr="00CB0929">
              <w:rPr>
                <w:rFonts w:ascii="Segoe UI Light" w:hAnsi="Segoe UI Light"/>
                <w:bCs/>
                <w:sz w:val="16"/>
                <w:szCs w:val="16"/>
              </w:rPr>
              <w:t>3</w:t>
            </w:r>
          </w:p>
        </w:tc>
      </w:tr>
      <w:tr w:rsidR="0078478C" w:rsidRPr="00CB0929" w14:paraId="3407BE98" w14:textId="77777777" w:rsidTr="008F6910">
        <w:trPr>
          <w:jc w:val="center"/>
        </w:trPr>
        <w:tc>
          <w:tcPr>
            <w:tcW w:w="2499" w:type="pct"/>
            <w:shd w:val="clear" w:color="auto" w:fill="CCC0D9" w:themeFill="accent4" w:themeFillTint="66"/>
            <w:hideMark/>
          </w:tcPr>
          <w:p w14:paraId="12CE0238" w14:textId="77777777" w:rsidR="008F6910" w:rsidRPr="00CB0929" w:rsidRDefault="008F6910" w:rsidP="008F6910">
            <w:pPr>
              <w:spacing w:before="40" w:after="40"/>
              <w:rPr>
                <w:rFonts w:ascii="Segoe UI Light" w:hAnsi="Segoe UI Light"/>
                <w:sz w:val="16"/>
                <w:szCs w:val="16"/>
              </w:rPr>
            </w:pPr>
            <w:r w:rsidRPr="00CB0929">
              <w:rPr>
                <w:rFonts w:ascii="Segoe UI Light" w:hAnsi="Segoe UI Light"/>
                <w:bCs/>
                <w:sz w:val="16"/>
                <w:szCs w:val="16"/>
              </w:rPr>
              <w:t>Imigrācija tūkst.</w:t>
            </w:r>
          </w:p>
        </w:tc>
        <w:tc>
          <w:tcPr>
            <w:tcW w:w="1250" w:type="pct"/>
            <w:shd w:val="clear" w:color="auto" w:fill="CCC0D9" w:themeFill="accent4" w:themeFillTint="66"/>
            <w:hideMark/>
          </w:tcPr>
          <w:p w14:paraId="0437E262" w14:textId="18B8A8D7" w:rsidR="008F6910" w:rsidRPr="00CB0929" w:rsidRDefault="008F6910" w:rsidP="008F6910">
            <w:pPr>
              <w:spacing w:before="40" w:after="40"/>
              <w:jc w:val="center"/>
              <w:rPr>
                <w:rFonts w:ascii="Segoe UI Light" w:hAnsi="Segoe UI Light"/>
                <w:bCs/>
                <w:sz w:val="16"/>
                <w:szCs w:val="16"/>
              </w:rPr>
            </w:pPr>
            <w:r w:rsidRPr="00CB0929">
              <w:rPr>
                <w:rFonts w:ascii="Segoe UI Light" w:hAnsi="Segoe UI Light"/>
                <w:bCs/>
                <w:sz w:val="16"/>
                <w:szCs w:val="16"/>
              </w:rPr>
              <w:t>117</w:t>
            </w:r>
            <w:r w:rsidR="005C593D">
              <w:rPr>
                <w:rFonts w:ascii="Segoe UI Light" w:hAnsi="Segoe UI Light"/>
                <w:bCs/>
                <w:sz w:val="16"/>
                <w:szCs w:val="16"/>
              </w:rPr>
              <w:t>,</w:t>
            </w:r>
            <w:r w:rsidRPr="00CB0929">
              <w:rPr>
                <w:rFonts w:ascii="Segoe UI Light" w:hAnsi="Segoe UI Light"/>
                <w:bCs/>
                <w:sz w:val="16"/>
                <w:szCs w:val="16"/>
              </w:rPr>
              <w:t>9</w:t>
            </w:r>
          </w:p>
        </w:tc>
        <w:tc>
          <w:tcPr>
            <w:tcW w:w="1250" w:type="pct"/>
            <w:shd w:val="clear" w:color="auto" w:fill="CCC0D9" w:themeFill="accent4" w:themeFillTint="66"/>
            <w:hideMark/>
          </w:tcPr>
          <w:p w14:paraId="6EF47A61" w14:textId="3A37EE5A" w:rsidR="008F6910" w:rsidRPr="00CB0929" w:rsidRDefault="008F6910" w:rsidP="008F6910">
            <w:pPr>
              <w:spacing w:before="40" w:after="40"/>
              <w:jc w:val="center"/>
              <w:rPr>
                <w:rFonts w:ascii="Segoe UI Light" w:hAnsi="Segoe UI Light"/>
                <w:bCs/>
                <w:sz w:val="16"/>
                <w:szCs w:val="16"/>
              </w:rPr>
            </w:pPr>
            <w:r w:rsidRPr="00CB0929">
              <w:rPr>
                <w:rFonts w:ascii="Segoe UI Light" w:hAnsi="Segoe UI Light"/>
                <w:bCs/>
                <w:sz w:val="16"/>
                <w:szCs w:val="16"/>
              </w:rPr>
              <w:t>182</w:t>
            </w:r>
            <w:r w:rsidR="005C593D">
              <w:rPr>
                <w:rFonts w:ascii="Segoe UI Light" w:hAnsi="Segoe UI Light"/>
                <w:bCs/>
                <w:sz w:val="16"/>
                <w:szCs w:val="16"/>
              </w:rPr>
              <w:t>,</w:t>
            </w:r>
            <w:r w:rsidRPr="00CB0929">
              <w:rPr>
                <w:rFonts w:ascii="Segoe UI Light" w:hAnsi="Segoe UI Light"/>
                <w:bCs/>
                <w:sz w:val="16"/>
                <w:szCs w:val="16"/>
              </w:rPr>
              <w:t>3</w:t>
            </w:r>
          </w:p>
        </w:tc>
      </w:tr>
      <w:tr w:rsidR="0078478C" w:rsidRPr="00CB0929" w14:paraId="115DA84C" w14:textId="77777777" w:rsidTr="008F6910">
        <w:trPr>
          <w:cnfStyle w:val="000000100000" w:firstRow="0" w:lastRow="0" w:firstColumn="0" w:lastColumn="0" w:oddVBand="0" w:evenVBand="0" w:oddHBand="1" w:evenHBand="0" w:firstRowFirstColumn="0" w:firstRowLastColumn="0" w:lastRowFirstColumn="0" w:lastRowLastColumn="0"/>
          <w:jc w:val="center"/>
        </w:trPr>
        <w:tc>
          <w:tcPr>
            <w:tcW w:w="2499" w:type="pct"/>
            <w:shd w:val="clear" w:color="auto" w:fill="E5DFEC" w:themeFill="accent4" w:themeFillTint="33"/>
            <w:hideMark/>
          </w:tcPr>
          <w:p w14:paraId="2827A1AA" w14:textId="77777777" w:rsidR="008F6910" w:rsidRPr="00CB0929" w:rsidRDefault="008F6910" w:rsidP="008F6910">
            <w:pPr>
              <w:spacing w:before="40" w:after="40"/>
              <w:rPr>
                <w:rFonts w:ascii="Segoe UI Light" w:hAnsi="Segoe UI Light"/>
                <w:b/>
                <w:bCs/>
                <w:sz w:val="16"/>
                <w:szCs w:val="16"/>
              </w:rPr>
            </w:pPr>
            <w:r w:rsidRPr="00CB0929">
              <w:rPr>
                <w:rFonts w:ascii="Segoe UI Light" w:hAnsi="Segoe UI Light"/>
                <w:b/>
                <w:bCs/>
                <w:sz w:val="16"/>
                <w:szCs w:val="16"/>
              </w:rPr>
              <w:t>Migrācijas saldo, tūkst.</w:t>
            </w:r>
          </w:p>
        </w:tc>
        <w:tc>
          <w:tcPr>
            <w:tcW w:w="1250" w:type="pct"/>
            <w:shd w:val="clear" w:color="auto" w:fill="E5DFEC" w:themeFill="accent4" w:themeFillTint="33"/>
            <w:hideMark/>
          </w:tcPr>
          <w:p w14:paraId="1371C570" w14:textId="70B462D1" w:rsidR="008F6910" w:rsidRPr="00CB0929" w:rsidRDefault="008F6910" w:rsidP="008F6910">
            <w:pPr>
              <w:spacing w:before="40" w:after="40"/>
              <w:jc w:val="center"/>
              <w:rPr>
                <w:rFonts w:ascii="Segoe UI Light" w:hAnsi="Segoe UI Light"/>
                <w:b/>
                <w:sz w:val="16"/>
                <w:szCs w:val="16"/>
              </w:rPr>
            </w:pPr>
            <w:r w:rsidRPr="00CB0929">
              <w:rPr>
                <w:rFonts w:ascii="Segoe UI Light" w:hAnsi="Segoe UI Light"/>
                <w:b/>
                <w:sz w:val="16"/>
                <w:szCs w:val="16"/>
              </w:rPr>
              <w:t>-0</w:t>
            </w:r>
            <w:r w:rsidR="005C593D">
              <w:rPr>
                <w:rFonts w:ascii="Segoe UI Light" w:hAnsi="Segoe UI Light"/>
                <w:b/>
                <w:sz w:val="16"/>
                <w:szCs w:val="16"/>
              </w:rPr>
              <w:t>,</w:t>
            </w:r>
            <w:r w:rsidRPr="00CB0929">
              <w:rPr>
                <w:rFonts w:ascii="Segoe UI Light" w:hAnsi="Segoe UI Light"/>
                <w:b/>
                <w:sz w:val="16"/>
                <w:szCs w:val="16"/>
              </w:rPr>
              <w:t>8</w:t>
            </w:r>
          </w:p>
        </w:tc>
        <w:tc>
          <w:tcPr>
            <w:tcW w:w="1250" w:type="pct"/>
            <w:shd w:val="clear" w:color="auto" w:fill="E5DFEC" w:themeFill="accent4" w:themeFillTint="33"/>
            <w:hideMark/>
          </w:tcPr>
          <w:p w14:paraId="0EB00287" w14:textId="538F5F8C" w:rsidR="008F6910" w:rsidRPr="00CB0929" w:rsidRDefault="008F6910" w:rsidP="008F6910">
            <w:pPr>
              <w:spacing w:before="40" w:after="40"/>
              <w:jc w:val="center"/>
              <w:rPr>
                <w:rFonts w:ascii="Segoe UI Light" w:hAnsi="Segoe UI Light"/>
                <w:b/>
                <w:sz w:val="16"/>
                <w:szCs w:val="16"/>
              </w:rPr>
            </w:pPr>
            <w:r w:rsidRPr="00CB0929">
              <w:rPr>
                <w:rFonts w:ascii="Segoe UI Light" w:hAnsi="Segoe UI Light"/>
                <w:b/>
                <w:sz w:val="16"/>
                <w:szCs w:val="16"/>
              </w:rPr>
              <w:t>47</w:t>
            </w:r>
            <w:r w:rsidR="005C593D">
              <w:rPr>
                <w:rFonts w:ascii="Segoe UI Light" w:hAnsi="Segoe UI Light"/>
                <w:b/>
                <w:sz w:val="16"/>
                <w:szCs w:val="16"/>
              </w:rPr>
              <w:t>,</w:t>
            </w:r>
            <w:r w:rsidRPr="00CB0929">
              <w:rPr>
                <w:rFonts w:ascii="Segoe UI Light" w:hAnsi="Segoe UI Light"/>
                <w:b/>
                <w:sz w:val="16"/>
                <w:szCs w:val="16"/>
              </w:rPr>
              <w:t>1</w:t>
            </w:r>
          </w:p>
        </w:tc>
      </w:tr>
    </w:tbl>
    <w:p w14:paraId="510E2860" w14:textId="77777777" w:rsidR="00035D66" w:rsidRPr="00CB0929" w:rsidRDefault="00035D66" w:rsidP="005664E2">
      <w:pPr>
        <w:spacing w:before="120" w:after="120"/>
        <w:ind w:left="720" w:firstLine="596"/>
        <w:jc w:val="both"/>
        <w:rPr>
          <w:rFonts w:cs="Calibri Light"/>
          <w:sz w:val="16"/>
          <w:szCs w:val="14"/>
        </w:rPr>
      </w:pPr>
      <w:r w:rsidRPr="00CB0929">
        <w:rPr>
          <w:rFonts w:cs="Calibri Light"/>
          <w:sz w:val="16"/>
          <w:szCs w:val="14"/>
        </w:rPr>
        <w:t>Avots: EM prognozes</w:t>
      </w:r>
    </w:p>
    <w:p w14:paraId="2ACA2B45" w14:textId="77777777" w:rsidR="005664E2" w:rsidRPr="00CB0929" w:rsidRDefault="005664E2" w:rsidP="00814506">
      <w:pPr>
        <w:spacing w:after="120"/>
        <w:jc w:val="both"/>
        <w:rPr>
          <w:color w:val="000000"/>
          <w:szCs w:val="20"/>
        </w:rPr>
      </w:pPr>
    </w:p>
    <w:p w14:paraId="03ADDED8" w14:textId="4A7D6F4A" w:rsidR="005664E2" w:rsidRPr="00CB0929" w:rsidRDefault="005664E2" w:rsidP="00814506">
      <w:pPr>
        <w:spacing w:after="120"/>
        <w:jc w:val="both"/>
        <w:rPr>
          <w:color w:val="000000" w:themeColor="text1"/>
        </w:rPr>
      </w:pPr>
      <w:r w:rsidRPr="00CB0929">
        <w:rPr>
          <w:color w:val="000000"/>
          <w:szCs w:val="20"/>
        </w:rPr>
        <w:t xml:space="preserve">Mazinoties Ukrainas kara bēgļu pieplūdumam Latvijā, kā arī daļai bēgļu pakāpeniski atgriežoties mājās, sagaidāms, ka līdz 2026.gadam imigrējošo skaits Latvijā varētu turpināt sarukt, kā arī pieaugt emigrējušo skaits. Tāpat </w:t>
      </w:r>
      <w:r w:rsidRPr="00CB0929">
        <w:rPr>
          <w:color w:val="000000" w:themeColor="text1"/>
        </w:rPr>
        <w:t xml:space="preserve">jāņem vērā, ka Krievijas agresīvā politika reģionā visdrīzāk tuvākajos gados atturēs strauju Latvijas </w:t>
      </w:r>
      <w:proofErr w:type="spellStart"/>
      <w:r w:rsidRPr="00CB0929">
        <w:rPr>
          <w:color w:val="000000" w:themeColor="text1"/>
        </w:rPr>
        <w:t>valstspiederīgo</w:t>
      </w:r>
      <w:proofErr w:type="spellEnd"/>
      <w:r w:rsidRPr="00CB0929">
        <w:rPr>
          <w:color w:val="000000" w:themeColor="text1"/>
        </w:rPr>
        <w:t xml:space="preserve"> atgriešanos dzimtenē vai ekonomisko imigrantu ieplūšanu valstī, kā arī potenciālie konflikta eskalācijas riski reģionā kopumā palielina iedzīvotāju emigrācijas varbūtību, līdz ar to emigrējušo skaits atkal varētu uz īsu brīdi pārsniegt imigrējušo skaitu Latvijā.</w:t>
      </w:r>
    </w:p>
    <w:p w14:paraId="640F0B90" w14:textId="77777777" w:rsidR="00814506" w:rsidRPr="00CB0929" w:rsidRDefault="00814506" w:rsidP="00814506">
      <w:pPr>
        <w:jc w:val="both"/>
        <w:rPr>
          <w:color w:val="000000"/>
          <w:szCs w:val="20"/>
        </w:rPr>
      </w:pPr>
      <w:r w:rsidRPr="00CB0929">
        <w:rPr>
          <w:color w:val="000000"/>
          <w:szCs w:val="20"/>
        </w:rPr>
        <w:t>Vienlaikus, stabilizējoties ģeopolitiskajai situācijai, kā arī pieaugot ekonomiskās migrācijas stimuliem, ņemot vērā saspringto situāciju darbā tirgū, iedzīvotāju imigrācija Latvijā varētu atgriezties pie pozitīvas dinamikas jau sākot ar 2027.gadu. Savukārt noturīgs pozitīvo migrācijas saldo varētu būt vērojamas ap 2028.gadu, kad politiskā situācija reģionā būtu nostabilizējusies un plaisas starp Latvijas un ES veco valstu darba tirgiem mazinājušās.</w:t>
      </w:r>
      <w:r w:rsidRPr="00CB0929">
        <w:rPr>
          <w:szCs w:val="26"/>
        </w:rPr>
        <w:t xml:space="preserve"> Uzlabojumi starptautiskās migrācijas bilancē būs viens no noteicošiem faktoriem iedzīvotāju vecumstruktūras nesabalansētību mazināšanā ilgtermiņā, kas kopumā varētu mazināt arī demogrāfijas tendenču negatīvo ietekmi uz darba tirgu.</w:t>
      </w:r>
    </w:p>
    <w:p w14:paraId="2F05DB6A" w14:textId="77777777" w:rsidR="00035D66" w:rsidRPr="00CB0929" w:rsidRDefault="00035D66" w:rsidP="005664E2">
      <w:pPr>
        <w:spacing w:after="120"/>
        <w:jc w:val="right"/>
        <w:rPr>
          <w:color w:val="000000"/>
          <w:szCs w:val="20"/>
        </w:rPr>
      </w:pPr>
      <w:r w:rsidRPr="00CB0929">
        <w:rPr>
          <w:color w:val="000000"/>
          <w:szCs w:val="20"/>
        </w:rPr>
        <w:t>3.7. attēls</w:t>
      </w:r>
    </w:p>
    <w:p w14:paraId="0EBF4CC6" w14:textId="77777777" w:rsidR="00035D66" w:rsidRPr="00CB0929" w:rsidRDefault="00035D66" w:rsidP="00035D66">
      <w:pPr>
        <w:spacing w:after="120"/>
        <w:jc w:val="center"/>
        <w:rPr>
          <w:rFonts w:ascii="Segoe UI Light" w:hAnsi="Segoe UI Light"/>
          <w:i/>
          <w:color w:val="000000"/>
          <w:sz w:val="16"/>
          <w:szCs w:val="20"/>
        </w:rPr>
      </w:pPr>
      <w:r w:rsidRPr="00CB0929">
        <w:rPr>
          <w:rFonts w:ascii="Segoe UI Light" w:hAnsi="Segoe UI Light"/>
          <w:b/>
          <w:color w:val="000000"/>
          <w:sz w:val="18"/>
          <w:szCs w:val="20"/>
        </w:rPr>
        <w:t>Iedzīvotāju starptautiskās migrācijas saldo</w:t>
      </w:r>
      <w:r w:rsidRPr="00CB0929">
        <w:rPr>
          <w:rFonts w:ascii="Segoe UI Light" w:hAnsi="Segoe UI Light"/>
          <w:b/>
          <w:color w:val="000000"/>
          <w:sz w:val="18"/>
          <w:szCs w:val="20"/>
        </w:rPr>
        <w:br/>
      </w:r>
      <w:r w:rsidRPr="00CB0929">
        <w:rPr>
          <w:rFonts w:ascii="Segoe UI Light" w:hAnsi="Segoe UI Light"/>
          <w:i/>
          <w:color w:val="000000"/>
          <w:sz w:val="16"/>
          <w:szCs w:val="20"/>
        </w:rPr>
        <w:t>tūkstošos</w:t>
      </w:r>
    </w:p>
    <w:p w14:paraId="5BF1048C" w14:textId="25995AD9" w:rsidR="00035D66" w:rsidRPr="00CB0929" w:rsidRDefault="005664E2" w:rsidP="00035D66">
      <w:pPr>
        <w:jc w:val="center"/>
        <w:rPr>
          <w:color w:val="000000"/>
          <w:szCs w:val="20"/>
        </w:rPr>
      </w:pPr>
      <w:r w:rsidRPr="00CB0929">
        <w:rPr>
          <w:noProof/>
          <w:color w:val="000000"/>
          <w:szCs w:val="20"/>
        </w:rPr>
        <w:drawing>
          <wp:inline distT="0" distB="0" distL="0" distR="0" wp14:anchorId="073EEEA8" wp14:editId="145662E0">
            <wp:extent cx="5760000" cy="21600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484846AD" w14:textId="178BF8F0" w:rsidR="00035D66" w:rsidRPr="00CB0929" w:rsidRDefault="00035D66" w:rsidP="005664E2">
      <w:pPr>
        <w:spacing w:after="120"/>
        <w:jc w:val="both"/>
        <w:rPr>
          <w:rFonts w:cs="Calibri Light"/>
          <w:sz w:val="16"/>
          <w:szCs w:val="14"/>
        </w:rPr>
      </w:pPr>
      <w:r w:rsidRPr="00CB0929">
        <w:rPr>
          <w:rFonts w:cs="Calibri Light"/>
          <w:sz w:val="16"/>
          <w:szCs w:val="14"/>
        </w:rPr>
        <w:t>Avots: CSP dati līdz 2022.</w:t>
      </w:r>
      <w:r w:rsidR="0080669C" w:rsidRPr="00CB0929">
        <w:rPr>
          <w:rFonts w:cs="Calibri Light"/>
          <w:sz w:val="16"/>
          <w:szCs w:val="14"/>
        </w:rPr>
        <w:t>gad</w:t>
      </w:r>
      <w:r w:rsidRPr="00CB0929">
        <w:rPr>
          <w:rFonts w:cs="Calibri Light"/>
          <w:sz w:val="16"/>
          <w:szCs w:val="14"/>
        </w:rPr>
        <w:t>am, EM prognozes sākot ar 2023.</w:t>
      </w:r>
      <w:r w:rsidR="0080669C" w:rsidRPr="00CB0929">
        <w:rPr>
          <w:rFonts w:cs="Calibri Light"/>
          <w:sz w:val="16"/>
          <w:szCs w:val="14"/>
        </w:rPr>
        <w:t>gad</w:t>
      </w:r>
      <w:r w:rsidRPr="00CB0929">
        <w:rPr>
          <w:rFonts w:cs="Calibri Light"/>
          <w:sz w:val="16"/>
          <w:szCs w:val="14"/>
        </w:rPr>
        <w:t>u</w:t>
      </w:r>
    </w:p>
    <w:p w14:paraId="47A55736" w14:textId="77777777" w:rsidR="005664E2" w:rsidRPr="00CB0929" w:rsidRDefault="005664E2" w:rsidP="00F362C1">
      <w:pPr>
        <w:spacing w:after="120"/>
        <w:jc w:val="both"/>
        <w:rPr>
          <w:color w:val="000000"/>
          <w:szCs w:val="20"/>
        </w:rPr>
      </w:pPr>
    </w:p>
    <w:p w14:paraId="7CCAC539" w14:textId="77777777" w:rsidR="005664E2" w:rsidRPr="005C593D" w:rsidRDefault="005664E2" w:rsidP="00F362C1">
      <w:pPr>
        <w:spacing w:after="120"/>
        <w:jc w:val="both"/>
        <w:rPr>
          <w:color w:val="000000"/>
        </w:rPr>
      </w:pPr>
      <w:r w:rsidRPr="00CB0929">
        <w:rPr>
          <w:color w:val="000000" w:themeColor="text1"/>
        </w:rPr>
        <w:t xml:space="preserve">Jāatzīmē, ka migrācijas mērķa scenārijs paredz, ka kopumā līdz 2040. gadam Latvijas darba tirgus turpinās tuvoties ES attīstītāko valstu darba tirgiem, jo īpaši darba algu izteiksmē, kas mazinās ekonomisko faktoru rosinātu iedzīvotāju emigrāciju, savukārt arvien redzamāk dos pamatu darbaspēka imigrācijas pieaugumam. Vidējā termiņā darbaspēka imigrācijai būs nozīmīga loma sabalansētas darba tirgus attīstības nodrošināšanā, tāpēc migrācijas politikai jābūt pārdomātai, kas no vienas puses nodrošinātu balstu ekonomikas izaugsmei vidējā termiņā, bet </w:t>
      </w:r>
      <w:r w:rsidRPr="00CB0929">
        <w:rPr>
          <w:color w:val="000000" w:themeColor="text1"/>
        </w:rPr>
        <w:lastRenderedPageBreak/>
        <w:t xml:space="preserve">neradītu riskus valsts attīstībai ilgtermiņā. Īstermiņā un vidējā termiņā būtiski ir nodrošināt ātru Ukrainas kara bēgļu iekļaušanos Latvijas darba tirgū, jo īpaši nozarēs, kurās vērojams darbaspēka trūkums un kuras nodrošina nozīmīgu ieguldījumu ekonomikā. Ilgtermiņā jāturpina mazināt šķēršļus Latvijas </w:t>
      </w:r>
      <w:proofErr w:type="spellStart"/>
      <w:r w:rsidRPr="00CB0929">
        <w:rPr>
          <w:color w:val="000000" w:themeColor="text1"/>
        </w:rPr>
        <w:t>valstspiederīgo</w:t>
      </w:r>
      <w:proofErr w:type="spellEnd"/>
      <w:r w:rsidRPr="00CB0929">
        <w:rPr>
          <w:color w:val="000000" w:themeColor="text1"/>
        </w:rPr>
        <w:t xml:space="preserve"> </w:t>
      </w:r>
      <w:proofErr w:type="spellStart"/>
      <w:r w:rsidRPr="00CB0929">
        <w:rPr>
          <w:color w:val="000000" w:themeColor="text1"/>
        </w:rPr>
        <w:t>remigrācijai</w:t>
      </w:r>
      <w:proofErr w:type="spellEnd"/>
      <w:r w:rsidRPr="00CB0929">
        <w:rPr>
          <w:color w:val="000000" w:themeColor="text1"/>
        </w:rPr>
        <w:t xml:space="preserve">, nodrošinot mājokļa pieejamību, prasmēm atbilstošas nodarbinātības iespējas un ātru piekļuvi izglītības un </w:t>
      </w:r>
      <w:r w:rsidRPr="005C593D">
        <w:rPr>
          <w:color w:val="000000" w:themeColor="text1"/>
        </w:rPr>
        <w:t>veselības sistēmai.</w:t>
      </w:r>
    </w:p>
    <w:p w14:paraId="083A9E66" w14:textId="0B117132" w:rsidR="00FE0531" w:rsidRPr="00CB0929" w:rsidRDefault="00FE0531" w:rsidP="00FE0531">
      <w:pPr>
        <w:spacing w:after="120"/>
        <w:jc w:val="both"/>
        <w:rPr>
          <w:color w:val="000000"/>
          <w:szCs w:val="20"/>
        </w:rPr>
      </w:pPr>
      <w:r w:rsidRPr="005C593D">
        <w:rPr>
          <w:color w:val="000000"/>
          <w:szCs w:val="20"/>
        </w:rPr>
        <w:t xml:space="preserve">Vienlaikus, pieaugot trešo valstu nodarbināto skaitam Latvijā, būtiski ir mazināt riskus darba tirgū šai mērķa grupai. </w:t>
      </w:r>
      <w:r w:rsidR="00413D37" w:rsidRPr="00413D37">
        <w:rPr>
          <w:color w:val="000000"/>
          <w:szCs w:val="20"/>
        </w:rPr>
        <w:t xml:space="preserve">Kaut arī kopumā spēkā esošais regulējums paredz, ka darba algai, ko izmaksā darba devējs, ir jābūt ne mazākai par Latvijas Republikā strādājošo mēneša vidējo bruto darba samaksu nozarē (saskaņā ar CSP pēdējo publicēto informāciju) vai ar nozares </w:t>
      </w:r>
      <w:proofErr w:type="spellStart"/>
      <w:r w:rsidR="00413D37" w:rsidRPr="00413D37">
        <w:rPr>
          <w:color w:val="000000"/>
          <w:szCs w:val="20"/>
        </w:rPr>
        <w:t>ģenerālvienošanos</w:t>
      </w:r>
      <w:proofErr w:type="spellEnd"/>
      <w:r w:rsidR="00413D37" w:rsidRPr="00413D37">
        <w:rPr>
          <w:color w:val="000000"/>
          <w:szCs w:val="20"/>
        </w:rPr>
        <w:t xml:space="preserve"> noteikto minimālo algu, viens no riskiem varētu būt saistīts ar to, ka darba devēji neievēro šos nosacījumus, un tad zemākas atalgojuma likmes piemērošana viesstrādniekiem un ilgākas darba stundas kopumā var samazināt Latvijas darba tirgus konkurētspēju pret citām ES valstīm attiecībā uz darbaspēka piesaisti.</w:t>
      </w:r>
      <w:r w:rsidRPr="005C593D">
        <w:rPr>
          <w:color w:val="000000"/>
          <w:szCs w:val="20"/>
        </w:rPr>
        <w:t xml:space="preserve"> Kopumā zemākas stundas atalgojuma likmes par līdzīga apjoma un satura darbu viesstrādniekiem, salīdzinot ar vietējiem nodarbinātajiem, kopumā var negatīvi ietekmēt vidējo atalgojumu tautsaimniecībā, jo īpaši nozarēs un profesijās ar augstu viesstrādnieku īpatsvaru, kas potenciāli var sekmēt vietējā darbaspēka aizplūšanu uz augstāka atalgojuma zonām citās ES valstīs.</w:t>
      </w:r>
    </w:p>
    <w:p w14:paraId="46BD6AFF" w14:textId="77777777" w:rsidR="005664E2" w:rsidRPr="00CB0929" w:rsidRDefault="005664E2" w:rsidP="00F362C1">
      <w:pPr>
        <w:spacing w:after="120"/>
        <w:jc w:val="both"/>
        <w:rPr>
          <w:color w:val="000000"/>
          <w:szCs w:val="20"/>
        </w:rPr>
      </w:pPr>
    </w:p>
    <w:p w14:paraId="5ACECCB4" w14:textId="77777777" w:rsidR="00612950" w:rsidRPr="00CB0929" w:rsidRDefault="00612950" w:rsidP="00F362C1">
      <w:pPr>
        <w:spacing w:after="120"/>
        <w:jc w:val="both"/>
        <w:rPr>
          <w:color w:val="000000"/>
          <w:szCs w:val="20"/>
        </w:rPr>
      </w:pPr>
    </w:p>
    <w:p w14:paraId="39F58C4F" w14:textId="770EAFB2" w:rsidR="003751AF" w:rsidRPr="00080A71" w:rsidRDefault="003751AF" w:rsidP="00080A71">
      <w:pPr>
        <w:pStyle w:val="Heading2"/>
      </w:pPr>
      <w:bookmarkStart w:id="63" w:name="_Toc183620104"/>
      <w:r w:rsidRPr="00080A71">
        <w:t>3.3. Darbaspēka pieprasījums un piedāvājums</w:t>
      </w:r>
      <w:bookmarkEnd w:id="61"/>
      <w:bookmarkEnd w:id="63"/>
    </w:p>
    <w:p w14:paraId="767FB95B" w14:textId="12E3B71B" w:rsidR="009A0130" w:rsidRPr="00080A71" w:rsidRDefault="009A0130" w:rsidP="00080A71">
      <w:pPr>
        <w:pStyle w:val="Heading3"/>
      </w:pPr>
      <w:bookmarkStart w:id="64" w:name="_Toc183620105"/>
      <w:r w:rsidRPr="00080A71">
        <w:t>3.3.1. Darbaspēka pieprasījuma prognozes</w:t>
      </w:r>
      <w:bookmarkEnd w:id="64"/>
    </w:p>
    <w:p w14:paraId="64065E78" w14:textId="0AFF46A3" w:rsidR="00B30C77" w:rsidRPr="00CB0929" w:rsidRDefault="00B30C77" w:rsidP="00F362C1">
      <w:pPr>
        <w:spacing w:after="120"/>
        <w:jc w:val="both"/>
        <w:rPr>
          <w:szCs w:val="20"/>
        </w:rPr>
      </w:pPr>
      <w:r w:rsidRPr="00CB0929">
        <w:rPr>
          <w:szCs w:val="20"/>
        </w:rPr>
        <w:t xml:space="preserve">Viens no svarīgākajiem ekonomiskās paradigmas maiņas jautājumiem ir ražošanas nozaru attīstības iespējas, kas savukārt ir atkarīgas no spējas veikt strukturālās izmaiņas nozarē. Tas ir nepieciešams priekšnosacījums, lai stiprinātu Latvijas konkurētspējīgās pozīcijas globālajos tirgos, vienlaikus palielinot eksporta groza ienesīgumu. Nozīmīgs faktors straujākas izaugsmes nodrošināšanā ir efektīviem darbaspēka pieejamības problēmas </w:t>
      </w:r>
      <w:r w:rsidRPr="005C593D">
        <w:rPr>
          <w:szCs w:val="20"/>
        </w:rPr>
        <w:t xml:space="preserve">risinājumiem. </w:t>
      </w:r>
      <w:r w:rsidR="00B93C46" w:rsidRPr="005C593D">
        <w:rPr>
          <w:szCs w:val="20"/>
        </w:rPr>
        <w:t xml:space="preserve">Kritiski svarīgi ir nodrošināt augošās un produktīvās nozares ar izaugsmei nepieciešamo darbaspēku, veicinot darbaspēka pārkārtošanos no mazāk produktīviem darbiem uz profesijām ar augstāku produktivitāti un ienesīgumu. Tāpat būtiski ir sekmēt darbaspēka produktivitātes pieaugumu un pieejamo darbaspēka resursu efektīvāku izmantošanu tradicionālās tautsaimniecības nozarēs, līdz ar to būtiska nozīme ir Ieguldījumiem </w:t>
      </w:r>
      <w:proofErr w:type="spellStart"/>
      <w:r w:rsidR="00B93C46" w:rsidRPr="005C593D">
        <w:rPr>
          <w:szCs w:val="20"/>
        </w:rPr>
        <w:t>cilvēkkapitālā</w:t>
      </w:r>
      <w:proofErr w:type="spellEnd"/>
      <w:r w:rsidR="00B93C46" w:rsidRPr="005C593D">
        <w:rPr>
          <w:szCs w:val="20"/>
        </w:rPr>
        <w:t xml:space="preserve"> un efektīvas pieaugušo izglītības sistēmas pieejamībai. </w:t>
      </w:r>
      <w:r w:rsidRPr="005C593D">
        <w:rPr>
          <w:szCs w:val="20"/>
        </w:rPr>
        <w:t>Turpmākā izaugsmē arvien lielāka nozīme būs darba tirgus kvalitatīviem uzlabojumiem, lai reaģētu uz galvenajiem tautsaimniecības attīstības izaicinājumiem – demogrāfiju, darbaspēka izmaksu kāpumu, kā arī prasmju piedāvājuma</w:t>
      </w:r>
      <w:r w:rsidRPr="00CB0929">
        <w:rPr>
          <w:szCs w:val="20"/>
        </w:rPr>
        <w:t xml:space="preserve"> neatbilstību pieprasījumam.</w:t>
      </w:r>
    </w:p>
    <w:p w14:paraId="6362FB48" w14:textId="7AF87D0F" w:rsidR="00B30C77" w:rsidRPr="00CB0929" w:rsidRDefault="00B30C77" w:rsidP="00F362C1">
      <w:pPr>
        <w:spacing w:after="120"/>
        <w:jc w:val="both"/>
      </w:pPr>
      <w:r w:rsidRPr="00CB0929">
        <w:t xml:space="preserve">Ņemot vērā joprojām augsto nenoteiktību ārējos tirgos, kā arī saspringto ģeopolitisko situāciju, sagaidāms, ka darba tirgus aktivitāte arī 2024.gadā kopumā saglabāsies nogaidoša. Būtisks jaunu darbavietu un nodarbinātības palielinājums kopumā 2024.gadā nav sagaidāms. Situāciju darba tirgū arvien vairāk turpinās ietekmēt piedāvājuma puses faktori, ņemot vērā negatīvo demogrāfijas fonu, kā arī kopējā darbaspēka piedāvājuma samazinājumu, tādejādi saglabājot bezdarbu zemā līmenī. Kopumā bezdarba līmenis 2024.gadā varētu samazināties līdz vidēji 6,3%, savukārt nodarbināto skaits saglabāties tuvu 2023.gada līmenim. Nodarbināto skaita pieaugums būs vērojams būvniecībā saistībā ar jau uzsākto valsts infrastruktūras objektu būvniecību, komercpakalpojumos, īpaši Covid-19 krīzes visvairāk skartajās pakalpojumu nozarēs – izmitināšanas un ēdināšanas pakalpojumu un mākslas, izklaides un atpūtas nozarēs, kā arī valsts pārvaldē un aizsardzībā. Ilgākā termiņā, lai gan izaugsmes tempi ir sagaidāmi salīdzinoši strauji, tomēr pieprasījums pēc darbaspēka paliks gandrīz nemainīgs un dažās nozarēs vēl vairāk samazināsies, jo izaugsmei galvenokārt jābalstās uz produktivitātes pieaugumu. Īpaši tas attiecas uz tirgojamajām nozarēm un galvenokārt apstrādes rūpniecību, kas darbojas atvērtos preču un pakalpojumu tirgos, kur izšķiroša nozīme ir konkurētspējai. Ņemot vērā gan Covid-19 pandēmijas, gan Krievijas iebrukuma Ukrainā ietekmi, sagaidāms, ka kopumā tautsaimniecībā pieprasījums pēc darbaspēka 2030.gadā būs par 0,2% zemāks par 2019.gada līmeni, bet par 2,7% augstāks par 2023.gada līmeni. Savukārt 2040.gadā, salīdzinot ar 2019.gadu, darbaspēka pieprasījums būs samazinājies par 2,2%, bet, salīdzinot ar 2023.gadu – pieaudzis par 0,7%, kas skaidrojams ar nodarbināto skaita samazinājumu no 2031. līdz 2040.gadam. </w:t>
      </w:r>
      <w:bookmarkStart w:id="65" w:name="_Hlk103807990"/>
      <w:r w:rsidRPr="00CB0929">
        <w:t>Darba iespējas veidosies galvenokārt dēļ aizvietojošā pieprasījuma, esošajam darbaspēkam pensionējoties vai atstājot darba tirgu. Demogrāfijas tendences un pensionēšanās vecums ir galvenie faktori, kas ietekmē darba tirgu pametušo iedzīvotāju skaita izmaiņas un aizvietojošā darbaspēka pieprasījuma pieaugumu.</w:t>
      </w:r>
      <w:bookmarkEnd w:id="65"/>
    </w:p>
    <w:p w14:paraId="525E288B" w14:textId="77777777" w:rsidR="003F161B" w:rsidRDefault="003F161B">
      <w:pPr>
        <w:spacing w:after="0"/>
        <w:rPr>
          <w:szCs w:val="20"/>
        </w:rPr>
      </w:pPr>
      <w:r>
        <w:rPr>
          <w:szCs w:val="20"/>
        </w:rPr>
        <w:br w:type="page"/>
      </w:r>
    </w:p>
    <w:p w14:paraId="44DBF3C6" w14:textId="1EA8F225" w:rsidR="009A0130" w:rsidRPr="00CB0929" w:rsidRDefault="009A0130" w:rsidP="00B30C77">
      <w:pPr>
        <w:spacing w:after="120"/>
        <w:jc w:val="right"/>
        <w:rPr>
          <w:szCs w:val="20"/>
        </w:rPr>
      </w:pPr>
      <w:r w:rsidRPr="00CB0929">
        <w:rPr>
          <w:szCs w:val="20"/>
        </w:rPr>
        <w:lastRenderedPageBreak/>
        <w:t>3.</w:t>
      </w:r>
      <w:r w:rsidR="001179C2" w:rsidRPr="00CB0929">
        <w:rPr>
          <w:szCs w:val="20"/>
        </w:rPr>
        <w:t>8</w:t>
      </w:r>
      <w:r w:rsidRPr="00CB0929">
        <w:rPr>
          <w:szCs w:val="20"/>
        </w:rPr>
        <w:t>. attēls</w:t>
      </w:r>
    </w:p>
    <w:p w14:paraId="4523CDE5" w14:textId="5301ADE4" w:rsidR="009A0130" w:rsidRPr="00CB0929" w:rsidRDefault="009A0130" w:rsidP="009A0130">
      <w:pPr>
        <w:spacing w:after="120"/>
        <w:jc w:val="center"/>
        <w:rPr>
          <w:rFonts w:ascii="Segoe UI Light" w:hAnsi="Segoe UI Light"/>
          <w:i/>
          <w:sz w:val="16"/>
          <w:szCs w:val="28"/>
        </w:rPr>
      </w:pPr>
      <w:r w:rsidRPr="00CB0929">
        <w:rPr>
          <w:rFonts w:ascii="Segoe UI Light" w:hAnsi="Segoe UI Light"/>
          <w:b/>
          <w:sz w:val="18"/>
          <w:szCs w:val="26"/>
        </w:rPr>
        <w:t>IKP, produktivitātes un darbaspēka pieprasījuma izmaiņas</w:t>
      </w:r>
      <w:r w:rsidRPr="00CB0929">
        <w:rPr>
          <w:rFonts w:ascii="Segoe UI Light" w:hAnsi="Segoe UI Light"/>
          <w:b/>
          <w:sz w:val="18"/>
          <w:szCs w:val="26"/>
        </w:rPr>
        <w:br/>
      </w:r>
      <w:r w:rsidRPr="00CB0929">
        <w:rPr>
          <w:rFonts w:ascii="Segoe UI Light" w:hAnsi="Segoe UI Light"/>
          <w:i/>
          <w:sz w:val="16"/>
          <w:szCs w:val="28"/>
        </w:rPr>
        <w:t>2030.</w:t>
      </w:r>
      <w:r w:rsidR="0080669C" w:rsidRPr="00CB0929">
        <w:rPr>
          <w:rFonts w:ascii="Segoe UI Light" w:hAnsi="Segoe UI Light"/>
          <w:i/>
          <w:sz w:val="16"/>
          <w:szCs w:val="28"/>
        </w:rPr>
        <w:t>gad</w:t>
      </w:r>
      <w:r w:rsidRPr="00CB0929">
        <w:rPr>
          <w:rFonts w:ascii="Segoe UI Light" w:hAnsi="Segoe UI Light"/>
          <w:i/>
          <w:sz w:val="16"/>
          <w:szCs w:val="28"/>
        </w:rPr>
        <w:t>s salīdzinājumā ar 2021.</w:t>
      </w:r>
      <w:r w:rsidR="0080669C" w:rsidRPr="00CB0929">
        <w:rPr>
          <w:rFonts w:ascii="Segoe UI Light" w:hAnsi="Segoe UI Light"/>
          <w:i/>
          <w:sz w:val="16"/>
          <w:szCs w:val="28"/>
        </w:rPr>
        <w:t>gad</w:t>
      </w:r>
      <w:r w:rsidRPr="00CB0929">
        <w:rPr>
          <w:rFonts w:ascii="Segoe UI Light" w:hAnsi="Segoe UI Light"/>
          <w:i/>
          <w:sz w:val="16"/>
          <w:szCs w:val="28"/>
        </w:rPr>
        <w:t>u, vidēji</w:t>
      </w:r>
      <w:r w:rsidR="00F362C1" w:rsidRPr="00CB0929">
        <w:rPr>
          <w:rFonts w:ascii="Segoe UI Light" w:hAnsi="Segoe UI Light"/>
          <w:i/>
          <w:sz w:val="16"/>
          <w:szCs w:val="28"/>
        </w:rPr>
        <w:t xml:space="preserve"> </w:t>
      </w:r>
      <w:r w:rsidR="0080669C" w:rsidRPr="00CB0929">
        <w:rPr>
          <w:rFonts w:ascii="Segoe UI Light" w:hAnsi="Segoe UI Light"/>
          <w:i/>
          <w:sz w:val="16"/>
          <w:szCs w:val="28"/>
        </w:rPr>
        <w:t>gad</w:t>
      </w:r>
      <w:r w:rsidRPr="00CB0929">
        <w:rPr>
          <w:rFonts w:ascii="Segoe UI Light" w:hAnsi="Segoe UI Light"/>
          <w:i/>
          <w:sz w:val="16"/>
          <w:szCs w:val="28"/>
        </w:rPr>
        <w:t>ā, procentos</w:t>
      </w:r>
    </w:p>
    <w:tbl>
      <w:tblPr>
        <w:tblStyle w:val="TableGrid1"/>
        <w:tblW w:w="96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6"/>
        <w:gridCol w:w="2291"/>
        <w:gridCol w:w="184"/>
        <w:gridCol w:w="241"/>
        <w:gridCol w:w="1985"/>
        <w:gridCol w:w="250"/>
        <w:gridCol w:w="175"/>
        <w:gridCol w:w="2301"/>
      </w:tblGrid>
      <w:tr w:rsidR="00415C6E" w:rsidRPr="00CB0929" w14:paraId="677BE669" w14:textId="77777777" w:rsidTr="00D209BD">
        <w:tc>
          <w:tcPr>
            <w:tcW w:w="2246" w:type="dxa"/>
          </w:tcPr>
          <w:p w14:paraId="099E914D" w14:textId="77777777" w:rsidR="009A0130" w:rsidRPr="00CB0929" w:rsidRDefault="009A0130" w:rsidP="00D209BD">
            <w:pPr>
              <w:jc w:val="center"/>
              <w:rPr>
                <w:rFonts w:ascii="Segoe UI Light" w:hAnsi="Segoe UI Light"/>
                <w:bCs/>
                <w:sz w:val="16"/>
                <w:szCs w:val="18"/>
              </w:rPr>
            </w:pPr>
          </w:p>
        </w:tc>
        <w:tc>
          <w:tcPr>
            <w:tcW w:w="2291" w:type="dxa"/>
            <w:vAlign w:val="center"/>
          </w:tcPr>
          <w:p w14:paraId="2338F8E9" w14:textId="77777777" w:rsidR="009A0130" w:rsidRPr="00CB0929" w:rsidRDefault="009A0130" w:rsidP="00EA05F6">
            <w:pPr>
              <w:spacing w:after="120"/>
              <w:jc w:val="center"/>
              <w:rPr>
                <w:rFonts w:ascii="Segoe UI Light" w:hAnsi="Segoe UI Light"/>
                <w:sz w:val="16"/>
                <w:szCs w:val="18"/>
              </w:rPr>
            </w:pPr>
            <w:r w:rsidRPr="00CB0929">
              <w:rPr>
                <w:rFonts w:ascii="Segoe UI Light" w:hAnsi="Segoe UI Light"/>
                <w:bCs/>
                <w:sz w:val="16"/>
                <w:szCs w:val="18"/>
              </w:rPr>
              <w:t>Nodarbinātības pieaugums</w:t>
            </w:r>
          </w:p>
        </w:tc>
        <w:tc>
          <w:tcPr>
            <w:tcW w:w="425" w:type="dxa"/>
            <w:gridSpan w:val="2"/>
            <w:vAlign w:val="center"/>
          </w:tcPr>
          <w:p w14:paraId="5BB1D67D" w14:textId="77777777" w:rsidR="009A0130" w:rsidRPr="00CB0929" w:rsidRDefault="009A0130" w:rsidP="00EA05F6">
            <w:pPr>
              <w:spacing w:after="120"/>
              <w:jc w:val="center"/>
              <w:rPr>
                <w:rFonts w:ascii="Segoe UI Light" w:hAnsi="Segoe UI Light"/>
                <w:sz w:val="16"/>
                <w:szCs w:val="18"/>
              </w:rPr>
            </w:pPr>
            <w:r w:rsidRPr="00CB0929">
              <w:rPr>
                <w:rFonts w:ascii="Segoe UI Light" w:hAnsi="Segoe UI Light"/>
                <w:sz w:val="16"/>
                <w:szCs w:val="18"/>
              </w:rPr>
              <w:t>+</w:t>
            </w:r>
          </w:p>
        </w:tc>
        <w:tc>
          <w:tcPr>
            <w:tcW w:w="1985" w:type="dxa"/>
            <w:vAlign w:val="center"/>
          </w:tcPr>
          <w:p w14:paraId="507E5D10" w14:textId="77777777" w:rsidR="009A0130" w:rsidRPr="00CB0929" w:rsidRDefault="009A0130" w:rsidP="00EA05F6">
            <w:pPr>
              <w:spacing w:after="120"/>
              <w:jc w:val="center"/>
              <w:rPr>
                <w:rFonts w:ascii="Segoe UI Light" w:hAnsi="Segoe UI Light"/>
                <w:sz w:val="16"/>
                <w:szCs w:val="18"/>
              </w:rPr>
            </w:pPr>
            <w:r w:rsidRPr="00CB0929">
              <w:rPr>
                <w:rFonts w:ascii="Segoe UI Light" w:hAnsi="Segoe UI Light"/>
                <w:bCs/>
                <w:sz w:val="16"/>
                <w:szCs w:val="18"/>
              </w:rPr>
              <w:t>Produktivitātes pieaugums</w:t>
            </w:r>
          </w:p>
        </w:tc>
        <w:tc>
          <w:tcPr>
            <w:tcW w:w="425" w:type="dxa"/>
            <w:gridSpan w:val="2"/>
            <w:vAlign w:val="center"/>
          </w:tcPr>
          <w:p w14:paraId="1AC51EFC" w14:textId="77777777" w:rsidR="009A0130" w:rsidRPr="00CB0929" w:rsidRDefault="009A0130" w:rsidP="00EA05F6">
            <w:pPr>
              <w:spacing w:after="120"/>
              <w:jc w:val="center"/>
              <w:rPr>
                <w:rFonts w:ascii="Segoe UI Light" w:hAnsi="Segoe UI Light"/>
                <w:sz w:val="16"/>
                <w:szCs w:val="18"/>
              </w:rPr>
            </w:pPr>
            <w:r w:rsidRPr="00CB0929">
              <w:rPr>
                <w:rFonts w:ascii="Segoe UI Light" w:hAnsi="Segoe UI Light"/>
                <w:sz w:val="16"/>
                <w:szCs w:val="18"/>
              </w:rPr>
              <w:t>=</w:t>
            </w:r>
          </w:p>
        </w:tc>
        <w:tc>
          <w:tcPr>
            <w:tcW w:w="2301" w:type="dxa"/>
            <w:vAlign w:val="center"/>
          </w:tcPr>
          <w:p w14:paraId="174259CE" w14:textId="77777777" w:rsidR="009A0130" w:rsidRPr="00CB0929" w:rsidRDefault="009A0130" w:rsidP="00EA05F6">
            <w:pPr>
              <w:spacing w:after="120"/>
              <w:jc w:val="center"/>
              <w:rPr>
                <w:rFonts w:ascii="Segoe UI Light" w:hAnsi="Segoe UI Light"/>
                <w:sz w:val="16"/>
                <w:szCs w:val="18"/>
              </w:rPr>
            </w:pPr>
            <w:r w:rsidRPr="00CB0929">
              <w:rPr>
                <w:rFonts w:ascii="Segoe UI Light" w:hAnsi="Segoe UI Light"/>
                <w:bCs/>
                <w:sz w:val="16"/>
                <w:szCs w:val="18"/>
              </w:rPr>
              <w:t>IKP pieaugums</w:t>
            </w:r>
          </w:p>
        </w:tc>
      </w:tr>
      <w:tr w:rsidR="00B30C77" w:rsidRPr="003B4CDA" w14:paraId="7B997285" w14:textId="77777777">
        <w:trPr>
          <w:trHeight w:val="3815"/>
        </w:trPr>
        <w:tc>
          <w:tcPr>
            <w:tcW w:w="2246" w:type="dxa"/>
          </w:tcPr>
          <w:p w14:paraId="473398E1" w14:textId="77777777" w:rsidR="00B30C77" w:rsidRPr="00CB0929" w:rsidRDefault="00B30C77">
            <w:pPr>
              <w:spacing w:before="60" w:after="0"/>
              <w:ind w:left="-113" w:right="-57"/>
              <w:jc w:val="right"/>
              <w:rPr>
                <w:rFonts w:ascii="Segoe UI Light" w:hAnsi="Segoe UI Light"/>
                <w:sz w:val="16"/>
                <w:szCs w:val="18"/>
              </w:rPr>
            </w:pPr>
            <w:r w:rsidRPr="00CB0929">
              <w:rPr>
                <w:rFonts w:ascii="Segoe UI Light" w:hAnsi="Segoe UI Light"/>
                <w:sz w:val="16"/>
                <w:szCs w:val="18"/>
              </w:rPr>
              <w:t>Kopā</w:t>
            </w:r>
          </w:p>
          <w:p w14:paraId="217CC070" w14:textId="77777777" w:rsidR="00B30C77" w:rsidRPr="00CB0929" w:rsidRDefault="00B30C77">
            <w:pPr>
              <w:spacing w:after="0"/>
              <w:ind w:left="-113" w:right="-57"/>
              <w:jc w:val="right"/>
              <w:rPr>
                <w:rFonts w:ascii="Segoe UI Light" w:hAnsi="Segoe UI Light"/>
                <w:sz w:val="16"/>
                <w:szCs w:val="18"/>
              </w:rPr>
            </w:pPr>
          </w:p>
          <w:p w14:paraId="49EF5437" w14:textId="77777777" w:rsidR="00B30C77" w:rsidRPr="00CB0929" w:rsidRDefault="00B30C77">
            <w:pPr>
              <w:spacing w:before="104" w:after="0"/>
              <w:ind w:left="-113" w:right="-57"/>
              <w:jc w:val="right"/>
              <w:rPr>
                <w:rFonts w:ascii="Segoe UI Light" w:hAnsi="Segoe UI Light"/>
                <w:sz w:val="16"/>
                <w:szCs w:val="18"/>
              </w:rPr>
            </w:pPr>
            <w:r w:rsidRPr="00CB0929">
              <w:rPr>
                <w:rFonts w:ascii="Segoe UI Light" w:hAnsi="Segoe UI Light"/>
                <w:sz w:val="16"/>
                <w:szCs w:val="18"/>
              </w:rPr>
              <w:t>Lauksaimniecība, mežsaimniecība, zivsaimniecība</w:t>
            </w:r>
          </w:p>
          <w:p w14:paraId="7D7E9F6A" w14:textId="77777777" w:rsidR="00B30C77" w:rsidRPr="00CB0929" w:rsidRDefault="00B30C77">
            <w:pPr>
              <w:spacing w:before="104" w:after="0"/>
              <w:ind w:left="-113" w:right="-57"/>
              <w:jc w:val="right"/>
              <w:rPr>
                <w:rFonts w:ascii="Segoe UI Light" w:hAnsi="Segoe UI Light"/>
                <w:sz w:val="16"/>
                <w:szCs w:val="18"/>
              </w:rPr>
            </w:pPr>
            <w:r w:rsidRPr="00CB0929">
              <w:rPr>
                <w:rFonts w:ascii="Segoe UI Light" w:hAnsi="Segoe UI Light"/>
                <w:sz w:val="16"/>
                <w:szCs w:val="18"/>
              </w:rPr>
              <w:t>Apstrādes rūpniecība</w:t>
            </w:r>
          </w:p>
          <w:p w14:paraId="7DB692C0" w14:textId="77777777" w:rsidR="00B30C77" w:rsidRPr="00CB0929" w:rsidRDefault="00B30C77">
            <w:pPr>
              <w:spacing w:before="104" w:after="0"/>
              <w:ind w:left="-113" w:right="-57"/>
              <w:jc w:val="right"/>
              <w:rPr>
                <w:rFonts w:ascii="Segoe UI Light" w:hAnsi="Segoe UI Light"/>
                <w:sz w:val="16"/>
                <w:szCs w:val="18"/>
              </w:rPr>
            </w:pPr>
            <w:r w:rsidRPr="00CB0929">
              <w:rPr>
                <w:rFonts w:ascii="Segoe UI Light" w:hAnsi="Segoe UI Light"/>
                <w:sz w:val="16"/>
                <w:szCs w:val="18"/>
              </w:rPr>
              <w:t>Pārējā rūpniecība</w:t>
            </w:r>
          </w:p>
          <w:p w14:paraId="6028C9A8" w14:textId="77777777" w:rsidR="00B30C77" w:rsidRPr="00CB0929" w:rsidRDefault="00B30C77">
            <w:pPr>
              <w:spacing w:before="104" w:after="0"/>
              <w:ind w:left="-113" w:right="-57"/>
              <w:jc w:val="right"/>
              <w:rPr>
                <w:rFonts w:ascii="Segoe UI Light" w:hAnsi="Segoe UI Light"/>
                <w:sz w:val="16"/>
                <w:szCs w:val="18"/>
              </w:rPr>
            </w:pPr>
            <w:r w:rsidRPr="00CB0929">
              <w:rPr>
                <w:rFonts w:ascii="Segoe UI Light" w:hAnsi="Segoe UI Light"/>
                <w:sz w:val="16"/>
                <w:szCs w:val="18"/>
              </w:rPr>
              <w:t>Būvniecība</w:t>
            </w:r>
          </w:p>
          <w:p w14:paraId="17CD2041" w14:textId="77777777" w:rsidR="00B30C77" w:rsidRPr="00CB0929" w:rsidRDefault="00B30C77">
            <w:pPr>
              <w:spacing w:before="104" w:after="0"/>
              <w:ind w:left="-113" w:right="-57"/>
              <w:jc w:val="right"/>
              <w:rPr>
                <w:rFonts w:ascii="Segoe UI Light" w:hAnsi="Segoe UI Light"/>
                <w:sz w:val="16"/>
                <w:szCs w:val="18"/>
              </w:rPr>
            </w:pPr>
            <w:r w:rsidRPr="00CB0929">
              <w:rPr>
                <w:rFonts w:ascii="Segoe UI Light" w:hAnsi="Segoe UI Light"/>
                <w:sz w:val="16"/>
                <w:szCs w:val="18"/>
              </w:rPr>
              <w:t>Tirdzniecība un izmitināšana</w:t>
            </w:r>
          </w:p>
          <w:p w14:paraId="335B1882" w14:textId="77777777" w:rsidR="00B30C77" w:rsidRPr="00CB0929" w:rsidRDefault="00B30C77">
            <w:pPr>
              <w:spacing w:before="104" w:after="0"/>
              <w:ind w:left="-113" w:right="-57"/>
              <w:jc w:val="right"/>
              <w:rPr>
                <w:rFonts w:ascii="Segoe UI Light" w:hAnsi="Segoe UI Light"/>
                <w:sz w:val="16"/>
                <w:szCs w:val="18"/>
              </w:rPr>
            </w:pPr>
            <w:r w:rsidRPr="00CB0929">
              <w:rPr>
                <w:rFonts w:ascii="Segoe UI Light" w:hAnsi="Segoe UI Light"/>
                <w:sz w:val="16"/>
                <w:szCs w:val="18"/>
              </w:rPr>
              <w:t>Transports un uzglabāšana</w:t>
            </w:r>
          </w:p>
          <w:p w14:paraId="48C80439" w14:textId="77777777" w:rsidR="00B30C77" w:rsidRPr="00CB0929" w:rsidRDefault="00B30C77">
            <w:pPr>
              <w:spacing w:before="104" w:after="0"/>
              <w:ind w:left="-113" w:right="-57"/>
              <w:jc w:val="right"/>
              <w:rPr>
                <w:rFonts w:ascii="Segoe UI Light" w:hAnsi="Segoe UI Light"/>
                <w:sz w:val="16"/>
                <w:szCs w:val="18"/>
              </w:rPr>
            </w:pPr>
            <w:r w:rsidRPr="00CB0929">
              <w:rPr>
                <w:rFonts w:ascii="Segoe UI Light" w:hAnsi="Segoe UI Light"/>
                <w:sz w:val="16"/>
                <w:szCs w:val="18"/>
              </w:rPr>
              <w:t>Citi komercpakalpojumi</w:t>
            </w:r>
          </w:p>
          <w:p w14:paraId="3C56E61C" w14:textId="77777777" w:rsidR="00B30C77" w:rsidRPr="00CB0929" w:rsidRDefault="00B30C77">
            <w:pPr>
              <w:spacing w:before="104" w:after="0"/>
              <w:ind w:left="-113" w:right="-57"/>
              <w:jc w:val="right"/>
              <w:rPr>
                <w:rFonts w:ascii="Segoe UI Light" w:hAnsi="Segoe UI Light"/>
                <w:sz w:val="16"/>
                <w:szCs w:val="18"/>
              </w:rPr>
            </w:pPr>
            <w:r w:rsidRPr="00CB0929">
              <w:rPr>
                <w:rFonts w:ascii="Segoe UI Light" w:hAnsi="Segoe UI Light"/>
                <w:sz w:val="16"/>
                <w:szCs w:val="18"/>
              </w:rPr>
              <w:t>Sabiedriskie pakalpojumi</w:t>
            </w:r>
          </w:p>
        </w:tc>
        <w:tc>
          <w:tcPr>
            <w:tcW w:w="2475" w:type="dxa"/>
            <w:gridSpan w:val="2"/>
          </w:tcPr>
          <w:p w14:paraId="6CC68D1F" w14:textId="77777777" w:rsidR="00B30C77" w:rsidRPr="00CB0929" w:rsidRDefault="00B30C77">
            <w:pPr>
              <w:ind w:left="-113" w:right="-113"/>
              <w:rPr>
                <w:rFonts w:ascii="Segoe UI Light" w:hAnsi="Segoe UI Light"/>
                <w:sz w:val="16"/>
                <w:szCs w:val="18"/>
              </w:rPr>
            </w:pPr>
            <w:r w:rsidRPr="00CB0929">
              <w:rPr>
                <w:rFonts w:ascii="Segoe UI Light" w:hAnsi="Segoe UI Light"/>
                <w:noProof/>
                <w:sz w:val="16"/>
                <w:szCs w:val="18"/>
                <w:lang w:eastAsia="lv-LV"/>
              </w:rPr>
              <w:drawing>
                <wp:inline distT="0" distB="0" distL="0" distR="0" wp14:anchorId="48CB6076" wp14:editId="3D406A5B">
                  <wp:extent cx="1619885" cy="2353586"/>
                  <wp:effectExtent l="0" t="0" r="0" b="8890"/>
                  <wp:docPr id="9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tc>
        <w:tc>
          <w:tcPr>
            <w:tcW w:w="2476" w:type="dxa"/>
            <w:gridSpan w:val="3"/>
          </w:tcPr>
          <w:p w14:paraId="1820CD02" w14:textId="77777777" w:rsidR="00B30C77" w:rsidRPr="00CB0929" w:rsidRDefault="00B30C77">
            <w:pPr>
              <w:ind w:left="-113" w:right="-113"/>
              <w:rPr>
                <w:rFonts w:ascii="Segoe UI Light" w:hAnsi="Segoe UI Light"/>
                <w:sz w:val="16"/>
                <w:szCs w:val="18"/>
              </w:rPr>
            </w:pPr>
            <w:r w:rsidRPr="00CB0929">
              <w:rPr>
                <w:rFonts w:ascii="Segoe UI Light" w:hAnsi="Segoe UI Light"/>
                <w:noProof/>
                <w:sz w:val="16"/>
                <w:szCs w:val="18"/>
                <w:lang w:eastAsia="lv-LV"/>
              </w:rPr>
              <w:drawing>
                <wp:inline distT="0" distB="0" distL="0" distR="0" wp14:anchorId="6B3CF694" wp14:editId="1CCC7D96">
                  <wp:extent cx="1619885" cy="2361537"/>
                  <wp:effectExtent l="0" t="0" r="0" b="1270"/>
                  <wp:docPr id="9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tc>
        <w:tc>
          <w:tcPr>
            <w:tcW w:w="2476" w:type="dxa"/>
            <w:gridSpan w:val="2"/>
          </w:tcPr>
          <w:p w14:paraId="3D658B30" w14:textId="77777777" w:rsidR="00B30C77" w:rsidRPr="003B4CDA" w:rsidRDefault="00B30C77">
            <w:pPr>
              <w:ind w:left="-113" w:right="-113"/>
              <w:jc w:val="center"/>
              <w:rPr>
                <w:rFonts w:ascii="Segoe UI Light" w:hAnsi="Segoe UI Light"/>
                <w:sz w:val="16"/>
                <w:szCs w:val="18"/>
              </w:rPr>
            </w:pPr>
            <w:r w:rsidRPr="00CB0929">
              <w:rPr>
                <w:rFonts w:ascii="Segoe UI Light" w:hAnsi="Segoe UI Light"/>
                <w:noProof/>
                <w:sz w:val="16"/>
                <w:szCs w:val="18"/>
                <w:lang w:eastAsia="lv-LV"/>
              </w:rPr>
              <w:drawing>
                <wp:inline distT="0" distB="0" distL="0" distR="0" wp14:anchorId="6BFA93AB" wp14:editId="06FFFF76">
                  <wp:extent cx="1656080" cy="2353310"/>
                  <wp:effectExtent l="0" t="0" r="1270" b="889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c>
      </w:tr>
    </w:tbl>
    <w:p w14:paraId="6EC576D1" w14:textId="10343EA9" w:rsidR="009A0130" w:rsidRPr="00B30C77" w:rsidRDefault="009A0130" w:rsidP="00272687">
      <w:pPr>
        <w:spacing w:after="120"/>
        <w:jc w:val="both"/>
        <w:rPr>
          <w:rFonts w:cs="Calibri Light"/>
          <w:sz w:val="16"/>
          <w:szCs w:val="14"/>
        </w:rPr>
      </w:pPr>
      <w:r w:rsidRPr="00B30C77">
        <w:rPr>
          <w:rFonts w:cs="Calibri Light"/>
          <w:sz w:val="16"/>
          <w:szCs w:val="14"/>
        </w:rPr>
        <w:t>Avots: EM prognozes</w:t>
      </w:r>
    </w:p>
    <w:p w14:paraId="3F5481DB" w14:textId="314D01DA" w:rsidR="00EA05F6" w:rsidRPr="00B73A48" w:rsidRDefault="00EA05F6">
      <w:pPr>
        <w:spacing w:after="0"/>
        <w:rPr>
          <w:rFonts w:cs="Calibri Light"/>
          <w:szCs w:val="18"/>
          <w:highlight w:val="yellow"/>
        </w:rPr>
      </w:pPr>
    </w:p>
    <w:p w14:paraId="79EB0DF6" w14:textId="0FC78BAE" w:rsidR="00B30C77" w:rsidRPr="00980FD1" w:rsidRDefault="00B30C77" w:rsidP="00272687">
      <w:pPr>
        <w:pBdr>
          <w:top w:val="single" w:sz="4" w:space="6" w:color="auto" w:shadow="1"/>
          <w:left w:val="single" w:sz="4" w:space="6" w:color="auto" w:shadow="1"/>
          <w:bottom w:val="single" w:sz="4" w:space="6" w:color="auto" w:shadow="1"/>
          <w:right w:val="single" w:sz="4" w:space="6" w:color="auto" w:shadow="1"/>
        </w:pBdr>
        <w:shd w:val="clear" w:color="auto" w:fill="E5DFEC"/>
        <w:jc w:val="right"/>
        <w:rPr>
          <w:rFonts w:ascii="Segoe UI Light" w:hAnsi="Segoe UI Light"/>
          <w:b/>
          <w:sz w:val="16"/>
          <w:szCs w:val="16"/>
        </w:rPr>
      </w:pPr>
      <w:r w:rsidRPr="00980FD1">
        <w:rPr>
          <w:rFonts w:ascii="Segoe UI Light" w:hAnsi="Segoe UI Light"/>
          <w:b/>
          <w:sz w:val="16"/>
          <w:szCs w:val="16"/>
        </w:rPr>
        <w:t>Prasmju pieprasījuma prognozes Eiropā</w:t>
      </w:r>
      <w:r w:rsidR="008F2F6B">
        <w:rPr>
          <w:rFonts w:ascii="Segoe UI Light" w:hAnsi="Segoe UI Light"/>
          <w:b/>
          <w:sz w:val="16"/>
          <w:szCs w:val="16"/>
        </w:rPr>
        <w:t xml:space="preserve"> (</w:t>
      </w:r>
      <w:proofErr w:type="spellStart"/>
      <w:r w:rsidR="008F2F6B" w:rsidRPr="008F2F6B">
        <w:rPr>
          <w:rFonts w:ascii="Segoe UI Light" w:hAnsi="Segoe UI Light"/>
          <w:b/>
          <w:i/>
          <w:iCs/>
          <w:sz w:val="16"/>
          <w:szCs w:val="16"/>
        </w:rPr>
        <w:t>Cedefop</w:t>
      </w:r>
      <w:proofErr w:type="spellEnd"/>
      <w:r w:rsidR="008F2F6B" w:rsidRPr="008F2F6B">
        <w:rPr>
          <w:rFonts w:ascii="Segoe UI Light" w:hAnsi="Segoe UI Light"/>
          <w:b/>
          <w:i/>
          <w:iCs/>
          <w:sz w:val="16"/>
          <w:szCs w:val="16"/>
        </w:rPr>
        <w:t xml:space="preserve"> </w:t>
      </w:r>
      <w:r w:rsidR="008F2F6B" w:rsidRPr="008F2F6B">
        <w:rPr>
          <w:rFonts w:ascii="Segoe UI Light" w:hAnsi="Segoe UI Light"/>
          <w:b/>
          <w:sz w:val="16"/>
          <w:szCs w:val="16"/>
        </w:rPr>
        <w:t>prognoz</w:t>
      </w:r>
      <w:r w:rsidR="008F2F6B">
        <w:rPr>
          <w:rFonts w:ascii="Segoe UI Light" w:hAnsi="Segoe UI Light"/>
          <w:b/>
          <w:sz w:val="16"/>
          <w:szCs w:val="16"/>
        </w:rPr>
        <w:t>e)</w:t>
      </w:r>
    </w:p>
    <w:p w14:paraId="49839D03" w14:textId="77777777" w:rsidR="00B30C77" w:rsidRDefault="00B30C77" w:rsidP="00272687">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sidRPr="00AC01DD">
        <w:rPr>
          <w:rFonts w:ascii="Segoe UI Light" w:hAnsi="Segoe UI Light"/>
          <w:sz w:val="16"/>
          <w:szCs w:val="16"/>
        </w:rPr>
        <w:t xml:space="preserve">Saskaņā ar </w:t>
      </w:r>
      <w:proofErr w:type="spellStart"/>
      <w:r w:rsidRPr="00AC01DD">
        <w:rPr>
          <w:rFonts w:ascii="Segoe UI Light" w:hAnsi="Segoe UI Light"/>
          <w:sz w:val="16"/>
          <w:szCs w:val="16"/>
        </w:rPr>
        <w:t>Cedefop</w:t>
      </w:r>
      <w:proofErr w:type="spellEnd"/>
      <w:r w:rsidRPr="00AC01DD">
        <w:rPr>
          <w:rFonts w:ascii="Segoe UI Light" w:hAnsi="Segoe UI Light"/>
          <w:sz w:val="16"/>
          <w:szCs w:val="16"/>
        </w:rPr>
        <w:t xml:space="preserve"> prognozēm, turpmāko situāciju ES darba tirgū ietekmēs</w:t>
      </w:r>
      <w:r>
        <w:rPr>
          <w:rFonts w:ascii="Segoe UI Light" w:hAnsi="Segoe UI Light"/>
          <w:sz w:val="16"/>
          <w:szCs w:val="16"/>
        </w:rPr>
        <w:t xml:space="preserve"> </w:t>
      </w:r>
      <w:r w:rsidRPr="00AC01DD">
        <w:rPr>
          <w:rFonts w:ascii="Segoe UI Light" w:hAnsi="Segoe UI Light"/>
          <w:sz w:val="16"/>
          <w:szCs w:val="16"/>
        </w:rPr>
        <w:t xml:space="preserve">nenoteiktība saistībā ar esošo ģeopolitisko stāvokli, Krievijai </w:t>
      </w:r>
      <w:r>
        <w:rPr>
          <w:rFonts w:ascii="Segoe UI Light" w:hAnsi="Segoe UI Light"/>
          <w:sz w:val="16"/>
          <w:szCs w:val="16"/>
        </w:rPr>
        <w:t>turpinot</w:t>
      </w:r>
      <w:r w:rsidRPr="00AC01DD">
        <w:rPr>
          <w:rFonts w:ascii="Segoe UI Light" w:hAnsi="Segoe UI Light"/>
          <w:sz w:val="16"/>
          <w:szCs w:val="16"/>
        </w:rPr>
        <w:t xml:space="preserve"> karadarbību Ukrainā. Izmaiņas būs saistītas ar bēgļu migrāciju, piegāžu ķēžu pārrāvumiem, pārtikas pietiekamības jautājumiem un nestabilitāti enerģijas tirgū, kas ietekmēs ne tikai ekonomiku kopumā, bet arī darba tirgu. Izmaiņas veicinās arī straujā tehnoloģiju attīstība, globalizācija, demogrāfijas izmaiņas (novecošanās un iedzīvotāju izglītības līmeņa kāpums) un kurss uz pakalpojumiem balstītu ekonomiku.</w:t>
      </w:r>
    </w:p>
    <w:p w14:paraId="592B65AA" w14:textId="0B69DCC9" w:rsidR="00B30C77" w:rsidRPr="00980FD1" w:rsidRDefault="00B30C77"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center"/>
        <w:rPr>
          <w:rFonts w:ascii="Segoe UI Light" w:hAnsi="Segoe UI Light"/>
          <w:sz w:val="16"/>
          <w:szCs w:val="16"/>
        </w:rPr>
      </w:pPr>
      <w:r w:rsidRPr="00980FD1">
        <w:rPr>
          <w:rFonts w:ascii="Segoe UI Light" w:hAnsi="Segoe UI Light"/>
          <w:b/>
          <w:bCs/>
          <w:sz w:val="16"/>
          <w:szCs w:val="16"/>
        </w:rPr>
        <w:t>Nodarbināto skaita izmaiņas ES sadalījumā pa nozarēm</w:t>
      </w:r>
      <w:r w:rsidRPr="00980FD1">
        <w:rPr>
          <w:rFonts w:ascii="Segoe UI Light" w:hAnsi="Segoe UI Light"/>
          <w:sz w:val="16"/>
          <w:szCs w:val="16"/>
        </w:rPr>
        <w:br/>
        <w:t>203</w:t>
      </w:r>
      <w:r>
        <w:rPr>
          <w:rFonts w:ascii="Segoe UI Light" w:hAnsi="Segoe UI Light"/>
          <w:sz w:val="16"/>
          <w:szCs w:val="16"/>
        </w:rPr>
        <w:t>5</w:t>
      </w:r>
      <w:r w:rsidRPr="00980FD1">
        <w:rPr>
          <w:rFonts w:ascii="Segoe UI Light" w:hAnsi="Segoe UI Light"/>
          <w:sz w:val="16"/>
          <w:szCs w:val="16"/>
        </w:rPr>
        <w:t>.gads salīdzinājumā ar 20</w:t>
      </w:r>
      <w:r>
        <w:rPr>
          <w:rFonts w:ascii="Segoe UI Light" w:hAnsi="Segoe UI Light"/>
          <w:sz w:val="16"/>
          <w:szCs w:val="16"/>
        </w:rPr>
        <w:t>22</w:t>
      </w:r>
      <w:r w:rsidR="00846B77">
        <w:rPr>
          <w:rFonts w:ascii="Segoe UI Light" w:hAnsi="Segoe UI Light"/>
          <w:sz w:val="16"/>
          <w:szCs w:val="16"/>
        </w:rPr>
        <w:t>.</w:t>
      </w:r>
      <w:r w:rsidRPr="00980FD1">
        <w:rPr>
          <w:rFonts w:ascii="Segoe UI Light" w:hAnsi="Segoe UI Light"/>
          <w:sz w:val="16"/>
          <w:szCs w:val="16"/>
        </w:rPr>
        <w:t> gadu, procentos</w:t>
      </w:r>
    </w:p>
    <w:p w14:paraId="70E801F9" w14:textId="77777777" w:rsidR="00B30C77" w:rsidRPr="003B4CDA" w:rsidRDefault="00B30C77"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center"/>
        <w:rPr>
          <w:rFonts w:ascii="Segoe UI Light" w:hAnsi="Segoe UI Light"/>
          <w:sz w:val="16"/>
          <w:szCs w:val="16"/>
        </w:rPr>
      </w:pPr>
      <w:r w:rsidRPr="00612950">
        <w:rPr>
          <w:noProof/>
          <w:sz w:val="18"/>
          <w:szCs w:val="20"/>
        </w:rPr>
        <w:drawing>
          <wp:inline distT="0" distB="0" distL="0" distR="0" wp14:anchorId="387F5D27" wp14:editId="0278EA07">
            <wp:extent cx="5580000" cy="1620000"/>
            <wp:effectExtent l="0" t="0" r="0" b="0"/>
            <wp:docPr id="42" name="Chart 42">
              <a:extLst xmlns:a="http://schemas.openxmlformats.org/drawingml/2006/main">
                <a:ext uri="{FF2B5EF4-FFF2-40B4-BE49-F238E27FC236}">
                  <a16:creationId xmlns:a16="http://schemas.microsoft.com/office/drawing/2014/main" id="{3A55151C-CB6B-4B00-879E-DA9F465BE5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1EEBA3E8" w14:textId="65B1C737" w:rsidR="00B30C77" w:rsidRPr="00762250" w:rsidRDefault="00B30C77" w:rsidP="006B2AC7">
      <w:pPr>
        <w:pBdr>
          <w:top w:val="single" w:sz="4" w:space="6" w:color="auto" w:shadow="1"/>
          <w:left w:val="single" w:sz="4" w:space="6" w:color="auto" w:shadow="1"/>
          <w:bottom w:val="single" w:sz="4" w:space="6" w:color="auto" w:shadow="1"/>
          <w:right w:val="single" w:sz="4" w:space="6" w:color="auto" w:shadow="1"/>
        </w:pBdr>
        <w:shd w:val="clear" w:color="auto" w:fill="E5DFEC"/>
        <w:spacing w:before="60" w:after="60"/>
        <w:rPr>
          <w:rFonts w:ascii="Segoe UI Light" w:hAnsi="Segoe UI Light"/>
          <w:iCs/>
          <w:sz w:val="12"/>
          <w:szCs w:val="12"/>
        </w:rPr>
      </w:pPr>
      <w:r w:rsidRPr="00980FD1">
        <w:rPr>
          <w:rFonts w:ascii="Segoe UI Light" w:hAnsi="Segoe UI Light"/>
          <w:sz w:val="12"/>
          <w:szCs w:val="12"/>
        </w:rPr>
        <w:t xml:space="preserve">Avots: </w:t>
      </w:r>
      <w:proofErr w:type="spellStart"/>
      <w:r w:rsidRPr="00980FD1">
        <w:rPr>
          <w:rFonts w:ascii="Segoe UI Light" w:hAnsi="Segoe UI Light"/>
          <w:i/>
          <w:sz w:val="12"/>
          <w:szCs w:val="12"/>
        </w:rPr>
        <w:t>Cedefop</w:t>
      </w:r>
      <w:proofErr w:type="spellEnd"/>
      <w:r w:rsidR="006B2AC7">
        <w:rPr>
          <w:rFonts w:ascii="Segoe UI Light" w:hAnsi="Segoe UI Light"/>
          <w:i/>
          <w:sz w:val="12"/>
          <w:szCs w:val="12"/>
        </w:rPr>
        <w:br/>
      </w:r>
      <w:r>
        <w:rPr>
          <w:rFonts w:ascii="Segoe UI Light" w:hAnsi="Segoe UI Light"/>
          <w:i/>
          <w:sz w:val="12"/>
          <w:szCs w:val="12"/>
        </w:rPr>
        <w:t>*</w:t>
      </w:r>
      <w:r>
        <w:rPr>
          <w:rFonts w:ascii="Segoe UI Light" w:hAnsi="Segoe UI Light"/>
          <w:iCs/>
          <w:sz w:val="12"/>
          <w:szCs w:val="12"/>
        </w:rPr>
        <w:t xml:space="preserve">  Lauksaimniecība, mežsaimniecība, zvejniecība: mazs izlases lielums</w:t>
      </w:r>
    </w:p>
    <w:p w14:paraId="77915505" w14:textId="77777777" w:rsidR="00B30C77" w:rsidRDefault="00B30C77"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p>
    <w:p w14:paraId="50FBC35D" w14:textId="240CF60A" w:rsidR="00B30C77" w:rsidRPr="003B4C1F" w:rsidRDefault="00B30C77"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sidRPr="003B4C1F">
        <w:rPr>
          <w:rFonts w:ascii="Segoe UI Light" w:hAnsi="Segoe UI Light"/>
          <w:sz w:val="16"/>
          <w:szCs w:val="16"/>
        </w:rPr>
        <w:t xml:space="preserve">Saskaņā ar </w:t>
      </w:r>
      <w:proofErr w:type="spellStart"/>
      <w:r w:rsidRPr="003B4C1F">
        <w:rPr>
          <w:rFonts w:ascii="Segoe UI Light" w:hAnsi="Segoe UI Light"/>
          <w:sz w:val="16"/>
          <w:szCs w:val="16"/>
        </w:rPr>
        <w:t>Cedefop</w:t>
      </w:r>
      <w:proofErr w:type="spellEnd"/>
      <w:r w:rsidRPr="003B4C1F">
        <w:rPr>
          <w:rFonts w:ascii="Segoe UI Light" w:hAnsi="Segoe UI Light"/>
          <w:sz w:val="16"/>
          <w:szCs w:val="16"/>
        </w:rPr>
        <w:t xml:space="preserve"> prognozēm, 203</w:t>
      </w:r>
      <w:r>
        <w:rPr>
          <w:rFonts w:ascii="Segoe UI Light" w:hAnsi="Segoe UI Light"/>
          <w:sz w:val="16"/>
          <w:szCs w:val="16"/>
        </w:rPr>
        <w:t>5</w:t>
      </w:r>
      <w:r w:rsidRPr="003B4C1F">
        <w:rPr>
          <w:rFonts w:ascii="Segoe UI Light" w:hAnsi="Segoe UI Light"/>
          <w:sz w:val="16"/>
          <w:szCs w:val="16"/>
        </w:rPr>
        <w:t>.gadā, salīdzinot ar 202</w:t>
      </w:r>
      <w:r>
        <w:rPr>
          <w:rFonts w:ascii="Segoe UI Light" w:hAnsi="Segoe UI Light"/>
          <w:sz w:val="16"/>
          <w:szCs w:val="16"/>
        </w:rPr>
        <w:t>2</w:t>
      </w:r>
      <w:r w:rsidRPr="003B4C1F">
        <w:rPr>
          <w:rFonts w:ascii="Segoe UI Light" w:hAnsi="Segoe UI Light"/>
          <w:sz w:val="16"/>
          <w:szCs w:val="16"/>
        </w:rPr>
        <w:t xml:space="preserve">.gadu, nodarbinātība pieaugs par </w:t>
      </w:r>
      <w:r>
        <w:rPr>
          <w:rFonts w:ascii="Segoe UI Light" w:hAnsi="Segoe UI Light"/>
          <w:sz w:val="16"/>
          <w:szCs w:val="16"/>
        </w:rPr>
        <w:t>5</w:t>
      </w:r>
      <w:r w:rsidRPr="003B4C1F">
        <w:rPr>
          <w:rFonts w:ascii="Segoe UI Light" w:hAnsi="Segoe UI Light"/>
          <w:sz w:val="16"/>
          <w:szCs w:val="16"/>
        </w:rPr>
        <w:t>,</w:t>
      </w:r>
      <w:r>
        <w:rPr>
          <w:rFonts w:ascii="Segoe UI Light" w:hAnsi="Segoe UI Light"/>
          <w:sz w:val="16"/>
          <w:szCs w:val="16"/>
        </w:rPr>
        <w:t>6</w:t>
      </w:r>
      <w:r w:rsidRPr="003B4C1F">
        <w:rPr>
          <w:rFonts w:ascii="Segoe UI Light" w:hAnsi="Segoe UI Light"/>
          <w:sz w:val="16"/>
          <w:szCs w:val="16"/>
        </w:rPr>
        <w:t>%. Paredzams, ka nākotnes nodarbinātības pieaugumu noteiks galvenokārt pakalpojumu nozares, kurās līdz 203</w:t>
      </w:r>
      <w:r>
        <w:rPr>
          <w:rFonts w:ascii="Segoe UI Light" w:hAnsi="Segoe UI Light"/>
          <w:sz w:val="16"/>
          <w:szCs w:val="16"/>
        </w:rPr>
        <w:t>5</w:t>
      </w:r>
      <w:r w:rsidRPr="003B4C1F">
        <w:rPr>
          <w:rFonts w:ascii="Segoe UI Light" w:hAnsi="Segoe UI Light"/>
          <w:sz w:val="16"/>
          <w:szCs w:val="16"/>
        </w:rPr>
        <w:t>.gadam strādās apmēram puse no nodarbinātajiem. Pieaugums veidosies galvenokārt dēļ zaļās ekonomikas un automatizācijas. Tomēr, jāņem vērā arī piedāvājuma puses tendences – iedzīvotāju novecošanās un pieaugošais izglītības līmenis.</w:t>
      </w:r>
      <w:r>
        <w:rPr>
          <w:rFonts w:ascii="Segoe UI Light" w:hAnsi="Segoe UI Light"/>
          <w:sz w:val="16"/>
          <w:szCs w:val="16"/>
        </w:rPr>
        <w:t xml:space="preserve"> V</w:t>
      </w:r>
      <w:r w:rsidRPr="003B4C1F">
        <w:rPr>
          <w:rFonts w:ascii="Segoe UI Light" w:hAnsi="Segoe UI Light"/>
          <w:sz w:val="16"/>
          <w:szCs w:val="16"/>
        </w:rPr>
        <w:t xml:space="preserve">isstraujākais nodarbinātības pieaugums paredzams </w:t>
      </w:r>
      <w:r>
        <w:rPr>
          <w:rFonts w:ascii="Segoe UI Light" w:hAnsi="Segoe UI Light"/>
          <w:sz w:val="16"/>
          <w:szCs w:val="16"/>
        </w:rPr>
        <w:t xml:space="preserve">IKT pakalpojumu (14,6%), profesionālo pakalpojumu (12,9%), kā arī </w:t>
      </w:r>
      <w:r w:rsidRPr="003B4C1F">
        <w:rPr>
          <w:rFonts w:ascii="Segoe UI Light" w:hAnsi="Segoe UI Light"/>
          <w:sz w:val="16"/>
          <w:szCs w:val="16"/>
        </w:rPr>
        <w:t>veselības un sociālās aprūpes jomā (</w:t>
      </w:r>
      <w:r>
        <w:rPr>
          <w:rFonts w:ascii="Segoe UI Light" w:hAnsi="Segoe UI Light"/>
          <w:sz w:val="16"/>
          <w:szCs w:val="16"/>
        </w:rPr>
        <w:t>11,6</w:t>
      </w:r>
      <w:r w:rsidRPr="003B4C1F">
        <w:rPr>
          <w:rFonts w:ascii="Segoe UI Light" w:hAnsi="Segoe UI Light"/>
          <w:sz w:val="16"/>
          <w:szCs w:val="16"/>
        </w:rPr>
        <w:t>%)</w:t>
      </w:r>
      <w:r>
        <w:rPr>
          <w:rFonts w:ascii="Segoe UI Light" w:hAnsi="Segoe UI Light"/>
          <w:sz w:val="16"/>
          <w:szCs w:val="16"/>
        </w:rPr>
        <w:t>.</w:t>
      </w:r>
    </w:p>
    <w:p w14:paraId="65829695" w14:textId="32C9880F" w:rsidR="00B30C77" w:rsidRDefault="00B30C77"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sidRPr="003B4C1F">
        <w:rPr>
          <w:rFonts w:ascii="Segoe UI Light" w:hAnsi="Segoe UI Light"/>
          <w:sz w:val="16"/>
          <w:szCs w:val="16"/>
        </w:rPr>
        <w:t xml:space="preserve">Darbaspēka pieprasījuma pieaugums tiek prognozēts arī </w:t>
      </w:r>
      <w:r>
        <w:rPr>
          <w:rFonts w:ascii="Segoe UI Light" w:hAnsi="Segoe UI Light"/>
          <w:sz w:val="16"/>
          <w:szCs w:val="16"/>
        </w:rPr>
        <w:t xml:space="preserve">finanšu un apdrošināšanas pakalpojumos </w:t>
      </w:r>
      <w:r w:rsidRPr="003B4C1F">
        <w:rPr>
          <w:rFonts w:ascii="Segoe UI Light" w:hAnsi="Segoe UI Light"/>
          <w:sz w:val="16"/>
          <w:szCs w:val="16"/>
        </w:rPr>
        <w:t>(</w:t>
      </w:r>
      <w:r>
        <w:rPr>
          <w:rFonts w:ascii="Segoe UI Light" w:hAnsi="Segoe UI Light"/>
          <w:sz w:val="16"/>
          <w:szCs w:val="16"/>
        </w:rPr>
        <w:t>5,7</w:t>
      </w:r>
      <w:r w:rsidRPr="003B4C1F">
        <w:rPr>
          <w:rFonts w:ascii="Segoe UI Light" w:hAnsi="Segoe UI Light"/>
          <w:sz w:val="16"/>
          <w:szCs w:val="16"/>
        </w:rPr>
        <w:t>%),</w:t>
      </w:r>
      <w:r>
        <w:rPr>
          <w:rFonts w:ascii="Segoe UI Light" w:hAnsi="Segoe UI Light"/>
          <w:sz w:val="16"/>
          <w:szCs w:val="16"/>
        </w:rPr>
        <w:t xml:space="preserve"> energoapgādes pakalpojumos </w:t>
      </w:r>
      <w:r w:rsidRPr="003B4C1F">
        <w:rPr>
          <w:rFonts w:ascii="Segoe UI Light" w:hAnsi="Segoe UI Light"/>
          <w:sz w:val="16"/>
          <w:szCs w:val="16"/>
        </w:rPr>
        <w:t xml:space="preserve">(5%) un </w:t>
      </w:r>
      <w:r>
        <w:rPr>
          <w:rFonts w:ascii="Segoe UI Light" w:hAnsi="Segoe UI Light"/>
          <w:sz w:val="16"/>
          <w:szCs w:val="16"/>
        </w:rPr>
        <w:t>administratīvajos pakalpojumos</w:t>
      </w:r>
      <w:r w:rsidRPr="003B4C1F">
        <w:rPr>
          <w:rFonts w:ascii="Segoe UI Light" w:hAnsi="Segoe UI Light"/>
          <w:sz w:val="16"/>
          <w:szCs w:val="16"/>
        </w:rPr>
        <w:t xml:space="preserve"> (</w:t>
      </w:r>
      <w:r>
        <w:rPr>
          <w:rFonts w:ascii="Segoe UI Light" w:hAnsi="Segoe UI Light"/>
          <w:sz w:val="16"/>
          <w:szCs w:val="16"/>
        </w:rPr>
        <w:t>3,</w:t>
      </w:r>
      <w:r w:rsidRPr="003B4C1F">
        <w:rPr>
          <w:rFonts w:ascii="Segoe UI Light" w:hAnsi="Segoe UI Light"/>
          <w:sz w:val="16"/>
          <w:szCs w:val="16"/>
        </w:rPr>
        <w:t>5%).</w:t>
      </w:r>
    </w:p>
    <w:p w14:paraId="4AB03C7F" w14:textId="77777777" w:rsidR="003F161B" w:rsidRDefault="003F161B">
      <w:pPr>
        <w:spacing w:after="0"/>
        <w:rPr>
          <w:szCs w:val="20"/>
        </w:rPr>
      </w:pPr>
      <w:r>
        <w:rPr>
          <w:szCs w:val="20"/>
        </w:rPr>
        <w:br w:type="page"/>
      </w:r>
    </w:p>
    <w:p w14:paraId="570CA7FC" w14:textId="1B95537A" w:rsidR="003F161B" w:rsidRPr="0031400B" w:rsidRDefault="003F161B" w:rsidP="003F161B">
      <w:pPr>
        <w:spacing w:after="120"/>
        <w:jc w:val="right"/>
        <w:rPr>
          <w:szCs w:val="20"/>
        </w:rPr>
      </w:pPr>
      <w:r>
        <w:rPr>
          <w:szCs w:val="20"/>
        </w:rPr>
        <w:lastRenderedPageBreak/>
        <w:t>Ielikuma turpinājums</w:t>
      </w:r>
    </w:p>
    <w:p w14:paraId="5DD7BD20" w14:textId="2047AC76" w:rsidR="00B30C77" w:rsidRDefault="00B30C77"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sidRPr="003B4C1F">
        <w:rPr>
          <w:rFonts w:ascii="Segoe UI Light" w:hAnsi="Segoe UI Light"/>
          <w:sz w:val="16"/>
          <w:szCs w:val="16"/>
        </w:rPr>
        <w:t>Straujākais nodarbināto skaita sarukums ir paredzams lauksaimniecības sektorā (par</w:t>
      </w:r>
      <w:r>
        <w:rPr>
          <w:rFonts w:ascii="Segoe UI Light" w:hAnsi="Segoe UI Light"/>
          <w:sz w:val="16"/>
          <w:szCs w:val="16"/>
        </w:rPr>
        <w:t xml:space="preserve"> 2/5 </w:t>
      </w:r>
      <w:r w:rsidRPr="003B4C1F">
        <w:rPr>
          <w:rFonts w:ascii="Segoe UI Light" w:hAnsi="Segoe UI Light"/>
          <w:sz w:val="16"/>
          <w:szCs w:val="16"/>
        </w:rPr>
        <w:t>līdz 203</w:t>
      </w:r>
      <w:r>
        <w:rPr>
          <w:rFonts w:ascii="Segoe UI Light" w:hAnsi="Segoe UI Light"/>
          <w:sz w:val="16"/>
          <w:szCs w:val="16"/>
        </w:rPr>
        <w:t>5</w:t>
      </w:r>
      <w:r w:rsidRPr="003B4C1F">
        <w:rPr>
          <w:rFonts w:ascii="Segoe UI Light" w:hAnsi="Segoe UI Light"/>
          <w:sz w:val="16"/>
          <w:szCs w:val="16"/>
        </w:rPr>
        <w:t xml:space="preserve">.gadam), tomēr situācija ir atšķirīga dažādās ES valstīs. Neliels nodarbināto skaita sarukums paredzams arī rūpniecības nozarēs, no kurām visstraujākais sarukums sagaidāms ieguves rūpniecībā un karjeru izstrādē (par </w:t>
      </w:r>
      <w:r>
        <w:rPr>
          <w:rFonts w:ascii="Segoe UI Light" w:hAnsi="Segoe UI Light"/>
          <w:sz w:val="16"/>
          <w:szCs w:val="16"/>
        </w:rPr>
        <w:t>21</w:t>
      </w:r>
      <w:r w:rsidRPr="003B4C1F">
        <w:rPr>
          <w:rFonts w:ascii="Segoe UI Light" w:hAnsi="Segoe UI Light"/>
          <w:sz w:val="16"/>
          <w:szCs w:val="16"/>
        </w:rPr>
        <w:t xml:space="preserve">%). Arī apstrādes rūpniecībā paredzams neliels nodarbināto skaita sarukums (par </w:t>
      </w:r>
      <w:r>
        <w:rPr>
          <w:rFonts w:ascii="Segoe UI Light" w:hAnsi="Segoe UI Light"/>
          <w:sz w:val="16"/>
          <w:szCs w:val="16"/>
        </w:rPr>
        <w:t>0,5</w:t>
      </w:r>
      <w:r w:rsidRPr="003B4C1F">
        <w:rPr>
          <w:rFonts w:ascii="Segoe UI Light" w:hAnsi="Segoe UI Light"/>
          <w:sz w:val="16"/>
          <w:szCs w:val="16"/>
        </w:rPr>
        <w:t xml:space="preserve">%). Rūpniecības tendences noteiks robotizācijas attīstība un investīcijas ražošanā. Pieprasījums strauji augs jomās, kas saistītas ar progresīvo rūpniecību un aktivitātēs ar augstu pievienoto vērtību (galvenokārt </w:t>
      </w:r>
      <w:proofErr w:type="spellStart"/>
      <w:r w:rsidRPr="003B4C1F">
        <w:rPr>
          <w:rFonts w:ascii="Segoe UI Light" w:hAnsi="Segoe UI Light"/>
          <w:sz w:val="16"/>
          <w:szCs w:val="16"/>
        </w:rPr>
        <w:t>nanotehnoloģijās</w:t>
      </w:r>
      <w:proofErr w:type="spellEnd"/>
      <w:r w:rsidRPr="003B4C1F">
        <w:rPr>
          <w:rFonts w:ascii="Segoe UI Light" w:hAnsi="Segoe UI Light"/>
          <w:sz w:val="16"/>
          <w:szCs w:val="16"/>
        </w:rPr>
        <w:t xml:space="preserve">, materiālajās zinātnēs, elektronikā, IKT un biotehnoloģijās. Līdz ar to pieaugs darba devēju interese </w:t>
      </w:r>
      <w:proofErr w:type="spellStart"/>
      <w:r w:rsidRPr="003B4C1F">
        <w:rPr>
          <w:rFonts w:ascii="Segoe UI Light" w:hAnsi="Segoe UI Light"/>
          <w:sz w:val="16"/>
          <w:szCs w:val="16"/>
        </w:rPr>
        <w:t>rekrutēt</w:t>
      </w:r>
      <w:proofErr w:type="spellEnd"/>
      <w:r w:rsidRPr="003B4C1F">
        <w:rPr>
          <w:rFonts w:ascii="Segoe UI Light" w:hAnsi="Segoe UI Light"/>
          <w:sz w:val="16"/>
          <w:szCs w:val="16"/>
        </w:rPr>
        <w:t xml:space="preserve"> jaunos darbiniekus ar zināšanām digitālajās tehnoloģijās, datorzinātnēs, cilvēkus ar analītisku domāšanu.</w:t>
      </w:r>
    </w:p>
    <w:p w14:paraId="37B2DC9D" w14:textId="77777777" w:rsidR="00177E9D" w:rsidRDefault="00177E9D"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p>
    <w:p w14:paraId="1C3EE09B" w14:textId="77777777" w:rsidR="00B30C77" w:rsidRDefault="00B30C77"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b/>
          <w:bCs/>
          <w:sz w:val="16"/>
          <w:szCs w:val="16"/>
        </w:rPr>
      </w:pPr>
      <w:r w:rsidRPr="00C16EE7">
        <w:rPr>
          <w:rFonts w:ascii="Segoe UI Light" w:hAnsi="Segoe UI Light"/>
          <w:b/>
          <w:bCs/>
          <w:sz w:val="16"/>
          <w:szCs w:val="16"/>
        </w:rPr>
        <w:t>Lielākā daļa jaunas darba iespējas veidosies dēļ aizvietojošā pieprasījuma</w:t>
      </w:r>
    </w:p>
    <w:p w14:paraId="333B555A" w14:textId="78AFE1A3" w:rsidR="00B30C77" w:rsidRDefault="00B30C77"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sidRPr="4398C881">
        <w:rPr>
          <w:rFonts w:ascii="Segoe UI Light" w:hAnsi="Segoe UI Light"/>
          <w:sz w:val="16"/>
          <w:szCs w:val="16"/>
        </w:rPr>
        <w:t>Iepriekšējie tehnoloģiju attīstības viļņi ir noveduši pie darba tirgus transformācijas, padarot dažus darba uzdevumus vai profesijas novecojušas un radot arī jaunas darba vietas.</w:t>
      </w:r>
      <w:r>
        <w:rPr>
          <w:rFonts w:ascii="Segoe UI Light" w:hAnsi="Segoe UI Light"/>
          <w:sz w:val="16"/>
          <w:szCs w:val="16"/>
        </w:rPr>
        <w:t xml:space="preserve"> </w:t>
      </w:r>
      <w:r w:rsidRPr="4398C881">
        <w:rPr>
          <w:rFonts w:ascii="Segoe UI Light" w:hAnsi="Segoe UI Light"/>
          <w:sz w:val="16"/>
          <w:szCs w:val="16"/>
        </w:rPr>
        <w:t>Summējot gan aizvietojošo pieprasījumu, gan paplašinošo pieprasījumu, līdz 203</w:t>
      </w:r>
      <w:r>
        <w:rPr>
          <w:rFonts w:ascii="Segoe UI Light" w:hAnsi="Segoe UI Light"/>
          <w:sz w:val="16"/>
          <w:szCs w:val="16"/>
        </w:rPr>
        <w:t>5</w:t>
      </w:r>
      <w:r w:rsidRPr="4398C881">
        <w:rPr>
          <w:rFonts w:ascii="Segoe UI Light" w:hAnsi="Segoe UI Light"/>
          <w:sz w:val="16"/>
          <w:szCs w:val="16"/>
        </w:rPr>
        <w:t xml:space="preserve">.gadam tiks aizpildītas </w:t>
      </w:r>
      <w:r>
        <w:rPr>
          <w:rFonts w:ascii="Segoe UI Light" w:hAnsi="Segoe UI Light"/>
          <w:sz w:val="16"/>
          <w:szCs w:val="16"/>
        </w:rPr>
        <w:t>aptuveni 120</w:t>
      </w:r>
      <w:r w:rsidRPr="4398C881">
        <w:rPr>
          <w:rFonts w:ascii="Segoe UI Light" w:hAnsi="Segoe UI Light"/>
          <w:sz w:val="16"/>
          <w:szCs w:val="16"/>
        </w:rPr>
        <w:t xml:space="preserve"> milj. vakances. </w:t>
      </w:r>
      <w:r w:rsidRPr="008D2D6E">
        <w:rPr>
          <w:rFonts w:ascii="Segoe UI Light" w:hAnsi="Segoe UI Light"/>
          <w:sz w:val="16"/>
          <w:szCs w:val="16"/>
        </w:rPr>
        <w:t>Puse no jaunajām darba vietām veidosies augstas kvalifikācijas darbos</w:t>
      </w:r>
      <w:r w:rsidRPr="4398C881">
        <w:rPr>
          <w:rFonts w:ascii="Segoe UI Light" w:hAnsi="Segoe UI Light"/>
          <w:sz w:val="16"/>
          <w:szCs w:val="16"/>
        </w:rPr>
        <w:t>, nedaudz mazāk (40%) vidējas kvalifikācijas darbos un tikai 9% zemas kvalifikācijas darbos. Jaunas darba vietas dēļ paplašinošā pieprasījuma galvenokārt veidosies augstas kvalifikācijas profesijās.</w:t>
      </w:r>
    </w:p>
    <w:p w14:paraId="4F810EFF" w14:textId="77777777" w:rsidR="00177E9D" w:rsidRDefault="00177E9D"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p>
    <w:p w14:paraId="06463CA2" w14:textId="77777777" w:rsidR="00B30C77" w:rsidRPr="00B30C77" w:rsidRDefault="00B30C77"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center"/>
        <w:rPr>
          <w:rFonts w:ascii="Segoe UI Light" w:hAnsi="Segoe UI Light"/>
          <w:sz w:val="14"/>
          <w:szCs w:val="14"/>
        </w:rPr>
      </w:pPr>
      <w:r w:rsidRPr="008D2D6E">
        <w:rPr>
          <w:rFonts w:ascii="Segoe UI Light" w:hAnsi="Segoe UI Light"/>
          <w:b/>
          <w:bCs/>
          <w:sz w:val="16"/>
          <w:szCs w:val="16"/>
        </w:rPr>
        <w:t>Nākotnes darba iespējas ES līdz 203</w:t>
      </w:r>
      <w:r>
        <w:rPr>
          <w:rFonts w:ascii="Segoe UI Light" w:hAnsi="Segoe UI Light"/>
          <w:b/>
          <w:bCs/>
          <w:sz w:val="16"/>
          <w:szCs w:val="16"/>
        </w:rPr>
        <w:t>5</w:t>
      </w:r>
      <w:r w:rsidRPr="008D2D6E">
        <w:rPr>
          <w:rFonts w:ascii="Segoe UI Light" w:hAnsi="Segoe UI Light"/>
          <w:b/>
          <w:bCs/>
          <w:sz w:val="16"/>
          <w:szCs w:val="16"/>
        </w:rPr>
        <w:t>. gadam pa profesiju grupām</w:t>
      </w:r>
      <w:r w:rsidRPr="008D2D6E">
        <w:rPr>
          <w:rFonts w:ascii="Segoe UI Light" w:hAnsi="Segoe UI Light"/>
          <w:b/>
          <w:bCs/>
          <w:sz w:val="16"/>
          <w:szCs w:val="16"/>
        </w:rPr>
        <w:br/>
      </w:r>
      <w:r w:rsidRPr="00B30C77">
        <w:rPr>
          <w:rFonts w:ascii="Segoe UI Light" w:hAnsi="Segoe UI Light"/>
          <w:sz w:val="14"/>
          <w:szCs w:val="14"/>
        </w:rPr>
        <w:t>milj.</w:t>
      </w:r>
    </w:p>
    <w:p w14:paraId="4F90CBA6" w14:textId="77777777" w:rsidR="00B30C77" w:rsidRDefault="00B30C77" w:rsidP="006B2AC7">
      <w:pPr>
        <w:pBdr>
          <w:top w:val="single" w:sz="4" w:space="6" w:color="auto" w:shadow="1"/>
          <w:left w:val="single" w:sz="4" w:space="6" w:color="auto" w:shadow="1"/>
          <w:bottom w:val="single" w:sz="4" w:space="6" w:color="auto" w:shadow="1"/>
          <w:right w:val="single" w:sz="4" w:space="6" w:color="auto" w:shadow="1"/>
        </w:pBdr>
        <w:shd w:val="clear" w:color="auto" w:fill="E5DFEC"/>
        <w:spacing w:after="0"/>
        <w:jc w:val="center"/>
        <w:rPr>
          <w:rFonts w:ascii="Segoe UI Light" w:hAnsi="Segoe UI Light"/>
          <w:sz w:val="16"/>
          <w:szCs w:val="16"/>
        </w:rPr>
      </w:pPr>
      <w:r>
        <w:rPr>
          <w:rFonts w:ascii="Segoe UI Light" w:hAnsi="Segoe UI Light"/>
          <w:noProof/>
          <w:sz w:val="16"/>
          <w:szCs w:val="16"/>
        </w:rPr>
        <w:drawing>
          <wp:inline distT="0" distB="0" distL="0" distR="0" wp14:anchorId="006DCBF1" wp14:editId="1F61EA16">
            <wp:extent cx="5580000" cy="1800000"/>
            <wp:effectExtent l="0" t="0" r="1905"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017B748E" w14:textId="31EE9F07" w:rsidR="002E7FAC" w:rsidRDefault="002E7FAC" w:rsidP="006B2AC7">
      <w:pPr>
        <w:pBdr>
          <w:top w:val="single" w:sz="4" w:space="6" w:color="auto" w:shadow="1"/>
          <w:left w:val="single" w:sz="4" w:space="6" w:color="auto" w:shadow="1"/>
          <w:bottom w:val="single" w:sz="4" w:space="6" w:color="auto" w:shadow="1"/>
          <w:right w:val="single" w:sz="4" w:space="6" w:color="auto" w:shadow="1"/>
        </w:pBdr>
        <w:shd w:val="clear" w:color="auto" w:fill="E5DFEC"/>
        <w:spacing w:before="60" w:after="0"/>
        <w:jc w:val="both"/>
        <w:rPr>
          <w:rFonts w:ascii="Segoe UI Light" w:hAnsi="Segoe UI Light"/>
          <w:sz w:val="16"/>
          <w:szCs w:val="16"/>
        </w:rPr>
      </w:pPr>
      <w:r w:rsidRPr="00980FD1">
        <w:rPr>
          <w:rFonts w:ascii="Segoe UI Light" w:hAnsi="Segoe UI Light"/>
          <w:sz w:val="12"/>
          <w:szCs w:val="12"/>
        </w:rPr>
        <w:t xml:space="preserve">Avots: </w:t>
      </w:r>
      <w:proofErr w:type="spellStart"/>
      <w:r w:rsidRPr="00980FD1">
        <w:rPr>
          <w:rFonts w:ascii="Segoe UI Light" w:hAnsi="Segoe UI Light"/>
          <w:i/>
          <w:sz w:val="12"/>
          <w:szCs w:val="12"/>
        </w:rPr>
        <w:t>Cedefop</w:t>
      </w:r>
      <w:proofErr w:type="spellEnd"/>
    </w:p>
    <w:p w14:paraId="02493499" w14:textId="77777777" w:rsidR="007E2B7E" w:rsidRDefault="007E2B7E"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p>
    <w:p w14:paraId="00E16D02" w14:textId="2F8AFE44" w:rsidR="00B30C77" w:rsidRDefault="008F2F6B" w:rsidP="00177E9D">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Pr>
          <w:rFonts w:ascii="Segoe UI Light" w:hAnsi="Segoe UI Light"/>
          <w:sz w:val="16"/>
          <w:szCs w:val="16"/>
        </w:rPr>
        <w:t>L</w:t>
      </w:r>
      <w:r w:rsidR="00B30C77" w:rsidRPr="00C16EE7">
        <w:rPr>
          <w:rFonts w:ascii="Segoe UI Light" w:hAnsi="Segoe UI Light"/>
          <w:sz w:val="16"/>
          <w:szCs w:val="16"/>
        </w:rPr>
        <w:t>ielākais jaunu darba iespēju īpatsvars veidosies dažādu vecāko speciālistu profesiju grupās (informācijas un komunikāciju tehnoloģiju vecākie speciālisti, zinātnes un inženierzinātnes vecākie speciālisti, komercdarbības un pārvaldes vecākie speciālisti, tiesību, sociālo un kultūras lietu vecākie speciālisti) un speciālistu profesiju grupās (juridisko, sociālo un kultūras lietu un tām radniecīgu lietu speciālisti un komercdarbības un pārvaldes speciālisti) un vadītāju grupā (administratīvie vadītāji un komercdirektori). Atsevišķās profesiju grupās jaunās darba vietas veidosies tikai dēļ aizvietojošā pieprasījuma – kalpotāji, kvalificēti lauksaimniecības, mežsaimniecības un zivsaimniecības darbinieki un kvalificēti strādnieki un amatnieki.</w:t>
      </w:r>
    </w:p>
    <w:p w14:paraId="365C5B8B" w14:textId="77777777" w:rsidR="003F161B" w:rsidRDefault="003F161B" w:rsidP="00343F74">
      <w:pPr>
        <w:spacing w:after="120"/>
        <w:jc w:val="both"/>
      </w:pPr>
    </w:p>
    <w:p w14:paraId="5F595D68" w14:textId="660DB16C" w:rsidR="00B30C77" w:rsidRDefault="00B30C77" w:rsidP="00343F74">
      <w:pPr>
        <w:spacing w:after="120"/>
        <w:jc w:val="both"/>
      </w:pPr>
      <w:r w:rsidRPr="009C46D2">
        <w:t>Lielu ietekmi uz nodarbinātību atstās arī tehnoloģiskais progress, kura vēl straujāku attīstību ietekmēja Covid-19 izraisītā krīze. Jāņem vērā, ka iepriekšējos gados inovāciju cikli ir kļuvuši daudz ātrāki, lielie dati/</w:t>
      </w:r>
      <w:proofErr w:type="spellStart"/>
      <w:r w:rsidRPr="009C46D2">
        <w:t>mākoņskaitļošana</w:t>
      </w:r>
      <w:proofErr w:type="spellEnd"/>
      <w:r w:rsidRPr="009C46D2">
        <w:t>, 3D printeri, autonomie transporta līdzekļi un platformu ekonomika ir tikai daļa no inovācijām, kas ir izmainījuši tradicionālos produktu un pakalpojumu tirgus, un atstāj būtisku ietekmi ne tikai uz biznesa modeļiem, bet arī darbaspēka un prasmju pieprasījumu. Paredzams, ka turpmākajos gados arvien vairāk darbavietas saskarsies ar automatizācijas tendencēm, lielākais darbavietu samazinājums sagaidāms profesijās ar lielu manuālo un atkārtojamu darbību īpatsvaru, kā arī specialitātēs, kas saistītas ar tiešo apkalpošanu, piemēram, pārdevēji un kasieri mazumtirdzniecībā, zvanu operatori un līdzīgās profesijas. Automatizācijas tendences ilgtermiņā visvairāk varētu ietekmēt vidējās kvalifikācijas darbavietu skaitu. Jāņem vērā, ka tehnoloģijas polarizē darba tirgu, radot augstas kvalifikācijas, labi apmaksātus darbus no vienas puses, atstājot zemas kvalifikācijas, zemi apmaksātus darbus no otras puses, bet no darba tirgus izstumjot vidējas kvalifikācijas darbus. Vismazāk tehnoloģiju attīstība ietekmēs tās profesijas, kurās nepieciešams augsts izglītības līmenis, augsta sociālā mijiedarbība un spējas vadīt, plānot un koordinēt sarežģīto vidi/apstākļus. Savukārt visvairāk automatizācijai ir pakļautas tās profesijas, kurās nepieciešama salīdzinoši zema līmeņa formālā izglītība vai nav nepieciešams iesaistīties kompleksās sociālās mijiedarbībās, kā arī profesijas, kurās tiek veikts rutīnas manuāls darbs.</w:t>
      </w:r>
    </w:p>
    <w:p w14:paraId="3E238BBB" w14:textId="77777777" w:rsidR="003553F1" w:rsidRDefault="003553F1" w:rsidP="003553F1">
      <w:pPr>
        <w:spacing w:after="120"/>
        <w:jc w:val="both"/>
        <w:rPr>
          <w:szCs w:val="20"/>
        </w:rPr>
      </w:pPr>
    </w:p>
    <w:p w14:paraId="39215AD0" w14:textId="77777777" w:rsidR="003F161B" w:rsidRDefault="003F161B">
      <w:pPr>
        <w:spacing w:after="0"/>
        <w:rPr>
          <w:rFonts w:ascii="Segoe UI Light" w:hAnsi="Segoe UI Light"/>
          <w:b/>
          <w:sz w:val="16"/>
          <w:szCs w:val="16"/>
        </w:rPr>
      </w:pPr>
      <w:r>
        <w:rPr>
          <w:rFonts w:ascii="Segoe UI Light" w:hAnsi="Segoe UI Light"/>
          <w:b/>
          <w:sz w:val="16"/>
          <w:szCs w:val="16"/>
        </w:rPr>
        <w:br w:type="page"/>
      </w:r>
    </w:p>
    <w:p w14:paraId="74B44AFD" w14:textId="1030BF23" w:rsidR="003553F1" w:rsidRPr="00051FFE"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jc w:val="right"/>
        <w:rPr>
          <w:rFonts w:ascii="Segoe UI Light" w:hAnsi="Segoe UI Light"/>
          <w:b/>
          <w:sz w:val="16"/>
          <w:szCs w:val="16"/>
        </w:rPr>
      </w:pPr>
      <w:r w:rsidRPr="00051FFE">
        <w:rPr>
          <w:rFonts w:ascii="Segoe UI Light" w:hAnsi="Segoe UI Light"/>
          <w:b/>
          <w:sz w:val="16"/>
          <w:szCs w:val="16"/>
        </w:rPr>
        <w:lastRenderedPageBreak/>
        <w:t>Darbavietu automatizācijas ietekme uz darba tirgu</w:t>
      </w:r>
    </w:p>
    <w:p w14:paraId="43ADC5BE" w14:textId="77777777" w:rsidR="003553F1" w:rsidRPr="000E58D4"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
          <w:sz w:val="16"/>
          <w:szCs w:val="16"/>
        </w:rPr>
      </w:pPr>
      <w:r w:rsidRPr="1765FC69">
        <w:rPr>
          <w:rFonts w:ascii="Segoe UI Light" w:hAnsi="Segoe UI Light"/>
          <w:sz w:val="16"/>
          <w:szCs w:val="16"/>
        </w:rPr>
        <w:t xml:space="preserve">Vēsturiski tehnoloģiju attīstībai kopumā ir bijusi pozitīva ietekme uz nodarbinātību, lai gan daudzus darbus pašlaik ir iespējams paveikt efektīvāk un ar mazāk darbaspēka ieguldījumu, tomēr tehnoloģija attīstība ir atnesusi arī daudz jaunu darba iespēju. Vienlaikus šoreiz bažas rada tas, ka inovāciju cikli ir kļuvuši daudz ātrāki, lielie dati, </w:t>
      </w:r>
      <w:proofErr w:type="spellStart"/>
      <w:r w:rsidRPr="1765FC69">
        <w:rPr>
          <w:rFonts w:ascii="Segoe UI Light" w:hAnsi="Segoe UI Light"/>
          <w:sz w:val="16"/>
          <w:szCs w:val="16"/>
        </w:rPr>
        <w:t>mākoņdatošana</w:t>
      </w:r>
      <w:proofErr w:type="spellEnd"/>
      <w:r w:rsidRPr="1765FC69">
        <w:rPr>
          <w:rFonts w:ascii="Segoe UI Light" w:hAnsi="Segoe UI Light"/>
          <w:sz w:val="16"/>
          <w:szCs w:val="16"/>
        </w:rPr>
        <w:t xml:space="preserve">, 3D </w:t>
      </w:r>
      <w:proofErr w:type="spellStart"/>
      <w:r w:rsidRPr="1765FC69">
        <w:rPr>
          <w:rFonts w:ascii="Segoe UI Light" w:hAnsi="Segoe UI Light"/>
          <w:sz w:val="16"/>
          <w:szCs w:val="16"/>
        </w:rPr>
        <w:t>printēšana</w:t>
      </w:r>
      <w:proofErr w:type="spellEnd"/>
      <w:r w:rsidRPr="1765FC69">
        <w:rPr>
          <w:rFonts w:ascii="Segoe UI Light" w:hAnsi="Segoe UI Light"/>
          <w:sz w:val="16"/>
          <w:szCs w:val="16"/>
        </w:rPr>
        <w:t xml:space="preserve"> un platformu ekonomika maina produktu tirgus, biznesa modeļus un darbu un attiecīgi arī nepieciešamās prasmes visās nozarēs. Agrāk tehnoloģijas aizvietoja rutīnas, zemi kvalificētu darbu, bet tagad tās var izpildīt ne-rutīnas darbus, tādus kā finanšu tirgus analīzi, operācijas un juridiskie pakalpojumi u.c. Tāpat par realitāti ir kļuvuši autonomie transporta līdzekļi, kas var nākotnē ietekmēt, piemēram, taksometra vai preču pārvadājuma pakalpojumus. </w:t>
      </w:r>
      <w:r w:rsidRPr="1765FC69">
        <w:rPr>
          <w:rFonts w:ascii="Segoe UI Light" w:hAnsi="Segoe UI Light"/>
          <w:b/>
          <w:sz w:val="16"/>
          <w:szCs w:val="16"/>
        </w:rPr>
        <w:t>Tehnoloģijas kopumā polarizē darba tirgu, radot augstas kvalifikācijas, labi apmaksātus darbus no vienas puses un zemas kvalifikācijas, zemi apmaksātus darbus no otras puses, izstumjot no darba tirgus vidējas kvalifikācijas darbus.</w:t>
      </w:r>
    </w:p>
    <w:p w14:paraId="7C87F159" w14:textId="77777777" w:rsidR="003553F1" w:rsidRPr="000E58D4"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
          <w:sz w:val="16"/>
          <w:szCs w:val="16"/>
        </w:rPr>
      </w:pPr>
    </w:p>
    <w:p w14:paraId="0642CFAF" w14:textId="5B81E4C0" w:rsidR="003553F1" w:rsidRPr="00051FFE" w:rsidRDefault="003553F1" w:rsidP="00F84BE6">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1701"/>
          <w:tab w:val="center" w:pos="3136"/>
          <w:tab w:val="center" w:pos="4536"/>
          <w:tab w:val="center" w:pos="5812"/>
          <w:tab w:val="center" w:pos="7371"/>
        </w:tabs>
        <w:spacing w:after="60"/>
        <w:rPr>
          <w:rFonts w:ascii="Segoe UI Light" w:hAnsi="Segoe UI Light"/>
          <w:sz w:val="16"/>
          <w:szCs w:val="16"/>
        </w:rPr>
      </w:pPr>
      <w:r w:rsidRPr="00244A1D">
        <w:rPr>
          <w:rFonts w:ascii="Segoe UI Light" w:hAnsi="Segoe UI Light"/>
          <w:b/>
          <w:sz w:val="16"/>
          <w:szCs w:val="16"/>
        </w:rPr>
        <w:tab/>
      </w:r>
      <w:r w:rsidRPr="00244A1D">
        <w:rPr>
          <w:rFonts w:ascii="Segoe UI Light" w:hAnsi="Segoe UI Light"/>
          <w:b/>
          <w:sz w:val="16"/>
          <w:szCs w:val="16"/>
        </w:rPr>
        <w:tab/>
      </w:r>
      <w:r w:rsidRPr="00244A1D">
        <w:rPr>
          <w:rFonts w:ascii="Segoe UI Light" w:hAnsi="Segoe UI Light"/>
          <w:b/>
          <w:sz w:val="16"/>
          <w:szCs w:val="16"/>
        </w:rPr>
        <w:tab/>
      </w:r>
      <w:r w:rsidRPr="00051FFE">
        <w:rPr>
          <w:rFonts w:ascii="Segoe UI Light" w:hAnsi="Segoe UI Light"/>
          <w:b/>
          <w:sz w:val="16"/>
          <w:szCs w:val="16"/>
        </w:rPr>
        <w:t>Automatizācijas iespējamība profesiju griezumā</w:t>
      </w:r>
      <w:r w:rsidRPr="00051FFE">
        <w:rPr>
          <w:rFonts w:ascii="Segoe UI Light" w:hAnsi="Segoe UI Light"/>
          <w:b/>
          <w:sz w:val="16"/>
          <w:szCs w:val="16"/>
        </w:rPr>
        <w:br/>
      </w:r>
      <w:r w:rsidRPr="00051FFE">
        <w:rPr>
          <w:rFonts w:ascii="Segoe UI Light" w:hAnsi="Segoe UI Light"/>
          <w:sz w:val="16"/>
          <w:szCs w:val="16"/>
        </w:rPr>
        <w:tab/>
        <w:t>Vismazāk ietekmētās</w:t>
      </w:r>
      <w:r w:rsidRPr="00051FFE">
        <w:rPr>
          <w:rFonts w:ascii="Segoe UI Light" w:hAnsi="Segoe UI Light"/>
          <w:sz w:val="16"/>
          <w:szCs w:val="16"/>
        </w:rPr>
        <w:tab/>
      </w:r>
      <w:r w:rsidRPr="00051FFE">
        <w:rPr>
          <w:rFonts w:ascii="Segoe UI Light" w:hAnsi="Segoe UI Light"/>
          <w:b/>
          <w:sz w:val="16"/>
          <w:szCs w:val="16"/>
        </w:rPr>
        <w:t>I</w:t>
      </w:r>
      <w:r w:rsidRPr="00051FFE">
        <w:rPr>
          <w:rFonts w:ascii="Segoe UI Light" w:hAnsi="Segoe UI Light"/>
          <w:b/>
          <w:sz w:val="16"/>
          <w:szCs w:val="16"/>
        </w:rPr>
        <w:tab/>
      </w:r>
      <w:r w:rsidRPr="00051FFE">
        <w:rPr>
          <w:rFonts w:ascii="Segoe UI Light" w:hAnsi="Segoe UI Light"/>
          <w:sz w:val="16"/>
          <w:szCs w:val="16"/>
        </w:rPr>
        <w:t>Būtiski transformētās</w:t>
      </w:r>
      <w:r w:rsidRPr="00051FFE">
        <w:rPr>
          <w:rFonts w:ascii="Segoe UI Light" w:hAnsi="Segoe UI Light"/>
          <w:sz w:val="16"/>
          <w:szCs w:val="16"/>
        </w:rPr>
        <w:tab/>
      </w:r>
      <w:r w:rsidRPr="00051FFE">
        <w:rPr>
          <w:rFonts w:ascii="Segoe UI Light" w:hAnsi="Segoe UI Light"/>
          <w:b/>
          <w:sz w:val="16"/>
          <w:szCs w:val="16"/>
        </w:rPr>
        <w:t>I</w:t>
      </w:r>
      <w:r w:rsidRPr="00051FFE">
        <w:rPr>
          <w:rFonts w:ascii="Segoe UI Light" w:hAnsi="Segoe UI Light"/>
          <w:b/>
          <w:sz w:val="16"/>
          <w:szCs w:val="16"/>
        </w:rPr>
        <w:tab/>
      </w:r>
      <w:r w:rsidRPr="00051FFE">
        <w:rPr>
          <w:rFonts w:ascii="Segoe UI Light" w:hAnsi="Segoe UI Light"/>
          <w:sz w:val="16"/>
          <w:szCs w:val="16"/>
        </w:rPr>
        <w:t>Visvairāk ietekmētās</w:t>
      </w:r>
    </w:p>
    <w:p w14:paraId="4C2612DD" w14:textId="77777777" w:rsidR="003553F1" w:rsidRPr="00FC6635"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bCs/>
          <w:iCs/>
          <w:sz w:val="16"/>
          <w:szCs w:val="16"/>
        </w:rPr>
      </w:pPr>
      <w:r w:rsidRPr="00FC6635">
        <w:rPr>
          <w:rFonts w:ascii="Segoe UI Light" w:hAnsi="Segoe UI Light" w:cs="Segoe UI Light"/>
          <w:bCs/>
          <w:iCs/>
          <w:noProof/>
          <w:sz w:val="16"/>
          <w:szCs w:val="16"/>
          <w:lang w:eastAsia="lv-LV"/>
        </w:rPr>
        <w:drawing>
          <wp:inline distT="0" distB="0" distL="0" distR="0" wp14:anchorId="6265D400" wp14:editId="02A9FE24">
            <wp:extent cx="5759450" cy="2880000"/>
            <wp:effectExtent l="0" t="0" r="0" b="0"/>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6BAE7B27" w14:textId="77777777" w:rsidR="003553F1" w:rsidRPr="00051FFE"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before="60" w:after="60"/>
        <w:jc w:val="both"/>
        <w:rPr>
          <w:rFonts w:ascii="Segoe UI Light" w:hAnsi="Segoe UI Light"/>
          <w:i/>
          <w:iCs/>
          <w:sz w:val="16"/>
          <w:szCs w:val="16"/>
          <w:lang w:val="en-GB"/>
        </w:rPr>
      </w:pPr>
      <w:r w:rsidRPr="00051FFE">
        <w:rPr>
          <w:rFonts w:ascii="Segoe UI Light" w:hAnsi="Segoe UI Light"/>
          <w:sz w:val="12"/>
          <w:szCs w:val="12"/>
        </w:rPr>
        <w:t>Avots:</w:t>
      </w:r>
      <w:r w:rsidRPr="00051FFE">
        <w:rPr>
          <w:rFonts w:ascii="Segoe UI Light" w:hAnsi="Segoe UI Light"/>
          <w:i/>
          <w:sz w:val="12"/>
          <w:szCs w:val="12"/>
        </w:rPr>
        <w:t xml:space="preserve"> </w:t>
      </w:r>
      <w:r w:rsidRPr="00051FFE">
        <w:rPr>
          <w:rFonts w:ascii="Segoe UI Light" w:hAnsi="Segoe UI Light"/>
          <w:i/>
          <w:sz w:val="12"/>
          <w:szCs w:val="12"/>
          <w:lang w:val="en-GB"/>
        </w:rPr>
        <w:t>European Commission (2019), The changing nature of work and skills in the digital age</w:t>
      </w:r>
    </w:p>
    <w:p w14:paraId="7D5FEE88" w14:textId="7A48E6A0" w:rsidR="00606052" w:rsidRDefault="00606052"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
          <w:bCs/>
          <w:sz w:val="16"/>
          <w:szCs w:val="16"/>
        </w:rPr>
      </w:pPr>
    </w:p>
    <w:p w14:paraId="644EC660" w14:textId="77777777" w:rsidR="003553F1"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eastAsia="Segoe UI Light" w:hAnsi="Segoe UI Light" w:cs="Segoe UI Light"/>
          <w:sz w:val="16"/>
          <w:szCs w:val="16"/>
        </w:rPr>
      </w:pPr>
      <w:r w:rsidRPr="3BF292BA">
        <w:rPr>
          <w:rFonts w:ascii="Segoe UI Light" w:hAnsi="Segoe UI Light"/>
          <w:b/>
          <w:bCs/>
          <w:sz w:val="16"/>
          <w:szCs w:val="16"/>
        </w:rPr>
        <w:t xml:space="preserve">Automatizācija visvairāk ietekmē rūpniecību. </w:t>
      </w:r>
      <w:r w:rsidRPr="3BF292BA">
        <w:rPr>
          <w:rFonts w:ascii="Segoe UI Light" w:eastAsia="Segoe UI Light" w:hAnsi="Segoe UI Light" w:cs="Segoe UI Light"/>
          <w:color w:val="000000" w:themeColor="text1"/>
          <w:sz w:val="16"/>
          <w:szCs w:val="16"/>
        </w:rPr>
        <w:t xml:space="preserve">Šī nozare piedzīvo strukturālas izmaiņas darbaspēka prasībās, it īpaši virzībā uz enerģijas efektīvu automobiļu ražošanu. </w:t>
      </w:r>
      <w:proofErr w:type="spellStart"/>
      <w:r w:rsidRPr="3BF292BA">
        <w:rPr>
          <w:rFonts w:ascii="Segoe UI Light" w:eastAsia="Segoe UI Light" w:hAnsi="Segoe UI Light" w:cs="Segoe UI Light"/>
          <w:color w:val="000000" w:themeColor="text1"/>
          <w:sz w:val="16"/>
          <w:szCs w:val="16"/>
        </w:rPr>
        <w:t>Elektroautomobiļu</w:t>
      </w:r>
      <w:proofErr w:type="spellEnd"/>
      <w:r w:rsidRPr="3BF292BA">
        <w:rPr>
          <w:rFonts w:ascii="Segoe UI Light" w:eastAsia="Segoe UI Light" w:hAnsi="Segoe UI Light" w:cs="Segoe UI Light"/>
          <w:color w:val="000000" w:themeColor="text1"/>
          <w:sz w:val="16"/>
          <w:szCs w:val="16"/>
        </w:rPr>
        <w:t xml:space="preserve"> ražošana, būdama mazāk darbietilpīga, samazinās montāžas līniju darba vietu skaitu, bet pieprasījums pēc šiem transportlīdzekļiem veicinās jaunas darba vietas pētniecībā, attīstībā un augstākās vadības amatos apstrādes rūpniecībā. Augs pieprasījums pēc </w:t>
      </w:r>
      <w:proofErr w:type="spellStart"/>
      <w:r w:rsidRPr="3BF292BA">
        <w:rPr>
          <w:rFonts w:ascii="Segoe UI Light" w:eastAsia="Segoe UI Light" w:hAnsi="Segoe UI Light" w:cs="Segoe UI Light"/>
          <w:color w:val="000000" w:themeColor="text1"/>
          <w:sz w:val="16"/>
          <w:szCs w:val="16"/>
        </w:rPr>
        <w:t>materiālzinātnes</w:t>
      </w:r>
      <w:proofErr w:type="spellEnd"/>
      <w:r w:rsidRPr="3BF292BA">
        <w:rPr>
          <w:rFonts w:ascii="Segoe UI Light" w:eastAsia="Segoe UI Light" w:hAnsi="Segoe UI Light" w:cs="Segoe UI Light"/>
          <w:color w:val="000000" w:themeColor="text1"/>
          <w:sz w:val="16"/>
          <w:szCs w:val="16"/>
        </w:rPr>
        <w:t xml:space="preserve"> speciālistiem, </w:t>
      </w:r>
      <w:proofErr w:type="spellStart"/>
      <w:r w:rsidRPr="3BF292BA">
        <w:rPr>
          <w:rFonts w:ascii="Segoe UI Light" w:eastAsia="Segoe UI Light" w:hAnsi="Segoe UI Light" w:cs="Segoe UI Light"/>
          <w:color w:val="000000" w:themeColor="text1"/>
          <w:sz w:val="16"/>
          <w:szCs w:val="16"/>
        </w:rPr>
        <w:t>datoranalītiķiem</w:t>
      </w:r>
      <w:proofErr w:type="spellEnd"/>
      <w:r w:rsidRPr="3BF292BA">
        <w:rPr>
          <w:rFonts w:ascii="Segoe UI Light" w:eastAsia="Segoe UI Light" w:hAnsi="Segoe UI Light" w:cs="Segoe UI Light"/>
          <w:color w:val="000000" w:themeColor="text1"/>
          <w:sz w:val="16"/>
          <w:szCs w:val="16"/>
        </w:rPr>
        <w:t xml:space="preserve"> un inženieriem, lai atbalstītu pāreju uz </w:t>
      </w:r>
      <w:proofErr w:type="spellStart"/>
      <w:r w:rsidRPr="3BF292BA">
        <w:rPr>
          <w:rFonts w:ascii="Segoe UI Light" w:eastAsia="Segoe UI Light" w:hAnsi="Segoe UI Light" w:cs="Segoe UI Light"/>
          <w:color w:val="000000" w:themeColor="text1"/>
          <w:sz w:val="16"/>
          <w:szCs w:val="16"/>
        </w:rPr>
        <w:t>digitalizētu</w:t>
      </w:r>
      <w:proofErr w:type="spellEnd"/>
      <w:r w:rsidRPr="3BF292BA">
        <w:rPr>
          <w:rFonts w:ascii="Segoe UI Light" w:eastAsia="Segoe UI Light" w:hAnsi="Segoe UI Light" w:cs="Segoe UI Light"/>
          <w:color w:val="000000" w:themeColor="text1"/>
          <w:sz w:val="16"/>
          <w:szCs w:val="16"/>
        </w:rPr>
        <w:t xml:space="preserve"> ražošanu (Industrija 4.0), savienojot autobūves un IKT nozares. Tas novedīs pie zemas un vidējas kvalifikācijas darbavietu samazinājuma.</w:t>
      </w:r>
    </w:p>
    <w:p w14:paraId="3D1D2B2A" w14:textId="06B5E73F" w:rsidR="003553F1" w:rsidRPr="000E58D4"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i/>
          <w:sz w:val="16"/>
          <w:szCs w:val="16"/>
        </w:rPr>
      </w:pPr>
      <w:r w:rsidRPr="1765FC69">
        <w:rPr>
          <w:rFonts w:ascii="Segoe UI Light" w:hAnsi="Segoe UI Light"/>
          <w:b/>
          <w:i/>
          <w:sz w:val="16"/>
          <w:szCs w:val="16"/>
        </w:rPr>
        <w:t>Automatizācijai vairāk pakļautas tās profesijas, kurās nepieciešama salīdzinoši zema līmeņa formālā izglītība vai nav nepieciešams iesaistīties kompleksās sociālās mijiedarbībās</w:t>
      </w:r>
      <w:r w:rsidRPr="1765FC69">
        <w:rPr>
          <w:rFonts w:ascii="Segoe UI Light" w:hAnsi="Segoe UI Light"/>
          <w:i/>
          <w:sz w:val="16"/>
          <w:szCs w:val="16"/>
        </w:rPr>
        <w:t>, tādās kā citu pārliecināšana, citu mācība, vadīšana, aprūpe, asistēšana, kā arī profesijas, kurās tiek veikts rutīnas manuāls darbs. Savukārt tehnoloģiju attīstība mazāk ietekmēs tās profesijas, kurās nepieciešams augsts izglītības līmenis, augsta sociālā mijiedarbība un spējas vadīt, plānot un koordinēt sarežģīto vidi/apstākļus.</w:t>
      </w:r>
    </w:p>
    <w:p w14:paraId="230DBF61" w14:textId="77777777" w:rsidR="003553F1" w:rsidRPr="000E58D4"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i/>
          <w:sz w:val="16"/>
          <w:szCs w:val="16"/>
        </w:rPr>
      </w:pPr>
      <w:r w:rsidRPr="1765FC69">
        <w:rPr>
          <w:rFonts w:ascii="Segoe UI Light" w:hAnsi="Segoe UI Light"/>
          <w:b/>
          <w:i/>
          <w:sz w:val="16"/>
          <w:szCs w:val="16"/>
        </w:rPr>
        <w:t>Tehnoloģijas var iznīcināt dažas darba vietas un radīt jaunas, bet to lielākā ietekme ir uz darba satura transformāciju</w:t>
      </w:r>
      <w:r w:rsidRPr="1765FC69">
        <w:rPr>
          <w:rFonts w:ascii="Segoe UI Light" w:hAnsi="Segoe UI Light"/>
          <w:i/>
          <w:sz w:val="16"/>
          <w:szCs w:val="16"/>
        </w:rPr>
        <w:t>. Nepieciešamība papildināt digitālās prasmes ar citām tehniskām, un kas ir ne mazāk svarīgi, arī personīgām un uzvedības prasmēm, norāda uz to, ka cilvēki un tehnoloģijas papildina viens otru. Tehnoloģijas var izpildīt uzdevumus un ātri savākt un sintezēt datus, bet cilvēkam ir jāizlemj kāds būs uzdevums un ko šie dati nozīmē.</w:t>
      </w:r>
    </w:p>
    <w:p w14:paraId="6173ACE6" w14:textId="77777777" w:rsidR="003553F1"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i/>
          <w:sz w:val="16"/>
          <w:szCs w:val="16"/>
        </w:rPr>
      </w:pPr>
      <w:r w:rsidRPr="1765FC69">
        <w:rPr>
          <w:rFonts w:ascii="Segoe UI Light" w:hAnsi="Segoe UI Light"/>
          <w:b/>
          <w:i/>
          <w:sz w:val="16"/>
          <w:szCs w:val="16"/>
        </w:rPr>
        <w:t>Mainīsies ne tikai darbu saturs, bet arī tā forma.</w:t>
      </w:r>
      <w:r w:rsidRPr="1765FC69">
        <w:rPr>
          <w:rFonts w:ascii="Segoe UI Light" w:hAnsi="Segoe UI Light"/>
          <w:i/>
          <w:sz w:val="16"/>
          <w:szCs w:val="16"/>
        </w:rPr>
        <w:t xml:space="preserve"> Aizvien vairāk pieaugs pusslodzes darbs, gabaldarbs un pieaugs </w:t>
      </w:r>
      <w:proofErr w:type="spellStart"/>
      <w:r w:rsidRPr="1765FC69">
        <w:rPr>
          <w:rFonts w:ascii="Segoe UI Light" w:hAnsi="Segoe UI Light"/>
          <w:i/>
          <w:sz w:val="16"/>
          <w:szCs w:val="16"/>
        </w:rPr>
        <w:t>pašnodarbināto</w:t>
      </w:r>
      <w:proofErr w:type="spellEnd"/>
      <w:r w:rsidRPr="1765FC69">
        <w:rPr>
          <w:rFonts w:ascii="Segoe UI Light" w:hAnsi="Segoe UI Light"/>
          <w:i/>
          <w:sz w:val="16"/>
          <w:szCs w:val="16"/>
        </w:rPr>
        <w:t xml:space="preserve"> īpatsvars, savukārt samazināsies pilna laika slodze. Darbs kļūs elastīgāks, bet līdz ar to arī nedrošāks, nestabilāks.</w:t>
      </w:r>
    </w:p>
    <w:p w14:paraId="1EBD2F94" w14:textId="77777777" w:rsidR="003F161B" w:rsidRDefault="003F161B" w:rsidP="003F161B">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
          <w:color w:val="000000" w:themeColor="text1"/>
          <w:sz w:val="16"/>
          <w:szCs w:val="16"/>
        </w:rPr>
      </w:pPr>
    </w:p>
    <w:p w14:paraId="32DB356F" w14:textId="66C7EC32" w:rsidR="003F161B" w:rsidRPr="000E58D4" w:rsidRDefault="003F161B" w:rsidP="003F161B">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
          <w:color w:val="000000" w:themeColor="text1"/>
          <w:sz w:val="16"/>
          <w:szCs w:val="16"/>
        </w:rPr>
      </w:pPr>
      <w:r w:rsidRPr="4C809F42">
        <w:rPr>
          <w:rFonts w:ascii="Segoe UI Light" w:hAnsi="Segoe UI Light"/>
          <w:b/>
          <w:color w:val="000000" w:themeColor="text1"/>
          <w:sz w:val="16"/>
          <w:szCs w:val="16"/>
        </w:rPr>
        <w:t>Darbavietu automatizācija ES</w:t>
      </w:r>
    </w:p>
    <w:p w14:paraId="1E9DA650" w14:textId="77777777" w:rsidR="003F161B" w:rsidRPr="000E58D4" w:rsidRDefault="003F161B" w:rsidP="003F161B">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74DFF377">
        <w:rPr>
          <w:rFonts w:ascii="Segoe UI Light" w:hAnsi="Segoe UI Light"/>
          <w:sz w:val="16"/>
          <w:szCs w:val="16"/>
        </w:rPr>
        <w:t xml:space="preserve">Saskaņā ar </w:t>
      </w:r>
      <w:proofErr w:type="spellStart"/>
      <w:r w:rsidRPr="74DFF377">
        <w:rPr>
          <w:rFonts w:ascii="Segoe UI Light" w:hAnsi="Segoe UI Light"/>
          <w:sz w:val="16"/>
          <w:szCs w:val="16"/>
        </w:rPr>
        <w:t>Cedefop</w:t>
      </w:r>
      <w:proofErr w:type="spellEnd"/>
      <w:r w:rsidRPr="74DFF377">
        <w:rPr>
          <w:rFonts w:ascii="Segoe UI Light" w:hAnsi="Segoe UI Light"/>
          <w:sz w:val="16"/>
          <w:szCs w:val="16"/>
        </w:rPr>
        <w:t xml:space="preserve"> datiem, 2022. gadā kvalificētu strādnieku un amatnieku, iekārtu un mašīnu operatoru un montieru, kā arī lauksaimniecības profesiju grupās bija vislielākais nodarbināto īpatsvars, kuru darbs ir ar augstāko automatizācijas risku. Pastāv daudz darbi, kuru izpilde tikai daļēji var tikt automatizēta. Vismazākais automatizācijas risks ir augstas kvalifikācijas profesijās, tādās kā vadītāji, apkalpotāji un speciālisti. Vadītāju profesiju grupā tikai 2-4% darbu ir uzskatāmi par automatizējamiem. Arī speciālistu profesiju grupā ir zems automatizācijas riskam pakļauto nodarbināto īpatsvars. Grūtāk aizvietot būs IKT jomā strādājošos un veselības jomas speciālistus.</w:t>
      </w:r>
    </w:p>
    <w:p w14:paraId="60B16AE5" w14:textId="77777777" w:rsidR="00606052" w:rsidRDefault="00606052">
      <w:pPr>
        <w:spacing w:after="0"/>
        <w:rPr>
          <w:rFonts w:ascii="Segoe UI Light" w:hAnsi="Segoe UI Light"/>
          <w:b/>
          <w:color w:val="000000" w:themeColor="text1"/>
          <w:sz w:val="16"/>
          <w:szCs w:val="16"/>
        </w:rPr>
      </w:pPr>
      <w:r>
        <w:rPr>
          <w:rFonts w:ascii="Segoe UI Light" w:hAnsi="Segoe UI Light"/>
          <w:b/>
          <w:color w:val="000000" w:themeColor="text1"/>
          <w:sz w:val="16"/>
          <w:szCs w:val="16"/>
        </w:rPr>
        <w:br w:type="page"/>
      </w:r>
    </w:p>
    <w:p w14:paraId="67A71EF0" w14:textId="77777777" w:rsidR="00606052" w:rsidRPr="000F4F82" w:rsidRDefault="00606052" w:rsidP="00606052">
      <w:pPr>
        <w:spacing w:after="120"/>
        <w:jc w:val="right"/>
        <w:rPr>
          <w:szCs w:val="20"/>
        </w:rPr>
      </w:pPr>
      <w:r w:rsidRPr="000F4F82">
        <w:rPr>
          <w:szCs w:val="20"/>
        </w:rPr>
        <w:lastRenderedPageBreak/>
        <w:t>Ielikuma turpinājums</w:t>
      </w:r>
    </w:p>
    <w:p w14:paraId="4A6134F5" w14:textId="4549008A" w:rsidR="003553F1"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center"/>
        <w:rPr>
          <w:noProof/>
        </w:rPr>
      </w:pPr>
      <w:r w:rsidRPr="00E75D55">
        <w:rPr>
          <w:rFonts w:ascii="Segoe UI Light" w:hAnsi="Segoe UI Light"/>
          <w:b/>
          <w:sz w:val="16"/>
          <w:szCs w:val="16"/>
        </w:rPr>
        <w:t xml:space="preserve">Darbinieku īpatsvars ES ar augstu automatizācijas risku pa profesiju </w:t>
      </w:r>
      <w:proofErr w:type="spellStart"/>
      <w:r w:rsidRPr="00E75D55">
        <w:rPr>
          <w:rFonts w:ascii="Segoe UI Light" w:hAnsi="Segoe UI Light"/>
          <w:b/>
          <w:sz w:val="16"/>
          <w:szCs w:val="16"/>
        </w:rPr>
        <w:t>pamatgrupām</w:t>
      </w:r>
      <w:proofErr w:type="spellEnd"/>
      <w:r w:rsidRPr="00E75D55">
        <w:rPr>
          <w:rFonts w:ascii="Segoe UI Light" w:hAnsi="Segoe UI Light"/>
          <w:b/>
          <w:sz w:val="16"/>
          <w:szCs w:val="16"/>
        </w:rPr>
        <w:t xml:space="preserve"> 2022. gadā, </w:t>
      </w:r>
      <w:r w:rsidRPr="00E75D55">
        <w:br/>
      </w:r>
      <w:r w:rsidRPr="00E75D55">
        <w:rPr>
          <w:rFonts w:ascii="Segoe UI Light" w:hAnsi="Segoe UI Light"/>
          <w:sz w:val="16"/>
          <w:szCs w:val="16"/>
        </w:rPr>
        <w:t>procentos no kopējā nodarbināto skaita profesijā</w:t>
      </w:r>
    </w:p>
    <w:p w14:paraId="3D75D937" w14:textId="1861CFA2" w:rsidR="00180563" w:rsidRPr="000C3B83" w:rsidRDefault="00180563" w:rsidP="006D525D">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851"/>
          <w:tab w:val="center" w:pos="1843"/>
          <w:tab w:val="center" w:pos="2977"/>
          <w:tab w:val="center" w:pos="3969"/>
          <w:tab w:val="center" w:pos="4760"/>
          <w:tab w:val="center" w:pos="5600"/>
          <w:tab w:val="center" w:pos="6453"/>
          <w:tab w:val="center" w:pos="7371"/>
          <w:tab w:val="center" w:pos="8222"/>
        </w:tabs>
        <w:spacing w:after="0"/>
        <w:rPr>
          <w:rFonts w:ascii="Segoe UI Light" w:hAnsi="Segoe UI Light"/>
          <w:sz w:val="12"/>
          <w:szCs w:val="12"/>
        </w:rPr>
      </w:pPr>
      <w:r w:rsidRPr="000C3B83">
        <w:rPr>
          <w:rFonts w:ascii="Segoe UI Light" w:hAnsi="Segoe UI Light"/>
          <w:sz w:val="12"/>
          <w:szCs w:val="12"/>
        </w:rPr>
        <w:tab/>
      </w:r>
      <w:r w:rsidRPr="000C3B83">
        <w:rPr>
          <w:rFonts w:ascii="Segoe UI Light" w:hAnsi="Segoe UI Light"/>
          <w:sz w:val="12"/>
          <w:szCs w:val="12"/>
        </w:rPr>
        <w:tab/>
      </w:r>
      <w:r w:rsidRPr="000C3B83">
        <w:rPr>
          <w:rFonts w:ascii="Segoe UI Light" w:hAnsi="Segoe UI Light"/>
          <w:sz w:val="12"/>
          <w:szCs w:val="12"/>
        </w:rPr>
        <w:tab/>
      </w:r>
      <w:r w:rsidRPr="000C3B83">
        <w:rPr>
          <w:rFonts w:ascii="Segoe UI Light" w:hAnsi="Segoe UI Light"/>
          <w:sz w:val="12"/>
          <w:szCs w:val="12"/>
        </w:rPr>
        <w:tab/>
      </w:r>
      <w:r w:rsidRPr="000C3B83">
        <w:rPr>
          <w:rFonts w:ascii="Segoe UI Light" w:hAnsi="Segoe UI Light"/>
          <w:sz w:val="12"/>
          <w:szCs w:val="12"/>
        </w:rPr>
        <w:tab/>
      </w:r>
      <w:r w:rsidR="00DF6FC9" w:rsidRPr="000C3B83">
        <w:rPr>
          <w:rFonts w:ascii="Segoe UI Light" w:hAnsi="Segoe UI Light"/>
          <w:sz w:val="12"/>
          <w:szCs w:val="12"/>
        </w:rPr>
        <w:t>Pakalpojumu</w:t>
      </w:r>
      <w:r w:rsidR="000C3B83">
        <w:rPr>
          <w:rFonts w:ascii="Segoe UI Light" w:hAnsi="Segoe UI Light"/>
          <w:sz w:val="12"/>
          <w:szCs w:val="12"/>
        </w:rPr>
        <w:t xml:space="preserve"> un</w:t>
      </w:r>
      <w:r w:rsidR="00DF6FC9" w:rsidRPr="000C3B83">
        <w:rPr>
          <w:rFonts w:ascii="Segoe UI Light" w:hAnsi="Segoe UI Light"/>
          <w:sz w:val="12"/>
          <w:szCs w:val="12"/>
        </w:rPr>
        <w:tab/>
        <w:t>Kvalificēti</w:t>
      </w:r>
      <w:r w:rsidR="00DF6FC9" w:rsidRPr="000C3B83">
        <w:rPr>
          <w:rFonts w:ascii="Segoe UI Light" w:hAnsi="Segoe UI Light"/>
          <w:sz w:val="12"/>
          <w:szCs w:val="12"/>
        </w:rPr>
        <w:tab/>
      </w:r>
      <w:proofErr w:type="spellStart"/>
      <w:r w:rsidR="00421E05" w:rsidRPr="000C3B83">
        <w:rPr>
          <w:rFonts w:ascii="Segoe UI Light" w:hAnsi="Segoe UI Light"/>
          <w:sz w:val="12"/>
          <w:szCs w:val="12"/>
        </w:rPr>
        <w:t>Kvalificēti</w:t>
      </w:r>
      <w:proofErr w:type="spellEnd"/>
      <w:r w:rsidR="00DF6FC9" w:rsidRPr="000C3B83">
        <w:rPr>
          <w:rFonts w:ascii="Segoe UI Light" w:hAnsi="Segoe UI Light"/>
          <w:sz w:val="12"/>
          <w:szCs w:val="12"/>
        </w:rPr>
        <w:tab/>
      </w:r>
      <w:r w:rsidR="003621B0">
        <w:rPr>
          <w:rFonts w:ascii="Segoe UI Light" w:hAnsi="Segoe UI Light"/>
          <w:sz w:val="12"/>
          <w:szCs w:val="12"/>
        </w:rPr>
        <w:t xml:space="preserve">Iekārtu un </w:t>
      </w:r>
      <w:r w:rsidR="00DF6FC9" w:rsidRPr="000C3B83">
        <w:rPr>
          <w:rFonts w:ascii="Segoe UI Light" w:hAnsi="Segoe UI Light"/>
          <w:sz w:val="12"/>
          <w:szCs w:val="12"/>
        </w:rPr>
        <w:tab/>
      </w:r>
      <w:r w:rsidR="009F3115" w:rsidRPr="000C3B83">
        <w:rPr>
          <w:rFonts w:ascii="Segoe UI Light" w:hAnsi="Segoe UI Light"/>
          <w:sz w:val="12"/>
          <w:szCs w:val="12"/>
        </w:rPr>
        <w:br/>
      </w:r>
      <w:r w:rsidR="009F3115" w:rsidRPr="000C3B83">
        <w:rPr>
          <w:rFonts w:ascii="Segoe UI Light" w:hAnsi="Segoe UI Light"/>
          <w:sz w:val="12"/>
          <w:szCs w:val="12"/>
        </w:rPr>
        <w:tab/>
      </w:r>
      <w:r w:rsidR="009F3115" w:rsidRPr="000C3B83">
        <w:rPr>
          <w:rFonts w:ascii="Segoe UI Light" w:hAnsi="Segoe UI Light"/>
          <w:sz w:val="12"/>
          <w:szCs w:val="12"/>
        </w:rPr>
        <w:tab/>
      </w:r>
      <w:r w:rsidR="003621B0" w:rsidRPr="000C3B83">
        <w:rPr>
          <w:rFonts w:ascii="Segoe UI Light" w:hAnsi="Segoe UI Light"/>
          <w:sz w:val="12"/>
          <w:szCs w:val="12"/>
        </w:rPr>
        <w:t>Vecākie</w:t>
      </w:r>
      <w:r w:rsidR="00DF6FC9" w:rsidRPr="000C3B83">
        <w:rPr>
          <w:rFonts w:ascii="Segoe UI Light" w:hAnsi="Segoe UI Light"/>
          <w:sz w:val="12"/>
          <w:szCs w:val="12"/>
        </w:rPr>
        <w:tab/>
      </w:r>
      <w:r w:rsidR="00DF6FC9" w:rsidRPr="000C3B83">
        <w:rPr>
          <w:rFonts w:ascii="Segoe UI Light" w:hAnsi="Segoe UI Light"/>
          <w:sz w:val="12"/>
          <w:szCs w:val="12"/>
        </w:rPr>
        <w:tab/>
      </w:r>
      <w:r w:rsidR="00DF6FC9" w:rsidRPr="000C3B83">
        <w:rPr>
          <w:rFonts w:ascii="Segoe UI Light" w:hAnsi="Segoe UI Light"/>
          <w:sz w:val="12"/>
          <w:szCs w:val="12"/>
        </w:rPr>
        <w:tab/>
        <w:t>tirdzniecības</w:t>
      </w:r>
      <w:r w:rsidR="000C3B83">
        <w:rPr>
          <w:rFonts w:ascii="Segoe UI Light" w:hAnsi="Segoe UI Light"/>
          <w:sz w:val="12"/>
          <w:szCs w:val="12"/>
        </w:rPr>
        <w:tab/>
        <w:t xml:space="preserve"> </w:t>
      </w:r>
      <w:r w:rsidR="00DF6FC9" w:rsidRPr="000C3B83">
        <w:rPr>
          <w:rFonts w:ascii="Segoe UI Light" w:hAnsi="Segoe UI Light"/>
          <w:sz w:val="12"/>
          <w:szCs w:val="12"/>
        </w:rPr>
        <w:t>lauksaimniecī</w:t>
      </w:r>
      <w:r w:rsidR="000C3B83" w:rsidRPr="000C3B83">
        <w:rPr>
          <w:rFonts w:ascii="Segoe UI Light" w:hAnsi="Segoe UI Light"/>
          <w:sz w:val="12"/>
          <w:szCs w:val="12"/>
        </w:rPr>
        <w:t>bas</w:t>
      </w:r>
      <w:r w:rsidR="00DF6FC9" w:rsidRPr="000C3B83">
        <w:rPr>
          <w:rFonts w:ascii="Segoe UI Light" w:hAnsi="Segoe UI Light"/>
          <w:sz w:val="12"/>
          <w:szCs w:val="12"/>
        </w:rPr>
        <w:tab/>
      </w:r>
      <w:r w:rsidR="00421E05">
        <w:rPr>
          <w:rFonts w:ascii="Segoe UI Light" w:hAnsi="Segoe UI Light"/>
          <w:sz w:val="12"/>
          <w:szCs w:val="12"/>
        </w:rPr>
        <w:t>strādnieki</w:t>
      </w:r>
      <w:r w:rsidR="00DF6FC9" w:rsidRPr="000C3B83">
        <w:rPr>
          <w:rFonts w:ascii="Segoe UI Light" w:hAnsi="Segoe UI Light"/>
          <w:sz w:val="12"/>
          <w:szCs w:val="12"/>
        </w:rPr>
        <w:tab/>
      </w:r>
      <w:r w:rsidR="003621B0">
        <w:rPr>
          <w:rFonts w:ascii="Segoe UI Light" w:hAnsi="Segoe UI Light"/>
          <w:sz w:val="12"/>
          <w:szCs w:val="12"/>
        </w:rPr>
        <w:t>mašīnu</w:t>
      </w:r>
      <w:r w:rsidR="00DF6FC9" w:rsidRPr="000C3B83">
        <w:rPr>
          <w:rFonts w:ascii="Segoe UI Light" w:hAnsi="Segoe UI Light"/>
          <w:sz w:val="12"/>
          <w:szCs w:val="12"/>
        </w:rPr>
        <w:tab/>
      </w:r>
      <w:r w:rsidR="003621B0">
        <w:rPr>
          <w:rFonts w:ascii="Segoe UI Light" w:hAnsi="Segoe UI Light"/>
          <w:sz w:val="12"/>
          <w:szCs w:val="12"/>
        </w:rPr>
        <w:t>Vienkāršās</w:t>
      </w:r>
      <w:r w:rsidR="00DF6FC9" w:rsidRPr="000C3B83">
        <w:rPr>
          <w:rFonts w:ascii="Segoe UI Light" w:hAnsi="Segoe UI Light"/>
          <w:sz w:val="12"/>
          <w:szCs w:val="12"/>
        </w:rPr>
        <w:br/>
      </w:r>
      <w:r w:rsidR="00DF6FC9" w:rsidRPr="000C3B83">
        <w:rPr>
          <w:rFonts w:ascii="Segoe UI Light" w:hAnsi="Segoe UI Light"/>
          <w:sz w:val="12"/>
          <w:szCs w:val="12"/>
        </w:rPr>
        <w:tab/>
      </w:r>
      <w:r w:rsidR="003621B0" w:rsidRPr="000C3B83">
        <w:rPr>
          <w:rFonts w:ascii="Segoe UI Light" w:hAnsi="Segoe UI Light"/>
          <w:sz w:val="12"/>
          <w:szCs w:val="12"/>
        </w:rPr>
        <w:t>Vadītāji</w:t>
      </w:r>
      <w:r w:rsidR="00DF6FC9" w:rsidRPr="000C3B83">
        <w:rPr>
          <w:rFonts w:ascii="Segoe UI Light" w:hAnsi="Segoe UI Light"/>
          <w:sz w:val="12"/>
          <w:szCs w:val="12"/>
        </w:rPr>
        <w:tab/>
      </w:r>
      <w:r w:rsidR="003621B0" w:rsidRPr="000C3B83">
        <w:rPr>
          <w:rFonts w:ascii="Segoe UI Light" w:hAnsi="Segoe UI Light"/>
          <w:sz w:val="12"/>
          <w:szCs w:val="12"/>
        </w:rPr>
        <w:t>speciālisti</w:t>
      </w:r>
      <w:r w:rsidR="00DF6FC9" w:rsidRPr="000C3B83">
        <w:rPr>
          <w:rFonts w:ascii="Segoe UI Light" w:hAnsi="Segoe UI Light"/>
          <w:sz w:val="12"/>
          <w:szCs w:val="12"/>
        </w:rPr>
        <w:tab/>
      </w:r>
      <w:proofErr w:type="spellStart"/>
      <w:r w:rsidR="003621B0" w:rsidRPr="000C3B83">
        <w:rPr>
          <w:rFonts w:ascii="Segoe UI Light" w:hAnsi="Segoe UI Light"/>
          <w:sz w:val="12"/>
          <w:szCs w:val="12"/>
        </w:rPr>
        <w:t>Speciālisti</w:t>
      </w:r>
      <w:proofErr w:type="spellEnd"/>
      <w:r w:rsidR="00DF6FC9" w:rsidRPr="000C3B83">
        <w:rPr>
          <w:rFonts w:ascii="Segoe UI Light" w:hAnsi="Segoe UI Light"/>
          <w:sz w:val="12"/>
          <w:szCs w:val="12"/>
        </w:rPr>
        <w:tab/>
      </w:r>
      <w:r w:rsidR="003621B0" w:rsidRPr="000C3B83">
        <w:rPr>
          <w:rFonts w:ascii="Segoe UI Light" w:hAnsi="Segoe UI Light"/>
          <w:sz w:val="12"/>
          <w:szCs w:val="12"/>
        </w:rPr>
        <w:t>Kalpotāji</w:t>
      </w:r>
      <w:r w:rsidR="00DF6FC9" w:rsidRPr="000C3B83">
        <w:rPr>
          <w:rFonts w:ascii="Segoe UI Light" w:hAnsi="Segoe UI Light"/>
          <w:sz w:val="12"/>
          <w:szCs w:val="12"/>
        </w:rPr>
        <w:tab/>
        <w:t>darbinieki</w:t>
      </w:r>
      <w:r w:rsidR="000C3B83" w:rsidRPr="000C3B83">
        <w:rPr>
          <w:rFonts w:ascii="Segoe UI Light" w:hAnsi="Segoe UI Light"/>
          <w:sz w:val="12"/>
          <w:szCs w:val="12"/>
        </w:rPr>
        <w:tab/>
      </w:r>
      <w:proofErr w:type="spellStart"/>
      <w:r w:rsidR="000C3B83" w:rsidRPr="000C3B83">
        <w:rPr>
          <w:rFonts w:ascii="Segoe UI Light" w:hAnsi="Segoe UI Light"/>
          <w:sz w:val="12"/>
          <w:szCs w:val="12"/>
        </w:rPr>
        <w:t>darbinieki</w:t>
      </w:r>
      <w:proofErr w:type="spellEnd"/>
      <w:r w:rsidR="00421E05">
        <w:rPr>
          <w:rFonts w:ascii="Segoe UI Light" w:hAnsi="Segoe UI Light"/>
          <w:sz w:val="12"/>
          <w:szCs w:val="12"/>
        </w:rPr>
        <w:tab/>
        <w:t>un amatnieki</w:t>
      </w:r>
      <w:r w:rsidR="003621B0">
        <w:rPr>
          <w:rFonts w:ascii="Segoe UI Light" w:hAnsi="Segoe UI Light"/>
          <w:sz w:val="12"/>
          <w:szCs w:val="12"/>
        </w:rPr>
        <w:tab/>
        <w:t>operatori</w:t>
      </w:r>
      <w:r w:rsidR="003621B0">
        <w:rPr>
          <w:rFonts w:ascii="Segoe UI Light" w:hAnsi="Segoe UI Light"/>
          <w:sz w:val="12"/>
          <w:szCs w:val="12"/>
        </w:rPr>
        <w:tab/>
        <w:t>profesijas</w:t>
      </w:r>
    </w:p>
    <w:p w14:paraId="0E396C4E" w14:textId="520BC6B2" w:rsidR="003553F1" w:rsidRDefault="003553F1" w:rsidP="00DF6FC9">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0"/>
        <w:jc w:val="center"/>
        <w:rPr>
          <w:rFonts w:ascii="Segoe UI Light" w:hAnsi="Segoe UI Light"/>
          <w:sz w:val="16"/>
          <w:szCs w:val="16"/>
        </w:rPr>
      </w:pPr>
      <w:r>
        <w:rPr>
          <w:noProof/>
        </w:rPr>
        <w:drawing>
          <wp:inline distT="0" distB="0" distL="0" distR="0" wp14:anchorId="0197FE39" wp14:editId="28D28A4F">
            <wp:extent cx="5760085" cy="2210400"/>
            <wp:effectExtent l="0" t="0" r="0" b="0"/>
            <wp:docPr id="228" name="Chart 228">
              <a:extLst xmlns:a="http://schemas.openxmlformats.org/drawingml/2006/main">
                <a:ext uri="{FF2B5EF4-FFF2-40B4-BE49-F238E27FC236}">
                  <a16:creationId xmlns:a16="http://schemas.microsoft.com/office/drawing/2014/main" id="{CE5719D1-9081-FF73-24B9-F525C8957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4BFCA2E2" w14:textId="77777777" w:rsidR="003553F1" w:rsidRPr="000E58D4" w:rsidRDefault="003553F1" w:rsidP="00CE7F7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rPr>
          <w:rFonts w:ascii="Segoe UI Light" w:hAnsi="Segoe UI Light"/>
          <w:sz w:val="16"/>
          <w:szCs w:val="16"/>
        </w:rPr>
      </w:pPr>
      <w:r w:rsidRPr="31603FAE">
        <w:rPr>
          <w:sz w:val="12"/>
          <w:szCs w:val="12"/>
        </w:rPr>
        <w:t>Avots: https://www.cedefop.europa.eu/en/tools/skills-intelligence/trend-focus/digitalization-and-technology#9</w:t>
      </w:r>
    </w:p>
    <w:p w14:paraId="13D5ED11" w14:textId="77777777" w:rsidR="00F85E1D" w:rsidRDefault="00F85E1D"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p>
    <w:p w14:paraId="2E9FB2FA" w14:textId="1C235DE5" w:rsidR="003553F1"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1E1AC41A">
        <w:rPr>
          <w:rFonts w:ascii="Segoe UI Light" w:hAnsi="Segoe UI Light"/>
          <w:sz w:val="16"/>
          <w:szCs w:val="16"/>
        </w:rPr>
        <w:t xml:space="preserve">Tehnoloģijas ne tikai pakļauj riskam noteiktas profesijas, bet rada arī jaunas darba vietas. Paredzams, ka lielākā daļa no jaunajiem darbiem (nodarbinātības pieaugums) ES, kas tiks izveidoti līdz 2030. gadam nav pakļauti automatizācijas riskam. Augošās nozares (nākotnes nodarbinātības ziņā) ar zemāko jauno darbu automatizācijas risku ir valsts pārvalde un aizsardzība, izglītība, IKT, elektrība un gāze. </w:t>
      </w:r>
    </w:p>
    <w:p w14:paraId="3FA1F5B7" w14:textId="77777777" w:rsidR="003553F1"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1E1AC41A">
        <w:rPr>
          <w:rFonts w:ascii="Segoe UI Light" w:hAnsi="Segoe UI Light"/>
          <w:sz w:val="16"/>
          <w:szCs w:val="16"/>
        </w:rPr>
        <w:t xml:space="preserve">Pretēja situācija ir ar aizvietojošo pieprasījumu. Lielākā daļa darba vietas, kurām nepieciešams zemas vai vidēja līmeņa kvalifikācijas tiks pakļautas automatizācijai, savukārt augstas kvalifikācijas profesijām būs pretēja tendence. Tas norāda uz prasmju pieprasījuma saistību ar jaunajām tehnoloģijām (darbinieki, kuriem būs jāstrādā ar tehnoloģijām būs galvenokārt augsti kvalificēti). Tomēr tas nenozīmē, ka visi augsta līmeņa darbi ir pasargāti no automatizācijas (piemēram, biznesa un administrācijas speciālisti.) </w:t>
      </w:r>
    </w:p>
    <w:p w14:paraId="435C3F9A" w14:textId="77777777" w:rsidR="003553F1"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p>
    <w:p w14:paraId="4500D3C8" w14:textId="5486CD91" w:rsidR="003553F1" w:rsidRDefault="00820D2E" w:rsidP="00820D2E">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center" w:pos="2268"/>
          <w:tab w:val="center" w:pos="6804"/>
        </w:tabs>
        <w:spacing w:after="60"/>
        <w:rPr>
          <w:rFonts w:ascii="Segoe UI Light" w:hAnsi="Segoe UI Light" w:cstheme="minorBidi"/>
          <w:sz w:val="16"/>
          <w:szCs w:val="16"/>
        </w:rPr>
      </w:pPr>
      <w:r>
        <w:rPr>
          <w:rFonts w:ascii="Segoe UI Light" w:hAnsi="Segoe UI Light" w:cstheme="minorBidi"/>
          <w:b/>
          <w:bCs/>
          <w:sz w:val="16"/>
          <w:szCs w:val="16"/>
        </w:rPr>
        <w:tab/>
      </w:r>
      <w:r w:rsidR="003553F1">
        <w:rPr>
          <w:rFonts w:ascii="Segoe UI Light" w:hAnsi="Segoe UI Light" w:cstheme="minorBidi"/>
          <w:b/>
          <w:bCs/>
          <w:sz w:val="16"/>
          <w:szCs w:val="16"/>
        </w:rPr>
        <w:t>Nozares</w:t>
      </w:r>
      <w:r w:rsidR="003553F1" w:rsidRPr="47D58989">
        <w:rPr>
          <w:rFonts w:ascii="Segoe UI Light" w:hAnsi="Segoe UI Light" w:cstheme="minorBidi"/>
          <w:b/>
          <w:bCs/>
          <w:sz w:val="16"/>
          <w:szCs w:val="16"/>
        </w:rPr>
        <w:t xml:space="preserve"> ar augstu automatizācijas risku </w:t>
      </w:r>
      <w:r>
        <w:rPr>
          <w:rFonts w:ascii="Segoe UI Light" w:hAnsi="Segoe UI Light" w:cstheme="minorBidi"/>
          <w:b/>
          <w:bCs/>
          <w:sz w:val="16"/>
          <w:szCs w:val="16"/>
        </w:rPr>
        <w:tab/>
      </w:r>
      <w:r w:rsidRPr="00820D2E">
        <w:rPr>
          <w:rFonts w:ascii="Segoe UI Light" w:hAnsi="Segoe UI Light" w:cstheme="minorBidi"/>
          <w:b/>
          <w:bCs/>
          <w:sz w:val="16"/>
          <w:szCs w:val="16"/>
        </w:rPr>
        <w:t>Automatizācijas riskam pakļauti darbi ES</w:t>
      </w:r>
      <w:r>
        <w:rPr>
          <w:rFonts w:ascii="Segoe UI Light" w:hAnsi="Segoe UI Light" w:cstheme="minorBidi"/>
          <w:b/>
          <w:bCs/>
          <w:sz w:val="16"/>
          <w:szCs w:val="16"/>
        </w:rPr>
        <w:t xml:space="preserve"> </w:t>
      </w:r>
      <w:r w:rsidRPr="00820D2E">
        <w:rPr>
          <w:rFonts w:ascii="Segoe UI Light" w:hAnsi="Segoe UI Light" w:cstheme="minorBidi"/>
          <w:b/>
          <w:bCs/>
          <w:sz w:val="16"/>
          <w:szCs w:val="16"/>
        </w:rPr>
        <w:t>līdz 2030. gadam</w:t>
      </w:r>
      <w:r w:rsidR="003553F1">
        <w:rPr>
          <w:rFonts w:ascii="Segoe UI Light" w:hAnsi="Segoe UI Light" w:cstheme="minorBidi"/>
          <w:b/>
          <w:bCs/>
          <w:sz w:val="16"/>
          <w:szCs w:val="16"/>
        </w:rPr>
        <w:br/>
      </w:r>
      <w:r>
        <w:rPr>
          <w:rFonts w:ascii="Segoe UI Light" w:hAnsi="Segoe UI Light" w:cstheme="minorBidi"/>
          <w:sz w:val="16"/>
          <w:szCs w:val="16"/>
        </w:rPr>
        <w:tab/>
      </w:r>
      <w:r w:rsidR="003553F1">
        <w:rPr>
          <w:rFonts w:ascii="Segoe UI Light" w:hAnsi="Segoe UI Light" w:cstheme="minorBidi"/>
          <w:sz w:val="16"/>
          <w:szCs w:val="16"/>
        </w:rPr>
        <w:t>p</w:t>
      </w:r>
      <w:r w:rsidR="003553F1" w:rsidRPr="3E453E81">
        <w:rPr>
          <w:rFonts w:ascii="Segoe UI Light" w:hAnsi="Segoe UI Light" w:cstheme="minorBidi"/>
          <w:sz w:val="16"/>
          <w:szCs w:val="16"/>
        </w:rPr>
        <w:t>rocentos</w:t>
      </w:r>
      <w:r w:rsidR="003553F1" w:rsidRPr="47D58989">
        <w:rPr>
          <w:rFonts w:ascii="Segoe UI Light" w:hAnsi="Segoe UI Light" w:cstheme="minorBidi"/>
          <w:sz w:val="16"/>
          <w:szCs w:val="16"/>
        </w:rPr>
        <w:t xml:space="preserve"> no nodarbinātajiem attiecīgajā nozarē</w:t>
      </w:r>
      <w:r>
        <w:rPr>
          <w:rFonts w:ascii="Segoe UI Light" w:hAnsi="Segoe UI Light" w:cstheme="minorBidi"/>
          <w:sz w:val="16"/>
          <w:szCs w:val="16"/>
        </w:rPr>
        <w:tab/>
      </w:r>
      <w:r w:rsidRPr="00820D2E">
        <w:rPr>
          <w:rFonts w:ascii="Segoe UI Light" w:hAnsi="Segoe UI Light" w:cstheme="minorBidi"/>
          <w:sz w:val="16"/>
          <w:szCs w:val="16"/>
        </w:rPr>
        <w:t>pa kvalifikācija līmeņiem</w:t>
      </w:r>
      <w:r>
        <w:rPr>
          <w:rFonts w:ascii="Segoe UI Light" w:hAnsi="Segoe UI Light" w:cstheme="minorBidi"/>
          <w:sz w:val="16"/>
          <w:szCs w:val="16"/>
        </w:rPr>
        <w:t>, procentos</w:t>
      </w:r>
    </w:p>
    <w:p w14:paraId="4BC97B85" w14:textId="76BE7CB4" w:rsidR="003553F1" w:rsidRDefault="003553F1" w:rsidP="006D525D">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rPr>
          <w:rFonts w:ascii="Segoe UI Light" w:hAnsi="Segoe UI Light" w:cstheme="minorBidi"/>
          <w:sz w:val="16"/>
          <w:szCs w:val="16"/>
        </w:rPr>
      </w:pPr>
      <w:r>
        <w:rPr>
          <w:rFonts w:ascii="Segoe UI Light" w:hAnsi="Segoe UI Light" w:cstheme="minorBidi"/>
          <w:noProof/>
          <w:sz w:val="16"/>
          <w:szCs w:val="16"/>
        </w:rPr>
        <w:drawing>
          <wp:inline distT="0" distB="0" distL="0" distR="0" wp14:anchorId="12490BD6" wp14:editId="3AEEF621">
            <wp:extent cx="2880000" cy="1800000"/>
            <wp:effectExtent l="0" t="0" r="0" b="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r w:rsidR="00820D2E" w:rsidRPr="000F4F82">
        <w:rPr>
          <w:rFonts w:asciiTheme="majorHAnsi" w:hAnsiTheme="majorHAnsi" w:cstheme="majorHAnsi"/>
          <w:b/>
          <w:bCs/>
          <w:noProof/>
          <w:szCs w:val="20"/>
        </w:rPr>
        <w:drawing>
          <wp:inline distT="0" distB="0" distL="0" distR="0" wp14:anchorId="208F5707" wp14:editId="0B6B510E">
            <wp:extent cx="2880000" cy="18000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0B946B52" w14:textId="19B6B9E0" w:rsidR="003553F1" w:rsidRPr="00104197" w:rsidRDefault="003553F1" w:rsidP="00104197">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before="60" w:after="60"/>
        <w:rPr>
          <w:rFonts w:ascii="Segoe UI Light" w:eastAsia="Segoe UI Light" w:hAnsi="Segoe UI Light" w:cs="Segoe UI Light"/>
          <w:sz w:val="12"/>
          <w:szCs w:val="12"/>
        </w:rPr>
      </w:pPr>
      <w:r w:rsidRPr="00104197">
        <w:rPr>
          <w:rFonts w:ascii="Segoe UI Light" w:eastAsia="Segoe UI Light" w:hAnsi="Segoe UI Light" w:cs="Segoe UI Light"/>
          <w:sz w:val="12"/>
          <w:szCs w:val="12"/>
        </w:rPr>
        <w:t xml:space="preserve">Avots: </w:t>
      </w:r>
      <w:hyperlink r:id="rId135">
        <w:r w:rsidRPr="00104197">
          <w:rPr>
            <w:rFonts w:ascii="Segoe UI Light" w:eastAsia="Segoe UI Light" w:hAnsi="Segoe UI Light" w:cs="Segoe UI Light"/>
            <w:sz w:val="12"/>
            <w:szCs w:val="12"/>
          </w:rPr>
          <w:t>https://www.cedefop.europa.eu/en/projects/digitalisation-and-future-work/automation-work-and-skills-2</w:t>
        </w:r>
      </w:hyperlink>
      <w:r w:rsidR="00104197" w:rsidRPr="00104197">
        <w:rPr>
          <w:rFonts w:ascii="Segoe UI Light" w:eastAsia="Segoe UI Light" w:hAnsi="Segoe UI Light" w:cs="Segoe UI Light"/>
          <w:sz w:val="12"/>
          <w:szCs w:val="12"/>
        </w:rPr>
        <w:t xml:space="preserve">; </w:t>
      </w:r>
      <w:proofErr w:type="spellStart"/>
      <w:r w:rsidR="00104197" w:rsidRPr="00104197">
        <w:rPr>
          <w:rFonts w:ascii="Segoe UI Light" w:hAnsi="Segoe UI Light"/>
          <w:sz w:val="12"/>
          <w:szCs w:val="12"/>
          <w:lang w:val="en-GB"/>
        </w:rPr>
        <w:t>Cedefop</w:t>
      </w:r>
      <w:proofErr w:type="spellEnd"/>
      <w:r w:rsidR="00104197" w:rsidRPr="00104197">
        <w:rPr>
          <w:rFonts w:ascii="Segoe UI Light" w:hAnsi="Segoe UI Light"/>
          <w:sz w:val="12"/>
          <w:szCs w:val="12"/>
          <w:lang w:val="en-GB"/>
        </w:rPr>
        <w:t xml:space="preserve"> (2021), Digital, greener and more resilient. Insight from </w:t>
      </w:r>
      <w:proofErr w:type="spellStart"/>
      <w:r w:rsidR="00104197" w:rsidRPr="00104197">
        <w:rPr>
          <w:rFonts w:ascii="Segoe UI Light" w:hAnsi="Segoe UI Light"/>
          <w:sz w:val="12"/>
          <w:szCs w:val="12"/>
          <w:lang w:val="en-GB"/>
        </w:rPr>
        <w:t>Cedefop’s</w:t>
      </w:r>
      <w:proofErr w:type="spellEnd"/>
      <w:r w:rsidR="00104197" w:rsidRPr="00104197">
        <w:rPr>
          <w:rFonts w:ascii="Segoe UI Light" w:hAnsi="Segoe UI Light"/>
          <w:sz w:val="12"/>
          <w:szCs w:val="12"/>
          <w:lang w:val="en-GB"/>
        </w:rPr>
        <w:t xml:space="preserve"> European skills forecast</w:t>
      </w:r>
    </w:p>
    <w:p w14:paraId="57E5DFA3" w14:textId="77777777" w:rsidR="003553F1"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rPr>
          <w:rFonts w:ascii="Segoe UI Light" w:hAnsi="Segoe UI Light" w:cstheme="minorBidi"/>
          <w:sz w:val="16"/>
          <w:szCs w:val="16"/>
        </w:rPr>
      </w:pPr>
    </w:p>
    <w:p w14:paraId="28C1488F" w14:textId="2DF4C7BB" w:rsidR="003553F1"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rPr>
          <w:rFonts w:ascii="Segoe UI Light" w:eastAsia="Segoe UI Light" w:hAnsi="Segoe UI Light" w:cs="Segoe UI Light"/>
          <w:sz w:val="16"/>
          <w:szCs w:val="16"/>
        </w:rPr>
      </w:pPr>
      <w:r w:rsidRPr="47D58989">
        <w:rPr>
          <w:rFonts w:ascii="Segoe UI Light" w:eastAsia="Segoe UI Light" w:hAnsi="Segoe UI Light" w:cs="Segoe UI Light"/>
          <w:sz w:val="16"/>
          <w:szCs w:val="16"/>
        </w:rPr>
        <w:t xml:space="preserve">Saskaņā ar </w:t>
      </w:r>
      <w:proofErr w:type="spellStart"/>
      <w:r w:rsidRPr="47D58989">
        <w:rPr>
          <w:rFonts w:ascii="Segoe UI Light" w:eastAsia="Segoe UI Light" w:hAnsi="Segoe UI Light" w:cs="Segoe UI Light"/>
          <w:sz w:val="16"/>
          <w:szCs w:val="16"/>
        </w:rPr>
        <w:t>Cedefop</w:t>
      </w:r>
      <w:proofErr w:type="spellEnd"/>
      <w:r w:rsidRPr="47D58989">
        <w:rPr>
          <w:rFonts w:ascii="Segoe UI Light" w:eastAsia="Segoe UI Light" w:hAnsi="Segoe UI Light" w:cs="Segoe UI Light"/>
          <w:sz w:val="16"/>
          <w:szCs w:val="16"/>
        </w:rPr>
        <w:t xml:space="preserve"> datiem </w:t>
      </w:r>
      <w:r w:rsidR="00554C0E">
        <w:rPr>
          <w:rFonts w:ascii="Segoe UI Light" w:eastAsia="Segoe UI Light" w:hAnsi="Segoe UI Light" w:cs="Segoe UI Light"/>
          <w:sz w:val="16"/>
          <w:szCs w:val="16"/>
        </w:rPr>
        <w:t>ES</w:t>
      </w:r>
      <w:r w:rsidRPr="47D58989">
        <w:rPr>
          <w:rFonts w:ascii="Segoe UI Light" w:eastAsia="Segoe UI Light" w:hAnsi="Segoe UI Light" w:cs="Segoe UI Light"/>
          <w:sz w:val="16"/>
          <w:szCs w:val="16"/>
        </w:rPr>
        <w:t xml:space="preserve"> darbinieku īpatsvaru, kas ir pakļauti ļoti augstam automatizācijas riskam parāda, ka augstākais risks ir komunālajos pakalpojumos (21%) un būvniecībā (20%), bet zemākais risks </w:t>
      </w:r>
      <w:r w:rsidR="00554C0E">
        <w:rPr>
          <w:rFonts w:ascii="Segoe UI Light" w:eastAsia="Segoe UI Light" w:hAnsi="Segoe UI Light" w:cs="Segoe UI Light"/>
          <w:sz w:val="16"/>
          <w:szCs w:val="16"/>
        </w:rPr>
        <w:t>–</w:t>
      </w:r>
      <w:r w:rsidRPr="47D58989">
        <w:rPr>
          <w:rFonts w:ascii="Segoe UI Light" w:eastAsia="Segoe UI Light" w:hAnsi="Segoe UI Light" w:cs="Segoe UI Light"/>
          <w:sz w:val="16"/>
          <w:szCs w:val="16"/>
        </w:rPr>
        <w:t xml:space="preserve"> izglītības un veselības aprūpes nozarēs (3%).</w:t>
      </w:r>
    </w:p>
    <w:p w14:paraId="2FB23346" w14:textId="77777777" w:rsidR="003553F1" w:rsidRDefault="003553F1" w:rsidP="003553F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6"/>
          <w:szCs w:val="16"/>
        </w:rPr>
      </w:pPr>
      <w:r w:rsidRPr="1E1AC41A">
        <w:rPr>
          <w:rFonts w:ascii="Segoe UI Light" w:hAnsi="Segoe UI Light"/>
          <w:sz w:val="16"/>
          <w:szCs w:val="16"/>
        </w:rPr>
        <w:t>Tehnoloģiju ieviešanas temps ir nenoteikts, jo tas ir atkarīgs no daudziem faktoriem, tādiem kā vēlmes investēt pētījumos un attīstībā, tehnoloģiju cenas, salīdzinot ar darbaspēka izmaksām, pieejamajām digitālajām un citām prasmēm, sociālo partneru iesaistes prasmju celšanas veicināšanā un likumdošanas. Lai gan tendence rāda, ka automatizēti tiks aizvien vairāk darbi, tomēr automatizācijas rezultātā veidosies arī jaunas darba vietas un jaunas profesijas.</w:t>
      </w:r>
    </w:p>
    <w:p w14:paraId="3760807F" w14:textId="77777777" w:rsidR="00F84BE6" w:rsidRDefault="00F84BE6" w:rsidP="00343F74">
      <w:pPr>
        <w:spacing w:after="120"/>
        <w:jc w:val="both"/>
        <w:rPr>
          <w:szCs w:val="20"/>
        </w:rPr>
      </w:pPr>
    </w:p>
    <w:p w14:paraId="02613F4B" w14:textId="4E874B4C" w:rsidR="00B30C77" w:rsidRPr="0031400B" w:rsidRDefault="00B30C77" w:rsidP="00343F74">
      <w:pPr>
        <w:spacing w:after="120"/>
        <w:jc w:val="both"/>
        <w:rPr>
          <w:szCs w:val="20"/>
        </w:rPr>
      </w:pPr>
      <w:r w:rsidRPr="0031400B">
        <w:rPr>
          <w:szCs w:val="20"/>
        </w:rPr>
        <w:t>Darbaspēka pieprasījums līdz 2030.gadam pieaugs visās nozarēs, izņemot transportā, tirdzniecībā un lauksaimniecībā.</w:t>
      </w:r>
      <w:r w:rsidRPr="0031400B">
        <w:t xml:space="preserve"> Savukārt ilgtermiņā pieaugums būs tikai komercpakalpojumos, būvniecībā un pārējā rūpniecībā, bet apstrādes rūpniecībā saglabāsies 2023.gada līmenī.</w:t>
      </w:r>
    </w:p>
    <w:p w14:paraId="67C5D1EC" w14:textId="77777777" w:rsidR="00B30C77" w:rsidRPr="003B4CDA" w:rsidRDefault="00B30C77" w:rsidP="00343F74">
      <w:pPr>
        <w:spacing w:after="120"/>
        <w:jc w:val="both"/>
        <w:rPr>
          <w:szCs w:val="20"/>
        </w:rPr>
      </w:pPr>
      <w:r w:rsidRPr="0031400B">
        <w:rPr>
          <w:szCs w:val="20"/>
        </w:rPr>
        <w:lastRenderedPageBreak/>
        <w:t xml:space="preserve">Apstrādes rūpniecība būs viena no straujāk augošajām nozarēm. Tomēr pieprasījums pēc darbaspēka pieaugs ļoti mēreni. Lai vidējā un ilgtermiņā nozare būtu konkurētspējīga, vairāk nekā 3/4 no kopējā nozares pieauguma ir jānodrošina produktivitātes kāpumam – tehnoloģiju </w:t>
      </w:r>
      <w:proofErr w:type="spellStart"/>
      <w:r w:rsidRPr="0031400B">
        <w:rPr>
          <w:szCs w:val="20"/>
        </w:rPr>
        <w:t>pārnesei</w:t>
      </w:r>
      <w:proofErr w:type="spellEnd"/>
      <w:r w:rsidRPr="0031400B">
        <w:rPr>
          <w:szCs w:val="20"/>
        </w:rPr>
        <w:t xml:space="preserve"> ražošanā, pētniecības attīstīšanai, inovācijai, darbinieku kvalifikācijas un prasmju celšanai. Sagaidāms, ka ilgtermiņā apstrādes rūpniecības izaugsmē lielāku devumu dos vidējo un augsto tehnoloģiju nozares (piemēram, ierīču, mehānismu, elektrisko un optisko iekārtu ražošana u.c.) un relatīvi ieguldījums samazināsies tādām tradicionālajām nozarēm kā kokapstrāde un pārtikas ražošana.</w:t>
      </w:r>
    </w:p>
    <w:p w14:paraId="18F5EA2D" w14:textId="2B1334FD" w:rsidR="009A0130" w:rsidRPr="00B30C77" w:rsidRDefault="009A0130" w:rsidP="00B30C77">
      <w:pPr>
        <w:spacing w:after="120"/>
        <w:jc w:val="right"/>
        <w:rPr>
          <w:szCs w:val="20"/>
        </w:rPr>
      </w:pPr>
      <w:r w:rsidRPr="00B30C77">
        <w:rPr>
          <w:szCs w:val="20"/>
        </w:rPr>
        <w:t>3.</w:t>
      </w:r>
      <w:r w:rsidR="001179C2" w:rsidRPr="00B30C77">
        <w:rPr>
          <w:szCs w:val="20"/>
        </w:rPr>
        <w:t>9</w:t>
      </w:r>
      <w:r w:rsidRPr="00B30C77">
        <w:rPr>
          <w:szCs w:val="20"/>
        </w:rPr>
        <w:t>. attēls</w:t>
      </w:r>
    </w:p>
    <w:p w14:paraId="2D258D00" w14:textId="506AB514" w:rsidR="009A0130" w:rsidRPr="00B30C77" w:rsidRDefault="009A0130" w:rsidP="00EA05F6">
      <w:pPr>
        <w:spacing w:after="120"/>
        <w:jc w:val="center"/>
        <w:rPr>
          <w:rFonts w:ascii="Segoe UI Light" w:hAnsi="Segoe UI Light"/>
          <w:i/>
          <w:sz w:val="16"/>
          <w:szCs w:val="26"/>
        </w:rPr>
      </w:pPr>
      <w:r w:rsidRPr="00B30C77">
        <w:rPr>
          <w:rFonts w:ascii="Segoe UI Light" w:hAnsi="Segoe UI Light"/>
          <w:b/>
          <w:sz w:val="18"/>
          <w:szCs w:val="26"/>
        </w:rPr>
        <w:t>Darbaspēka pieprasījums</w:t>
      </w:r>
      <w:r w:rsidRPr="00B30C77">
        <w:rPr>
          <w:rFonts w:ascii="Segoe UI Light" w:hAnsi="Segoe UI Light"/>
          <w:b/>
          <w:sz w:val="18"/>
          <w:szCs w:val="26"/>
        </w:rPr>
        <w:br/>
      </w:r>
      <w:r w:rsidRPr="00B30C77">
        <w:rPr>
          <w:rFonts w:ascii="Segoe UI Light" w:hAnsi="Segoe UI Light"/>
          <w:i/>
          <w:sz w:val="16"/>
          <w:szCs w:val="26"/>
        </w:rPr>
        <w:t>nodarbinātie vecuma grupā 15-74</w:t>
      </w:r>
      <w:r w:rsidR="00E002CB">
        <w:rPr>
          <w:rFonts w:ascii="Segoe UI Light" w:hAnsi="Segoe UI Light"/>
          <w:i/>
          <w:sz w:val="16"/>
          <w:szCs w:val="26"/>
        </w:rPr>
        <w:t xml:space="preserve"> </w:t>
      </w:r>
      <w:r w:rsidR="0080669C" w:rsidRPr="00B30C77">
        <w:rPr>
          <w:rFonts w:ascii="Segoe UI Light" w:hAnsi="Segoe UI Light"/>
          <w:i/>
          <w:sz w:val="16"/>
          <w:szCs w:val="26"/>
        </w:rPr>
        <w:t>gad</w:t>
      </w:r>
      <w:r w:rsidRPr="00B30C77">
        <w:rPr>
          <w:rFonts w:ascii="Segoe UI Light" w:hAnsi="Segoe UI Light"/>
          <w:i/>
          <w:sz w:val="16"/>
          <w:szCs w:val="26"/>
        </w:rPr>
        <w:t>i, tūkstošos</w:t>
      </w:r>
    </w:p>
    <w:p w14:paraId="0AADEE39" w14:textId="77777777" w:rsidR="00B30C77" w:rsidRDefault="00B30C77" w:rsidP="00343F74">
      <w:pPr>
        <w:spacing w:after="120"/>
        <w:ind w:firstLine="2410"/>
        <w:rPr>
          <w:rFonts w:cs="Calibri Light"/>
          <w:sz w:val="12"/>
          <w:szCs w:val="10"/>
          <w:highlight w:val="yellow"/>
        </w:rPr>
      </w:pPr>
      <w:r w:rsidRPr="003B4CDA">
        <w:rPr>
          <w:rFonts w:ascii="Arial Narrow" w:hAnsi="Arial Narrow"/>
          <w:b/>
          <w:bCs/>
          <w:noProof/>
          <w:lang w:eastAsia="lv-LV"/>
        </w:rPr>
        <w:drawing>
          <wp:inline distT="0" distB="0" distL="0" distR="0" wp14:anchorId="567408D1" wp14:editId="3C832A2B">
            <wp:extent cx="2880000" cy="2160000"/>
            <wp:effectExtent l="0" t="0" r="0" b="0"/>
            <wp:docPr id="85"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34973FCE" w14:textId="3F5B6EDC" w:rsidR="009A0130" w:rsidRPr="00B30C77" w:rsidRDefault="009A0130" w:rsidP="00B30C77">
      <w:pPr>
        <w:spacing w:after="120"/>
        <w:ind w:firstLine="2410"/>
        <w:rPr>
          <w:rFonts w:cs="Calibri Light"/>
          <w:sz w:val="16"/>
          <w:szCs w:val="14"/>
        </w:rPr>
      </w:pPr>
      <w:r w:rsidRPr="00B30C77">
        <w:rPr>
          <w:rFonts w:cs="Calibri Light"/>
          <w:sz w:val="16"/>
          <w:szCs w:val="14"/>
        </w:rPr>
        <w:t>Avots: CSP dati 202</w:t>
      </w:r>
      <w:r w:rsidR="00B30C77">
        <w:rPr>
          <w:rFonts w:cs="Calibri Light"/>
          <w:sz w:val="16"/>
          <w:szCs w:val="14"/>
        </w:rPr>
        <w:t>3</w:t>
      </w:r>
      <w:r w:rsidRPr="00B30C77">
        <w:rPr>
          <w:rFonts w:cs="Calibri Light"/>
          <w:sz w:val="16"/>
          <w:szCs w:val="14"/>
        </w:rPr>
        <w:t>.</w:t>
      </w:r>
      <w:r w:rsidR="0080669C" w:rsidRPr="00B30C77">
        <w:rPr>
          <w:rFonts w:cs="Calibri Light"/>
          <w:sz w:val="16"/>
          <w:szCs w:val="14"/>
        </w:rPr>
        <w:t>gad</w:t>
      </w:r>
      <w:r w:rsidRPr="00B30C77">
        <w:rPr>
          <w:rFonts w:cs="Calibri Light"/>
          <w:sz w:val="16"/>
          <w:szCs w:val="14"/>
        </w:rPr>
        <w:t>am, EM prognozes sākot ar 202</w:t>
      </w:r>
      <w:r w:rsidR="00B30C77">
        <w:rPr>
          <w:rFonts w:cs="Calibri Light"/>
          <w:sz w:val="16"/>
          <w:szCs w:val="14"/>
        </w:rPr>
        <w:t>4</w:t>
      </w:r>
      <w:r w:rsidRPr="00B30C77">
        <w:rPr>
          <w:rFonts w:cs="Calibri Light"/>
          <w:sz w:val="16"/>
          <w:szCs w:val="14"/>
        </w:rPr>
        <w:t>.</w:t>
      </w:r>
      <w:r w:rsidR="0080669C" w:rsidRPr="00B30C77">
        <w:rPr>
          <w:rFonts w:cs="Calibri Light"/>
          <w:sz w:val="16"/>
          <w:szCs w:val="14"/>
        </w:rPr>
        <w:t>gad</w:t>
      </w:r>
      <w:r w:rsidRPr="00B30C77">
        <w:rPr>
          <w:rFonts w:cs="Calibri Light"/>
          <w:sz w:val="16"/>
          <w:szCs w:val="14"/>
        </w:rPr>
        <w:t>u</w:t>
      </w:r>
    </w:p>
    <w:p w14:paraId="6C0A5697" w14:textId="77777777" w:rsidR="00B30C77" w:rsidRDefault="00B30C77" w:rsidP="00343F74">
      <w:pPr>
        <w:spacing w:after="120"/>
        <w:jc w:val="both"/>
      </w:pPr>
      <w:bookmarkStart w:id="66" w:name="_Hlk168402969"/>
    </w:p>
    <w:p w14:paraId="6941E152" w14:textId="63A8DC0F" w:rsidR="00B30C77" w:rsidRPr="00B30C77" w:rsidRDefault="00B30C77" w:rsidP="00343F74">
      <w:pPr>
        <w:spacing w:after="120"/>
        <w:jc w:val="both"/>
      </w:pPr>
      <w:r w:rsidRPr="00F1262E">
        <w:t xml:space="preserve">Lauksaimniecības un mežsaimniecības nozarē, līdzīgi kā vidēji ES, nodarbināto skaits nozarē pakāpeniski samazināsies. </w:t>
      </w:r>
      <w:r w:rsidRPr="00340265">
        <w:t xml:space="preserve">2030. gadā šajā nozarē strādājošo īpatsvars būs 6,4% no kopējā nodarbināto skaita </w:t>
      </w:r>
      <w:r w:rsidRPr="00A9102A">
        <w:t xml:space="preserve">(saskaņā ar </w:t>
      </w:r>
      <w:proofErr w:type="spellStart"/>
      <w:r w:rsidRPr="00A9102A">
        <w:rPr>
          <w:i/>
          <w:iCs/>
        </w:rPr>
        <w:t>Cedefop</w:t>
      </w:r>
      <w:proofErr w:type="spellEnd"/>
      <w:r w:rsidRPr="00A9102A">
        <w:t xml:space="preserve"> prognozēm, ES aptuveni 2</w:t>
      </w:r>
      <w:r>
        <w:t xml:space="preserve">% </w:t>
      </w:r>
      <w:r w:rsidRPr="00A9102A">
        <w:t xml:space="preserve">2035.gadā). </w:t>
      </w:r>
      <w:bookmarkEnd w:id="66"/>
      <w:r w:rsidRPr="00340265">
        <w:t xml:space="preserve">2023.gadā lauksaimniecības un mežsaimniecības nozare veidoja 4,7% no kopējās pievienotās vērtības. Tas nozīmē, ka salīdzinājumā ar citām nozarēm lauksaimniecībā un mežsaimniecībā ir zemāka produktivitāte, kuras pieaugumam turpmākajos gados būs izšķiroša loma nozares </w:t>
      </w:r>
      <w:r w:rsidRPr="00B30C77">
        <w:t>izaugsmē.</w:t>
      </w:r>
    </w:p>
    <w:p w14:paraId="7CB8F3E8" w14:textId="1F6DEA99" w:rsidR="009A0130" w:rsidRPr="00B30C77" w:rsidRDefault="009A0130" w:rsidP="00B30C77">
      <w:pPr>
        <w:spacing w:after="120"/>
        <w:jc w:val="right"/>
        <w:rPr>
          <w:szCs w:val="20"/>
        </w:rPr>
      </w:pPr>
      <w:r w:rsidRPr="00B30C77">
        <w:rPr>
          <w:szCs w:val="20"/>
        </w:rPr>
        <w:t>3.6. tabula</w:t>
      </w:r>
    </w:p>
    <w:p w14:paraId="5E71FBE6" w14:textId="77777777" w:rsidR="009A0130" w:rsidRPr="00B30C77" w:rsidRDefault="009A0130" w:rsidP="00EA05F6">
      <w:pPr>
        <w:spacing w:after="120"/>
        <w:jc w:val="center"/>
        <w:rPr>
          <w:rFonts w:ascii="Segoe UI Light" w:hAnsi="Segoe UI Light"/>
          <w:i/>
          <w:sz w:val="16"/>
          <w:szCs w:val="26"/>
        </w:rPr>
      </w:pPr>
      <w:r w:rsidRPr="00B30C77">
        <w:rPr>
          <w:rFonts w:ascii="Segoe UI Light" w:hAnsi="Segoe UI Light"/>
          <w:b/>
          <w:sz w:val="18"/>
          <w:szCs w:val="26"/>
        </w:rPr>
        <w:t>Darbaspēka pieprasījuma izmaiņas pa nozarēm</w:t>
      </w:r>
      <w:r w:rsidRPr="00B30C77">
        <w:rPr>
          <w:rFonts w:ascii="Segoe UI Light" w:hAnsi="Segoe UI Light"/>
          <w:sz w:val="18"/>
          <w:szCs w:val="26"/>
        </w:rPr>
        <w:br/>
      </w:r>
      <w:r w:rsidRPr="00B30C77">
        <w:rPr>
          <w:rFonts w:ascii="Segoe UI Light" w:hAnsi="Segoe UI Light"/>
          <w:i/>
          <w:sz w:val="16"/>
          <w:szCs w:val="26"/>
        </w:rPr>
        <w:t>tūkstošos</w:t>
      </w:r>
    </w:p>
    <w:tbl>
      <w:tblPr>
        <w:tblStyle w:val="GridTable5Dark-Accent31"/>
        <w:tblW w:w="92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688"/>
        <w:gridCol w:w="907"/>
        <w:gridCol w:w="907"/>
        <w:gridCol w:w="907"/>
        <w:gridCol w:w="907"/>
        <w:gridCol w:w="965"/>
        <w:gridCol w:w="963"/>
      </w:tblGrid>
      <w:tr w:rsidR="006A3666" w:rsidRPr="003B4CDA" w14:paraId="23FBB7A9" w14:textId="77777777" w:rsidTr="00B30C77">
        <w:trPr>
          <w:cnfStyle w:val="100000000000" w:firstRow="1" w:lastRow="0" w:firstColumn="0" w:lastColumn="0" w:oddVBand="0" w:evenVBand="0" w:oddHBand="0" w:evenHBand="0" w:firstRowFirstColumn="0" w:firstRowLastColumn="0" w:lastRowFirstColumn="0" w:lastRowLastColumn="0"/>
          <w:jc w:val="center"/>
        </w:trPr>
        <w:tc>
          <w:tcPr>
            <w:tcW w:w="3688" w:type="dxa"/>
            <w:shd w:val="clear" w:color="auto" w:fill="5F497A" w:themeFill="accent4" w:themeFillShade="BF"/>
            <w:vAlign w:val="center"/>
          </w:tcPr>
          <w:p w14:paraId="55CD7EE1" w14:textId="77777777" w:rsidR="00B30C77" w:rsidRPr="003B4CDA" w:rsidRDefault="00B30C77">
            <w:pPr>
              <w:spacing w:before="40" w:after="40"/>
              <w:jc w:val="center"/>
              <w:rPr>
                <w:rFonts w:ascii="Segoe UI Light" w:hAnsi="Segoe UI Light"/>
                <w:b w:val="0"/>
                <w:color w:val="FFFFFF"/>
                <w:sz w:val="16"/>
                <w:szCs w:val="20"/>
              </w:rPr>
            </w:pPr>
          </w:p>
        </w:tc>
        <w:tc>
          <w:tcPr>
            <w:tcW w:w="907" w:type="dxa"/>
            <w:shd w:val="clear" w:color="auto" w:fill="5F497A" w:themeFill="accent4" w:themeFillShade="BF"/>
            <w:vAlign w:val="center"/>
          </w:tcPr>
          <w:p w14:paraId="478972C7" w14:textId="77777777" w:rsidR="00B30C77" w:rsidRPr="003B4CDA" w:rsidRDefault="00B30C77">
            <w:pPr>
              <w:spacing w:before="40" w:after="40"/>
              <w:jc w:val="center"/>
              <w:rPr>
                <w:rFonts w:ascii="Segoe UI Light" w:hAnsi="Segoe UI Light"/>
                <w:color w:val="FFFFFF"/>
                <w:sz w:val="16"/>
                <w:szCs w:val="20"/>
              </w:rPr>
            </w:pPr>
            <w:r w:rsidRPr="003B4CDA">
              <w:rPr>
                <w:rFonts w:ascii="Segoe UI Light" w:hAnsi="Segoe UI Light"/>
                <w:color w:val="FFFFFF"/>
                <w:sz w:val="16"/>
                <w:szCs w:val="20"/>
              </w:rPr>
              <w:t>20</w:t>
            </w:r>
            <w:r>
              <w:rPr>
                <w:rFonts w:ascii="Segoe UI Light" w:hAnsi="Segoe UI Light"/>
                <w:color w:val="FFFFFF"/>
                <w:sz w:val="16"/>
                <w:szCs w:val="20"/>
              </w:rPr>
              <w:t>22</w:t>
            </w:r>
          </w:p>
        </w:tc>
        <w:tc>
          <w:tcPr>
            <w:tcW w:w="907" w:type="dxa"/>
            <w:shd w:val="clear" w:color="auto" w:fill="5F497A" w:themeFill="accent4" w:themeFillShade="BF"/>
            <w:vAlign w:val="center"/>
          </w:tcPr>
          <w:p w14:paraId="7F050B7D" w14:textId="77777777" w:rsidR="00B30C77" w:rsidRPr="003B4CDA" w:rsidRDefault="00B30C77">
            <w:pPr>
              <w:spacing w:before="40" w:after="40"/>
              <w:jc w:val="center"/>
              <w:rPr>
                <w:rFonts w:ascii="Segoe UI Light" w:hAnsi="Segoe UI Light"/>
                <w:color w:val="FFFFFF"/>
                <w:sz w:val="16"/>
                <w:szCs w:val="20"/>
              </w:rPr>
            </w:pPr>
            <w:r w:rsidRPr="003B4CDA">
              <w:rPr>
                <w:rFonts w:ascii="Segoe UI Light" w:hAnsi="Segoe UI Light"/>
                <w:color w:val="FFFFFF"/>
                <w:sz w:val="16"/>
                <w:szCs w:val="20"/>
              </w:rPr>
              <w:t>20</w:t>
            </w:r>
            <w:r>
              <w:rPr>
                <w:rFonts w:ascii="Segoe UI Light" w:hAnsi="Segoe UI Light"/>
                <w:color w:val="FFFFFF"/>
                <w:sz w:val="16"/>
                <w:szCs w:val="20"/>
              </w:rPr>
              <w:t>23</w:t>
            </w:r>
          </w:p>
        </w:tc>
        <w:tc>
          <w:tcPr>
            <w:tcW w:w="907" w:type="dxa"/>
            <w:shd w:val="clear" w:color="auto" w:fill="5F497A" w:themeFill="accent4" w:themeFillShade="BF"/>
            <w:vAlign w:val="center"/>
          </w:tcPr>
          <w:p w14:paraId="7F96BA62" w14:textId="77777777" w:rsidR="00B30C77" w:rsidRPr="003B4CDA" w:rsidRDefault="00B30C77">
            <w:pPr>
              <w:spacing w:before="40" w:after="40"/>
              <w:jc w:val="center"/>
              <w:rPr>
                <w:rFonts w:ascii="Segoe UI Light" w:hAnsi="Segoe UI Light"/>
                <w:color w:val="FFFFFF"/>
                <w:sz w:val="16"/>
                <w:szCs w:val="20"/>
              </w:rPr>
            </w:pPr>
            <w:r w:rsidRPr="003B4CDA">
              <w:rPr>
                <w:rFonts w:ascii="Segoe UI Light" w:hAnsi="Segoe UI Light"/>
                <w:color w:val="FFFFFF"/>
                <w:sz w:val="16"/>
                <w:szCs w:val="20"/>
              </w:rPr>
              <w:t>20</w:t>
            </w:r>
            <w:r>
              <w:rPr>
                <w:rFonts w:ascii="Segoe UI Light" w:hAnsi="Segoe UI Light"/>
                <w:color w:val="FFFFFF"/>
                <w:sz w:val="16"/>
                <w:szCs w:val="20"/>
              </w:rPr>
              <w:t>30</w:t>
            </w:r>
          </w:p>
        </w:tc>
        <w:tc>
          <w:tcPr>
            <w:tcW w:w="907" w:type="dxa"/>
            <w:shd w:val="clear" w:color="auto" w:fill="5F497A" w:themeFill="accent4" w:themeFillShade="BF"/>
            <w:vAlign w:val="center"/>
          </w:tcPr>
          <w:p w14:paraId="54794B18" w14:textId="77777777" w:rsidR="00B30C77" w:rsidRPr="003B4CDA" w:rsidRDefault="00B30C77">
            <w:pPr>
              <w:spacing w:before="40" w:after="40"/>
              <w:jc w:val="center"/>
              <w:rPr>
                <w:rFonts w:ascii="Segoe UI Light" w:hAnsi="Segoe UI Light"/>
                <w:color w:val="FFFFFF"/>
                <w:sz w:val="16"/>
                <w:szCs w:val="20"/>
              </w:rPr>
            </w:pPr>
            <w:r w:rsidRPr="003B4CDA">
              <w:rPr>
                <w:rFonts w:ascii="Segoe UI Light" w:hAnsi="Segoe UI Light"/>
                <w:color w:val="FFFFFF"/>
                <w:sz w:val="16"/>
                <w:szCs w:val="20"/>
              </w:rPr>
              <w:t>2040</w:t>
            </w:r>
          </w:p>
        </w:tc>
        <w:tc>
          <w:tcPr>
            <w:tcW w:w="965" w:type="dxa"/>
            <w:shd w:val="clear" w:color="auto" w:fill="5F497A" w:themeFill="accent4" w:themeFillShade="BF"/>
            <w:vAlign w:val="center"/>
          </w:tcPr>
          <w:p w14:paraId="4C42BD8C" w14:textId="19A289FA" w:rsidR="00B30C77" w:rsidRPr="003B4CDA" w:rsidRDefault="00FB5301">
            <w:pPr>
              <w:spacing w:before="40" w:after="40"/>
              <w:jc w:val="center"/>
              <w:rPr>
                <w:rFonts w:ascii="Segoe UI Light" w:hAnsi="Segoe UI Light"/>
                <w:color w:val="FFFFFF"/>
                <w:sz w:val="16"/>
                <w:szCs w:val="20"/>
              </w:rPr>
            </w:pPr>
            <w:r>
              <w:rPr>
                <w:rFonts w:ascii="Segoe UI Light" w:hAnsi="Segoe UI Light"/>
                <w:color w:val="FFFFFF"/>
                <w:sz w:val="16"/>
                <w:szCs w:val="20"/>
              </w:rPr>
              <w:t>Izmaiņas</w:t>
            </w:r>
            <w:r w:rsidR="00B30C77" w:rsidRPr="003B4CDA">
              <w:rPr>
                <w:rFonts w:ascii="Segoe UI Light" w:hAnsi="Segoe UI Light"/>
                <w:color w:val="FFFFFF"/>
                <w:sz w:val="16"/>
                <w:szCs w:val="20"/>
              </w:rPr>
              <w:br/>
              <w:t>20</w:t>
            </w:r>
            <w:r w:rsidR="00B30C77">
              <w:rPr>
                <w:rFonts w:ascii="Segoe UI Light" w:hAnsi="Segoe UI Light"/>
                <w:color w:val="FFFFFF"/>
                <w:sz w:val="16"/>
                <w:szCs w:val="20"/>
              </w:rPr>
              <w:t>30</w:t>
            </w:r>
            <w:r w:rsidR="00B30C77" w:rsidRPr="003B4CDA">
              <w:rPr>
                <w:rFonts w:ascii="Segoe UI Light" w:hAnsi="Segoe UI Light"/>
                <w:color w:val="FFFFFF"/>
                <w:sz w:val="16"/>
                <w:szCs w:val="20"/>
              </w:rPr>
              <w:t>-20</w:t>
            </w:r>
            <w:r w:rsidR="00B30C77">
              <w:rPr>
                <w:rFonts w:ascii="Segoe UI Light" w:hAnsi="Segoe UI Light"/>
                <w:color w:val="FFFFFF"/>
                <w:sz w:val="16"/>
                <w:szCs w:val="20"/>
              </w:rPr>
              <w:t>23</w:t>
            </w:r>
          </w:p>
        </w:tc>
        <w:tc>
          <w:tcPr>
            <w:tcW w:w="963" w:type="dxa"/>
            <w:shd w:val="clear" w:color="auto" w:fill="5F497A" w:themeFill="accent4" w:themeFillShade="BF"/>
            <w:vAlign w:val="center"/>
          </w:tcPr>
          <w:p w14:paraId="376E77EE" w14:textId="28E3D32E" w:rsidR="00B30C77" w:rsidRPr="003B4CDA" w:rsidRDefault="00FB5301">
            <w:pPr>
              <w:spacing w:before="40" w:after="40"/>
              <w:jc w:val="center"/>
              <w:rPr>
                <w:rFonts w:ascii="Segoe UI Light" w:hAnsi="Segoe UI Light"/>
                <w:color w:val="FFFFFF"/>
                <w:sz w:val="16"/>
                <w:szCs w:val="20"/>
              </w:rPr>
            </w:pPr>
            <w:r>
              <w:rPr>
                <w:rFonts w:ascii="Segoe UI Light" w:hAnsi="Segoe UI Light"/>
                <w:color w:val="FFFFFF"/>
                <w:sz w:val="16"/>
                <w:szCs w:val="20"/>
              </w:rPr>
              <w:t>Izmaiņas</w:t>
            </w:r>
            <w:r w:rsidR="00B30C77" w:rsidRPr="003B4CDA">
              <w:rPr>
                <w:rFonts w:ascii="Segoe UI Light" w:hAnsi="Segoe UI Light"/>
                <w:color w:val="FFFFFF"/>
                <w:sz w:val="16"/>
                <w:szCs w:val="20"/>
              </w:rPr>
              <w:br/>
              <w:t>2040-20</w:t>
            </w:r>
            <w:r w:rsidR="00B30C77">
              <w:rPr>
                <w:rFonts w:ascii="Segoe UI Light" w:hAnsi="Segoe UI Light"/>
                <w:color w:val="FFFFFF"/>
                <w:sz w:val="16"/>
                <w:szCs w:val="20"/>
              </w:rPr>
              <w:t>23</w:t>
            </w:r>
          </w:p>
        </w:tc>
      </w:tr>
      <w:tr w:rsidR="006A3666" w:rsidRPr="003B4CDA" w14:paraId="18887CA0" w14:textId="77777777" w:rsidTr="00B30C77">
        <w:trPr>
          <w:cnfStyle w:val="000000100000" w:firstRow="0" w:lastRow="0" w:firstColumn="0" w:lastColumn="0" w:oddVBand="0" w:evenVBand="0" w:oddHBand="1" w:evenHBand="0" w:firstRowFirstColumn="0" w:firstRowLastColumn="0" w:lastRowFirstColumn="0" w:lastRowLastColumn="0"/>
          <w:trHeight w:val="227"/>
          <w:jc w:val="center"/>
        </w:trPr>
        <w:tc>
          <w:tcPr>
            <w:tcW w:w="3688" w:type="dxa"/>
            <w:shd w:val="clear" w:color="auto" w:fill="E5DFEC" w:themeFill="accent4" w:themeFillTint="33"/>
          </w:tcPr>
          <w:p w14:paraId="0AC18BD7" w14:textId="77777777" w:rsidR="00B30C77" w:rsidRPr="003B4CDA" w:rsidRDefault="00B30C77">
            <w:pPr>
              <w:spacing w:before="40" w:after="40"/>
              <w:rPr>
                <w:rFonts w:ascii="Segoe UI Light" w:hAnsi="Segoe UI Light"/>
                <w:sz w:val="16"/>
                <w:szCs w:val="20"/>
              </w:rPr>
            </w:pPr>
            <w:r w:rsidRPr="003B4CDA">
              <w:rPr>
                <w:rFonts w:ascii="Segoe UI Light" w:hAnsi="Segoe UI Light"/>
                <w:sz w:val="16"/>
                <w:szCs w:val="20"/>
              </w:rPr>
              <w:t>Lauksaimniecība, mežsaimniecība, zivsaimniecība</w:t>
            </w:r>
          </w:p>
        </w:tc>
        <w:tc>
          <w:tcPr>
            <w:tcW w:w="907" w:type="dxa"/>
            <w:shd w:val="clear" w:color="auto" w:fill="E5DFEC" w:themeFill="accent4" w:themeFillTint="33"/>
            <w:vAlign w:val="bottom"/>
          </w:tcPr>
          <w:p w14:paraId="3E1E687C" w14:textId="77777777" w:rsidR="00B30C77" w:rsidRPr="003B4CDA" w:rsidRDefault="00B30C77">
            <w:pPr>
              <w:tabs>
                <w:tab w:val="decimal" w:pos="447"/>
              </w:tabs>
              <w:spacing w:before="40" w:after="40"/>
              <w:rPr>
                <w:rFonts w:ascii="Segoe UI Light" w:hAnsi="Segoe UI Light"/>
                <w:sz w:val="16"/>
                <w:szCs w:val="16"/>
              </w:rPr>
            </w:pPr>
            <w:r w:rsidRPr="4398C881">
              <w:rPr>
                <w:rFonts w:ascii="Segoe UI Light" w:hAnsi="Segoe UI Light"/>
                <w:sz w:val="16"/>
                <w:szCs w:val="16"/>
              </w:rPr>
              <w:t>6</w:t>
            </w:r>
            <w:r>
              <w:rPr>
                <w:rFonts w:ascii="Segoe UI Light" w:hAnsi="Segoe UI Light"/>
                <w:sz w:val="16"/>
                <w:szCs w:val="16"/>
              </w:rPr>
              <w:t>0</w:t>
            </w:r>
          </w:p>
        </w:tc>
        <w:tc>
          <w:tcPr>
            <w:tcW w:w="907" w:type="dxa"/>
            <w:shd w:val="clear" w:color="auto" w:fill="E5DFEC" w:themeFill="accent4" w:themeFillTint="33"/>
            <w:vAlign w:val="bottom"/>
          </w:tcPr>
          <w:p w14:paraId="2F9B2B6C"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59</w:t>
            </w:r>
          </w:p>
        </w:tc>
        <w:tc>
          <w:tcPr>
            <w:tcW w:w="907" w:type="dxa"/>
            <w:shd w:val="clear" w:color="auto" w:fill="E5DFEC" w:themeFill="accent4" w:themeFillTint="33"/>
            <w:vAlign w:val="bottom"/>
          </w:tcPr>
          <w:p w14:paraId="6EDDA7EC"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58</w:t>
            </w:r>
          </w:p>
        </w:tc>
        <w:tc>
          <w:tcPr>
            <w:tcW w:w="907" w:type="dxa"/>
            <w:shd w:val="clear" w:color="auto" w:fill="E5DFEC" w:themeFill="accent4" w:themeFillTint="33"/>
            <w:vAlign w:val="bottom"/>
          </w:tcPr>
          <w:p w14:paraId="487FF2D5"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5</w:t>
            </w:r>
            <w:r>
              <w:rPr>
                <w:rFonts w:ascii="Segoe UI Light" w:hAnsi="Segoe UI Light"/>
                <w:sz w:val="16"/>
                <w:szCs w:val="20"/>
              </w:rPr>
              <w:t>5</w:t>
            </w:r>
          </w:p>
        </w:tc>
        <w:tc>
          <w:tcPr>
            <w:tcW w:w="965" w:type="dxa"/>
            <w:shd w:val="clear" w:color="auto" w:fill="E5DFEC" w:themeFill="accent4" w:themeFillTint="33"/>
            <w:vAlign w:val="bottom"/>
          </w:tcPr>
          <w:p w14:paraId="6F93B702"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-1</w:t>
            </w:r>
          </w:p>
        </w:tc>
        <w:tc>
          <w:tcPr>
            <w:tcW w:w="963" w:type="dxa"/>
            <w:shd w:val="clear" w:color="auto" w:fill="E5DFEC" w:themeFill="accent4" w:themeFillTint="33"/>
            <w:vAlign w:val="bottom"/>
          </w:tcPr>
          <w:p w14:paraId="10E0BB92"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4</w:t>
            </w:r>
          </w:p>
        </w:tc>
      </w:tr>
      <w:tr w:rsidR="006A3666" w:rsidRPr="003B4CDA" w14:paraId="7E5E4509" w14:textId="77777777" w:rsidTr="00B30C77">
        <w:trPr>
          <w:jc w:val="center"/>
        </w:trPr>
        <w:tc>
          <w:tcPr>
            <w:tcW w:w="3688" w:type="dxa"/>
            <w:shd w:val="clear" w:color="auto" w:fill="CCC0D9" w:themeFill="accent4" w:themeFillTint="66"/>
          </w:tcPr>
          <w:p w14:paraId="4721BC86" w14:textId="77777777" w:rsidR="00B30C77" w:rsidRPr="003B4CDA" w:rsidRDefault="00B30C77">
            <w:pPr>
              <w:spacing w:before="40" w:after="40"/>
              <w:rPr>
                <w:rFonts w:ascii="Segoe UI Light" w:hAnsi="Segoe UI Light"/>
                <w:sz w:val="16"/>
                <w:szCs w:val="20"/>
              </w:rPr>
            </w:pPr>
            <w:r w:rsidRPr="003B4CDA">
              <w:rPr>
                <w:rFonts w:ascii="Segoe UI Light" w:hAnsi="Segoe UI Light"/>
                <w:sz w:val="16"/>
                <w:szCs w:val="20"/>
              </w:rPr>
              <w:t>Apstrādes rūpniecība</w:t>
            </w:r>
          </w:p>
        </w:tc>
        <w:tc>
          <w:tcPr>
            <w:tcW w:w="907" w:type="dxa"/>
            <w:shd w:val="clear" w:color="auto" w:fill="CCC0D9" w:themeFill="accent4" w:themeFillTint="66"/>
            <w:vAlign w:val="bottom"/>
          </w:tcPr>
          <w:p w14:paraId="744A3592"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11</w:t>
            </w:r>
            <w:r>
              <w:rPr>
                <w:rFonts w:ascii="Segoe UI Light" w:hAnsi="Segoe UI Light"/>
                <w:sz w:val="16"/>
                <w:szCs w:val="20"/>
              </w:rPr>
              <w:t>4</w:t>
            </w:r>
          </w:p>
        </w:tc>
        <w:tc>
          <w:tcPr>
            <w:tcW w:w="907" w:type="dxa"/>
            <w:shd w:val="clear" w:color="auto" w:fill="CCC0D9" w:themeFill="accent4" w:themeFillTint="66"/>
            <w:vAlign w:val="bottom"/>
          </w:tcPr>
          <w:p w14:paraId="5DF61A86"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112</w:t>
            </w:r>
          </w:p>
        </w:tc>
        <w:tc>
          <w:tcPr>
            <w:tcW w:w="907" w:type="dxa"/>
            <w:shd w:val="clear" w:color="auto" w:fill="CCC0D9" w:themeFill="accent4" w:themeFillTint="66"/>
            <w:vAlign w:val="bottom"/>
          </w:tcPr>
          <w:p w14:paraId="45646384"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11</w:t>
            </w:r>
            <w:r>
              <w:rPr>
                <w:rFonts w:ascii="Segoe UI Light" w:hAnsi="Segoe UI Light"/>
                <w:sz w:val="16"/>
                <w:szCs w:val="20"/>
              </w:rPr>
              <w:t>4</w:t>
            </w:r>
          </w:p>
        </w:tc>
        <w:tc>
          <w:tcPr>
            <w:tcW w:w="907" w:type="dxa"/>
            <w:shd w:val="clear" w:color="auto" w:fill="CCC0D9" w:themeFill="accent4" w:themeFillTint="66"/>
            <w:vAlign w:val="bottom"/>
          </w:tcPr>
          <w:p w14:paraId="374A9AD1"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12</w:t>
            </w:r>
          </w:p>
        </w:tc>
        <w:tc>
          <w:tcPr>
            <w:tcW w:w="965" w:type="dxa"/>
            <w:shd w:val="clear" w:color="auto" w:fill="CCC0D9" w:themeFill="accent4" w:themeFillTint="66"/>
            <w:vAlign w:val="bottom"/>
          </w:tcPr>
          <w:p w14:paraId="442211ED"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2</w:t>
            </w:r>
          </w:p>
        </w:tc>
        <w:tc>
          <w:tcPr>
            <w:tcW w:w="963" w:type="dxa"/>
            <w:shd w:val="clear" w:color="auto" w:fill="CCC0D9" w:themeFill="accent4" w:themeFillTint="66"/>
            <w:vAlign w:val="bottom"/>
          </w:tcPr>
          <w:p w14:paraId="6A168E4E"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0</w:t>
            </w:r>
          </w:p>
        </w:tc>
      </w:tr>
      <w:tr w:rsidR="006A3666" w:rsidRPr="003B4CDA" w14:paraId="33DBD506" w14:textId="77777777" w:rsidTr="00B30C77">
        <w:trPr>
          <w:cnfStyle w:val="000000100000" w:firstRow="0" w:lastRow="0" w:firstColumn="0" w:lastColumn="0" w:oddVBand="0" w:evenVBand="0" w:oddHBand="1" w:evenHBand="0" w:firstRowFirstColumn="0" w:firstRowLastColumn="0" w:lastRowFirstColumn="0" w:lastRowLastColumn="0"/>
          <w:jc w:val="center"/>
        </w:trPr>
        <w:tc>
          <w:tcPr>
            <w:tcW w:w="3688" w:type="dxa"/>
            <w:shd w:val="clear" w:color="auto" w:fill="E5DFEC" w:themeFill="accent4" w:themeFillTint="33"/>
          </w:tcPr>
          <w:p w14:paraId="018B7065" w14:textId="77777777" w:rsidR="00B30C77" w:rsidRPr="003B4CDA" w:rsidRDefault="00B30C77">
            <w:pPr>
              <w:spacing w:before="40" w:after="40"/>
              <w:rPr>
                <w:rFonts w:ascii="Segoe UI Light" w:hAnsi="Segoe UI Light"/>
                <w:sz w:val="16"/>
                <w:szCs w:val="20"/>
              </w:rPr>
            </w:pPr>
            <w:r w:rsidRPr="003B4CDA">
              <w:rPr>
                <w:rFonts w:ascii="Segoe UI Light" w:hAnsi="Segoe UI Light"/>
                <w:sz w:val="16"/>
                <w:szCs w:val="20"/>
              </w:rPr>
              <w:t>Pārējā rūpniecība</w:t>
            </w:r>
          </w:p>
        </w:tc>
        <w:tc>
          <w:tcPr>
            <w:tcW w:w="907" w:type="dxa"/>
            <w:shd w:val="clear" w:color="auto" w:fill="E5DFEC" w:themeFill="accent4" w:themeFillTint="33"/>
            <w:vAlign w:val="bottom"/>
          </w:tcPr>
          <w:p w14:paraId="5D638B8F"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2</w:t>
            </w:r>
            <w:r>
              <w:rPr>
                <w:rFonts w:ascii="Segoe UI Light" w:hAnsi="Segoe UI Light"/>
                <w:sz w:val="16"/>
                <w:szCs w:val="20"/>
              </w:rPr>
              <w:t>3</w:t>
            </w:r>
          </w:p>
        </w:tc>
        <w:tc>
          <w:tcPr>
            <w:tcW w:w="907" w:type="dxa"/>
            <w:shd w:val="clear" w:color="auto" w:fill="E5DFEC" w:themeFill="accent4" w:themeFillTint="33"/>
            <w:vAlign w:val="bottom"/>
          </w:tcPr>
          <w:p w14:paraId="4EEDE7FB"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21</w:t>
            </w:r>
          </w:p>
        </w:tc>
        <w:tc>
          <w:tcPr>
            <w:tcW w:w="907" w:type="dxa"/>
            <w:shd w:val="clear" w:color="auto" w:fill="E5DFEC" w:themeFill="accent4" w:themeFillTint="33"/>
            <w:vAlign w:val="bottom"/>
          </w:tcPr>
          <w:p w14:paraId="17E9773B"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21</w:t>
            </w:r>
          </w:p>
        </w:tc>
        <w:tc>
          <w:tcPr>
            <w:tcW w:w="907" w:type="dxa"/>
            <w:shd w:val="clear" w:color="auto" w:fill="E5DFEC" w:themeFill="accent4" w:themeFillTint="33"/>
            <w:vAlign w:val="bottom"/>
          </w:tcPr>
          <w:p w14:paraId="728FCD40"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22</w:t>
            </w:r>
          </w:p>
        </w:tc>
        <w:tc>
          <w:tcPr>
            <w:tcW w:w="965" w:type="dxa"/>
            <w:shd w:val="clear" w:color="auto" w:fill="E5DFEC" w:themeFill="accent4" w:themeFillTint="33"/>
            <w:vAlign w:val="bottom"/>
          </w:tcPr>
          <w:p w14:paraId="11C200A5"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0</w:t>
            </w:r>
          </w:p>
        </w:tc>
        <w:tc>
          <w:tcPr>
            <w:tcW w:w="963" w:type="dxa"/>
            <w:shd w:val="clear" w:color="auto" w:fill="E5DFEC" w:themeFill="accent4" w:themeFillTint="33"/>
            <w:vAlign w:val="bottom"/>
          </w:tcPr>
          <w:p w14:paraId="5A9F7F19"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1</w:t>
            </w:r>
          </w:p>
        </w:tc>
      </w:tr>
      <w:tr w:rsidR="006A3666" w:rsidRPr="003B4CDA" w14:paraId="3C67CA1F" w14:textId="77777777" w:rsidTr="00B30C77">
        <w:trPr>
          <w:jc w:val="center"/>
        </w:trPr>
        <w:tc>
          <w:tcPr>
            <w:tcW w:w="3688" w:type="dxa"/>
            <w:shd w:val="clear" w:color="auto" w:fill="CCC0D9" w:themeFill="accent4" w:themeFillTint="66"/>
          </w:tcPr>
          <w:p w14:paraId="13881316" w14:textId="77777777" w:rsidR="00B30C77" w:rsidRPr="003B4CDA" w:rsidRDefault="00B30C77">
            <w:pPr>
              <w:spacing w:before="40" w:after="40"/>
              <w:rPr>
                <w:rFonts w:ascii="Segoe UI Light" w:hAnsi="Segoe UI Light"/>
                <w:sz w:val="16"/>
                <w:szCs w:val="20"/>
              </w:rPr>
            </w:pPr>
            <w:r w:rsidRPr="003B4CDA">
              <w:rPr>
                <w:rFonts w:ascii="Segoe UI Light" w:hAnsi="Segoe UI Light"/>
                <w:sz w:val="16"/>
                <w:szCs w:val="20"/>
              </w:rPr>
              <w:t>Būvniecība</w:t>
            </w:r>
          </w:p>
        </w:tc>
        <w:tc>
          <w:tcPr>
            <w:tcW w:w="907" w:type="dxa"/>
            <w:shd w:val="clear" w:color="auto" w:fill="CCC0D9" w:themeFill="accent4" w:themeFillTint="66"/>
            <w:vAlign w:val="bottom"/>
          </w:tcPr>
          <w:p w14:paraId="6650E68A"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7</w:t>
            </w:r>
            <w:r>
              <w:rPr>
                <w:rFonts w:ascii="Segoe UI Light" w:hAnsi="Segoe UI Light"/>
                <w:sz w:val="16"/>
                <w:szCs w:val="20"/>
              </w:rPr>
              <w:t>2</w:t>
            </w:r>
          </w:p>
        </w:tc>
        <w:tc>
          <w:tcPr>
            <w:tcW w:w="907" w:type="dxa"/>
            <w:shd w:val="clear" w:color="auto" w:fill="CCC0D9" w:themeFill="accent4" w:themeFillTint="66"/>
            <w:vAlign w:val="bottom"/>
          </w:tcPr>
          <w:p w14:paraId="48A93B23"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70</w:t>
            </w:r>
          </w:p>
        </w:tc>
        <w:tc>
          <w:tcPr>
            <w:tcW w:w="907" w:type="dxa"/>
            <w:shd w:val="clear" w:color="auto" w:fill="CCC0D9" w:themeFill="accent4" w:themeFillTint="66"/>
            <w:vAlign w:val="bottom"/>
          </w:tcPr>
          <w:p w14:paraId="1F4E82FC"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8</w:t>
            </w:r>
            <w:r>
              <w:rPr>
                <w:rFonts w:ascii="Segoe UI Light" w:hAnsi="Segoe UI Light"/>
                <w:sz w:val="16"/>
                <w:szCs w:val="20"/>
              </w:rPr>
              <w:t>2</w:t>
            </w:r>
          </w:p>
        </w:tc>
        <w:tc>
          <w:tcPr>
            <w:tcW w:w="907" w:type="dxa"/>
            <w:shd w:val="clear" w:color="auto" w:fill="CCC0D9" w:themeFill="accent4" w:themeFillTint="66"/>
            <w:vAlign w:val="bottom"/>
          </w:tcPr>
          <w:p w14:paraId="2203CC26"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80</w:t>
            </w:r>
          </w:p>
        </w:tc>
        <w:tc>
          <w:tcPr>
            <w:tcW w:w="965" w:type="dxa"/>
            <w:shd w:val="clear" w:color="auto" w:fill="CCC0D9" w:themeFill="accent4" w:themeFillTint="66"/>
            <w:vAlign w:val="bottom"/>
          </w:tcPr>
          <w:p w14:paraId="06BB960A"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12</w:t>
            </w:r>
          </w:p>
        </w:tc>
        <w:tc>
          <w:tcPr>
            <w:tcW w:w="963" w:type="dxa"/>
            <w:shd w:val="clear" w:color="auto" w:fill="CCC0D9" w:themeFill="accent4" w:themeFillTint="66"/>
            <w:vAlign w:val="bottom"/>
          </w:tcPr>
          <w:p w14:paraId="6577B501"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9</w:t>
            </w:r>
          </w:p>
        </w:tc>
      </w:tr>
      <w:tr w:rsidR="006A3666" w:rsidRPr="003B4CDA" w14:paraId="4091F812" w14:textId="77777777" w:rsidTr="00B30C77">
        <w:trPr>
          <w:cnfStyle w:val="000000100000" w:firstRow="0" w:lastRow="0" w:firstColumn="0" w:lastColumn="0" w:oddVBand="0" w:evenVBand="0" w:oddHBand="1" w:evenHBand="0" w:firstRowFirstColumn="0" w:firstRowLastColumn="0" w:lastRowFirstColumn="0" w:lastRowLastColumn="0"/>
          <w:jc w:val="center"/>
        </w:trPr>
        <w:tc>
          <w:tcPr>
            <w:tcW w:w="3688" w:type="dxa"/>
            <w:shd w:val="clear" w:color="auto" w:fill="E5DFEC" w:themeFill="accent4" w:themeFillTint="33"/>
          </w:tcPr>
          <w:p w14:paraId="74C1CA2B" w14:textId="77777777" w:rsidR="00B30C77" w:rsidRPr="003B4CDA" w:rsidRDefault="00B30C77">
            <w:pPr>
              <w:spacing w:before="40" w:after="40"/>
              <w:rPr>
                <w:rFonts w:ascii="Segoe UI Light" w:hAnsi="Segoe UI Light"/>
                <w:sz w:val="16"/>
                <w:szCs w:val="20"/>
              </w:rPr>
            </w:pPr>
            <w:r w:rsidRPr="003B4CDA">
              <w:rPr>
                <w:rFonts w:ascii="Segoe UI Light" w:hAnsi="Segoe UI Light"/>
                <w:sz w:val="16"/>
                <w:szCs w:val="20"/>
              </w:rPr>
              <w:t>Tirdzniecība un izmitināšana</w:t>
            </w:r>
          </w:p>
        </w:tc>
        <w:tc>
          <w:tcPr>
            <w:tcW w:w="907" w:type="dxa"/>
            <w:shd w:val="clear" w:color="auto" w:fill="E5DFEC" w:themeFill="accent4" w:themeFillTint="33"/>
            <w:vAlign w:val="bottom"/>
          </w:tcPr>
          <w:p w14:paraId="4975DBB1"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66</w:t>
            </w:r>
          </w:p>
        </w:tc>
        <w:tc>
          <w:tcPr>
            <w:tcW w:w="907" w:type="dxa"/>
            <w:shd w:val="clear" w:color="auto" w:fill="E5DFEC" w:themeFill="accent4" w:themeFillTint="33"/>
            <w:vAlign w:val="bottom"/>
          </w:tcPr>
          <w:p w14:paraId="4979E9BF"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57</w:t>
            </w:r>
          </w:p>
        </w:tc>
        <w:tc>
          <w:tcPr>
            <w:tcW w:w="907" w:type="dxa"/>
            <w:shd w:val="clear" w:color="auto" w:fill="E5DFEC" w:themeFill="accent4" w:themeFillTint="33"/>
            <w:vAlign w:val="bottom"/>
          </w:tcPr>
          <w:p w14:paraId="6509130F"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49</w:t>
            </w:r>
          </w:p>
        </w:tc>
        <w:tc>
          <w:tcPr>
            <w:tcW w:w="907" w:type="dxa"/>
            <w:shd w:val="clear" w:color="auto" w:fill="E5DFEC" w:themeFill="accent4" w:themeFillTint="33"/>
            <w:vAlign w:val="bottom"/>
          </w:tcPr>
          <w:p w14:paraId="282D1C03"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39</w:t>
            </w:r>
          </w:p>
        </w:tc>
        <w:tc>
          <w:tcPr>
            <w:tcW w:w="965" w:type="dxa"/>
            <w:shd w:val="clear" w:color="auto" w:fill="E5DFEC" w:themeFill="accent4" w:themeFillTint="33"/>
            <w:vAlign w:val="bottom"/>
          </w:tcPr>
          <w:p w14:paraId="659878B4"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8</w:t>
            </w:r>
          </w:p>
        </w:tc>
        <w:tc>
          <w:tcPr>
            <w:tcW w:w="963" w:type="dxa"/>
            <w:shd w:val="clear" w:color="auto" w:fill="E5DFEC" w:themeFill="accent4" w:themeFillTint="33"/>
            <w:vAlign w:val="bottom"/>
          </w:tcPr>
          <w:p w14:paraId="255B7486"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18</w:t>
            </w:r>
          </w:p>
        </w:tc>
      </w:tr>
      <w:tr w:rsidR="006A3666" w:rsidRPr="003B4CDA" w14:paraId="3CACC370" w14:textId="77777777" w:rsidTr="00B30C77">
        <w:trPr>
          <w:jc w:val="center"/>
        </w:trPr>
        <w:tc>
          <w:tcPr>
            <w:tcW w:w="3688" w:type="dxa"/>
            <w:shd w:val="clear" w:color="auto" w:fill="CCC0D9" w:themeFill="accent4" w:themeFillTint="66"/>
          </w:tcPr>
          <w:p w14:paraId="3AE697A4" w14:textId="77777777" w:rsidR="00B30C77" w:rsidRPr="003B4CDA" w:rsidRDefault="00B30C77">
            <w:pPr>
              <w:spacing w:before="40" w:after="40"/>
              <w:rPr>
                <w:rFonts w:ascii="Segoe UI Light" w:hAnsi="Segoe UI Light"/>
                <w:sz w:val="16"/>
                <w:szCs w:val="20"/>
              </w:rPr>
            </w:pPr>
            <w:r w:rsidRPr="003B4CDA">
              <w:rPr>
                <w:rFonts w:ascii="Segoe UI Light" w:hAnsi="Segoe UI Light"/>
                <w:sz w:val="16"/>
                <w:szCs w:val="20"/>
              </w:rPr>
              <w:t>Transports un uzglabāšana</w:t>
            </w:r>
          </w:p>
        </w:tc>
        <w:tc>
          <w:tcPr>
            <w:tcW w:w="907" w:type="dxa"/>
            <w:shd w:val="clear" w:color="auto" w:fill="CCC0D9" w:themeFill="accent4" w:themeFillTint="66"/>
            <w:vAlign w:val="bottom"/>
          </w:tcPr>
          <w:p w14:paraId="3B5444E5"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66</w:t>
            </w:r>
          </w:p>
        </w:tc>
        <w:tc>
          <w:tcPr>
            <w:tcW w:w="907" w:type="dxa"/>
            <w:shd w:val="clear" w:color="auto" w:fill="CCC0D9" w:themeFill="accent4" w:themeFillTint="66"/>
            <w:vAlign w:val="bottom"/>
          </w:tcPr>
          <w:p w14:paraId="2AE3E89F"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73</w:t>
            </w:r>
          </w:p>
        </w:tc>
        <w:tc>
          <w:tcPr>
            <w:tcW w:w="907" w:type="dxa"/>
            <w:shd w:val="clear" w:color="auto" w:fill="CCC0D9" w:themeFill="accent4" w:themeFillTint="66"/>
            <w:vAlign w:val="bottom"/>
          </w:tcPr>
          <w:p w14:paraId="045FF707"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6</w:t>
            </w:r>
            <w:r>
              <w:rPr>
                <w:rFonts w:ascii="Segoe UI Light" w:hAnsi="Segoe UI Light"/>
                <w:sz w:val="16"/>
                <w:szCs w:val="20"/>
              </w:rPr>
              <w:t>7</w:t>
            </w:r>
          </w:p>
        </w:tc>
        <w:tc>
          <w:tcPr>
            <w:tcW w:w="907" w:type="dxa"/>
            <w:shd w:val="clear" w:color="auto" w:fill="CCC0D9" w:themeFill="accent4" w:themeFillTint="66"/>
            <w:vAlign w:val="bottom"/>
          </w:tcPr>
          <w:p w14:paraId="70948428"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66</w:t>
            </w:r>
          </w:p>
        </w:tc>
        <w:tc>
          <w:tcPr>
            <w:tcW w:w="965" w:type="dxa"/>
            <w:shd w:val="clear" w:color="auto" w:fill="CCC0D9" w:themeFill="accent4" w:themeFillTint="66"/>
            <w:vAlign w:val="bottom"/>
          </w:tcPr>
          <w:p w14:paraId="0C9EF0B7"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-6</w:t>
            </w:r>
          </w:p>
        </w:tc>
        <w:tc>
          <w:tcPr>
            <w:tcW w:w="963" w:type="dxa"/>
            <w:shd w:val="clear" w:color="auto" w:fill="CCC0D9" w:themeFill="accent4" w:themeFillTint="66"/>
            <w:vAlign w:val="bottom"/>
          </w:tcPr>
          <w:p w14:paraId="48854B76"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-7</w:t>
            </w:r>
          </w:p>
        </w:tc>
      </w:tr>
      <w:tr w:rsidR="006A3666" w:rsidRPr="003B4CDA" w14:paraId="39BC348B" w14:textId="77777777" w:rsidTr="00B30C77">
        <w:trPr>
          <w:cnfStyle w:val="000000100000" w:firstRow="0" w:lastRow="0" w:firstColumn="0" w:lastColumn="0" w:oddVBand="0" w:evenVBand="0" w:oddHBand="1" w:evenHBand="0" w:firstRowFirstColumn="0" w:firstRowLastColumn="0" w:lastRowFirstColumn="0" w:lastRowLastColumn="0"/>
          <w:jc w:val="center"/>
        </w:trPr>
        <w:tc>
          <w:tcPr>
            <w:tcW w:w="3688" w:type="dxa"/>
            <w:shd w:val="clear" w:color="auto" w:fill="E5DFEC" w:themeFill="accent4" w:themeFillTint="33"/>
          </w:tcPr>
          <w:p w14:paraId="4AD263CC" w14:textId="77777777" w:rsidR="00B30C77" w:rsidRPr="003B4CDA" w:rsidRDefault="00B30C77">
            <w:pPr>
              <w:spacing w:before="40" w:after="40"/>
              <w:rPr>
                <w:rFonts w:ascii="Segoe UI Light" w:hAnsi="Segoe UI Light"/>
                <w:sz w:val="16"/>
                <w:szCs w:val="20"/>
              </w:rPr>
            </w:pPr>
            <w:r w:rsidRPr="003B4CDA">
              <w:rPr>
                <w:rFonts w:ascii="Segoe UI Light" w:hAnsi="Segoe UI Light"/>
                <w:sz w:val="16"/>
                <w:szCs w:val="20"/>
              </w:rPr>
              <w:t>Citi komercpakalpojumi</w:t>
            </w:r>
          </w:p>
        </w:tc>
        <w:tc>
          <w:tcPr>
            <w:tcW w:w="907" w:type="dxa"/>
            <w:shd w:val="clear" w:color="auto" w:fill="E5DFEC" w:themeFill="accent4" w:themeFillTint="33"/>
            <w:vAlign w:val="bottom"/>
          </w:tcPr>
          <w:p w14:paraId="044B6739"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80</w:t>
            </w:r>
          </w:p>
        </w:tc>
        <w:tc>
          <w:tcPr>
            <w:tcW w:w="907" w:type="dxa"/>
            <w:shd w:val="clear" w:color="auto" w:fill="E5DFEC" w:themeFill="accent4" w:themeFillTint="33"/>
            <w:vAlign w:val="bottom"/>
          </w:tcPr>
          <w:p w14:paraId="5BC3AE94"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87</w:t>
            </w:r>
          </w:p>
        </w:tc>
        <w:tc>
          <w:tcPr>
            <w:tcW w:w="907" w:type="dxa"/>
            <w:shd w:val="clear" w:color="auto" w:fill="E5DFEC" w:themeFill="accent4" w:themeFillTint="33"/>
            <w:vAlign w:val="bottom"/>
          </w:tcPr>
          <w:p w14:paraId="7D0D386E"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208</w:t>
            </w:r>
          </w:p>
        </w:tc>
        <w:tc>
          <w:tcPr>
            <w:tcW w:w="907" w:type="dxa"/>
            <w:shd w:val="clear" w:color="auto" w:fill="E5DFEC" w:themeFill="accent4" w:themeFillTint="33"/>
            <w:vAlign w:val="bottom"/>
          </w:tcPr>
          <w:p w14:paraId="7F3ADDE7"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2</w:t>
            </w:r>
            <w:r>
              <w:rPr>
                <w:rFonts w:ascii="Segoe UI Light" w:hAnsi="Segoe UI Light"/>
                <w:sz w:val="16"/>
                <w:szCs w:val="20"/>
              </w:rPr>
              <w:t>18</w:t>
            </w:r>
          </w:p>
        </w:tc>
        <w:tc>
          <w:tcPr>
            <w:tcW w:w="965" w:type="dxa"/>
            <w:shd w:val="clear" w:color="auto" w:fill="E5DFEC" w:themeFill="accent4" w:themeFillTint="33"/>
            <w:vAlign w:val="bottom"/>
          </w:tcPr>
          <w:p w14:paraId="105FD032"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21</w:t>
            </w:r>
          </w:p>
        </w:tc>
        <w:tc>
          <w:tcPr>
            <w:tcW w:w="963" w:type="dxa"/>
            <w:shd w:val="clear" w:color="auto" w:fill="E5DFEC" w:themeFill="accent4" w:themeFillTint="33"/>
            <w:vAlign w:val="bottom"/>
          </w:tcPr>
          <w:p w14:paraId="46C2C995"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32</w:t>
            </w:r>
          </w:p>
        </w:tc>
      </w:tr>
      <w:tr w:rsidR="006A3666" w:rsidRPr="003B4CDA" w14:paraId="483EEC39" w14:textId="77777777" w:rsidTr="00B30C77">
        <w:trPr>
          <w:jc w:val="center"/>
        </w:trPr>
        <w:tc>
          <w:tcPr>
            <w:tcW w:w="3688" w:type="dxa"/>
            <w:shd w:val="clear" w:color="auto" w:fill="CCC0D9" w:themeFill="accent4" w:themeFillTint="66"/>
          </w:tcPr>
          <w:p w14:paraId="0438830E" w14:textId="77777777" w:rsidR="00B30C77" w:rsidRPr="003B4CDA" w:rsidRDefault="00B30C77">
            <w:pPr>
              <w:spacing w:before="40" w:after="40"/>
              <w:rPr>
                <w:rFonts w:ascii="Segoe UI Light" w:hAnsi="Segoe UI Light"/>
                <w:sz w:val="16"/>
                <w:szCs w:val="20"/>
              </w:rPr>
            </w:pPr>
            <w:r w:rsidRPr="003B4CDA">
              <w:rPr>
                <w:rFonts w:ascii="Segoe UI Light" w:hAnsi="Segoe UI Light"/>
                <w:sz w:val="16"/>
                <w:szCs w:val="20"/>
              </w:rPr>
              <w:t>Sabiedriskie pakalpojumi</w:t>
            </w:r>
          </w:p>
        </w:tc>
        <w:tc>
          <w:tcPr>
            <w:tcW w:w="907" w:type="dxa"/>
            <w:shd w:val="clear" w:color="auto" w:fill="CCC0D9" w:themeFill="accent4" w:themeFillTint="66"/>
            <w:vAlign w:val="bottom"/>
          </w:tcPr>
          <w:p w14:paraId="0708594D" w14:textId="77777777" w:rsidR="00B30C77" w:rsidRPr="003B4CDA" w:rsidRDefault="00B30C77">
            <w:pPr>
              <w:tabs>
                <w:tab w:val="decimal" w:pos="447"/>
              </w:tabs>
              <w:spacing w:before="40" w:after="40"/>
              <w:rPr>
                <w:rFonts w:ascii="Segoe UI Light" w:hAnsi="Segoe UI Light"/>
                <w:sz w:val="16"/>
                <w:szCs w:val="16"/>
              </w:rPr>
            </w:pPr>
            <w:r w:rsidRPr="4398C881">
              <w:rPr>
                <w:rFonts w:ascii="Segoe UI Light" w:hAnsi="Segoe UI Light"/>
                <w:sz w:val="16"/>
                <w:szCs w:val="16"/>
              </w:rPr>
              <w:t>20</w:t>
            </w:r>
            <w:r>
              <w:rPr>
                <w:rFonts w:ascii="Segoe UI Light" w:hAnsi="Segoe UI Light"/>
                <w:sz w:val="16"/>
                <w:szCs w:val="16"/>
              </w:rPr>
              <w:t>5</w:t>
            </w:r>
          </w:p>
        </w:tc>
        <w:tc>
          <w:tcPr>
            <w:tcW w:w="907" w:type="dxa"/>
            <w:shd w:val="clear" w:color="auto" w:fill="CCC0D9" w:themeFill="accent4" w:themeFillTint="66"/>
            <w:vAlign w:val="bottom"/>
          </w:tcPr>
          <w:p w14:paraId="66568EB3"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20</w:t>
            </w:r>
            <w:r>
              <w:rPr>
                <w:rFonts w:ascii="Segoe UI Light" w:hAnsi="Segoe UI Light"/>
                <w:sz w:val="16"/>
                <w:szCs w:val="20"/>
              </w:rPr>
              <w:t>5</w:t>
            </w:r>
          </w:p>
        </w:tc>
        <w:tc>
          <w:tcPr>
            <w:tcW w:w="907" w:type="dxa"/>
            <w:shd w:val="clear" w:color="auto" w:fill="CCC0D9" w:themeFill="accent4" w:themeFillTint="66"/>
            <w:vAlign w:val="bottom"/>
          </w:tcPr>
          <w:p w14:paraId="21AD5DEB"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208</w:t>
            </w:r>
          </w:p>
        </w:tc>
        <w:tc>
          <w:tcPr>
            <w:tcW w:w="907" w:type="dxa"/>
            <w:shd w:val="clear" w:color="auto" w:fill="CCC0D9" w:themeFill="accent4" w:themeFillTint="66"/>
            <w:vAlign w:val="bottom"/>
          </w:tcPr>
          <w:p w14:paraId="12F8C1A3"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198</w:t>
            </w:r>
          </w:p>
        </w:tc>
        <w:tc>
          <w:tcPr>
            <w:tcW w:w="965" w:type="dxa"/>
            <w:shd w:val="clear" w:color="auto" w:fill="CCC0D9" w:themeFill="accent4" w:themeFillTint="66"/>
            <w:vAlign w:val="bottom"/>
          </w:tcPr>
          <w:p w14:paraId="6C2945B5" w14:textId="77777777" w:rsidR="00B30C77" w:rsidRPr="003B4CDA" w:rsidRDefault="00B30C77">
            <w:pPr>
              <w:tabs>
                <w:tab w:val="decimal" w:pos="447"/>
              </w:tabs>
              <w:spacing w:before="40" w:after="40"/>
              <w:rPr>
                <w:rFonts w:ascii="Segoe UI Light" w:hAnsi="Segoe UI Light"/>
                <w:sz w:val="16"/>
                <w:szCs w:val="20"/>
              </w:rPr>
            </w:pPr>
            <w:r>
              <w:rPr>
                <w:rFonts w:ascii="Segoe UI Light" w:hAnsi="Segoe UI Light"/>
                <w:sz w:val="16"/>
                <w:szCs w:val="20"/>
              </w:rPr>
              <w:t>4</w:t>
            </w:r>
          </w:p>
        </w:tc>
        <w:tc>
          <w:tcPr>
            <w:tcW w:w="963" w:type="dxa"/>
            <w:shd w:val="clear" w:color="auto" w:fill="CCC0D9" w:themeFill="accent4" w:themeFillTint="66"/>
            <w:vAlign w:val="bottom"/>
          </w:tcPr>
          <w:p w14:paraId="06641323" w14:textId="77777777" w:rsidR="00B30C77" w:rsidRPr="003B4CDA" w:rsidRDefault="00B30C77">
            <w:pPr>
              <w:tabs>
                <w:tab w:val="decimal" w:pos="447"/>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7</w:t>
            </w:r>
          </w:p>
        </w:tc>
      </w:tr>
      <w:tr w:rsidR="006A3666" w:rsidRPr="003B4CDA" w14:paraId="05540519" w14:textId="77777777" w:rsidTr="00B30C77">
        <w:trPr>
          <w:cnfStyle w:val="000000100000" w:firstRow="0" w:lastRow="0" w:firstColumn="0" w:lastColumn="0" w:oddVBand="0" w:evenVBand="0" w:oddHBand="1" w:evenHBand="0" w:firstRowFirstColumn="0" w:firstRowLastColumn="0" w:lastRowFirstColumn="0" w:lastRowLastColumn="0"/>
          <w:jc w:val="center"/>
        </w:trPr>
        <w:tc>
          <w:tcPr>
            <w:tcW w:w="3688" w:type="dxa"/>
            <w:shd w:val="clear" w:color="auto" w:fill="E5DFEC" w:themeFill="accent4" w:themeFillTint="33"/>
          </w:tcPr>
          <w:p w14:paraId="30F91DA0" w14:textId="77777777" w:rsidR="00B30C77" w:rsidRPr="003B4CDA" w:rsidRDefault="00B30C77">
            <w:pPr>
              <w:spacing w:before="40" w:after="40"/>
              <w:rPr>
                <w:rFonts w:ascii="Segoe UI Light" w:hAnsi="Segoe UI Light"/>
                <w:b/>
                <w:sz w:val="16"/>
                <w:szCs w:val="20"/>
              </w:rPr>
            </w:pPr>
            <w:r w:rsidRPr="003B4CDA">
              <w:rPr>
                <w:rFonts w:ascii="Segoe UI Light" w:hAnsi="Segoe UI Light"/>
                <w:b/>
                <w:sz w:val="16"/>
                <w:szCs w:val="20"/>
              </w:rPr>
              <w:t>Kopā</w:t>
            </w:r>
          </w:p>
        </w:tc>
        <w:tc>
          <w:tcPr>
            <w:tcW w:w="907" w:type="dxa"/>
            <w:shd w:val="clear" w:color="auto" w:fill="E5DFEC" w:themeFill="accent4" w:themeFillTint="33"/>
            <w:vAlign w:val="bottom"/>
          </w:tcPr>
          <w:p w14:paraId="5FF25193" w14:textId="77777777" w:rsidR="00B30C77" w:rsidRPr="003B4CDA" w:rsidRDefault="00B30C77">
            <w:pPr>
              <w:tabs>
                <w:tab w:val="decimal" w:pos="447"/>
              </w:tabs>
              <w:spacing w:before="40" w:after="40"/>
              <w:rPr>
                <w:rFonts w:ascii="Segoe UI Light" w:hAnsi="Segoe UI Light"/>
                <w:b/>
                <w:sz w:val="16"/>
                <w:szCs w:val="20"/>
              </w:rPr>
            </w:pPr>
            <w:r>
              <w:rPr>
                <w:rFonts w:ascii="Segoe UI Light" w:hAnsi="Segoe UI Light"/>
                <w:b/>
                <w:sz w:val="16"/>
                <w:szCs w:val="20"/>
              </w:rPr>
              <w:t>886</w:t>
            </w:r>
          </w:p>
        </w:tc>
        <w:tc>
          <w:tcPr>
            <w:tcW w:w="907" w:type="dxa"/>
            <w:shd w:val="clear" w:color="auto" w:fill="E5DFEC" w:themeFill="accent4" w:themeFillTint="33"/>
            <w:vAlign w:val="bottom"/>
          </w:tcPr>
          <w:p w14:paraId="6E30550F" w14:textId="77777777" w:rsidR="00B30C77" w:rsidRPr="003B4CDA" w:rsidRDefault="00B30C77">
            <w:pPr>
              <w:tabs>
                <w:tab w:val="decimal" w:pos="447"/>
              </w:tabs>
              <w:spacing w:before="40" w:after="40"/>
              <w:rPr>
                <w:rFonts w:ascii="Segoe UI Light" w:hAnsi="Segoe UI Light"/>
                <w:b/>
                <w:sz w:val="16"/>
                <w:szCs w:val="20"/>
              </w:rPr>
            </w:pPr>
            <w:r>
              <w:rPr>
                <w:rFonts w:ascii="Segoe UI Light" w:hAnsi="Segoe UI Light"/>
                <w:b/>
                <w:sz w:val="16"/>
                <w:szCs w:val="20"/>
              </w:rPr>
              <w:t>884</w:t>
            </w:r>
          </w:p>
        </w:tc>
        <w:tc>
          <w:tcPr>
            <w:tcW w:w="907" w:type="dxa"/>
            <w:shd w:val="clear" w:color="auto" w:fill="E5DFEC" w:themeFill="accent4" w:themeFillTint="33"/>
            <w:vAlign w:val="bottom"/>
          </w:tcPr>
          <w:p w14:paraId="4F3C066D" w14:textId="77777777" w:rsidR="00B30C77" w:rsidRPr="003B4CDA" w:rsidRDefault="00B30C77">
            <w:pPr>
              <w:tabs>
                <w:tab w:val="decimal" w:pos="447"/>
              </w:tabs>
              <w:spacing w:before="40" w:after="40"/>
              <w:rPr>
                <w:rFonts w:ascii="Segoe UI Light" w:hAnsi="Segoe UI Light"/>
                <w:b/>
                <w:sz w:val="16"/>
                <w:szCs w:val="20"/>
              </w:rPr>
            </w:pPr>
            <w:r>
              <w:rPr>
                <w:rFonts w:ascii="Segoe UI Light" w:hAnsi="Segoe UI Light"/>
                <w:b/>
                <w:sz w:val="16"/>
                <w:szCs w:val="20"/>
              </w:rPr>
              <w:t>908</w:t>
            </w:r>
          </w:p>
        </w:tc>
        <w:tc>
          <w:tcPr>
            <w:tcW w:w="907" w:type="dxa"/>
            <w:shd w:val="clear" w:color="auto" w:fill="E5DFEC" w:themeFill="accent4" w:themeFillTint="33"/>
            <w:vAlign w:val="bottom"/>
          </w:tcPr>
          <w:p w14:paraId="4CCF65AE" w14:textId="77777777" w:rsidR="00B30C77" w:rsidRPr="003B4CDA" w:rsidRDefault="00B30C77">
            <w:pPr>
              <w:tabs>
                <w:tab w:val="decimal" w:pos="447"/>
              </w:tabs>
              <w:spacing w:before="40" w:after="40"/>
              <w:rPr>
                <w:rFonts w:ascii="Segoe UI Light" w:hAnsi="Segoe UI Light"/>
                <w:b/>
                <w:sz w:val="16"/>
                <w:szCs w:val="20"/>
              </w:rPr>
            </w:pPr>
            <w:r w:rsidRPr="003B4CDA">
              <w:rPr>
                <w:rFonts w:ascii="Segoe UI Light" w:hAnsi="Segoe UI Light"/>
                <w:b/>
                <w:sz w:val="16"/>
                <w:szCs w:val="20"/>
              </w:rPr>
              <w:t>8</w:t>
            </w:r>
            <w:r>
              <w:rPr>
                <w:rFonts w:ascii="Segoe UI Light" w:hAnsi="Segoe UI Light"/>
                <w:b/>
                <w:sz w:val="16"/>
                <w:szCs w:val="20"/>
              </w:rPr>
              <w:t>90</w:t>
            </w:r>
          </w:p>
        </w:tc>
        <w:tc>
          <w:tcPr>
            <w:tcW w:w="965" w:type="dxa"/>
            <w:shd w:val="clear" w:color="auto" w:fill="E5DFEC" w:themeFill="accent4" w:themeFillTint="33"/>
            <w:vAlign w:val="bottom"/>
          </w:tcPr>
          <w:p w14:paraId="4B7C9522" w14:textId="77777777" w:rsidR="00B30C77" w:rsidRPr="003B4CDA" w:rsidRDefault="00B30C77">
            <w:pPr>
              <w:tabs>
                <w:tab w:val="decimal" w:pos="447"/>
              </w:tabs>
              <w:spacing w:before="40" w:after="40"/>
              <w:rPr>
                <w:rFonts w:ascii="Segoe UI Light" w:hAnsi="Segoe UI Light"/>
                <w:b/>
                <w:sz w:val="16"/>
                <w:szCs w:val="20"/>
              </w:rPr>
            </w:pPr>
            <w:r>
              <w:rPr>
                <w:rFonts w:ascii="Segoe UI Light" w:hAnsi="Segoe UI Light"/>
                <w:b/>
                <w:sz w:val="16"/>
                <w:szCs w:val="20"/>
              </w:rPr>
              <w:t>24</w:t>
            </w:r>
          </w:p>
        </w:tc>
        <w:tc>
          <w:tcPr>
            <w:tcW w:w="963" w:type="dxa"/>
            <w:shd w:val="clear" w:color="auto" w:fill="E5DFEC" w:themeFill="accent4" w:themeFillTint="33"/>
            <w:vAlign w:val="bottom"/>
          </w:tcPr>
          <w:p w14:paraId="057219CA" w14:textId="77777777" w:rsidR="00B30C77" w:rsidRPr="003B4CDA" w:rsidRDefault="00B30C77">
            <w:pPr>
              <w:tabs>
                <w:tab w:val="decimal" w:pos="447"/>
              </w:tabs>
              <w:spacing w:before="40" w:after="40"/>
              <w:rPr>
                <w:rFonts w:ascii="Segoe UI Light" w:hAnsi="Segoe UI Light"/>
                <w:b/>
                <w:sz w:val="16"/>
                <w:szCs w:val="20"/>
              </w:rPr>
            </w:pPr>
            <w:r>
              <w:rPr>
                <w:rFonts w:ascii="Segoe UI Light" w:hAnsi="Segoe UI Light"/>
                <w:b/>
                <w:sz w:val="16"/>
                <w:szCs w:val="20"/>
              </w:rPr>
              <w:t>6</w:t>
            </w:r>
          </w:p>
        </w:tc>
      </w:tr>
    </w:tbl>
    <w:p w14:paraId="3F16E4C7" w14:textId="3AB17939" w:rsidR="009A0130" w:rsidRPr="000E509C" w:rsidRDefault="009A0130" w:rsidP="000E509C">
      <w:pPr>
        <w:spacing w:before="120" w:after="120"/>
        <w:jc w:val="both"/>
        <w:rPr>
          <w:rFonts w:cs="Calibri Light"/>
          <w:sz w:val="16"/>
          <w:szCs w:val="14"/>
        </w:rPr>
      </w:pPr>
      <w:r w:rsidRPr="000E509C">
        <w:rPr>
          <w:rFonts w:cs="Calibri Light"/>
          <w:sz w:val="16"/>
          <w:szCs w:val="14"/>
        </w:rPr>
        <w:t>Avots: CSP dati līdz 2020.</w:t>
      </w:r>
      <w:r w:rsidR="0080669C" w:rsidRPr="000E509C">
        <w:rPr>
          <w:rFonts w:cs="Calibri Light"/>
          <w:sz w:val="16"/>
          <w:szCs w:val="14"/>
        </w:rPr>
        <w:t>gad</w:t>
      </w:r>
      <w:r w:rsidRPr="000E509C">
        <w:rPr>
          <w:rFonts w:cs="Calibri Light"/>
          <w:sz w:val="16"/>
          <w:szCs w:val="14"/>
        </w:rPr>
        <w:t>am, EM novērtējums 2021.</w:t>
      </w:r>
      <w:r w:rsidR="0080669C" w:rsidRPr="000E509C">
        <w:rPr>
          <w:rFonts w:cs="Calibri Light"/>
          <w:sz w:val="16"/>
          <w:szCs w:val="14"/>
        </w:rPr>
        <w:t>gad</w:t>
      </w:r>
      <w:r w:rsidRPr="000E509C">
        <w:rPr>
          <w:rFonts w:cs="Calibri Light"/>
          <w:sz w:val="16"/>
          <w:szCs w:val="14"/>
        </w:rPr>
        <w:t>am, EM prognozes 2030.</w:t>
      </w:r>
      <w:r w:rsidR="00E029D7" w:rsidRPr="000E509C">
        <w:rPr>
          <w:rFonts w:cs="Calibri Light"/>
          <w:sz w:val="16"/>
          <w:szCs w:val="14"/>
        </w:rPr>
        <w:t xml:space="preserve"> </w:t>
      </w:r>
      <w:r w:rsidRPr="000E509C">
        <w:rPr>
          <w:rFonts w:cs="Calibri Light"/>
          <w:sz w:val="16"/>
          <w:szCs w:val="14"/>
        </w:rPr>
        <w:t>un 2040.</w:t>
      </w:r>
      <w:r w:rsidR="00DB0BF5">
        <w:rPr>
          <w:rFonts w:cs="Calibri Light"/>
          <w:sz w:val="16"/>
          <w:szCs w:val="14"/>
        </w:rPr>
        <w:t xml:space="preserve"> </w:t>
      </w:r>
      <w:r w:rsidR="0080669C" w:rsidRPr="000E509C">
        <w:rPr>
          <w:rFonts w:cs="Calibri Light"/>
          <w:sz w:val="16"/>
          <w:szCs w:val="14"/>
        </w:rPr>
        <w:t>gad</w:t>
      </w:r>
      <w:r w:rsidRPr="000E509C">
        <w:rPr>
          <w:rFonts w:cs="Calibri Light"/>
          <w:sz w:val="16"/>
          <w:szCs w:val="14"/>
        </w:rPr>
        <w:t>am</w:t>
      </w:r>
    </w:p>
    <w:p w14:paraId="1F14A1C7" w14:textId="77777777" w:rsidR="00343F74" w:rsidRDefault="00343F74" w:rsidP="00343F74">
      <w:pPr>
        <w:spacing w:after="120"/>
        <w:jc w:val="both"/>
        <w:rPr>
          <w:szCs w:val="20"/>
        </w:rPr>
      </w:pPr>
    </w:p>
    <w:p w14:paraId="59C09D32" w14:textId="0CA9E5CF" w:rsidR="000E509C" w:rsidRDefault="000E509C" w:rsidP="00343F74">
      <w:pPr>
        <w:spacing w:after="120"/>
        <w:jc w:val="both"/>
        <w:rPr>
          <w:szCs w:val="20"/>
        </w:rPr>
      </w:pPr>
      <w:r w:rsidRPr="00F71D5A">
        <w:rPr>
          <w:szCs w:val="20"/>
        </w:rPr>
        <w:t xml:space="preserve">Nākotnē strauji augs pieprasījums pēc darbaspēka būvniecības nozarē. Vidējā termiņā būvniecības nozares attīstību lielā mērā nodrošinās publiskās investīcijas un lielo investīciju projektu (“Rail </w:t>
      </w:r>
      <w:proofErr w:type="spellStart"/>
      <w:r w:rsidRPr="00F71D5A">
        <w:rPr>
          <w:szCs w:val="20"/>
        </w:rPr>
        <w:t>Baltica</w:t>
      </w:r>
      <w:proofErr w:type="spellEnd"/>
      <w:r w:rsidRPr="00F71D5A">
        <w:rPr>
          <w:szCs w:val="20"/>
        </w:rPr>
        <w:t>”) realizēšana, no otras puses papildus pieprasījumu veidos augošās nozares un nepieciešamība pēc jaunām industriālajām telpām. Ilgtermiņā nozares attīstību ietekmēs pieprasījums pēc energoefektīvās un „zaļās” būvniecības.</w:t>
      </w:r>
    </w:p>
    <w:p w14:paraId="4CCDE131" w14:textId="35FF9981" w:rsidR="000E509C" w:rsidRDefault="000E509C" w:rsidP="00343F74">
      <w:pPr>
        <w:spacing w:after="120"/>
        <w:jc w:val="both"/>
        <w:rPr>
          <w:szCs w:val="20"/>
        </w:rPr>
      </w:pPr>
      <w:r w:rsidRPr="00515AED">
        <w:rPr>
          <w:szCs w:val="20"/>
        </w:rPr>
        <w:lastRenderedPageBreak/>
        <w:t>Straujākais nodarbināto skaita pieaugums paredzams komercpakalpojumu nozarēs. 2030</w:t>
      </w:r>
      <w:r>
        <w:rPr>
          <w:szCs w:val="20"/>
        </w:rPr>
        <w:t>.</w:t>
      </w:r>
      <w:r w:rsidRPr="00515AED">
        <w:rPr>
          <w:szCs w:val="20"/>
        </w:rPr>
        <w:t>gadā pieprasījums pēc darbaspēka par 11% pārsniegs 2023.gada līmeni un veidos 23% no visā tautsaimniecībā nodarbināto skaita, savukārt ilgtermiņā pieprasījums pieaugs par 17% un veidos jau 1/4 no visā tautsaimniecībā nodarbināto skaita. Komercpakalpojumu nozares izaugsmi galvenokārt veicinās pārējo tautsaimniecības nozaru attīstība un aizvien augošais pieprasījums pēc ārpakalpojumiem.</w:t>
      </w:r>
    </w:p>
    <w:p w14:paraId="7D68C5B2" w14:textId="77777777" w:rsidR="00661B23" w:rsidRDefault="00661B23" w:rsidP="00343F74">
      <w:pPr>
        <w:spacing w:after="120"/>
        <w:jc w:val="both"/>
        <w:rPr>
          <w:szCs w:val="20"/>
        </w:rPr>
      </w:pPr>
    </w:p>
    <w:p w14:paraId="1E8DDBD9" w14:textId="77777777" w:rsidR="00FE218F" w:rsidRPr="003B6C44"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jc w:val="right"/>
        <w:rPr>
          <w:rFonts w:ascii="Segoe UI Light" w:hAnsi="Segoe UI Light" w:cs="Segoe UI Light"/>
          <w:b/>
          <w:bCs/>
          <w:sz w:val="16"/>
          <w:szCs w:val="16"/>
        </w:rPr>
      </w:pPr>
      <w:r w:rsidRPr="003B6C44">
        <w:rPr>
          <w:rFonts w:ascii="Segoe UI Light" w:hAnsi="Segoe UI Light" w:cs="Segoe UI Light"/>
          <w:b/>
          <w:bCs/>
          <w:sz w:val="16"/>
          <w:szCs w:val="16"/>
        </w:rPr>
        <w:t>Mākslīga intelekta ietekme uz darba tirgu</w:t>
      </w:r>
    </w:p>
    <w:p w14:paraId="4D8FB740" w14:textId="551EF7B1" w:rsidR="00FE218F" w:rsidRPr="00A54D3B" w:rsidRDefault="009D2225"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Pr>
          <w:rFonts w:ascii="Segoe UI Light" w:hAnsi="Segoe UI Light" w:cs="Segoe UI Light"/>
          <w:sz w:val="16"/>
          <w:szCs w:val="16"/>
        </w:rPr>
        <w:t>MI</w:t>
      </w:r>
      <w:r w:rsidR="00FE218F" w:rsidRPr="00A54D3B">
        <w:rPr>
          <w:rFonts w:ascii="Segoe UI Light" w:hAnsi="Segoe UI Light" w:cs="Segoe UI Light"/>
          <w:sz w:val="16"/>
          <w:szCs w:val="16"/>
        </w:rPr>
        <w:t xml:space="preserve"> ir kļuvis par svarīgu inovācijas dzinējspēku, kas ietekmē dažādas nozares, uzlabojot uzņēmumu darbību, inovācijas procesus un klientu apkalpošanu. MI spēj automatizēt rutīnas uzdevumus un radīt jaunus produktus un pakalpojumus, taču tā ieviešana rada bažas par darba tirgu, prasmju prasībām un darba vietu nākotni.</w:t>
      </w:r>
    </w:p>
    <w:p w14:paraId="1D75F42F" w14:textId="07BA5DA1" w:rsidR="00FE218F" w:rsidRPr="00A54D3B" w:rsidRDefault="00C355AE"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Pr>
          <w:rFonts w:ascii="Segoe UI Light" w:hAnsi="Segoe UI Light" w:cs="Segoe UI Light"/>
          <w:sz w:val="16"/>
          <w:szCs w:val="16"/>
        </w:rPr>
        <w:t>EK</w:t>
      </w:r>
      <w:r w:rsidR="00FE218F" w:rsidRPr="00A54D3B">
        <w:rPr>
          <w:rFonts w:ascii="Segoe UI Light" w:hAnsi="Segoe UI Light" w:cs="Segoe UI Light"/>
          <w:sz w:val="16"/>
          <w:szCs w:val="16"/>
        </w:rPr>
        <w:t xml:space="preserve"> dokumentā "Mākslīgais intelekts: ekonomiskā ietekme, iespējas, izaicinājumi, ietekme uz politiku" tiek aplūkota MI ietekme uz darba tirgu:</w:t>
      </w:r>
    </w:p>
    <w:p w14:paraId="5125720F" w14:textId="6E2CCE45" w:rsidR="00FE218F" w:rsidRPr="00A54D3B" w:rsidRDefault="00630D23" w:rsidP="00630D23">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284"/>
        </w:tabs>
        <w:spacing w:after="60"/>
        <w:jc w:val="both"/>
        <w:rPr>
          <w:rFonts w:ascii="Segoe UI Light" w:hAnsi="Segoe UI Light" w:cs="Segoe UI Light"/>
          <w:sz w:val="16"/>
          <w:szCs w:val="16"/>
        </w:rPr>
      </w:pPr>
      <w:r>
        <w:rPr>
          <w:rFonts w:ascii="Segoe UI Light" w:hAnsi="Segoe UI Light" w:cs="Segoe UI Light"/>
          <w:b/>
          <w:bCs/>
          <w:sz w:val="16"/>
          <w:szCs w:val="16"/>
        </w:rPr>
        <w:t>–</w:t>
      </w:r>
      <w:r>
        <w:rPr>
          <w:rFonts w:ascii="Segoe UI Light" w:hAnsi="Segoe UI Light" w:cs="Segoe UI Light"/>
          <w:b/>
          <w:bCs/>
          <w:sz w:val="16"/>
          <w:szCs w:val="16"/>
        </w:rPr>
        <w:tab/>
      </w:r>
      <w:r w:rsidR="00FE218F" w:rsidRPr="00A54D3B">
        <w:rPr>
          <w:rFonts w:ascii="Segoe UI Light" w:hAnsi="Segoe UI Light" w:cs="Segoe UI Light"/>
          <w:b/>
          <w:bCs/>
          <w:sz w:val="16"/>
          <w:szCs w:val="16"/>
        </w:rPr>
        <w:t>Īstermiņā</w:t>
      </w:r>
      <w:r w:rsidR="00FE218F" w:rsidRPr="00A54D3B">
        <w:rPr>
          <w:rFonts w:ascii="Segoe UI Light" w:hAnsi="Segoe UI Light" w:cs="Segoe UI Light"/>
          <w:sz w:val="16"/>
          <w:szCs w:val="16"/>
        </w:rPr>
        <w:t xml:space="preserve"> palielināsies pieprasījums pēc specifiskām prasmēm darbam ar MI.</w:t>
      </w:r>
    </w:p>
    <w:p w14:paraId="24959220" w14:textId="47F22E3E" w:rsidR="00FE218F" w:rsidRPr="00A54D3B" w:rsidRDefault="00630D23" w:rsidP="00630D23">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284"/>
        </w:tabs>
        <w:spacing w:after="60"/>
        <w:jc w:val="both"/>
        <w:rPr>
          <w:rFonts w:ascii="Segoe UI Light" w:hAnsi="Segoe UI Light" w:cs="Segoe UI Light"/>
          <w:sz w:val="16"/>
          <w:szCs w:val="16"/>
        </w:rPr>
      </w:pPr>
      <w:r>
        <w:rPr>
          <w:rFonts w:ascii="Segoe UI Light" w:hAnsi="Segoe UI Light" w:cs="Segoe UI Light"/>
          <w:b/>
          <w:bCs/>
          <w:sz w:val="16"/>
          <w:szCs w:val="16"/>
        </w:rPr>
        <w:t>–</w:t>
      </w:r>
      <w:r>
        <w:rPr>
          <w:rFonts w:ascii="Segoe UI Light" w:hAnsi="Segoe UI Light" w:cs="Segoe UI Light"/>
          <w:b/>
          <w:bCs/>
          <w:sz w:val="16"/>
          <w:szCs w:val="16"/>
        </w:rPr>
        <w:tab/>
      </w:r>
      <w:r w:rsidR="00FE218F" w:rsidRPr="00A54D3B">
        <w:rPr>
          <w:rFonts w:ascii="Segoe UI Light" w:hAnsi="Segoe UI Light" w:cs="Segoe UI Light"/>
          <w:b/>
          <w:bCs/>
          <w:sz w:val="16"/>
          <w:szCs w:val="16"/>
        </w:rPr>
        <w:t>Vidējā termiņā</w:t>
      </w:r>
      <w:r w:rsidR="00FE218F" w:rsidRPr="00A54D3B">
        <w:rPr>
          <w:rFonts w:ascii="Segoe UI Light" w:hAnsi="Segoe UI Light" w:cs="Segoe UI Light"/>
          <w:sz w:val="16"/>
          <w:szCs w:val="16"/>
        </w:rPr>
        <w:t xml:space="preserve"> samazināsies pieprasījums pēc prasmēm rutīnu darbu veikšanai.</w:t>
      </w:r>
    </w:p>
    <w:p w14:paraId="1913A5F3" w14:textId="30E4E00F" w:rsidR="00FE218F" w:rsidRPr="00A54D3B" w:rsidRDefault="00630D23" w:rsidP="00630D23">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284"/>
        </w:tabs>
        <w:spacing w:after="60"/>
        <w:jc w:val="both"/>
        <w:rPr>
          <w:rFonts w:ascii="Segoe UI Light" w:hAnsi="Segoe UI Light" w:cs="Segoe UI Light"/>
          <w:sz w:val="16"/>
          <w:szCs w:val="16"/>
        </w:rPr>
      </w:pPr>
      <w:r>
        <w:rPr>
          <w:rFonts w:ascii="Segoe UI Light" w:hAnsi="Segoe UI Light" w:cs="Segoe UI Light"/>
          <w:b/>
          <w:bCs/>
          <w:sz w:val="16"/>
          <w:szCs w:val="16"/>
        </w:rPr>
        <w:t>–</w:t>
      </w:r>
      <w:r>
        <w:rPr>
          <w:rFonts w:ascii="Segoe UI Light" w:hAnsi="Segoe UI Light" w:cs="Segoe UI Light"/>
          <w:b/>
          <w:bCs/>
          <w:sz w:val="16"/>
          <w:szCs w:val="16"/>
        </w:rPr>
        <w:tab/>
      </w:r>
      <w:r w:rsidR="00FE218F" w:rsidRPr="00A54D3B">
        <w:rPr>
          <w:rFonts w:ascii="Segoe UI Light" w:hAnsi="Segoe UI Light" w:cs="Segoe UI Light"/>
          <w:b/>
          <w:bCs/>
          <w:sz w:val="16"/>
          <w:szCs w:val="16"/>
        </w:rPr>
        <w:t>Ilgtermiņā</w:t>
      </w:r>
      <w:r w:rsidR="00FE218F" w:rsidRPr="00A54D3B">
        <w:rPr>
          <w:rFonts w:ascii="Segoe UI Light" w:hAnsi="Segoe UI Light" w:cs="Segoe UI Light"/>
          <w:sz w:val="16"/>
          <w:szCs w:val="16"/>
        </w:rPr>
        <w:t xml:space="preserve"> MI var aizstāt augsti kvalificētus darbus, piemēram, programmēšanu, ko veic kognitīvi darbinieki.</w:t>
      </w:r>
    </w:p>
    <w:p w14:paraId="63EB3688" w14:textId="77777777" w:rsidR="00630D23" w:rsidRDefault="00630D23"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p>
    <w:p w14:paraId="21D22A54" w14:textId="4F03E814" w:rsidR="00FE218F"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sz w:val="16"/>
          <w:szCs w:val="16"/>
        </w:rPr>
        <w:t>Latvijā zemas digitālās prasmes var radīt risku zaudēt darbavietas, jo tehnoloģiju ieviešana notiek lēnāk nekā citur. DESI indekss rāda, ka Latvija ir 17. vietā starp ES valstīm digitālo prasību ziņā, kas ir zem ES vidējā līmeņa. Latvijas DESI indeksa izaugsme notiek lēnāk nekā vairumā citu ES valstu.</w:t>
      </w:r>
    </w:p>
    <w:p w14:paraId="7B6C3AE3" w14:textId="77777777" w:rsidR="00630D23" w:rsidRPr="00A54D3B" w:rsidRDefault="00630D23"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p>
    <w:p w14:paraId="16AEA432" w14:textId="77777777" w:rsidR="00FE218F" w:rsidRPr="00A54D3B"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b/>
          <w:bCs/>
          <w:sz w:val="16"/>
          <w:szCs w:val="16"/>
        </w:rPr>
      </w:pPr>
      <w:r w:rsidRPr="00A54D3B">
        <w:rPr>
          <w:rFonts w:ascii="Segoe UI Light" w:hAnsi="Segoe UI Light" w:cs="Segoe UI Light"/>
          <w:b/>
          <w:bCs/>
          <w:sz w:val="16"/>
          <w:szCs w:val="16"/>
        </w:rPr>
        <w:t>Ietekme uz nozarēm</w:t>
      </w:r>
    </w:p>
    <w:p w14:paraId="0D9497FE" w14:textId="5331DBBF" w:rsidR="00FE218F" w:rsidRPr="00A54D3B" w:rsidRDefault="00FE218F" w:rsidP="00630D23">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b/>
          <w:bCs/>
          <w:sz w:val="16"/>
          <w:szCs w:val="16"/>
        </w:rPr>
        <w:t>Banku nozare</w:t>
      </w:r>
      <w:r w:rsidR="00630D23">
        <w:rPr>
          <w:rFonts w:ascii="Segoe UI Light" w:hAnsi="Segoe UI Light" w:cs="Segoe UI Light"/>
          <w:b/>
          <w:bCs/>
          <w:sz w:val="16"/>
          <w:szCs w:val="16"/>
        </w:rPr>
        <w:t xml:space="preserve">: </w:t>
      </w:r>
      <w:r w:rsidRPr="00A54D3B">
        <w:rPr>
          <w:rFonts w:ascii="Segoe UI Light" w:hAnsi="Segoe UI Light" w:cs="Segoe UI Light"/>
          <w:sz w:val="16"/>
          <w:szCs w:val="16"/>
        </w:rPr>
        <w:t>MI var uzlabot produktivitāti un pārveidot banku un klientu mijiedarbību, radot jaunus uzņēmējdarbības modeļus.</w:t>
      </w:r>
    </w:p>
    <w:p w14:paraId="0AD78741" w14:textId="75D1637F" w:rsidR="00FE218F" w:rsidRPr="00A54D3B" w:rsidRDefault="00FE218F" w:rsidP="00630D23">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b/>
          <w:bCs/>
          <w:sz w:val="16"/>
          <w:szCs w:val="16"/>
        </w:rPr>
        <w:t>Finanšu nozare</w:t>
      </w:r>
      <w:r w:rsidR="00630D23">
        <w:rPr>
          <w:rFonts w:ascii="Segoe UI Light" w:hAnsi="Segoe UI Light" w:cs="Segoe UI Light"/>
          <w:b/>
          <w:bCs/>
          <w:sz w:val="16"/>
          <w:szCs w:val="16"/>
        </w:rPr>
        <w:t xml:space="preserve">: </w:t>
      </w:r>
      <w:r w:rsidRPr="00A54D3B">
        <w:rPr>
          <w:rFonts w:ascii="Segoe UI Light" w:hAnsi="Segoe UI Light" w:cs="Segoe UI Light"/>
          <w:sz w:val="16"/>
          <w:szCs w:val="16"/>
        </w:rPr>
        <w:t>MI ieviešana mainīs datu ievadi un analīzi, samazinot nepieciešamību pēc zemas vērtības zināšanām un radot jaunas darba vietas, kas prasa augstākas analītiskās un radošās spējas.</w:t>
      </w:r>
    </w:p>
    <w:p w14:paraId="22C185F1" w14:textId="6D204175" w:rsidR="00FE218F" w:rsidRPr="00A54D3B" w:rsidRDefault="00FE218F" w:rsidP="00630D23">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b/>
          <w:bCs/>
          <w:sz w:val="16"/>
          <w:szCs w:val="16"/>
        </w:rPr>
        <w:t>Mazumtirdzniecība</w:t>
      </w:r>
      <w:r w:rsidR="00630D23">
        <w:rPr>
          <w:rFonts w:ascii="Segoe UI Light" w:hAnsi="Segoe UI Light" w:cs="Segoe UI Light"/>
          <w:b/>
          <w:bCs/>
          <w:sz w:val="16"/>
          <w:szCs w:val="16"/>
        </w:rPr>
        <w:t xml:space="preserve">: </w:t>
      </w:r>
      <w:r w:rsidRPr="00A54D3B">
        <w:rPr>
          <w:rFonts w:ascii="Segoe UI Light" w:hAnsi="Segoe UI Light" w:cs="Segoe UI Light"/>
          <w:sz w:val="16"/>
          <w:szCs w:val="16"/>
        </w:rPr>
        <w:t>MI jau ietekmē mazumtirdzniecību, aizstājot kasierus ar pašapkalpošanās kasēm, kas uzlabo produktivitāti un risina darbinieku trūkumu.</w:t>
      </w:r>
    </w:p>
    <w:p w14:paraId="22730FDE" w14:textId="0FA75380" w:rsidR="00FE218F" w:rsidRDefault="00FE218F" w:rsidP="00630D23">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b/>
          <w:bCs/>
          <w:sz w:val="16"/>
          <w:szCs w:val="16"/>
        </w:rPr>
        <w:t>Apdrošināšanas nozare</w:t>
      </w:r>
      <w:r w:rsidR="00630D23">
        <w:rPr>
          <w:rFonts w:ascii="Segoe UI Light" w:hAnsi="Segoe UI Light" w:cs="Segoe UI Light"/>
          <w:b/>
          <w:bCs/>
          <w:sz w:val="16"/>
          <w:szCs w:val="16"/>
        </w:rPr>
        <w:t xml:space="preserve">: </w:t>
      </w:r>
      <w:r w:rsidRPr="00A54D3B">
        <w:rPr>
          <w:rFonts w:ascii="Segoe UI Light" w:hAnsi="Segoe UI Light" w:cs="Segoe UI Light"/>
          <w:sz w:val="16"/>
          <w:szCs w:val="16"/>
        </w:rPr>
        <w:t>MI un lielo datu izmantošana apdrošināšanas nozarē prasa jaunas prasmes un var samazināt tradicionālo darbu pieprasījumu, palielinot nepieciešamību pēc datu zinātniekiem, inženieriem un IT speciālistiem.</w:t>
      </w:r>
    </w:p>
    <w:p w14:paraId="33347D68" w14:textId="77777777" w:rsidR="00FE218F"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p>
    <w:p w14:paraId="7FBBDCBD" w14:textId="77777777" w:rsidR="00FE218F" w:rsidRPr="00A54D3B"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b/>
          <w:bCs/>
          <w:sz w:val="16"/>
          <w:szCs w:val="16"/>
        </w:rPr>
      </w:pPr>
      <w:r w:rsidRPr="00A54D3B">
        <w:rPr>
          <w:rFonts w:ascii="Segoe UI Light" w:hAnsi="Segoe UI Light" w:cs="Segoe UI Light"/>
          <w:b/>
          <w:bCs/>
          <w:sz w:val="16"/>
          <w:szCs w:val="16"/>
        </w:rPr>
        <w:t>Profesijas ar augstu automatizācijas potenciālu</w:t>
      </w:r>
    </w:p>
    <w:p w14:paraId="65103652" w14:textId="77777777" w:rsidR="00FE218F" w:rsidRPr="00A54D3B"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sz w:val="16"/>
          <w:szCs w:val="16"/>
        </w:rPr>
        <w:t>Daudzas profesijas piedzīvo MI radītas pārmaiņas, kur MI paaugstina darba produktivitāti, bet neaizstāj cilvēkus konkrētajā jomā. Šādas profesijas ir saistītas ar medicīnu, jurisprudenci, lauksaimniecību un IT, kur MI spēj aizstāt monotonos uzdevumus, bet nespēj aizvietot cilvēcisko faktoru.</w:t>
      </w:r>
    </w:p>
    <w:p w14:paraId="3A00C4C7" w14:textId="77777777" w:rsidR="00FE218F" w:rsidRPr="00A54D3B"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b/>
          <w:bCs/>
          <w:sz w:val="16"/>
          <w:szCs w:val="16"/>
        </w:rPr>
        <w:t>Klientu apkalpošana</w:t>
      </w:r>
      <w:r w:rsidRPr="00A54D3B">
        <w:rPr>
          <w:rFonts w:ascii="Segoe UI Light" w:hAnsi="Segoe UI Light" w:cs="Segoe UI Light"/>
          <w:sz w:val="16"/>
          <w:szCs w:val="16"/>
        </w:rPr>
        <w:t>: MI tiek izmantots automatizētu atbilžu sniegšanai un pašapkalpošanās kasēs, samazinot personāla izmaksas un uzlabojot klientu apkalpošanu.</w:t>
      </w:r>
    </w:p>
    <w:p w14:paraId="4A89C9BA" w14:textId="77777777" w:rsidR="00FE218F" w:rsidRPr="00A54D3B"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b/>
          <w:bCs/>
          <w:sz w:val="16"/>
          <w:szCs w:val="16"/>
        </w:rPr>
        <w:t>Grāmatvedība</w:t>
      </w:r>
      <w:r w:rsidRPr="00A54D3B">
        <w:rPr>
          <w:rFonts w:ascii="Segoe UI Light" w:hAnsi="Segoe UI Light" w:cs="Segoe UI Light"/>
          <w:sz w:val="16"/>
          <w:szCs w:val="16"/>
        </w:rPr>
        <w:t>: MI vadīti grāmatvedības pakalpojumi nodrošina efektīvu un drošu sistēmu darbību, kas ir izmaksu ziņā efektīvāka nekā cilvēku darbs.</w:t>
      </w:r>
    </w:p>
    <w:p w14:paraId="230CD0B2" w14:textId="77777777" w:rsidR="00FE218F" w:rsidRPr="00A54D3B"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b/>
          <w:bCs/>
          <w:sz w:val="16"/>
          <w:szCs w:val="16"/>
        </w:rPr>
        <w:t>Noliktavas darbinieki</w:t>
      </w:r>
      <w:r w:rsidRPr="00A54D3B">
        <w:rPr>
          <w:rFonts w:ascii="Segoe UI Light" w:hAnsi="Segoe UI Light" w:cs="Segoe UI Light"/>
          <w:sz w:val="16"/>
          <w:szCs w:val="16"/>
        </w:rPr>
        <w:t>: MI automatizē noliktavu procesus, piemēram, preču atrašanu un iekraušanu, mazinot manuālo darbu nepieciešamību.</w:t>
      </w:r>
    </w:p>
    <w:p w14:paraId="3DAEF443" w14:textId="77777777" w:rsidR="00FE218F" w:rsidRPr="00A54D3B"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b/>
          <w:bCs/>
          <w:sz w:val="16"/>
          <w:szCs w:val="16"/>
        </w:rPr>
        <w:t>Administratori</w:t>
      </w:r>
      <w:r w:rsidRPr="00A54D3B">
        <w:rPr>
          <w:rFonts w:ascii="Segoe UI Light" w:hAnsi="Segoe UI Light" w:cs="Segoe UI Light"/>
          <w:sz w:val="16"/>
          <w:szCs w:val="16"/>
        </w:rPr>
        <w:t>: MI tiek izmantots zvanu pārvaldīšanai un klientu apkalpošanai, piemēram, izmantojot sistēmu "</w:t>
      </w:r>
      <w:proofErr w:type="spellStart"/>
      <w:r w:rsidRPr="00A54D3B">
        <w:rPr>
          <w:rFonts w:ascii="Segoe UI Light" w:hAnsi="Segoe UI Light" w:cs="Segoe UI Light"/>
          <w:sz w:val="16"/>
          <w:szCs w:val="16"/>
        </w:rPr>
        <w:t>AimeReception</w:t>
      </w:r>
      <w:proofErr w:type="spellEnd"/>
      <w:r w:rsidRPr="00A54D3B">
        <w:rPr>
          <w:rFonts w:ascii="Segoe UI Light" w:hAnsi="Segoe UI Light" w:cs="Segoe UI Light"/>
          <w:sz w:val="16"/>
          <w:szCs w:val="16"/>
        </w:rPr>
        <w:t>".</w:t>
      </w:r>
    </w:p>
    <w:p w14:paraId="7BDD7FA2" w14:textId="77777777" w:rsidR="00FE218F"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p>
    <w:p w14:paraId="7B766D1F" w14:textId="77777777" w:rsidR="00FE218F" w:rsidRPr="00A54D3B"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sz w:val="16"/>
          <w:szCs w:val="16"/>
        </w:rPr>
        <w:t>Līdz 2030. gadam līdz 30% darbu varētu tikt automatizēti. Profesijās ar zemu atalgojumu un bez augstākās izglītības darbiniekiem būs lielāka iespēja, ka viņiem nāksies mainīt profesiju. Dažas profesijas, piemēram, slimnīcas sanitāri, auklītes un durvju sargi, paliks mazāk automatizētas dēļ zemā atalgojuma un zemā stimula ieguldīt automatizācijā.</w:t>
      </w:r>
    </w:p>
    <w:p w14:paraId="41D31D75" w14:textId="3C208FDC" w:rsidR="00FE218F" w:rsidRPr="003B6C44" w:rsidRDefault="00FE218F" w:rsidP="00FE218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cs="Segoe UI Light"/>
          <w:sz w:val="16"/>
          <w:szCs w:val="16"/>
        </w:rPr>
      </w:pPr>
      <w:r w:rsidRPr="00A54D3B">
        <w:rPr>
          <w:rFonts w:ascii="Segoe UI Light" w:hAnsi="Segoe UI Light" w:cs="Segoe UI Light"/>
          <w:sz w:val="16"/>
          <w:szCs w:val="16"/>
        </w:rPr>
        <w:t>Kopumā MI ieviešana maina darba tirgus struktūru, palielinot nepieciešamību pēc prasmju atjaunošanas un pastāvīgas mācīšanās. Tas rada gan izaicinājumus, gan iespējas darbiniekiem un uzņēmumiem pielāgoties jaunajai tehnoloģiju videi.</w:t>
      </w:r>
    </w:p>
    <w:p w14:paraId="2BEDE15B" w14:textId="77777777" w:rsidR="000E509C" w:rsidRDefault="000E509C" w:rsidP="00343F74">
      <w:pPr>
        <w:spacing w:after="120"/>
        <w:jc w:val="both"/>
        <w:rPr>
          <w:szCs w:val="20"/>
        </w:rPr>
      </w:pPr>
    </w:p>
    <w:p w14:paraId="433EE19A" w14:textId="1B2D1791" w:rsidR="000E509C" w:rsidRPr="002B7108" w:rsidRDefault="000E509C" w:rsidP="00343F74">
      <w:pPr>
        <w:spacing w:after="120"/>
        <w:jc w:val="both"/>
        <w:rPr>
          <w:szCs w:val="20"/>
        </w:rPr>
      </w:pPr>
      <w:r w:rsidRPr="00951E9C">
        <w:rPr>
          <w:szCs w:val="20"/>
        </w:rPr>
        <w:t xml:space="preserve">Gan vidējā termiņā, gan ilgtermiņā pieprasījums augs galvenokārt pēc augstas kvalifikācijas profesiju speciālistiem. </w:t>
      </w:r>
      <w:r>
        <w:rPr>
          <w:szCs w:val="20"/>
        </w:rPr>
        <w:t xml:space="preserve">Vidējā termiņā </w:t>
      </w:r>
      <w:r w:rsidRPr="002B7108">
        <w:rPr>
          <w:szCs w:val="20"/>
        </w:rPr>
        <w:t>to pamatā noteiks pieprasījuma pieaugums pēc darbaspēka komercpakalpojumos, sabiedriskajos pakalpojumos un būvniecībā. Ilgtermiņā straujākais pieprasījuma pieaugums sagaidāms komercpakalpojumos un tirdzniecībā, kā arī apstrādes rūpniecībā un būvniecības jomā.</w:t>
      </w:r>
    </w:p>
    <w:p w14:paraId="6B90F88F" w14:textId="77777777" w:rsidR="00F84BE6" w:rsidRDefault="00F84BE6">
      <w:pPr>
        <w:spacing w:after="0"/>
        <w:rPr>
          <w:szCs w:val="20"/>
        </w:rPr>
      </w:pPr>
      <w:r>
        <w:rPr>
          <w:szCs w:val="20"/>
        </w:rPr>
        <w:br w:type="page"/>
      </w:r>
    </w:p>
    <w:p w14:paraId="0D3FD7CE" w14:textId="0C2E6979" w:rsidR="009A0130" w:rsidRPr="000E509C" w:rsidRDefault="009A0130" w:rsidP="000E509C">
      <w:pPr>
        <w:spacing w:after="120"/>
        <w:jc w:val="right"/>
        <w:rPr>
          <w:szCs w:val="20"/>
        </w:rPr>
      </w:pPr>
      <w:r w:rsidRPr="000E509C">
        <w:rPr>
          <w:szCs w:val="20"/>
        </w:rPr>
        <w:lastRenderedPageBreak/>
        <w:t>3.</w:t>
      </w:r>
      <w:r w:rsidR="00BC0CBE" w:rsidRPr="000E509C">
        <w:rPr>
          <w:szCs w:val="20"/>
        </w:rPr>
        <w:t>7</w:t>
      </w:r>
      <w:r w:rsidRPr="000E509C">
        <w:rPr>
          <w:szCs w:val="20"/>
        </w:rPr>
        <w:t>. tabula</w:t>
      </w:r>
    </w:p>
    <w:p w14:paraId="6546B40E" w14:textId="77777777" w:rsidR="009A0130" w:rsidRPr="000E509C" w:rsidRDefault="009A0130" w:rsidP="00590200">
      <w:pPr>
        <w:spacing w:after="120"/>
        <w:jc w:val="center"/>
        <w:rPr>
          <w:rFonts w:ascii="Segoe UI Light" w:hAnsi="Segoe UI Light"/>
          <w:i/>
          <w:sz w:val="16"/>
          <w:szCs w:val="26"/>
        </w:rPr>
      </w:pPr>
      <w:r w:rsidRPr="000E509C">
        <w:rPr>
          <w:rFonts w:ascii="Segoe UI Light" w:hAnsi="Segoe UI Light"/>
          <w:b/>
          <w:sz w:val="18"/>
          <w:szCs w:val="26"/>
        </w:rPr>
        <w:t>Darbaspēka pieprasījuma izmaiņas profesiju grupās</w:t>
      </w:r>
      <w:r w:rsidRPr="000E509C">
        <w:rPr>
          <w:rFonts w:ascii="Segoe UI Light" w:hAnsi="Segoe UI Light"/>
          <w:sz w:val="18"/>
          <w:szCs w:val="26"/>
        </w:rPr>
        <w:br/>
      </w:r>
      <w:r w:rsidRPr="000E509C">
        <w:rPr>
          <w:rFonts w:ascii="Segoe UI Light" w:hAnsi="Segoe UI Light"/>
          <w:i/>
          <w:sz w:val="16"/>
          <w:szCs w:val="26"/>
        </w:rPr>
        <w:t>procentos</w:t>
      </w:r>
    </w:p>
    <w:tbl>
      <w:tblPr>
        <w:tblStyle w:val="GridTable5Dark-Accent31"/>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849"/>
        <w:gridCol w:w="1305"/>
        <w:gridCol w:w="1310"/>
        <w:gridCol w:w="1305"/>
        <w:gridCol w:w="1303"/>
      </w:tblGrid>
      <w:tr w:rsidR="009A0130" w:rsidRPr="000E509C" w14:paraId="654EB438" w14:textId="77777777" w:rsidTr="000E509C">
        <w:trPr>
          <w:cnfStyle w:val="100000000000" w:firstRow="1" w:lastRow="0" w:firstColumn="0" w:lastColumn="0" w:oddVBand="0" w:evenVBand="0" w:oddHBand="0" w:evenHBand="0" w:firstRowFirstColumn="0" w:firstRowLastColumn="0" w:lastRowFirstColumn="0" w:lastRowLastColumn="0"/>
        </w:trPr>
        <w:tc>
          <w:tcPr>
            <w:tcW w:w="2121" w:type="pct"/>
            <w:shd w:val="clear" w:color="auto" w:fill="5F497A" w:themeFill="accent4" w:themeFillShade="BF"/>
            <w:noWrap/>
          </w:tcPr>
          <w:p w14:paraId="64765C18" w14:textId="77777777" w:rsidR="009A0130" w:rsidRPr="000E509C" w:rsidRDefault="009A0130" w:rsidP="00343F74">
            <w:pPr>
              <w:spacing w:before="40" w:after="40"/>
              <w:ind w:left="-142" w:right="-142"/>
              <w:jc w:val="center"/>
              <w:rPr>
                <w:rFonts w:ascii="Segoe UI Light" w:hAnsi="Segoe UI Light"/>
                <w:b w:val="0"/>
                <w:color w:val="FFFFFF"/>
                <w:sz w:val="16"/>
                <w:szCs w:val="20"/>
              </w:rPr>
            </w:pPr>
          </w:p>
        </w:tc>
        <w:tc>
          <w:tcPr>
            <w:tcW w:w="1441" w:type="pct"/>
            <w:gridSpan w:val="2"/>
            <w:shd w:val="clear" w:color="auto" w:fill="5F497A" w:themeFill="accent4" w:themeFillShade="BF"/>
          </w:tcPr>
          <w:p w14:paraId="2BB7EAD9" w14:textId="1C4AAF94" w:rsidR="009A0130" w:rsidRPr="000E509C" w:rsidRDefault="009A0130" w:rsidP="00343F74">
            <w:pPr>
              <w:spacing w:before="40" w:after="40"/>
              <w:ind w:left="-142" w:right="-142"/>
              <w:jc w:val="center"/>
              <w:rPr>
                <w:rFonts w:ascii="Segoe UI Light" w:hAnsi="Segoe UI Light"/>
                <w:color w:val="FFFFFF"/>
                <w:sz w:val="16"/>
                <w:szCs w:val="20"/>
              </w:rPr>
            </w:pPr>
            <w:r w:rsidRPr="000E509C">
              <w:rPr>
                <w:rFonts w:ascii="Segoe UI Light" w:hAnsi="Segoe UI Light"/>
                <w:color w:val="FFFFFF"/>
                <w:sz w:val="16"/>
                <w:szCs w:val="20"/>
              </w:rPr>
              <w:t>Izmaiņas pret 202</w:t>
            </w:r>
            <w:r w:rsidR="000E509C">
              <w:rPr>
                <w:rFonts w:ascii="Segoe UI Light" w:hAnsi="Segoe UI Light"/>
                <w:color w:val="FFFFFF"/>
                <w:sz w:val="16"/>
                <w:szCs w:val="20"/>
              </w:rPr>
              <w:t>3</w:t>
            </w:r>
            <w:r w:rsidRPr="000E509C">
              <w:rPr>
                <w:rFonts w:ascii="Segoe UI Light" w:hAnsi="Segoe UI Light"/>
                <w:color w:val="FFFFFF"/>
                <w:sz w:val="16"/>
                <w:szCs w:val="20"/>
              </w:rPr>
              <w:t>.</w:t>
            </w:r>
            <w:r w:rsidR="0080669C" w:rsidRPr="000E509C">
              <w:rPr>
                <w:rFonts w:ascii="Segoe UI Light" w:hAnsi="Segoe UI Light"/>
                <w:color w:val="FFFFFF"/>
                <w:sz w:val="16"/>
                <w:szCs w:val="20"/>
              </w:rPr>
              <w:t>gad</w:t>
            </w:r>
            <w:r w:rsidRPr="000E509C">
              <w:rPr>
                <w:rFonts w:ascii="Segoe UI Light" w:hAnsi="Segoe UI Light"/>
                <w:color w:val="FFFFFF"/>
                <w:sz w:val="16"/>
                <w:szCs w:val="20"/>
              </w:rPr>
              <w:t>u</w:t>
            </w:r>
          </w:p>
        </w:tc>
        <w:tc>
          <w:tcPr>
            <w:tcW w:w="1437" w:type="pct"/>
            <w:gridSpan w:val="2"/>
            <w:shd w:val="clear" w:color="auto" w:fill="5F497A" w:themeFill="accent4" w:themeFillShade="BF"/>
          </w:tcPr>
          <w:p w14:paraId="49B95069" w14:textId="77777777" w:rsidR="009A0130" w:rsidRPr="000E509C" w:rsidRDefault="009A0130" w:rsidP="00343F74">
            <w:pPr>
              <w:spacing w:before="40" w:after="40"/>
              <w:ind w:left="-142" w:right="-142"/>
              <w:jc w:val="center"/>
              <w:rPr>
                <w:rFonts w:ascii="Segoe UI Light" w:hAnsi="Segoe UI Light"/>
                <w:color w:val="FFFFFF"/>
                <w:sz w:val="16"/>
                <w:szCs w:val="20"/>
              </w:rPr>
            </w:pPr>
            <w:r w:rsidRPr="000E509C">
              <w:rPr>
                <w:rFonts w:ascii="Segoe UI Light" w:hAnsi="Segoe UI Light"/>
                <w:color w:val="FFFFFF"/>
                <w:sz w:val="16"/>
                <w:szCs w:val="20"/>
              </w:rPr>
              <w:t>Struktūra</w:t>
            </w:r>
          </w:p>
        </w:tc>
      </w:tr>
      <w:tr w:rsidR="00997DF6" w:rsidRPr="000E509C" w14:paraId="5CB09B33" w14:textId="77777777" w:rsidTr="000E509C">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5F497A" w:themeFill="accent4" w:themeFillShade="BF"/>
            <w:noWrap/>
          </w:tcPr>
          <w:p w14:paraId="1764ADA6" w14:textId="77777777" w:rsidR="009A0130" w:rsidRPr="000E509C" w:rsidRDefault="009A0130" w:rsidP="00343F74">
            <w:pPr>
              <w:spacing w:before="40" w:after="40"/>
              <w:ind w:left="-142" w:right="-142"/>
              <w:jc w:val="center"/>
              <w:rPr>
                <w:rFonts w:ascii="Segoe UI Light" w:hAnsi="Segoe UI Light"/>
                <w:color w:val="FFFFFF"/>
                <w:sz w:val="16"/>
                <w:szCs w:val="20"/>
              </w:rPr>
            </w:pPr>
          </w:p>
        </w:tc>
        <w:tc>
          <w:tcPr>
            <w:tcW w:w="719" w:type="pct"/>
            <w:shd w:val="clear" w:color="auto" w:fill="5F497A" w:themeFill="accent4" w:themeFillShade="BF"/>
          </w:tcPr>
          <w:p w14:paraId="0C6682F6" w14:textId="77777777" w:rsidR="009A0130" w:rsidRPr="000E509C" w:rsidRDefault="009A0130" w:rsidP="00343F74">
            <w:pPr>
              <w:spacing w:before="40" w:after="40"/>
              <w:ind w:left="-142" w:right="-142"/>
              <w:jc w:val="center"/>
              <w:rPr>
                <w:rFonts w:ascii="Segoe UI Light" w:hAnsi="Segoe UI Light"/>
                <w:b/>
                <w:color w:val="FFFFFF"/>
                <w:sz w:val="16"/>
                <w:szCs w:val="20"/>
              </w:rPr>
            </w:pPr>
            <w:r w:rsidRPr="000E509C">
              <w:rPr>
                <w:rFonts w:ascii="Segoe UI Light" w:hAnsi="Segoe UI Light"/>
                <w:b/>
                <w:color w:val="FFFFFF"/>
                <w:sz w:val="16"/>
                <w:szCs w:val="20"/>
              </w:rPr>
              <w:t>2030</w:t>
            </w:r>
          </w:p>
        </w:tc>
        <w:tc>
          <w:tcPr>
            <w:tcW w:w="722" w:type="pct"/>
            <w:shd w:val="clear" w:color="auto" w:fill="5F497A" w:themeFill="accent4" w:themeFillShade="BF"/>
          </w:tcPr>
          <w:p w14:paraId="53BAE00C" w14:textId="77777777" w:rsidR="009A0130" w:rsidRPr="000E509C" w:rsidRDefault="009A0130" w:rsidP="00343F74">
            <w:pPr>
              <w:spacing w:before="40" w:after="40"/>
              <w:ind w:left="-142" w:right="-142"/>
              <w:jc w:val="center"/>
              <w:rPr>
                <w:rFonts w:ascii="Segoe UI Light" w:hAnsi="Segoe UI Light"/>
                <w:b/>
                <w:color w:val="FFFFFF"/>
                <w:sz w:val="16"/>
                <w:szCs w:val="20"/>
              </w:rPr>
            </w:pPr>
            <w:r w:rsidRPr="000E509C">
              <w:rPr>
                <w:rFonts w:ascii="Segoe UI Light" w:hAnsi="Segoe UI Light"/>
                <w:b/>
                <w:color w:val="FFFFFF"/>
                <w:sz w:val="16"/>
                <w:szCs w:val="20"/>
              </w:rPr>
              <w:t>2040</w:t>
            </w:r>
          </w:p>
        </w:tc>
        <w:tc>
          <w:tcPr>
            <w:tcW w:w="719" w:type="pct"/>
            <w:shd w:val="clear" w:color="auto" w:fill="5F497A" w:themeFill="accent4" w:themeFillShade="BF"/>
          </w:tcPr>
          <w:p w14:paraId="43320D8B" w14:textId="77777777" w:rsidR="009A0130" w:rsidRPr="000E509C" w:rsidRDefault="009A0130" w:rsidP="00343F74">
            <w:pPr>
              <w:spacing w:before="40" w:after="40"/>
              <w:ind w:left="-142" w:right="-142"/>
              <w:jc w:val="center"/>
              <w:rPr>
                <w:rFonts w:ascii="Segoe UI Light" w:hAnsi="Segoe UI Light"/>
                <w:b/>
                <w:color w:val="FFFFFF"/>
                <w:sz w:val="16"/>
                <w:szCs w:val="20"/>
              </w:rPr>
            </w:pPr>
            <w:r w:rsidRPr="000E509C">
              <w:rPr>
                <w:rFonts w:ascii="Segoe UI Light" w:hAnsi="Segoe UI Light"/>
                <w:b/>
                <w:color w:val="FFFFFF"/>
                <w:sz w:val="16"/>
                <w:szCs w:val="20"/>
              </w:rPr>
              <w:t>2030</w:t>
            </w:r>
          </w:p>
        </w:tc>
        <w:tc>
          <w:tcPr>
            <w:tcW w:w="718" w:type="pct"/>
            <w:shd w:val="clear" w:color="auto" w:fill="5F497A" w:themeFill="accent4" w:themeFillShade="BF"/>
          </w:tcPr>
          <w:p w14:paraId="723E5786" w14:textId="77777777" w:rsidR="009A0130" w:rsidRPr="000E509C" w:rsidRDefault="009A0130" w:rsidP="00343F74">
            <w:pPr>
              <w:spacing w:before="40" w:after="40"/>
              <w:ind w:left="-142" w:right="-142"/>
              <w:jc w:val="center"/>
              <w:rPr>
                <w:rFonts w:ascii="Segoe UI Light" w:hAnsi="Segoe UI Light"/>
                <w:b/>
                <w:color w:val="FFFFFF"/>
                <w:sz w:val="16"/>
                <w:szCs w:val="20"/>
              </w:rPr>
            </w:pPr>
            <w:r w:rsidRPr="000E509C">
              <w:rPr>
                <w:rFonts w:ascii="Segoe UI Light" w:hAnsi="Segoe UI Light"/>
                <w:b/>
                <w:color w:val="FFFFFF"/>
                <w:sz w:val="16"/>
                <w:szCs w:val="20"/>
              </w:rPr>
              <w:t>2040</w:t>
            </w:r>
          </w:p>
        </w:tc>
      </w:tr>
      <w:tr w:rsidR="00997DF6" w:rsidRPr="000E509C" w14:paraId="5D058DFF" w14:textId="77777777" w:rsidTr="000E509C">
        <w:tc>
          <w:tcPr>
            <w:tcW w:w="2121" w:type="pct"/>
            <w:shd w:val="clear" w:color="auto" w:fill="CCC0D9" w:themeFill="accent4" w:themeFillTint="66"/>
          </w:tcPr>
          <w:p w14:paraId="7E3EE68A" w14:textId="77777777" w:rsidR="000E509C" w:rsidRPr="000E509C" w:rsidRDefault="000E509C" w:rsidP="000E509C">
            <w:pPr>
              <w:spacing w:before="40" w:after="40"/>
              <w:ind w:right="-142"/>
              <w:jc w:val="both"/>
              <w:rPr>
                <w:rFonts w:ascii="Segoe UI Light" w:hAnsi="Segoe UI Light"/>
                <w:sz w:val="16"/>
                <w:szCs w:val="20"/>
              </w:rPr>
            </w:pPr>
            <w:r w:rsidRPr="000E509C">
              <w:rPr>
                <w:rFonts w:ascii="Segoe UI Light" w:hAnsi="Segoe UI Light"/>
                <w:sz w:val="16"/>
                <w:szCs w:val="20"/>
              </w:rPr>
              <w:t>Nacionālo bruņoto spēku profesijas</w:t>
            </w:r>
          </w:p>
        </w:tc>
        <w:tc>
          <w:tcPr>
            <w:tcW w:w="719" w:type="pct"/>
            <w:shd w:val="clear" w:color="auto" w:fill="CCC0D9" w:themeFill="accent4" w:themeFillTint="66"/>
            <w:vAlign w:val="bottom"/>
          </w:tcPr>
          <w:p w14:paraId="4E1F355E" w14:textId="023E167C"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20,1</w:t>
            </w:r>
          </w:p>
        </w:tc>
        <w:tc>
          <w:tcPr>
            <w:tcW w:w="722" w:type="pct"/>
            <w:shd w:val="clear" w:color="auto" w:fill="CCC0D9" w:themeFill="accent4" w:themeFillTint="66"/>
            <w:vAlign w:val="bottom"/>
          </w:tcPr>
          <w:p w14:paraId="1E4F2D18" w14:textId="1EF17FEC"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23,2</w:t>
            </w:r>
          </w:p>
        </w:tc>
        <w:tc>
          <w:tcPr>
            <w:tcW w:w="719" w:type="pct"/>
            <w:shd w:val="clear" w:color="auto" w:fill="CCC0D9" w:themeFill="accent4" w:themeFillTint="66"/>
            <w:vAlign w:val="bottom"/>
          </w:tcPr>
          <w:p w14:paraId="5E81B24E" w14:textId="78FA448C"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1,1</w:t>
            </w:r>
          </w:p>
        </w:tc>
        <w:tc>
          <w:tcPr>
            <w:tcW w:w="718" w:type="pct"/>
            <w:shd w:val="clear" w:color="auto" w:fill="CCC0D9" w:themeFill="accent4" w:themeFillTint="66"/>
            <w:vAlign w:val="bottom"/>
          </w:tcPr>
          <w:p w14:paraId="30A24A35" w14:textId="7F3A2086"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1,2</w:t>
            </w:r>
          </w:p>
        </w:tc>
      </w:tr>
      <w:tr w:rsidR="00997DF6" w:rsidRPr="000E509C" w14:paraId="64D8EF7D" w14:textId="77777777" w:rsidTr="000E509C">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E5DFEC" w:themeFill="accent4" w:themeFillTint="33"/>
          </w:tcPr>
          <w:p w14:paraId="39255910" w14:textId="77777777" w:rsidR="000E509C" w:rsidRPr="000E509C" w:rsidRDefault="000E509C" w:rsidP="000E509C">
            <w:pPr>
              <w:spacing w:before="40" w:after="40"/>
              <w:ind w:right="-142"/>
              <w:jc w:val="both"/>
              <w:rPr>
                <w:rFonts w:ascii="Segoe UI Light" w:hAnsi="Segoe UI Light"/>
                <w:sz w:val="16"/>
                <w:szCs w:val="20"/>
              </w:rPr>
            </w:pPr>
            <w:r w:rsidRPr="000E509C">
              <w:rPr>
                <w:rFonts w:ascii="Segoe UI Light" w:hAnsi="Segoe UI Light"/>
                <w:sz w:val="16"/>
                <w:szCs w:val="20"/>
              </w:rPr>
              <w:t>Augstas kvalifikācijas profesijas, tai skaitā:</w:t>
            </w:r>
          </w:p>
        </w:tc>
        <w:tc>
          <w:tcPr>
            <w:tcW w:w="719" w:type="pct"/>
            <w:shd w:val="clear" w:color="auto" w:fill="E5DFEC" w:themeFill="accent4" w:themeFillTint="33"/>
            <w:vAlign w:val="bottom"/>
          </w:tcPr>
          <w:p w14:paraId="68D68417" w14:textId="0BCD46AE"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9,8</w:t>
            </w:r>
          </w:p>
        </w:tc>
        <w:tc>
          <w:tcPr>
            <w:tcW w:w="722" w:type="pct"/>
            <w:shd w:val="clear" w:color="auto" w:fill="E5DFEC" w:themeFill="accent4" w:themeFillTint="33"/>
            <w:vAlign w:val="bottom"/>
          </w:tcPr>
          <w:p w14:paraId="089658ED" w14:textId="44139A44"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16,8</w:t>
            </w:r>
          </w:p>
        </w:tc>
        <w:tc>
          <w:tcPr>
            <w:tcW w:w="719" w:type="pct"/>
            <w:shd w:val="clear" w:color="auto" w:fill="E5DFEC" w:themeFill="accent4" w:themeFillTint="33"/>
            <w:vAlign w:val="bottom"/>
          </w:tcPr>
          <w:p w14:paraId="0ADE2529" w14:textId="2F3D7BBD"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47,0</w:t>
            </w:r>
          </w:p>
        </w:tc>
        <w:tc>
          <w:tcPr>
            <w:tcW w:w="718" w:type="pct"/>
            <w:shd w:val="clear" w:color="auto" w:fill="E5DFEC" w:themeFill="accent4" w:themeFillTint="33"/>
            <w:vAlign w:val="bottom"/>
          </w:tcPr>
          <w:p w14:paraId="07445E0E" w14:textId="5555934F"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51,0</w:t>
            </w:r>
          </w:p>
        </w:tc>
      </w:tr>
      <w:tr w:rsidR="00997DF6" w:rsidRPr="000E509C" w14:paraId="589AB1B7" w14:textId="77777777" w:rsidTr="000E509C">
        <w:tc>
          <w:tcPr>
            <w:tcW w:w="2121" w:type="pct"/>
            <w:shd w:val="clear" w:color="auto" w:fill="CCC0D9" w:themeFill="accent4" w:themeFillTint="66"/>
          </w:tcPr>
          <w:p w14:paraId="71687549" w14:textId="77777777" w:rsidR="000E509C" w:rsidRPr="000E509C" w:rsidRDefault="000E509C" w:rsidP="000E509C">
            <w:pPr>
              <w:spacing w:before="40" w:after="40"/>
              <w:ind w:left="176" w:right="-142"/>
              <w:jc w:val="both"/>
              <w:rPr>
                <w:rFonts w:ascii="Segoe UI Light" w:hAnsi="Segoe UI Light"/>
                <w:sz w:val="16"/>
                <w:szCs w:val="20"/>
              </w:rPr>
            </w:pPr>
            <w:bookmarkStart w:id="67" w:name="_Hlk103595742"/>
            <w:r w:rsidRPr="000E509C">
              <w:rPr>
                <w:rFonts w:ascii="Segoe UI Light" w:hAnsi="Segoe UI Light"/>
                <w:sz w:val="16"/>
                <w:szCs w:val="20"/>
              </w:rPr>
              <w:t>Vadītāji</w:t>
            </w:r>
          </w:p>
        </w:tc>
        <w:tc>
          <w:tcPr>
            <w:tcW w:w="719" w:type="pct"/>
            <w:shd w:val="clear" w:color="auto" w:fill="CCC0D9" w:themeFill="accent4" w:themeFillTint="66"/>
            <w:vAlign w:val="bottom"/>
          </w:tcPr>
          <w:p w14:paraId="4F685A6B" w14:textId="7A637E9C"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5,9</w:t>
            </w:r>
          </w:p>
        </w:tc>
        <w:tc>
          <w:tcPr>
            <w:tcW w:w="722" w:type="pct"/>
            <w:shd w:val="clear" w:color="auto" w:fill="CCC0D9" w:themeFill="accent4" w:themeFillTint="66"/>
            <w:vAlign w:val="bottom"/>
          </w:tcPr>
          <w:p w14:paraId="7161A019" w14:textId="6950CD92"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7,1</w:t>
            </w:r>
          </w:p>
        </w:tc>
        <w:tc>
          <w:tcPr>
            <w:tcW w:w="719" w:type="pct"/>
            <w:shd w:val="clear" w:color="auto" w:fill="CCC0D9" w:themeFill="accent4" w:themeFillTint="66"/>
            <w:vAlign w:val="bottom"/>
          </w:tcPr>
          <w:p w14:paraId="4947C822" w14:textId="6DCF7B41"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10,7</w:t>
            </w:r>
          </w:p>
        </w:tc>
        <w:tc>
          <w:tcPr>
            <w:tcW w:w="718" w:type="pct"/>
            <w:shd w:val="clear" w:color="auto" w:fill="CCC0D9" w:themeFill="accent4" w:themeFillTint="66"/>
            <w:vAlign w:val="bottom"/>
          </w:tcPr>
          <w:p w14:paraId="61D58D4D" w14:textId="7C44CA54"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11,0</w:t>
            </w:r>
          </w:p>
        </w:tc>
      </w:tr>
      <w:bookmarkEnd w:id="67"/>
      <w:tr w:rsidR="00997DF6" w:rsidRPr="000E509C" w14:paraId="4E088364" w14:textId="77777777" w:rsidTr="000E509C">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E5DFEC" w:themeFill="accent4" w:themeFillTint="33"/>
          </w:tcPr>
          <w:p w14:paraId="41A0A527" w14:textId="77777777" w:rsidR="000E509C" w:rsidRPr="000E509C" w:rsidRDefault="000E509C" w:rsidP="000E509C">
            <w:pPr>
              <w:spacing w:before="40" w:after="40"/>
              <w:ind w:left="176" w:right="-142"/>
              <w:jc w:val="both"/>
              <w:rPr>
                <w:rFonts w:ascii="Segoe UI Light" w:hAnsi="Segoe UI Light"/>
                <w:sz w:val="16"/>
                <w:szCs w:val="20"/>
              </w:rPr>
            </w:pPr>
            <w:r w:rsidRPr="000E509C">
              <w:rPr>
                <w:rFonts w:ascii="Segoe UI Light" w:hAnsi="Segoe UI Light"/>
                <w:sz w:val="16"/>
                <w:szCs w:val="20"/>
              </w:rPr>
              <w:t>Vecākie speciālisti</w:t>
            </w:r>
          </w:p>
        </w:tc>
        <w:tc>
          <w:tcPr>
            <w:tcW w:w="719" w:type="pct"/>
            <w:shd w:val="clear" w:color="auto" w:fill="E5DFEC" w:themeFill="accent4" w:themeFillTint="33"/>
            <w:vAlign w:val="bottom"/>
          </w:tcPr>
          <w:p w14:paraId="4AECA3AE" w14:textId="504FA300"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8,4</w:t>
            </w:r>
          </w:p>
        </w:tc>
        <w:tc>
          <w:tcPr>
            <w:tcW w:w="722" w:type="pct"/>
            <w:shd w:val="clear" w:color="auto" w:fill="E5DFEC" w:themeFill="accent4" w:themeFillTint="33"/>
            <w:vAlign w:val="bottom"/>
          </w:tcPr>
          <w:p w14:paraId="7350343B" w14:textId="517830E9"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13,1</w:t>
            </w:r>
          </w:p>
        </w:tc>
        <w:tc>
          <w:tcPr>
            <w:tcW w:w="719" w:type="pct"/>
            <w:shd w:val="clear" w:color="auto" w:fill="E5DFEC" w:themeFill="accent4" w:themeFillTint="33"/>
            <w:vAlign w:val="bottom"/>
          </w:tcPr>
          <w:p w14:paraId="66F0BC75" w14:textId="159E87E0"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21,9</w:t>
            </w:r>
          </w:p>
        </w:tc>
        <w:tc>
          <w:tcPr>
            <w:tcW w:w="718" w:type="pct"/>
            <w:shd w:val="clear" w:color="auto" w:fill="E5DFEC" w:themeFill="accent4" w:themeFillTint="33"/>
            <w:vAlign w:val="bottom"/>
          </w:tcPr>
          <w:p w14:paraId="3C7ACC9D" w14:textId="18CF067C"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23,4</w:t>
            </w:r>
          </w:p>
        </w:tc>
      </w:tr>
      <w:tr w:rsidR="00997DF6" w:rsidRPr="000E509C" w14:paraId="648A878E" w14:textId="77777777" w:rsidTr="000E509C">
        <w:tc>
          <w:tcPr>
            <w:tcW w:w="2121" w:type="pct"/>
            <w:shd w:val="clear" w:color="auto" w:fill="CCC0D9" w:themeFill="accent4" w:themeFillTint="66"/>
          </w:tcPr>
          <w:p w14:paraId="37A583CC" w14:textId="77777777" w:rsidR="000E509C" w:rsidRPr="000E509C" w:rsidRDefault="000E509C" w:rsidP="000E509C">
            <w:pPr>
              <w:spacing w:before="40" w:after="40"/>
              <w:ind w:left="176" w:right="-142"/>
              <w:jc w:val="both"/>
              <w:rPr>
                <w:rFonts w:ascii="Segoe UI Light" w:hAnsi="Segoe UI Light"/>
                <w:sz w:val="16"/>
                <w:szCs w:val="20"/>
              </w:rPr>
            </w:pPr>
            <w:r w:rsidRPr="000E509C">
              <w:rPr>
                <w:rFonts w:ascii="Segoe UI Light" w:hAnsi="Segoe UI Light"/>
                <w:sz w:val="16"/>
                <w:szCs w:val="20"/>
              </w:rPr>
              <w:t>Speciālisti</w:t>
            </w:r>
          </w:p>
        </w:tc>
        <w:tc>
          <w:tcPr>
            <w:tcW w:w="719" w:type="pct"/>
            <w:shd w:val="clear" w:color="auto" w:fill="CCC0D9" w:themeFill="accent4" w:themeFillTint="66"/>
            <w:vAlign w:val="bottom"/>
          </w:tcPr>
          <w:p w14:paraId="63BDF53C" w14:textId="69B41B7B"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15,3</w:t>
            </w:r>
          </w:p>
        </w:tc>
        <w:tc>
          <w:tcPr>
            <w:tcW w:w="722" w:type="pct"/>
            <w:shd w:val="clear" w:color="auto" w:fill="CCC0D9" w:themeFill="accent4" w:themeFillTint="66"/>
            <w:vAlign w:val="bottom"/>
          </w:tcPr>
          <w:p w14:paraId="0975ED9F" w14:textId="3B853C4B"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30,6</w:t>
            </w:r>
          </w:p>
        </w:tc>
        <w:tc>
          <w:tcPr>
            <w:tcW w:w="719" w:type="pct"/>
            <w:shd w:val="clear" w:color="auto" w:fill="CCC0D9" w:themeFill="accent4" w:themeFillTint="66"/>
            <w:vAlign w:val="bottom"/>
          </w:tcPr>
          <w:p w14:paraId="0C2992AE" w14:textId="60FAAD7E"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14,4</w:t>
            </w:r>
          </w:p>
        </w:tc>
        <w:tc>
          <w:tcPr>
            <w:tcW w:w="718" w:type="pct"/>
            <w:shd w:val="clear" w:color="auto" w:fill="CCC0D9" w:themeFill="accent4" w:themeFillTint="66"/>
            <w:vAlign w:val="bottom"/>
          </w:tcPr>
          <w:p w14:paraId="31ECCD3E" w14:textId="787EBF8F"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16,6</w:t>
            </w:r>
          </w:p>
        </w:tc>
      </w:tr>
      <w:tr w:rsidR="00997DF6" w:rsidRPr="000E509C" w14:paraId="0038F347" w14:textId="77777777" w:rsidTr="000E509C">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E5DFEC" w:themeFill="accent4" w:themeFillTint="33"/>
          </w:tcPr>
          <w:p w14:paraId="317F5018" w14:textId="77777777" w:rsidR="000E509C" w:rsidRPr="000E509C" w:rsidRDefault="000E509C" w:rsidP="000E509C">
            <w:pPr>
              <w:spacing w:before="40" w:after="40"/>
              <w:ind w:right="-142"/>
              <w:jc w:val="both"/>
              <w:rPr>
                <w:rFonts w:ascii="Segoe UI Light" w:hAnsi="Segoe UI Light"/>
                <w:sz w:val="16"/>
                <w:szCs w:val="20"/>
              </w:rPr>
            </w:pPr>
            <w:r w:rsidRPr="000E509C">
              <w:rPr>
                <w:rFonts w:ascii="Segoe UI Light" w:hAnsi="Segoe UI Light"/>
                <w:sz w:val="16"/>
                <w:szCs w:val="20"/>
              </w:rPr>
              <w:t>Vidējas kvalifikācijas profesijas, tai skaitā:</w:t>
            </w:r>
          </w:p>
        </w:tc>
        <w:tc>
          <w:tcPr>
            <w:tcW w:w="719" w:type="pct"/>
            <w:shd w:val="clear" w:color="auto" w:fill="E5DFEC" w:themeFill="accent4" w:themeFillTint="33"/>
            <w:vAlign w:val="bottom"/>
          </w:tcPr>
          <w:p w14:paraId="7C3065B5" w14:textId="42B7739B"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1,1</w:t>
            </w:r>
          </w:p>
        </w:tc>
        <w:tc>
          <w:tcPr>
            <w:tcW w:w="722" w:type="pct"/>
            <w:shd w:val="clear" w:color="auto" w:fill="E5DFEC" w:themeFill="accent4" w:themeFillTint="33"/>
            <w:vAlign w:val="bottom"/>
          </w:tcPr>
          <w:p w14:paraId="67BACB69" w14:textId="72D39E6E"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6,8</w:t>
            </w:r>
          </w:p>
        </w:tc>
        <w:tc>
          <w:tcPr>
            <w:tcW w:w="719" w:type="pct"/>
            <w:shd w:val="clear" w:color="auto" w:fill="E5DFEC" w:themeFill="accent4" w:themeFillTint="33"/>
            <w:vAlign w:val="bottom"/>
          </w:tcPr>
          <w:p w14:paraId="041A6253" w14:textId="172FC2C6"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41,1</w:t>
            </w:r>
          </w:p>
        </w:tc>
        <w:tc>
          <w:tcPr>
            <w:tcW w:w="718" w:type="pct"/>
            <w:shd w:val="clear" w:color="auto" w:fill="E5DFEC" w:themeFill="accent4" w:themeFillTint="33"/>
            <w:vAlign w:val="bottom"/>
          </w:tcPr>
          <w:p w14:paraId="033AC234" w14:textId="7AA741AE"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39,6</w:t>
            </w:r>
          </w:p>
        </w:tc>
      </w:tr>
      <w:tr w:rsidR="00997DF6" w:rsidRPr="000E509C" w14:paraId="25A1552C" w14:textId="77777777" w:rsidTr="000E509C">
        <w:tc>
          <w:tcPr>
            <w:tcW w:w="2121" w:type="pct"/>
            <w:shd w:val="clear" w:color="auto" w:fill="CCC0D9" w:themeFill="accent4" w:themeFillTint="66"/>
          </w:tcPr>
          <w:p w14:paraId="23D9889E" w14:textId="77777777" w:rsidR="000E509C" w:rsidRPr="000E509C" w:rsidRDefault="000E509C" w:rsidP="000E509C">
            <w:pPr>
              <w:spacing w:before="40" w:after="40"/>
              <w:ind w:left="176" w:right="-142"/>
              <w:jc w:val="both"/>
              <w:rPr>
                <w:rFonts w:ascii="Segoe UI Light" w:hAnsi="Segoe UI Light"/>
                <w:sz w:val="16"/>
                <w:szCs w:val="20"/>
              </w:rPr>
            </w:pPr>
            <w:r w:rsidRPr="000E509C">
              <w:rPr>
                <w:rFonts w:ascii="Segoe UI Light" w:hAnsi="Segoe UI Light"/>
                <w:sz w:val="16"/>
                <w:szCs w:val="20"/>
              </w:rPr>
              <w:t>Iestāžu kalpotāji</w:t>
            </w:r>
          </w:p>
        </w:tc>
        <w:tc>
          <w:tcPr>
            <w:tcW w:w="719" w:type="pct"/>
            <w:shd w:val="clear" w:color="auto" w:fill="CCC0D9" w:themeFill="accent4" w:themeFillTint="66"/>
            <w:vAlign w:val="bottom"/>
          </w:tcPr>
          <w:p w14:paraId="6B5AEB1C" w14:textId="0B02949C"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15,1</w:t>
            </w:r>
          </w:p>
        </w:tc>
        <w:tc>
          <w:tcPr>
            <w:tcW w:w="722" w:type="pct"/>
            <w:shd w:val="clear" w:color="auto" w:fill="CCC0D9" w:themeFill="accent4" w:themeFillTint="66"/>
            <w:vAlign w:val="bottom"/>
          </w:tcPr>
          <w:p w14:paraId="19FA7953" w14:textId="485393CA"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41,1</w:t>
            </w:r>
          </w:p>
        </w:tc>
        <w:tc>
          <w:tcPr>
            <w:tcW w:w="719" w:type="pct"/>
            <w:shd w:val="clear" w:color="auto" w:fill="CCC0D9" w:themeFill="accent4" w:themeFillTint="66"/>
            <w:vAlign w:val="bottom"/>
          </w:tcPr>
          <w:p w14:paraId="390D2B36" w14:textId="0B92FDF8"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4,4</w:t>
            </w:r>
          </w:p>
        </w:tc>
        <w:tc>
          <w:tcPr>
            <w:tcW w:w="718" w:type="pct"/>
            <w:shd w:val="clear" w:color="auto" w:fill="CCC0D9" w:themeFill="accent4" w:themeFillTint="66"/>
            <w:vAlign w:val="bottom"/>
          </w:tcPr>
          <w:p w14:paraId="493F8A16" w14:textId="3F62762E"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3,1</w:t>
            </w:r>
          </w:p>
        </w:tc>
      </w:tr>
      <w:tr w:rsidR="00997DF6" w:rsidRPr="000E509C" w14:paraId="0506B78B" w14:textId="77777777" w:rsidTr="000E509C">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E5DFEC" w:themeFill="accent4" w:themeFillTint="33"/>
          </w:tcPr>
          <w:p w14:paraId="394D3108" w14:textId="77777777" w:rsidR="000E509C" w:rsidRPr="000E509C" w:rsidRDefault="000E509C" w:rsidP="000E509C">
            <w:pPr>
              <w:spacing w:before="40" w:after="40"/>
              <w:ind w:left="176" w:right="-142"/>
              <w:jc w:val="both"/>
              <w:rPr>
                <w:rFonts w:ascii="Segoe UI Light" w:hAnsi="Segoe UI Light"/>
                <w:sz w:val="16"/>
                <w:szCs w:val="20"/>
              </w:rPr>
            </w:pPr>
            <w:r w:rsidRPr="000E509C">
              <w:rPr>
                <w:rFonts w:ascii="Segoe UI Light" w:hAnsi="Segoe UI Light"/>
                <w:sz w:val="16"/>
                <w:szCs w:val="20"/>
              </w:rPr>
              <w:t>Pakalpojumu darbinieki</w:t>
            </w:r>
          </w:p>
        </w:tc>
        <w:tc>
          <w:tcPr>
            <w:tcW w:w="719" w:type="pct"/>
            <w:shd w:val="clear" w:color="auto" w:fill="E5DFEC" w:themeFill="accent4" w:themeFillTint="33"/>
            <w:vAlign w:val="bottom"/>
          </w:tcPr>
          <w:p w14:paraId="615ED4A6" w14:textId="5DE62ACA"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4,6</w:t>
            </w:r>
          </w:p>
        </w:tc>
        <w:tc>
          <w:tcPr>
            <w:tcW w:w="722" w:type="pct"/>
            <w:shd w:val="clear" w:color="auto" w:fill="E5DFEC" w:themeFill="accent4" w:themeFillTint="33"/>
            <w:vAlign w:val="bottom"/>
          </w:tcPr>
          <w:p w14:paraId="0E10CEDB" w14:textId="62149FB3"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13,4</w:t>
            </w:r>
          </w:p>
        </w:tc>
        <w:tc>
          <w:tcPr>
            <w:tcW w:w="719" w:type="pct"/>
            <w:shd w:val="clear" w:color="auto" w:fill="E5DFEC" w:themeFill="accent4" w:themeFillTint="33"/>
            <w:vAlign w:val="bottom"/>
          </w:tcPr>
          <w:p w14:paraId="35DC6646" w14:textId="39266426"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13,4</w:t>
            </w:r>
          </w:p>
        </w:tc>
        <w:tc>
          <w:tcPr>
            <w:tcW w:w="718" w:type="pct"/>
            <w:shd w:val="clear" w:color="auto" w:fill="E5DFEC" w:themeFill="accent4" w:themeFillTint="33"/>
            <w:vAlign w:val="bottom"/>
          </w:tcPr>
          <w:p w14:paraId="634C668A" w14:textId="02B6630D"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12,4</w:t>
            </w:r>
          </w:p>
        </w:tc>
      </w:tr>
      <w:tr w:rsidR="00997DF6" w:rsidRPr="000E509C" w14:paraId="414B92F6" w14:textId="77777777" w:rsidTr="000E509C">
        <w:tc>
          <w:tcPr>
            <w:tcW w:w="2121" w:type="pct"/>
            <w:shd w:val="clear" w:color="auto" w:fill="CCC0D9" w:themeFill="accent4" w:themeFillTint="66"/>
          </w:tcPr>
          <w:p w14:paraId="6DBC0930" w14:textId="77777777" w:rsidR="000E509C" w:rsidRPr="000E509C" w:rsidRDefault="000E509C" w:rsidP="000E509C">
            <w:pPr>
              <w:spacing w:before="40" w:after="40"/>
              <w:ind w:left="176" w:right="-142"/>
              <w:jc w:val="both"/>
              <w:rPr>
                <w:rFonts w:ascii="Segoe UI Light" w:hAnsi="Segoe UI Light"/>
                <w:sz w:val="16"/>
                <w:szCs w:val="20"/>
              </w:rPr>
            </w:pPr>
            <w:r w:rsidRPr="000E509C">
              <w:rPr>
                <w:rFonts w:ascii="Segoe UI Light" w:hAnsi="Segoe UI Light"/>
                <w:sz w:val="16"/>
                <w:szCs w:val="20"/>
              </w:rPr>
              <w:t>Kvalificēti lauksaimniecības darbinieki</w:t>
            </w:r>
          </w:p>
        </w:tc>
        <w:tc>
          <w:tcPr>
            <w:tcW w:w="719" w:type="pct"/>
            <w:shd w:val="clear" w:color="auto" w:fill="CCC0D9" w:themeFill="accent4" w:themeFillTint="66"/>
            <w:vAlign w:val="bottom"/>
          </w:tcPr>
          <w:p w14:paraId="61B97165" w14:textId="411C01CA"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3,6</w:t>
            </w:r>
          </w:p>
        </w:tc>
        <w:tc>
          <w:tcPr>
            <w:tcW w:w="722" w:type="pct"/>
            <w:shd w:val="clear" w:color="auto" w:fill="CCC0D9" w:themeFill="accent4" w:themeFillTint="66"/>
            <w:vAlign w:val="bottom"/>
          </w:tcPr>
          <w:p w14:paraId="22400C61" w14:textId="698F59D6"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12,0</w:t>
            </w:r>
          </w:p>
        </w:tc>
        <w:tc>
          <w:tcPr>
            <w:tcW w:w="719" w:type="pct"/>
            <w:shd w:val="clear" w:color="auto" w:fill="CCC0D9" w:themeFill="accent4" w:themeFillTint="66"/>
            <w:vAlign w:val="bottom"/>
          </w:tcPr>
          <w:p w14:paraId="0E27B32B" w14:textId="4569E557"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3,0</w:t>
            </w:r>
          </w:p>
        </w:tc>
        <w:tc>
          <w:tcPr>
            <w:tcW w:w="718" w:type="pct"/>
            <w:shd w:val="clear" w:color="auto" w:fill="CCC0D9" w:themeFill="accent4" w:themeFillTint="66"/>
            <w:vAlign w:val="bottom"/>
          </w:tcPr>
          <w:p w14:paraId="24112881" w14:textId="54928967"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2,8</w:t>
            </w:r>
          </w:p>
        </w:tc>
      </w:tr>
      <w:tr w:rsidR="00997DF6" w:rsidRPr="000E509C" w14:paraId="16841627" w14:textId="77777777" w:rsidTr="000E509C">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E5DFEC" w:themeFill="accent4" w:themeFillTint="33"/>
          </w:tcPr>
          <w:p w14:paraId="0B51C6C1" w14:textId="77777777" w:rsidR="000E509C" w:rsidRPr="000E509C" w:rsidRDefault="000E509C" w:rsidP="000E509C">
            <w:pPr>
              <w:spacing w:before="40" w:after="40"/>
              <w:ind w:left="176" w:right="-142"/>
              <w:jc w:val="both"/>
              <w:rPr>
                <w:rFonts w:ascii="Segoe UI Light" w:hAnsi="Segoe UI Light"/>
                <w:sz w:val="16"/>
                <w:szCs w:val="20"/>
              </w:rPr>
            </w:pPr>
            <w:r w:rsidRPr="000E509C">
              <w:rPr>
                <w:rFonts w:ascii="Segoe UI Light" w:hAnsi="Segoe UI Light"/>
                <w:sz w:val="16"/>
                <w:szCs w:val="20"/>
              </w:rPr>
              <w:t>Kvalificēti strādnieki</w:t>
            </w:r>
          </w:p>
        </w:tc>
        <w:tc>
          <w:tcPr>
            <w:tcW w:w="719" w:type="pct"/>
            <w:shd w:val="clear" w:color="auto" w:fill="E5DFEC" w:themeFill="accent4" w:themeFillTint="33"/>
            <w:vAlign w:val="bottom"/>
          </w:tcPr>
          <w:p w14:paraId="5B42965B" w14:textId="77CCC476"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11,3</w:t>
            </w:r>
          </w:p>
        </w:tc>
        <w:tc>
          <w:tcPr>
            <w:tcW w:w="722" w:type="pct"/>
            <w:shd w:val="clear" w:color="auto" w:fill="E5DFEC" w:themeFill="accent4" w:themeFillTint="33"/>
            <w:vAlign w:val="bottom"/>
          </w:tcPr>
          <w:p w14:paraId="248EFC66" w14:textId="78700053"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17,0</w:t>
            </w:r>
          </w:p>
        </w:tc>
        <w:tc>
          <w:tcPr>
            <w:tcW w:w="719" w:type="pct"/>
            <w:shd w:val="clear" w:color="auto" w:fill="E5DFEC" w:themeFill="accent4" w:themeFillTint="33"/>
            <w:vAlign w:val="bottom"/>
          </w:tcPr>
          <w:p w14:paraId="1C7598A4" w14:textId="78DCD0E8"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12,</w:t>
            </w:r>
            <w:r>
              <w:rPr>
                <w:rFonts w:ascii="Segoe UI Light" w:hAnsi="Segoe UI Light"/>
                <w:sz w:val="16"/>
                <w:szCs w:val="20"/>
              </w:rPr>
              <w:t>0</w:t>
            </w:r>
          </w:p>
        </w:tc>
        <w:tc>
          <w:tcPr>
            <w:tcW w:w="718" w:type="pct"/>
            <w:shd w:val="clear" w:color="auto" w:fill="E5DFEC" w:themeFill="accent4" w:themeFillTint="33"/>
            <w:vAlign w:val="bottom"/>
          </w:tcPr>
          <w:p w14:paraId="666D9F45" w14:textId="29BB1640"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12,9</w:t>
            </w:r>
          </w:p>
        </w:tc>
      </w:tr>
      <w:tr w:rsidR="00997DF6" w:rsidRPr="000E509C" w14:paraId="6475607D" w14:textId="77777777" w:rsidTr="000E509C">
        <w:tc>
          <w:tcPr>
            <w:tcW w:w="2121" w:type="pct"/>
            <w:shd w:val="clear" w:color="auto" w:fill="CCC0D9" w:themeFill="accent4" w:themeFillTint="66"/>
          </w:tcPr>
          <w:p w14:paraId="645281D9" w14:textId="77777777" w:rsidR="000E509C" w:rsidRPr="000E509C" w:rsidRDefault="000E509C" w:rsidP="000E509C">
            <w:pPr>
              <w:spacing w:before="40" w:after="40"/>
              <w:ind w:left="176" w:right="-142"/>
              <w:jc w:val="both"/>
              <w:rPr>
                <w:rFonts w:ascii="Segoe UI Light" w:hAnsi="Segoe UI Light"/>
                <w:sz w:val="16"/>
                <w:szCs w:val="20"/>
              </w:rPr>
            </w:pPr>
            <w:r w:rsidRPr="000E509C">
              <w:rPr>
                <w:rFonts w:ascii="Segoe UI Light" w:hAnsi="Segoe UI Light"/>
                <w:sz w:val="16"/>
                <w:szCs w:val="20"/>
              </w:rPr>
              <w:t>Iekārtu un mašīnu operatori</w:t>
            </w:r>
          </w:p>
        </w:tc>
        <w:tc>
          <w:tcPr>
            <w:tcW w:w="719" w:type="pct"/>
            <w:shd w:val="clear" w:color="auto" w:fill="CCC0D9" w:themeFill="accent4" w:themeFillTint="66"/>
            <w:vAlign w:val="bottom"/>
          </w:tcPr>
          <w:p w14:paraId="4C4C5E10" w14:textId="0FE3E7C9"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-1,6</w:t>
            </w:r>
          </w:p>
        </w:tc>
        <w:tc>
          <w:tcPr>
            <w:tcW w:w="722" w:type="pct"/>
            <w:shd w:val="clear" w:color="auto" w:fill="CCC0D9" w:themeFill="accent4" w:themeFillTint="66"/>
            <w:vAlign w:val="bottom"/>
          </w:tcPr>
          <w:p w14:paraId="28C16BCC" w14:textId="6C21429B"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2,9</w:t>
            </w:r>
          </w:p>
        </w:tc>
        <w:tc>
          <w:tcPr>
            <w:tcW w:w="719" w:type="pct"/>
            <w:shd w:val="clear" w:color="auto" w:fill="CCC0D9" w:themeFill="accent4" w:themeFillTint="66"/>
            <w:vAlign w:val="bottom"/>
          </w:tcPr>
          <w:p w14:paraId="1F513EBD" w14:textId="055E29B9"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8,</w:t>
            </w:r>
            <w:r>
              <w:rPr>
                <w:rFonts w:ascii="Segoe UI Light" w:hAnsi="Segoe UI Light"/>
                <w:sz w:val="16"/>
                <w:szCs w:val="20"/>
              </w:rPr>
              <w:t>3</w:t>
            </w:r>
          </w:p>
        </w:tc>
        <w:tc>
          <w:tcPr>
            <w:tcW w:w="718" w:type="pct"/>
            <w:shd w:val="clear" w:color="auto" w:fill="CCC0D9" w:themeFill="accent4" w:themeFillTint="66"/>
            <w:vAlign w:val="bottom"/>
          </w:tcPr>
          <w:p w14:paraId="0AE09308" w14:textId="4BDD8F10"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8,</w:t>
            </w:r>
            <w:r>
              <w:rPr>
                <w:rFonts w:ascii="Segoe UI Light" w:hAnsi="Segoe UI Light"/>
                <w:sz w:val="16"/>
                <w:szCs w:val="20"/>
              </w:rPr>
              <w:t>4</w:t>
            </w:r>
          </w:p>
        </w:tc>
      </w:tr>
      <w:tr w:rsidR="00997DF6" w:rsidRPr="000E509C" w14:paraId="2FBC9E47" w14:textId="77777777" w:rsidTr="000E509C">
        <w:trPr>
          <w:cnfStyle w:val="000000100000" w:firstRow="0" w:lastRow="0" w:firstColumn="0" w:lastColumn="0" w:oddVBand="0" w:evenVBand="0" w:oddHBand="1" w:evenHBand="0" w:firstRowFirstColumn="0" w:firstRowLastColumn="0" w:lastRowFirstColumn="0" w:lastRowLastColumn="0"/>
        </w:trPr>
        <w:tc>
          <w:tcPr>
            <w:tcW w:w="2121" w:type="pct"/>
            <w:shd w:val="clear" w:color="auto" w:fill="E5DFEC" w:themeFill="accent4" w:themeFillTint="33"/>
          </w:tcPr>
          <w:p w14:paraId="0603794D" w14:textId="77777777" w:rsidR="000E509C" w:rsidRPr="000E509C" w:rsidRDefault="000E509C" w:rsidP="000E509C">
            <w:pPr>
              <w:spacing w:before="40" w:after="40"/>
              <w:ind w:right="-142"/>
              <w:jc w:val="both"/>
              <w:rPr>
                <w:rFonts w:ascii="Segoe UI Light" w:hAnsi="Segoe UI Light"/>
                <w:sz w:val="16"/>
                <w:szCs w:val="20"/>
              </w:rPr>
            </w:pPr>
            <w:r w:rsidRPr="000E509C">
              <w:rPr>
                <w:rFonts w:ascii="Segoe UI Light" w:hAnsi="Segoe UI Light"/>
                <w:sz w:val="16"/>
                <w:szCs w:val="20"/>
              </w:rPr>
              <w:t>Zemas kvalifikācijas profesijas</w:t>
            </w:r>
          </w:p>
        </w:tc>
        <w:tc>
          <w:tcPr>
            <w:tcW w:w="719" w:type="pct"/>
            <w:shd w:val="clear" w:color="auto" w:fill="E5DFEC" w:themeFill="accent4" w:themeFillTint="33"/>
            <w:vAlign w:val="bottom"/>
          </w:tcPr>
          <w:p w14:paraId="4E5122F0" w14:textId="09A5CA6B"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10,9</w:t>
            </w:r>
          </w:p>
        </w:tc>
        <w:tc>
          <w:tcPr>
            <w:tcW w:w="722" w:type="pct"/>
            <w:shd w:val="clear" w:color="auto" w:fill="E5DFEC" w:themeFill="accent4" w:themeFillTint="33"/>
            <w:vAlign w:val="bottom"/>
          </w:tcPr>
          <w:p w14:paraId="19B63239" w14:textId="6869A65F" w:rsidR="000E509C" w:rsidRPr="000E509C" w:rsidRDefault="000E509C" w:rsidP="000E509C">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32,6</w:t>
            </w:r>
          </w:p>
        </w:tc>
        <w:tc>
          <w:tcPr>
            <w:tcW w:w="719" w:type="pct"/>
            <w:shd w:val="clear" w:color="auto" w:fill="E5DFEC" w:themeFill="accent4" w:themeFillTint="33"/>
          </w:tcPr>
          <w:p w14:paraId="7DB170CC" w14:textId="5173D74D"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10,8</w:t>
            </w:r>
          </w:p>
        </w:tc>
        <w:tc>
          <w:tcPr>
            <w:tcW w:w="718" w:type="pct"/>
            <w:shd w:val="clear" w:color="auto" w:fill="E5DFEC" w:themeFill="accent4" w:themeFillTint="33"/>
          </w:tcPr>
          <w:p w14:paraId="1B4135E0" w14:textId="75A7D4E0" w:rsidR="000E509C" w:rsidRPr="000E509C" w:rsidRDefault="000E509C" w:rsidP="000E509C">
            <w:pPr>
              <w:tabs>
                <w:tab w:val="decimal" w:pos="588"/>
              </w:tabs>
              <w:spacing w:before="40" w:after="40"/>
              <w:rPr>
                <w:rFonts w:ascii="Segoe UI Light" w:hAnsi="Segoe UI Light"/>
                <w:sz w:val="16"/>
                <w:szCs w:val="20"/>
              </w:rPr>
            </w:pPr>
            <w:r>
              <w:rPr>
                <w:rFonts w:ascii="Segoe UI Light" w:hAnsi="Segoe UI Light"/>
                <w:sz w:val="16"/>
                <w:szCs w:val="20"/>
              </w:rPr>
              <w:t>8,3</w:t>
            </w:r>
          </w:p>
        </w:tc>
      </w:tr>
      <w:tr w:rsidR="00997DF6" w:rsidRPr="000E509C" w14:paraId="03F83D2B" w14:textId="77777777" w:rsidTr="000E509C">
        <w:tc>
          <w:tcPr>
            <w:tcW w:w="2121" w:type="pct"/>
            <w:shd w:val="clear" w:color="auto" w:fill="CCC0D9" w:themeFill="accent4" w:themeFillTint="66"/>
          </w:tcPr>
          <w:p w14:paraId="7210E3B4" w14:textId="77777777" w:rsidR="000E509C" w:rsidRPr="000E509C" w:rsidRDefault="000E509C" w:rsidP="000E509C">
            <w:pPr>
              <w:spacing w:before="40" w:after="40"/>
              <w:ind w:right="-142"/>
              <w:jc w:val="both"/>
              <w:rPr>
                <w:rFonts w:ascii="Segoe UI Light" w:hAnsi="Segoe UI Light"/>
                <w:b/>
                <w:sz w:val="16"/>
                <w:szCs w:val="20"/>
              </w:rPr>
            </w:pPr>
            <w:r w:rsidRPr="000E509C">
              <w:rPr>
                <w:rFonts w:ascii="Segoe UI Light" w:hAnsi="Segoe UI Light"/>
                <w:b/>
                <w:sz w:val="16"/>
                <w:szCs w:val="20"/>
              </w:rPr>
              <w:t>Kopā</w:t>
            </w:r>
          </w:p>
        </w:tc>
        <w:tc>
          <w:tcPr>
            <w:tcW w:w="719" w:type="pct"/>
            <w:shd w:val="clear" w:color="auto" w:fill="CCC0D9" w:themeFill="accent4" w:themeFillTint="66"/>
            <w:vAlign w:val="bottom"/>
          </w:tcPr>
          <w:p w14:paraId="0CFC6F66" w14:textId="593BFC2B" w:rsidR="000E509C" w:rsidRPr="000E509C" w:rsidRDefault="000E509C" w:rsidP="000E509C">
            <w:pPr>
              <w:tabs>
                <w:tab w:val="decimal" w:pos="588"/>
              </w:tabs>
              <w:spacing w:before="40" w:after="40"/>
              <w:rPr>
                <w:rFonts w:ascii="Segoe UI Light" w:hAnsi="Segoe UI Light"/>
                <w:b/>
                <w:sz w:val="16"/>
                <w:szCs w:val="20"/>
              </w:rPr>
            </w:pPr>
            <w:r>
              <w:rPr>
                <w:rFonts w:ascii="Segoe UI Light" w:hAnsi="Segoe UI Light"/>
                <w:b/>
                <w:sz w:val="16"/>
                <w:szCs w:val="20"/>
              </w:rPr>
              <w:t>2,7</w:t>
            </w:r>
          </w:p>
        </w:tc>
        <w:tc>
          <w:tcPr>
            <w:tcW w:w="722" w:type="pct"/>
            <w:shd w:val="clear" w:color="auto" w:fill="CCC0D9" w:themeFill="accent4" w:themeFillTint="66"/>
            <w:vAlign w:val="bottom"/>
          </w:tcPr>
          <w:p w14:paraId="4B4A4B09" w14:textId="2DF41E2F" w:rsidR="000E509C" w:rsidRPr="000E509C" w:rsidRDefault="000E509C" w:rsidP="000E509C">
            <w:pPr>
              <w:tabs>
                <w:tab w:val="decimal" w:pos="588"/>
              </w:tabs>
              <w:spacing w:before="40" w:after="40"/>
              <w:rPr>
                <w:rFonts w:ascii="Segoe UI Light" w:hAnsi="Segoe UI Light"/>
                <w:b/>
                <w:sz w:val="16"/>
                <w:szCs w:val="20"/>
              </w:rPr>
            </w:pPr>
            <w:r>
              <w:rPr>
                <w:rFonts w:ascii="Segoe UI Light" w:hAnsi="Segoe UI Light"/>
                <w:b/>
                <w:sz w:val="16"/>
                <w:szCs w:val="20"/>
              </w:rPr>
              <w:t>0,7</w:t>
            </w:r>
          </w:p>
        </w:tc>
        <w:tc>
          <w:tcPr>
            <w:tcW w:w="719" w:type="pct"/>
            <w:shd w:val="clear" w:color="auto" w:fill="CCC0D9" w:themeFill="accent4" w:themeFillTint="66"/>
          </w:tcPr>
          <w:p w14:paraId="7C2D6DD6" w14:textId="13CE9ECE" w:rsidR="000E509C" w:rsidRPr="000E509C" w:rsidRDefault="000E509C" w:rsidP="000E509C">
            <w:pPr>
              <w:tabs>
                <w:tab w:val="decimal" w:pos="588"/>
              </w:tabs>
              <w:spacing w:before="40" w:after="40"/>
              <w:rPr>
                <w:rFonts w:ascii="Segoe UI Light" w:hAnsi="Segoe UI Light"/>
                <w:b/>
                <w:sz w:val="16"/>
                <w:szCs w:val="20"/>
              </w:rPr>
            </w:pPr>
            <w:r w:rsidRPr="003B4CDA">
              <w:rPr>
                <w:rFonts w:ascii="Segoe UI Light" w:hAnsi="Segoe UI Light"/>
                <w:b/>
                <w:sz w:val="16"/>
                <w:szCs w:val="20"/>
              </w:rPr>
              <w:t>100</w:t>
            </w:r>
          </w:p>
        </w:tc>
        <w:tc>
          <w:tcPr>
            <w:tcW w:w="718" w:type="pct"/>
            <w:shd w:val="clear" w:color="auto" w:fill="CCC0D9" w:themeFill="accent4" w:themeFillTint="66"/>
          </w:tcPr>
          <w:p w14:paraId="75DB9536" w14:textId="6F6CB936" w:rsidR="000E509C" w:rsidRPr="000E509C" w:rsidRDefault="000E509C" w:rsidP="000E509C">
            <w:pPr>
              <w:tabs>
                <w:tab w:val="decimal" w:pos="588"/>
              </w:tabs>
              <w:spacing w:before="40" w:after="40"/>
              <w:rPr>
                <w:rFonts w:ascii="Segoe UI Light" w:hAnsi="Segoe UI Light"/>
                <w:b/>
                <w:sz w:val="16"/>
                <w:szCs w:val="20"/>
              </w:rPr>
            </w:pPr>
            <w:r w:rsidRPr="003B4CDA">
              <w:rPr>
                <w:rFonts w:ascii="Segoe UI Light" w:hAnsi="Segoe UI Light"/>
                <w:b/>
                <w:sz w:val="16"/>
                <w:szCs w:val="20"/>
              </w:rPr>
              <w:t>100</w:t>
            </w:r>
          </w:p>
        </w:tc>
      </w:tr>
    </w:tbl>
    <w:p w14:paraId="654F5A88" w14:textId="77777777" w:rsidR="009A0130" w:rsidRPr="000E509C" w:rsidRDefault="009A0130" w:rsidP="000E509C">
      <w:pPr>
        <w:spacing w:before="120" w:after="120"/>
        <w:jc w:val="both"/>
        <w:rPr>
          <w:rFonts w:cs="Calibri Light"/>
          <w:sz w:val="16"/>
          <w:szCs w:val="14"/>
        </w:rPr>
      </w:pPr>
      <w:r w:rsidRPr="000E509C">
        <w:rPr>
          <w:rFonts w:cs="Calibri Light"/>
          <w:sz w:val="16"/>
          <w:szCs w:val="14"/>
        </w:rPr>
        <w:t>Avots: EM prognozes</w:t>
      </w:r>
    </w:p>
    <w:p w14:paraId="75105787" w14:textId="77777777" w:rsidR="000A4643" w:rsidRDefault="000A4643" w:rsidP="00343F74">
      <w:pPr>
        <w:spacing w:after="120"/>
        <w:jc w:val="both"/>
        <w:rPr>
          <w:szCs w:val="20"/>
        </w:rPr>
      </w:pPr>
    </w:p>
    <w:p w14:paraId="03E65E16" w14:textId="209E542F" w:rsidR="000E509C" w:rsidRPr="003B4CDA" w:rsidRDefault="000E509C" w:rsidP="00343F74">
      <w:pPr>
        <w:spacing w:after="120"/>
        <w:jc w:val="both"/>
        <w:rPr>
          <w:szCs w:val="20"/>
        </w:rPr>
      </w:pPr>
      <w:r w:rsidRPr="00951E9C">
        <w:rPr>
          <w:szCs w:val="20"/>
        </w:rPr>
        <w:t>Gan vidējā termiņā, gan ilgtermiņā pieprasījums</w:t>
      </w:r>
      <w:r w:rsidRPr="00951E9C">
        <w:t xml:space="preserve"> </w:t>
      </w:r>
      <w:r w:rsidRPr="00951E9C">
        <w:rPr>
          <w:szCs w:val="20"/>
        </w:rPr>
        <w:t>vidējas kvalifikācijas profesiju grupā samazināsies, tomēr augsts tas saglabāsies pēc</w:t>
      </w:r>
      <w:r w:rsidRPr="00951E9C">
        <w:t xml:space="preserve"> </w:t>
      </w:r>
      <w:r w:rsidRPr="00951E9C">
        <w:rPr>
          <w:szCs w:val="20"/>
        </w:rPr>
        <w:t xml:space="preserve">kvalificētiem strādniekiem. </w:t>
      </w:r>
      <w:r w:rsidRPr="002B7108">
        <w:rPr>
          <w:szCs w:val="20"/>
        </w:rPr>
        <w:t xml:space="preserve">Straujākais pieprasījuma pieaugums sagaidāms būvniecībā. Tajā pašā laikā vidējā termiņā pieprasījums saruks visās nozarēs, </w:t>
      </w:r>
      <w:bookmarkStart w:id="68" w:name="_Hlk103616524"/>
      <w:r w:rsidRPr="002B7108">
        <w:rPr>
          <w:szCs w:val="20"/>
        </w:rPr>
        <w:t>izņemot apstrādes rūpniecību, būvniecību un komercpakalpojumus</w:t>
      </w:r>
      <w:bookmarkEnd w:id="68"/>
      <w:r w:rsidRPr="002B7108">
        <w:rPr>
          <w:szCs w:val="20"/>
        </w:rPr>
        <w:t>. Ilgtermiņā pieprasījums vidējas kvalifikācijas profesiju grupā samazināsies visās nozarēs, izņemot apstrādes rūpniecību un būvniecību.</w:t>
      </w:r>
    </w:p>
    <w:p w14:paraId="3110FD5B" w14:textId="52769CCB" w:rsidR="009A0130" w:rsidRPr="000E509C" w:rsidRDefault="009A0130" w:rsidP="00343F74">
      <w:pPr>
        <w:spacing w:after="120"/>
        <w:jc w:val="right"/>
        <w:rPr>
          <w:szCs w:val="26"/>
        </w:rPr>
      </w:pPr>
      <w:r w:rsidRPr="000E509C">
        <w:rPr>
          <w:szCs w:val="26"/>
        </w:rPr>
        <w:t>3.8. tabula</w:t>
      </w:r>
    </w:p>
    <w:p w14:paraId="73D44BBF" w14:textId="60BB4015" w:rsidR="009A0130" w:rsidRPr="000E509C" w:rsidRDefault="009A0130" w:rsidP="00590200">
      <w:pPr>
        <w:spacing w:after="120"/>
        <w:ind w:left="-425" w:right="-142"/>
        <w:jc w:val="center"/>
        <w:rPr>
          <w:rFonts w:ascii="Segoe UI Light" w:hAnsi="Segoe UI Light"/>
          <w:i/>
          <w:sz w:val="16"/>
          <w:szCs w:val="26"/>
        </w:rPr>
      </w:pPr>
      <w:r w:rsidRPr="000E509C">
        <w:rPr>
          <w:rFonts w:ascii="Segoe UI Light" w:hAnsi="Segoe UI Light"/>
          <w:b/>
          <w:sz w:val="18"/>
          <w:szCs w:val="26"/>
        </w:rPr>
        <w:t>Nodarbināto skaita izmaiņas tautsaimniecības nozarēs sadalījumā pa profesiju grupām</w:t>
      </w:r>
      <w:r w:rsidRPr="000E509C">
        <w:rPr>
          <w:rFonts w:ascii="Segoe UI Light" w:hAnsi="Segoe UI Light"/>
          <w:b/>
          <w:sz w:val="18"/>
          <w:szCs w:val="26"/>
        </w:rPr>
        <w:br/>
      </w:r>
      <w:r w:rsidRPr="000E509C">
        <w:rPr>
          <w:rFonts w:ascii="Segoe UI Light" w:hAnsi="Segoe UI Light"/>
          <w:i/>
          <w:sz w:val="16"/>
          <w:szCs w:val="26"/>
        </w:rPr>
        <w:t>salīdzinājumā ar 202</w:t>
      </w:r>
      <w:r w:rsidR="000E509C">
        <w:rPr>
          <w:rFonts w:ascii="Segoe UI Light" w:hAnsi="Segoe UI Light"/>
          <w:i/>
          <w:sz w:val="16"/>
          <w:szCs w:val="26"/>
        </w:rPr>
        <w:t>3</w:t>
      </w:r>
      <w:r w:rsidRPr="000E509C">
        <w:rPr>
          <w:rFonts w:ascii="Segoe UI Light" w:hAnsi="Segoe UI Light"/>
          <w:i/>
          <w:sz w:val="16"/>
          <w:szCs w:val="26"/>
        </w:rPr>
        <w:t>.</w:t>
      </w:r>
      <w:r w:rsidR="0080669C" w:rsidRPr="000E509C">
        <w:rPr>
          <w:rFonts w:ascii="Segoe UI Light" w:hAnsi="Segoe UI Light"/>
          <w:i/>
          <w:sz w:val="16"/>
          <w:szCs w:val="26"/>
        </w:rPr>
        <w:t>gad</w:t>
      </w:r>
      <w:r w:rsidRPr="000E509C">
        <w:rPr>
          <w:rFonts w:ascii="Segoe UI Light" w:hAnsi="Segoe UI Light"/>
          <w:i/>
          <w:sz w:val="16"/>
          <w:szCs w:val="26"/>
        </w:rPr>
        <w:t>u, tūkstošos</w:t>
      </w:r>
    </w:p>
    <w:tbl>
      <w:tblPr>
        <w:tblStyle w:val="GridTable5Dark-Accent31"/>
        <w:tblW w:w="5123"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508"/>
        <w:gridCol w:w="604"/>
        <w:gridCol w:w="606"/>
        <w:gridCol w:w="605"/>
        <w:gridCol w:w="605"/>
        <w:gridCol w:w="739"/>
        <w:gridCol w:w="605"/>
        <w:gridCol w:w="605"/>
        <w:gridCol w:w="711"/>
        <w:gridCol w:w="696"/>
      </w:tblGrid>
      <w:tr w:rsidR="00606052" w:rsidRPr="000E509C" w14:paraId="0088ECC8" w14:textId="77777777" w:rsidTr="000E509C">
        <w:trPr>
          <w:cnfStyle w:val="100000000000" w:firstRow="1" w:lastRow="0" w:firstColumn="0" w:lastColumn="0" w:oddVBand="0" w:evenVBand="0" w:oddHBand="0" w:evenHBand="0" w:firstRowFirstColumn="0" w:firstRowLastColumn="0" w:lastRowFirstColumn="0" w:lastRowLastColumn="0"/>
          <w:cantSplit/>
          <w:trHeight w:val="1418"/>
          <w:tblHeader/>
        </w:trPr>
        <w:tc>
          <w:tcPr>
            <w:tcW w:w="1889" w:type="pct"/>
            <w:shd w:val="clear" w:color="auto" w:fill="5F497A" w:themeFill="accent4" w:themeFillShade="BF"/>
            <w:textDirection w:val="btLr"/>
          </w:tcPr>
          <w:p w14:paraId="326AC75D" w14:textId="77777777" w:rsidR="009A0130" w:rsidRPr="000E509C" w:rsidRDefault="009A0130" w:rsidP="00D209BD">
            <w:pPr>
              <w:spacing w:before="40" w:after="40"/>
              <w:jc w:val="center"/>
              <w:rPr>
                <w:rFonts w:ascii="Segoe UI Light" w:eastAsia="Arial Unicode MS" w:hAnsi="Segoe UI Light"/>
                <w:b w:val="0"/>
                <w:sz w:val="16"/>
                <w:szCs w:val="20"/>
              </w:rPr>
            </w:pPr>
          </w:p>
        </w:tc>
        <w:tc>
          <w:tcPr>
            <w:tcW w:w="325" w:type="pct"/>
            <w:shd w:val="clear" w:color="auto" w:fill="5F497A" w:themeFill="accent4" w:themeFillShade="BF"/>
            <w:textDirection w:val="btLr"/>
          </w:tcPr>
          <w:p w14:paraId="456F00B1" w14:textId="77777777" w:rsidR="009A0130" w:rsidRPr="000E509C" w:rsidRDefault="009A0130" w:rsidP="00D209BD">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Lauksaimniecība</w:t>
            </w:r>
          </w:p>
        </w:tc>
        <w:tc>
          <w:tcPr>
            <w:tcW w:w="326" w:type="pct"/>
            <w:shd w:val="clear" w:color="auto" w:fill="5F497A" w:themeFill="accent4" w:themeFillShade="BF"/>
            <w:textDirection w:val="btLr"/>
          </w:tcPr>
          <w:p w14:paraId="4E7A7232" w14:textId="77777777" w:rsidR="009A0130" w:rsidRPr="000E509C" w:rsidRDefault="009A0130" w:rsidP="00D209BD">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 xml:space="preserve">Apstrādes </w:t>
            </w:r>
            <w:r w:rsidRPr="000E509C">
              <w:rPr>
                <w:rFonts w:ascii="Segoe UI Light" w:hAnsi="Segoe UI Light"/>
                <w:sz w:val="16"/>
                <w:szCs w:val="20"/>
                <w:lang w:eastAsia="lv-LV"/>
              </w:rPr>
              <w:br/>
              <w:t>rūpniecība</w:t>
            </w:r>
          </w:p>
        </w:tc>
        <w:tc>
          <w:tcPr>
            <w:tcW w:w="326" w:type="pct"/>
            <w:shd w:val="clear" w:color="auto" w:fill="5F497A" w:themeFill="accent4" w:themeFillShade="BF"/>
            <w:textDirection w:val="btLr"/>
          </w:tcPr>
          <w:p w14:paraId="4A7BD795" w14:textId="77777777" w:rsidR="009A0130" w:rsidRPr="000E509C" w:rsidRDefault="009A0130" w:rsidP="00D209BD">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 xml:space="preserve">Pārējā </w:t>
            </w:r>
            <w:r w:rsidRPr="000E509C">
              <w:rPr>
                <w:rFonts w:ascii="Segoe UI Light" w:hAnsi="Segoe UI Light"/>
                <w:sz w:val="16"/>
                <w:szCs w:val="20"/>
                <w:lang w:eastAsia="lv-LV"/>
              </w:rPr>
              <w:br/>
              <w:t>rūpniecība</w:t>
            </w:r>
          </w:p>
        </w:tc>
        <w:tc>
          <w:tcPr>
            <w:tcW w:w="326" w:type="pct"/>
            <w:shd w:val="clear" w:color="auto" w:fill="5F497A" w:themeFill="accent4" w:themeFillShade="BF"/>
            <w:textDirection w:val="btLr"/>
          </w:tcPr>
          <w:p w14:paraId="0C0A4CCB" w14:textId="77777777" w:rsidR="009A0130" w:rsidRPr="000E509C" w:rsidRDefault="009A0130" w:rsidP="00D209BD">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Būvniecība</w:t>
            </w:r>
          </w:p>
        </w:tc>
        <w:tc>
          <w:tcPr>
            <w:tcW w:w="398" w:type="pct"/>
            <w:shd w:val="clear" w:color="auto" w:fill="5F497A" w:themeFill="accent4" w:themeFillShade="BF"/>
            <w:textDirection w:val="btLr"/>
          </w:tcPr>
          <w:p w14:paraId="0230BD2D" w14:textId="77777777" w:rsidR="009A0130" w:rsidRPr="000E509C" w:rsidRDefault="009A0130" w:rsidP="00D209BD">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Tirdzniecība</w:t>
            </w:r>
          </w:p>
        </w:tc>
        <w:tc>
          <w:tcPr>
            <w:tcW w:w="326" w:type="pct"/>
            <w:shd w:val="clear" w:color="auto" w:fill="5F497A" w:themeFill="accent4" w:themeFillShade="BF"/>
            <w:textDirection w:val="btLr"/>
          </w:tcPr>
          <w:p w14:paraId="22D60805" w14:textId="77777777" w:rsidR="009A0130" w:rsidRPr="000E509C" w:rsidRDefault="009A0130" w:rsidP="00D209BD">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Transports</w:t>
            </w:r>
          </w:p>
        </w:tc>
        <w:tc>
          <w:tcPr>
            <w:tcW w:w="326" w:type="pct"/>
            <w:shd w:val="clear" w:color="auto" w:fill="5F497A" w:themeFill="accent4" w:themeFillShade="BF"/>
            <w:textDirection w:val="btLr"/>
          </w:tcPr>
          <w:p w14:paraId="07FE62CB" w14:textId="77777777" w:rsidR="009A0130" w:rsidRPr="000E509C" w:rsidRDefault="009A0130" w:rsidP="00D209BD">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 xml:space="preserve">Citi </w:t>
            </w:r>
            <w:r w:rsidRPr="000E509C">
              <w:rPr>
                <w:rFonts w:ascii="Segoe UI Light" w:hAnsi="Segoe UI Light"/>
                <w:sz w:val="16"/>
                <w:szCs w:val="20"/>
                <w:lang w:eastAsia="lv-LV"/>
              </w:rPr>
              <w:br/>
              <w:t>komercpakalpojumi</w:t>
            </w:r>
          </w:p>
        </w:tc>
        <w:tc>
          <w:tcPr>
            <w:tcW w:w="383" w:type="pct"/>
            <w:shd w:val="clear" w:color="auto" w:fill="5F497A" w:themeFill="accent4" w:themeFillShade="BF"/>
            <w:textDirection w:val="btLr"/>
          </w:tcPr>
          <w:p w14:paraId="4520A7FD" w14:textId="77777777" w:rsidR="009A0130" w:rsidRPr="000E509C" w:rsidRDefault="009A0130" w:rsidP="00D209BD">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 xml:space="preserve">Sabiedriskie </w:t>
            </w:r>
            <w:r w:rsidRPr="000E509C">
              <w:rPr>
                <w:rFonts w:ascii="Segoe UI Light" w:hAnsi="Segoe UI Light"/>
                <w:sz w:val="16"/>
                <w:szCs w:val="20"/>
                <w:lang w:eastAsia="lv-LV"/>
              </w:rPr>
              <w:br/>
              <w:t>pakalpojumi</w:t>
            </w:r>
          </w:p>
        </w:tc>
        <w:tc>
          <w:tcPr>
            <w:tcW w:w="375" w:type="pct"/>
            <w:shd w:val="clear" w:color="auto" w:fill="5F497A" w:themeFill="accent4" w:themeFillShade="BF"/>
            <w:textDirection w:val="btLr"/>
          </w:tcPr>
          <w:p w14:paraId="10D96F21" w14:textId="77777777" w:rsidR="009A0130" w:rsidRPr="000E509C" w:rsidRDefault="009A0130" w:rsidP="00D209BD">
            <w:pPr>
              <w:spacing w:before="40" w:after="40"/>
              <w:jc w:val="center"/>
              <w:rPr>
                <w:rFonts w:ascii="Segoe UI Light" w:hAnsi="Segoe UI Light"/>
                <w:bCs w:val="0"/>
                <w:sz w:val="16"/>
                <w:szCs w:val="20"/>
              </w:rPr>
            </w:pPr>
            <w:r w:rsidRPr="000E509C">
              <w:rPr>
                <w:rFonts w:ascii="Segoe UI Light" w:eastAsia="Arial Unicode MS" w:hAnsi="Segoe UI Light"/>
                <w:sz w:val="16"/>
                <w:szCs w:val="20"/>
              </w:rPr>
              <w:t>Kopā</w:t>
            </w:r>
          </w:p>
        </w:tc>
      </w:tr>
      <w:tr w:rsidR="00972191" w:rsidRPr="000E509C" w14:paraId="368B39CC" w14:textId="77777777" w:rsidTr="006E51D0">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1FF05314" w14:textId="77777777" w:rsidR="009A0130" w:rsidRPr="000E509C" w:rsidRDefault="009A0130" w:rsidP="00D209BD">
            <w:pPr>
              <w:spacing w:before="40" w:after="40"/>
              <w:rPr>
                <w:rFonts w:ascii="Segoe UI Light" w:hAnsi="Segoe UI Light"/>
                <w:sz w:val="16"/>
                <w:szCs w:val="20"/>
                <w:lang w:eastAsia="lv-LV"/>
              </w:rPr>
            </w:pPr>
          </w:p>
        </w:tc>
        <w:tc>
          <w:tcPr>
            <w:tcW w:w="3111" w:type="pct"/>
            <w:gridSpan w:val="9"/>
            <w:shd w:val="clear" w:color="auto" w:fill="CCC0D9" w:themeFill="accent4" w:themeFillTint="66"/>
          </w:tcPr>
          <w:p w14:paraId="61AFF65D" w14:textId="71A1C108" w:rsidR="009A0130" w:rsidRPr="000E509C" w:rsidRDefault="009A0130" w:rsidP="00D209BD">
            <w:pPr>
              <w:tabs>
                <w:tab w:val="decimal" w:pos="218"/>
              </w:tabs>
              <w:spacing w:before="40" w:after="40"/>
              <w:rPr>
                <w:rFonts w:ascii="Segoe UI Light" w:hAnsi="Segoe UI Light"/>
                <w:sz w:val="16"/>
                <w:szCs w:val="20"/>
              </w:rPr>
            </w:pPr>
            <w:r w:rsidRPr="000E509C">
              <w:rPr>
                <w:rFonts w:ascii="Segoe UI Light" w:hAnsi="Segoe UI Light"/>
                <w:sz w:val="16"/>
                <w:szCs w:val="20"/>
              </w:rPr>
              <w:t>2030.</w:t>
            </w:r>
            <w:r w:rsidR="0080669C" w:rsidRPr="000E509C">
              <w:rPr>
                <w:rFonts w:ascii="Segoe UI Light" w:hAnsi="Segoe UI Light"/>
                <w:sz w:val="16"/>
                <w:szCs w:val="20"/>
              </w:rPr>
              <w:t>gad</w:t>
            </w:r>
            <w:r w:rsidRPr="000E509C">
              <w:rPr>
                <w:rFonts w:ascii="Segoe UI Light" w:hAnsi="Segoe UI Light"/>
                <w:sz w:val="16"/>
                <w:szCs w:val="20"/>
              </w:rPr>
              <w:t>s</w:t>
            </w:r>
          </w:p>
        </w:tc>
      </w:tr>
      <w:tr w:rsidR="00606052" w:rsidRPr="000E509C" w14:paraId="3811EB79" w14:textId="77777777" w:rsidTr="000E509C">
        <w:tc>
          <w:tcPr>
            <w:tcW w:w="1889" w:type="pct"/>
            <w:shd w:val="clear" w:color="auto" w:fill="E5DFEC" w:themeFill="accent4" w:themeFillTint="33"/>
          </w:tcPr>
          <w:p w14:paraId="16350767" w14:textId="77777777" w:rsidR="000E509C" w:rsidRPr="000E509C" w:rsidRDefault="000E509C" w:rsidP="000E509C">
            <w:pPr>
              <w:spacing w:before="40" w:after="40"/>
              <w:rPr>
                <w:rFonts w:ascii="Segoe UI Light" w:eastAsia="Arial Unicode MS" w:hAnsi="Segoe UI Light"/>
                <w:sz w:val="16"/>
                <w:szCs w:val="20"/>
              </w:rPr>
            </w:pPr>
            <w:r w:rsidRPr="000E509C">
              <w:rPr>
                <w:rFonts w:ascii="Segoe UI Light" w:hAnsi="Segoe UI Light"/>
                <w:sz w:val="16"/>
                <w:szCs w:val="20"/>
                <w:lang w:eastAsia="lv-LV"/>
              </w:rPr>
              <w:t>Nacionālo bruņoto spēku profesijas</w:t>
            </w:r>
          </w:p>
        </w:tc>
        <w:tc>
          <w:tcPr>
            <w:tcW w:w="325" w:type="pct"/>
            <w:shd w:val="clear" w:color="auto" w:fill="E5DFEC" w:themeFill="accent4" w:themeFillTint="33"/>
          </w:tcPr>
          <w:p w14:paraId="0B69A80E" w14:textId="239CCFD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6F60C5F3" w14:textId="3087250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6E96E333" w14:textId="13A95D0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2D971955" w14:textId="6F8152D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98" w:type="pct"/>
            <w:shd w:val="clear" w:color="auto" w:fill="E5DFEC" w:themeFill="accent4" w:themeFillTint="33"/>
          </w:tcPr>
          <w:p w14:paraId="18B3AAD2" w14:textId="7A7B49E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3FAD0511" w14:textId="5F61D4C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6BA841A7" w14:textId="446EFF32"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83" w:type="pct"/>
            <w:shd w:val="clear" w:color="auto" w:fill="E5DFEC" w:themeFill="accent4" w:themeFillTint="33"/>
          </w:tcPr>
          <w:p w14:paraId="30EB93C3" w14:textId="64ED06E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1,7</w:t>
            </w:r>
          </w:p>
        </w:tc>
        <w:tc>
          <w:tcPr>
            <w:tcW w:w="375" w:type="pct"/>
            <w:shd w:val="clear" w:color="auto" w:fill="E5DFEC" w:themeFill="accent4" w:themeFillTint="33"/>
          </w:tcPr>
          <w:p w14:paraId="58906F7D" w14:textId="41AD1AB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1,7</w:t>
            </w:r>
          </w:p>
        </w:tc>
      </w:tr>
      <w:tr w:rsidR="00606052" w:rsidRPr="000E509C" w14:paraId="420E6106" w14:textId="77777777" w:rsidTr="000E509C">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22834B5D" w14:textId="77777777" w:rsidR="000E509C" w:rsidRPr="000E509C" w:rsidRDefault="000E509C" w:rsidP="000E509C">
            <w:pPr>
              <w:spacing w:before="40" w:after="40"/>
              <w:rPr>
                <w:rFonts w:ascii="Segoe UI Light" w:hAnsi="Segoe UI Light"/>
                <w:sz w:val="16"/>
                <w:szCs w:val="20"/>
                <w:lang w:eastAsia="lv-LV"/>
              </w:rPr>
            </w:pPr>
            <w:r w:rsidRPr="000E509C">
              <w:rPr>
                <w:rFonts w:ascii="Segoe UI Light" w:hAnsi="Segoe UI Light"/>
                <w:sz w:val="16"/>
                <w:szCs w:val="20"/>
                <w:lang w:eastAsia="lv-LV"/>
              </w:rPr>
              <w:t>Augstas kvalifikācijas profesijas, tai skaitā:</w:t>
            </w:r>
          </w:p>
        </w:tc>
        <w:tc>
          <w:tcPr>
            <w:tcW w:w="325" w:type="pct"/>
            <w:shd w:val="clear" w:color="auto" w:fill="CCC0D9" w:themeFill="accent4" w:themeFillTint="66"/>
          </w:tcPr>
          <w:p w14:paraId="21EEF06D" w14:textId="163F63C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1,3</w:t>
            </w:r>
          </w:p>
        </w:tc>
        <w:tc>
          <w:tcPr>
            <w:tcW w:w="326" w:type="pct"/>
            <w:shd w:val="clear" w:color="auto" w:fill="CCC0D9" w:themeFill="accent4" w:themeFillTint="66"/>
          </w:tcPr>
          <w:p w14:paraId="668A3D91" w14:textId="7548A3B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2,8</w:t>
            </w:r>
          </w:p>
        </w:tc>
        <w:tc>
          <w:tcPr>
            <w:tcW w:w="326" w:type="pct"/>
            <w:shd w:val="clear" w:color="auto" w:fill="CCC0D9" w:themeFill="accent4" w:themeFillTint="66"/>
          </w:tcPr>
          <w:p w14:paraId="6068D7D0" w14:textId="52647B7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1,0</w:t>
            </w:r>
          </w:p>
        </w:tc>
        <w:tc>
          <w:tcPr>
            <w:tcW w:w="326" w:type="pct"/>
            <w:shd w:val="clear" w:color="auto" w:fill="CCC0D9" w:themeFill="accent4" w:themeFillTint="66"/>
          </w:tcPr>
          <w:p w14:paraId="312C353C" w14:textId="12A41EE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4,3</w:t>
            </w:r>
          </w:p>
        </w:tc>
        <w:tc>
          <w:tcPr>
            <w:tcW w:w="398" w:type="pct"/>
            <w:shd w:val="clear" w:color="auto" w:fill="CCC0D9" w:themeFill="accent4" w:themeFillTint="66"/>
          </w:tcPr>
          <w:p w14:paraId="0802FD24" w14:textId="2BED220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2,3</w:t>
            </w:r>
          </w:p>
        </w:tc>
        <w:tc>
          <w:tcPr>
            <w:tcW w:w="326" w:type="pct"/>
            <w:shd w:val="clear" w:color="auto" w:fill="CCC0D9" w:themeFill="accent4" w:themeFillTint="66"/>
          </w:tcPr>
          <w:p w14:paraId="75B60659" w14:textId="1B23691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-0,4</w:t>
            </w:r>
          </w:p>
        </w:tc>
        <w:tc>
          <w:tcPr>
            <w:tcW w:w="326" w:type="pct"/>
            <w:shd w:val="clear" w:color="auto" w:fill="CCC0D9" w:themeFill="accent4" w:themeFillTint="66"/>
          </w:tcPr>
          <w:p w14:paraId="631E6DFB" w14:textId="2366F630"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21,3</w:t>
            </w:r>
          </w:p>
        </w:tc>
        <w:tc>
          <w:tcPr>
            <w:tcW w:w="383" w:type="pct"/>
            <w:shd w:val="clear" w:color="auto" w:fill="CCC0D9" w:themeFill="accent4" w:themeFillTint="66"/>
          </w:tcPr>
          <w:p w14:paraId="216E1485" w14:textId="3EF619D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5,6</w:t>
            </w:r>
          </w:p>
        </w:tc>
        <w:tc>
          <w:tcPr>
            <w:tcW w:w="375" w:type="pct"/>
            <w:shd w:val="clear" w:color="auto" w:fill="CCC0D9" w:themeFill="accent4" w:themeFillTint="66"/>
          </w:tcPr>
          <w:p w14:paraId="17160018" w14:textId="69DD3EA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38,2</w:t>
            </w:r>
          </w:p>
        </w:tc>
      </w:tr>
      <w:tr w:rsidR="00606052" w:rsidRPr="000E509C" w14:paraId="75D03AC6" w14:textId="77777777" w:rsidTr="000E509C">
        <w:tc>
          <w:tcPr>
            <w:tcW w:w="1889" w:type="pct"/>
            <w:shd w:val="clear" w:color="auto" w:fill="E5DFEC" w:themeFill="accent4" w:themeFillTint="33"/>
          </w:tcPr>
          <w:p w14:paraId="3CAD07E2"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Vadītāji</w:t>
            </w:r>
          </w:p>
        </w:tc>
        <w:tc>
          <w:tcPr>
            <w:tcW w:w="325" w:type="pct"/>
            <w:shd w:val="clear" w:color="auto" w:fill="E5DFEC" w:themeFill="accent4" w:themeFillTint="33"/>
          </w:tcPr>
          <w:p w14:paraId="551447BC" w14:textId="2FA69695"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26" w:type="pct"/>
            <w:shd w:val="clear" w:color="auto" w:fill="E5DFEC" w:themeFill="accent4" w:themeFillTint="33"/>
          </w:tcPr>
          <w:p w14:paraId="0610E0F3" w14:textId="0050B95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26" w:type="pct"/>
            <w:shd w:val="clear" w:color="auto" w:fill="E5DFEC" w:themeFill="accent4" w:themeFillTint="33"/>
          </w:tcPr>
          <w:p w14:paraId="50928219" w14:textId="2ED0C9A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1F95DF49" w14:textId="16F110B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1,4</w:t>
            </w:r>
          </w:p>
        </w:tc>
        <w:tc>
          <w:tcPr>
            <w:tcW w:w="398" w:type="pct"/>
            <w:shd w:val="clear" w:color="auto" w:fill="E5DFEC" w:themeFill="accent4" w:themeFillTint="33"/>
          </w:tcPr>
          <w:p w14:paraId="53A3C411" w14:textId="023F65D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0,4</w:t>
            </w:r>
          </w:p>
        </w:tc>
        <w:tc>
          <w:tcPr>
            <w:tcW w:w="326" w:type="pct"/>
            <w:shd w:val="clear" w:color="auto" w:fill="E5DFEC" w:themeFill="accent4" w:themeFillTint="33"/>
          </w:tcPr>
          <w:p w14:paraId="4CA5A421" w14:textId="1018840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-0,7</w:t>
            </w:r>
          </w:p>
        </w:tc>
        <w:tc>
          <w:tcPr>
            <w:tcW w:w="326" w:type="pct"/>
            <w:shd w:val="clear" w:color="auto" w:fill="E5DFEC" w:themeFill="accent4" w:themeFillTint="33"/>
          </w:tcPr>
          <w:p w14:paraId="09966BAB" w14:textId="47B7FE3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3,0</w:t>
            </w:r>
          </w:p>
        </w:tc>
        <w:tc>
          <w:tcPr>
            <w:tcW w:w="383" w:type="pct"/>
            <w:shd w:val="clear" w:color="auto" w:fill="E5DFEC" w:themeFill="accent4" w:themeFillTint="33"/>
          </w:tcPr>
          <w:p w14:paraId="6AAD4540" w14:textId="3EABAB6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1,2</w:t>
            </w:r>
          </w:p>
        </w:tc>
        <w:tc>
          <w:tcPr>
            <w:tcW w:w="375" w:type="pct"/>
            <w:shd w:val="clear" w:color="auto" w:fill="E5DFEC" w:themeFill="accent4" w:themeFillTint="33"/>
          </w:tcPr>
          <w:p w14:paraId="1446A90E" w14:textId="17E8FEC0"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5,4</w:t>
            </w:r>
          </w:p>
        </w:tc>
      </w:tr>
      <w:tr w:rsidR="00606052" w:rsidRPr="000E509C" w14:paraId="0DF85C06" w14:textId="77777777" w:rsidTr="000E509C">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506BC314"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Vecākie speciālisti</w:t>
            </w:r>
          </w:p>
        </w:tc>
        <w:tc>
          <w:tcPr>
            <w:tcW w:w="325" w:type="pct"/>
            <w:shd w:val="clear" w:color="auto" w:fill="CCC0D9" w:themeFill="accent4" w:themeFillTint="66"/>
          </w:tcPr>
          <w:p w14:paraId="5127A790" w14:textId="6FB101C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0,6</w:t>
            </w:r>
          </w:p>
        </w:tc>
        <w:tc>
          <w:tcPr>
            <w:tcW w:w="326" w:type="pct"/>
            <w:shd w:val="clear" w:color="auto" w:fill="CCC0D9" w:themeFill="accent4" w:themeFillTint="66"/>
          </w:tcPr>
          <w:p w14:paraId="79541C38" w14:textId="7FC8602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1,2</w:t>
            </w:r>
          </w:p>
        </w:tc>
        <w:tc>
          <w:tcPr>
            <w:tcW w:w="326" w:type="pct"/>
            <w:shd w:val="clear" w:color="auto" w:fill="CCC0D9" w:themeFill="accent4" w:themeFillTint="66"/>
          </w:tcPr>
          <w:p w14:paraId="2ACB998A" w14:textId="3EAA878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0,5</w:t>
            </w:r>
          </w:p>
        </w:tc>
        <w:tc>
          <w:tcPr>
            <w:tcW w:w="326" w:type="pct"/>
            <w:shd w:val="clear" w:color="auto" w:fill="CCC0D9" w:themeFill="accent4" w:themeFillTint="66"/>
          </w:tcPr>
          <w:p w14:paraId="5FCE0D16" w14:textId="30D11D40"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1,1</w:t>
            </w:r>
          </w:p>
        </w:tc>
        <w:tc>
          <w:tcPr>
            <w:tcW w:w="398" w:type="pct"/>
            <w:shd w:val="clear" w:color="auto" w:fill="CCC0D9" w:themeFill="accent4" w:themeFillTint="66"/>
          </w:tcPr>
          <w:p w14:paraId="7ED8E98B" w14:textId="1ECD0A9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0,8</w:t>
            </w:r>
          </w:p>
        </w:tc>
        <w:tc>
          <w:tcPr>
            <w:tcW w:w="326" w:type="pct"/>
            <w:shd w:val="clear" w:color="auto" w:fill="CCC0D9" w:themeFill="accent4" w:themeFillTint="66"/>
          </w:tcPr>
          <w:p w14:paraId="6284708E" w14:textId="40EA45C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0,3</w:t>
            </w:r>
          </w:p>
        </w:tc>
        <w:tc>
          <w:tcPr>
            <w:tcW w:w="326" w:type="pct"/>
            <w:shd w:val="clear" w:color="auto" w:fill="CCC0D9" w:themeFill="accent4" w:themeFillTint="66"/>
          </w:tcPr>
          <w:p w14:paraId="0DDEE98E" w14:textId="6649D22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9,3</w:t>
            </w:r>
          </w:p>
        </w:tc>
        <w:tc>
          <w:tcPr>
            <w:tcW w:w="383" w:type="pct"/>
            <w:shd w:val="clear" w:color="auto" w:fill="CCC0D9" w:themeFill="accent4" w:themeFillTint="66"/>
          </w:tcPr>
          <w:p w14:paraId="3BB2AAA1" w14:textId="546F436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1,7</w:t>
            </w:r>
          </w:p>
        </w:tc>
        <w:tc>
          <w:tcPr>
            <w:tcW w:w="375" w:type="pct"/>
            <w:shd w:val="clear" w:color="auto" w:fill="CCC0D9" w:themeFill="accent4" w:themeFillTint="66"/>
          </w:tcPr>
          <w:p w14:paraId="5048A540" w14:textId="018A6A8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15,4</w:t>
            </w:r>
          </w:p>
        </w:tc>
      </w:tr>
      <w:tr w:rsidR="00606052" w:rsidRPr="000E509C" w14:paraId="347FB7A4" w14:textId="77777777" w:rsidTr="000E509C">
        <w:tc>
          <w:tcPr>
            <w:tcW w:w="1889" w:type="pct"/>
            <w:shd w:val="clear" w:color="auto" w:fill="E5DFEC" w:themeFill="accent4" w:themeFillTint="33"/>
          </w:tcPr>
          <w:p w14:paraId="0BEF0882"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Speciālisti</w:t>
            </w:r>
          </w:p>
        </w:tc>
        <w:tc>
          <w:tcPr>
            <w:tcW w:w="325" w:type="pct"/>
            <w:shd w:val="clear" w:color="auto" w:fill="E5DFEC" w:themeFill="accent4" w:themeFillTint="33"/>
          </w:tcPr>
          <w:p w14:paraId="6C260AC9" w14:textId="4E7B3F2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0,5</w:t>
            </w:r>
          </w:p>
        </w:tc>
        <w:tc>
          <w:tcPr>
            <w:tcW w:w="326" w:type="pct"/>
            <w:shd w:val="clear" w:color="auto" w:fill="E5DFEC" w:themeFill="accent4" w:themeFillTint="33"/>
          </w:tcPr>
          <w:p w14:paraId="0A78BDA1" w14:textId="3DB7665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1,8</w:t>
            </w:r>
          </w:p>
        </w:tc>
        <w:tc>
          <w:tcPr>
            <w:tcW w:w="326" w:type="pct"/>
            <w:shd w:val="clear" w:color="auto" w:fill="E5DFEC" w:themeFill="accent4" w:themeFillTint="33"/>
          </w:tcPr>
          <w:p w14:paraId="550F7FA9" w14:textId="2030C86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0,6</w:t>
            </w:r>
          </w:p>
        </w:tc>
        <w:tc>
          <w:tcPr>
            <w:tcW w:w="326" w:type="pct"/>
            <w:shd w:val="clear" w:color="auto" w:fill="E5DFEC" w:themeFill="accent4" w:themeFillTint="33"/>
          </w:tcPr>
          <w:p w14:paraId="4EA15CBF" w14:textId="3BE00B10"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1,8</w:t>
            </w:r>
          </w:p>
        </w:tc>
        <w:tc>
          <w:tcPr>
            <w:tcW w:w="398" w:type="pct"/>
            <w:shd w:val="clear" w:color="auto" w:fill="E5DFEC" w:themeFill="accent4" w:themeFillTint="33"/>
          </w:tcPr>
          <w:p w14:paraId="1F6FE9E0" w14:textId="5295C3E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1,1</w:t>
            </w:r>
          </w:p>
        </w:tc>
        <w:tc>
          <w:tcPr>
            <w:tcW w:w="326" w:type="pct"/>
            <w:shd w:val="clear" w:color="auto" w:fill="E5DFEC" w:themeFill="accent4" w:themeFillTint="33"/>
          </w:tcPr>
          <w:p w14:paraId="236BEBBA" w14:textId="6A5D742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7E3EFEA1" w14:textId="375E5CA2"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9,0</w:t>
            </w:r>
          </w:p>
        </w:tc>
        <w:tc>
          <w:tcPr>
            <w:tcW w:w="383" w:type="pct"/>
            <w:shd w:val="clear" w:color="auto" w:fill="E5DFEC" w:themeFill="accent4" w:themeFillTint="33"/>
          </w:tcPr>
          <w:p w14:paraId="51BB724E" w14:textId="41E1CE6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2,7</w:t>
            </w:r>
          </w:p>
        </w:tc>
        <w:tc>
          <w:tcPr>
            <w:tcW w:w="375" w:type="pct"/>
            <w:shd w:val="clear" w:color="auto" w:fill="E5DFEC" w:themeFill="accent4" w:themeFillTint="33"/>
          </w:tcPr>
          <w:p w14:paraId="1F1CF214" w14:textId="5632BBC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17,3</w:t>
            </w:r>
          </w:p>
        </w:tc>
      </w:tr>
      <w:tr w:rsidR="00606052" w:rsidRPr="000E509C" w14:paraId="02E1CDFE" w14:textId="77777777" w:rsidTr="000E509C">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22B4E845" w14:textId="77777777" w:rsidR="000E509C" w:rsidRPr="000E509C" w:rsidRDefault="000E509C" w:rsidP="000E509C">
            <w:pPr>
              <w:spacing w:before="40" w:after="40"/>
              <w:rPr>
                <w:rFonts w:ascii="Segoe UI Light" w:hAnsi="Segoe UI Light"/>
                <w:sz w:val="16"/>
                <w:szCs w:val="20"/>
                <w:lang w:eastAsia="lv-LV"/>
              </w:rPr>
            </w:pPr>
            <w:r w:rsidRPr="000E509C">
              <w:rPr>
                <w:rFonts w:ascii="Segoe UI Light" w:hAnsi="Segoe UI Light"/>
                <w:sz w:val="16"/>
                <w:szCs w:val="20"/>
                <w:lang w:eastAsia="lv-LV"/>
              </w:rPr>
              <w:t>Vidējas kvalifikācijas profesijas, tai skaitā:</w:t>
            </w:r>
          </w:p>
        </w:tc>
        <w:tc>
          <w:tcPr>
            <w:tcW w:w="325" w:type="pct"/>
            <w:shd w:val="clear" w:color="auto" w:fill="CCC0D9" w:themeFill="accent4" w:themeFillTint="66"/>
          </w:tcPr>
          <w:p w14:paraId="113F62CE" w14:textId="742F6DD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-0,8</w:t>
            </w:r>
          </w:p>
        </w:tc>
        <w:tc>
          <w:tcPr>
            <w:tcW w:w="326" w:type="pct"/>
            <w:shd w:val="clear" w:color="auto" w:fill="CCC0D9" w:themeFill="accent4" w:themeFillTint="66"/>
          </w:tcPr>
          <w:p w14:paraId="47BE341B" w14:textId="422F429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1,6</w:t>
            </w:r>
          </w:p>
        </w:tc>
        <w:tc>
          <w:tcPr>
            <w:tcW w:w="326" w:type="pct"/>
            <w:shd w:val="clear" w:color="auto" w:fill="CCC0D9" w:themeFill="accent4" w:themeFillTint="66"/>
          </w:tcPr>
          <w:p w14:paraId="66E1BD48" w14:textId="2E8931A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-0,3</w:t>
            </w:r>
          </w:p>
        </w:tc>
        <w:tc>
          <w:tcPr>
            <w:tcW w:w="326" w:type="pct"/>
            <w:shd w:val="clear" w:color="auto" w:fill="CCC0D9" w:themeFill="accent4" w:themeFillTint="66"/>
          </w:tcPr>
          <w:p w14:paraId="7D276C50" w14:textId="6369BED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8,0</w:t>
            </w:r>
          </w:p>
        </w:tc>
        <w:tc>
          <w:tcPr>
            <w:tcW w:w="398" w:type="pct"/>
            <w:shd w:val="clear" w:color="auto" w:fill="CCC0D9" w:themeFill="accent4" w:themeFillTint="66"/>
          </w:tcPr>
          <w:p w14:paraId="6C732E3F" w14:textId="1C5718D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-8,6</w:t>
            </w:r>
          </w:p>
        </w:tc>
        <w:tc>
          <w:tcPr>
            <w:tcW w:w="326" w:type="pct"/>
            <w:shd w:val="clear" w:color="auto" w:fill="CCC0D9" w:themeFill="accent4" w:themeFillTint="66"/>
          </w:tcPr>
          <w:p w14:paraId="19C22A63" w14:textId="79EBD35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-4,7</w:t>
            </w:r>
          </w:p>
        </w:tc>
        <w:tc>
          <w:tcPr>
            <w:tcW w:w="326" w:type="pct"/>
            <w:shd w:val="clear" w:color="auto" w:fill="CCC0D9" w:themeFill="accent4" w:themeFillTint="66"/>
          </w:tcPr>
          <w:p w14:paraId="48E0E969" w14:textId="7C608A5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1,4</w:t>
            </w:r>
          </w:p>
        </w:tc>
        <w:tc>
          <w:tcPr>
            <w:tcW w:w="383" w:type="pct"/>
            <w:shd w:val="clear" w:color="auto" w:fill="CCC0D9" w:themeFill="accent4" w:themeFillTint="66"/>
          </w:tcPr>
          <w:p w14:paraId="77674BFD" w14:textId="60AC5AC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-0,9</w:t>
            </w:r>
          </w:p>
        </w:tc>
        <w:tc>
          <w:tcPr>
            <w:tcW w:w="375" w:type="pct"/>
            <w:shd w:val="clear" w:color="auto" w:fill="CCC0D9" w:themeFill="accent4" w:themeFillTint="66"/>
          </w:tcPr>
          <w:p w14:paraId="50DB29DC" w14:textId="252539B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-4,2</w:t>
            </w:r>
          </w:p>
        </w:tc>
      </w:tr>
      <w:tr w:rsidR="00606052" w:rsidRPr="000E509C" w14:paraId="10B7BC6F" w14:textId="77777777" w:rsidTr="000E509C">
        <w:tc>
          <w:tcPr>
            <w:tcW w:w="1889" w:type="pct"/>
            <w:shd w:val="clear" w:color="auto" w:fill="E5DFEC" w:themeFill="accent4" w:themeFillTint="33"/>
          </w:tcPr>
          <w:p w14:paraId="2BA8406C"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Iestāžu kalpotāji</w:t>
            </w:r>
          </w:p>
        </w:tc>
        <w:tc>
          <w:tcPr>
            <w:tcW w:w="325" w:type="pct"/>
            <w:shd w:val="clear" w:color="auto" w:fill="E5DFEC" w:themeFill="accent4" w:themeFillTint="33"/>
          </w:tcPr>
          <w:p w14:paraId="70BC3D16" w14:textId="7B314BC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E5DFEC" w:themeFill="accent4" w:themeFillTint="33"/>
          </w:tcPr>
          <w:p w14:paraId="00805B46" w14:textId="7CD83605"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-0,8</w:t>
            </w:r>
          </w:p>
        </w:tc>
        <w:tc>
          <w:tcPr>
            <w:tcW w:w="326" w:type="pct"/>
            <w:shd w:val="clear" w:color="auto" w:fill="E5DFEC" w:themeFill="accent4" w:themeFillTint="33"/>
          </w:tcPr>
          <w:p w14:paraId="573A3DA8" w14:textId="6A7748C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-0,3</w:t>
            </w:r>
          </w:p>
        </w:tc>
        <w:tc>
          <w:tcPr>
            <w:tcW w:w="326" w:type="pct"/>
            <w:shd w:val="clear" w:color="auto" w:fill="E5DFEC" w:themeFill="accent4" w:themeFillTint="33"/>
          </w:tcPr>
          <w:p w14:paraId="705C3CD5" w14:textId="1DA7D4C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98" w:type="pct"/>
            <w:shd w:val="clear" w:color="auto" w:fill="E5DFEC" w:themeFill="accent4" w:themeFillTint="33"/>
          </w:tcPr>
          <w:p w14:paraId="1D96A4C7" w14:textId="48B2487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-1,8</w:t>
            </w:r>
          </w:p>
        </w:tc>
        <w:tc>
          <w:tcPr>
            <w:tcW w:w="326" w:type="pct"/>
            <w:shd w:val="clear" w:color="auto" w:fill="E5DFEC" w:themeFill="accent4" w:themeFillTint="33"/>
          </w:tcPr>
          <w:p w14:paraId="373C2143" w14:textId="08DCED7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-1,7</w:t>
            </w:r>
          </w:p>
        </w:tc>
        <w:tc>
          <w:tcPr>
            <w:tcW w:w="326" w:type="pct"/>
            <w:shd w:val="clear" w:color="auto" w:fill="E5DFEC" w:themeFill="accent4" w:themeFillTint="33"/>
          </w:tcPr>
          <w:p w14:paraId="18D4DF4F" w14:textId="03A1DE0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-1,8</w:t>
            </w:r>
          </w:p>
        </w:tc>
        <w:tc>
          <w:tcPr>
            <w:tcW w:w="383" w:type="pct"/>
            <w:shd w:val="clear" w:color="auto" w:fill="E5DFEC" w:themeFill="accent4" w:themeFillTint="33"/>
          </w:tcPr>
          <w:p w14:paraId="3987969E" w14:textId="0464BFE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-0,8</w:t>
            </w:r>
          </w:p>
        </w:tc>
        <w:tc>
          <w:tcPr>
            <w:tcW w:w="375" w:type="pct"/>
            <w:shd w:val="clear" w:color="auto" w:fill="E5DFEC" w:themeFill="accent4" w:themeFillTint="33"/>
          </w:tcPr>
          <w:p w14:paraId="21A9F8BA" w14:textId="58E7BBE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-7,2</w:t>
            </w:r>
          </w:p>
        </w:tc>
      </w:tr>
      <w:tr w:rsidR="00606052" w:rsidRPr="000E509C" w14:paraId="0888477E" w14:textId="77777777" w:rsidTr="000E509C">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73C49F06"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Pakalpojumu darbinieki</w:t>
            </w:r>
          </w:p>
        </w:tc>
        <w:tc>
          <w:tcPr>
            <w:tcW w:w="325" w:type="pct"/>
            <w:shd w:val="clear" w:color="auto" w:fill="CCC0D9" w:themeFill="accent4" w:themeFillTint="66"/>
          </w:tcPr>
          <w:p w14:paraId="5915ABEE" w14:textId="7C9D962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CCC0D9" w:themeFill="accent4" w:themeFillTint="66"/>
          </w:tcPr>
          <w:p w14:paraId="2F71A1F4" w14:textId="7B7EA1F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CCC0D9" w:themeFill="accent4" w:themeFillTint="66"/>
          </w:tcPr>
          <w:p w14:paraId="355ED4F9" w14:textId="29B329D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CCC0D9" w:themeFill="accent4" w:themeFillTint="66"/>
          </w:tcPr>
          <w:p w14:paraId="121D2B4D" w14:textId="1F54C5B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98" w:type="pct"/>
            <w:shd w:val="clear" w:color="auto" w:fill="CCC0D9" w:themeFill="accent4" w:themeFillTint="66"/>
          </w:tcPr>
          <w:p w14:paraId="0412F075" w14:textId="379565A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-7,0</w:t>
            </w:r>
          </w:p>
        </w:tc>
        <w:tc>
          <w:tcPr>
            <w:tcW w:w="326" w:type="pct"/>
            <w:shd w:val="clear" w:color="auto" w:fill="CCC0D9" w:themeFill="accent4" w:themeFillTint="66"/>
          </w:tcPr>
          <w:p w14:paraId="659F76EB" w14:textId="4F92EE1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CCC0D9" w:themeFill="accent4" w:themeFillTint="66"/>
          </w:tcPr>
          <w:p w14:paraId="31A1FAFA" w14:textId="10E5664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1,4</w:t>
            </w:r>
          </w:p>
        </w:tc>
        <w:tc>
          <w:tcPr>
            <w:tcW w:w="383" w:type="pct"/>
            <w:shd w:val="clear" w:color="auto" w:fill="CCC0D9" w:themeFill="accent4" w:themeFillTint="66"/>
          </w:tcPr>
          <w:p w14:paraId="2E2607FC" w14:textId="1F18911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-0,3</w:t>
            </w:r>
          </w:p>
        </w:tc>
        <w:tc>
          <w:tcPr>
            <w:tcW w:w="375" w:type="pct"/>
            <w:shd w:val="clear" w:color="auto" w:fill="CCC0D9" w:themeFill="accent4" w:themeFillTint="66"/>
          </w:tcPr>
          <w:p w14:paraId="040D2D1C" w14:textId="176B072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-5,8</w:t>
            </w:r>
          </w:p>
        </w:tc>
      </w:tr>
      <w:tr w:rsidR="00606052" w:rsidRPr="000E509C" w14:paraId="38E16181" w14:textId="77777777" w:rsidTr="000E509C">
        <w:tc>
          <w:tcPr>
            <w:tcW w:w="1889" w:type="pct"/>
            <w:shd w:val="clear" w:color="auto" w:fill="E5DFEC" w:themeFill="accent4" w:themeFillTint="33"/>
          </w:tcPr>
          <w:p w14:paraId="6F2B68B7"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Kvalificēti lauksaimniecības darbinieki</w:t>
            </w:r>
          </w:p>
        </w:tc>
        <w:tc>
          <w:tcPr>
            <w:tcW w:w="325" w:type="pct"/>
            <w:shd w:val="clear" w:color="auto" w:fill="E5DFEC" w:themeFill="accent4" w:themeFillTint="33"/>
          </w:tcPr>
          <w:p w14:paraId="6F5D1A4E" w14:textId="684385E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-1,1</w:t>
            </w:r>
          </w:p>
        </w:tc>
        <w:tc>
          <w:tcPr>
            <w:tcW w:w="326" w:type="pct"/>
            <w:shd w:val="clear" w:color="auto" w:fill="E5DFEC" w:themeFill="accent4" w:themeFillTint="33"/>
          </w:tcPr>
          <w:p w14:paraId="61C71CD8" w14:textId="1C6E6BB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2EAA63B6" w14:textId="26138FC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59BFFD68" w14:textId="753CE5A0"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98" w:type="pct"/>
            <w:shd w:val="clear" w:color="auto" w:fill="E5DFEC" w:themeFill="accent4" w:themeFillTint="33"/>
          </w:tcPr>
          <w:p w14:paraId="356952C7" w14:textId="4E6E8AC0"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24996786" w14:textId="50938C7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2C25413E" w14:textId="3FADF98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83" w:type="pct"/>
            <w:shd w:val="clear" w:color="auto" w:fill="E5DFEC" w:themeFill="accent4" w:themeFillTint="33"/>
          </w:tcPr>
          <w:p w14:paraId="2C44BEE4" w14:textId="7156E1E0"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75" w:type="pct"/>
            <w:shd w:val="clear" w:color="auto" w:fill="E5DFEC" w:themeFill="accent4" w:themeFillTint="33"/>
          </w:tcPr>
          <w:p w14:paraId="645C02B9" w14:textId="6188FC4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-1,0</w:t>
            </w:r>
          </w:p>
        </w:tc>
      </w:tr>
      <w:tr w:rsidR="00606052" w:rsidRPr="000E509C" w14:paraId="3E9211B3" w14:textId="77777777" w:rsidTr="000E509C">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396653BA"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Kvalificēti strādnieki</w:t>
            </w:r>
          </w:p>
        </w:tc>
        <w:tc>
          <w:tcPr>
            <w:tcW w:w="325" w:type="pct"/>
            <w:shd w:val="clear" w:color="auto" w:fill="CCC0D9" w:themeFill="accent4" w:themeFillTint="66"/>
          </w:tcPr>
          <w:p w14:paraId="25A6D373" w14:textId="5A1AD18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CCC0D9" w:themeFill="accent4" w:themeFillTint="66"/>
          </w:tcPr>
          <w:p w14:paraId="0C0AA431" w14:textId="7D0FD37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2,2</w:t>
            </w:r>
          </w:p>
        </w:tc>
        <w:tc>
          <w:tcPr>
            <w:tcW w:w="326" w:type="pct"/>
            <w:shd w:val="clear" w:color="auto" w:fill="CCC0D9" w:themeFill="accent4" w:themeFillTint="66"/>
          </w:tcPr>
          <w:p w14:paraId="0F49B53C" w14:textId="44E066E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CCC0D9" w:themeFill="accent4" w:themeFillTint="66"/>
          </w:tcPr>
          <w:p w14:paraId="19BA7293" w14:textId="7A32ADE5"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7,2</w:t>
            </w:r>
          </w:p>
        </w:tc>
        <w:tc>
          <w:tcPr>
            <w:tcW w:w="398" w:type="pct"/>
            <w:shd w:val="clear" w:color="auto" w:fill="CCC0D9" w:themeFill="accent4" w:themeFillTint="66"/>
          </w:tcPr>
          <w:p w14:paraId="20CA3896" w14:textId="6E5F873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26" w:type="pct"/>
            <w:shd w:val="clear" w:color="auto" w:fill="CCC0D9" w:themeFill="accent4" w:themeFillTint="66"/>
          </w:tcPr>
          <w:p w14:paraId="08E99B67" w14:textId="306FA71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CCC0D9" w:themeFill="accent4" w:themeFillTint="66"/>
          </w:tcPr>
          <w:p w14:paraId="04FB67C8" w14:textId="7ECC3E0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1,3</w:t>
            </w:r>
          </w:p>
        </w:tc>
        <w:tc>
          <w:tcPr>
            <w:tcW w:w="383" w:type="pct"/>
            <w:shd w:val="clear" w:color="auto" w:fill="CCC0D9" w:themeFill="accent4" w:themeFillTint="66"/>
          </w:tcPr>
          <w:p w14:paraId="3BC92153" w14:textId="2C65C2D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75" w:type="pct"/>
            <w:shd w:val="clear" w:color="auto" w:fill="CCC0D9" w:themeFill="accent4" w:themeFillTint="66"/>
          </w:tcPr>
          <w:p w14:paraId="2E103370" w14:textId="6865EFD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11,0</w:t>
            </w:r>
          </w:p>
        </w:tc>
      </w:tr>
      <w:tr w:rsidR="00606052" w:rsidRPr="000E509C" w14:paraId="299D5564" w14:textId="77777777" w:rsidTr="000E509C">
        <w:tc>
          <w:tcPr>
            <w:tcW w:w="1889" w:type="pct"/>
            <w:shd w:val="clear" w:color="auto" w:fill="E5DFEC" w:themeFill="accent4" w:themeFillTint="33"/>
          </w:tcPr>
          <w:p w14:paraId="04BDDAD8"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Iekārtu un mašīnu operatori</w:t>
            </w:r>
          </w:p>
        </w:tc>
        <w:tc>
          <w:tcPr>
            <w:tcW w:w="325" w:type="pct"/>
            <w:shd w:val="clear" w:color="auto" w:fill="E5DFEC" w:themeFill="accent4" w:themeFillTint="33"/>
          </w:tcPr>
          <w:p w14:paraId="028149A5" w14:textId="4F5400E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26" w:type="pct"/>
            <w:shd w:val="clear" w:color="auto" w:fill="E5DFEC" w:themeFill="accent4" w:themeFillTint="33"/>
          </w:tcPr>
          <w:p w14:paraId="34F2E2C2" w14:textId="62C1757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0,3</w:t>
            </w:r>
          </w:p>
        </w:tc>
        <w:tc>
          <w:tcPr>
            <w:tcW w:w="326" w:type="pct"/>
            <w:shd w:val="clear" w:color="auto" w:fill="E5DFEC" w:themeFill="accent4" w:themeFillTint="33"/>
          </w:tcPr>
          <w:p w14:paraId="64F1FF93" w14:textId="373F2C6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26" w:type="pct"/>
            <w:shd w:val="clear" w:color="auto" w:fill="E5DFEC" w:themeFill="accent4" w:themeFillTint="33"/>
          </w:tcPr>
          <w:p w14:paraId="32E685BE" w14:textId="176730D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0,8</w:t>
            </w:r>
          </w:p>
        </w:tc>
        <w:tc>
          <w:tcPr>
            <w:tcW w:w="398" w:type="pct"/>
            <w:shd w:val="clear" w:color="auto" w:fill="E5DFEC" w:themeFill="accent4" w:themeFillTint="33"/>
          </w:tcPr>
          <w:p w14:paraId="50A58D9C" w14:textId="21F4196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7A366D5D" w14:textId="5828EE2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-2,8</w:t>
            </w:r>
          </w:p>
        </w:tc>
        <w:tc>
          <w:tcPr>
            <w:tcW w:w="326" w:type="pct"/>
            <w:shd w:val="clear" w:color="auto" w:fill="E5DFEC" w:themeFill="accent4" w:themeFillTint="33"/>
          </w:tcPr>
          <w:p w14:paraId="150E84DF" w14:textId="283F28A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0,4</w:t>
            </w:r>
          </w:p>
        </w:tc>
        <w:tc>
          <w:tcPr>
            <w:tcW w:w="383" w:type="pct"/>
            <w:shd w:val="clear" w:color="auto" w:fill="E5DFEC" w:themeFill="accent4" w:themeFillTint="33"/>
          </w:tcPr>
          <w:p w14:paraId="690C0AB1" w14:textId="1FB0031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75" w:type="pct"/>
            <w:shd w:val="clear" w:color="auto" w:fill="E5DFEC" w:themeFill="accent4" w:themeFillTint="33"/>
          </w:tcPr>
          <w:p w14:paraId="0E032489" w14:textId="6322E96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-1,2</w:t>
            </w:r>
          </w:p>
        </w:tc>
      </w:tr>
      <w:tr w:rsidR="00606052" w:rsidRPr="000E509C" w14:paraId="548C67D7" w14:textId="77777777" w:rsidTr="000E509C">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13E1AAF5" w14:textId="77777777" w:rsidR="000E509C" w:rsidRPr="000E509C" w:rsidRDefault="000E509C" w:rsidP="000E509C">
            <w:pPr>
              <w:spacing w:before="40" w:after="40"/>
              <w:rPr>
                <w:rFonts w:ascii="Segoe UI Light" w:hAnsi="Segoe UI Light"/>
                <w:sz w:val="16"/>
                <w:szCs w:val="20"/>
                <w:lang w:eastAsia="lv-LV"/>
              </w:rPr>
            </w:pPr>
            <w:r w:rsidRPr="000E509C">
              <w:rPr>
                <w:rFonts w:ascii="Segoe UI Light" w:hAnsi="Segoe UI Light"/>
                <w:sz w:val="16"/>
                <w:szCs w:val="20"/>
                <w:lang w:eastAsia="lv-LV"/>
              </w:rPr>
              <w:t>Zemas kvalifikācijas profesijas</w:t>
            </w:r>
          </w:p>
        </w:tc>
        <w:tc>
          <w:tcPr>
            <w:tcW w:w="325" w:type="pct"/>
            <w:shd w:val="clear" w:color="auto" w:fill="CCC0D9" w:themeFill="accent4" w:themeFillTint="66"/>
          </w:tcPr>
          <w:p w14:paraId="5368335F" w14:textId="7CFC811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-1,4</w:t>
            </w:r>
          </w:p>
        </w:tc>
        <w:tc>
          <w:tcPr>
            <w:tcW w:w="326" w:type="pct"/>
            <w:shd w:val="clear" w:color="auto" w:fill="CCC0D9" w:themeFill="accent4" w:themeFillTint="66"/>
          </w:tcPr>
          <w:p w14:paraId="5F87B075" w14:textId="08A05BAA"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-2,4</w:t>
            </w:r>
          </w:p>
        </w:tc>
        <w:tc>
          <w:tcPr>
            <w:tcW w:w="326" w:type="pct"/>
            <w:shd w:val="clear" w:color="auto" w:fill="CCC0D9" w:themeFill="accent4" w:themeFillTint="66"/>
          </w:tcPr>
          <w:p w14:paraId="73895663" w14:textId="31A450D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-0,4</w:t>
            </w:r>
          </w:p>
        </w:tc>
        <w:tc>
          <w:tcPr>
            <w:tcW w:w="326" w:type="pct"/>
            <w:shd w:val="clear" w:color="auto" w:fill="CCC0D9" w:themeFill="accent4" w:themeFillTint="66"/>
          </w:tcPr>
          <w:p w14:paraId="76C404A7" w14:textId="47AFF96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-0,3</w:t>
            </w:r>
          </w:p>
        </w:tc>
        <w:tc>
          <w:tcPr>
            <w:tcW w:w="398" w:type="pct"/>
            <w:shd w:val="clear" w:color="auto" w:fill="CCC0D9" w:themeFill="accent4" w:themeFillTint="66"/>
          </w:tcPr>
          <w:p w14:paraId="58F38210" w14:textId="1D0E36E2"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-1,8</w:t>
            </w:r>
          </w:p>
        </w:tc>
        <w:tc>
          <w:tcPr>
            <w:tcW w:w="326" w:type="pct"/>
            <w:shd w:val="clear" w:color="auto" w:fill="CCC0D9" w:themeFill="accent4" w:themeFillTint="66"/>
          </w:tcPr>
          <w:p w14:paraId="10D18259" w14:textId="7DAE0605"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-1,4</w:t>
            </w:r>
          </w:p>
        </w:tc>
        <w:tc>
          <w:tcPr>
            <w:tcW w:w="326" w:type="pct"/>
            <w:shd w:val="clear" w:color="auto" w:fill="CCC0D9" w:themeFill="accent4" w:themeFillTint="66"/>
          </w:tcPr>
          <w:p w14:paraId="50823E56" w14:textId="19BFDD0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-1,5</w:t>
            </w:r>
          </w:p>
        </w:tc>
        <w:tc>
          <w:tcPr>
            <w:tcW w:w="383" w:type="pct"/>
            <w:shd w:val="clear" w:color="auto" w:fill="CCC0D9" w:themeFill="accent4" w:themeFillTint="66"/>
          </w:tcPr>
          <w:p w14:paraId="2F9E5750" w14:textId="45DC31E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-2,8</w:t>
            </w:r>
          </w:p>
        </w:tc>
        <w:tc>
          <w:tcPr>
            <w:tcW w:w="375" w:type="pct"/>
            <w:shd w:val="clear" w:color="auto" w:fill="CCC0D9" w:themeFill="accent4" w:themeFillTint="66"/>
          </w:tcPr>
          <w:p w14:paraId="68886B61" w14:textId="27B3506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-12,0</w:t>
            </w:r>
          </w:p>
        </w:tc>
      </w:tr>
      <w:tr w:rsidR="00606052" w:rsidRPr="000E509C" w14:paraId="1905C481" w14:textId="77777777" w:rsidTr="000E509C">
        <w:tc>
          <w:tcPr>
            <w:tcW w:w="1889" w:type="pct"/>
            <w:shd w:val="clear" w:color="auto" w:fill="E5DFEC" w:themeFill="accent4" w:themeFillTint="33"/>
          </w:tcPr>
          <w:p w14:paraId="297889C2" w14:textId="77777777" w:rsidR="000E509C" w:rsidRPr="000E509C" w:rsidRDefault="000E509C" w:rsidP="000E509C">
            <w:pPr>
              <w:spacing w:before="40" w:after="40"/>
              <w:rPr>
                <w:rFonts w:ascii="Segoe UI Light" w:eastAsia="Arial Unicode MS" w:hAnsi="Segoe UI Light"/>
                <w:b/>
                <w:sz w:val="16"/>
                <w:szCs w:val="20"/>
              </w:rPr>
            </w:pPr>
            <w:r w:rsidRPr="000E509C">
              <w:rPr>
                <w:rFonts w:ascii="Segoe UI Light" w:eastAsia="Arial Unicode MS" w:hAnsi="Segoe UI Light"/>
                <w:b/>
                <w:sz w:val="16"/>
                <w:szCs w:val="20"/>
              </w:rPr>
              <w:t>Kopā</w:t>
            </w:r>
          </w:p>
        </w:tc>
        <w:tc>
          <w:tcPr>
            <w:tcW w:w="325" w:type="pct"/>
            <w:shd w:val="clear" w:color="auto" w:fill="E5DFEC" w:themeFill="accent4" w:themeFillTint="33"/>
          </w:tcPr>
          <w:p w14:paraId="1049AB79" w14:textId="678B2DF0"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-0,8</w:t>
            </w:r>
          </w:p>
        </w:tc>
        <w:tc>
          <w:tcPr>
            <w:tcW w:w="326" w:type="pct"/>
            <w:shd w:val="clear" w:color="auto" w:fill="E5DFEC" w:themeFill="accent4" w:themeFillTint="33"/>
          </w:tcPr>
          <w:p w14:paraId="75440C2F" w14:textId="5B1E16E7"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2,0</w:t>
            </w:r>
          </w:p>
        </w:tc>
        <w:tc>
          <w:tcPr>
            <w:tcW w:w="326" w:type="pct"/>
            <w:shd w:val="clear" w:color="auto" w:fill="E5DFEC" w:themeFill="accent4" w:themeFillTint="33"/>
          </w:tcPr>
          <w:p w14:paraId="4E944F00" w14:textId="33651456"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0,3</w:t>
            </w:r>
          </w:p>
        </w:tc>
        <w:tc>
          <w:tcPr>
            <w:tcW w:w="326" w:type="pct"/>
            <w:shd w:val="clear" w:color="auto" w:fill="E5DFEC" w:themeFill="accent4" w:themeFillTint="33"/>
          </w:tcPr>
          <w:p w14:paraId="2AA78A71" w14:textId="2BBAD2C0"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12,1</w:t>
            </w:r>
          </w:p>
        </w:tc>
        <w:tc>
          <w:tcPr>
            <w:tcW w:w="398" w:type="pct"/>
            <w:shd w:val="clear" w:color="auto" w:fill="E5DFEC" w:themeFill="accent4" w:themeFillTint="33"/>
          </w:tcPr>
          <w:p w14:paraId="7876E9EA" w14:textId="15DA6B72"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-8,1</w:t>
            </w:r>
          </w:p>
        </w:tc>
        <w:tc>
          <w:tcPr>
            <w:tcW w:w="326" w:type="pct"/>
            <w:shd w:val="clear" w:color="auto" w:fill="E5DFEC" w:themeFill="accent4" w:themeFillTint="33"/>
          </w:tcPr>
          <w:p w14:paraId="04F8A02F" w14:textId="223B8453"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-6,4</w:t>
            </w:r>
          </w:p>
        </w:tc>
        <w:tc>
          <w:tcPr>
            <w:tcW w:w="326" w:type="pct"/>
            <w:shd w:val="clear" w:color="auto" w:fill="E5DFEC" w:themeFill="accent4" w:themeFillTint="33"/>
          </w:tcPr>
          <w:p w14:paraId="5125ED63" w14:textId="001999F4"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21,2</w:t>
            </w:r>
          </w:p>
        </w:tc>
        <w:tc>
          <w:tcPr>
            <w:tcW w:w="383" w:type="pct"/>
            <w:shd w:val="clear" w:color="auto" w:fill="E5DFEC" w:themeFill="accent4" w:themeFillTint="33"/>
          </w:tcPr>
          <w:p w14:paraId="3710BF4A" w14:textId="69F28A0A"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3,6</w:t>
            </w:r>
          </w:p>
        </w:tc>
        <w:tc>
          <w:tcPr>
            <w:tcW w:w="375" w:type="pct"/>
            <w:shd w:val="clear" w:color="auto" w:fill="E5DFEC" w:themeFill="accent4" w:themeFillTint="33"/>
          </w:tcPr>
          <w:p w14:paraId="188748EF" w14:textId="498A7836"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23,7</w:t>
            </w:r>
          </w:p>
        </w:tc>
      </w:tr>
    </w:tbl>
    <w:p w14:paraId="6BB0F200" w14:textId="77777777" w:rsidR="000A4643" w:rsidRDefault="000A4643" w:rsidP="00B018CB">
      <w:pPr>
        <w:spacing w:after="120"/>
        <w:jc w:val="right"/>
        <w:rPr>
          <w:szCs w:val="26"/>
        </w:rPr>
      </w:pPr>
    </w:p>
    <w:p w14:paraId="17384EC0" w14:textId="77777777" w:rsidR="000A4643" w:rsidRDefault="000A4643">
      <w:pPr>
        <w:spacing w:after="0"/>
        <w:rPr>
          <w:szCs w:val="26"/>
        </w:rPr>
      </w:pPr>
      <w:r>
        <w:rPr>
          <w:szCs w:val="26"/>
        </w:rPr>
        <w:br w:type="page"/>
      </w:r>
    </w:p>
    <w:p w14:paraId="7C355F41" w14:textId="7E40CE53" w:rsidR="00B018CB" w:rsidRPr="000E509C" w:rsidRDefault="00B018CB" w:rsidP="00B018CB">
      <w:pPr>
        <w:spacing w:after="120"/>
        <w:jc w:val="right"/>
        <w:rPr>
          <w:szCs w:val="26"/>
        </w:rPr>
      </w:pPr>
      <w:r w:rsidRPr="000E509C">
        <w:rPr>
          <w:szCs w:val="26"/>
        </w:rPr>
        <w:lastRenderedPageBreak/>
        <w:t>3.8. tabula</w:t>
      </w:r>
      <w:r>
        <w:rPr>
          <w:szCs w:val="26"/>
        </w:rPr>
        <w:t>s turpinājums</w:t>
      </w:r>
    </w:p>
    <w:tbl>
      <w:tblPr>
        <w:tblStyle w:val="GridTable5Dark-Accent31"/>
        <w:tblW w:w="5129"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6"/>
        <w:gridCol w:w="3506"/>
        <w:gridCol w:w="605"/>
        <w:gridCol w:w="607"/>
        <w:gridCol w:w="607"/>
        <w:gridCol w:w="607"/>
        <w:gridCol w:w="741"/>
        <w:gridCol w:w="607"/>
        <w:gridCol w:w="607"/>
        <w:gridCol w:w="716"/>
        <w:gridCol w:w="696"/>
      </w:tblGrid>
      <w:tr w:rsidR="00B018CB" w:rsidRPr="000E509C" w14:paraId="225EA634" w14:textId="77777777" w:rsidTr="00B018CB">
        <w:trPr>
          <w:cnfStyle w:val="100000000000" w:firstRow="1" w:lastRow="0" w:firstColumn="0" w:lastColumn="0" w:oddVBand="0" w:evenVBand="0" w:oddHBand="0" w:evenHBand="0" w:firstRowFirstColumn="0" w:firstRowLastColumn="0" w:lastRowFirstColumn="0" w:lastRowLastColumn="0"/>
          <w:cantSplit/>
          <w:trHeight w:val="1418"/>
          <w:tblHeader/>
        </w:trPr>
        <w:tc>
          <w:tcPr>
            <w:tcW w:w="1888" w:type="pct"/>
            <w:gridSpan w:val="2"/>
            <w:tcBorders>
              <w:top w:val="none" w:sz="0" w:space="0" w:color="auto"/>
              <w:left w:val="none" w:sz="0" w:space="0" w:color="auto"/>
              <w:right w:val="none" w:sz="0" w:space="0" w:color="auto"/>
            </w:tcBorders>
            <w:shd w:val="clear" w:color="auto" w:fill="5F497A" w:themeFill="accent4" w:themeFillShade="BF"/>
            <w:textDirection w:val="btLr"/>
          </w:tcPr>
          <w:p w14:paraId="18564978" w14:textId="77777777" w:rsidR="00B018CB" w:rsidRPr="000E509C" w:rsidRDefault="00B018CB" w:rsidP="0007342C">
            <w:pPr>
              <w:spacing w:before="40" w:after="40"/>
              <w:jc w:val="center"/>
              <w:rPr>
                <w:rFonts w:ascii="Segoe UI Light" w:eastAsia="Arial Unicode MS" w:hAnsi="Segoe UI Light"/>
                <w:b w:val="0"/>
                <w:sz w:val="16"/>
                <w:szCs w:val="20"/>
              </w:rPr>
            </w:pPr>
          </w:p>
        </w:tc>
        <w:tc>
          <w:tcPr>
            <w:tcW w:w="325" w:type="pct"/>
            <w:tcBorders>
              <w:top w:val="none" w:sz="0" w:space="0" w:color="auto"/>
              <w:left w:val="none" w:sz="0" w:space="0" w:color="auto"/>
              <w:right w:val="none" w:sz="0" w:space="0" w:color="auto"/>
            </w:tcBorders>
            <w:shd w:val="clear" w:color="auto" w:fill="5F497A" w:themeFill="accent4" w:themeFillShade="BF"/>
            <w:textDirection w:val="btLr"/>
          </w:tcPr>
          <w:p w14:paraId="414D3F89" w14:textId="77777777" w:rsidR="00B018CB" w:rsidRPr="000E509C" w:rsidRDefault="00B018CB" w:rsidP="0007342C">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Lauksaimniecība</w:t>
            </w:r>
          </w:p>
        </w:tc>
        <w:tc>
          <w:tcPr>
            <w:tcW w:w="326" w:type="pct"/>
            <w:tcBorders>
              <w:top w:val="none" w:sz="0" w:space="0" w:color="auto"/>
              <w:left w:val="none" w:sz="0" w:space="0" w:color="auto"/>
              <w:right w:val="none" w:sz="0" w:space="0" w:color="auto"/>
            </w:tcBorders>
            <w:shd w:val="clear" w:color="auto" w:fill="5F497A" w:themeFill="accent4" w:themeFillShade="BF"/>
            <w:textDirection w:val="btLr"/>
          </w:tcPr>
          <w:p w14:paraId="4B8B346C" w14:textId="77777777" w:rsidR="00B018CB" w:rsidRPr="000E509C" w:rsidRDefault="00B018CB" w:rsidP="0007342C">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 xml:space="preserve">Apstrādes </w:t>
            </w:r>
            <w:r w:rsidRPr="000E509C">
              <w:rPr>
                <w:rFonts w:ascii="Segoe UI Light" w:hAnsi="Segoe UI Light"/>
                <w:sz w:val="16"/>
                <w:szCs w:val="20"/>
                <w:lang w:eastAsia="lv-LV"/>
              </w:rPr>
              <w:br/>
              <w:t>rūpniecība</w:t>
            </w:r>
          </w:p>
        </w:tc>
        <w:tc>
          <w:tcPr>
            <w:tcW w:w="326" w:type="pct"/>
            <w:tcBorders>
              <w:top w:val="none" w:sz="0" w:space="0" w:color="auto"/>
              <w:left w:val="none" w:sz="0" w:space="0" w:color="auto"/>
              <w:right w:val="none" w:sz="0" w:space="0" w:color="auto"/>
            </w:tcBorders>
            <w:shd w:val="clear" w:color="auto" w:fill="5F497A" w:themeFill="accent4" w:themeFillShade="BF"/>
            <w:textDirection w:val="btLr"/>
          </w:tcPr>
          <w:p w14:paraId="36670247" w14:textId="77777777" w:rsidR="00B018CB" w:rsidRPr="000E509C" w:rsidRDefault="00B018CB" w:rsidP="0007342C">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 xml:space="preserve">Pārējā </w:t>
            </w:r>
            <w:r w:rsidRPr="000E509C">
              <w:rPr>
                <w:rFonts w:ascii="Segoe UI Light" w:hAnsi="Segoe UI Light"/>
                <w:sz w:val="16"/>
                <w:szCs w:val="20"/>
                <w:lang w:eastAsia="lv-LV"/>
              </w:rPr>
              <w:br/>
              <w:t>rūpniecība</w:t>
            </w:r>
          </w:p>
        </w:tc>
        <w:tc>
          <w:tcPr>
            <w:tcW w:w="326" w:type="pct"/>
            <w:tcBorders>
              <w:top w:val="none" w:sz="0" w:space="0" w:color="auto"/>
              <w:left w:val="none" w:sz="0" w:space="0" w:color="auto"/>
              <w:right w:val="none" w:sz="0" w:space="0" w:color="auto"/>
            </w:tcBorders>
            <w:shd w:val="clear" w:color="auto" w:fill="5F497A" w:themeFill="accent4" w:themeFillShade="BF"/>
            <w:textDirection w:val="btLr"/>
          </w:tcPr>
          <w:p w14:paraId="28CF3EFA" w14:textId="77777777" w:rsidR="00B018CB" w:rsidRPr="000E509C" w:rsidRDefault="00B018CB" w:rsidP="0007342C">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Būvniecība</w:t>
            </w:r>
          </w:p>
        </w:tc>
        <w:tc>
          <w:tcPr>
            <w:tcW w:w="398" w:type="pct"/>
            <w:tcBorders>
              <w:top w:val="none" w:sz="0" w:space="0" w:color="auto"/>
              <w:left w:val="none" w:sz="0" w:space="0" w:color="auto"/>
              <w:right w:val="none" w:sz="0" w:space="0" w:color="auto"/>
            </w:tcBorders>
            <w:shd w:val="clear" w:color="auto" w:fill="5F497A" w:themeFill="accent4" w:themeFillShade="BF"/>
            <w:textDirection w:val="btLr"/>
          </w:tcPr>
          <w:p w14:paraId="31AFC6DA" w14:textId="77777777" w:rsidR="00B018CB" w:rsidRPr="000E509C" w:rsidRDefault="00B018CB" w:rsidP="0007342C">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Tirdzniecība</w:t>
            </w:r>
          </w:p>
        </w:tc>
        <w:tc>
          <w:tcPr>
            <w:tcW w:w="326" w:type="pct"/>
            <w:tcBorders>
              <w:top w:val="none" w:sz="0" w:space="0" w:color="auto"/>
              <w:left w:val="none" w:sz="0" w:space="0" w:color="auto"/>
              <w:right w:val="none" w:sz="0" w:space="0" w:color="auto"/>
            </w:tcBorders>
            <w:shd w:val="clear" w:color="auto" w:fill="5F497A" w:themeFill="accent4" w:themeFillShade="BF"/>
            <w:textDirection w:val="btLr"/>
          </w:tcPr>
          <w:p w14:paraId="3F6C5E5B" w14:textId="77777777" w:rsidR="00B018CB" w:rsidRPr="000E509C" w:rsidRDefault="00B018CB" w:rsidP="0007342C">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Transports</w:t>
            </w:r>
          </w:p>
        </w:tc>
        <w:tc>
          <w:tcPr>
            <w:tcW w:w="326" w:type="pct"/>
            <w:tcBorders>
              <w:top w:val="none" w:sz="0" w:space="0" w:color="auto"/>
              <w:left w:val="none" w:sz="0" w:space="0" w:color="auto"/>
              <w:right w:val="none" w:sz="0" w:space="0" w:color="auto"/>
            </w:tcBorders>
            <w:shd w:val="clear" w:color="auto" w:fill="5F497A" w:themeFill="accent4" w:themeFillShade="BF"/>
            <w:textDirection w:val="btLr"/>
          </w:tcPr>
          <w:p w14:paraId="3B6C95A3" w14:textId="77777777" w:rsidR="00B018CB" w:rsidRPr="000E509C" w:rsidRDefault="00B018CB" w:rsidP="0007342C">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 xml:space="preserve">Citi </w:t>
            </w:r>
            <w:r w:rsidRPr="000E509C">
              <w:rPr>
                <w:rFonts w:ascii="Segoe UI Light" w:hAnsi="Segoe UI Light"/>
                <w:sz w:val="16"/>
                <w:szCs w:val="20"/>
                <w:lang w:eastAsia="lv-LV"/>
              </w:rPr>
              <w:br/>
              <w:t>komercpakalpojumi</w:t>
            </w:r>
          </w:p>
        </w:tc>
        <w:tc>
          <w:tcPr>
            <w:tcW w:w="385" w:type="pct"/>
            <w:tcBorders>
              <w:top w:val="none" w:sz="0" w:space="0" w:color="auto"/>
              <w:left w:val="none" w:sz="0" w:space="0" w:color="auto"/>
              <w:right w:val="none" w:sz="0" w:space="0" w:color="auto"/>
            </w:tcBorders>
            <w:shd w:val="clear" w:color="auto" w:fill="5F497A" w:themeFill="accent4" w:themeFillShade="BF"/>
            <w:textDirection w:val="btLr"/>
          </w:tcPr>
          <w:p w14:paraId="4FB55A1E" w14:textId="77777777" w:rsidR="00B018CB" w:rsidRPr="000E509C" w:rsidRDefault="00B018CB" w:rsidP="0007342C">
            <w:pPr>
              <w:spacing w:before="40" w:after="40"/>
              <w:jc w:val="center"/>
              <w:rPr>
                <w:rFonts w:ascii="Segoe UI Light" w:eastAsia="Arial Unicode MS" w:hAnsi="Segoe UI Light"/>
                <w:bCs w:val="0"/>
                <w:sz w:val="16"/>
                <w:szCs w:val="20"/>
              </w:rPr>
            </w:pPr>
            <w:r w:rsidRPr="000E509C">
              <w:rPr>
                <w:rFonts w:ascii="Segoe UI Light" w:hAnsi="Segoe UI Light"/>
                <w:sz w:val="16"/>
                <w:szCs w:val="20"/>
                <w:lang w:eastAsia="lv-LV"/>
              </w:rPr>
              <w:t xml:space="preserve">Sabiedriskie </w:t>
            </w:r>
            <w:r w:rsidRPr="000E509C">
              <w:rPr>
                <w:rFonts w:ascii="Segoe UI Light" w:hAnsi="Segoe UI Light"/>
                <w:sz w:val="16"/>
                <w:szCs w:val="20"/>
                <w:lang w:eastAsia="lv-LV"/>
              </w:rPr>
              <w:br/>
              <w:t>pakalpojumi</w:t>
            </w:r>
          </w:p>
        </w:tc>
        <w:tc>
          <w:tcPr>
            <w:tcW w:w="376" w:type="pct"/>
            <w:tcBorders>
              <w:top w:val="none" w:sz="0" w:space="0" w:color="auto"/>
              <w:left w:val="none" w:sz="0" w:space="0" w:color="auto"/>
              <w:right w:val="none" w:sz="0" w:space="0" w:color="auto"/>
            </w:tcBorders>
            <w:shd w:val="clear" w:color="auto" w:fill="5F497A" w:themeFill="accent4" w:themeFillShade="BF"/>
            <w:textDirection w:val="btLr"/>
          </w:tcPr>
          <w:p w14:paraId="7B4F0ACF" w14:textId="77777777" w:rsidR="00B018CB" w:rsidRPr="000E509C" w:rsidRDefault="00B018CB" w:rsidP="0007342C">
            <w:pPr>
              <w:spacing w:before="40" w:after="40"/>
              <w:jc w:val="center"/>
              <w:rPr>
                <w:rFonts w:ascii="Segoe UI Light" w:hAnsi="Segoe UI Light"/>
                <w:bCs w:val="0"/>
                <w:sz w:val="16"/>
                <w:szCs w:val="20"/>
              </w:rPr>
            </w:pPr>
            <w:r w:rsidRPr="000E509C">
              <w:rPr>
                <w:rFonts w:ascii="Segoe UI Light" w:eastAsia="Arial Unicode MS" w:hAnsi="Segoe UI Light"/>
                <w:sz w:val="16"/>
                <w:szCs w:val="20"/>
              </w:rPr>
              <w:t>Kopā</w:t>
            </w:r>
          </w:p>
        </w:tc>
      </w:tr>
      <w:tr w:rsidR="00972191" w:rsidRPr="000E509C" w14:paraId="0AA5F29A" w14:textId="77777777" w:rsidTr="00B018CB">
        <w:trPr>
          <w:gridBefore w:val="1"/>
          <w:cnfStyle w:val="000000100000" w:firstRow="0" w:lastRow="0" w:firstColumn="0" w:lastColumn="0" w:oddVBand="0" w:evenVBand="0" w:oddHBand="1" w:evenHBand="0" w:firstRowFirstColumn="0" w:firstRowLastColumn="0" w:lastRowFirstColumn="0" w:lastRowLastColumn="0"/>
          <w:wBefore w:w="4" w:type="pct"/>
        </w:trPr>
        <w:tc>
          <w:tcPr>
            <w:tcW w:w="1883" w:type="pct"/>
            <w:shd w:val="clear" w:color="auto" w:fill="CCC0D9" w:themeFill="accent4" w:themeFillTint="66"/>
          </w:tcPr>
          <w:p w14:paraId="0D504DE0" w14:textId="339C693B" w:rsidR="009A0130" w:rsidRPr="000E509C" w:rsidRDefault="009A0130" w:rsidP="00D209BD">
            <w:pPr>
              <w:spacing w:before="40" w:after="40"/>
              <w:rPr>
                <w:rFonts w:ascii="Segoe UI Light" w:hAnsi="Segoe UI Light"/>
                <w:sz w:val="16"/>
                <w:szCs w:val="20"/>
                <w:lang w:eastAsia="lv-LV"/>
              </w:rPr>
            </w:pPr>
          </w:p>
        </w:tc>
        <w:tc>
          <w:tcPr>
            <w:tcW w:w="3110" w:type="pct"/>
            <w:gridSpan w:val="9"/>
            <w:shd w:val="clear" w:color="auto" w:fill="CCC0D9" w:themeFill="accent4" w:themeFillTint="66"/>
          </w:tcPr>
          <w:p w14:paraId="5CC84903" w14:textId="2E180A9C" w:rsidR="009A0130" w:rsidRPr="000E509C" w:rsidRDefault="009A0130" w:rsidP="00D209BD">
            <w:pPr>
              <w:tabs>
                <w:tab w:val="decimal" w:pos="218"/>
              </w:tabs>
              <w:spacing w:before="40" w:after="40"/>
              <w:rPr>
                <w:rFonts w:ascii="Segoe UI Light" w:hAnsi="Segoe UI Light"/>
                <w:sz w:val="16"/>
                <w:szCs w:val="20"/>
              </w:rPr>
            </w:pPr>
            <w:r w:rsidRPr="000E509C">
              <w:rPr>
                <w:rFonts w:ascii="Segoe UI Light" w:hAnsi="Segoe UI Light"/>
                <w:sz w:val="16"/>
                <w:szCs w:val="20"/>
              </w:rPr>
              <w:t>2040.</w:t>
            </w:r>
            <w:r w:rsidR="0080669C" w:rsidRPr="000E509C">
              <w:rPr>
                <w:rFonts w:ascii="Segoe UI Light" w:hAnsi="Segoe UI Light"/>
                <w:sz w:val="16"/>
                <w:szCs w:val="20"/>
              </w:rPr>
              <w:t>gad</w:t>
            </w:r>
            <w:r w:rsidRPr="000E509C">
              <w:rPr>
                <w:rFonts w:ascii="Segoe UI Light" w:hAnsi="Segoe UI Light"/>
                <w:sz w:val="16"/>
                <w:szCs w:val="20"/>
              </w:rPr>
              <w:t>s</w:t>
            </w:r>
          </w:p>
        </w:tc>
      </w:tr>
      <w:tr w:rsidR="00B018CB" w:rsidRPr="000E509C" w14:paraId="76604A72" w14:textId="77777777" w:rsidTr="00B018CB">
        <w:trPr>
          <w:gridBefore w:val="1"/>
          <w:wBefore w:w="4" w:type="pct"/>
        </w:trPr>
        <w:tc>
          <w:tcPr>
            <w:tcW w:w="1883" w:type="pct"/>
            <w:shd w:val="clear" w:color="auto" w:fill="E5DFEC" w:themeFill="accent4" w:themeFillTint="33"/>
          </w:tcPr>
          <w:p w14:paraId="1B58B0C0" w14:textId="77777777" w:rsidR="000E509C" w:rsidRPr="000E509C" w:rsidRDefault="000E509C" w:rsidP="000E509C">
            <w:pPr>
              <w:spacing w:before="40" w:after="40"/>
              <w:rPr>
                <w:rFonts w:ascii="Segoe UI Light" w:eastAsia="Arial Unicode MS" w:hAnsi="Segoe UI Light"/>
                <w:sz w:val="16"/>
                <w:szCs w:val="20"/>
              </w:rPr>
            </w:pPr>
            <w:r w:rsidRPr="000E509C">
              <w:rPr>
                <w:rFonts w:ascii="Segoe UI Light" w:hAnsi="Segoe UI Light"/>
                <w:sz w:val="16"/>
                <w:szCs w:val="20"/>
                <w:lang w:eastAsia="lv-LV"/>
              </w:rPr>
              <w:t>Nacionālo bruņoto spēku profesijas</w:t>
            </w:r>
          </w:p>
        </w:tc>
        <w:tc>
          <w:tcPr>
            <w:tcW w:w="325" w:type="pct"/>
            <w:shd w:val="clear" w:color="auto" w:fill="E5DFEC" w:themeFill="accent4" w:themeFillTint="33"/>
          </w:tcPr>
          <w:p w14:paraId="34816F12" w14:textId="17E8691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648EDDA7" w14:textId="2AB569E0"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57DA40E2" w14:textId="2989A50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6AF8098C" w14:textId="56607A1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98" w:type="pct"/>
            <w:shd w:val="clear" w:color="auto" w:fill="E5DFEC" w:themeFill="accent4" w:themeFillTint="33"/>
          </w:tcPr>
          <w:p w14:paraId="48932BD5" w14:textId="570953F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51055A7A" w14:textId="0351C425"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556CDAD4" w14:textId="5AFF922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82" w:type="pct"/>
            <w:shd w:val="clear" w:color="auto" w:fill="E5DFEC" w:themeFill="accent4" w:themeFillTint="33"/>
          </w:tcPr>
          <w:p w14:paraId="4C13CF0E" w14:textId="3486BBE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1,9</w:t>
            </w:r>
          </w:p>
        </w:tc>
        <w:tc>
          <w:tcPr>
            <w:tcW w:w="376" w:type="pct"/>
            <w:shd w:val="clear" w:color="auto" w:fill="E5DFEC" w:themeFill="accent4" w:themeFillTint="33"/>
          </w:tcPr>
          <w:p w14:paraId="2EFB3656" w14:textId="47BAEF2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1,9</w:t>
            </w:r>
          </w:p>
        </w:tc>
      </w:tr>
      <w:tr w:rsidR="00B018CB" w:rsidRPr="000E509C" w14:paraId="66EF3806" w14:textId="77777777" w:rsidTr="00B018CB">
        <w:trPr>
          <w:gridBefore w:val="1"/>
          <w:cnfStyle w:val="000000100000" w:firstRow="0" w:lastRow="0" w:firstColumn="0" w:lastColumn="0" w:oddVBand="0" w:evenVBand="0" w:oddHBand="1" w:evenHBand="0" w:firstRowFirstColumn="0" w:firstRowLastColumn="0" w:lastRowFirstColumn="0" w:lastRowLastColumn="0"/>
          <w:wBefore w:w="4" w:type="pct"/>
        </w:trPr>
        <w:tc>
          <w:tcPr>
            <w:tcW w:w="1883" w:type="pct"/>
            <w:shd w:val="clear" w:color="auto" w:fill="CCC0D9" w:themeFill="accent4" w:themeFillTint="66"/>
          </w:tcPr>
          <w:p w14:paraId="6714E302" w14:textId="77777777" w:rsidR="000E509C" w:rsidRPr="000E509C" w:rsidRDefault="000E509C" w:rsidP="000E509C">
            <w:pPr>
              <w:spacing w:before="40" w:after="40"/>
              <w:rPr>
                <w:rFonts w:ascii="Segoe UI Light" w:hAnsi="Segoe UI Light"/>
                <w:sz w:val="16"/>
                <w:szCs w:val="20"/>
                <w:lang w:eastAsia="lv-LV"/>
              </w:rPr>
            </w:pPr>
            <w:r w:rsidRPr="000E509C">
              <w:rPr>
                <w:rFonts w:ascii="Segoe UI Light" w:hAnsi="Segoe UI Light"/>
                <w:sz w:val="16"/>
                <w:szCs w:val="20"/>
                <w:lang w:eastAsia="lv-LV"/>
              </w:rPr>
              <w:t>Augstas kvalifikācijas profesijas, tai skaitā:</w:t>
            </w:r>
          </w:p>
        </w:tc>
        <w:tc>
          <w:tcPr>
            <w:tcW w:w="325" w:type="pct"/>
            <w:shd w:val="clear" w:color="auto" w:fill="CCC0D9" w:themeFill="accent4" w:themeFillTint="66"/>
          </w:tcPr>
          <w:p w14:paraId="2755BDA3" w14:textId="6436166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2,7</w:t>
            </w:r>
          </w:p>
        </w:tc>
        <w:tc>
          <w:tcPr>
            <w:tcW w:w="326" w:type="pct"/>
            <w:shd w:val="clear" w:color="auto" w:fill="CCC0D9" w:themeFill="accent4" w:themeFillTint="66"/>
          </w:tcPr>
          <w:p w14:paraId="1F58DE00" w14:textId="4B1FF02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5,2</w:t>
            </w:r>
          </w:p>
        </w:tc>
        <w:tc>
          <w:tcPr>
            <w:tcW w:w="326" w:type="pct"/>
            <w:shd w:val="clear" w:color="auto" w:fill="CCC0D9" w:themeFill="accent4" w:themeFillTint="66"/>
          </w:tcPr>
          <w:p w14:paraId="2F4959ED" w14:textId="49055F7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2,5</w:t>
            </w:r>
          </w:p>
        </w:tc>
        <w:tc>
          <w:tcPr>
            <w:tcW w:w="326" w:type="pct"/>
            <w:shd w:val="clear" w:color="auto" w:fill="CCC0D9" w:themeFill="accent4" w:themeFillTint="66"/>
          </w:tcPr>
          <w:p w14:paraId="2C0BAE38" w14:textId="51C06FAA"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5,1</w:t>
            </w:r>
          </w:p>
        </w:tc>
        <w:tc>
          <w:tcPr>
            <w:tcW w:w="398" w:type="pct"/>
            <w:shd w:val="clear" w:color="auto" w:fill="CCC0D9" w:themeFill="accent4" w:themeFillTint="66"/>
          </w:tcPr>
          <w:p w14:paraId="57275B01" w14:textId="3CC4FDB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6,4</w:t>
            </w:r>
          </w:p>
        </w:tc>
        <w:tc>
          <w:tcPr>
            <w:tcW w:w="326" w:type="pct"/>
            <w:shd w:val="clear" w:color="auto" w:fill="CCC0D9" w:themeFill="accent4" w:themeFillTint="66"/>
          </w:tcPr>
          <w:p w14:paraId="1BDB2C34" w14:textId="78E09CE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1,6</w:t>
            </w:r>
          </w:p>
        </w:tc>
        <w:tc>
          <w:tcPr>
            <w:tcW w:w="326" w:type="pct"/>
            <w:shd w:val="clear" w:color="auto" w:fill="CCC0D9" w:themeFill="accent4" w:themeFillTint="66"/>
          </w:tcPr>
          <w:p w14:paraId="423B7D83" w14:textId="4123E97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39,2</w:t>
            </w:r>
          </w:p>
        </w:tc>
        <w:tc>
          <w:tcPr>
            <w:tcW w:w="382" w:type="pct"/>
            <w:shd w:val="clear" w:color="auto" w:fill="CCC0D9" w:themeFill="accent4" w:themeFillTint="66"/>
          </w:tcPr>
          <w:p w14:paraId="7F4AF463" w14:textId="31AE879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2,6</w:t>
            </w:r>
          </w:p>
        </w:tc>
        <w:tc>
          <w:tcPr>
            <w:tcW w:w="376" w:type="pct"/>
            <w:shd w:val="clear" w:color="auto" w:fill="CCC0D9" w:themeFill="accent4" w:themeFillTint="66"/>
          </w:tcPr>
          <w:p w14:paraId="798E6615" w14:textId="7BBE35C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65,3</w:t>
            </w:r>
          </w:p>
        </w:tc>
      </w:tr>
      <w:tr w:rsidR="00B018CB" w:rsidRPr="000E509C" w14:paraId="624B5455" w14:textId="77777777" w:rsidTr="00B018CB">
        <w:trPr>
          <w:gridBefore w:val="1"/>
          <w:wBefore w:w="4" w:type="pct"/>
        </w:trPr>
        <w:tc>
          <w:tcPr>
            <w:tcW w:w="1883" w:type="pct"/>
            <w:shd w:val="clear" w:color="auto" w:fill="E5DFEC" w:themeFill="accent4" w:themeFillTint="33"/>
          </w:tcPr>
          <w:p w14:paraId="02453CE3"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Vadītāji</w:t>
            </w:r>
          </w:p>
        </w:tc>
        <w:tc>
          <w:tcPr>
            <w:tcW w:w="325" w:type="pct"/>
            <w:shd w:val="clear" w:color="auto" w:fill="E5DFEC" w:themeFill="accent4" w:themeFillTint="33"/>
          </w:tcPr>
          <w:p w14:paraId="353D89DC" w14:textId="128190D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0,4</w:t>
            </w:r>
          </w:p>
        </w:tc>
        <w:tc>
          <w:tcPr>
            <w:tcW w:w="326" w:type="pct"/>
            <w:shd w:val="clear" w:color="auto" w:fill="E5DFEC" w:themeFill="accent4" w:themeFillTint="33"/>
          </w:tcPr>
          <w:p w14:paraId="14DE9C03" w14:textId="4B0EE7DA"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-0,8</w:t>
            </w:r>
          </w:p>
        </w:tc>
        <w:tc>
          <w:tcPr>
            <w:tcW w:w="326" w:type="pct"/>
            <w:shd w:val="clear" w:color="auto" w:fill="E5DFEC" w:themeFill="accent4" w:themeFillTint="33"/>
          </w:tcPr>
          <w:p w14:paraId="3B13D676" w14:textId="04FE362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E5DFEC" w:themeFill="accent4" w:themeFillTint="33"/>
          </w:tcPr>
          <w:p w14:paraId="03174FA0" w14:textId="208E0B4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0,8</w:t>
            </w:r>
          </w:p>
        </w:tc>
        <w:tc>
          <w:tcPr>
            <w:tcW w:w="398" w:type="pct"/>
            <w:shd w:val="clear" w:color="auto" w:fill="E5DFEC" w:themeFill="accent4" w:themeFillTint="33"/>
          </w:tcPr>
          <w:p w14:paraId="3056700A" w14:textId="133CF4E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1,3</w:t>
            </w:r>
          </w:p>
        </w:tc>
        <w:tc>
          <w:tcPr>
            <w:tcW w:w="326" w:type="pct"/>
            <w:shd w:val="clear" w:color="auto" w:fill="E5DFEC" w:themeFill="accent4" w:themeFillTint="33"/>
          </w:tcPr>
          <w:p w14:paraId="7F14EAFA" w14:textId="05C5234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-0,8</w:t>
            </w:r>
          </w:p>
        </w:tc>
        <w:tc>
          <w:tcPr>
            <w:tcW w:w="326" w:type="pct"/>
            <w:shd w:val="clear" w:color="auto" w:fill="E5DFEC" w:themeFill="accent4" w:themeFillTint="33"/>
          </w:tcPr>
          <w:p w14:paraId="60876444" w14:textId="3E9EEEA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4,9</w:t>
            </w:r>
          </w:p>
        </w:tc>
        <w:tc>
          <w:tcPr>
            <w:tcW w:w="382" w:type="pct"/>
            <w:shd w:val="clear" w:color="auto" w:fill="E5DFEC" w:themeFill="accent4" w:themeFillTint="33"/>
          </w:tcPr>
          <w:p w14:paraId="451E70D3" w14:textId="35AB004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0,8</w:t>
            </w:r>
          </w:p>
        </w:tc>
        <w:tc>
          <w:tcPr>
            <w:tcW w:w="376" w:type="pct"/>
            <w:shd w:val="clear" w:color="auto" w:fill="E5DFEC" w:themeFill="accent4" w:themeFillTint="33"/>
          </w:tcPr>
          <w:p w14:paraId="3BDB2C9D" w14:textId="398E153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6,5</w:t>
            </w:r>
          </w:p>
        </w:tc>
      </w:tr>
      <w:tr w:rsidR="00B018CB" w:rsidRPr="000E509C" w14:paraId="2B345FA2" w14:textId="77777777" w:rsidTr="00B018CB">
        <w:trPr>
          <w:gridBefore w:val="1"/>
          <w:cnfStyle w:val="000000100000" w:firstRow="0" w:lastRow="0" w:firstColumn="0" w:lastColumn="0" w:oddVBand="0" w:evenVBand="0" w:oddHBand="1" w:evenHBand="0" w:firstRowFirstColumn="0" w:firstRowLastColumn="0" w:lastRowFirstColumn="0" w:lastRowLastColumn="0"/>
          <w:wBefore w:w="4" w:type="pct"/>
        </w:trPr>
        <w:tc>
          <w:tcPr>
            <w:tcW w:w="1883" w:type="pct"/>
            <w:shd w:val="clear" w:color="auto" w:fill="CCC0D9" w:themeFill="accent4" w:themeFillTint="66"/>
          </w:tcPr>
          <w:p w14:paraId="7EEF1DC9"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Vecākie speciālisti</w:t>
            </w:r>
          </w:p>
        </w:tc>
        <w:tc>
          <w:tcPr>
            <w:tcW w:w="325" w:type="pct"/>
            <w:shd w:val="clear" w:color="auto" w:fill="CCC0D9" w:themeFill="accent4" w:themeFillTint="66"/>
          </w:tcPr>
          <w:p w14:paraId="3656B137" w14:textId="02640F3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1,3</w:t>
            </w:r>
          </w:p>
        </w:tc>
        <w:tc>
          <w:tcPr>
            <w:tcW w:w="326" w:type="pct"/>
            <w:shd w:val="clear" w:color="auto" w:fill="CCC0D9" w:themeFill="accent4" w:themeFillTint="66"/>
          </w:tcPr>
          <w:p w14:paraId="36D954F0" w14:textId="7920A7D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2,4</w:t>
            </w:r>
          </w:p>
        </w:tc>
        <w:tc>
          <w:tcPr>
            <w:tcW w:w="326" w:type="pct"/>
            <w:shd w:val="clear" w:color="auto" w:fill="CCC0D9" w:themeFill="accent4" w:themeFillTint="66"/>
          </w:tcPr>
          <w:p w14:paraId="4A9C3961" w14:textId="13E057E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1,2</w:t>
            </w:r>
          </w:p>
        </w:tc>
        <w:tc>
          <w:tcPr>
            <w:tcW w:w="326" w:type="pct"/>
            <w:shd w:val="clear" w:color="auto" w:fill="CCC0D9" w:themeFill="accent4" w:themeFillTint="66"/>
          </w:tcPr>
          <w:p w14:paraId="66520EEF" w14:textId="257832F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1,4</w:t>
            </w:r>
          </w:p>
        </w:tc>
        <w:tc>
          <w:tcPr>
            <w:tcW w:w="398" w:type="pct"/>
            <w:shd w:val="clear" w:color="auto" w:fill="CCC0D9" w:themeFill="accent4" w:themeFillTint="66"/>
          </w:tcPr>
          <w:p w14:paraId="7513D8B6" w14:textId="43217D85"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2,1</w:t>
            </w:r>
          </w:p>
        </w:tc>
        <w:tc>
          <w:tcPr>
            <w:tcW w:w="326" w:type="pct"/>
            <w:shd w:val="clear" w:color="auto" w:fill="CCC0D9" w:themeFill="accent4" w:themeFillTint="66"/>
          </w:tcPr>
          <w:p w14:paraId="156DC1EB" w14:textId="0231C062"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1,2</w:t>
            </w:r>
          </w:p>
        </w:tc>
        <w:tc>
          <w:tcPr>
            <w:tcW w:w="326" w:type="pct"/>
            <w:shd w:val="clear" w:color="auto" w:fill="CCC0D9" w:themeFill="accent4" w:themeFillTint="66"/>
          </w:tcPr>
          <w:p w14:paraId="2EB51B54" w14:textId="39BAF9F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15,7</w:t>
            </w:r>
          </w:p>
        </w:tc>
        <w:tc>
          <w:tcPr>
            <w:tcW w:w="382" w:type="pct"/>
            <w:shd w:val="clear" w:color="auto" w:fill="CCC0D9" w:themeFill="accent4" w:themeFillTint="66"/>
          </w:tcPr>
          <w:p w14:paraId="74E63FE0" w14:textId="131BD93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-1,1</w:t>
            </w:r>
          </w:p>
        </w:tc>
        <w:tc>
          <w:tcPr>
            <w:tcW w:w="376" w:type="pct"/>
            <w:shd w:val="clear" w:color="auto" w:fill="CCC0D9" w:themeFill="accent4" w:themeFillTint="66"/>
          </w:tcPr>
          <w:p w14:paraId="402D76D3" w14:textId="609586AA"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24,1</w:t>
            </w:r>
          </w:p>
        </w:tc>
      </w:tr>
      <w:tr w:rsidR="00B018CB" w:rsidRPr="000E509C" w14:paraId="1B2DEDEE" w14:textId="77777777" w:rsidTr="00B018CB">
        <w:trPr>
          <w:gridBefore w:val="1"/>
          <w:wBefore w:w="4" w:type="pct"/>
        </w:trPr>
        <w:tc>
          <w:tcPr>
            <w:tcW w:w="1883" w:type="pct"/>
            <w:shd w:val="clear" w:color="auto" w:fill="E5DFEC" w:themeFill="accent4" w:themeFillTint="33"/>
          </w:tcPr>
          <w:p w14:paraId="1345A1AC"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Speciālisti</w:t>
            </w:r>
          </w:p>
        </w:tc>
        <w:tc>
          <w:tcPr>
            <w:tcW w:w="325" w:type="pct"/>
            <w:shd w:val="clear" w:color="auto" w:fill="E5DFEC" w:themeFill="accent4" w:themeFillTint="33"/>
          </w:tcPr>
          <w:p w14:paraId="7157F276" w14:textId="5D4B6A0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1,0</w:t>
            </w:r>
          </w:p>
        </w:tc>
        <w:tc>
          <w:tcPr>
            <w:tcW w:w="326" w:type="pct"/>
            <w:shd w:val="clear" w:color="auto" w:fill="E5DFEC" w:themeFill="accent4" w:themeFillTint="33"/>
          </w:tcPr>
          <w:p w14:paraId="55FD94CC" w14:textId="765BF82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3,7</w:t>
            </w:r>
          </w:p>
        </w:tc>
        <w:tc>
          <w:tcPr>
            <w:tcW w:w="326" w:type="pct"/>
            <w:shd w:val="clear" w:color="auto" w:fill="E5DFEC" w:themeFill="accent4" w:themeFillTint="33"/>
          </w:tcPr>
          <w:p w14:paraId="7C4240BB" w14:textId="3A06A575"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1,4</w:t>
            </w:r>
          </w:p>
        </w:tc>
        <w:tc>
          <w:tcPr>
            <w:tcW w:w="326" w:type="pct"/>
            <w:shd w:val="clear" w:color="auto" w:fill="E5DFEC" w:themeFill="accent4" w:themeFillTint="33"/>
          </w:tcPr>
          <w:p w14:paraId="14BA31FC" w14:textId="0A1CC41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2,9</w:t>
            </w:r>
          </w:p>
        </w:tc>
        <w:tc>
          <w:tcPr>
            <w:tcW w:w="398" w:type="pct"/>
            <w:shd w:val="clear" w:color="auto" w:fill="E5DFEC" w:themeFill="accent4" w:themeFillTint="33"/>
          </w:tcPr>
          <w:p w14:paraId="461C4153" w14:textId="6860936A"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3,0</w:t>
            </w:r>
          </w:p>
        </w:tc>
        <w:tc>
          <w:tcPr>
            <w:tcW w:w="326" w:type="pct"/>
            <w:shd w:val="clear" w:color="auto" w:fill="E5DFEC" w:themeFill="accent4" w:themeFillTint="33"/>
          </w:tcPr>
          <w:p w14:paraId="4502F082" w14:textId="2836E33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1,2</w:t>
            </w:r>
          </w:p>
        </w:tc>
        <w:tc>
          <w:tcPr>
            <w:tcW w:w="326" w:type="pct"/>
            <w:shd w:val="clear" w:color="auto" w:fill="E5DFEC" w:themeFill="accent4" w:themeFillTint="33"/>
          </w:tcPr>
          <w:p w14:paraId="1CD17F86" w14:textId="7151CFE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18,6</w:t>
            </w:r>
          </w:p>
        </w:tc>
        <w:tc>
          <w:tcPr>
            <w:tcW w:w="382" w:type="pct"/>
            <w:shd w:val="clear" w:color="auto" w:fill="E5DFEC" w:themeFill="accent4" w:themeFillTint="33"/>
          </w:tcPr>
          <w:p w14:paraId="2C15F86B" w14:textId="04863B70"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2,8</w:t>
            </w:r>
          </w:p>
        </w:tc>
        <w:tc>
          <w:tcPr>
            <w:tcW w:w="376" w:type="pct"/>
            <w:shd w:val="clear" w:color="auto" w:fill="E5DFEC" w:themeFill="accent4" w:themeFillTint="33"/>
          </w:tcPr>
          <w:p w14:paraId="61E7F850" w14:textId="016698F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34,6</w:t>
            </w:r>
          </w:p>
        </w:tc>
      </w:tr>
      <w:tr w:rsidR="00B018CB" w:rsidRPr="000E509C" w14:paraId="2EAEFFE8" w14:textId="77777777" w:rsidTr="00B018CB">
        <w:trPr>
          <w:gridBefore w:val="1"/>
          <w:cnfStyle w:val="000000100000" w:firstRow="0" w:lastRow="0" w:firstColumn="0" w:lastColumn="0" w:oddVBand="0" w:evenVBand="0" w:oddHBand="1" w:evenHBand="0" w:firstRowFirstColumn="0" w:firstRowLastColumn="0" w:lastRowFirstColumn="0" w:lastRowLastColumn="0"/>
          <w:wBefore w:w="4" w:type="pct"/>
        </w:trPr>
        <w:tc>
          <w:tcPr>
            <w:tcW w:w="1883" w:type="pct"/>
            <w:shd w:val="clear" w:color="auto" w:fill="CCC0D9" w:themeFill="accent4" w:themeFillTint="66"/>
          </w:tcPr>
          <w:p w14:paraId="4C0D8745" w14:textId="77777777" w:rsidR="000E509C" w:rsidRPr="000E509C" w:rsidRDefault="000E509C" w:rsidP="000E509C">
            <w:pPr>
              <w:spacing w:before="40" w:after="40"/>
              <w:rPr>
                <w:rFonts w:ascii="Segoe UI Light" w:hAnsi="Segoe UI Light"/>
                <w:sz w:val="16"/>
                <w:szCs w:val="20"/>
                <w:lang w:eastAsia="lv-LV"/>
              </w:rPr>
            </w:pPr>
            <w:r w:rsidRPr="000E509C">
              <w:rPr>
                <w:rFonts w:ascii="Segoe UI Light" w:hAnsi="Segoe UI Light"/>
                <w:sz w:val="16"/>
                <w:szCs w:val="20"/>
                <w:lang w:eastAsia="lv-LV"/>
              </w:rPr>
              <w:t>Vidējas kvalifikācijas profesijas, tai skaitā:</w:t>
            </w:r>
          </w:p>
        </w:tc>
        <w:tc>
          <w:tcPr>
            <w:tcW w:w="325" w:type="pct"/>
            <w:shd w:val="clear" w:color="auto" w:fill="CCC0D9" w:themeFill="accent4" w:themeFillTint="66"/>
          </w:tcPr>
          <w:p w14:paraId="3E0B4AAB" w14:textId="148DD81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-3,2</w:t>
            </w:r>
          </w:p>
        </w:tc>
        <w:tc>
          <w:tcPr>
            <w:tcW w:w="326" w:type="pct"/>
            <w:shd w:val="clear" w:color="auto" w:fill="CCC0D9" w:themeFill="accent4" w:themeFillTint="66"/>
          </w:tcPr>
          <w:p w14:paraId="523C4B7A" w14:textId="585651F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1,2</w:t>
            </w:r>
          </w:p>
        </w:tc>
        <w:tc>
          <w:tcPr>
            <w:tcW w:w="326" w:type="pct"/>
            <w:shd w:val="clear" w:color="auto" w:fill="CCC0D9" w:themeFill="accent4" w:themeFillTint="66"/>
          </w:tcPr>
          <w:p w14:paraId="6E285A7D" w14:textId="4FE3E61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-0,8</w:t>
            </w:r>
          </w:p>
        </w:tc>
        <w:tc>
          <w:tcPr>
            <w:tcW w:w="326" w:type="pct"/>
            <w:shd w:val="clear" w:color="auto" w:fill="CCC0D9" w:themeFill="accent4" w:themeFillTint="66"/>
          </w:tcPr>
          <w:p w14:paraId="1D245F14" w14:textId="07778AC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8,7</w:t>
            </w:r>
          </w:p>
        </w:tc>
        <w:tc>
          <w:tcPr>
            <w:tcW w:w="398" w:type="pct"/>
            <w:shd w:val="clear" w:color="auto" w:fill="CCC0D9" w:themeFill="accent4" w:themeFillTint="66"/>
          </w:tcPr>
          <w:p w14:paraId="17604AE0" w14:textId="0DB6924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-18,9</w:t>
            </w:r>
          </w:p>
        </w:tc>
        <w:tc>
          <w:tcPr>
            <w:tcW w:w="326" w:type="pct"/>
            <w:shd w:val="clear" w:color="auto" w:fill="CCC0D9" w:themeFill="accent4" w:themeFillTint="66"/>
          </w:tcPr>
          <w:p w14:paraId="64252739" w14:textId="4DC4F86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-6,0</w:t>
            </w:r>
          </w:p>
        </w:tc>
        <w:tc>
          <w:tcPr>
            <w:tcW w:w="326" w:type="pct"/>
            <w:shd w:val="clear" w:color="auto" w:fill="CCC0D9" w:themeFill="accent4" w:themeFillTint="66"/>
          </w:tcPr>
          <w:p w14:paraId="005EAA3A" w14:textId="4D509B45"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-2,0</w:t>
            </w:r>
          </w:p>
        </w:tc>
        <w:tc>
          <w:tcPr>
            <w:tcW w:w="382" w:type="pct"/>
            <w:shd w:val="clear" w:color="auto" w:fill="CCC0D9" w:themeFill="accent4" w:themeFillTint="66"/>
          </w:tcPr>
          <w:p w14:paraId="4AB5117E" w14:textId="42F5909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-4,6</w:t>
            </w:r>
          </w:p>
        </w:tc>
        <w:tc>
          <w:tcPr>
            <w:tcW w:w="376" w:type="pct"/>
            <w:shd w:val="clear" w:color="auto" w:fill="CCC0D9" w:themeFill="accent4" w:themeFillTint="66"/>
          </w:tcPr>
          <w:p w14:paraId="1F6CDEE0" w14:textId="1D3BBA6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-25,6</w:t>
            </w:r>
          </w:p>
        </w:tc>
      </w:tr>
      <w:tr w:rsidR="00B018CB" w:rsidRPr="000E509C" w14:paraId="6F8D83BF" w14:textId="77777777" w:rsidTr="00B018CB">
        <w:trPr>
          <w:gridBefore w:val="1"/>
          <w:wBefore w:w="4" w:type="pct"/>
        </w:trPr>
        <w:tc>
          <w:tcPr>
            <w:tcW w:w="1883" w:type="pct"/>
            <w:shd w:val="clear" w:color="auto" w:fill="E5DFEC" w:themeFill="accent4" w:themeFillTint="33"/>
          </w:tcPr>
          <w:p w14:paraId="0A9C3A88"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Iestāžu kalpotāji</w:t>
            </w:r>
          </w:p>
        </w:tc>
        <w:tc>
          <w:tcPr>
            <w:tcW w:w="325" w:type="pct"/>
            <w:shd w:val="clear" w:color="auto" w:fill="E5DFEC" w:themeFill="accent4" w:themeFillTint="33"/>
          </w:tcPr>
          <w:p w14:paraId="267E1F51" w14:textId="6DDF499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26" w:type="pct"/>
            <w:shd w:val="clear" w:color="auto" w:fill="E5DFEC" w:themeFill="accent4" w:themeFillTint="33"/>
          </w:tcPr>
          <w:p w14:paraId="4F842AD6" w14:textId="57830385"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-2,2</w:t>
            </w:r>
          </w:p>
        </w:tc>
        <w:tc>
          <w:tcPr>
            <w:tcW w:w="326" w:type="pct"/>
            <w:shd w:val="clear" w:color="auto" w:fill="E5DFEC" w:themeFill="accent4" w:themeFillTint="33"/>
          </w:tcPr>
          <w:p w14:paraId="1C6C275D" w14:textId="00CB272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-0,7</w:t>
            </w:r>
          </w:p>
        </w:tc>
        <w:tc>
          <w:tcPr>
            <w:tcW w:w="326" w:type="pct"/>
            <w:shd w:val="clear" w:color="auto" w:fill="E5DFEC" w:themeFill="accent4" w:themeFillTint="33"/>
          </w:tcPr>
          <w:p w14:paraId="7C2EE988" w14:textId="0E0BFA3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98" w:type="pct"/>
            <w:shd w:val="clear" w:color="auto" w:fill="E5DFEC" w:themeFill="accent4" w:themeFillTint="33"/>
          </w:tcPr>
          <w:p w14:paraId="2EC202F0" w14:textId="1CFD777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-4,0</w:t>
            </w:r>
          </w:p>
        </w:tc>
        <w:tc>
          <w:tcPr>
            <w:tcW w:w="326" w:type="pct"/>
            <w:shd w:val="clear" w:color="auto" w:fill="E5DFEC" w:themeFill="accent4" w:themeFillTint="33"/>
          </w:tcPr>
          <w:p w14:paraId="63F786D4" w14:textId="4B4A0C7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-3,2</w:t>
            </w:r>
          </w:p>
        </w:tc>
        <w:tc>
          <w:tcPr>
            <w:tcW w:w="326" w:type="pct"/>
            <w:shd w:val="clear" w:color="auto" w:fill="E5DFEC" w:themeFill="accent4" w:themeFillTint="33"/>
          </w:tcPr>
          <w:p w14:paraId="29FC6475" w14:textId="4161E9D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-6,7</w:t>
            </w:r>
          </w:p>
        </w:tc>
        <w:tc>
          <w:tcPr>
            <w:tcW w:w="382" w:type="pct"/>
            <w:shd w:val="clear" w:color="auto" w:fill="E5DFEC" w:themeFill="accent4" w:themeFillTint="33"/>
          </w:tcPr>
          <w:p w14:paraId="52A6B67E" w14:textId="431DAA6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-2,3</w:t>
            </w:r>
          </w:p>
        </w:tc>
        <w:tc>
          <w:tcPr>
            <w:tcW w:w="376" w:type="pct"/>
            <w:shd w:val="clear" w:color="auto" w:fill="E5DFEC" w:themeFill="accent4" w:themeFillTint="33"/>
          </w:tcPr>
          <w:p w14:paraId="60B3DF61" w14:textId="467046B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-19,5</w:t>
            </w:r>
          </w:p>
        </w:tc>
      </w:tr>
      <w:tr w:rsidR="00B018CB" w:rsidRPr="000E509C" w14:paraId="4439726A" w14:textId="77777777" w:rsidTr="00B018CB">
        <w:trPr>
          <w:gridBefore w:val="1"/>
          <w:cnfStyle w:val="000000100000" w:firstRow="0" w:lastRow="0" w:firstColumn="0" w:lastColumn="0" w:oddVBand="0" w:evenVBand="0" w:oddHBand="1" w:evenHBand="0" w:firstRowFirstColumn="0" w:firstRowLastColumn="0" w:lastRowFirstColumn="0" w:lastRowLastColumn="0"/>
          <w:wBefore w:w="4" w:type="pct"/>
        </w:trPr>
        <w:tc>
          <w:tcPr>
            <w:tcW w:w="1883" w:type="pct"/>
            <w:shd w:val="clear" w:color="auto" w:fill="CCC0D9" w:themeFill="accent4" w:themeFillTint="66"/>
          </w:tcPr>
          <w:p w14:paraId="23042BBA"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Pakalpojumu darbinieki</w:t>
            </w:r>
          </w:p>
        </w:tc>
        <w:tc>
          <w:tcPr>
            <w:tcW w:w="325" w:type="pct"/>
            <w:shd w:val="clear" w:color="auto" w:fill="CCC0D9" w:themeFill="accent4" w:themeFillTint="66"/>
          </w:tcPr>
          <w:p w14:paraId="720E436D" w14:textId="7EF98E9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CCC0D9" w:themeFill="accent4" w:themeFillTint="66"/>
          </w:tcPr>
          <w:p w14:paraId="283DAA08" w14:textId="4E7D539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CCC0D9" w:themeFill="accent4" w:themeFillTint="66"/>
          </w:tcPr>
          <w:p w14:paraId="60B0AB14" w14:textId="2C63E7F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CCC0D9" w:themeFill="accent4" w:themeFillTint="66"/>
          </w:tcPr>
          <w:p w14:paraId="74A0049D" w14:textId="6BE0963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98" w:type="pct"/>
            <w:shd w:val="clear" w:color="auto" w:fill="CCC0D9" w:themeFill="accent4" w:themeFillTint="66"/>
          </w:tcPr>
          <w:p w14:paraId="39DDFFE2" w14:textId="5DD4CCB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-16,3</w:t>
            </w:r>
          </w:p>
        </w:tc>
        <w:tc>
          <w:tcPr>
            <w:tcW w:w="326" w:type="pct"/>
            <w:shd w:val="clear" w:color="auto" w:fill="CCC0D9" w:themeFill="accent4" w:themeFillTint="66"/>
          </w:tcPr>
          <w:p w14:paraId="14AE5CE4" w14:textId="12C2ABDA"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CCC0D9" w:themeFill="accent4" w:themeFillTint="66"/>
          </w:tcPr>
          <w:p w14:paraId="002E5DDD" w14:textId="41564282"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1,4</w:t>
            </w:r>
          </w:p>
        </w:tc>
        <w:tc>
          <w:tcPr>
            <w:tcW w:w="382" w:type="pct"/>
            <w:shd w:val="clear" w:color="auto" w:fill="CCC0D9" w:themeFill="accent4" w:themeFillTint="66"/>
          </w:tcPr>
          <w:p w14:paraId="0DD3A242" w14:textId="792B500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-2,4</w:t>
            </w:r>
          </w:p>
        </w:tc>
        <w:tc>
          <w:tcPr>
            <w:tcW w:w="376" w:type="pct"/>
            <w:shd w:val="clear" w:color="auto" w:fill="CCC0D9" w:themeFill="accent4" w:themeFillTint="66"/>
          </w:tcPr>
          <w:p w14:paraId="0B046F96" w14:textId="3A698E1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-17,1</w:t>
            </w:r>
          </w:p>
        </w:tc>
      </w:tr>
      <w:tr w:rsidR="00B018CB" w:rsidRPr="000E509C" w14:paraId="6EF1B461" w14:textId="77777777" w:rsidTr="00B018CB">
        <w:trPr>
          <w:gridBefore w:val="1"/>
          <w:wBefore w:w="4" w:type="pct"/>
        </w:trPr>
        <w:tc>
          <w:tcPr>
            <w:tcW w:w="1883" w:type="pct"/>
            <w:shd w:val="clear" w:color="auto" w:fill="E5DFEC" w:themeFill="accent4" w:themeFillTint="33"/>
          </w:tcPr>
          <w:p w14:paraId="6AE71CE3"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Kvalificēti lauksaimniecības darbinieki</w:t>
            </w:r>
          </w:p>
        </w:tc>
        <w:tc>
          <w:tcPr>
            <w:tcW w:w="325" w:type="pct"/>
            <w:shd w:val="clear" w:color="auto" w:fill="E5DFEC" w:themeFill="accent4" w:themeFillTint="33"/>
          </w:tcPr>
          <w:p w14:paraId="3F4C0E5A" w14:textId="7418A74A"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-3,5</w:t>
            </w:r>
          </w:p>
        </w:tc>
        <w:tc>
          <w:tcPr>
            <w:tcW w:w="326" w:type="pct"/>
            <w:shd w:val="clear" w:color="auto" w:fill="E5DFEC" w:themeFill="accent4" w:themeFillTint="33"/>
          </w:tcPr>
          <w:p w14:paraId="63CF5D19" w14:textId="7687FE4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25337016" w14:textId="6996237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415FB3F7" w14:textId="3CD37AB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98" w:type="pct"/>
            <w:shd w:val="clear" w:color="auto" w:fill="E5DFEC" w:themeFill="accent4" w:themeFillTint="33"/>
          </w:tcPr>
          <w:p w14:paraId="0F87D882" w14:textId="5C4F728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6989BB88" w14:textId="384F769F"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26" w:type="pct"/>
            <w:shd w:val="clear" w:color="auto" w:fill="E5DFEC" w:themeFill="accent4" w:themeFillTint="33"/>
          </w:tcPr>
          <w:p w14:paraId="63EC351C" w14:textId="539AE522"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82" w:type="pct"/>
            <w:shd w:val="clear" w:color="auto" w:fill="E5DFEC" w:themeFill="accent4" w:themeFillTint="33"/>
          </w:tcPr>
          <w:p w14:paraId="77BE51CE" w14:textId="779B04C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76" w:type="pct"/>
            <w:shd w:val="clear" w:color="auto" w:fill="E5DFEC" w:themeFill="accent4" w:themeFillTint="33"/>
          </w:tcPr>
          <w:p w14:paraId="5B55357C" w14:textId="42833F0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-3,4</w:t>
            </w:r>
          </w:p>
        </w:tc>
      </w:tr>
      <w:tr w:rsidR="00B018CB" w:rsidRPr="000E509C" w14:paraId="153DD9E9" w14:textId="77777777" w:rsidTr="00B018CB">
        <w:trPr>
          <w:gridBefore w:val="1"/>
          <w:cnfStyle w:val="000000100000" w:firstRow="0" w:lastRow="0" w:firstColumn="0" w:lastColumn="0" w:oddVBand="0" w:evenVBand="0" w:oddHBand="1" w:evenHBand="0" w:firstRowFirstColumn="0" w:firstRowLastColumn="0" w:lastRowFirstColumn="0" w:lastRowLastColumn="0"/>
          <w:wBefore w:w="4" w:type="pct"/>
        </w:trPr>
        <w:tc>
          <w:tcPr>
            <w:tcW w:w="1883" w:type="pct"/>
            <w:shd w:val="clear" w:color="auto" w:fill="CCC0D9" w:themeFill="accent4" w:themeFillTint="66"/>
          </w:tcPr>
          <w:p w14:paraId="49A1E160"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Kvalificēti strādnieki</w:t>
            </w:r>
          </w:p>
        </w:tc>
        <w:tc>
          <w:tcPr>
            <w:tcW w:w="325" w:type="pct"/>
            <w:shd w:val="clear" w:color="auto" w:fill="CCC0D9" w:themeFill="accent4" w:themeFillTint="66"/>
          </w:tcPr>
          <w:p w14:paraId="62500EB1" w14:textId="1A15DD3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26" w:type="pct"/>
            <w:shd w:val="clear" w:color="auto" w:fill="CCC0D9" w:themeFill="accent4" w:themeFillTint="66"/>
          </w:tcPr>
          <w:p w14:paraId="34508EF1" w14:textId="3603945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3,7</w:t>
            </w:r>
          </w:p>
        </w:tc>
        <w:tc>
          <w:tcPr>
            <w:tcW w:w="326" w:type="pct"/>
            <w:shd w:val="clear" w:color="auto" w:fill="CCC0D9" w:themeFill="accent4" w:themeFillTint="66"/>
          </w:tcPr>
          <w:p w14:paraId="118889F2" w14:textId="4242497E"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0,3</w:t>
            </w:r>
          </w:p>
        </w:tc>
        <w:tc>
          <w:tcPr>
            <w:tcW w:w="326" w:type="pct"/>
            <w:shd w:val="clear" w:color="auto" w:fill="CCC0D9" w:themeFill="accent4" w:themeFillTint="66"/>
          </w:tcPr>
          <w:p w14:paraId="3E20CCF3" w14:textId="1AD8DC21"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8,4</w:t>
            </w:r>
          </w:p>
        </w:tc>
        <w:tc>
          <w:tcPr>
            <w:tcW w:w="398" w:type="pct"/>
            <w:shd w:val="clear" w:color="auto" w:fill="CCC0D9" w:themeFill="accent4" w:themeFillTint="66"/>
          </w:tcPr>
          <w:p w14:paraId="0B635D6C" w14:textId="6323637A"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1,2</w:t>
            </w:r>
          </w:p>
        </w:tc>
        <w:tc>
          <w:tcPr>
            <w:tcW w:w="326" w:type="pct"/>
            <w:shd w:val="clear" w:color="auto" w:fill="CCC0D9" w:themeFill="accent4" w:themeFillTint="66"/>
          </w:tcPr>
          <w:p w14:paraId="7E03B539" w14:textId="6A4AD4A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26" w:type="pct"/>
            <w:shd w:val="clear" w:color="auto" w:fill="CCC0D9" w:themeFill="accent4" w:themeFillTint="66"/>
          </w:tcPr>
          <w:p w14:paraId="6F4C465D" w14:textId="18C0354B"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2,6</w:t>
            </w:r>
          </w:p>
        </w:tc>
        <w:tc>
          <w:tcPr>
            <w:tcW w:w="382" w:type="pct"/>
            <w:shd w:val="clear" w:color="auto" w:fill="CCC0D9" w:themeFill="accent4" w:themeFillTint="66"/>
          </w:tcPr>
          <w:p w14:paraId="5C3444F6" w14:textId="63BB9E6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0,0</w:t>
            </w:r>
          </w:p>
        </w:tc>
        <w:tc>
          <w:tcPr>
            <w:tcW w:w="376" w:type="pct"/>
            <w:shd w:val="clear" w:color="auto" w:fill="CCC0D9" w:themeFill="accent4" w:themeFillTint="66"/>
          </w:tcPr>
          <w:p w14:paraId="5C466FDA" w14:textId="5A28742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16,6</w:t>
            </w:r>
          </w:p>
        </w:tc>
      </w:tr>
      <w:tr w:rsidR="00B018CB" w:rsidRPr="000E509C" w14:paraId="737D272B" w14:textId="77777777" w:rsidTr="00B018CB">
        <w:trPr>
          <w:gridBefore w:val="1"/>
          <w:wBefore w:w="4" w:type="pct"/>
        </w:trPr>
        <w:tc>
          <w:tcPr>
            <w:tcW w:w="1883" w:type="pct"/>
            <w:shd w:val="clear" w:color="auto" w:fill="E5DFEC" w:themeFill="accent4" w:themeFillTint="33"/>
          </w:tcPr>
          <w:p w14:paraId="00DD7FB6" w14:textId="77777777" w:rsidR="000E509C" w:rsidRPr="000E509C" w:rsidRDefault="000E509C" w:rsidP="000E509C">
            <w:pPr>
              <w:spacing w:before="40" w:after="40"/>
              <w:ind w:left="142"/>
              <w:rPr>
                <w:rFonts w:ascii="Segoe UI Light" w:eastAsia="Arial Unicode MS" w:hAnsi="Segoe UI Light"/>
                <w:sz w:val="16"/>
                <w:szCs w:val="20"/>
              </w:rPr>
            </w:pPr>
            <w:r w:rsidRPr="000E509C">
              <w:rPr>
                <w:rFonts w:ascii="Segoe UI Light" w:hAnsi="Segoe UI Light"/>
                <w:sz w:val="16"/>
                <w:szCs w:val="20"/>
                <w:lang w:eastAsia="lv-LV"/>
              </w:rPr>
              <w:t>Iekārtu un mašīnu operatori</w:t>
            </w:r>
          </w:p>
        </w:tc>
        <w:tc>
          <w:tcPr>
            <w:tcW w:w="325" w:type="pct"/>
            <w:shd w:val="clear" w:color="auto" w:fill="E5DFEC" w:themeFill="accent4" w:themeFillTint="33"/>
          </w:tcPr>
          <w:p w14:paraId="4C792835" w14:textId="739255D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26" w:type="pct"/>
            <w:shd w:val="clear" w:color="auto" w:fill="E5DFEC" w:themeFill="accent4" w:themeFillTint="33"/>
          </w:tcPr>
          <w:p w14:paraId="5F0850D8" w14:textId="61596A95"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26" w:type="pct"/>
            <w:shd w:val="clear" w:color="auto" w:fill="E5DFEC" w:themeFill="accent4" w:themeFillTint="33"/>
          </w:tcPr>
          <w:p w14:paraId="5D1260BC" w14:textId="3945A172"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-0,4</w:t>
            </w:r>
          </w:p>
        </w:tc>
        <w:tc>
          <w:tcPr>
            <w:tcW w:w="326" w:type="pct"/>
            <w:shd w:val="clear" w:color="auto" w:fill="E5DFEC" w:themeFill="accent4" w:themeFillTint="33"/>
          </w:tcPr>
          <w:p w14:paraId="2515E636" w14:textId="6488B05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0,5</w:t>
            </w:r>
          </w:p>
        </w:tc>
        <w:tc>
          <w:tcPr>
            <w:tcW w:w="398" w:type="pct"/>
            <w:shd w:val="clear" w:color="auto" w:fill="E5DFEC" w:themeFill="accent4" w:themeFillTint="33"/>
          </w:tcPr>
          <w:p w14:paraId="542D7E42" w14:textId="643FE8F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0,2</w:t>
            </w:r>
          </w:p>
        </w:tc>
        <w:tc>
          <w:tcPr>
            <w:tcW w:w="326" w:type="pct"/>
            <w:shd w:val="clear" w:color="auto" w:fill="E5DFEC" w:themeFill="accent4" w:themeFillTint="33"/>
          </w:tcPr>
          <w:p w14:paraId="70517F3E" w14:textId="5AFF97B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-3,1</w:t>
            </w:r>
          </w:p>
        </w:tc>
        <w:tc>
          <w:tcPr>
            <w:tcW w:w="326" w:type="pct"/>
            <w:shd w:val="clear" w:color="auto" w:fill="E5DFEC" w:themeFill="accent4" w:themeFillTint="33"/>
          </w:tcPr>
          <w:p w14:paraId="018B627E" w14:textId="2B452CF2"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0,6</w:t>
            </w:r>
          </w:p>
        </w:tc>
        <w:tc>
          <w:tcPr>
            <w:tcW w:w="382" w:type="pct"/>
            <w:shd w:val="clear" w:color="auto" w:fill="E5DFEC" w:themeFill="accent4" w:themeFillTint="33"/>
          </w:tcPr>
          <w:p w14:paraId="5B4E1DB7" w14:textId="2112E137"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0,1</w:t>
            </w:r>
          </w:p>
        </w:tc>
        <w:tc>
          <w:tcPr>
            <w:tcW w:w="376" w:type="pct"/>
            <w:shd w:val="clear" w:color="auto" w:fill="E5DFEC" w:themeFill="accent4" w:themeFillTint="33"/>
          </w:tcPr>
          <w:p w14:paraId="5ED6DA2F" w14:textId="579D0B9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-2,2</w:t>
            </w:r>
          </w:p>
        </w:tc>
      </w:tr>
      <w:tr w:rsidR="00B018CB" w:rsidRPr="000E509C" w14:paraId="33C43370" w14:textId="77777777" w:rsidTr="00B018CB">
        <w:trPr>
          <w:gridBefore w:val="1"/>
          <w:cnfStyle w:val="000000100000" w:firstRow="0" w:lastRow="0" w:firstColumn="0" w:lastColumn="0" w:oddVBand="0" w:evenVBand="0" w:oddHBand="1" w:evenHBand="0" w:firstRowFirstColumn="0" w:firstRowLastColumn="0" w:lastRowFirstColumn="0" w:lastRowLastColumn="0"/>
          <w:wBefore w:w="4" w:type="pct"/>
        </w:trPr>
        <w:tc>
          <w:tcPr>
            <w:tcW w:w="1883" w:type="pct"/>
            <w:shd w:val="clear" w:color="auto" w:fill="CCC0D9" w:themeFill="accent4" w:themeFillTint="66"/>
          </w:tcPr>
          <w:p w14:paraId="2354A49E" w14:textId="77777777" w:rsidR="000E509C" w:rsidRPr="000E509C" w:rsidRDefault="000E509C" w:rsidP="000E509C">
            <w:pPr>
              <w:spacing w:before="40" w:after="40"/>
              <w:rPr>
                <w:rFonts w:ascii="Segoe UI Light" w:hAnsi="Segoe UI Light"/>
                <w:sz w:val="16"/>
                <w:szCs w:val="20"/>
                <w:lang w:eastAsia="lv-LV"/>
              </w:rPr>
            </w:pPr>
            <w:r w:rsidRPr="000E509C">
              <w:rPr>
                <w:rFonts w:ascii="Segoe UI Light" w:hAnsi="Segoe UI Light"/>
                <w:sz w:val="16"/>
                <w:szCs w:val="20"/>
                <w:lang w:eastAsia="lv-LV"/>
              </w:rPr>
              <w:t>Zemas kvalifikācijas profesijas</w:t>
            </w:r>
          </w:p>
        </w:tc>
        <w:tc>
          <w:tcPr>
            <w:tcW w:w="325" w:type="pct"/>
            <w:shd w:val="clear" w:color="auto" w:fill="CCC0D9" w:themeFill="accent4" w:themeFillTint="66"/>
          </w:tcPr>
          <w:p w14:paraId="013C0EF4" w14:textId="17F8952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-3,6</w:t>
            </w:r>
          </w:p>
        </w:tc>
        <w:tc>
          <w:tcPr>
            <w:tcW w:w="326" w:type="pct"/>
            <w:shd w:val="clear" w:color="auto" w:fill="CCC0D9" w:themeFill="accent4" w:themeFillTint="66"/>
          </w:tcPr>
          <w:p w14:paraId="78165A0A" w14:textId="2697AA0C"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-6,4</w:t>
            </w:r>
          </w:p>
        </w:tc>
        <w:tc>
          <w:tcPr>
            <w:tcW w:w="326" w:type="pct"/>
            <w:shd w:val="clear" w:color="auto" w:fill="CCC0D9" w:themeFill="accent4" w:themeFillTint="66"/>
          </w:tcPr>
          <w:p w14:paraId="0C8922B4" w14:textId="371D042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-1,0</w:t>
            </w:r>
          </w:p>
        </w:tc>
        <w:tc>
          <w:tcPr>
            <w:tcW w:w="326" w:type="pct"/>
            <w:shd w:val="clear" w:color="auto" w:fill="CCC0D9" w:themeFill="accent4" w:themeFillTint="66"/>
          </w:tcPr>
          <w:p w14:paraId="04051628" w14:textId="5ED8B344"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-4,4</w:t>
            </w:r>
          </w:p>
        </w:tc>
        <w:tc>
          <w:tcPr>
            <w:tcW w:w="398" w:type="pct"/>
            <w:shd w:val="clear" w:color="auto" w:fill="CCC0D9" w:themeFill="accent4" w:themeFillTint="66"/>
          </w:tcPr>
          <w:p w14:paraId="522FA9F0" w14:textId="64389A43"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-5,4</w:t>
            </w:r>
          </w:p>
        </w:tc>
        <w:tc>
          <w:tcPr>
            <w:tcW w:w="326" w:type="pct"/>
            <w:shd w:val="clear" w:color="auto" w:fill="CCC0D9" w:themeFill="accent4" w:themeFillTint="66"/>
          </w:tcPr>
          <w:p w14:paraId="099738E1" w14:textId="3C870488"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-2,6</w:t>
            </w:r>
          </w:p>
        </w:tc>
        <w:tc>
          <w:tcPr>
            <w:tcW w:w="326" w:type="pct"/>
            <w:shd w:val="clear" w:color="auto" w:fill="CCC0D9" w:themeFill="accent4" w:themeFillTint="66"/>
          </w:tcPr>
          <w:p w14:paraId="096DB74E" w14:textId="16454586"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-5,4</w:t>
            </w:r>
          </w:p>
        </w:tc>
        <w:tc>
          <w:tcPr>
            <w:tcW w:w="382" w:type="pct"/>
            <w:shd w:val="clear" w:color="auto" w:fill="CCC0D9" w:themeFill="accent4" w:themeFillTint="66"/>
          </w:tcPr>
          <w:p w14:paraId="511DDB37" w14:textId="72D6B8F9"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-6,9</w:t>
            </w:r>
          </w:p>
        </w:tc>
        <w:tc>
          <w:tcPr>
            <w:tcW w:w="376" w:type="pct"/>
            <w:shd w:val="clear" w:color="auto" w:fill="CCC0D9" w:themeFill="accent4" w:themeFillTint="66"/>
          </w:tcPr>
          <w:p w14:paraId="016FA972" w14:textId="686BDECD" w:rsidR="000E509C" w:rsidRPr="000E509C" w:rsidRDefault="000E509C" w:rsidP="000E509C">
            <w:pPr>
              <w:tabs>
                <w:tab w:val="decimal" w:pos="218"/>
              </w:tabs>
              <w:spacing w:before="40" w:after="40"/>
              <w:rPr>
                <w:rFonts w:ascii="Segoe UI Light" w:hAnsi="Segoe UI Light" w:cs="Segoe UI Light"/>
                <w:sz w:val="16"/>
                <w:szCs w:val="16"/>
              </w:rPr>
            </w:pPr>
            <w:r w:rsidRPr="000E509C">
              <w:rPr>
                <w:rFonts w:ascii="Segoe UI Light" w:hAnsi="Segoe UI Light" w:cs="Segoe UI Light"/>
                <w:sz w:val="16"/>
                <w:szCs w:val="16"/>
              </w:rPr>
              <w:t>-35,8</w:t>
            </w:r>
          </w:p>
        </w:tc>
      </w:tr>
      <w:tr w:rsidR="00B018CB" w:rsidRPr="000E509C" w14:paraId="2C492164" w14:textId="77777777" w:rsidTr="00B018CB">
        <w:trPr>
          <w:gridBefore w:val="1"/>
          <w:wBefore w:w="4" w:type="pct"/>
        </w:trPr>
        <w:tc>
          <w:tcPr>
            <w:tcW w:w="1883" w:type="pct"/>
            <w:shd w:val="clear" w:color="auto" w:fill="E5DFEC" w:themeFill="accent4" w:themeFillTint="33"/>
          </w:tcPr>
          <w:p w14:paraId="08F60BEF" w14:textId="77777777" w:rsidR="000E509C" w:rsidRPr="000E509C" w:rsidRDefault="000E509C" w:rsidP="000E509C">
            <w:pPr>
              <w:spacing w:before="40" w:after="40"/>
              <w:rPr>
                <w:rFonts w:ascii="Segoe UI Light" w:eastAsia="Arial Unicode MS" w:hAnsi="Segoe UI Light"/>
                <w:b/>
                <w:sz w:val="16"/>
                <w:szCs w:val="16"/>
              </w:rPr>
            </w:pPr>
            <w:r w:rsidRPr="000E509C">
              <w:rPr>
                <w:rFonts w:ascii="Segoe UI Light" w:eastAsia="Arial Unicode MS" w:hAnsi="Segoe UI Light"/>
                <w:b/>
                <w:sz w:val="16"/>
                <w:szCs w:val="16"/>
              </w:rPr>
              <w:t>Kopā</w:t>
            </w:r>
          </w:p>
        </w:tc>
        <w:tc>
          <w:tcPr>
            <w:tcW w:w="325" w:type="pct"/>
            <w:shd w:val="clear" w:color="auto" w:fill="E5DFEC" w:themeFill="accent4" w:themeFillTint="33"/>
          </w:tcPr>
          <w:p w14:paraId="6234904C" w14:textId="359A2AEE"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-4,2</w:t>
            </w:r>
          </w:p>
        </w:tc>
        <w:tc>
          <w:tcPr>
            <w:tcW w:w="326" w:type="pct"/>
            <w:shd w:val="clear" w:color="auto" w:fill="E5DFEC" w:themeFill="accent4" w:themeFillTint="33"/>
          </w:tcPr>
          <w:p w14:paraId="1590AC36" w14:textId="6BBF30C1"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0,0</w:t>
            </w:r>
          </w:p>
        </w:tc>
        <w:tc>
          <w:tcPr>
            <w:tcW w:w="326" w:type="pct"/>
            <w:shd w:val="clear" w:color="auto" w:fill="E5DFEC" w:themeFill="accent4" w:themeFillTint="33"/>
          </w:tcPr>
          <w:p w14:paraId="6A2B4152" w14:textId="4152E7E6"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0,7</w:t>
            </w:r>
          </w:p>
        </w:tc>
        <w:tc>
          <w:tcPr>
            <w:tcW w:w="326" w:type="pct"/>
            <w:shd w:val="clear" w:color="auto" w:fill="E5DFEC" w:themeFill="accent4" w:themeFillTint="33"/>
          </w:tcPr>
          <w:p w14:paraId="1875DF5A" w14:textId="578D7087"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9,4</w:t>
            </w:r>
          </w:p>
        </w:tc>
        <w:tc>
          <w:tcPr>
            <w:tcW w:w="398" w:type="pct"/>
            <w:shd w:val="clear" w:color="auto" w:fill="E5DFEC" w:themeFill="accent4" w:themeFillTint="33"/>
          </w:tcPr>
          <w:p w14:paraId="7D063D22" w14:textId="1B4C283B"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-17,9</w:t>
            </w:r>
          </w:p>
        </w:tc>
        <w:tc>
          <w:tcPr>
            <w:tcW w:w="326" w:type="pct"/>
            <w:shd w:val="clear" w:color="auto" w:fill="E5DFEC" w:themeFill="accent4" w:themeFillTint="33"/>
          </w:tcPr>
          <w:p w14:paraId="73643F74" w14:textId="25705F35"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-7,0</w:t>
            </w:r>
          </w:p>
        </w:tc>
        <w:tc>
          <w:tcPr>
            <w:tcW w:w="326" w:type="pct"/>
            <w:shd w:val="clear" w:color="auto" w:fill="E5DFEC" w:themeFill="accent4" w:themeFillTint="33"/>
          </w:tcPr>
          <w:p w14:paraId="67E339F4" w14:textId="3ED3DD4E"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31,8</w:t>
            </w:r>
          </w:p>
        </w:tc>
        <w:tc>
          <w:tcPr>
            <w:tcW w:w="382" w:type="pct"/>
            <w:shd w:val="clear" w:color="auto" w:fill="E5DFEC" w:themeFill="accent4" w:themeFillTint="33"/>
          </w:tcPr>
          <w:p w14:paraId="13332660" w14:textId="3696F291"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-6,9</w:t>
            </w:r>
          </w:p>
        </w:tc>
        <w:tc>
          <w:tcPr>
            <w:tcW w:w="376" w:type="pct"/>
            <w:shd w:val="clear" w:color="auto" w:fill="E5DFEC" w:themeFill="accent4" w:themeFillTint="33"/>
          </w:tcPr>
          <w:p w14:paraId="2C53F775" w14:textId="7315C849" w:rsidR="000E509C" w:rsidRPr="000E509C" w:rsidRDefault="000E509C" w:rsidP="000E509C">
            <w:pPr>
              <w:tabs>
                <w:tab w:val="decimal" w:pos="218"/>
              </w:tabs>
              <w:spacing w:before="40" w:after="40"/>
              <w:rPr>
                <w:rFonts w:ascii="Segoe UI Light" w:hAnsi="Segoe UI Light" w:cs="Segoe UI Light"/>
                <w:b/>
                <w:sz w:val="16"/>
                <w:szCs w:val="16"/>
              </w:rPr>
            </w:pPr>
            <w:r w:rsidRPr="000E509C">
              <w:rPr>
                <w:rFonts w:ascii="Segoe UI Light" w:hAnsi="Segoe UI Light" w:cs="Segoe UI Light"/>
                <w:b/>
                <w:bCs/>
                <w:sz w:val="16"/>
                <w:szCs w:val="16"/>
              </w:rPr>
              <w:t>5,8</w:t>
            </w:r>
          </w:p>
        </w:tc>
      </w:tr>
    </w:tbl>
    <w:p w14:paraId="0C92C3A9" w14:textId="182C52B2" w:rsidR="009A0130" w:rsidRPr="000E509C" w:rsidRDefault="009A0130" w:rsidP="000E509C">
      <w:pPr>
        <w:spacing w:before="120" w:after="120"/>
        <w:jc w:val="both"/>
        <w:rPr>
          <w:rFonts w:cs="Calibri Light"/>
          <w:sz w:val="16"/>
          <w:szCs w:val="14"/>
        </w:rPr>
      </w:pPr>
      <w:r w:rsidRPr="000E509C">
        <w:rPr>
          <w:rFonts w:cs="Calibri Light"/>
          <w:sz w:val="16"/>
          <w:szCs w:val="14"/>
        </w:rPr>
        <w:t>Avots: EM prognozes</w:t>
      </w:r>
    </w:p>
    <w:p w14:paraId="5D789720" w14:textId="77777777" w:rsidR="000E509C" w:rsidRDefault="000E509C" w:rsidP="00591BC7">
      <w:pPr>
        <w:spacing w:after="120"/>
        <w:jc w:val="both"/>
        <w:rPr>
          <w:highlight w:val="yellow"/>
        </w:rPr>
      </w:pPr>
    </w:p>
    <w:p w14:paraId="29F9C1EA" w14:textId="77777777" w:rsidR="000A4643" w:rsidRPr="003B4CDA" w:rsidRDefault="000A4643" w:rsidP="000A4643">
      <w:pPr>
        <w:spacing w:after="120"/>
        <w:jc w:val="both"/>
        <w:rPr>
          <w:szCs w:val="20"/>
        </w:rPr>
      </w:pPr>
      <w:r w:rsidRPr="00951E9C">
        <w:rPr>
          <w:szCs w:val="20"/>
        </w:rPr>
        <w:t>Visstraujākais darbaspēka pieprasījuma kritums būs zemas kvalifikācijas profesijās</w:t>
      </w:r>
      <w:r w:rsidRPr="002B7108">
        <w:rPr>
          <w:szCs w:val="20"/>
        </w:rPr>
        <w:t>. Tas skars visas nozares. Ņemot vērā demogrāfijas tendences, atbilstošās kvalifikācijas darbaspēka piedāvājums nākotnē varētu būtiski sarukt, līdz ar to profesionālās vidējās izglītības loma aizvien pieaugs.</w:t>
      </w:r>
    </w:p>
    <w:p w14:paraId="08EC58F6" w14:textId="57F9BC62" w:rsidR="00622E14" w:rsidRPr="001737F4" w:rsidRDefault="00622E14" w:rsidP="001737F4">
      <w:pPr>
        <w:spacing w:after="120"/>
        <w:jc w:val="right"/>
        <w:rPr>
          <w:szCs w:val="20"/>
        </w:rPr>
      </w:pPr>
      <w:r w:rsidRPr="001737F4">
        <w:rPr>
          <w:szCs w:val="20"/>
        </w:rPr>
        <w:t>3.</w:t>
      </w:r>
      <w:r w:rsidR="001179C2" w:rsidRPr="001737F4">
        <w:rPr>
          <w:szCs w:val="20"/>
        </w:rPr>
        <w:t>10</w:t>
      </w:r>
      <w:r w:rsidRPr="001737F4">
        <w:rPr>
          <w:szCs w:val="20"/>
        </w:rPr>
        <w:t>. attēls</w:t>
      </w:r>
    </w:p>
    <w:p w14:paraId="6E1D877E" w14:textId="3E2AF6D1" w:rsidR="00622E14" w:rsidRPr="001737F4" w:rsidRDefault="00622E14" w:rsidP="00343F74">
      <w:pPr>
        <w:spacing w:after="120"/>
        <w:jc w:val="center"/>
        <w:rPr>
          <w:rFonts w:ascii="Segoe UI Light" w:hAnsi="Segoe UI Light"/>
          <w:i/>
          <w:sz w:val="16"/>
          <w:szCs w:val="26"/>
        </w:rPr>
      </w:pPr>
      <w:r w:rsidRPr="001737F4">
        <w:rPr>
          <w:rFonts w:ascii="Segoe UI Light" w:hAnsi="Segoe UI Light"/>
          <w:b/>
          <w:sz w:val="18"/>
          <w:szCs w:val="26"/>
        </w:rPr>
        <w:t xml:space="preserve">Paplašinošā un aizvietojošā darbaspēka pieprasījuma izmaiņas </w:t>
      </w:r>
      <w:r w:rsidR="00B95E94">
        <w:rPr>
          <w:rFonts w:ascii="Segoe UI Light" w:hAnsi="Segoe UI Light"/>
          <w:b/>
          <w:sz w:val="18"/>
          <w:szCs w:val="26"/>
        </w:rPr>
        <w:t>no 2024.-</w:t>
      </w:r>
      <w:r w:rsidRPr="001737F4">
        <w:rPr>
          <w:rFonts w:ascii="Segoe UI Light" w:hAnsi="Segoe UI Light"/>
          <w:b/>
          <w:sz w:val="18"/>
          <w:szCs w:val="26"/>
        </w:rPr>
        <w:t>2030.</w:t>
      </w:r>
      <w:r w:rsidR="0080669C" w:rsidRPr="001737F4">
        <w:rPr>
          <w:rFonts w:ascii="Segoe UI Light" w:hAnsi="Segoe UI Light"/>
          <w:b/>
          <w:sz w:val="18"/>
          <w:szCs w:val="26"/>
        </w:rPr>
        <w:t>gad</w:t>
      </w:r>
      <w:r w:rsidRPr="001737F4">
        <w:rPr>
          <w:rFonts w:ascii="Segoe UI Light" w:hAnsi="Segoe UI Light"/>
          <w:b/>
          <w:sz w:val="18"/>
          <w:szCs w:val="26"/>
        </w:rPr>
        <w:t>am</w:t>
      </w:r>
      <w:r w:rsidRPr="001737F4">
        <w:rPr>
          <w:rFonts w:ascii="Segoe UI Light" w:hAnsi="Segoe UI Light"/>
          <w:b/>
          <w:sz w:val="18"/>
          <w:szCs w:val="26"/>
        </w:rPr>
        <w:br/>
      </w:r>
      <w:r w:rsidR="00591BC7" w:rsidRPr="001737F4">
        <w:rPr>
          <w:rFonts w:ascii="Segoe UI Light" w:hAnsi="Segoe UI Light"/>
          <w:i/>
          <w:sz w:val="16"/>
          <w:szCs w:val="26"/>
        </w:rPr>
        <w:t>darbavietu</w:t>
      </w:r>
      <w:r w:rsidR="00172594" w:rsidRPr="001737F4">
        <w:rPr>
          <w:rFonts w:ascii="Segoe UI Light" w:hAnsi="Segoe UI Light"/>
          <w:i/>
          <w:sz w:val="16"/>
          <w:szCs w:val="26"/>
        </w:rPr>
        <w:t xml:space="preserve"> samazinājums/atvēršanās, tūkstošos</w:t>
      </w:r>
    </w:p>
    <w:p w14:paraId="7568E50F" w14:textId="1945E5B5" w:rsidR="009A0130" w:rsidRPr="001737F4" w:rsidRDefault="001737F4" w:rsidP="009A0130">
      <w:pPr>
        <w:spacing w:after="120"/>
        <w:jc w:val="both"/>
        <w:rPr>
          <w:color w:val="000000"/>
          <w:szCs w:val="20"/>
        </w:rPr>
      </w:pPr>
      <w:r w:rsidRPr="00D249AE">
        <w:rPr>
          <w:noProof/>
        </w:rPr>
        <w:drawing>
          <wp:inline distT="0" distB="0" distL="0" distR="0" wp14:anchorId="298A15FD" wp14:editId="4F1190D6">
            <wp:extent cx="5760085" cy="2880000"/>
            <wp:effectExtent l="0" t="0" r="0" b="0"/>
            <wp:docPr id="26" name="Chart 26">
              <a:extLst xmlns:a="http://schemas.openxmlformats.org/drawingml/2006/main">
                <a:ext uri="{FF2B5EF4-FFF2-40B4-BE49-F238E27FC236}">
                  <a16:creationId xmlns:a16="http://schemas.microsoft.com/office/drawing/2014/main" id="{C8550E6F-0660-4D98-9FCA-88C004405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46ED193F" w14:textId="77777777" w:rsidR="00172594" w:rsidRPr="001737F4" w:rsidRDefault="00172594" w:rsidP="001737F4">
      <w:pPr>
        <w:spacing w:after="120"/>
        <w:jc w:val="both"/>
        <w:rPr>
          <w:rFonts w:cs="Calibri Light"/>
          <w:sz w:val="16"/>
          <w:szCs w:val="14"/>
        </w:rPr>
      </w:pPr>
      <w:r w:rsidRPr="001737F4">
        <w:rPr>
          <w:rFonts w:cs="Calibri Light"/>
          <w:sz w:val="16"/>
          <w:szCs w:val="14"/>
        </w:rPr>
        <w:t>Avots: EM prognozes</w:t>
      </w:r>
    </w:p>
    <w:p w14:paraId="3C27E76B" w14:textId="77777777" w:rsidR="001737F4" w:rsidRDefault="001737F4" w:rsidP="00343F74">
      <w:pPr>
        <w:spacing w:after="120"/>
        <w:jc w:val="both"/>
        <w:rPr>
          <w:highlight w:val="yellow"/>
        </w:rPr>
      </w:pPr>
    </w:p>
    <w:p w14:paraId="7F6FFAB0" w14:textId="77777777" w:rsidR="00B566DE" w:rsidRDefault="00B566DE" w:rsidP="00B566DE">
      <w:pPr>
        <w:spacing w:after="120"/>
        <w:jc w:val="both"/>
      </w:pPr>
      <w:r w:rsidRPr="00357D0A">
        <w:t xml:space="preserve">Nākamajos gados darba iespējas galvenokārt veidosies dēļ aizvietojošā pieprasījuma, esošajam darbaspēkam pensionējoties vai atstājot darba tirgu. Demogrāfijas tendences un pensionēšanās vecums ir galvenie faktori, kas ietekmē darba tirgu pametušo iedzīvotāju skaita izmaiņas un aizvietojošā darbaspēka pieprasījuma pieaugumu. </w:t>
      </w:r>
      <w:r w:rsidRPr="00E9008C">
        <w:lastRenderedPageBreak/>
        <w:t>Sagaidāms, ka līdz 2040.gadam dēļ darbaspēka novecošanās un iziešanas no darba tirgus var atbrīvoties aptuveni 27</w:t>
      </w:r>
      <w:r>
        <w:t>8</w:t>
      </w:r>
      <w:r w:rsidRPr="00E9008C">
        <w:t xml:space="preserve"> tūkst. darbavietu, no kurām 118 tūkst. vakanču veidosies augstākās kvalifikācijas profesijās, 123 tūkst. vidējās kvalifikācijas profesijās, bet 37 tūkst. vienkāršajās profesijās.</w:t>
      </w:r>
      <w:r>
        <w:t xml:space="preserve"> </w:t>
      </w:r>
    </w:p>
    <w:p w14:paraId="1164EEE4" w14:textId="7E5D3457" w:rsidR="001737F4" w:rsidRDefault="001737F4" w:rsidP="00343F74">
      <w:pPr>
        <w:spacing w:after="120"/>
        <w:jc w:val="both"/>
      </w:pPr>
      <w:r w:rsidRPr="00E9008C">
        <w:t xml:space="preserve">Būtiskākais aizvietojošā darbaspēka pieprasījuma pieaugums augstākās kvalifikācijas profesijās sagaidāms vecāko speciālistu profesijās – gandrīz 1/3 no pašlaik nodarbinātajiem atbilstošajās profesijās līdz 2040. gadam varētu </w:t>
      </w:r>
      <w:r w:rsidRPr="0065785E">
        <w:t>ieziet no darba tirgus. Nozīmīgākais aizvietojoš</w:t>
      </w:r>
      <w:r w:rsidR="004109D8" w:rsidRPr="0065785E">
        <w:t>ais</w:t>
      </w:r>
      <w:r w:rsidRPr="0065785E">
        <w:t xml:space="preserve"> darbaspēka pieprasījum</w:t>
      </w:r>
      <w:r w:rsidR="004109D8" w:rsidRPr="0065785E">
        <w:t>s</w:t>
      </w:r>
      <w:r w:rsidR="008626C6" w:rsidRPr="0065785E">
        <w:t xml:space="preserve"> vecāko speciālistu profesijās </w:t>
      </w:r>
      <w:r w:rsidR="004109D8" w:rsidRPr="0065785E">
        <w:t xml:space="preserve"> </w:t>
      </w:r>
      <w:r w:rsidRPr="0065785E">
        <w:t xml:space="preserve">sagaidāms izglītības </w:t>
      </w:r>
      <w:r w:rsidR="008626C6" w:rsidRPr="0065785E">
        <w:t xml:space="preserve">un veselības aprūpes </w:t>
      </w:r>
      <w:r w:rsidRPr="0065785E">
        <w:t>jomas vecāko speciālistu profesiju apakšgrupā</w:t>
      </w:r>
      <w:r w:rsidR="008626C6" w:rsidRPr="0065785E">
        <w:t xml:space="preserve">s. </w:t>
      </w:r>
      <w:r w:rsidRPr="0065785E">
        <w:t xml:space="preserve">Vienlaikus vidējās kvalifikācijas profesijās visbūtiskākais aizvietojošā darbaspēka pieprasījuma pieaugums sagaidāms pašgājēju mašīnu </w:t>
      </w:r>
      <w:r w:rsidRPr="004F632F">
        <w:t xml:space="preserve">un iekārtu vadītāju un celšanas iekārtu un mašīnu operatoru profesijās, </w:t>
      </w:r>
      <w:r w:rsidR="00B869E2" w:rsidRPr="004F632F">
        <w:t>individuālās aprūpes darbinieku profesijās</w:t>
      </w:r>
      <w:r w:rsidR="00C97E73" w:rsidRPr="004F632F">
        <w:t xml:space="preserve">, </w:t>
      </w:r>
      <w:r w:rsidR="00DE43AB" w:rsidRPr="004F632F">
        <w:t>rūpniecisko iekārtu operatoru</w:t>
      </w:r>
      <w:r w:rsidR="001E6CE8" w:rsidRPr="004F632F">
        <w:t xml:space="preserve"> profesijās</w:t>
      </w:r>
      <w:r w:rsidR="00DE43AB" w:rsidRPr="004F632F">
        <w:t>,</w:t>
      </w:r>
      <w:r w:rsidR="001E6CE8" w:rsidRPr="004F632F">
        <w:t xml:space="preserve"> pārtikas produktu pārstrādes un kokapstrādes strādniek</w:t>
      </w:r>
      <w:r w:rsidR="00B91882" w:rsidRPr="004F632F">
        <w:t>u profesijās</w:t>
      </w:r>
      <w:r w:rsidR="004F632F" w:rsidRPr="004F632F">
        <w:t>, lauksaimniecības</w:t>
      </w:r>
      <w:r w:rsidRPr="004F632F">
        <w:t xml:space="preserve">, kā arī apsardzes pakalpojumu jomas darbinieku profesijās. </w:t>
      </w:r>
      <w:r w:rsidR="002912AE" w:rsidRPr="002912AE">
        <w:t>Kopumā aizvietojošais pieprasījums līdz 2040. gadam varētu veidot gandrīz 70% no kopējā vakanču skaita darba tirgū.</w:t>
      </w:r>
    </w:p>
    <w:p w14:paraId="267C3784" w14:textId="77777777" w:rsidR="001737F4" w:rsidRDefault="001737F4" w:rsidP="00343F74">
      <w:pPr>
        <w:spacing w:after="120"/>
        <w:jc w:val="both"/>
        <w:rPr>
          <w:color w:val="000000"/>
          <w:szCs w:val="20"/>
          <w:highlight w:val="yellow"/>
        </w:rPr>
      </w:pPr>
    </w:p>
    <w:p w14:paraId="6A94BC0A" w14:textId="77777777" w:rsidR="00DC7FF1" w:rsidRPr="00B73A48" w:rsidRDefault="00DC7FF1" w:rsidP="00343F74">
      <w:pPr>
        <w:spacing w:after="120"/>
        <w:jc w:val="both"/>
        <w:rPr>
          <w:color w:val="000000"/>
          <w:szCs w:val="20"/>
          <w:highlight w:val="yellow"/>
        </w:rPr>
      </w:pPr>
    </w:p>
    <w:p w14:paraId="2B883641" w14:textId="4A06C787" w:rsidR="003751AF" w:rsidRPr="00080A71" w:rsidRDefault="003751AF" w:rsidP="00080A71">
      <w:pPr>
        <w:pStyle w:val="Heading3"/>
      </w:pPr>
      <w:bookmarkStart w:id="69" w:name="_Toc183620106"/>
      <w:bookmarkStart w:id="70" w:name="_Hlk168932961"/>
      <w:r w:rsidRPr="00080A71">
        <w:t>3.3.2. Darbaspēka piedāvājuma prognozes</w:t>
      </w:r>
      <w:bookmarkEnd w:id="69"/>
    </w:p>
    <w:bookmarkEnd w:id="70"/>
    <w:p w14:paraId="413283AF" w14:textId="4B56A025" w:rsidR="00267AA4" w:rsidRDefault="00267AA4" w:rsidP="00267AA4">
      <w:pPr>
        <w:spacing w:after="120"/>
        <w:jc w:val="both"/>
        <w:rPr>
          <w:color w:val="000000"/>
        </w:rPr>
      </w:pPr>
      <w:r w:rsidRPr="00F73E81">
        <w:t xml:space="preserve">Balstoties uz tautsaimniecības izaugsmes un demogrāfijas scenārijiem, EM ir izstrādājusi darbaspēka piedāvājuma (ekonomiski aktīvo iedzīvotāju) prognozes līdz 2040.gadam. </w:t>
      </w:r>
      <w:r>
        <w:t xml:space="preserve">Gan vidējā, gan ilgtermiņā kopējo darbaspēka piedāvājumu Latvijas darba tirgū turpinās ietekmēt demogrāfijas procesi – </w:t>
      </w:r>
      <w:r w:rsidRPr="00CE2F79">
        <w:t>gan darbaspējas vecum</w:t>
      </w:r>
      <w:r>
        <w:t xml:space="preserve">a </w:t>
      </w:r>
      <w:r w:rsidRPr="00CE2F79">
        <w:t xml:space="preserve">iedzīvotāju skaita </w:t>
      </w:r>
      <w:r>
        <w:t>sarukums</w:t>
      </w:r>
      <w:r w:rsidRPr="00CE2F79">
        <w:t>, gan izmaiņas iedzīvotāju vecumstruktūrā.</w:t>
      </w:r>
      <w:r>
        <w:t xml:space="preserve"> Vienlaikus demogrāfijas tendenču negatīvo ietekmi uz darbaspēka piedāvājumu visā prognožu periodā turpinās kompensēt iedzīvotāju līdzdalības (ekonomiskās aktivitātes) pieaugums.</w:t>
      </w:r>
      <w:r w:rsidRPr="00652129">
        <w:rPr>
          <w:color w:val="000000"/>
        </w:rPr>
        <w:t xml:space="preserve"> </w:t>
      </w:r>
    </w:p>
    <w:p w14:paraId="49F2AE62" w14:textId="554A837B" w:rsidR="00267AA4" w:rsidRDefault="00267AA4" w:rsidP="00267AA4">
      <w:pPr>
        <w:spacing w:after="120"/>
        <w:jc w:val="both"/>
        <w:rPr>
          <w:color w:val="000000"/>
        </w:rPr>
      </w:pPr>
      <w:r>
        <w:rPr>
          <w:color w:val="000000"/>
        </w:rPr>
        <w:t>Līdz 2030.gadam</w:t>
      </w:r>
      <w:r w:rsidRPr="00F73E81">
        <w:rPr>
          <w:color w:val="000000"/>
        </w:rPr>
        <w:t xml:space="preserve"> </w:t>
      </w:r>
      <w:r>
        <w:rPr>
          <w:color w:val="000000"/>
        </w:rPr>
        <w:t xml:space="preserve">kopumā </w:t>
      </w:r>
      <w:r w:rsidRPr="00F73E81">
        <w:rPr>
          <w:color w:val="000000"/>
        </w:rPr>
        <w:t>darbaspēka piedāvājums saglabāsies stabils ar nelielu pieauguma tendenci. To galvenokārt noteiks iedzīvotāju ekonomiskās aktivitātes pieaugums un migrācijas negatīvās ietekmes mazināšanās uz darbaspējīgo iedzīvotāju skaitu. Ekonomiskā izaugsme, kā arī pieaugošā darbaspēka nepietiekamība sekmēs iedzīvotāju līdzdalības palielināšanos darba tirgū. Darbaspēka pieprasījuma pieaugums vidējā termiņā, ierobežotu darba resursu pieejamības apstākļos, pavērs plašākas darba iespējas virknei neaktīvo iedzīvotāju grupu (mājsaimniecēm, studentiem, pensijas vecuma iedzīvotājiem u.c.). Tāpat būtiska loma iedzīvotāju līdzdalības veicināšanā būs atalgojuma pieaugumam.</w:t>
      </w:r>
    </w:p>
    <w:p w14:paraId="6F576AE7" w14:textId="77777777" w:rsidR="00343F74" w:rsidRDefault="00343F74" w:rsidP="00343F74">
      <w:pPr>
        <w:spacing w:after="120"/>
        <w:jc w:val="both"/>
      </w:pPr>
      <w:r w:rsidRPr="00F73E81">
        <w:rPr>
          <w:color w:val="000000"/>
        </w:rPr>
        <w:t xml:space="preserve">Vienlaikus </w:t>
      </w:r>
      <w:r>
        <w:rPr>
          <w:color w:val="000000"/>
        </w:rPr>
        <w:t>ilgtermiņā (</w:t>
      </w:r>
      <w:r w:rsidRPr="00F73E81">
        <w:rPr>
          <w:color w:val="000000"/>
        </w:rPr>
        <w:t>periodā pēc 2030. gada</w:t>
      </w:r>
      <w:r>
        <w:rPr>
          <w:color w:val="000000"/>
        </w:rPr>
        <w:t>)</w:t>
      </w:r>
      <w:r w:rsidRPr="00F73E81">
        <w:rPr>
          <w:color w:val="000000"/>
        </w:rPr>
        <w:t xml:space="preserve"> iedzīvotāju ekonomiskās aktivitātes pieauguma kompensējošā ietekme uz darbaspēka piedāvājumu varētu pamazām izsīkt un demogrāfijas procesi ņems virsroku, tādejādi no 2030. līdz 2040. gadam kopumā sagaidāma darbaspēka piedāvājuma krītoša tendence.</w:t>
      </w:r>
      <w:r>
        <w:rPr>
          <w:color w:val="000000"/>
        </w:rPr>
        <w:t xml:space="preserve"> Jāņem</w:t>
      </w:r>
      <w:r w:rsidRPr="00F73E81">
        <w:rPr>
          <w:color w:val="000000"/>
        </w:rPr>
        <w:t xml:space="preserve"> vērā, ka iedzīvotāju ekonomiskā aktivitāte ir tuvu savam potenciālam, </w:t>
      </w:r>
      <w:r>
        <w:rPr>
          <w:color w:val="000000"/>
        </w:rPr>
        <w:t xml:space="preserve">līdz ar to ilgtermiņā </w:t>
      </w:r>
      <w:r w:rsidRPr="00F73E81">
        <w:rPr>
          <w:color w:val="000000"/>
        </w:rPr>
        <w:t xml:space="preserve">iedzīvotāju līdzdalības pieaugums darba tirgū </w:t>
      </w:r>
      <w:r>
        <w:rPr>
          <w:color w:val="000000"/>
        </w:rPr>
        <w:t>būs</w:t>
      </w:r>
      <w:r w:rsidRPr="00F73E81">
        <w:rPr>
          <w:color w:val="000000"/>
        </w:rPr>
        <w:t xml:space="preserve"> ierobežots</w:t>
      </w:r>
      <w:r>
        <w:rPr>
          <w:color w:val="000000"/>
        </w:rPr>
        <w:t xml:space="preserve"> un jaunas darbaspēka rezerves galvenokārt nodrošinās ārējā darbaspēka piesaiste.</w:t>
      </w:r>
    </w:p>
    <w:p w14:paraId="6DE80092" w14:textId="41D0BC29" w:rsidR="00A408E7" w:rsidRPr="00267AA4" w:rsidRDefault="00A408E7" w:rsidP="00267AA4">
      <w:pPr>
        <w:spacing w:after="120"/>
        <w:jc w:val="right"/>
        <w:rPr>
          <w:szCs w:val="20"/>
        </w:rPr>
      </w:pPr>
      <w:r w:rsidRPr="00267AA4">
        <w:rPr>
          <w:szCs w:val="26"/>
        </w:rPr>
        <w:t>3.</w:t>
      </w:r>
      <w:r w:rsidR="0002608F" w:rsidRPr="00267AA4">
        <w:rPr>
          <w:szCs w:val="26"/>
        </w:rPr>
        <w:t>1</w:t>
      </w:r>
      <w:r w:rsidR="001179C2" w:rsidRPr="00267AA4">
        <w:rPr>
          <w:szCs w:val="26"/>
        </w:rPr>
        <w:t>1</w:t>
      </w:r>
      <w:r w:rsidRPr="00267AA4">
        <w:rPr>
          <w:szCs w:val="26"/>
        </w:rPr>
        <w:t>. attēls</w:t>
      </w:r>
    </w:p>
    <w:p w14:paraId="786AC60A" w14:textId="0DA0D3BB" w:rsidR="00A408E7" w:rsidRPr="00267AA4" w:rsidRDefault="00A408E7" w:rsidP="00A408E7">
      <w:pPr>
        <w:jc w:val="center"/>
        <w:rPr>
          <w:rFonts w:ascii="Segoe UI Light" w:hAnsi="Segoe UI Light"/>
          <w:b/>
          <w:color w:val="000000"/>
          <w:sz w:val="18"/>
          <w:szCs w:val="26"/>
        </w:rPr>
      </w:pPr>
      <w:r w:rsidRPr="00267AA4">
        <w:rPr>
          <w:rFonts w:ascii="Segoe UI Light" w:hAnsi="Segoe UI Light"/>
          <w:b/>
          <w:color w:val="000000"/>
          <w:sz w:val="18"/>
          <w:szCs w:val="26"/>
        </w:rPr>
        <w:t>Darbaspēka piedāvājums</w:t>
      </w:r>
      <w:r w:rsidRPr="00267AA4">
        <w:rPr>
          <w:rFonts w:ascii="Segoe UI Light" w:hAnsi="Segoe UI Light"/>
          <w:b/>
          <w:color w:val="000000"/>
          <w:sz w:val="18"/>
          <w:szCs w:val="26"/>
        </w:rPr>
        <w:br/>
      </w:r>
      <w:r w:rsidRPr="00267AA4">
        <w:rPr>
          <w:rFonts w:ascii="Segoe UI Light" w:hAnsi="Segoe UI Light"/>
          <w:i/>
          <w:color w:val="000000"/>
          <w:sz w:val="16"/>
          <w:szCs w:val="26"/>
        </w:rPr>
        <w:t>vecuma grupā 15-74</w:t>
      </w:r>
      <w:r w:rsidR="00E002CB">
        <w:rPr>
          <w:rFonts w:ascii="Segoe UI Light" w:hAnsi="Segoe UI Light"/>
          <w:i/>
          <w:color w:val="000000"/>
          <w:sz w:val="16"/>
          <w:szCs w:val="26"/>
        </w:rPr>
        <w:t xml:space="preserve"> </w:t>
      </w:r>
      <w:r w:rsidR="0080669C" w:rsidRPr="00267AA4">
        <w:rPr>
          <w:rFonts w:ascii="Segoe UI Light" w:hAnsi="Segoe UI Light"/>
          <w:i/>
          <w:color w:val="000000"/>
          <w:sz w:val="16"/>
          <w:szCs w:val="26"/>
        </w:rPr>
        <w:t>gad</w:t>
      </w:r>
      <w:r w:rsidRPr="00267AA4">
        <w:rPr>
          <w:rFonts w:ascii="Segoe UI Light" w:hAnsi="Segoe UI Light"/>
          <w:i/>
          <w:color w:val="000000"/>
          <w:sz w:val="16"/>
          <w:szCs w:val="26"/>
        </w:rPr>
        <w:t>i, tūkstošos</w:t>
      </w:r>
    </w:p>
    <w:p w14:paraId="3B385D4B" w14:textId="77777777" w:rsidR="00267AA4" w:rsidRPr="00F73E81" w:rsidRDefault="00267AA4" w:rsidP="00267AA4">
      <w:pPr>
        <w:spacing w:after="120"/>
        <w:jc w:val="center"/>
        <w:rPr>
          <w:rFonts w:ascii="Segoe UI Light" w:hAnsi="Segoe UI Light"/>
          <w:color w:val="000000"/>
          <w:szCs w:val="26"/>
        </w:rPr>
      </w:pPr>
      <w:bookmarkStart w:id="71" w:name="_MON_1400590196"/>
      <w:bookmarkStart w:id="72" w:name="_MON_1400590130"/>
      <w:bookmarkEnd w:id="71"/>
      <w:bookmarkEnd w:id="72"/>
      <w:r w:rsidRPr="00F73E81">
        <w:rPr>
          <w:rFonts w:ascii="Segoe UI Light" w:hAnsi="Segoe UI Light"/>
          <w:noProof/>
          <w:color w:val="000000"/>
          <w:szCs w:val="26"/>
          <w:lang w:eastAsia="lv-LV"/>
        </w:rPr>
        <w:drawing>
          <wp:inline distT="0" distB="0" distL="0" distR="0" wp14:anchorId="06C54AEA" wp14:editId="1DC084AA">
            <wp:extent cx="5760000" cy="2160000"/>
            <wp:effectExtent l="0" t="0" r="0" b="0"/>
            <wp:docPr id="174" name="Chart 1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7C5FEAF2" w14:textId="7DAE3310" w:rsidR="00267AA4" w:rsidRPr="00267AA4" w:rsidRDefault="00267AA4" w:rsidP="00267AA4">
      <w:pPr>
        <w:spacing w:after="120"/>
        <w:jc w:val="both"/>
        <w:rPr>
          <w:rFonts w:cs="Calibri Light"/>
          <w:sz w:val="16"/>
          <w:szCs w:val="14"/>
        </w:rPr>
      </w:pPr>
      <w:r w:rsidRPr="00267AA4">
        <w:rPr>
          <w:rFonts w:cs="Calibri Light"/>
          <w:sz w:val="16"/>
          <w:szCs w:val="14"/>
        </w:rPr>
        <w:t>Avots: CSP dati līdz 2023.gadam, EM prognozes sākot ar 2024. gadu</w:t>
      </w:r>
    </w:p>
    <w:p w14:paraId="0870EF14" w14:textId="77777777" w:rsidR="00B018CB" w:rsidRDefault="00B018CB">
      <w:pPr>
        <w:spacing w:after="0"/>
      </w:pPr>
      <w:r>
        <w:br w:type="page"/>
      </w:r>
    </w:p>
    <w:p w14:paraId="59E4CE80" w14:textId="6A2E2C93" w:rsidR="00267AA4" w:rsidRDefault="00267AA4" w:rsidP="00267AA4">
      <w:pPr>
        <w:spacing w:after="120"/>
        <w:jc w:val="both"/>
      </w:pPr>
      <w:r>
        <w:lastRenderedPageBreak/>
        <w:t xml:space="preserve">Ņemot vērā iedzīvotāju līdzdalības līmeņa pieaugumu darba tirgū, sagaidāms, ka periodā </w:t>
      </w:r>
      <w:r w:rsidRPr="000972E7">
        <w:rPr>
          <w:b/>
          <w:bCs/>
        </w:rPr>
        <w:t>līdz 2030. gadam darbaspēka piedāvājums kopumā varētu palielināties par 14,5 tūkst. (1,5%), salīdzinot ar 2023. gadu.</w:t>
      </w:r>
      <w:r>
        <w:t xml:space="preserve"> Savukārt pēc 2030. gada darbaspēka piedāvājumu arvien vairāk ietekmēs demogrāfiskie procesi un tas varētu atkal sarukt. Kopumā ekonomiski aktīvo iedzīvotāju skaits</w:t>
      </w:r>
      <w:r w:rsidRPr="008A7DD1">
        <w:t xml:space="preserve"> līdz 2040. gadam varētu samazināties par aptuveni </w:t>
      </w:r>
      <w:r>
        <w:t xml:space="preserve">9 </w:t>
      </w:r>
      <w:r w:rsidRPr="008A7DD1">
        <w:t xml:space="preserve"> tūkst. jeb </w:t>
      </w:r>
      <w:r>
        <w:t>1</w:t>
      </w:r>
      <w:r w:rsidRPr="008A7DD1">
        <w:t>%, salīdzinot ar 202</w:t>
      </w:r>
      <w:r>
        <w:t>3</w:t>
      </w:r>
      <w:r w:rsidRPr="008A7DD1">
        <w:t>. gadu.</w:t>
      </w:r>
    </w:p>
    <w:p w14:paraId="06277492" w14:textId="19E856EF" w:rsidR="00A408E7" w:rsidRPr="00267AA4" w:rsidRDefault="00A408E7" w:rsidP="00343F74">
      <w:pPr>
        <w:spacing w:after="120"/>
        <w:jc w:val="right"/>
        <w:rPr>
          <w:szCs w:val="26"/>
        </w:rPr>
      </w:pPr>
      <w:r w:rsidRPr="00267AA4">
        <w:rPr>
          <w:szCs w:val="26"/>
        </w:rPr>
        <w:t>3.9. tabula</w:t>
      </w:r>
    </w:p>
    <w:p w14:paraId="32AFC69A" w14:textId="77777777" w:rsidR="00A408E7" w:rsidRPr="00267AA4" w:rsidRDefault="00A408E7" w:rsidP="00590200">
      <w:pPr>
        <w:spacing w:after="120"/>
        <w:jc w:val="center"/>
        <w:rPr>
          <w:rFonts w:ascii="Segoe UI Light" w:hAnsi="Segoe UI Light"/>
          <w:b/>
          <w:i/>
          <w:color w:val="000000"/>
          <w:sz w:val="18"/>
          <w:szCs w:val="26"/>
        </w:rPr>
      </w:pPr>
      <w:r w:rsidRPr="00267AA4">
        <w:rPr>
          <w:rFonts w:ascii="Segoe UI Light" w:hAnsi="Segoe UI Light"/>
          <w:b/>
          <w:color w:val="000000"/>
          <w:sz w:val="18"/>
          <w:szCs w:val="26"/>
        </w:rPr>
        <w:t>Iedzīvotāju līdzdalība darba tirgū</w:t>
      </w:r>
      <w:r w:rsidRPr="00267AA4">
        <w:rPr>
          <w:rFonts w:ascii="Segoe UI Light" w:hAnsi="Segoe UI Light"/>
          <w:b/>
          <w:color w:val="000000"/>
          <w:sz w:val="18"/>
          <w:szCs w:val="26"/>
        </w:rPr>
        <w:br/>
      </w:r>
      <w:r w:rsidRPr="00267AA4">
        <w:rPr>
          <w:rFonts w:ascii="Segoe UI Light" w:hAnsi="Segoe UI Light"/>
          <w:i/>
          <w:color w:val="000000"/>
          <w:sz w:val="16"/>
          <w:szCs w:val="26"/>
        </w:rPr>
        <w:t>procenti no iedzīvotāju kopskaita atbilstošajā vecuma grupā</w:t>
      </w:r>
    </w:p>
    <w:tbl>
      <w:tblPr>
        <w:tblStyle w:val="GridTable5Dark-Accent31"/>
        <w:tblW w:w="305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20" w:firstRow="1" w:lastRow="0" w:firstColumn="0" w:lastColumn="0" w:noHBand="0" w:noVBand="1"/>
      </w:tblPr>
      <w:tblGrid>
        <w:gridCol w:w="2214"/>
        <w:gridCol w:w="1110"/>
        <w:gridCol w:w="1110"/>
        <w:gridCol w:w="1097"/>
      </w:tblGrid>
      <w:tr w:rsidR="0078478C" w:rsidRPr="00267AA4" w14:paraId="6E5BD99E" w14:textId="77777777" w:rsidTr="00267AA4">
        <w:trPr>
          <w:cnfStyle w:val="100000000000" w:firstRow="1" w:lastRow="0" w:firstColumn="0" w:lastColumn="0" w:oddVBand="0" w:evenVBand="0" w:oddHBand="0" w:evenHBand="0" w:firstRowFirstColumn="0" w:firstRowLastColumn="0" w:lastRowFirstColumn="0" w:lastRowLastColumn="0"/>
          <w:trHeight w:val="20"/>
          <w:jc w:val="center"/>
        </w:trPr>
        <w:tc>
          <w:tcPr>
            <w:tcW w:w="2001" w:type="pct"/>
            <w:shd w:val="clear" w:color="auto" w:fill="5F497A" w:themeFill="accent4" w:themeFillShade="BF"/>
            <w:noWrap/>
          </w:tcPr>
          <w:p w14:paraId="1C62D950" w14:textId="77777777" w:rsidR="00267AA4" w:rsidRPr="00267AA4" w:rsidRDefault="00267AA4" w:rsidP="00267AA4">
            <w:pPr>
              <w:spacing w:before="40" w:after="40"/>
              <w:jc w:val="both"/>
              <w:rPr>
                <w:rFonts w:ascii="Segoe UI Light" w:eastAsia="Arial Unicode MS" w:hAnsi="Segoe UI Light"/>
                <w:b w:val="0"/>
                <w:sz w:val="16"/>
                <w:szCs w:val="16"/>
              </w:rPr>
            </w:pPr>
          </w:p>
        </w:tc>
        <w:tc>
          <w:tcPr>
            <w:tcW w:w="1003" w:type="pct"/>
            <w:shd w:val="clear" w:color="auto" w:fill="5F497A" w:themeFill="accent4" w:themeFillShade="BF"/>
            <w:hideMark/>
          </w:tcPr>
          <w:p w14:paraId="1737A3F6" w14:textId="2A1F07C7" w:rsidR="00267AA4" w:rsidRPr="00267AA4" w:rsidRDefault="00267AA4" w:rsidP="00267AA4">
            <w:pPr>
              <w:spacing w:before="40" w:after="40"/>
              <w:jc w:val="center"/>
              <w:rPr>
                <w:rFonts w:ascii="Segoe UI Light" w:hAnsi="Segoe UI Light"/>
                <w:sz w:val="16"/>
                <w:szCs w:val="16"/>
              </w:rPr>
            </w:pPr>
            <w:r w:rsidRPr="00F73E81">
              <w:rPr>
                <w:rFonts w:ascii="Segoe UI Light" w:hAnsi="Segoe UI Light"/>
                <w:sz w:val="16"/>
                <w:szCs w:val="16"/>
              </w:rPr>
              <w:t>202</w:t>
            </w:r>
            <w:r>
              <w:rPr>
                <w:rFonts w:ascii="Segoe UI Light" w:hAnsi="Segoe UI Light"/>
                <w:sz w:val="16"/>
                <w:szCs w:val="16"/>
              </w:rPr>
              <w:t>3</w:t>
            </w:r>
          </w:p>
        </w:tc>
        <w:tc>
          <w:tcPr>
            <w:tcW w:w="1003" w:type="pct"/>
            <w:shd w:val="clear" w:color="auto" w:fill="5F497A" w:themeFill="accent4" w:themeFillShade="BF"/>
            <w:hideMark/>
          </w:tcPr>
          <w:p w14:paraId="4C99DC4C" w14:textId="7DED7B35" w:rsidR="00267AA4" w:rsidRPr="00267AA4" w:rsidRDefault="00267AA4" w:rsidP="00267AA4">
            <w:pPr>
              <w:spacing w:before="40" w:after="40"/>
              <w:jc w:val="center"/>
              <w:rPr>
                <w:rFonts w:ascii="Segoe UI Light" w:hAnsi="Segoe UI Light"/>
                <w:sz w:val="16"/>
                <w:szCs w:val="16"/>
              </w:rPr>
            </w:pPr>
            <w:r w:rsidRPr="00F73E81">
              <w:rPr>
                <w:rFonts w:ascii="Segoe UI Light" w:hAnsi="Segoe UI Light"/>
                <w:sz w:val="16"/>
                <w:szCs w:val="16"/>
              </w:rPr>
              <w:t>2030</w:t>
            </w:r>
          </w:p>
        </w:tc>
        <w:tc>
          <w:tcPr>
            <w:tcW w:w="992" w:type="pct"/>
            <w:shd w:val="clear" w:color="auto" w:fill="5F497A" w:themeFill="accent4" w:themeFillShade="BF"/>
            <w:hideMark/>
          </w:tcPr>
          <w:p w14:paraId="45A537D6" w14:textId="05C19A75" w:rsidR="00267AA4" w:rsidRPr="00267AA4" w:rsidRDefault="00267AA4" w:rsidP="00267AA4">
            <w:pPr>
              <w:spacing w:before="40" w:after="40"/>
              <w:jc w:val="center"/>
              <w:rPr>
                <w:rFonts w:ascii="Segoe UI Light" w:hAnsi="Segoe UI Light"/>
                <w:sz w:val="16"/>
                <w:szCs w:val="16"/>
              </w:rPr>
            </w:pPr>
            <w:r w:rsidRPr="00F73E81">
              <w:rPr>
                <w:rFonts w:ascii="Segoe UI Light" w:hAnsi="Segoe UI Light"/>
                <w:sz w:val="16"/>
                <w:szCs w:val="16"/>
              </w:rPr>
              <w:t>2040</w:t>
            </w:r>
          </w:p>
        </w:tc>
      </w:tr>
      <w:tr w:rsidR="0078478C" w:rsidRPr="00267AA4" w14:paraId="2A3CF256" w14:textId="77777777" w:rsidTr="00267AA4">
        <w:trPr>
          <w:cnfStyle w:val="000000100000" w:firstRow="0" w:lastRow="0" w:firstColumn="0" w:lastColumn="0" w:oddVBand="0" w:evenVBand="0" w:oddHBand="1" w:evenHBand="0" w:firstRowFirstColumn="0" w:firstRowLastColumn="0" w:lastRowFirstColumn="0" w:lastRowLastColumn="0"/>
          <w:trHeight w:val="20"/>
          <w:jc w:val="center"/>
        </w:trPr>
        <w:tc>
          <w:tcPr>
            <w:tcW w:w="2001" w:type="pct"/>
            <w:shd w:val="clear" w:color="auto" w:fill="E5DFEC" w:themeFill="accent4" w:themeFillTint="33"/>
            <w:hideMark/>
          </w:tcPr>
          <w:p w14:paraId="54B86A2C" w14:textId="77777777" w:rsidR="00267AA4" w:rsidRPr="00267AA4" w:rsidRDefault="00267AA4" w:rsidP="00267AA4">
            <w:pPr>
              <w:spacing w:before="40" w:after="40"/>
              <w:rPr>
                <w:rFonts w:ascii="Segoe UI Light" w:hAnsi="Segoe UI Light"/>
                <w:b/>
                <w:sz w:val="16"/>
                <w:szCs w:val="16"/>
              </w:rPr>
            </w:pPr>
            <w:r w:rsidRPr="00267AA4">
              <w:rPr>
                <w:rFonts w:ascii="Segoe UI Light" w:hAnsi="Segoe UI Light"/>
                <w:b/>
                <w:bCs/>
                <w:sz w:val="16"/>
                <w:szCs w:val="16"/>
              </w:rPr>
              <w:t>Pavisam</w:t>
            </w:r>
          </w:p>
        </w:tc>
        <w:tc>
          <w:tcPr>
            <w:tcW w:w="1003" w:type="pct"/>
            <w:shd w:val="clear" w:color="auto" w:fill="E5DFEC" w:themeFill="accent4" w:themeFillTint="33"/>
            <w:hideMark/>
          </w:tcPr>
          <w:p w14:paraId="41CE09DA" w14:textId="614696A1" w:rsidR="00267AA4" w:rsidRPr="00267AA4" w:rsidRDefault="00267AA4" w:rsidP="00267AA4">
            <w:pPr>
              <w:spacing w:before="40" w:after="40"/>
              <w:jc w:val="center"/>
              <w:rPr>
                <w:rFonts w:ascii="Segoe UI Light" w:hAnsi="Segoe UI Light"/>
                <w:b/>
                <w:bCs/>
                <w:color w:val="000000"/>
                <w:sz w:val="16"/>
                <w:szCs w:val="16"/>
              </w:rPr>
            </w:pPr>
            <w:r w:rsidRPr="00797D6B">
              <w:rPr>
                <w:rFonts w:ascii="Segoe UI Light" w:hAnsi="Segoe UI Light"/>
                <w:b/>
                <w:bCs/>
                <w:color w:val="000000"/>
                <w:sz w:val="16"/>
                <w:szCs w:val="16"/>
              </w:rPr>
              <w:t>68</w:t>
            </w:r>
            <w:r w:rsidR="00C71C5E">
              <w:rPr>
                <w:rFonts w:ascii="Segoe UI Light" w:hAnsi="Segoe UI Light"/>
                <w:b/>
                <w:bCs/>
                <w:color w:val="000000"/>
                <w:sz w:val="16"/>
                <w:szCs w:val="16"/>
              </w:rPr>
              <w:t>,</w:t>
            </w:r>
            <w:r w:rsidRPr="00797D6B">
              <w:rPr>
                <w:rFonts w:ascii="Segoe UI Light" w:hAnsi="Segoe UI Light"/>
                <w:b/>
                <w:bCs/>
                <w:color w:val="000000"/>
                <w:sz w:val="16"/>
                <w:szCs w:val="16"/>
              </w:rPr>
              <w:t>6</w:t>
            </w:r>
          </w:p>
        </w:tc>
        <w:tc>
          <w:tcPr>
            <w:tcW w:w="1003" w:type="pct"/>
            <w:shd w:val="clear" w:color="auto" w:fill="E5DFEC" w:themeFill="accent4" w:themeFillTint="33"/>
            <w:hideMark/>
          </w:tcPr>
          <w:p w14:paraId="185CD14E" w14:textId="6062CB6C" w:rsidR="00267AA4" w:rsidRPr="00267AA4" w:rsidRDefault="00267AA4" w:rsidP="00267AA4">
            <w:pPr>
              <w:spacing w:before="40" w:after="40"/>
              <w:jc w:val="center"/>
              <w:rPr>
                <w:rFonts w:ascii="Segoe UI Light" w:hAnsi="Segoe UI Light"/>
                <w:b/>
                <w:bCs/>
                <w:color w:val="000000"/>
                <w:sz w:val="16"/>
                <w:szCs w:val="16"/>
              </w:rPr>
            </w:pPr>
            <w:r w:rsidRPr="00797D6B">
              <w:rPr>
                <w:rFonts w:ascii="Segoe UI Light" w:hAnsi="Segoe UI Light"/>
                <w:b/>
                <w:bCs/>
                <w:color w:val="000000"/>
                <w:sz w:val="16"/>
                <w:szCs w:val="16"/>
              </w:rPr>
              <w:t>72</w:t>
            </w:r>
            <w:r w:rsidR="00C71C5E">
              <w:rPr>
                <w:rFonts w:ascii="Segoe UI Light" w:hAnsi="Segoe UI Light"/>
                <w:b/>
                <w:bCs/>
                <w:color w:val="000000"/>
                <w:sz w:val="16"/>
                <w:szCs w:val="16"/>
              </w:rPr>
              <w:t>,</w:t>
            </w:r>
            <w:r w:rsidRPr="00797D6B">
              <w:rPr>
                <w:rFonts w:ascii="Segoe UI Light" w:hAnsi="Segoe UI Light"/>
                <w:b/>
                <w:bCs/>
                <w:color w:val="000000"/>
                <w:sz w:val="16"/>
                <w:szCs w:val="16"/>
              </w:rPr>
              <w:t>5</w:t>
            </w:r>
          </w:p>
        </w:tc>
        <w:tc>
          <w:tcPr>
            <w:tcW w:w="992" w:type="pct"/>
            <w:shd w:val="clear" w:color="auto" w:fill="E5DFEC" w:themeFill="accent4" w:themeFillTint="33"/>
            <w:hideMark/>
          </w:tcPr>
          <w:p w14:paraId="3BD66066" w14:textId="5753C7B6" w:rsidR="00267AA4" w:rsidRPr="00267AA4" w:rsidRDefault="00267AA4" w:rsidP="00267AA4">
            <w:pPr>
              <w:spacing w:before="40" w:after="40"/>
              <w:jc w:val="center"/>
              <w:rPr>
                <w:rFonts w:ascii="Segoe UI Light" w:hAnsi="Segoe UI Light"/>
                <w:b/>
                <w:bCs/>
                <w:color w:val="000000"/>
                <w:sz w:val="16"/>
                <w:szCs w:val="16"/>
              </w:rPr>
            </w:pPr>
            <w:r w:rsidRPr="00797D6B">
              <w:rPr>
                <w:rFonts w:ascii="Segoe UI Light" w:hAnsi="Segoe UI Light"/>
                <w:b/>
                <w:bCs/>
                <w:color w:val="000000"/>
                <w:sz w:val="16"/>
                <w:szCs w:val="16"/>
              </w:rPr>
              <w:t>74</w:t>
            </w:r>
            <w:r w:rsidR="00C71C5E">
              <w:rPr>
                <w:rFonts w:ascii="Segoe UI Light" w:hAnsi="Segoe UI Light"/>
                <w:b/>
                <w:bCs/>
                <w:color w:val="000000"/>
                <w:sz w:val="16"/>
                <w:szCs w:val="16"/>
              </w:rPr>
              <w:t>,</w:t>
            </w:r>
            <w:r w:rsidRPr="00797D6B">
              <w:rPr>
                <w:rFonts w:ascii="Segoe UI Light" w:hAnsi="Segoe UI Light"/>
                <w:b/>
                <w:bCs/>
                <w:color w:val="000000"/>
                <w:sz w:val="16"/>
                <w:szCs w:val="16"/>
              </w:rPr>
              <w:t>3</w:t>
            </w:r>
          </w:p>
        </w:tc>
      </w:tr>
      <w:tr w:rsidR="0078478C" w:rsidRPr="00267AA4" w14:paraId="6258EC8E" w14:textId="77777777" w:rsidTr="00267AA4">
        <w:trPr>
          <w:trHeight w:val="20"/>
          <w:jc w:val="center"/>
        </w:trPr>
        <w:tc>
          <w:tcPr>
            <w:tcW w:w="2001" w:type="pct"/>
            <w:shd w:val="clear" w:color="auto" w:fill="CCC0D9" w:themeFill="accent4" w:themeFillTint="66"/>
            <w:hideMark/>
          </w:tcPr>
          <w:p w14:paraId="7F299971" w14:textId="77777777" w:rsidR="00267AA4" w:rsidRPr="00267AA4" w:rsidRDefault="00267AA4" w:rsidP="00267AA4">
            <w:pPr>
              <w:spacing w:before="40" w:after="40"/>
              <w:rPr>
                <w:rFonts w:ascii="Segoe UI Light" w:hAnsi="Segoe UI Light"/>
                <w:color w:val="000000"/>
                <w:sz w:val="16"/>
                <w:szCs w:val="16"/>
              </w:rPr>
            </w:pPr>
            <w:r w:rsidRPr="00267AA4">
              <w:rPr>
                <w:rFonts w:ascii="Segoe UI Light" w:hAnsi="Segoe UI Light"/>
                <w:color w:val="000000"/>
                <w:sz w:val="16"/>
                <w:szCs w:val="16"/>
              </w:rPr>
              <w:t>15-24</w:t>
            </w:r>
          </w:p>
        </w:tc>
        <w:tc>
          <w:tcPr>
            <w:tcW w:w="1003" w:type="pct"/>
            <w:shd w:val="clear" w:color="auto" w:fill="CCC0D9" w:themeFill="accent4" w:themeFillTint="66"/>
            <w:hideMark/>
          </w:tcPr>
          <w:p w14:paraId="79F079D6" w14:textId="50DD4D01"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34</w:t>
            </w:r>
            <w:r w:rsidR="00C71C5E">
              <w:rPr>
                <w:rFonts w:ascii="Segoe UI Light" w:hAnsi="Segoe UI Light"/>
                <w:color w:val="000000"/>
                <w:sz w:val="16"/>
                <w:szCs w:val="16"/>
              </w:rPr>
              <w:t>,</w:t>
            </w:r>
            <w:r w:rsidRPr="00797D6B">
              <w:rPr>
                <w:rFonts w:ascii="Segoe UI Light" w:hAnsi="Segoe UI Light"/>
                <w:color w:val="000000"/>
                <w:sz w:val="16"/>
                <w:szCs w:val="16"/>
              </w:rPr>
              <w:t>9</w:t>
            </w:r>
          </w:p>
        </w:tc>
        <w:tc>
          <w:tcPr>
            <w:tcW w:w="1003" w:type="pct"/>
            <w:shd w:val="clear" w:color="auto" w:fill="CCC0D9" w:themeFill="accent4" w:themeFillTint="66"/>
            <w:hideMark/>
          </w:tcPr>
          <w:p w14:paraId="197EF544" w14:textId="2EF516BD"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43</w:t>
            </w:r>
            <w:r w:rsidR="00C71C5E">
              <w:rPr>
                <w:rFonts w:ascii="Segoe UI Light" w:hAnsi="Segoe UI Light"/>
                <w:color w:val="000000"/>
                <w:sz w:val="16"/>
                <w:szCs w:val="16"/>
              </w:rPr>
              <w:t>,</w:t>
            </w:r>
            <w:r w:rsidRPr="00797D6B">
              <w:rPr>
                <w:rFonts w:ascii="Segoe UI Light" w:hAnsi="Segoe UI Light"/>
                <w:color w:val="000000"/>
                <w:sz w:val="16"/>
                <w:szCs w:val="16"/>
              </w:rPr>
              <w:t>0</w:t>
            </w:r>
          </w:p>
        </w:tc>
        <w:tc>
          <w:tcPr>
            <w:tcW w:w="992" w:type="pct"/>
            <w:shd w:val="clear" w:color="auto" w:fill="CCC0D9" w:themeFill="accent4" w:themeFillTint="66"/>
            <w:hideMark/>
          </w:tcPr>
          <w:p w14:paraId="3693E22F" w14:textId="4B2D3181"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48</w:t>
            </w:r>
            <w:r w:rsidR="00C71C5E">
              <w:rPr>
                <w:rFonts w:ascii="Segoe UI Light" w:hAnsi="Segoe UI Light"/>
                <w:color w:val="000000"/>
                <w:sz w:val="16"/>
                <w:szCs w:val="16"/>
              </w:rPr>
              <w:t>,</w:t>
            </w:r>
            <w:r w:rsidRPr="00797D6B">
              <w:rPr>
                <w:rFonts w:ascii="Segoe UI Light" w:hAnsi="Segoe UI Light"/>
                <w:color w:val="000000"/>
                <w:sz w:val="16"/>
                <w:szCs w:val="16"/>
              </w:rPr>
              <w:t>6</w:t>
            </w:r>
          </w:p>
        </w:tc>
      </w:tr>
      <w:tr w:rsidR="0078478C" w:rsidRPr="00267AA4" w14:paraId="2824A36F" w14:textId="77777777" w:rsidTr="00267AA4">
        <w:trPr>
          <w:cnfStyle w:val="000000100000" w:firstRow="0" w:lastRow="0" w:firstColumn="0" w:lastColumn="0" w:oddVBand="0" w:evenVBand="0" w:oddHBand="1" w:evenHBand="0" w:firstRowFirstColumn="0" w:firstRowLastColumn="0" w:lastRowFirstColumn="0" w:lastRowLastColumn="0"/>
          <w:trHeight w:val="20"/>
          <w:jc w:val="center"/>
        </w:trPr>
        <w:tc>
          <w:tcPr>
            <w:tcW w:w="2001" w:type="pct"/>
            <w:shd w:val="clear" w:color="auto" w:fill="E5DFEC" w:themeFill="accent4" w:themeFillTint="33"/>
            <w:hideMark/>
          </w:tcPr>
          <w:p w14:paraId="0877E85E" w14:textId="77777777" w:rsidR="00267AA4" w:rsidRPr="00267AA4" w:rsidRDefault="00267AA4" w:rsidP="00267AA4">
            <w:pPr>
              <w:spacing w:before="40" w:after="40"/>
              <w:rPr>
                <w:rFonts w:ascii="Segoe UI Light" w:hAnsi="Segoe UI Light"/>
                <w:color w:val="000000"/>
                <w:sz w:val="16"/>
                <w:szCs w:val="16"/>
              </w:rPr>
            </w:pPr>
            <w:r w:rsidRPr="00267AA4">
              <w:rPr>
                <w:rFonts w:ascii="Segoe UI Light" w:hAnsi="Segoe UI Light"/>
                <w:color w:val="000000"/>
                <w:sz w:val="16"/>
                <w:szCs w:val="16"/>
              </w:rPr>
              <w:t>25-34</w:t>
            </w:r>
          </w:p>
        </w:tc>
        <w:tc>
          <w:tcPr>
            <w:tcW w:w="1003" w:type="pct"/>
            <w:shd w:val="clear" w:color="auto" w:fill="E5DFEC" w:themeFill="accent4" w:themeFillTint="33"/>
            <w:hideMark/>
          </w:tcPr>
          <w:p w14:paraId="7B1A1D62" w14:textId="311565E4"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86</w:t>
            </w:r>
            <w:r w:rsidR="00C71C5E">
              <w:rPr>
                <w:rFonts w:ascii="Segoe UI Light" w:hAnsi="Segoe UI Light"/>
                <w:color w:val="000000"/>
                <w:sz w:val="16"/>
                <w:szCs w:val="16"/>
              </w:rPr>
              <w:t>,</w:t>
            </w:r>
            <w:r w:rsidRPr="00797D6B">
              <w:rPr>
                <w:rFonts w:ascii="Segoe UI Light" w:hAnsi="Segoe UI Light"/>
                <w:color w:val="000000"/>
                <w:sz w:val="16"/>
                <w:szCs w:val="16"/>
              </w:rPr>
              <w:t>8</w:t>
            </w:r>
          </w:p>
        </w:tc>
        <w:tc>
          <w:tcPr>
            <w:tcW w:w="1003" w:type="pct"/>
            <w:shd w:val="clear" w:color="auto" w:fill="E5DFEC" w:themeFill="accent4" w:themeFillTint="33"/>
            <w:hideMark/>
          </w:tcPr>
          <w:p w14:paraId="33E6447E" w14:textId="21C3A5C0"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89</w:t>
            </w:r>
            <w:r w:rsidR="00C71C5E">
              <w:rPr>
                <w:rFonts w:ascii="Segoe UI Light" w:hAnsi="Segoe UI Light"/>
                <w:color w:val="000000"/>
                <w:sz w:val="16"/>
                <w:szCs w:val="16"/>
              </w:rPr>
              <w:t>,</w:t>
            </w:r>
            <w:r w:rsidRPr="00797D6B">
              <w:rPr>
                <w:rFonts w:ascii="Segoe UI Light" w:hAnsi="Segoe UI Light"/>
                <w:color w:val="000000"/>
                <w:sz w:val="16"/>
                <w:szCs w:val="16"/>
              </w:rPr>
              <w:t>8</w:t>
            </w:r>
          </w:p>
        </w:tc>
        <w:tc>
          <w:tcPr>
            <w:tcW w:w="992" w:type="pct"/>
            <w:shd w:val="clear" w:color="auto" w:fill="E5DFEC" w:themeFill="accent4" w:themeFillTint="33"/>
            <w:hideMark/>
          </w:tcPr>
          <w:p w14:paraId="23DE7469" w14:textId="3155F00D"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91</w:t>
            </w:r>
            <w:r w:rsidR="00C71C5E">
              <w:rPr>
                <w:rFonts w:ascii="Segoe UI Light" w:hAnsi="Segoe UI Light"/>
                <w:color w:val="000000"/>
                <w:sz w:val="16"/>
                <w:szCs w:val="16"/>
              </w:rPr>
              <w:t>,</w:t>
            </w:r>
            <w:r w:rsidRPr="00797D6B">
              <w:rPr>
                <w:rFonts w:ascii="Segoe UI Light" w:hAnsi="Segoe UI Light"/>
                <w:color w:val="000000"/>
                <w:sz w:val="16"/>
                <w:szCs w:val="16"/>
              </w:rPr>
              <w:t>1</w:t>
            </w:r>
          </w:p>
        </w:tc>
      </w:tr>
      <w:tr w:rsidR="0078478C" w:rsidRPr="00267AA4" w14:paraId="44FF6855" w14:textId="77777777" w:rsidTr="00267AA4">
        <w:trPr>
          <w:trHeight w:val="20"/>
          <w:jc w:val="center"/>
        </w:trPr>
        <w:tc>
          <w:tcPr>
            <w:tcW w:w="2001" w:type="pct"/>
            <w:shd w:val="clear" w:color="auto" w:fill="CCC0D9" w:themeFill="accent4" w:themeFillTint="66"/>
            <w:hideMark/>
          </w:tcPr>
          <w:p w14:paraId="209E9126" w14:textId="77777777" w:rsidR="00267AA4" w:rsidRPr="00267AA4" w:rsidRDefault="00267AA4" w:rsidP="00267AA4">
            <w:pPr>
              <w:spacing w:before="40" w:after="40"/>
              <w:rPr>
                <w:rFonts w:ascii="Segoe UI Light" w:hAnsi="Segoe UI Light"/>
                <w:color w:val="000000"/>
                <w:sz w:val="16"/>
                <w:szCs w:val="16"/>
              </w:rPr>
            </w:pPr>
            <w:r w:rsidRPr="00267AA4">
              <w:rPr>
                <w:rFonts w:ascii="Segoe UI Light" w:hAnsi="Segoe UI Light"/>
                <w:color w:val="000000"/>
                <w:sz w:val="16"/>
                <w:szCs w:val="16"/>
              </w:rPr>
              <w:t>35-44</w:t>
            </w:r>
          </w:p>
        </w:tc>
        <w:tc>
          <w:tcPr>
            <w:tcW w:w="1003" w:type="pct"/>
            <w:shd w:val="clear" w:color="auto" w:fill="CCC0D9" w:themeFill="accent4" w:themeFillTint="66"/>
            <w:hideMark/>
          </w:tcPr>
          <w:p w14:paraId="7E331EA4" w14:textId="5F4EBF2D"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89</w:t>
            </w:r>
            <w:r w:rsidR="00C71C5E">
              <w:rPr>
                <w:rFonts w:ascii="Segoe UI Light" w:hAnsi="Segoe UI Light"/>
                <w:color w:val="000000"/>
                <w:sz w:val="16"/>
                <w:szCs w:val="16"/>
              </w:rPr>
              <w:t>,</w:t>
            </w:r>
            <w:r w:rsidRPr="00797D6B">
              <w:rPr>
                <w:rFonts w:ascii="Segoe UI Light" w:hAnsi="Segoe UI Light"/>
                <w:color w:val="000000"/>
                <w:sz w:val="16"/>
                <w:szCs w:val="16"/>
              </w:rPr>
              <w:t>4</w:t>
            </w:r>
          </w:p>
        </w:tc>
        <w:tc>
          <w:tcPr>
            <w:tcW w:w="1003" w:type="pct"/>
            <w:shd w:val="clear" w:color="auto" w:fill="CCC0D9" w:themeFill="accent4" w:themeFillTint="66"/>
            <w:hideMark/>
          </w:tcPr>
          <w:p w14:paraId="0A2B707E" w14:textId="5248B5BB"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92</w:t>
            </w:r>
            <w:r w:rsidR="00C71C5E">
              <w:rPr>
                <w:rFonts w:ascii="Segoe UI Light" w:hAnsi="Segoe UI Light"/>
                <w:color w:val="000000"/>
                <w:sz w:val="16"/>
                <w:szCs w:val="16"/>
              </w:rPr>
              <w:t>,</w:t>
            </w:r>
            <w:r w:rsidRPr="00797D6B">
              <w:rPr>
                <w:rFonts w:ascii="Segoe UI Light" w:hAnsi="Segoe UI Light"/>
                <w:color w:val="000000"/>
                <w:sz w:val="16"/>
                <w:szCs w:val="16"/>
              </w:rPr>
              <w:t>6</w:t>
            </w:r>
          </w:p>
        </w:tc>
        <w:tc>
          <w:tcPr>
            <w:tcW w:w="992" w:type="pct"/>
            <w:shd w:val="clear" w:color="auto" w:fill="CCC0D9" w:themeFill="accent4" w:themeFillTint="66"/>
            <w:hideMark/>
          </w:tcPr>
          <w:p w14:paraId="3F874F71" w14:textId="5DD49D9A"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94</w:t>
            </w:r>
            <w:r w:rsidR="00C71C5E">
              <w:rPr>
                <w:rFonts w:ascii="Segoe UI Light" w:hAnsi="Segoe UI Light"/>
                <w:color w:val="000000"/>
                <w:sz w:val="16"/>
                <w:szCs w:val="16"/>
              </w:rPr>
              <w:t>,</w:t>
            </w:r>
            <w:r w:rsidRPr="00797D6B">
              <w:rPr>
                <w:rFonts w:ascii="Segoe UI Light" w:hAnsi="Segoe UI Light"/>
                <w:color w:val="000000"/>
                <w:sz w:val="16"/>
                <w:szCs w:val="16"/>
              </w:rPr>
              <w:t>0</w:t>
            </w:r>
          </w:p>
        </w:tc>
      </w:tr>
      <w:tr w:rsidR="0078478C" w:rsidRPr="00267AA4" w14:paraId="2592E081" w14:textId="77777777" w:rsidTr="00267AA4">
        <w:trPr>
          <w:cnfStyle w:val="000000100000" w:firstRow="0" w:lastRow="0" w:firstColumn="0" w:lastColumn="0" w:oddVBand="0" w:evenVBand="0" w:oddHBand="1" w:evenHBand="0" w:firstRowFirstColumn="0" w:firstRowLastColumn="0" w:lastRowFirstColumn="0" w:lastRowLastColumn="0"/>
          <w:trHeight w:val="20"/>
          <w:jc w:val="center"/>
        </w:trPr>
        <w:tc>
          <w:tcPr>
            <w:tcW w:w="2001" w:type="pct"/>
            <w:shd w:val="clear" w:color="auto" w:fill="E5DFEC" w:themeFill="accent4" w:themeFillTint="33"/>
            <w:hideMark/>
          </w:tcPr>
          <w:p w14:paraId="15526D42" w14:textId="77777777" w:rsidR="00267AA4" w:rsidRPr="00267AA4" w:rsidRDefault="00267AA4" w:rsidP="00267AA4">
            <w:pPr>
              <w:spacing w:before="40" w:after="40"/>
              <w:rPr>
                <w:rFonts w:ascii="Segoe UI Light" w:hAnsi="Segoe UI Light"/>
                <w:color w:val="000000"/>
                <w:sz w:val="16"/>
                <w:szCs w:val="16"/>
              </w:rPr>
            </w:pPr>
            <w:r w:rsidRPr="00267AA4">
              <w:rPr>
                <w:rFonts w:ascii="Segoe UI Light" w:hAnsi="Segoe UI Light"/>
                <w:color w:val="000000"/>
                <w:sz w:val="16"/>
                <w:szCs w:val="16"/>
              </w:rPr>
              <w:t>45-54</w:t>
            </w:r>
          </w:p>
        </w:tc>
        <w:tc>
          <w:tcPr>
            <w:tcW w:w="1003" w:type="pct"/>
            <w:shd w:val="clear" w:color="auto" w:fill="E5DFEC" w:themeFill="accent4" w:themeFillTint="33"/>
            <w:hideMark/>
          </w:tcPr>
          <w:p w14:paraId="1636316E" w14:textId="132D0F78"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86</w:t>
            </w:r>
            <w:r w:rsidR="00C71C5E">
              <w:rPr>
                <w:rFonts w:ascii="Segoe UI Light" w:hAnsi="Segoe UI Light"/>
                <w:color w:val="000000"/>
                <w:sz w:val="16"/>
                <w:szCs w:val="16"/>
              </w:rPr>
              <w:t>,</w:t>
            </w:r>
            <w:r w:rsidRPr="00797D6B">
              <w:rPr>
                <w:rFonts w:ascii="Segoe UI Light" w:hAnsi="Segoe UI Light"/>
                <w:color w:val="000000"/>
                <w:sz w:val="16"/>
                <w:szCs w:val="16"/>
              </w:rPr>
              <w:t>5</w:t>
            </w:r>
          </w:p>
        </w:tc>
        <w:tc>
          <w:tcPr>
            <w:tcW w:w="1003" w:type="pct"/>
            <w:shd w:val="clear" w:color="auto" w:fill="E5DFEC" w:themeFill="accent4" w:themeFillTint="33"/>
            <w:hideMark/>
          </w:tcPr>
          <w:p w14:paraId="38130222" w14:textId="0A463450"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90</w:t>
            </w:r>
            <w:r w:rsidR="00C71C5E">
              <w:rPr>
                <w:rFonts w:ascii="Segoe UI Light" w:hAnsi="Segoe UI Light"/>
                <w:color w:val="000000"/>
                <w:sz w:val="16"/>
                <w:szCs w:val="16"/>
              </w:rPr>
              <w:t>,</w:t>
            </w:r>
            <w:r w:rsidRPr="00797D6B">
              <w:rPr>
                <w:rFonts w:ascii="Segoe UI Light" w:hAnsi="Segoe UI Light"/>
                <w:color w:val="000000"/>
                <w:sz w:val="16"/>
                <w:szCs w:val="16"/>
              </w:rPr>
              <w:t>7</w:t>
            </w:r>
          </w:p>
        </w:tc>
        <w:tc>
          <w:tcPr>
            <w:tcW w:w="992" w:type="pct"/>
            <w:shd w:val="clear" w:color="auto" w:fill="E5DFEC" w:themeFill="accent4" w:themeFillTint="33"/>
            <w:hideMark/>
          </w:tcPr>
          <w:p w14:paraId="4C459C88" w14:textId="4FCA77A6"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91</w:t>
            </w:r>
            <w:r w:rsidR="00C71C5E">
              <w:rPr>
                <w:rFonts w:ascii="Segoe UI Light" w:hAnsi="Segoe UI Light"/>
                <w:color w:val="000000"/>
                <w:sz w:val="16"/>
                <w:szCs w:val="16"/>
              </w:rPr>
              <w:t>,</w:t>
            </w:r>
            <w:r w:rsidRPr="00797D6B">
              <w:rPr>
                <w:rFonts w:ascii="Segoe UI Light" w:hAnsi="Segoe UI Light"/>
                <w:color w:val="000000"/>
                <w:sz w:val="16"/>
                <w:szCs w:val="16"/>
              </w:rPr>
              <w:t>8</w:t>
            </w:r>
          </w:p>
        </w:tc>
      </w:tr>
      <w:tr w:rsidR="0078478C" w:rsidRPr="00267AA4" w14:paraId="400CC8C0" w14:textId="77777777" w:rsidTr="00267AA4">
        <w:trPr>
          <w:trHeight w:val="20"/>
          <w:jc w:val="center"/>
        </w:trPr>
        <w:tc>
          <w:tcPr>
            <w:tcW w:w="2001" w:type="pct"/>
            <w:shd w:val="clear" w:color="auto" w:fill="CCC0D9" w:themeFill="accent4" w:themeFillTint="66"/>
            <w:hideMark/>
          </w:tcPr>
          <w:p w14:paraId="0EBB7934" w14:textId="77777777" w:rsidR="00267AA4" w:rsidRPr="00267AA4" w:rsidRDefault="00267AA4" w:rsidP="00267AA4">
            <w:pPr>
              <w:spacing w:before="40" w:after="40"/>
              <w:rPr>
                <w:rFonts w:ascii="Segoe UI Light" w:hAnsi="Segoe UI Light"/>
                <w:color w:val="000000"/>
                <w:sz w:val="16"/>
                <w:szCs w:val="16"/>
              </w:rPr>
            </w:pPr>
            <w:r w:rsidRPr="00267AA4">
              <w:rPr>
                <w:rFonts w:ascii="Segoe UI Light" w:hAnsi="Segoe UI Light"/>
                <w:color w:val="000000"/>
                <w:sz w:val="16"/>
                <w:szCs w:val="16"/>
              </w:rPr>
              <w:t>55-64</w:t>
            </w:r>
          </w:p>
        </w:tc>
        <w:tc>
          <w:tcPr>
            <w:tcW w:w="1003" w:type="pct"/>
            <w:shd w:val="clear" w:color="auto" w:fill="CCC0D9" w:themeFill="accent4" w:themeFillTint="66"/>
            <w:hideMark/>
          </w:tcPr>
          <w:p w14:paraId="4925662E" w14:textId="7994655A"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75</w:t>
            </w:r>
            <w:r w:rsidR="00C71C5E">
              <w:rPr>
                <w:rFonts w:ascii="Segoe UI Light" w:hAnsi="Segoe UI Light"/>
                <w:color w:val="000000"/>
                <w:sz w:val="16"/>
                <w:szCs w:val="16"/>
              </w:rPr>
              <w:t>,</w:t>
            </w:r>
            <w:r w:rsidRPr="00797D6B">
              <w:rPr>
                <w:rFonts w:ascii="Segoe UI Light" w:hAnsi="Segoe UI Light"/>
                <w:color w:val="000000"/>
                <w:sz w:val="16"/>
                <w:szCs w:val="16"/>
              </w:rPr>
              <w:t>5</w:t>
            </w:r>
          </w:p>
        </w:tc>
        <w:tc>
          <w:tcPr>
            <w:tcW w:w="1003" w:type="pct"/>
            <w:shd w:val="clear" w:color="auto" w:fill="CCC0D9" w:themeFill="accent4" w:themeFillTint="66"/>
            <w:hideMark/>
          </w:tcPr>
          <w:p w14:paraId="3ACDC595" w14:textId="4150620B"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86</w:t>
            </w:r>
            <w:r w:rsidR="00C71C5E">
              <w:rPr>
                <w:rFonts w:ascii="Segoe UI Light" w:hAnsi="Segoe UI Light"/>
                <w:color w:val="000000"/>
                <w:sz w:val="16"/>
                <w:szCs w:val="16"/>
              </w:rPr>
              <w:t>,</w:t>
            </w:r>
            <w:r w:rsidRPr="00797D6B">
              <w:rPr>
                <w:rFonts w:ascii="Segoe UI Light" w:hAnsi="Segoe UI Light"/>
                <w:color w:val="000000"/>
                <w:sz w:val="16"/>
                <w:szCs w:val="16"/>
              </w:rPr>
              <w:t>4</w:t>
            </w:r>
          </w:p>
        </w:tc>
        <w:tc>
          <w:tcPr>
            <w:tcW w:w="992" w:type="pct"/>
            <w:shd w:val="clear" w:color="auto" w:fill="CCC0D9" w:themeFill="accent4" w:themeFillTint="66"/>
            <w:hideMark/>
          </w:tcPr>
          <w:p w14:paraId="0321BAED" w14:textId="547FDB63"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87</w:t>
            </w:r>
            <w:r w:rsidR="00C71C5E">
              <w:rPr>
                <w:rFonts w:ascii="Segoe UI Light" w:hAnsi="Segoe UI Light"/>
                <w:color w:val="000000"/>
                <w:sz w:val="16"/>
                <w:szCs w:val="16"/>
              </w:rPr>
              <w:t>,</w:t>
            </w:r>
            <w:r w:rsidRPr="00797D6B">
              <w:rPr>
                <w:rFonts w:ascii="Segoe UI Light" w:hAnsi="Segoe UI Light"/>
                <w:color w:val="000000"/>
                <w:sz w:val="16"/>
                <w:szCs w:val="16"/>
              </w:rPr>
              <w:t>4</w:t>
            </w:r>
          </w:p>
        </w:tc>
      </w:tr>
      <w:tr w:rsidR="0078478C" w:rsidRPr="00267AA4" w14:paraId="3A43D473" w14:textId="77777777" w:rsidTr="00267AA4">
        <w:trPr>
          <w:cnfStyle w:val="000000100000" w:firstRow="0" w:lastRow="0" w:firstColumn="0" w:lastColumn="0" w:oddVBand="0" w:evenVBand="0" w:oddHBand="1" w:evenHBand="0" w:firstRowFirstColumn="0" w:firstRowLastColumn="0" w:lastRowFirstColumn="0" w:lastRowLastColumn="0"/>
          <w:trHeight w:val="20"/>
          <w:jc w:val="center"/>
        </w:trPr>
        <w:tc>
          <w:tcPr>
            <w:tcW w:w="2001" w:type="pct"/>
            <w:shd w:val="clear" w:color="auto" w:fill="E5DFEC" w:themeFill="accent4" w:themeFillTint="33"/>
            <w:hideMark/>
          </w:tcPr>
          <w:p w14:paraId="457E3F80" w14:textId="77777777" w:rsidR="00267AA4" w:rsidRPr="00267AA4" w:rsidRDefault="00267AA4" w:rsidP="00267AA4">
            <w:pPr>
              <w:spacing w:before="40" w:after="40"/>
              <w:rPr>
                <w:rFonts w:ascii="Segoe UI Light" w:hAnsi="Segoe UI Light"/>
                <w:color w:val="000000"/>
                <w:sz w:val="16"/>
                <w:szCs w:val="16"/>
              </w:rPr>
            </w:pPr>
            <w:r w:rsidRPr="00267AA4">
              <w:rPr>
                <w:rFonts w:ascii="Segoe UI Light" w:hAnsi="Segoe UI Light"/>
                <w:color w:val="000000"/>
                <w:sz w:val="16"/>
                <w:szCs w:val="16"/>
              </w:rPr>
              <w:t>65-74</w:t>
            </w:r>
          </w:p>
        </w:tc>
        <w:tc>
          <w:tcPr>
            <w:tcW w:w="1003" w:type="pct"/>
            <w:shd w:val="clear" w:color="auto" w:fill="E5DFEC" w:themeFill="accent4" w:themeFillTint="33"/>
            <w:hideMark/>
          </w:tcPr>
          <w:p w14:paraId="1756E280" w14:textId="34E9B81E"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24</w:t>
            </w:r>
            <w:r w:rsidR="00C71C5E">
              <w:rPr>
                <w:rFonts w:ascii="Segoe UI Light" w:hAnsi="Segoe UI Light"/>
                <w:color w:val="000000"/>
                <w:sz w:val="16"/>
                <w:szCs w:val="16"/>
              </w:rPr>
              <w:t>,</w:t>
            </w:r>
            <w:r w:rsidRPr="00797D6B">
              <w:rPr>
                <w:rFonts w:ascii="Segoe UI Light" w:hAnsi="Segoe UI Light"/>
                <w:color w:val="000000"/>
                <w:sz w:val="16"/>
                <w:szCs w:val="16"/>
              </w:rPr>
              <w:t>5</w:t>
            </w:r>
          </w:p>
        </w:tc>
        <w:tc>
          <w:tcPr>
            <w:tcW w:w="1003" w:type="pct"/>
            <w:shd w:val="clear" w:color="auto" w:fill="E5DFEC" w:themeFill="accent4" w:themeFillTint="33"/>
            <w:hideMark/>
          </w:tcPr>
          <w:p w14:paraId="7B3C0989" w14:textId="62670546"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30</w:t>
            </w:r>
            <w:r w:rsidR="00C71C5E">
              <w:rPr>
                <w:rFonts w:ascii="Segoe UI Light" w:hAnsi="Segoe UI Light"/>
                <w:color w:val="000000"/>
                <w:sz w:val="16"/>
                <w:szCs w:val="16"/>
              </w:rPr>
              <w:t>,</w:t>
            </w:r>
            <w:r w:rsidRPr="00797D6B">
              <w:rPr>
                <w:rFonts w:ascii="Segoe UI Light" w:hAnsi="Segoe UI Light"/>
                <w:color w:val="000000"/>
                <w:sz w:val="16"/>
                <w:szCs w:val="16"/>
              </w:rPr>
              <w:t>0</w:t>
            </w:r>
          </w:p>
        </w:tc>
        <w:tc>
          <w:tcPr>
            <w:tcW w:w="992" w:type="pct"/>
            <w:shd w:val="clear" w:color="auto" w:fill="E5DFEC" w:themeFill="accent4" w:themeFillTint="33"/>
            <w:hideMark/>
          </w:tcPr>
          <w:p w14:paraId="4946C015" w14:textId="7668CCBA" w:rsidR="00267AA4" w:rsidRPr="00267AA4" w:rsidRDefault="00267AA4" w:rsidP="00267AA4">
            <w:pPr>
              <w:spacing w:before="40" w:after="40"/>
              <w:jc w:val="center"/>
              <w:rPr>
                <w:rFonts w:ascii="Segoe UI Light" w:hAnsi="Segoe UI Light"/>
                <w:color w:val="000000"/>
                <w:sz w:val="16"/>
                <w:szCs w:val="16"/>
              </w:rPr>
            </w:pPr>
            <w:r w:rsidRPr="00797D6B">
              <w:rPr>
                <w:rFonts w:ascii="Segoe UI Light" w:hAnsi="Segoe UI Light"/>
                <w:color w:val="000000"/>
                <w:sz w:val="16"/>
                <w:szCs w:val="16"/>
              </w:rPr>
              <w:t>30</w:t>
            </w:r>
            <w:r w:rsidR="00C71C5E">
              <w:rPr>
                <w:rFonts w:ascii="Segoe UI Light" w:hAnsi="Segoe UI Light"/>
                <w:color w:val="000000"/>
                <w:sz w:val="16"/>
                <w:szCs w:val="16"/>
              </w:rPr>
              <w:t>,</w:t>
            </w:r>
            <w:r w:rsidRPr="00797D6B">
              <w:rPr>
                <w:rFonts w:ascii="Segoe UI Light" w:hAnsi="Segoe UI Light"/>
                <w:color w:val="000000"/>
                <w:sz w:val="16"/>
                <w:szCs w:val="16"/>
              </w:rPr>
              <w:t>4</w:t>
            </w:r>
          </w:p>
        </w:tc>
      </w:tr>
    </w:tbl>
    <w:p w14:paraId="391951D6" w14:textId="3ED94F29" w:rsidR="00267AA4" w:rsidRPr="00267AA4" w:rsidRDefault="00267AA4" w:rsidP="00267AA4">
      <w:pPr>
        <w:spacing w:before="120" w:after="120"/>
        <w:ind w:left="720" w:firstLine="1123"/>
        <w:jc w:val="both"/>
        <w:rPr>
          <w:rFonts w:cs="Calibri Light"/>
          <w:sz w:val="16"/>
          <w:szCs w:val="14"/>
        </w:rPr>
      </w:pPr>
      <w:r w:rsidRPr="00267AA4">
        <w:rPr>
          <w:rFonts w:cs="Calibri Light"/>
          <w:sz w:val="16"/>
          <w:szCs w:val="14"/>
        </w:rPr>
        <w:t>Avots: CSP dati 2023.gadam, EM prognozes 2030.</w:t>
      </w:r>
      <w:r>
        <w:rPr>
          <w:rFonts w:cs="Calibri Light"/>
          <w:sz w:val="16"/>
          <w:szCs w:val="14"/>
        </w:rPr>
        <w:t xml:space="preserve">gadam </w:t>
      </w:r>
      <w:r w:rsidRPr="00267AA4">
        <w:rPr>
          <w:rFonts w:cs="Calibri Light"/>
          <w:sz w:val="16"/>
          <w:szCs w:val="14"/>
        </w:rPr>
        <w:t>un 2040.gada</w:t>
      </w:r>
      <w:r>
        <w:rPr>
          <w:rFonts w:cs="Calibri Light"/>
          <w:sz w:val="16"/>
          <w:szCs w:val="14"/>
        </w:rPr>
        <w:t>m</w:t>
      </w:r>
    </w:p>
    <w:p w14:paraId="0691F700" w14:textId="28BD602B" w:rsidR="00267AA4" w:rsidRDefault="00267AA4" w:rsidP="00343F74">
      <w:pPr>
        <w:spacing w:after="120"/>
        <w:jc w:val="both"/>
        <w:rPr>
          <w:color w:val="000000"/>
        </w:rPr>
      </w:pPr>
    </w:p>
    <w:p w14:paraId="74AE91DB" w14:textId="0ED2FB36" w:rsidR="00267AA4" w:rsidRPr="00F73E81" w:rsidRDefault="00267AA4" w:rsidP="00343F74">
      <w:pPr>
        <w:spacing w:after="120"/>
        <w:jc w:val="both"/>
        <w:rPr>
          <w:rFonts w:ascii="Segoe UI Light" w:hAnsi="Segoe UI Light"/>
          <w:bCs/>
          <w:sz w:val="4"/>
          <w:szCs w:val="4"/>
          <w:highlight w:val="yellow"/>
        </w:rPr>
      </w:pPr>
      <w:r w:rsidRPr="00F73E81">
        <w:rPr>
          <w:color w:val="000000"/>
        </w:rPr>
        <w:t>Līdz 2040.</w:t>
      </w:r>
      <w:r w:rsidR="00B566DE">
        <w:rPr>
          <w:color w:val="000000"/>
        </w:rPr>
        <w:t> </w:t>
      </w:r>
      <w:r w:rsidRPr="00F73E81">
        <w:rPr>
          <w:color w:val="000000"/>
        </w:rPr>
        <w:t xml:space="preserve">gadam iedzīvotāju ekonomiskās aktivitātes līmenis kopumā varētu palielināties par </w:t>
      </w:r>
      <w:r w:rsidRPr="00077E10">
        <w:rPr>
          <w:color w:val="000000"/>
        </w:rPr>
        <w:t>5,7</w:t>
      </w:r>
      <w:r w:rsidRPr="00F73E81">
        <w:rPr>
          <w:color w:val="000000"/>
        </w:rPr>
        <w:t> procentpunktiem, salīdzinot ar 202</w:t>
      </w:r>
      <w:r w:rsidRPr="00077E10">
        <w:rPr>
          <w:color w:val="000000"/>
        </w:rPr>
        <w:t>3</w:t>
      </w:r>
      <w:r w:rsidRPr="00F73E81">
        <w:rPr>
          <w:color w:val="000000"/>
        </w:rPr>
        <w:t>.</w:t>
      </w:r>
      <w:r w:rsidR="00B566DE">
        <w:rPr>
          <w:color w:val="000000"/>
        </w:rPr>
        <w:t> </w:t>
      </w:r>
      <w:r w:rsidRPr="00F73E81">
        <w:rPr>
          <w:color w:val="000000"/>
        </w:rPr>
        <w:t>gadu, un sasniegt 74</w:t>
      </w:r>
      <w:r w:rsidRPr="00077E10">
        <w:rPr>
          <w:color w:val="000000"/>
        </w:rPr>
        <w:t>,3</w:t>
      </w:r>
      <w:r w:rsidRPr="00F73E81">
        <w:rPr>
          <w:color w:val="000000"/>
        </w:rPr>
        <w:t xml:space="preserve">% vecuma grupā no 15 līdz 74 gadiem. Augstākā ekonomiskā aktivitāte saglabāsies starp iedzīvotājiem vecumā no 25 līdz 54 gadiem. Turpretim nozīmīgākais ekonomiskās aktivitātes pieaugums sagaidāms starp iedzīvotājiem </w:t>
      </w:r>
      <w:proofErr w:type="spellStart"/>
      <w:r w:rsidRPr="00F73E81">
        <w:rPr>
          <w:color w:val="000000"/>
        </w:rPr>
        <w:t>pirmspensijas</w:t>
      </w:r>
      <w:proofErr w:type="spellEnd"/>
      <w:r w:rsidRPr="00F73E81">
        <w:rPr>
          <w:color w:val="000000"/>
        </w:rPr>
        <w:t xml:space="preserve"> vecuma grupā no 60 līdz 64</w:t>
      </w:r>
      <w:r>
        <w:rPr>
          <w:color w:val="000000"/>
        </w:rPr>
        <w:t> </w:t>
      </w:r>
      <w:r w:rsidRPr="00F73E81">
        <w:rPr>
          <w:color w:val="000000"/>
        </w:rPr>
        <w:t xml:space="preserve">gadiem, kā arī </w:t>
      </w:r>
      <w:r w:rsidRPr="00BF6B90">
        <w:rPr>
          <w:color w:val="000000"/>
        </w:rPr>
        <w:t>jauniešu vidū (vecumā no 15-24 gadiem)</w:t>
      </w:r>
      <w:r w:rsidRPr="00F73E81">
        <w:rPr>
          <w:color w:val="000000"/>
        </w:rPr>
        <w:t>.</w:t>
      </w:r>
    </w:p>
    <w:p w14:paraId="681E6AE7" w14:textId="4EFBFD50" w:rsidR="00267AA4" w:rsidRPr="00F73E81" w:rsidRDefault="00267AA4" w:rsidP="00267AA4">
      <w:pPr>
        <w:spacing w:after="120"/>
        <w:jc w:val="both"/>
        <w:rPr>
          <w:color w:val="000000"/>
          <w:highlight w:val="yellow"/>
        </w:rPr>
      </w:pPr>
      <w:r w:rsidRPr="00F73E81">
        <w:rPr>
          <w:color w:val="000000"/>
        </w:rPr>
        <w:t>Līdz 2030.</w:t>
      </w:r>
      <w:r w:rsidR="00B566DE">
        <w:rPr>
          <w:color w:val="000000"/>
        </w:rPr>
        <w:t> </w:t>
      </w:r>
      <w:r w:rsidRPr="00F73E81">
        <w:rPr>
          <w:color w:val="000000"/>
        </w:rPr>
        <w:t>gadam nozīmīgākais darbaspēka samazinājums paredzams vecuma grupā no 25 līdz 34 gadiem. Galvenokārt tas saistāms ar 90. gadu zemās dzimstības izraisītās demogrāfiskās bedres ienākšanu atbilstošajā vecuma kohortā. Savukārt darbaspēka piedāvājums galvenokārt augs vecuma grupās 15-24 un 65-74, ko ietekmēs gan demogrāfiskās izmaiņas (iedzīvotāju skaita pieaugums attiecīgajā vecuma kohortā), gan ekonomiskās aktivitātes pieaugums.</w:t>
      </w:r>
    </w:p>
    <w:p w14:paraId="1A27831A" w14:textId="77777777" w:rsidR="00267AA4" w:rsidRPr="00F73E81" w:rsidRDefault="00267AA4" w:rsidP="00267AA4">
      <w:pPr>
        <w:spacing w:after="120"/>
        <w:jc w:val="right"/>
        <w:rPr>
          <w:szCs w:val="26"/>
        </w:rPr>
      </w:pPr>
      <w:r w:rsidRPr="00267AA4">
        <w:rPr>
          <w:szCs w:val="26"/>
        </w:rPr>
        <w:t>3.10. tabula</w:t>
      </w:r>
    </w:p>
    <w:p w14:paraId="78DD432D" w14:textId="77777777" w:rsidR="00267AA4" w:rsidRPr="00F73E81" w:rsidRDefault="00267AA4" w:rsidP="00267AA4">
      <w:pPr>
        <w:spacing w:after="120"/>
        <w:jc w:val="center"/>
        <w:rPr>
          <w:rFonts w:ascii="Segoe UI Light" w:hAnsi="Segoe UI Light"/>
          <w:i/>
          <w:color w:val="000000"/>
          <w:sz w:val="16"/>
          <w:szCs w:val="16"/>
        </w:rPr>
      </w:pPr>
      <w:r w:rsidRPr="00F73E81">
        <w:rPr>
          <w:rFonts w:ascii="Segoe UI Light" w:hAnsi="Segoe UI Light"/>
          <w:b/>
          <w:color w:val="000000"/>
          <w:sz w:val="18"/>
          <w:szCs w:val="16"/>
        </w:rPr>
        <w:t>Ekonomiski aktīvo iedzīvotāju izmaiņas pa vecuma grupām</w:t>
      </w:r>
      <w:r w:rsidRPr="00F73E81">
        <w:rPr>
          <w:rFonts w:ascii="Segoe UI Light" w:hAnsi="Segoe UI Light"/>
          <w:b/>
          <w:color w:val="000000"/>
          <w:sz w:val="18"/>
          <w:szCs w:val="16"/>
        </w:rPr>
        <w:br/>
      </w:r>
      <w:r w:rsidRPr="00F73E81">
        <w:rPr>
          <w:rFonts w:ascii="Segoe UI Light" w:hAnsi="Segoe UI Light"/>
          <w:i/>
          <w:color w:val="000000"/>
          <w:sz w:val="16"/>
          <w:szCs w:val="16"/>
        </w:rPr>
        <w:t>tūkstošos</w:t>
      </w:r>
    </w:p>
    <w:tbl>
      <w:tblPr>
        <w:tblStyle w:val="GridTable5Dark-Accent31"/>
        <w:tblW w:w="5005"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BACC6"/>
        <w:tblLook w:val="0420" w:firstRow="1" w:lastRow="0" w:firstColumn="0" w:lastColumn="0" w:noHBand="0" w:noVBand="1"/>
      </w:tblPr>
      <w:tblGrid>
        <w:gridCol w:w="909"/>
        <w:gridCol w:w="907"/>
        <w:gridCol w:w="907"/>
        <w:gridCol w:w="907"/>
        <w:gridCol w:w="907"/>
        <w:gridCol w:w="907"/>
        <w:gridCol w:w="907"/>
        <w:gridCol w:w="907"/>
        <w:gridCol w:w="907"/>
        <w:gridCol w:w="905"/>
      </w:tblGrid>
      <w:tr w:rsidR="006A3666" w:rsidRPr="00F73E81" w14:paraId="3C6E355C" w14:textId="77777777" w:rsidTr="00267AA4">
        <w:trPr>
          <w:cnfStyle w:val="100000000000" w:firstRow="1" w:lastRow="0" w:firstColumn="0" w:lastColumn="0" w:oddVBand="0" w:evenVBand="0" w:oddHBand="0" w:evenHBand="0" w:firstRowFirstColumn="0" w:firstRowLastColumn="0" w:lastRowFirstColumn="0" w:lastRowLastColumn="0"/>
          <w:trHeight w:val="20"/>
        </w:trPr>
        <w:tc>
          <w:tcPr>
            <w:tcW w:w="501" w:type="pct"/>
            <w:shd w:val="clear" w:color="auto" w:fill="5F497A"/>
            <w:vAlign w:val="center"/>
          </w:tcPr>
          <w:p w14:paraId="5B67012B" w14:textId="77777777" w:rsidR="00267AA4" w:rsidRPr="00F73E81" w:rsidRDefault="00267AA4">
            <w:pPr>
              <w:spacing w:before="40" w:after="40"/>
              <w:jc w:val="center"/>
              <w:rPr>
                <w:rFonts w:ascii="Segoe UI Light" w:hAnsi="Segoe UI Light"/>
                <w:sz w:val="16"/>
                <w:szCs w:val="16"/>
              </w:rPr>
            </w:pPr>
          </w:p>
        </w:tc>
        <w:tc>
          <w:tcPr>
            <w:tcW w:w="1499" w:type="pct"/>
            <w:gridSpan w:val="3"/>
            <w:shd w:val="clear" w:color="auto" w:fill="5F497A"/>
            <w:vAlign w:val="center"/>
          </w:tcPr>
          <w:p w14:paraId="19A4B726" w14:textId="77777777" w:rsidR="00267AA4" w:rsidRPr="00F73E81" w:rsidRDefault="00267AA4">
            <w:pPr>
              <w:spacing w:before="40" w:after="40"/>
              <w:jc w:val="center"/>
              <w:rPr>
                <w:rFonts w:ascii="Segoe UI Light" w:hAnsi="Segoe UI Light"/>
                <w:sz w:val="16"/>
                <w:szCs w:val="16"/>
              </w:rPr>
            </w:pPr>
            <w:r w:rsidRPr="00F73E81">
              <w:rPr>
                <w:rFonts w:ascii="Segoe UI Light" w:hAnsi="Segoe UI Light"/>
                <w:sz w:val="16"/>
                <w:szCs w:val="16"/>
              </w:rPr>
              <w:t>Ekonomiski aktīvo iedzīvotāju skaits</w:t>
            </w:r>
          </w:p>
        </w:tc>
        <w:tc>
          <w:tcPr>
            <w:tcW w:w="1000" w:type="pct"/>
            <w:gridSpan w:val="2"/>
            <w:shd w:val="clear" w:color="auto" w:fill="5F497A"/>
            <w:vAlign w:val="center"/>
            <w:hideMark/>
          </w:tcPr>
          <w:p w14:paraId="5F12EF31" w14:textId="15C9E16B" w:rsidR="00267AA4" w:rsidRPr="00F73E81" w:rsidRDefault="00267AA4">
            <w:pPr>
              <w:spacing w:before="40" w:after="40"/>
              <w:jc w:val="center"/>
              <w:rPr>
                <w:rFonts w:ascii="Segoe UI Light" w:hAnsi="Segoe UI Light"/>
                <w:sz w:val="16"/>
                <w:szCs w:val="16"/>
              </w:rPr>
            </w:pPr>
            <w:r w:rsidRPr="00F73E81">
              <w:rPr>
                <w:rFonts w:ascii="Segoe UI Light" w:hAnsi="Segoe UI Light"/>
                <w:sz w:val="16"/>
                <w:szCs w:val="16"/>
              </w:rPr>
              <w:t xml:space="preserve">Izmaiņas pret </w:t>
            </w:r>
            <w:r w:rsidRPr="00F73E81">
              <w:rPr>
                <w:rFonts w:ascii="Segoe UI Light" w:hAnsi="Segoe UI Light"/>
                <w:sz w:val="16"/>
                <w:szCs w:val="16"/>
              </w:rPr>
              <w:br/>
              <w:t>202</w:t>
            </w:r>
            <w:r>
              <w:rPr>
                <w:rFonts w:ascii="Segoe UI Light" w:hAnsi="Segoe UI Light"/>
                <w:sz w:val="16"/>
                <w:szCs w:val="16"/>
              </w:rPr>
              <w:t>3.</w:t>
            </w:r>
            <w:r w:rsidRPr="00F73E81">
              <w:rPr>
                <w:rFonts w:ascii="Segoe UI Light" w:hAnsi="Segoe UI Light"/>
                <w:sz w:val="16"/>
                <w:szCs w:val="16"/>
              </w:rPr>
              <w:t>gadu</w:t>
            </w:r>
          </w:p>
        </w:tc>
        <w:tc>
          <w:tcPr>
            <w:tcW w:w="1000" w:type="pct"/>
            <w:gridSpan w:val="2"/>
            <w:shd w:val="clear" w:color="auto" w:fill="5F497A"/>
            <w:vAlign w:val="center"/>
            <w:hideMark/>
          </w:tcPr>
          <w:p w14:paraId="746F0217" w14:textId="7CD9839C" w:rsidR="00267AA4" w:rsidRPr="00F73E81" w:rsidRDefault="00267AA4">
            <w:pPr>
              <w:tabs>
                <w:tab w:val="decimal" w:pos="424"/>
              </w:tabs>
              <w:spacing w:before="40" w:after="40"/>
              <w:jc w:val="center"/>
              <w:rPr>
                <w:rFonts w:ascii="Segoe UI Light" w:hAnsi="Segoe UI Light"/>
                <w:sz w:val="16"/>
                <w:szCs w:val="16"/>
              </w:rPr>
            </w:pPr>
            <w:r w:rsidRPr="00F73E81">
              <w:rPr>
                <w:rFonts w:ascii="Segoe UI Light" w:hAnsi="Segoe UI Light"/>
                <w:sz w:val="16"/>
                <w:szCs w:val="16"/>
              </w:rPr>
              <w:t xml:space="preserve">Līdzdalības līmeņa izmaiņu ietekme pret </w:t>
            </w:r>
            <w:r w:rsidRPr="00F73E81">
              <w:rPr>
                <w:rFonts w:ascii="Segoe UI Light" w:hAnsi="Segoe UI Light"/>
                <w:sz w:val="16"/>
                <w:szCs w:val="16"/>
              </w:rPr>
              <w:br/>
              <w:t>202</w:t>
            </w:r>
            <w:r>
              <w:rPr>
                <w:rFonts w:ascii="Segoe UI Light" w:hAnsi="Segoe UI Light"/>
                <w:sz w:val="16"/>
                <w:szCs w:val="16"/>
              </w:rPr>
              <w:t>3.</w:t>
            </w:r>
            <w:r w:rsidRPr="00F73E81">
              <w:rPr>
                <w:rFonts w:ascii="Segoe UI Light" w:hAnsi="Segoe UI Light"/>
                <w:sz w:val="16"/>
                <w:szCs w:val="16"/>
              </w:rPr>
              <w:t>gadu</w:t>
            </w:r>
          </w:p>
        </w:tc>
        <w:tc>
          <w:tcPr>
            <w:tcW w:w="1000" w:type="pct"/>
            <w:gridSpan w:val="2"/>
            <w:shd w:val="clear" w:color="auto" w:fill="5F497A"/>
            <w:vAlign w:val="center"/>
            <w:hideMark/>
          </w:tcPr>
          <w:p w14:paraId="61B01DA5" w14:textId="3F9AEB49" w:rsidR="00267AA4" w:rsidRPr="00F73E81" w:rsidRDefault="00267AA4">
            <w:pPr>
              <w:tabs>
                <w:tab w:val="decimal" w:pos="472"/>
              </w:tabs>
              <w:spacing w:before="40" w:after="40"/>
              <w:jc w:val="center"/>
              <w:rPr>
                <w:rFonts w:ascii="Segoe UI Light" w:hAnsi="Segoe UI Light"/>
                <w:sz w:val="16"/>
                <w:szCs w:val="16"/>
              </w:rPr>
            </w:pPr>
            <w:r w:rsidRPr="00F73E81">
              <w:rPr>
                <w:rFonts w:ascii="Segoe UI Light" w:hAnsi="Segoe UI Light"/>
                <w:sz w:val="16"/>
                <w:szCs w:val="16"/>
              </w:rPr>
              <w:t xml:space="preserve">Demogrāfijas izmaiņu ietekme pret </w:t>
            </w:r>
            <w:r w:rsidRPr="00F73E81">
              <w:rPr>
                <w:rFonts w:ascii="Segoe UI Light" w:hAnsi="Segoe UI Light"/>
                <w:sz w:val="16"/>
                <w:szCs w:val="16"/>
              </w:rPr>
              <w:br/>
              <w:t>202</w:t>
            </w:r>
            <w:r>
              <w:rPr>
                <w:rFonts w:ascii="Segoe UI Light" w:hAnsi="Segoe UI Light"/>
                <w:sz w:val="16"/>
                <w:szCs w:val="16"/>
              </w:rPr>
              <w:t>3.</w:t>
            </w:r>
            <w:r w:rsidRPr="00F73E81">
              <w:rPr>
                <w:rFonts w:ascii="Segoe UI Light" w:hAnsi="Segoe UI Light"/>
                <w:sz w:val="16"/>
                <w:szCs w:val="16"/>
              </w:rPr>
              <w:t>gadu</w:t>
            </w:r>
          </w:p>
        </w:tc>
      </w:tr>
      <w:tr w:rsidR="00606052" w:rsidRPr="00F73E81" w14:paraId="1570AD07" w14:textId="77777777" w:rsidTr="00267AA4">
        <w:trPr>
          <w:cnfStyle w:val="000000100000" w:firstRow="0" w:lastRow="0" w:firstColumn="0" w:lastColumn="0" w:oddVBand="0" w:evenVBand="0" w:oddHBand="1" w:evenHBand="0" w:firstRowFirstColumn="0" w:firstRowLastColumn="0" w:lastRowFirstColumn="0" w:lastRowLastColumn="0"/>
          <w:trHeight w:val="20"/>
        </w:trPr>
        <w:tc>
          <w:tcPr>
            <w:tcW w:w="500" w:type="pct"/>
            <w:shd w:val="clear" w:color="auto" w:fill="5F497A"/>
            <w:vAlign w:val="center"/>
          </w:tcPr>
          <w:p w14:paraId="6B01CBE8" w14:textId="77777777" w:rsidR="00267AA4" w:rsidRPr="00F73E81" w:rsidRDefault="00267AA4">
            <w:pPr>
              <w:spacing w:before="40" w:after="40"/>
              <w:jc w:val="center"/>
              <w:rPr>
                <w:rFonts w:ascii="Segoe UI Light" w:hAnsi="Segoe UI Light"/>
                <w:bCs/>
                <w:color w:val="FFFFFF"/>
                <w:sz w:val="16"/>
                <w:szCs w:val="16"/>
              </w:rPr>
            </w:pPr>
          </w:p>
        </w:tc>
        <w:tc>
          <w:tcPr>
            <w:tcW w:w="500" w:type="pct"/>
            <w:shd w:val="clear" w:color="auto" w:fill="5F497A"/>
            <w:vAlign w:val="center"/>
            <w:hideMark/>
          </w:tcPr>
          <w:p w14:paraId="3EF87A0B" w14:textId="77777777" w:rsidR="00267AA4" w:rsidRPr="00F73E81" w:rsidRDefault="00267AA4">
            <w:pPr>
              <w:tabs>
                <w:tab w:val="decimal" w:pos="545"/>
              </w:tabs>
              <w:spacing w:before="40" w:after="40"/>
              <w:rPr>
                <w:rFonts w:ascii="Segoe UI Light" w:hAnsi="Segoe UI Light"/>
                <w:b/>
                <w:bCs/>
                <w:color w:val="FFFFFF"/>
                <w:sz w:val="16"/>
                <w:szCs w:val="16"/>
              </w:rPr>
            </w:pPr>
            <w:r w:rsidRPr="00F73E81">
              <w:rPr>
                <w:rFonts w:ascii="Segoe UI Light" w:hAnsi="Segoe UI Light"/>
                <w:b/>
                <w:color w:val="FFFFFF"/>
                <w:sz w:val="16"/>
                <w:szCs w:val="16"/>
              </w:rPr>
              <w:t>202</w:t>
            </w:r>
            <w:r>
              <w:rPr>
                <w:rFonts w:ascii="Segoe UI Light" w:hAnsi="Segoe UI Light"/>
                <w:b/>
                <w:color w:val="FFFFFF"/>
                <w:sz w:val="16"/>
                <w:szCs w:val="16"/>
              </w:rPr>
              <w:t>3</w:t>
            </w:r>
          </w:p>
        </w:tc>
        <w:tc>
          <w:tcPr>
            <w:tcW w:w="500" w:type="pct"/>
            <w:shd w:val="clear" w:color="auto" w:fill="5F497A"/>
            <w:vAlign w:val="center"/>
            <w:hideMark/>
          </w:tcPr>
          <w:p w14:paraId="5D6ECE16" w14:textId="77777777" w:rsidR="00267AA4" w:rsidRPr="00F73E81" w:rsidRDefault="00267AA4">
            <w:pPr>
              <w:tabs>
                <w:tab w:val="decimal" w:pos="352"/>
              </w:tabs>
              <w:spacing w:before="40" w:after="40"/>
              <w:jc w:val="center"/>
              <w:rPr>
                <w:rFonts w:ascii="Segoe UI Light" w:hAnsi="Segoe UI Light"/>
                <w:b/>
                <w:bCs/>
                <w:color w:val="FFFFFF"/>
                <w:sz w:val="16"/>
                <w:szCs w:val="16"/>
              </w:rPr>
            </w:pPr>
            <w:r w:rsidRPr="00F73E81">
              <w:rPr>
                <w:rFonts w:ascii="Segoe UI Light" w:hAnsi="Segoe UI Light"/>
                <w:b/>
                <w:bCs/>
                <w:color w:val="FFFFFF"/>
                <w:sz w:val="16"/>
                <w:szCs w:val="16"/>
              </w:rPr>
              <w:t>2030</w:t>
            </w:r>
          </w:p>
        </w:tc>
        <w:tc>
          <w:tcPr>
            <w:tcW w:w="500" w:type="pct"/>
            <w:shd w:val="clear" w:color="auto" w:fill="5F497A"/>
            <w:vAlign w:val="center"/>
            <w:hideMark/>
          </w:tcPr>
          <w:p w14:paraId="7EE516E0" w14:textId="77777777" w:rsidR="00267AA4" w:rsidRPr="00F73E81" w:rsidRDefault="00267AA4">
            <w:pPr>
              <w:tabs>
                <w:tab w:val="decimal" w:pos="352"/>
              </w:tabs>
              <w:spacing w:before="40" w:after="40"/>
              <w:jc w:val="center"/>
              <w:rPr>
                <w:rFonts w:ascii="Segoe UI Light" w:hAnsi="Segoe UI Light"/>
                <w:b/>
                <w:color w:val="FFFFFF"/>
                <w:sz w:val="16"/>
                <w:szCs w:val="16"/>
              </w:rPr>
            </w:pPr>
            <w:r w:rsidRPr="00F73E81">
              <w:rPr>
                <w:rFonts w:ascii="Segoe UI Light" w:hAnsi="Segoe UI Light"/>
                <w:b/>
                <w:color w:val="FFFFFF"/>
                <w:sz w:val="16"/>
                <w:szCs w:val="16"/>
              </w:rPr>
              <w:t>2040</w:t>
            </w:r>
          </w:p>
        </w:tc>
        <w:tc>
          <w:tcPr>
            <w:tcW w:w="500" w:type="pct"/>
            <w:shd w:val="clear" w:color="auto" w:fill="5F497A"/>
            <w:vAlign w:val="center"/>
            <w:hideMark/>
          </w:tcPr>
          <w:p w14:paraId="35AB9D5D" w14:textId="77777777" w:rsidR="00267AA4" w:rsidRPr="00F73E81" w:rsidRDefault="00267AA4">
            <w:pPr>
              <w:tabs>
                <w:tab w:val="decimal" w:pos="352"/>
              </w:tabs>
              <w:spacing w:before="40" w:after="40"/>
              <w:jc w:val="center"/>
              <w:rPr>
                <w:rFonts w:ascii="Segoe UI Light" w:hAnsi="Segoe UI Light"/>
                <w:b/>
                <w:bCs/>
                <w:color w:val="FFFFFF"/>
                <w:sz w:val="16"/>
                <w:szCs w:val="16"/>
              </w:rPr>
            </w:pPr>
            <w:r w:rsidRPr="00F73E81">
              <w:rPr>
                <w:rFonts w:ascii="Segoe UI Light" w:hAnsi="Segoe UI Light"/>
                <w:b/>
                <w:bCs/>
                <w:color w:val="FFFFFF"/>
                <w:sz w:val="16"/>
                <w:szCs w:val="16"/>
              </w:rPr>
              <w:t>2030</w:t>
            </w:r>
          </w:p>
        </w:tc>
        <w:tc>
          <w:tcPr>
            <w:tcW w:w="500" w:type="pct"/>
            <w:shd w:val="clear" w:color="auto" w:fill="5F497A"/>
            <w:vAlign w:val="center"/>
            <w:hideMark/>
          </w:tcPr>
          <w:p w14:paraId="13C0DAB8" w14:textId="77777777" w:rsidR="00267AA4" w:rsidRPr="00F73E81" w:rsidRDefault="00267AA4">
            <w:pPr>
              <w:tabs>
                <w:tab w:val="decimal" w:pos="352"/>
              </w:tabs>
              <w:spacing w:before="40" w:after="40"/>
              <w:jc w:val="center"/>
              <w:rPr>
                <w:rFonts w:ascii="Segoe UI Light" w:hAnsi="Segoe UI Light"/>
                <w:b/>
                <w:color w:val="FFFFFF"/>
                <w:sz w:val="16"/>
                <w:szCs w:val="16"/>
              </w:rPr>
            </w:pPr>
            <w:r w:rsidRPr="00F73E81">
              <w:rPr>
                <w:rFonts w:ascii="Segoe UI Light" w:hAnsi="Segoe UI Light"/>
                <w:b/>
                <w:color w:val="FFFFFF"/>
                <w:sz w:val="16"/>
                <w:szCs w:val="16"/>
              </w:rPr>
              <w:t>2040</w:t>
            </w:r>
          </w:p>
        </w:tc>
        <w:tc>
          <w:tcPr>
            <w:tcW w:w="500" w:type="pct"/>
            <w:shd w:val="clear" w:color="auto" w:fill="5F497A"/>
            <w:vAlign w:val="center"/>
            <w:hideMark/>
          </w:tcPr>
          <w:p w14:paraId="689387D4" w14:textId="77777777" w:rsidR="00267AA4" w:rsidRPr="00F73E81" w:rsidRDefault="00267AA4">
            <w:pPr>
              <w:tabs>
                <w:tab w:val="decimal" w:pos="352"/>
              </w:tabs>
              <w:spacing w:before="40" w:after="40"/>
              <w:jc w:val="center"/>
              <w:rPr>
                <w:rFonts w:ascii="Segoe UI Light" w:hAnsi="Segoe UI Light"/>
                <w:b/>
                <w:bCs/>
                <w:color w:val="FFFFFF"/>
                <w:sz w:val="16"/>
                <w:szCs w:val="16"/>
              </w:rPr>
            </w:pPr>
            <w:r w:rsidRPr="00F73E81">
              <w:rPr>
                <w:rFonts w:ascii="Segoe UI Light" w:hAnsi="Segoe UI Light"/>
                <w:b/>
                <w:bCs/>
                <w:color w:val="FFFFFF"/>
                <w:sz w:val="16"/>
                <w:szCs w:val="16"/>
              </w:rPr>
              <w:t>2030</w:t>
            </w:r>
          </w:p>
        </w:tc>
        <w:tc>
          <w:tcPr>
            <w:tcW w:w="500" w:type="pct"/>
            <w:shd w:val="clear" w:color="auto" w:fill="5F497A"/>
            <w:vAlign w:val="center"/>
            <w:hideMark/>
          </w:tcPr>
          <w:p w14:paraId="7ECEB8B0" w14:textId="77777777" w:rsidR="00267AA4" w:rsidRPr="00F73E81" w:rsidRDefault="00267AA4">
            <w:pPr>
              <w:tabs>
                <w:tab w:val="decimal" w:pos="352"/>
              </w:tabs>
              <w:spacing w:before="40" w:after="40"/>
              <w:jc w:val="center"/>
              <w:rPr>
                <w:rFonts w:ascii="Segoe UI Light" w:hAnsi="Segoe UI Light"/>
                <w:b/>
                <w:color w:val="FFFFFF"/>
                <w:sz w:val="16"/>
                <w:szCs w:val="16"/>
              </w:rPr>
            </w:pPr>
            <w:r w:rsidRPr="00F73E81">
              <w:rPr>
                <w:rFonts w:ascii="Segoe UI Light" w:hAnsi="Segoe UI Light"/>
                <w:b/>
                <w:color w:val="FFFFFF"/>
                <w:sz w:val="16"/>
                <w:szCs w:val="16"/>
              </w:rPr>
              <w:t>2040</w:t>
            </w:r>
          </w:p>
        </w:tc>
        <w:tc>
          <w:tcPr>
            <w:tcW w:w="500" w:type="pct"/>
            <w:shd w:val="clear" w:color="auto" w:fill="5F497A"/>
            <w:vAlign w:val="center"/>
            <w:hideMark/>
          </w:tcPr>
          <w:p w14:paraId="5B902E9F" w14:textId="77777777" w:rsidR="00267AA4" w:rsidRPr="00F73E81" w:rsidRDefault="00267AA4">
            <w:pPr>
              <w:tabs>
                <w:tab w:val="decimal" w:pos="352"/>
              </w:tabs>
              <w:spacing w:before="40" w:after="40"/>
              <w:jc w:val="center"/>
              <w:rPr>
                <w:rFonts w:ascii="Segoe UI Light" w:hAnsi="Segoe UI Light"/>
                <w:b/>
                <w:bCs/>
                <w:color w:val="FFFFFF"/>
                <w:sz w:val="16"/>
                <w:szCs w:val="16"/>
              </w:rPr>
            </w:pPr>
            <w:r w:rsidRPr="00F73E81">
              <w:rPr>
                <w:rFonts w:ascii="Segoe UI Light" w:hAnsi="Segoe UI Light"/>
                <w:b/>
                <w:bCs/>
                <w:color w:val="FFFFFF"/>
                <w:sz w:val="16"/>
                <w:szCs w:val="16"/>
              </w:rPr>
              <w:t>2030</w:t>
            </w:r>
          </w:p>
        </w:tc>
        <w:tc>
          <w:tcPr>
            <w:tcW w:w="500" w:type="pct"/>
            <w:shd w:val="clear" w:color="auto" w:fill="5F497A"/>
            <w:vAlign w:val="center"/>
            <w:hideMark/>
          </w:tcPr>
          <w:p w14:paraId="45597F2D" w14:textId="77777777" w:rsidR="00267AA4" w:rsidRPr="00F73E81" w:rsidRDefault="00267AA4">
            <w:pPr>
              <w:tabs>
                <w:tab w:val="decimal" w:pos="352"/>
              </w:tabs>
              <w:spacing w:before="40" w:after="40"/>
              <w:jc w:val="center"/>
              <w:rPr>
                <w:rFonts w:ascii="Segoe UI Light" w:hAnsi="Segoe UI Light"/>
                <w:b/>
                <w:color w:val="FFFFFF"/>
                <w:sz w:val="16"/>
                <w:szCs w:val="16"/>
              </w:rPr>
            </w:pPr>
            <w:r w:rsidRPr="00F73E81">
              <w:rPr>
                <w:rFonts w:ascii="Segoe UI Light" w:hAnsi="Segoe UI Light"/>
                <w:b/>
                <w:color w:val="FFFFFF"/>
                <w:sz w:val="16"/>
                <w:szCs w:val="16"/>
              </w:rPr>
              <w:t>2040</w:t>
            </w:r>
          </w:p>
        </w:tc>
      </w:tr>
      <w:tr w:rsidR="00606052" w:rsidRPr="00F73E81" w14:paraId="29806751" w14:textId="77777777" w:rsidTr="00267AA4">
        <w:trPr>
          <w:trHeight w:val="20"/>
        </w:trPr>
        <w:tc>
          <w:tcPr>
            <w:tcW w:w="500" w:type="pct"/>
            <w:shd w:val="clear" w:color="auto" w:fill="E5DFEC"/>
            <w:hideMark/>
          </w:tcPr>
          <w:p w14:paraId="1EAAAA8E" w14:textId="77777777" w:rsidR="00267AA4" w:rsidRPr="00F73E81" w:rsidRDefault="00267AA4">
            <w:pPr>
              <w:spacing w:before="40" w:after="40"/>
              <w:jc w:val="center"/>
              <w:rPr>
                <w:rFonts w:ascii="Segoe UI Light" w:hAnsi="Segoe UI Light"/>
                <w:b/>
                <w:sz w:val="16"/>
                <w:szCs w:val="16"/>
              </w:rPr>
            </w:pPr>
            <w:r w:rsidRPr="00F73E81">
              <w:rPr>
                <w:rFonts w:ascii="Segoe UI Light" w:hAnsi="Segoe UI Light"/>
                <w:b/>
                <w:bCs/>
                <w:sz w:val="16"/>
                <w:szCs w:val="16"/>
              </w:rPr>
              <w:t>Kopā</w:t>
            </w:r>
          </w:p>
        </w:tc>
        <w:tc>
          <w:tcPr>
            <w:tcW w:w="500" w:type="pct"/>
            <w:shd w:val="clear" w:color="auto" w:fill="E5DFEC"/>
            <w:hideMark/>
          </w:tcPr>
          <w:p w14:paraId="145DC83B" w14:textId="130AA33D" w:rsidR="00267AA4" w:rsidRPr="00F73E81" w:rsidRDefault="00267AA4">
            <w:pPr>
              <w:tabs>
                <w:tab w:val="decimal" w:pos="274"/>
              </w:tabs>
              <w:spacing w:before="40" w:after="40"/>
              <w:jc w:val="center"/>
              <w:rPr>
                <w:rFonts w:ascii="Segoe UI Light" w:hAnsi="Segoe UI Light"/>
                <w:b/>
                <w:bCs/>
                <w:sz w:val="16"/>
                <w:szCs w:val="16"/>
              </w:rPr>
            </w:pPr>
            <w:r w:rsidRPr="00797D6B">
              <w:rPr>
                <w:rFonts w:ascii="Segoe UI Light" w:hAnsi="Segoe UI Light"/>
                <w:b/>
                <w:bCs/>
                <w:sz w:val="16"/>
                <w:szCs w:val="16"/>
              </w:rPr>
              <w:t>945</w:t>
            </w:r>
            <w:r w:rsidR="00C71C5E">
              <w:rPr>
                <w:rFonts w:ascii="Segoe UI Light" w:hAnsi="Segoe UI Light"/>
                <w:b/>
                <w:bCs/>
                <w:sz w:val="16"/>
                <w:szCs w:val="16"/>
              </w:rPr>
              <w:t>,</w:t>
            </w:r>
            <w:r w:rsidRPr="00797D6B">
              <w:rPr>
                <w:rFonts w:ascii="Segoe UI Light" w:hAnsi="Segoe UI Light"/>
                <w:b/>
                <w:bCs/>
                <w:sz w:val="16"/>
                <w:szCs w:val="16"/>
              </w:rPr>
              <w:t>7</w:t>
            </w:r>
          </w:p>
        </w:tc>
        <w:tc>
          <w:tcPr>
            <w:tcW w:w="500" w:type="pct"/>
            <w:shd w:val="clear" w:color="auto" w:fill="E5DFEC"/>
            <w:hideMark/>
          </w:tcPr>
          <w:p w14:paraId="6CD72D36" w14:textId="197602FC" w:rsidR="00267AA4" w:rsidRPr="00F73E81" w:rsidRDefault="00267AA4">
            <w:pPr>
              <w:tabs>
                <w:tab w:val="decimal" w:pos="352"/>
                <w:tab w:val="decimal" w:pos="462"/>
              </w:tabs>
              <w:spacing w:before="40" w:after="40"/>
              <w:jc w:val="center"/>
              <w:rPr>
                <w:rFonts w:ascii="Segoe UI Light" w:hAnsi="Segoe UI Light"/>
                <w:b/>
                <w:bCs/>
                <w:sz w:val="16"/>
                <w:szCs w:val="16"/>
              </w:rPr>
            </w:pPr>
            <w:r w:rsidRPr="00797D6B">
              <w:rPr>
                <w:rFonts w:ascii="Segoe UI Light" w:hAnsi="Segoe UI Light"/>
                <w:b/>
                <w:bCs/>
                <w:sz w:val="16"/>
                <w:szCs w:val="16"/>
              </w:rPr>
              <w:t>960</w:t>
            </w:r>
            <w:r w:rsidR="00C71C5E">
              <w:rPr>
                <w:rFonts w:ascii="Segoe UI Light" w:hAnsi="Segoe UI Light"/>
                <w:b/>
                <w:bCs/>
                <w:sz w:val="16"/>
                <w:szCs w:val="16"/>
              </w:rPr>
              <w:t>,</w:t>
            </w:r>
            <w:r w:rsidRPr="00797D6B">
              <w:rPr>
                <w:rFonts w:ascii="Segoe UI Light" w:hAnsi="Segoe UI Light"/>
                <w:b/>
                <w:bCs/>
                <w:sz w:val="16"/>
                <w:szCs w:val="16"/>
              </w:rPr>
              <w:t>1</w:t>
            </w:r>
          </w:p>
        </w:tc>
        <w:tc>
          <w:tcPr>
            <w:tcW w:w="500" w:type="pct"/>
            <w:shd w:val="clear" w:color="auto" w:fill="E5DFEC"/>
            <w:hideMark/>
          </w:tcPr>
          <w:p w14:paraId="15EE7026" w14:textId="1930B6AF" w:rsidR="00267AA4" w:rsidRPr="00F73E81" w:rsidRDefault="00267AA4">
            <w:pPr>
              <w:tabs>
                <w:tab w:val="decimal" w:pos="352"/>
                <w:tab w:val="decimal" w:pos="462"/>
              </w:tabs>
              <w:spacing w:before="40" w:after="40"/>
              <w:jc w:val="center"/>
              <w:rPr>
                <w:rFonts w:ascii="Segoe UI Light" w:hAnsi="Segoe UI Light"/>
                <w:b/>
                <w:bCs/>
                <w:sz w:val="16"/>
                <w:szCs w:val="16"/>
              </w:rPr>
            </w:pPr>
            <w:r w:rsidRPr="00797D6B">
              <w:rPr>
                <w:rFonts w:ascii="Segoe UI Light" w:hAnsi="Segoe UI Light"/>
                <w:b/>
                <w:bCs/>
                <w:sz w:val="16"/>
                <w:szCs w:val="16"/>
              </w:rPr>
              <w:t>936</w:t>
            </w:r>
            <w:r w:rsidR="00C71C5E">
              <w:rPr>
                <w:rFonts w:ascii="Segoe UI Light" w:hAnsi="Segoe UI Light"/>
                <w:b/>
                <w:bCs/>
                <w:sz w:val="16"/>
                <w:szCs w:val="16"/>
              </w:rPr>
              <w:t>,</w:t>
            </w:r>
            <w:r w:rsidRPr="00797D6B">
              <w:rPr>
                <w:rFonts w:ascii="Segoe UI Light" w:hAnsi="Segoe UI Light"/>
                <w:b/>
                <w:bCs/>
                <w:sz w:val="16"/>
                <w:szCs w:val="16"/>
              </w:rPr>
              <w:t>3</w:t>
            </w:r>
          </w:p>
        </w:tc>
        <w:tc>
          <w:tcPr>
            <w:tcW w:w="500" w:type="pct"/>
            <w:shd w:val="clear" w:color="auto" w:fill="E5DFEC"/>
            <w:hideMark/>
          </w:tcPr>
          <w:p w14:paraId="77511B46" w14:textId="4AA9B91B" w:rsidR="00267AA4" w:rsidRPr="00F73E81" w:rsidRDefault="00267AA4">
            <w:pPr>
              <w:tabs>
                <w:tab w:val="decimal" w:pos="352"/>
                <w:tab w:val="decimal" w:pos="462"/>
              </w:tabs>
              <w:spacing w:before="40" w:after="40"/>
              <w:jc w:val="center"/>
              <w:rPr>
                <w:rFonts w:ascii="Segoe UI Light" w:hAnsi="Segoe UI Light"/>
                <w:b/>
                <w:bCs/>
                <w:sz w:val="16"/>
                <w:szCs w:val="16"/>
              </w:rPr>
            </w:pPr>
            <w:r w:rsidRPr="0095482F">
              <w:rPr>
                <w:rFonts w:ascii="Segoe UI Light" w:hAnsi="Segoe UI Light"/>
                <w:b/>
                <w:bCs/>
                <w:sz w:val="16"/>
                <w:szCs w:val="16"/>
              </w:rPr>
              <w:t>14</w:t>
            </w:r>
            <w:r w:rsidR="00C71C5E">
              <w:rPr>
                <w:rFonts w:ascii="Segoe UI Light" w:hAnsi="Segoe UI Light"/>
                <w:b/>
                <w:bCs/>
                <w:sz w:val="16"/>
                <w:szCs w:val="16"/>
              </w:rPr>
              <w:t>,</w:t>
            </w:r>
            <w:r w:rsidRPr="0095482F">
              <w:rPr>
                <w:rFonts w:ascii="Segoe UI Light" w:hAnsi="Segoe UI Light"/>
                <w:b/>
                <w:bCs/>
                <w:sz w:val="16"/>
                <w:szCs w:val="16"/>
              </w:rPr>
              <w:t>5</w:t>
            </w:r>
          </w:p>
        </w:tc>
        <w:tc>
          <w:tcPr>
            <w:tcW w:w="500" w:type="pct"/>
            <w:shd w:val="clear" w:color="auto" w:fill="E5DFEC"/>
            <w:hideMark/>
          </w:tcPr>
          <w:p w14:paraId="7D90327B" w14:textId="6554ED07" w:rsidR="00267AA4" w:rsidRPr="00F73E81" w:rsidRDefault="00267AA4">
            <w:pPr>
              <w:tabs>
                <w:tab w:val="decimal" w:pos="352"/>
                <w:tab w:val="decimal" w:pos="462"/>
              </w:tabs>
              <w:spacing w:before="40" w:after="40"/>
              <w:jc w:val="center"/>
              <w:rPr>
                <w:rFonts w:ascii="Segoe UI Light" w:hAnsi="Segoe UI Light"/>
                <w:b/>
                <w:bCs/>
                <w:sz w:val="16"/>
                <w:szCs w:val="16"/>
              </w:rPr>
            </w:pPr>
            <w:r w:rsidRPr="0095482F">
              <w:rPr>
                <w:rFonts w:ascii="Segoe UI Light" w:hAnsi="Segoe UI Light"/>
                <w:b/>
                <w:bCs/>
                <w:sz w:val="16"/>
                <w:szCs w:val="16"/>
              </w:rPr>
              <w:t>-9</w:t>
            </w:r>
            <w:r w:rsidR="00C71C5E">
              <w:rPr>
                <w:rFonts w:ascii="Segoe UI Light" w:hAnsi="Segoe UI Light"/>
                <w:b/>
                <w:bCs/>
                <w:sz w:val="16"/>
                <w:szCs w:val="16"/>
              </w:rPr>
              <w:t>,</w:t>
            </w:r>
            <w:r w:rsidRPr="0095482F">
              <w:rPr>
                <w:rFonts w:ascii="Segoe UI Light" w:hAnsi="Segoe UI Light"/>
                <w:b/>
                <w:bCs/>
                <w:sz w:val="16"/>
                <w:szCs w:val="16"/>
              </w:rPr>
              <w:t>3</w:t>
            </w:r>
          </w:p>
        </w:tc>
        <w:tc>
          <w:tcPr>
            <w:tcW w:w="500" w:type="pct"/>
            <w:shd w:val="clear" w:color="auto" w:fill="E5DFEC"/>
            <w:hideMark/>
          </w:tcPr>
          <w:p w14:paraId="1FED81CF" w14:textId="17DE82A7"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81</w:t>
            </w:r>
            <w:r w:rsidR="00C71C5E">
              <w:rPr>
                <w:rFonts w:ascii="Segoe UI Light" w:hAnsi="Segoe UI Light"/>
                <w:sz w:val="16"/>
                <w:szCs w:val="16"/>
              </w:rPr>
              <w:t>,</w:t>
            </w:r>
            <w:r w:rsidRPr="0095482F">
              <w:rPr>
                <w:rFonts w:ascii="Segoe UI Light" w:hAnsi="Segoe UI Light"/>
                <w:sz w:val="16"/>
                <w:szCs w:val="16"/>
              </w:rPr>
              <w:t>4</w:t>
            </w:r>
          </w:p>
        </w:tc>
        <w:tc>
          <w:tcPr>
            <w:tcW w:w="500" w:type="pct"/>
            <w:shd w:val="clear" w:color="auto" w:fill="E5DFEC"/>
            <w:hideMark/>
          </w:tcPr>
          <w:p w14:paraId="7599B60B" w14:textId="13673D3D"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86</w:t>
            </w:r>
            <w:r w:rsidR="00C71C5E">
              <w:rPr>
                <w:rFonts w:ascii="Segoe UI Light" w:hAnsi="Segoe UI Light"/>
                <w:sz w:val="16"/>
                <w:szCs w:val="16"/>
              </w:rPr>
              <w:t>,</w:t>
            </w:r>
            <w:r w:rsidRPr="0095482F">
              <w:rPr>
                <w:rFonts w:ascii="Segoe UI Light" w:hAnsi="Segoe UI Light"/>
                <w:sz w:val="16"/>
                <w:szCs w:val="16"/>
              </w:rPr>
              <w:t>3</w:t>
            </w:r>
          </w:p>
        </w:tc>
        <w:tc>
          <w:tcPr>
            <w:tcW w:w="500" w:type="pct"/>
            <w:shd w:val="clear" w:color="auto" w:fill="E5DFEC"/>
            <w:hideMark/>
          </w:tcPr>
          <w:p w14:paraId="24E9A7A7" w14:textId="25BD4E68" w:rsidR="00267AA4" w:rsidRPr="00F73E81" w:rsidRDefault="00267AA4">
            <w:pPr>
              <w:tabs>
                <w:tab w:val="decimal" w:pos="352"/>
                <w:tab w:val="decimal" w:pos="462"/>
              </w:tabs>
              <w:spacing w:before="40" w:after="40"/>
              <w:jc w:val="center"/>
              <w:rPr>
                <w:rFonts w:ascii="Segoe UI Light" w:hAnsi="Segoe UI Light"/>
                <w:b/>
                <w:bCs/>
                <w:sz w:val="16"/>
                <w:szCs w:val="16"/>
              </w:rPr>
            </w:pPr>
            <w:r w:rsidRPr="0095482F">
              <w:rPr>
                <w:rFonts w:ascii="Segoe UI Light" w:hAnsi="Segoe UI Light"/>
                <w:b/>
                <w:bCs/>
                <w:sz w:val="16"/>
                <w:szCs w:val="16"/>
              </w:rPr>
              <w:t>-66</w:t>
            </w:r>
            <w:r w:rsidR="00C71C5E">
              <w:rPr>
                <w:rFonts w:ascii="Segoe UI Light" w:hAnsi="Segoe UI Light"/>
                <w:b/>
                <w:bCs/>
                <w:sz w:val="16"/>
                <w:szCs w:val="16"/>
              </w:rPr>
              <w:t>,</w:t>
            </w:r>
            <w:r w:rsidRPr="0095482F">
              <w:rPr>
                <w:rFonts w:ascii="Segoe UI Light" w:hAnsi="Segoe UI Light"/>
                <w:b/>
                <w:bCs/>
                <w:sz w:val="16"/>
                <w:szCs w:val="16"/>
              </w:rPr>
              <w:t>9</w:t>
            </w:r>
          </w:p>
        </w:tc>
        <w:tc>
          <w:tcPr>
            <w:tcW w:w="500" w:type="pct"/>
            <w:shd w:val="clear" w:color="auto" w:fill="E5DFEC"/>
            <w:hideMark/>
          </w:tcPr>
          <w:p w14:paraId="32D17BA0" w14:textId="427EBE31" w:rsidR="00267AA4" w:rsidRPr="00F73E81" w:rsidRDefault="00267AA4">
            <w:pPr>
              <w:tabs>
                <w:tab w:val="decimal" w:pos="352"/>
                <w:tab w:val="decimal" w:pos="462"/>
              </w:tabs>
              <w:spacing w:before="40" w:after="40"/>
              <w:jc w:val="center"/>
              <w:rPr>
                <w:rFonts w:ascii="Segoe UI Light" w:hAnsi="Segoe UI Light"/>
                <w:b/>
                <w:bCs/>
                <w:sz w:val="16"/>
                <w:szCs w:val="16"/>
              </w:rPr>
            </w:pPr>
            <w:r w:rsidRPr="0095482F">
              <w:rPr>
                <w:rFonts w:ascii="Segoe UI Light" w:hAnsi="Segoe UI Light"/>
                <w:b/>
                <w:bCs/>
                <w:sz w:val="16"/>
                <w:szCs w:val="16"/>
              </w:rPr>
              <w:t>-95</w:t>
            </w:r>
            <w:r w:rsidR="00C71C5E">
              <w:rPr>
                <w:rFonts w:ascii="Segoe UI Light" w:hAnsi="Segoe UI Light"/>
                <w:b/>
                <w:bCs/>
                <w:sz w:val="16"/>
                <w:szCs w:val="16"/>
              </w:rPr>
              <w:t>,</w:t>
            </w:r>
            <w:r w:rsidRPr="0095482F">
              <w:rPr>
                <w:rFonts w:ascii="Segoe UI Light" w:hAnsi="Segoe UI Light"/>
                <w:b/>
                <w:bCs/>
                <w:sz w:val="16"/>
                <w:szCs w:val="16"/>
              </w:rPr>
              <w:t>6</w:t>
            </w:r>
          </w:p>
        </w:tc>
      </w:tr>
      <w:tr w:rsidR="00606052" w:rsidRPr="00F73E81" w14:paraId="1EF62FFB" w14:textId="77777777" w:rsidTr="00267AA4">
        <w:trPr>
          <w:cnfStyle w:val="000000100000" w:firstRow="0" w:lastRow="0" w:firstColumn="0" w:lastColumn="0" w:oddVBand="0" w:evenVBand="0" w:oddHBand="1" w:evenHBand="0" w:firstRowFirstColumn="0" w:firstRowLastColumn="0" w:lastRowFirstColumn="0" w:lastRowLastColumn="0"/>
          <w:trHeight w:val="20"/>
        </w:trPr>
        <w:tc>
          <w:tcPr>
            <w:tcW w:w="500" w:type="pct"/>
            <w:shd w:val="clear" w:color="auto" w:fill="CCC0D9"/>
            <w:hideMark/>
          </w:tcPr>
          <w:p w14:paraId="3E085F20" w14:textId="77777777" w:rsidR="00267AA4" w:rsidRPr="00F73E81" w:rsidRDefault="00267AA4">
            <w:pPr>
              <w:spacing w:before="40" w:after="40"/>
              <w:jc w:val="center"/>
              <w:rPr>
                <w:rFonts w:ascii="Segoe UI Light" w:hAnsi="Segoe UI Light"/>
                <w:sz w:val="16"/>
                <w:szCs w:val="16"/>
              </w:rPr>
            </w:pPr>
            <w:r w:rsidRPr="00F73E81">
              <w:rPr>
                <w:rFonts w:ascii="Segoe UI Light" w:hAnsi="Segoe UI Light"/>
                <w:sz w:val="16"/>
                <w:szCs w:val="16"/>
              </w:rPr>
              <w:t>15-24</w:t>
            </w:r>
          </w:p>
        </w:tc>
        <w:tc>
          <w:tcPr>
            <w:tcW w:w="500" w:type="pct"/>
            <w:shd w:val="clear" w:color="auto" w:fill="CCC0D9"/>
            <w:hideMark/>
          </w:tcPr>
          <w:p w14:paraId="62361A27" w14:textId="7D088389" w:rsidR="00267AA4" w:rsidRPr="00F73E81" w:rsidRDefault="00267AA4">
            <w:pPr>
              <w:tabs>
                <w:tab w:val="decimal" w:pos="274"/>
              </w:tabs>
              <w:spacing w:before="40" w:after="40"/>
              <w:jc w:val="center"/>
              <w:rPr>
                <w:rFonts w:ascii="Segoe UI Light" w:hAnsi="Segoe UI Light"/>
                <w:sz w:val="16"/>
                <w:szCs w:val="16"/>
              </w:rPr>
            </w:pPr>
            <w:r w:rsidRPr="00797D6B">
              <w:rPr>
                <w:rFonts w:ascii="Segoe UI Light" w:hAnsi="Segoe UI Light"/>
                <w:sz w:val="16"/>
                <w:szCs w:val="16"/>
              </w:rPr>
              <w:t>64</w:t>
            </w:r>
            <w:r w:rsidR="00C71C5E">
              <w:rPr>
                <w:rFonts w:ascii="Segoe UI Light" w:hAnsi="Segoe UI Light"/>
                <w:sz w:val="16"/>
                <w:szCs w:val="16"/>
              </w:rPr>
              <w:t>,</w:t>
            </w:r>
            <w:r w:rsidRPr="00797D6B">
              <w:rPr>
                <w:rFonts w:ascii="Segoe UI Light" w:hAnsi="Segoe UI Light"/>
                <w:sz w:val="16"/>
                <w:szCs w:val="16"/>
              </w:rPr>
              <w:t>3</w:t>
            </w:r>
          </w:p>
        </w:tc>
        <w:tc>
          <w:tcPr>
            <w:tcW w:w="500" w:type="pct"/>
            <w:shd w:val="clear" w:color="auto" w:fill="CCC0D9"/>
            <w:hideMark/>
          </w:tcPr>
          <w:p w14:paraId="5096279A" w14:textId="229EFEE5"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86</w:t>
            </w:r>
            <w:r w:rsidR="00C71C5E">
              <w:rPr>
                <w:rFonts w:ascii="Segoe UI Light" w:hAnsi="Segoe UI Light"/>
                <w:sz w:val="16"/>
                <w:szCs w:val="16"/>
              </w:rPr>
              <w:t>,</w:t>
            </w:r>
            <w:r w:rsidRPr="00797D6B">
              <w:rPr>
                <w:rFonts w:ascii="Segoe UI Light" w:hAnsi="Segoe UI Light"/>
                <w:sz w:val="16"/>
                <w:szCs w:val="16"/>
              </w:rPr>
              <w:t>0</w:t>
            </w:r>
          </w:p>
        </w:tc>
        <w:tc>
          <w:tcPr>
            <w:tcW w:w="500" w:type="pct"/>
            <w:shd w:val="clear" w:color="auto" w:fill="CCC0D9"/>
            <w:hideMark/>
          </w:tcPr>
          <w:p w14:paraId="2B7A2C31" w14:textId="0AAF56F5"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88</w:t>
            </w:r>
            <w:r w:rsidR="00C71C5E">
              <w:rPr>
                <w:rFonts w:ascii="Segoe UI Light" w:hAnsi="Segoe UI Light"/>
                <w:sz w:val="16"/>
                <w:szCs w:val="16"/>
              </w:rPr>
              <w:t>,</w:t>
            </w:r>
            <w:r w:rsidRPr="00797D6B">
              <w:rPr>
                <w:rFonts w:ascii="Segoe UI Light" w:hAnsi="Segoe UI Light"/>
                <w:sz w:val="16"/>
                <w:szCs w:val="16"/>
              </w:rPr>
              <w:t>5</w:t>
            </w:r>
          </w:p>
        </w:tc>
        <w:tc>
          <w:tcPr>
            <w:tcW w:w="500" w:type="pct"/>
            <w:shd w:val="clear" w:color="auto" w:fill="CCC0D9"/>
            <w:hideMark/>
          </w:tcPr>
          <w:p w14:paraId="08FE2733" w14:textId="52282628"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21</w:t>
            </w:r>
            <w:r w:rsidR="00C71C5E">
              <w:rPr>
                <w:rFonts w:ascii="Segoe UI Light" w:hAnsi="Segoe UI Light"/>
                <w:sz w:val="16"/>
                <w:szCs w:val="16"/>
              </w:rPr>
              <w:t>,</w:t>
            </w:r>
            <w:r w:rsidRPr="0095482F">
              <w:rPr>
                <w:rFonts w:ascii="Segoe UI Light" w:hAnsi="Segoe UI Light"/>
                <w:sz w:val="16"/>
                <w:szCs w:val="16"/>
              </w:rPr>
              <w:t>8</w:t>
            </w:r>
          </w:p>
        </w:tc>
        <w:tc>
          <w:tcPr>
            <w:tcW w:w="500" w:type="pct"/>
            <w:shd w:val="clear" w:color="auto" w:fill="CCC0D9"/>
            <w:hideMark/>
          </w:tcPr>
          <w:p w14:paraId="19328960" w14:textId="3D85F173"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24</w:t>
            </w:r>
            <w:r w:rsidR="00C71C5E">
              <w:rPr>
                <w:rFonts w:ascii="Segoe UI Light" w:hAnsi="Segoe UI Light"/>
                <w:sz w:val="16"/>
                <w:szCs w:val="16"/>
              </w:rPr>
              <w:t>,</w:t>
            </w:r>
            <w:r w:rsidRPr="0095482F">
              <w:rPr>
                <w:rFonts w:ascii="Segoe UI Light" w:hAnsi="Segoe UI Light"/>
                <w:sz w:val="16"/>
                <w:szCs w:val="16"/>
              </w:rPr>
              <w:t>2</w:t>
            </w:r>
          </w:p>
        </w:tc>
        <w:tc>
          <w:tcPr>
            <w:tcW w:w="500" w:type="pct"/>
            <w:shd w:val="clear" w:color="auto" w:fill="CCC0D9"/>
            <w:hideMark/>
          </w:tcPr>
          <w:p w14:paraId="42CCE40B" w14:textId="6CB1B448"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12</w:t>
            </w:r>
            <w:r w:rsidR="00C71C5E">
              <w:rPr>
                <w:rFonts w:ascii="Segoe UI Light" w:hAnsi="Segoe UI Light"/>
                <w:sz w:val="16"/>
                <w:szCs w:val="16"/>
              </w:rPr>
              <w:t>,</w:t>
            </w:r>
            <w:r w:rsidRPr="0095482F">
              <w:rPr>
                <w:rFonts w:ascii="Segoe UI Light" w:hAnsi="Segoe UI Light"/>
                <w:sz w:val="16"/>
                <w:szCs w:val="16"/>
              </w:rPr>
              <w:t>9</w:t>
            </w:r>
          </w:p>
        </w:tc>
        <w:tc>
          <w:tcPr>
            <w:tcW w:w="500" w:type="pct"/>
            <w:shd w:val="clear" w:color="auto" w:fill="CCC0D9"/>
            <w:hideMark/>
          </w:tcPr>
          <w:p w14:paraId="49554E5D" w14:textId="50397056"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14</w:t>
            </w:r>
            <w:r w:rsidR="00C71C5E">
              <w:rPr>
                <w:rFonts w:ascii="Segoe UI Light" w:hAnsi="Segoe UI Light"/>
                <w:sz w:val="16"/>
                <w:szCs w:val="16"/>
              </w:rPr>
              <w:t>,</w:t>
            </w:r>
            <w:r w:rsidRPr="0095482F">
              <w:rPr>
                <w:rFonts w:ascii="Segoe UI Light" w:hAnsi="Segoe UI Light"/>
                <w:sz w:val="16"/>
                <w:szCs w:val="16"/>
              </w:rPr>
              <w:t>6</w:t>
            </w:r>
          </w:p>
        </w:tc>
        <w:tc>
          <w:tcPr>
            <w:tcW w:w="500" w:type="pct"/>
            <w:shd w:val="clear" w:color="auto" w:fill="CCC0D9"/>
            <w:hideMark/>
          </w:tcPr>
          <w:p w14:paraId="68AC33DA" w14:textId="3DB5E878"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8</w:t>
            </w:r>
            <w:r w:rsidR="00C71C5E">
              <w:rPr>
                <w:rFonts w:ascii="Segoe UI Light" w:hAnsi="Segoe UI Light"/>
                <w:sz w:val="16"/>
                <w:szCs w:val="16"/>
              </w:rPr>
              <w:t>,</w:t>
            </w:r>
            <w:r w:rsidRPr="0095482F">
              <w:rPr>
                <w:rFonts w:ascii="Segoe UI Light" w:hAnsi="Segoe UI Light"/>
                <w:sz w:val="16"/>
                <w:szCs w:val="16"/>
              </w:rPr>
              <w:t>9</w:t>
            </w:r>
          </w:p>
        </w:tc>
        <w:tc>
          <w:tcPr>
            <w:tcW w:w="500" w:type="pct"/>
            <w:shd w:val="clear" w:color="auto" w:fill="CCC0D9"/>
            <w:hideMark/>
          </w:tcPr>
          <w:p w14:paraId="314E2BE1" w14:textId="607A4376"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9</w:t>
            </w:r>
            <w:r w:rsidR="00C71C5E">
              <w:rPr>
                <w:rFonts w:ascii="Segoe UI Light" w:hAnsi="Segoe UI Light"/>
                <w:sz w:val="16"/>
                <w:szCs w:val="16"/>
              </w:rPr>
              <w:t>,</w:t>
            </w:r>
            <w:r w:rsidRPr="0095482F">
              <w:rPr>
                <w:rFonts w:ascii="Segoe UI Light" w:hAnsi="Segoe UI Light"/>
                <w:sz w:val="16"/>
                <w:szCs w:val="16"/>
              </w:rPr>
              <w:t>6</w:t>
            </w:r>
          </w:p>
        </w:tc>
      </w:tr>
      <w:tr w:rsidR="00606052" w:rsidRPr="00F73E81" w14:paraId="47DBAC4D" w14:textId="77777777" w:rsidTr="00267AA4">
        <w:trPr>
          <w:trHeight w:val="20"/>
        </w:trPr>
        <w:tc>
          <w:tcPr>
            <w:tcW w:w="500" w:type="pct"/>
            <w:shd w:val="clear" w:color="auto" w:fill="E5DFEC"/>
            <w:hideMark/>
          </w:tcPr>
          <w:p w14:paraId="659B7078" w14:textId="77777777" w:rsidR="00267AA4" w:rsidRPr="00F73E81" w:rsidRDefault="00267AA4">
            <w:pPr>
              <w:spacing w:before="40" w:after="40"/>
              <w:jc w:val="center"/>
              <w:rPr>
                <w:rFonts w:ascii="Segoe UI Light" w:hAnsi="Segoe UI Light"/>
                <w:sz w:val="16"/>
                <w:szCs w:val="16"/>
              </w:rPr>
            </w:pPr>
            <w:r w:rsidRPr="00F73E81">
              <w:rPr>
                <w:rFonts w:ascii="Segoe UI Light" w:hAnsi="Segoe UI Light"/>
                <w:sz w:val="16"/>
                <w:szCs w:val="16"/>
              </w:rPr>
              <w:t>25-34</w:t>
            </w:r>
          </w:p>
        </w:tc>
        <w:tc>
          <w:tcPr>
            <w:tcW w:w="500" w:type="pct"/>
            <w:shd w:val="clear" w:color="auto" w:fill="E5DFEC"/>
            <w:hideMark/>
          </w:tcPr>
          <w:p w14:paraId="1736A5F4" w14:textId="7FF5DCA0" w:rsidR="00267AA4" w:rsidRPr="00F73E81" w:rsidRDefault="00267AA4">
            <w:pPr>
              <w:tabs>
                <w:tab w:val="decimal" w:pos="274"/>
              </w:tabs>
              <w:spacing w:before="40" w:after="40"/>
              <w:jc w:val="center"/>
              <w:rPr>
                <w:rFonts w:ascii="Segoe UI Light" w:hAnsi="Segoe UI Light"/>
                <w:sz w:val="16"/>
                <w:szCs w:val="16"/>
              </w:rPr>
            </w:pPr>
            <w:r w:rsidRPr="00797D6B">
              <w:rPr>
                <w:rFonts w:ascii="Segoe UI Light" w:hAnsi="Segoe UI Light"/>
                <w:sz w:val="16"/>
                <w:szCs w:val="16"/>
              </w:rPr>
              <w:t>181</w:t>
            </w:r>
            <w:r w:rsidR="00C71C5E">
              <w:rPr>
                <w:rFonts w:ascii="Segoe UI Light" w:hAnsi="Segoe UI Light"/>
                <w:sz w:val="16"/>
                <w:szCs w:val="16"/>
              </w:rPr>
              <w:t>,</w:t>
            </w:r>
            <w:r w:rsidRPr="00797D6B">
              <w:rPr>
                <w:rFonts w:ascii="Segoe UI Light" w:hAnsi="Segoe UI Light"/>
                <w:sz w:val="16"/>
                <w:szCs w:val="16"/>
              </w:rPr>
              <w:t>9</w:t>
            </w:r>
          </w:p>
        </w:tc>
        <w:tc>
          <w:tcPr>
            <w:tcW w:w="500" w:type="pct"/>
            <w:shd w:val="clear" w:color="auto" w:fill="E5DFEC"/>
            <w:hideMark/>
          </w:tcPr>
          <w:p w14:paraId="26894CDF" w14:textId="1561A786"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148</w:t>
            </w:r>
            <w:r w:rsidR="00C71C5E">
              <w:rPr>
                <w:rFonts w:ascii="Segoe UI Light" w:hAnsi="Segoe UI Light"/>
                <w:sz w:val="16"/>
                <w:szCs w:val="16"/>
              </w:rPr>
              <w:t>,</w:t>
            </w:r>
            <w:r w:rsidRPr="00797D6B">
              <w:rPr>
                <w:rFonts w:ascii="Segoe UI Light" w:hAnsi="Segoe UI Light"/>
                <w:sz w:val="16"/>
                <w:szCs w:val="16"/>
              </w:rPr>
              <w:t>6</w:t>
            </w:r>
          </w:p>
        </w:tc>
        <w:tc>
          <w:tcPr>
            <w:tcW w:w="500" w:type="pct"/>
            <w:shd w:val="clear" w:color="auto" w:fill="E5DFEC"/>
            <w:hideMark/>
          </w:tcPr>
          <w:p w14:paraId="7C56C892" w14:textId="4E327C3F"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174</w:t>
            </w:r>
            <w:r w:rsidR="00C71C5E">
              <w:rPr>
                <w:rFonts w:ascii="Segoe UI Light" w:hAnsi="Segoe UI Light"/>
                <w:sz w:val="16"/>
                <w:szCs w:val="16"/>
              </w:rPr>
              <w:t>,</w:t>
            </w:r>
            <w:r w:rsidRPr="00797D6B">
              <w:rPr>
                <w:rFonts w:ascii="Segoe UI Light" w:hAnsi="Segoe UI Light"/>
                <w:sz w:val="16"/>
                <w:szCs w:val="16"/>
              </w:rPr>
              <w:t>7</w:t>
            </w:r>
          </w:p>
        </w:tc>
        <w:tc>
          <w:tcPr>
            <w:tcW w:w="500" w:type="pct"/>
            <w:shd w:val="clear" w:color="auto" w:fill="E5DFEC"/>
            <w:hideMark/>
          </w:tcPr>
          <w:p w14:paraId="285986C5" w14:textId="71728379"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-33</w:t>
            </w:r>
            <w:r w:rsidR="00C71C5E">
              <w:rPr>
                <w:rFonts w:ascii="Segoe UI Light" w:hAnsi="Segoe UI Light"/>
                <w:sz w:val="16"/>
                <w:szCs w:val="16"/>
              </w:rPr>
              <w:t>,</w:t>
            </w:r>
            <w:r w:rsidRPr="0095482F">
              <w:rPr>
                <w:rFonts w:ascii="Segoe UI Light" w:hAnsi="Segoe UI Light"/>
                <w:sz w:val="16"/>
                <w:szCs w:val="16"/>
              </w:rPr>
              <w:t>2</w:t>
            </w:r>
          </w:p>
        </w:tc>
        <w:tc>
          <w:tcPr>
            <w:tcW w:w="500" w:type="pct"/>
            <w:shd w:val="clear" w:color="auto" w:fill="E5DFEC"/>
            <w:hideMark/>
          </w:tcPr>
          <w:p w14:paraId="0D94059E" w14:textId="6A87D6C3"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-7</w:t>
            </w:r>
            <w:r w:rsidR="00C71C5E">
              <w:rPr>
                <w:rFonts w:ascii="Segoe UI Light" w:hAnsi="Segoe UI Light"/>
                <w:sz w:val="16"/>
                <w:szCs w:val="16"/>
              </w:rPr>
              <w:t>,</w:t>
            </w:r>
            <w:r w:rsidRPr="0095482F">
              <w:rPr>
                <w:rFonts w:ascii="Segoe UI Light" w:hAnsi="Segoe UI Light"/>
                <w:sz w:val="16"/>
                <w:szCs w:val="16"/>
              </w:rPr>
              <w:t>2</w:t>
            </w:r>
          </w:p>
        </w:tc>
        <w:tc>
          <w:tcPr>
            <w:tcW w:w="500" w:type="pct"/>
            <w:shd w:val="clear" w:color="auto" w:fill="E5DFEC"/>
            <w:hideMark/>
          </w:tcPr>
          <w:p w14:paraId="02A82DE8" w14:textId="510B0602"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3</w:t>
            </w:r>
            <w:r w:rsidR="00C71C5E">
              <w:rPr>
                <w:rFonts w:ascii="Segoe UI Light" w:hAnsi="Segoe UI Light"/>
                <w:sz w:val="16"/>
                <w:szCs w:val="16"/>
              </w:rPr>
              <w:t>,</w:t>
            </w:r>
            <w:r w:rsidRPr="0095482F">
              <w:rPr>
                <w:rFonts w:ascii="Segoe UI Light" w:hAnsi="Segoe UI Light"/>
                <w:sz w:val="16"/>
                <w:szCs w:val="16"/>
              </w:rPr>
              <w:t>8</w:t>
            </w:r>
          </w:p>
        </w:tc>
        <w:tc>
          <w:tcPr>
            <w:tcW w:w="500" w:type="pct"/>
            <w:shd w:val="clear" w:color="auto" w:fill="E5DFEC"/>
            <w:hideMark/>
          </w:tcPr>
          <w:p w14:paraId="08F5D6E8" w14:textId="254C2630"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8</w:t>
            </w:r>
            <w:r w:rsidR="00C71C5E">
              <w:rPr>
                <w:rFonts w:ascii="Segoe UI Light" w:hAnsi="Segoe UI Light"/>
                <w:sz w:val="16"/>
                <w:szCs w:val="16"/>
              </w:rPr>
              <w:t>,</w:t>
            </w:r>
            <w:r w:rsidRPr="0095482F">
              <w:rPr>
                <w:rFonts w:ascii="Segoe UI Light" w:hAnsi="Segoe UI Light"/>
                <w:sz w:val="16"/>
                <w:szCs w:val="16"/>
              </w:rPr>
              <w:t>5</w:t>
            </w:r>
          </w:p>
        </w:tc>
        <w:tc>
          <w:tcPr>
            <w:tcW w:w="500" w:type="pct"/>
            <w:shd w:val="clear" w:color="auto" w:fill="E5DFEC"/>
            <w:hideMark/>
          </w:tcPr>
          <w:p w14:paraId="5A42298B" w14:textId="45AB4C89"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-37</w:t>
            </w:r>
            <w:r w:rsidR="00C71C5E">
              <w:rPr>
                <w:rFonts w:ascii="Segoe UI Light" w:hAnsi="Segoe UI Light"/>
                <w:sz w:val="16"/>
                <w:szCs w:val="16"/>
              </w:rPr>
              <w:t>,</w:t>
            </w:r>
            <w:r w:rsidRPr="0095482F">
              <w:rPr>
                <w:rFonts w:ascii="Segoe UI Light" w:hAnsi="Segoe UI Light"/>
                <w:sz w:val="16"/>
                <w:szCs w:val="16"/>
              </w:rPr>
              <w:t>1</w:t>
            </w:r>
          </w:p>
        </w:tc>
        <w:tc>
          <w:tcPr>
            <w:tcW w:w="500" w:type="pct"/>
            <w:shd w:val="clear" w:color="auto" w:fill="E5DFEC"/>
            <w:hideMark/>
          </w:tcPr>
          <w:p w14:paraId="3740B139" w14:textId="479BAE7C"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-15</w:t>
            </w:r>
            <w:r w:rsidR="00C71C5E">
              <w:rPr>
                <w:rFonts w:ascii="Segoe UI Light" w:hAnsi="Segoe UI Light"/>
                <w:sz w:val="16"/>
                <w:szCs w:val="16"/>
              </w:rPr>
              <w:t>,</w:t>
            </w:r>
            <w:r w:rsidRPr="0095482F">
              <w:rPr>
                <w:rFonts w:ascii="Segoe UI Light" w:hAnsi="Segoe UI Light"/>
                <w:sz w:val="16"/>
                <w:szCs w:val="16"/>
              </w:rPr>
              <w:t>7</w:t>
            </w:r>
          </w:p>
        </w:tc>
      </w:tr>
      <w:tr w:rsidR="00606052" w:rsidRPr="00F73E81" w14:paraId="72FE441C" w14:textId="77777777" w:rsidTr="00267AA4">
        <w:trPr>
          <w:cnfStyle w:val="000000100000" w:firstRow="0" w:lastRow="0" w:firstColumn="0" w:lastColumn="0" w:oddVBand="0" w:evenVBand="0" w:oddHBand="1" w:evenHBand="0" w:firstRowFirstColumn="0" w:firstRowLastColumn="0" w:lastRowFirstColumn="0" w:lastRowLastColumn="0"/>
          <w:trHeight w:val="20"/>
        </w:trPr>
        <w:tc>
          <w:tcPr>
            <w:tcW w:w="500" w:type="pct"/>
            <w:shd w:val="clear" w:color="auto" w:fill="CCC0D9"/>
            <w:hideMark/>
          </w:tcPr>
          <w:p w14:paraId="516DE295" w14:textId="77777777" w:rsidR="00267AA4" w:rsidRPr="00F73E81" w:rsidRDefault="00267AA4">
            <w:pPr>
              <w:spacing w:before="40" w:after="40"/>
              <w:jc w:val="center"/>
              <w:rPr>
                <w:rFonts w:ascii="Segoe UI Light" w:hAnsi="Segoe UI Light"/>
                <w:sz w:val="16"/>
                <w:szCs w:val="16"/>
              </w:rPr>
            </w:pPr>
            <w:r w:rsidRPr="00F73E81">
              <w:rPr>
                <w:rFonts w:ascii="Segoe UI Light" w:hAnsi="Segoe UI Light"/>
                <w:sz w:val="16"/>
                <w:szCs w:val="16"/>
              </w:rPr>
              <w:t>35-44</w:t>
            </w:r>
          </w:p>
        </w:tc>
        <w:tc>
          <w:tcPr>
            <w:tcW w:w="500" w:type="pct"/>
            <w:shd w:val="clear" w:color="auto" w:fill="CCC0D9"/>
            <w:hideMark/>
          </w:tcPr>
          <w:p w14:paraId="7F9A5B72" w14:textId="19F8B1A4" w:rsidR="00267AA4" w:rsidRPr="00F73E81" w:rsidRDefault="00267AA4">
            <w:pPr>
              <w:tabs>
                <w:tab w:val="decimal" w:pos="274"/>
              </w:tabs>
              <w:spacing w:before="40" w:after="40"/>
              <w:jc w:val="center"/>
              <w:rPr>
                <w:rFonts w:ascii="Segoe UI Light" w:hAnsi="Segoe UI Light"/>
                <w:sz w:val="16"/>
                <w:szCs w:val="16"/>
              </w:rPr>
            </w:pPr>
            <w:r w:rsidRPr="00797D6B">
              <w:rPr>
                <w:rFonts w:ascii="Segoe UI Light" w:hAnsi="Segoe UI Light"/>
                <w:sz w:val="16"/>
                <w:szCs w:val="16"/>
              </w:rPr>
              <w:t>235</w:t>
            </w:r>
            <w:r w:rsidR="00C71C5E">
              <w:rPr>
                <w:rFonts w:ascii="Segoe UI Light" w:hAnsi="Segoe UI Light"/>
                <w:sz w:val="16"/>
                <w:szCs w:val="16"/>
              </w:rPr>
              <w:t>,</w:t>
            </w:r>
            <w:r w:rsidRPr="00797D6B">
              <w:rPr>
                <w:rFonts w:ascii="Segoe UI Light" w:hAnsi="Segoe UI Light"/>
                <w:sz w:val="16"/>
                <w:szCs w:val="16"/>
              </w:rPr>
              <w:t>2</w:t>
            </w:r>
          </w:p>
        </w:tc>
        <w:tc>
          <w:tcPr>
            <w:tcW w:w="500" w:type="pct"/>
            <w:shd w:val="clear" w:color="auto" w:fill="CCC0D9"/>
            <w:hideMark/>
          </w:tcPr>
          <w:p w14:paraId="5FB32524" w14:textId="0F55A047"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225</w:t>
            </w:r>
            <w:r w:rsidR="00C71C5E">
              <w:rPr>
                <w:rFonts w:ascii="Segoe UI Light" w:hAnsi="Segoe UI Light"/>
                <w:sz w:val="16"/>
                <w:szCs w:val="16"/>
              </w:rPr>
              <w:t>,</w:t>
            </w:r>
            <w:r w:rsidRPr="00797D6B">
              <w:rPr>
                <w:rFonts w:ascii="Segoe UI Light" w:hAnsi="Segoe UI Light"/>
                <w:sz w:val="16"/>
                <w:szCs w:val="16"/>
              </w:rPr>
              <w:t>9</w:t>
            </w:r>
          </w:p>
        </w:tc>
        <w:tc>
          <w:tcPr>
            <w:tcW w:w="500" w:type="pct"/>
            <w:shd w:val="clear" w:color="auto" w:fill="CCC0D9"/>
            <w:hideMark/>
          </w:tcPr>
          <w:p w14:paraId="76A4B250" w14:textId="0A9CE654"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168</w:t>
            </w:r>
            <w:r w:rsidR="00C71C5E">
              <w:rPr>
                <w:rFonts w:ascii="Segoe UI Light" w:hAnsi="Segoe UI Light"/>
                <w:sz w:val="16"/>
                <w:szCs w:val="16"/>
              </w:rPr>
              <w:t>,</w:t>
            </w:r>
            <w:r w:rsidRPr="00797D6B">
              <w:rPr>
                <w:rFonts w:ascii="Segoe UI Light" w:hAnsi="Segoe UI Light"/>
                <w:sz w:val="16"/>
                <w:szCs w:val="16"/>
              </w:rPr>
              <w:t>8</w:t>
            </w:r>
          </w:p>
        </w:tc>
        <w:tc>
          <w:tcPr>
            <w:tcW w:w="500" w:type="pct"/>
            <w:shd w:val="clear" w:color="auto" w:fill="CCC0D9"/>
            <w:hideMark/>
          </w:tcPr>
          <w:p w14:paraId="275997E8" w14:textId="7A0033E4"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-9</w:t>
            </w:r>
            <w:r w:rsidR="00C71C5E">
              <w:rPr>
                <w:rFonts w:ascii="Segoe UI Light" w:hAnsi="Segoe UI Light"/>
                <w:sz w:val="16"/>
                <w:szCs w:val="16"/>
              </w:rPr>
              <w:t>,</w:t>
            </w:r>
            <w:r w:rsidRPr="0095482F">
              <w:rPr>
                <w:rFonts w:ascii="Segoe UI Light" w:hAnsi="Segoe UI Light"/>
                <w:sz w:val="16"/>
                <w:szCs w:val="16"/>
              </w:rPr>
              <w:t>2</w:t>
            </w:r>
          </w:p>
        </w:tc>
        <w:tc>
          <w:tcPr>
            <w:tcW w:w="500" w:type="pct"/>
            <w:shd w:val="clear" w:color="auto" w:fill="CCC0D9"/>
            <w:hideMark/>
          </w:tcPr>
          <w:p w14:paraId="3325680A" w14:textId="7553D1D4"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-66</w:t>
            </w:r>
            <w:r w:rsidR="00C71C5E">
              <w:rPr>
                <w:rFonts w:ascii="Segoe UI Light" w:hAnsi="Segoe UI Light"/>
                <w:sz w:val="16"/>
                <w:szCs w:val="16"/>
              </w:rPr>
              <w:t>,</w:t>
            </w:r>
            <w:r w:rsidRPr="0095482F">
              <w:rPr>
                <w:rFonts w:ascii="Segoe UI Light" w:hAnsi="Segoe UI Light"/>
                <w:sz w:val="16"/>
                <w:szCs w:val="16"/>
              </w:rPr>
              <w:t>3</w:t>
            </w:r>
          </w:p>
        </w:tc>
        <w:tc>
          <w:tcPr>
            <w:tcW w:w="500" w:type="pct"/>
            <w:shd w:val="clear" w:color="auto" w:fill="CCC0D9"/>
            <w:hideMark/>
          </w:tcPr>
          <w:p w14:paraId="3D15096C" w14:textId="0B320872"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16</w:t>
            </w:r>
            <w:r w:rsidR="00C71C5E">
              <w:rPr>
                <w:rFonts w:ascii="Segoe UI Light" w:hAnsi="Segoe UI Light"/>
                <w:sz w:val="16"/>
                <w:szCs w:val="16"/>
              </w:rPr>
              <w:t>,</w:t>
            </w:r>
            <w:r w:rsidRPr="0095482F">
              <w:rPr>
                <w:rFonts w:ascii="Segoe UI Light" w:hAnsi="Segoe UI Light"/>
                <w:sz w:val="16"/>
                <w:szCs w:val="16"/>
              </w:rPr>
              <w:t>0</w:t>
            </w:r>
          </w:p>
        </w:tc>
        <w:tc>
          <w:tcPr>
            <w:tcW w:w="500" w:type="pct"/>
            <w:shd w:val="clear" w:color="auto" w:fill="CCC0D9"/>
            <w:hideMark/>
          </w:tcPr>
          <w:p w14:paraId="6B173A24" w14:textId="11122153"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8</w:t>
            </w:r>
            <w:r w:rsidR="00C71C5E">
              <w:rPr>
                <w:rFonts w:ascii="Segoe UI Light" w:hAnsi="Segoe UI Light"/>
                <w:sz w:val="16"/>
                <w:szCs w:val="16"/>
              </w:rPr>
              <w:t>,</w:t>
            </w:r>
            <w:r w:rsidRPr="0095482F">
              <w:rPr>
                <w:rFonts w:ascii="Segoe UI Light" w:hAnsi="Segoe UI Light"/>
                <w:sz w:val="16"/>
                <w:szCs w:val="16"/>
              </w:rPr>
              <w:t>2</w:t>
            </w:r>
          </w:p>
        </w:tc>
        <w:tc>
          <w:tcPr>
            <w:tcW w:w="500" w:type="pct"/>
            <w:shd w:val="clear" w:color="auto" w:fill="CCC0D9"/>
            <w:hideMark/>
          </w:tcPr>
          <w:p w14:paraId="751E62F9" w14:textId="18B25F69"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-25</w:t>
            </w:r>
            <w:r w:rsidR="00C71C5E">
              <w:rPr>
                <w:rFonts w:ascii="Segoe UI Light" w:hAnsi="Segoe UI Light"/>
                <w:sz w:val="16"/>
                <w:szCs w:val="16"/>
              </w:rPr>
              <w:t>,</w:t>
            </w:r>
            <w:r w:rsidRPr="0095482F">
              <w:rPr>
                <w:rFonts w:ascii="Segoe UI Light" w:hAnsi="Segoe UI Light"/>
                <w:sz w:val="16"/>
                <w:szCs w:val="16"/>
              </w:rPr>
              <w:t>3</w:t>
            </w:r>
          </w:p>
        </w:tc>
        <w:tc>
          <w:tcPr>
            <w:tcW w:w="500" w:type="pct"/>
            <w:shd w:val="clear" w:color="auto" w:fill="CCC0D9"/>
            <w:hideMark/>
          </w:tcPr>
          <w:p w14:paraId="29C7D9E1" w14:textId="2483F405"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-74</w:t>
            </w:r>
            <w:r w:rsidR="00C71C5E">
              <w:rPr>
                <w:rFonts w:ascii="Segoe UI Light" w:hAnsi="Segoe UI Light"/>
                <w:sz w:val="16"/>
                <w:szCs w:val="16"/>
              </w:rPr>
              <w:t>,</w:t>
            </w:r>
            <w:r w:rsidRPr="0095482F">
              <w:rPr>
                <w:rFonts w:ascii="Segoe UI Light" w:hAnsi="Segoe UI Light"/>
                <w:sz w:val="16"/>
                <w:szCs w:val="16"/>
              </w:rPr>
              <w:t>6</w:t>
            </w:r>
          </w:p>
        </w:tc>
      </w:tr>
      <w:tr w:rsidR="00606052" w:rsidRPr="00F73E81" w14:paraId="3C3847A4" w14:textId="77777777" w:rsidTr="00267AA4">
        <w:trPr>
          <w:trHeight w:val="20"/>
        </w:trPr>
        <w:tc>
          <w:tcPr>
            <w:tcW w:w="500" w:type="pct"/>
            <w:shd w:val="clear" w:color="auto" w:fill="E5DFEC"/>
            <w:hideMark/>
          </w:tcPr>
          <w:p w14:paraId="1F87C8EE" w14:textId="77777777" w:rsidR="00267AA4" w:rsidRPr="00F73E81" w:rsidRDefault="00267AA4">
            <w:pPr>
              <w:spacing w:before="40" w:after="40"/>
              <w:jc w:val="center"/>
              <w:rPr>
                <w:rFonts w:ascii="Segoe UI Light" w:hAnsi="Segoe UI Light"/>
                <w:sz w:val="16"/>
                <w:szCs w:val="16"/>
              </w:rPr>
            </w:pPr>
            <w:r w:rsidRPr="00F73E81">
              <w:rPr>
                <w:rFonts w:ascii="Segoe UI Light" w:hAnsi="Segoe UI Light"/>
                <w:sz w:val="16"/>
                <w:szCs w:val="16"/>
              </w:rPr>
              <w:t>45-54</w:t>
            </w:r>
          </w:p>
        </w:tc>
        <w:tc>
          <w:tcPr>
            <w:tcW w:w="500" w:type="pct"/>
            <w:shd w:val="clear" w:color="auto" w:fill="E5DFEC"/>
            <w:hideMark/>
          </w:tcPr>
          <w:p w14:paraId="37341586" w14:textId="12079BB2" w:rsidR="00267AA4" w:rsidRPr="00F73E81" w:rsidRDefault="00267AA4">
            <w:pPr>
              <w:tabs>
                <w:tab w:val="decimal" w:pos="274"/>
              </w:tabs>
              <w:spacing w:before="40" w:after="40"/>
              <w:jc w:val="center"/>
              <w:rPr>
                <w:rFonts w:ascii="Segoe UI Light" w:hAnsi="Segoe UI Light"/>
                <w:sz w:val="16"/>
                <w:szCs w:val="16"/>
              </w:rPr>
            </w:pPr>
            <w:r w:rsidRPr="00797D6B">
              <w:rPr>
                <w:rFonts w:ascii="Segoe UI Light" w:hAnsi="Segoe UI Light"/>
                <w:sz w:val="16"/>
                <w:szCs w:val="16"/>
              </w:rPr>
              <w:t>218</w:t>
            </w:r>
            <w:r w:rsidR="00C71C5E">
              <w:rPr>
                <w:rFonts w:ascii="Segoe UI Light" w:hAnsi="Segoe UI Light"/>
                <w:sz w:val="16"/>
                <w:szCs w:val="16"/>
              </w:rPr>
              <w:t>,</w:t>
            </w:r>
            <w:r w:rsidRPr="00797D6B">
              <w:rPr>
                <w:rFonts w:ascii="Segoe UI Light" w:hAnsi="Segoe UI Light"/>
                <w:sz w:val="16"/>
                <w:szCs w:val="16"/>
              </w:rPr>
              <w:t>7</w:t>
            </w:r>
          </w:p>
        </w:tc>
        <w:tc>
          <w:tcPr>
            <w:tcW w:w="500" w:type="pct"/>
            <w:shd w:val="clear" w:color="auto" w:fill="E5DFEC"/>
            <w:hideMark/>
          </w:tcPr>
          <w:p w14:paraId="642A7EF5" w14:textId="3C04BE5F"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223</w:t>
            </w:r>
            <w:r w:rsidR="00C71C5E">
              <w:rPr>
                <w:rFonts w:ascii="Segoe UI Light" w:hAnsi="Segoe UI Light"/>
                <w:sz w:val="16"/>
                <w:szCs w:val="16"/>
              </w:rPr>
              <w:t>,</w:t>
            </w:r>
            <w:r w:rsidRPr="00797D6B">
              <w:rPr>
                <w:rFonts w:ascii="Segoe UI Light" w:hAnsi="Segoe UI Light"/>
                <w:sz w:val="16"/>
                <w:szCs w:val="16"/>
              </w:rPr>
              <w:t>6</w:t>
            </w:r>
          </w:p>
        </w:tc>
        <w:tc>
          <w:tcPr>
            <w:tcW w:w="500" w:type="pct"/>
            <w:shd w:val="clear" w:color="auto" w:fill="E5DFEC"/>
            <w:hideMark/>
          </w:tcPr>
          <w:p w14:paraId="4D556F92" w14:textId="58885925"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228</w:t>
            </w:r>
            <w:r w:rsidR="00C71C5E">
              <w:rPr>
                <w:rFonts w:ascii="Segoe UI Light" w:hAnsi="Segoe UI Light"/>
                <w:sz w:val="16"/>
                <w:szCs w:val="16"/>
              </w:rPr>
              <w:t>,</w:t>
            </w:r>
            <w:r w:rsidRPr="00797D6B">
              <w:rPr>
                <w:rFonts w:ascii="Segoe UI Light" w:hAnsi="Segoe UI Light"/>
                <w:sz w:val="16"/>
                <w:szCs w:val="16"/>
              </w:rPr>
              <w:t>7</w:t>
            </w:r>
          </w:p>
        </w:tc>
        <w:tc>
          <w:tcPr>
            <w:tcW w:w="500" w:type="pct"/>
            <w:shd w:val="clear" w:color="auto" w:fill="E5DFEC"/>
            <w:hideMark/>
          </w:tcPr>
          <w:p w14:paraId="61A60376" w14:textId="42B7891A"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4</w:t>
            </w:r>
            <w:r w:rsidR="00C71C5E">
              <w:rPr>
                <w:rFonts w:ascii="Segoe UI Light" w:hAnsi="Segoe UI Light"/>
                <w:sz w:val="16"/>
                <w:szCs w:val="16"/>
              </w:rPr>
              <w:t>,</w:t>
            </w:r>
            <w:r w:rsidRPr="0095482F">
              <w:rPr>
                <w:rFonts w:ascii="Segoe UI Light" w:hAnsi="Segoe UI Light"/>
                <w:sz w:val="16"/>
                <w:szCs w:val="16"/>
              </w:rPr>
              <w:t>9</w:t>
            </w:r>
          </w:p>
        </w:tc>
        <w:tc>
          <w:tcPr>
            <w:tcW w:w="500" w:type="pct"/>
            <w:shd w:val="clear" w:color="auto" w:fill="E5DFEC"/>
            <w:hideMark/>
          </w:tcPr>
          <w:p w14:paraId="38DFB463" w14:textId="02CA2F99"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10</w:t>
            </w:r>
            <w:r w:rsidR="00C71C5E">
              <w:rPr>
                <w:rFonts w:ascii="Segoe UI Light" w:hAnsi="Segoe UI Light"/>
                <w:sz w:val="16"/>
                <w:szCs w:val="16"/>
              </w:rPr>
              <w:t>,</w:t>
            </w:r>
            <w:r w:rsidRPr="0095482F">
              <w:rPr>
                <w:rFonts w:ascii="Segoe UI Light" w:hAnsi="Segoe UI Light"/>
                <w:sz w:val="16"/>
                <w:szCs w:val="16"/>
              </w:rPr>
              <w:t>0</w:t>
            </w:r>
          </w:p>
        </w:tc>
        <w:tc>
          <w:tcPr>
            <w:tcW w:w="500" w:type="pct"/>
            <w:shd w:val="clear" w:color="auto" w:fill="E5DFEC"/>
            <w:hideMark/>
          </w:tcPr>
          <w:p w14:paraId="791810BB" w14:textId="49387F87"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8</w:t>
            </w:r>
            <w:r w:rsidR="00C71C5E">
              <w:rPr>
                <w:rFonts w:ascii="Segoe UI Light" w:hAnsi="Segoe UI Light"/>
                <w:sz w:val="16"/>
                <w:szCs w:val="16"/>
              </w:rPr>
              <w:t>,</w:t>
            </w:r>
            <w:r w:rsidRPr="0095482F">
              <w:rPr>
                <w:rFonts w:ascii="Segoe UI Light" w:hAnsi="Segoe UI Light"/>
                <w:sz w:val="16"/>
                <w:szCs w:val="16"/>
              </w:rPr>
              <w:t>5</w:t>
            </w:r>
          </w:p>
        </w:tc>
        <w:tc>
          <w:tcPr>
            <w:tcW w:w="500" w:type="pct"/>
            <w:shd w:val="clear" w:color="auto" w:fill="E5DFEC"/>
            <w:hideMark/>
          </w:tcPr>
          <w:p w14:paraId="2B46BCD0" w14:textId="5144420D"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13</w:t>
            </w:r>
            <w:r w:rsidR="00C71C5E">
              <w:rPr>
                <w:rFonts w:ascii="Segoe UI Light" w:hAnsi="Segoe UI Light"/>
                <w:sz w:val="16"/>
                <w:szCs w:val="16"/>
              </w:rPr>
              <w:t>,</w:t>
            </w:r>
            <w:r w:rsidRPr="0095482F">
              <w:rPr>
                <w:rFonts w:ascii="Segoe UI Light" w:hAnsi="Segoe UI Light"/>
                <w:sz w:val="16"/>
                <w:szCs w:val="16"/>
              </w:rPr>
              <w:t>5</w:t>
            </w:r>
          </w:p>
        </w:tc>
        <w:tc>
          <w:tcPr>
            <w:tcW w:w="500" w:type="pct"/>
            <w:shd w:val="clear" w:color="auto" w:fill="E5DFEC"/>
            <w:hideMark/>
          </w:tcPr>
          <w:p w14:paraId="53C63A2C" w14:textId="14F97E85"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-3</w:t>
            </w:r>
            <w:r w:rsidR="00C71C5E">
              <w:rPr>
                <w:rFonts w:ascii="Segoe UI Light" w:hAnsi="Segoe UI Light"/>
                <w:sz w:val="16"/>
                <w:szCs w:val="16"/>
              </w:rPr>
              <w:t>,</w:t>
            </w:r>
            <w:r w:rsidRPr="0095482F">
              <w:rPr>
                <w:rFonts w:ascii="Segoe UI Light" w:hAnsi="Segoe UI Light"/>
                <w:sz w:val="16"/>
                <w:szCs w:val="16"/>
              </w:rPr>
              <w:t>6</w:t>
            </w:r>
          </w:p>
        </w:tc>
        <w:tc>
          <w:tcPr>
            <w:tcW w:w="500" w:type="pct"/>
            <w:shd w:val="clear" w:color="auto" w:fill="E5DFEC"/>
            <w:hideMark/>
          </w:tcPr>
          <w:p w14:paraId="76B2962E" w14:textId="7ABB9E12"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-3</w:t>
            </w:r>
            <w:r w:rsidR="00C71C5E">
              <w:rPr>
                <w:rFonts w:ascii="Segoe UI Light" w:hAnsi="Segoe UI Light"/>
                <w:sz w:val="16"/>
                <w:szCs w:val="16"/>
              </w:rPr>
              <w:t>,</w:t>
            </w:r>
            <w:r w:rsidRPr="0095482F">
              <w:rPr>
                <w:rFonts w:ascii="Segoe UI Light" w:hAnsi="Segoe UI Light"/>
                <w:sz w:val="16"/>
                <w:szCs w:val="16"/>
              </w:rPr>
              <w:t>5</w:t>
            </w:r>
          </w:p>
        </w:tc>
      </w:tr>
      <w:tr w:rsidR="00606052" w:rsidRPr="00F73E81" w14:paraId="307601B3" w14:textId="77777777" w:rsidTr="00267AA4">
        <w:trPr>
          <w:cnfStyle w:val="000000100000" w:firstRow="0" w:lastRow="0" w:firstColumn="0" w:lastColumn="0" w:oddVBand="0" w:evenVBand="0" w:oddHBand="1" w:evenHBand="0" w:firstRowFirstColumn="0" w:firstRowLastColumn="0" w:lastRowFirstColumn="0" w:lastRowLastColumn="0"/>
          <w:trHeight w:val="20"/>
        </w:trPr>
        <w:tc>
          <w:tcPr>
            <w:tcW w:w="500" w:type="pct"/>
            <w:shd w:val="clear" w:color="auto" w:fill="CCC0D9"/>
            <w:hideMark/>
          </w:tcPr>
          <w:p w14:paraId="56212BD4" w14:textId="77777777" w:rsidR="00267AA4" w:rsidRPr="00F73E81" w:rsidRDefault="00267AA4">
            <w:pPr>
              <w:spacing w:before="40" w:after="40"/>
              <w:jc w:val="center"/>
              <w:rPr>
                <w:rFonts w:ascii="Segoe UI Light" w:hAnsi="Segoe UI Light"/>
                <w:sz w:val="16"/>
                <w:szCs w:val="16"/>
              </w:rPr>
            </w:pPr>
            <w:r w:rsidRPr="00F73E81">
              <w:rPr>
                <w:rFonts w:ascii="Segoe UI Light" w:hAnsi="Segoe UI Light"/>
                <w:sz w:val="16"/>
                <w:szCs w:val="16"/>
              </w:rPr>
              <w:t>55-64</w:t>
            </w:r>
          </w:p>
        </w:tc>
        <w:tc>
          <w:tcPr>
            <w:tcW w:w="500" w:type="pct"/>
            <w:shd w:val="clear" w:color="auto" w:fill="CCC0D9"/>
            <w:hideMark/>
          </w:tcPr>
          <w:p w14:paraId="519B4845" w14:textId="03C2EADD" w:rsidR="00267AA4" w:rsidRPr="00F73E81" w:rsidRDefault="00267AA4">
            <w:pPr>
              <w:tabs>
                <w:tab w:val="decimal" w:pos="274"/>
              </w:tabs>
              <w:spacing w:before="40" w:after="40"/>
              <w:jc w:val="center"/>
              <w:rPr>
                <w:rFonts w:ascii="Segoe UI Light" w:hAnsi="Segoe UI Light"/>
                <w:sz w:val="16"/>
                <w:szCs w:val="16"/>
              </w:rPr>
            </w:pPr>
            <w:r w:rsidRPr="00797D6B">
              <w:rPr>
                <w:rFonts w:ascii="Segoe UI Light" w:hAnsi="Segoe UI Light"/>
                <w:sz w:val="16"/>
                <w:szCs w:val="16"/>
              </w:rPr>
              <w:t>194</w:t>
            </w:r>
            <w:r w:rsidR="00C71C5E">
              <w:rPr>
                <w:rFonts w:ascii="Segoe UI Light" w:hAnsi="Segoe UI Light"/>
                <w:sz w:val="16"/>
                <w:szCs w:val="16"/>
              </w:rPr>
              <w:t>,</w:t>
            </w:r>
            <w:r w:rsidRPr="00797D6B">
              <w:rPr>
                <w:rFonts w:ascii="Segoe UI Light" w:hAnsi="Segoe UI Light"/>
                <w:sz w:val="16"/>
                <w:szCs w:val="16"/>
              </w:rPr>
              <w:t>0</w:t>
            </w:r>
          </w:p>
        </w:tc>
        <w:tc>
          <w:tcPr>
            <w:tcW w:w="500" w:type="pct"/>
            <w:shd w:val="clear" w:color="auto" w:fill="CCC0D9"/>
            <w:hideMark/>
          </w:tcPr>
          <w:p w14:paraId="4D305A41" w14:textId="3B557258"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207</w:t>
            </w:r>
            <w:r w:rsidR="00C71C5E">
              <w:rPr>
                <w:rFonts w:ascii="Segoe UI Light" w:hAnsi="Segoe UI Light"/>
                <w:sz w:val="16"/>
                <w:szCs w:val="16"/>
              </w:rPr>
              <w:t>,</w:t>
            </w:r>
            <w:r w:rsidRPr="00797D6B">
              <w:rPr>
                <w:rFonts w:ascii="Segoe UI Light" w:hAnsi="Segoe UI Light"/>
                <w:sz w:val="16"/>
                <w:szCs w:val="16"/>
              </w:rPr>
              <w:t>7</w:t>
            </w:r>
          </w:p>
        </w:tc>
        <w:tc>
          <w:tcPr>
            <w:tcW w:w="500" w:type="pct"/>
            <w:shd w:val="clear" w:color="auto" w:fill="CCC0D9"/>
            <w:hideMark/>
          </w:tcPr>
          <w:p w14:paraId="53034BA0" w14:textId="0ACA3747"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209</w:t>
            </w:r>
            <w:r w:rsidR="00C71C5E">
              <w:rPr>
                <w:rFonts w:ascii="Segoe UI Light" w:hAnsi="Segoe UI Light"/>
                <w:sz w:val="16"/>
                <w:szCs w:val="16"/>
              </w:rPr>
              <w:t>,</w:t>
            </w:r>
            <w:r w:rsidRPr="00797D6B">
              <w:rPr>
                <w:rFonts w:ascii="Segoe UI Light" w:hAnsi="Segoe UI Light"/>
                <w:sz w:val="16"/>
                <w:szCs w:val="16"/>
              </w:rPr>
              <w:t>4</w:t>
            </w:r>
          </w:p>
        </w:tc>
        <w:tc>
          <w:tcPr>
            <w:tcW w:w="500" w:type="pct"/>
            <w:shd w:val="clear" w:color="auto" w:fill="CCC0D9"/>
            <w:hideMark/>
          </w:tcPr>
          <w:p w14:paraId="40791510" w14:textId="38CA30FC"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13</w:t>
            </w:r>
            <w:r w:rsidR="00C71C5E">
              <w:rPr>
                <w:rFonts w:ascii="Segoe UI Light" w:hAnsi="Segoe UI Light"/>
                <w:sz w:val="16"/>
                <w:szCs w:val="16"/>
              </w:rPr>
              <w:t>,</w:t>
            </w:r>
            <w:r w:rsidRPr="0095482F">
              <w:rPr>
                <w:rFonts w:ascii="Segoe UI Light" w:hAnsi="Segoe UI Light"/>
                <w:sz w:val="16"/>
                <w:szCs w:val="16"/>
              </w:rPr>
              <w:t>7</w:t>
            </w:r>
          </w:p>
        </w:tc>
        <w:tc>
          <w:tcPr>
            <w:tcW w:w="500" w:type="pct"/>
            <w:shd w:val="clear" w:color="auto" w:fill="CCC0D9"/>
            <w:hideMark/>
          </w:tcPr>
          <w:p w14:paraId="0029DBC9" w14:textId="2BB483DF"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15</w:t>
            </w:r>
            <w:r w:rsidR="00C71C5E">
              <w:rPr>
                <w:rFonts w:ascii="Segoe UI Light" w:hAnsi="Segoe UI Light"/>
                <w:sz w:val="16"/>
                <w:szCs w:val="16"/>
              </w:rPr>
              <w:t>,</w:t>
            </w:r>
            <w:r w:rsidRPr="0095482F">
              <w:rPr>
                <w:rFonts w:ascii="Segoe UI Light" w:hAnsi="Segoe UI Light"/>
                <w:sz w:val="16"/>
                <w:szCs w:val="16"/>
              </w:rPr>
              <w:t>4</w:t>
            </w:r>
          </w:p>
        </w:tc>
        <w:tc>
          <w:tcPr>
            <w:tcW w:w="500" w:type="pct"/>
            <w:shd w:val="clear" w:color="auto" w:fill="CCC0D9"/>
            <w:hideMark/>
          </w:tcPr>
          <w:p w14:paraId="60E160BF" w14:textId="29A60177"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25</w:t>
            </w:r>
            <w:r w:rsidR="00C71C5E">
              <w:rPr>
                <w:rFonts w:ascii="Segoe UI Light" w:hAnsi="Segoe UI Light"/>
                <w:sz w:val="16"/>
                <w:szCs w:val="16"/>
              </w:rPr>
              <w:t>,</w:t>
            </w:r>
            <w:r w:rsidRPr="0095482F">
              <w:rPr>
                <w:rFonts w:ascii="Segoe UI Light" w:hAnsi="Segoe UI Light"/>
                <w:sz w:val="16"/>
                <w:szCs w:val="16"/>
              </w:rPr>
              <w:t>6</w:t>
            </w:r>
          </w:p>
        </w:tc>
        <w:tc>
          <w:tcPr>
            <w:tcW w:w="500" w:type="pct"/>
            <w:shd w:val="clear" w:color="auto" w:fill="CCC0D9"/>
            <w:hideMark/>
          </w:tcPr>
          <w:p w14:paraId="4149581B" w14:textId="03D88500"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27</w:t>
            </w:r>
            <w:r w:rsidR="00C71C5E">
              <w:rPr>
                <w:rFonts w:ascii="Segoe UI Light" w:hAnsi="Segoe UI Light"/>
                <w:sz w:val="16"/>
                <w:szCs w:val="16"/>
              </w:rPr>
              <w:t>,</w:t>
            </w:r>
            <w:r w:rsidRPr="0095482F">
              <w:rPr>
                <w:rFonts w:ascii="Segoe UI Light" w:hAnsi="Segoe UI Light"/>
                <w:sz w:val="16"/>
                <w:szCs w:val="16"/>
              </w:rPr>
              <w:t>5</w:t>
            </w:r>
          </w:p>
        </w:tc>
        <w:tc>
          <w:tcPr>
            <w:tcW w:w="500" w:type="pct"/>
            <w:shd w:val="clear" w:color="auto" w:fill="CCC0D9"/>
            <w:hideMark/>
          </w:tcPr>
          <w:p w14:paraId="35C5C812" w14:textId="6B48F072"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-12</w:t>
            </w:r>
            <w:r w:rsidR="00C71C5E">
              <w:rPr>
                <w:rFonts w:ascii="Segoe UI Light" w:hAnsi="Segoe UI Light"/>
                <w:sz w:val="16"/>
                <w:szCs w:val="16"/>
              </w:rPr>
              <w:t>,</w:t>
            </w:r>
            <w:r w:rsidRPr="0095482F">
              <w:rPr>
                <w:rFonts w:ascii="Segoe UI Light" w:hAnsi="Segoe UI Light"/>
                <w:sz w:val="16"/>
                <w:szCs w:val="16"/>
              </w:rPr>
              <w:t>0</w:t>
            </w:r>
          </w:p>
        </w:tc>
        <w:tc>
          <w:tcPr>
            <w:tcW w:w="500" w:type="pct"/>
            <w:shd w:val="clear" w:color="auto" w:fill="CCC0D9"/>
            <w:hideMark/>
          </w:tcPr>
          <w:p w14:paraId="7F992038" w14:textId="11CFAE49"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-12</w:t>
            </w:r>
            <w:r w:rsidR="00C71C5E">
              <w:rPr>
                <w:rFonts w:ascii="Segoe UI Light" w:hAnsi="Segoe UI Light"/>
                <w:sz w:val="16"/>
                <w:szCs w:val="16"/>
              </w:rPr>
              <w:t>,</w:t>
            </w:r>
            <w:r w:rsidRPr="0095482F">
              <w:rPr>
                <w:rFonts w:ascii="Segoe UI Light" w:hAnsi="Segoe UI Light"/>
                <w:sz w:val="16"/>
                <w:szCs w:val="16"/>
              </w:rPr>
              <w:t>1</w:t>
            </w:r>
          </w:p>
        </w:tc>
      </w:tr>
      <w:tr w:rsidR="00606052" w:rsidRPr="00F73E81" w14:paraId="323EE689" w14:textId="77777777" w:rsidTr="00267AA4">
        <w:trPr>
          <w:trHeight w:val="20"/>
        </w:trPr>
        <w:tc>
          <w:tcPr>
            <w:tcW w:w="500" w:type="pct"/>
            <w:shd w:val="clear" w:color="auto" w:fill="E5DFEC"/>
            <w:hideMark/>
          </w:tcPr>
          <w:p w14:paraId="3A2C0585" w14:textId="77777777" w:rsidR="00267AA4" w:rsidRPr="00F73E81" w:rsidRDefault="00267AA4">
            <w:pPr>
              <w:spacing w:before="40" w:after="40"/>
              <w:jc w:val="center"/>
              <w:rPr>
                <w:rFonts w:ascii="Segoe UI Light" w:hAnsi="Segoe UI Light"/>
                <w:sz w:val="16"/>
                <w:szCs w:val="16"/>
              </w:rPr>
            </w:pPr>
            <w:r w:rsidRPr="00F73E81">
              <w:rPr>
                <w:rFonts w:ascii="Segoe UI Light" w:hAnsi="Segoe UI Light"/>
                <w:sz w:val="16"/>
                <w:szCs w:val="16"/>
              </w:rPr>
              <w:t>65-74</w:t>
            </w:r>
          </w:p>
        </w:tc>
        <w:tc>
          <w:tcPr>
            <w:tcW w:w="500" w:type="pct"/>
            <w:shd w:val="clear" w:color="auto" w:fill="E5DFEC"/>
            <w:hideMark/>
          </w:tcPr>
          <w:p w14:paraId="45DCA2D2" w14:textId="15028E83" w:rsidR="00267AA4" w:rsidRPr="00F73E81" w:rsidRDefault="00267AA4">
            <w:pPr>
              <w:tabs>
                <w:tab w:val="decimal" w:pos="274"/>
              </w:tabs>
              <w:spacing w:before="40" w:after="40"/>
              <w:jc w:val="center"/>
              <w:rPr>
                <w:rFonts w:ascii="Segoe UI Light" w:hAnsi="Segoe UI Light"/>
                <w:sz w:val="16"/>
                <w:szCs w:val="16"/>
              </w:rPr>
            </w:pPr>
            <w:r w:rsidRPr="00797D6B">
              <w:rPr>
                <w:rFonts w:ascii="Segoe UI Light" w:hAnsi="Segoe UI Light"/>
                <w:sz w:val="16"/>
                <w:szCs w:val="16"/>
              </w:rPr>
              <w:t>51</w:t>
            </w:r>
            <w:r w:rsidR="00C71C5E">
              <w:rPr>
                <w:rFonts w:ascii="Segoe UI Light" w:hAnsi="Segoe UI Light"/>
                <w:sz w:val="16"/>
                <w:szCs w:val="16"/>
              </w:rPr>
              <w:t>,</w:t>
            </w:r>
            <w:r w:rsidRPr="00797D6B">
              <w:rPr>
                <w:rFonts w:ascii="Segoe UI Light" w:hAnsi="Segoe UI Light"/>
                <w:sz w:val="16"/>
                <w:szCs w:val="16"/>
              </w:rPr>
              <w:t>7</w:t>
            </w:r>
          </w:p>
        </w:tc>
        <w:tc>
          <w:tcPr>
            <w:tcW w:w="500" w:type="pct"/>
            <w:shd w:val="clear" w:color="auto" w:fill="E5DFEC"/>
            <w:hideMark/>
          </w:tcPr>
          <w:p w14:paraId="3C5F3485" w14:textId="17D90A9E"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68</w:t>
            </w:r>
            <w:r w:rsidR="00C71C5E">
              <w:rPr>
                <w:rFonts w:ascii="Segoe UI Light" w:hAnsi="Segoe UI Light"/>
                <w:sz w:val="16"/>
                <w:szCs w:val="16"/>
              </w:rPr>
              <w:t>,</w:t>
            </w:r>
            <w:r w:rsidRPr="00797D6B">
              <w:rPr>
                <w:rFonts w:ascii="Segoe UI Light" w:hAnsi="Segoe UI Light"/>
                <w:sz w:val="16"/>
                <w:szCs w:val="16"/>
              </w:rPr>
              <w:t>3</w:t>
            </w:r>
          </w:p>
        </w:tc>
        <w:tc>
          <w:tcPr>
            <w:tcW w:w="500" w:type="pct"/>
            <w:shd w:val="clear" w:color="auto" w:fill="E5DFEC"/>
            <w:hideMark/>
          </w:tcPr>
          <w:p w14:paraId="2B6EB12D" w14:textId="48874786" w:rsidR="00267AA4" w:rsidRPr="00F73E81" w:rsidRDefault="00267AA4">
            <w:pPr>
              <w:tabs>
                <w:tab w:val="decimal" w:pos="352"/>
                <w:tab w:val="decimal" w:pos="462"/>
              </w:tabs>
              <w:spacing w:before="40" w:after="40"/>
              <w:jc w:val="center"/>
              <w:rPr>
                <w:rFonts w:ascii="Segoe UI Light" w:hAnsi="Segoe UI Light"/>
                <w:sz w:val="16"/>
                <w:szCs w:val="16"/>
              </w:rPr>
            </w:pPr>
            <w:r w:rsidRPr="00797D6B">
              <w:rPr>
                <w:rFonts w:ascii="Segoe UI Light" w:hAnsi="Segoe UI Light"/>
                <w:sz w:val="16"/>
                <w:szCs w:val="16"/>
              </w:rPr>
              <w:t>66</w:t>
            </w:r>
            <w:r w:rsidR="00C71C5E">
              <w:rPr>
                <w:rFonts w:ascii="Segoe UI Light" w:hAnsi="Segoe UI Light"/>
                <w:sz w:val="16"/>
                <w:szCs w:val="16"/>
              </w:rPr>
              <w:t>,</w:t>
            </w:r>
            <w:r w:rsidRPr="00797D6B">
              <w:rPr>
                <w:rFonts w:ascii="Segoe UI Light" w:hAnsi="Segoe UI Light"/>
                <w:sz w:val="16"/>
                <w:szCs w:val="16"/>
              </w:rPr>
              <w:t>3</w:t>
            </w:r>
          </w:p>
        </w:tc>
        <w:tc>
          <w:tcPr>
            <w:tcW w:w="500" w:type="pct"/>
            <w:shd w:val="clear" w:color="auto" w:fill="E5DFEC"/>
            <w:hideMark/>
          </w:tcPr>
          <w:p w14:paraId="508FE38A" w14:textId="2246C96D"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16</w:t>
            </w:r>
            <w:r w:rsidR="00C71C5E">
              <w:rPr>
                <w:rFonts w:ascii="Segoe UI Light" w:hAnsi="Segoe UI Light"/>
                <w:sz w:val="16"/>
                <w:szCs w:val="16"/>
              </w:rPr>
              <w:t>,</w:t>
            </w:r>
            <w:r w:rsidRPr="0095482F">
              <w:rPr>
                <w:rFonts w:ascii="Segoe UI Light" w:hAnsi="Segoe UI Light"/>
                <w:sz w:val="16"/>
                <w:szCs w:val="16"/>
              </w:rPr>
              <w:t>6</w:t>
            </w:r>
          </w:p>
        </w:tc>
        <w:tc>
          <w:tcPr>
            <w:tcW w:w="500" w:type="pct"/>
            <w:shd w:val="clear" w:color="auto" w:fill="E5DFEC"/>
            <w:hideMark/>
          </w:tcPr>
          <w:p w14:paraId="3B18F6F5" w14:textId="66B14329"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14</w:t>
            </w:r>
            <w:r w:rsidR="00C71C5E">
              <w:rPr>
                <w:rFonts w:ascii="Segoe UI Light" w:hAnsi="Segoe UI Light"/>
                <w:sz w:val="16"/>
                <w:szCs w:val="16"/>
              </w:rPr>
              <w:t>,</w:t>
            </w:r>
            <w:r w:rsidRPr="0095482F">
              <w:rPr>
                <w:rFonts w:ascii="Segoe UI Light" w:hAnsi="Segoe UI Light"/>
                <w:sz w:val="16"/>
                <w:szCs w:val="16"/>
              </w:rPr>
              <w:t>6</w:t>
            </w:r>
          </w:p>
        </w:tc>
        <w:tc>
          <w:tcPr>
            <w:tcW w:w="500" w:type="pct"/>
            <w:shd w:val="clear" w:color="auto" w:fill="E5DFEC"/>
            <w:hideMark/>
          </w:tcPr>
          <w:p w14:paraId="47C6D5F7" w14:textId="403115EB"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14</w:t>
            </w:r>
            <w:r w:rsidR="00C71C5E">
              <w:rPr>
                <w:rFonts w:ascii="Segoe UI Light" w:hAnsi="Segoe UI Light"/>
                <w:sz w:val="16"/>
                <w:szCs w:val="16"/>
              </w:rPr>
              <w:t>,</w:t>
            </w:r>
            <w:r w:rsidRPr="0095482F">
              <w:rPr>
                <w:rFonts w:ascii="Segoe UI Light" w:hAnsi="Segoe UI Light"/>
                <w:sz w:val="16"/>
                <w:szCs w:val="16"/>
              </w:rPr>
              <w:t>5</w:t>
            </w:r>
          </w:p>
        </w:tc>
        <w:tc>
          <w:tcPr>
            <w:tcW w:w="500" w:type="pct"/>
            <w:shd w:val="clear" w:color="auto" w:fill="E5DFEC"/>
            <w:hideMark/>
          </w:tcPr>
          <w:p w14:paraId="320B5114" w14:textId="690DB677"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13</w:t>
            </w:r>
            <w:r w:rsidR="00C71C5E">
              <w:rPr>
                <w:rFonts w:ascii="Segoe UI Light" w:hAnsi="Segoe UI Light"/>
                <w:sz w:val="16"/>
                <w:szCs w:val="16"/>
              </w:rPr>
              <w:t>,</w:t>
            </w:r>
            <w:r w:rsidRPr="0095482F">
              <w:rPr>
                <w:rFonts w:ascii="Segoe UI Light" w:hAnsi="Segoe UI Light"/>
                <w:sz w:val="16"/>
                <w:szCs w:val="16"/>
              </w:rPr>
              <w:t>9</w:t>
            </w:r>
          </w:p>
        </w:tc>
        <w:tc>
          <w:tcPr>
            <w:tcW w:w="500" w:type="pct"/>
            <w:shd w:val="clear" w:color="auto" w:fill="E5DFEC"/>
            <w:hideMark/>
          </w:tcPr>
          <w:p w14:paraId="773238C4" w14:textId="6981AF80"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2</w:t>
            </w:r>
            <w:r w:rsidR="00C71C5E">
              <w:rPr>
                <w:rFonts w:ascii="Segoe UI Light" w:hAnsi="Segoe UI Light"/>
                <w:sz w:val="16"/>
                <w:szCs w:val="16"/>
              </w:rPr>
              <w:t>,</w:t>
            </w:r>
            <w:r w:rsidRPr="0095482F">
              <w:rPr>
                <w:rFonts w:ascii="Segoe UI Light" w:hAnsi="Segoe UI Light"/>
                <w:sz w:val="16"/>
                <w:szCs w:val="16"/>
              </w:rPr>
              <w:t>1</w:t>
            </w:r>
          </w:p>
        </w:tc>
        <w:tc>
          <w:tcPr>
            <w:tcW w:w="500" w:type="pct"/>
            <w:shd w:val="clear" w:color="auto" w:fill="E5DFEC"/>
            <w:hideMark/>
          </w:tcPr>
          <w:p w14:paraId="5CB8A280" w14:textId="60678271" w:rsidR="00267AA4" w:rsidRPr="00F73E81" w:rsidRDefault="00267AA4">
            <w:pPr>
              <w:tabs>
                <w:tab w:val="decimal" w:pos="352"/>
                <w:tab w:val="decimal" w:pos="462"/>
              </w:tabs>
              <w:spacing w:before="40" w:after="40"/>
              <w:jc w:val="center"/>
              <w:rPr>
                <w:rFonts w:ascii="Segoe UI Light" w:hAnsi="Segoe UI Light"/>
                <w:sz w:val="16"/>
                <w:szCs w:val="16"/>
              </w:rPr>
            </w:pPr>
            <w:r w:rsidRPr="0095482F">
              <w:rPr>
                <w:rFonts w:ascii="Segoe UI Light" w:hAnsi="Segoe UI Light"/>
                <w:sz w:val="16"/>
                <w:szCs w:val="16"/>
              </w:rPr>
              <w:t>0</w:t>
            </w:r>
            <w:r w:rsidR="00C71C5E">
              <w:rPr>
                <w:rFonts w:ascii="Segoe UI Light" w:hAnsi="Segoe UI Light"/>
                <w:sz w:val="16"/>
                <w:szCs w:val="16"/>
              </w:rPr>
              <w:t>,</w:t>
            </w:r>
            <w:r w:rsidRPr="0095482F">
              <w:rPr>
                <w:rFonts w:ascii="Segoe UI Light" w:hAnsi="Segoe UI Light"/>
                <w:sz w:val="16"/>
                <w:szCs w:val="16"/>
              </w:rPr>
              <w:t>7</w:t>
            </w:r>
          </w:p>
        </w:tc>
      </w:tr>
    </w:tbl>
    <w:p w14:paraId="321EEE09" w14:textId="5854D37F" w:rsidR="00267AA4" w:rsidRPr="00267AA4" w:rsidRDefault="00267AA4" w:rsidP="00267AA4">
      <w:pPr>
        <w:spacing w:before="120" w:after="120"/>
        <w:jc w:val="both"/>
        <w:rPr>
          <w:rFonts w:cs="Calibri Light"/>
          <w:sz w:val="16"/>
          <w:szCs w:val="14"/>
        </w:rPr>
      </w:pPr>
      <w:r w:rsidRPr="00267AA4">
        <w:rPr>
          <w:rFonts w:cs="Calibri Light"/>
          <w:sz w:val="16"/>
          <w:szCs w:val="14"/>
        </w:rPr>
        <w:t>Avots: CSP dati 2023.gadam, EM prognozes 2030. gadam un 2040.gadam.</w:t>
      </w:r>
    </w:p>
    <w:p w14:paraId="6CDFDF19" w14:textId="77777777" w:rsidR="00267AA4" w:rsidRDefault="00267AA4" w:rsidP="00343F74">
      <w:pPr>
        <w:spacing w:after="120"/>
        <w:jc w:val="both"/>
        <w:rPr>
          <w:color w:val="000000" w:themeColor="text1"/>
          <w:highlight w:val="yellow"/>
        </w:rPr>
      </w:pPr>
    </w:p>
    <w:p w14:paraId="16817A89" w14:textId="77777777" w:rsidR="00B018CB" w:rsidRDefault="00B018CB">
      <w:pPr>
        <w:spacing w:after="0"/>
        <w:rPr>
          <w:rFonts w:ascii="Aptos Narrow" w:hAnsi="Aptos Narrow"/>
          <w:b/>
          <w:color w:val="5F497A" w:themeColor="accent4" w:themeShade="BF"/>
          <w:sz w:val="28"/>
          <w:szCs w:val="28"/>
        </w:rPr>
      </w:pPr>
      <w:r>
        <w:rPr>
          <w:rFonts w:ascii="Aptos Narrow" w:hAnsi="Aptos Narrow"/>
          <w:b/>
          <w:color w:val="5F497A" w:themeColor="accent4" w:themeShade="BF"/>
          <w:sz w:val="28"/>
          <w:szCs w:val="28"/>
        </w:rPr>
        <w:br w:type="page"/>
      </w:r>
    </w:p>
    <w:p w14:paraId="558B3611" w14:textId="6F90866A" w:rsidR="00267AA4" w:rsidRPr="00B018CB" w:rsidRDefault="00267AA4" w:rsidP="00B018CB">
      <w:pPr>
        <w:spacing w:after="120"/>
        <w:jc w:val="both"/>
        <w:rPr>
          <w:rFonts w:ascii="Aptos Narrow" w:hAnsi="Aptos Narrow"/>
          <w:b/>
          <w:color w:val="5F497A" w:themeColor="accent4" w:themeShade="BF"/>
          <w:sz w:val="28"/>
          <w:szCs w:val="28"/>
        </w:rPr>
      </w:pPr>
      <w:r w:rsidRPr="00B018CB">
        <w:rPr>
          <w:rFonts w:ascii="Aptos Narrow" w:hAnsi="Aptos Narrow"/>
          <w:b/>
          <w:color w:val="5F497A" w:themeColor="accent4" w:themeShade="BF"/>
          <w:sz w:val="28"/>
          <w:szCs w:val="28"/>
        </w:rPr>
        <w:lastRenderedPageBreak/>
        <w:t>Darbaspēka piedāvājums pēc iegūtās izglītības</w:t>
      </w:r>
    </w:p>
    <w:p w14:paraId="58A60E0E" w14:textId="77777777" w:rsidR="00267AA4" w:rsidRPr="00F73E81" w:rsidRDefault="00267AA4" w:rsidP="00267AA4">
      <w:pPr>
        <w:spacing w:after="120"/>
        <w:jc w:val="both"/>
        <w:rPr>
          <w:color w:val="000000"/>
          <w:spacing w:val="-4"/>
          <w:szCs w:val="20"/>
        </w:rPr>
      </w:pPr>
      <w:r w:rsidRPr="00F73E81">
        <w:rPr>
          <w:color w:val="000000"/>
          <w:spacing w:val="-4"/>
          <w:szCs w:val="20"/>
        </w:rPr>
        <w:t xml:space="preserve">Kopumā gan vidējā, gan ilgtermiņā turpinās palielināties darbaspēka piedāvājums ar augstāko izglītību, savukārt samazinājums sagaidāms starp ekonomiski aktīviem iedzīvotājiem ar profesionālo un vidējo vispārējo izglītību. Vienlaikus vidējā termiņā palielināsies darbaspēka piedāvājums ar pamatizglītību un zemāku izglītību. </w:t>
      </w:r>
      <w:r w:rsidRPr="00F73E81">
        <w:rPr>
          <w:color w:val="000000"/>
          <w:szCs w:val="20"/>
        </w:rPr>
        <w:t>Atbilstošās izmaiņas turpmākajos gados iezīmēs zināmu darbaspēka piedāvājuma polarizāciju, no vienas ievērojami palielinot augstākās kvalifikācijas un arī zemākās kvalifikācijas darbaspēka piedāvājumu, bet vienlaikus samazinot vidējās kvalifikācijas darbaspēka piedāvājumu.</w:t>
      </w:r>
    </w:p>
    <w:p w14:paraId="75760DCB" w14:textId="19B77546" w:rsidR="00267AA4" w:rsidRPr="00F73E81" w:rsidRDefault="00267AA4" w:rsidP="00267AA4">
      <w:pPr>
        <w:spacing w:after="120"/>
        <w:jc w:val="both"/>
        <w:rPr>
          <w:color w:val="000000"/>
          <w:szCs w:val="20"/>
          <w:highlight w:val="yellow"/>
        </w:rPr>
      </w:pPr>
      <w:r w:rsidRPr="00F73E81">
        <w:rPr>
          <w:color w:val="000000"/>
          <w:szCs w:val="20"/>
        </w:rPr>
        <w:t>Līdz 2040.</w:t>
      </w:r>
      <w:r w:rsidR="00B566DE">
        <w:rPr>
          <w:color w:val="000000"/>
          <w:szCs w:val="20"/>
        </w:rPr>
        <w:t> </w:t>
      </w:r>
      <w:r w:rsidRPr="00F73E81">
        <w:rPr>
          <w:color w:val="000000"/>
          <w:szCs w:val="20"/>
        </w:rPr>
        <w:t xml:space="preserve">gadam darbaspēka piedāvājuma īpatsvars ar augstāko izglītību kopējā darbaspēka piedāvājumā varētu palielināsies par gandrīz </w:t>
      </w:r>
      <w:r w:rsidRPr="00521B1C">
        <w:rPr>
          <w:color w:val="000000"/>
          <w:szCs w:val="20"/>
        </w:rPr>
        <w:t>6,2</w:t>
      </w:r>
      <w:r w:rsidRPr="00F73E81">
        <w:rPr>
          <w:color w:val="000000"/>
          <w:szCs w:val="20"/>
        </w:rPr>
        <w:t> procentpunktiem,</w:t>
      </w:r>
      <w:r w:rsidRPr="00521B1C">
        <w:rPr>
          <w:color w:val="000000"/>
          <w:szCs w:val="20"/>
        </w:rPr>
        <w:t xml:space="preserve"> salīdzinot ar 2023.</w:t>
      </w:r>
      <w:r w:rsidR="00B566DE">
        <w:rPr>
          <w:color w:val="000000"/>
          <w:szCs w:val="20"/>
        </w:rPr>
        <w:t> </w:t>
      </w:r>
      <w:r w:rsidRPr="00521B1C">
        <w:rPr>
          <w:color w:val="000000"/>
          <w:szCs w:val="20"/>
        </w:rPr>
        <w:t>gadu,</w:t>
      </w:r>
      <w:r w:rsidRPr="00F73E81">
        <w:rPr>
          <w:color w:val="000000"/>
          <w:szCs w:val="20"/>
        </w:rPr>
        <w:t xml:space="preserve"> </w:t>
      </w:r>
      <w:r>
        <w:rPr>
          <w:color w:val="000000"/>
          <w:szCs w:val="20"/>
        </w:rPr>
        <w:t xml:space="preserve">un  </w:t>
      </w:r>
      <w:r w:rsidRPr="000972E7">
        <w:rPr>
          <w:color w:val="000000"/>
          <w:szCs w:val="20"/>
        </w:rPr>
        <w:t>sasniegt gandrīz pusi (46,4%) no kopējā darbaspēka piedāvājuma</w:t>
      </w:r>
      <w:r>
        <w:rPr>
          <w:color w:val="000000"/>
          <w:szCs w:val="20"/>
        </w:rPr>
        <w:t>.</w:t>
      </w:r>
      <w:r w:rsidRPr="000972E7">
        <w:rPr>
          <w:color w:val="000000"/>
          <w:szCs w:val="20"/>
        </w:rPr>
        <w:t xml:space="preserve"> </w:t>
      </w:r>
      <w:r>
        <w:rPr>
          <w:color w:val="000000"/>
          <w:szCs w:val="20"/>
        </w:rPr>
        <w:t>T</w:t>
      </w:r>
      <w:r w:rsidRPr="00F73E81">
        <w:rPr>
          <w:color w:val="000000"/>
          <w:szCs w:val="20"/>
        </w:rPr>
        <w:t>urpretim</w:t>
      </w:r>
      <w:r>
        <w:rPr>
          <w:color w:val="000000"/>
          <w:szCs w:val="20"/>
        </w:rPr>
        <w:t xml:space="preserve"> turpinās samazināties darbaspēka piedāvājuma īpatsvars</w:t>
      </w:r>
      <w:r w:rsidRPr="00F73E81">
        <w:rPr>
          <w:color w:val="000000"/>
          <w:szCs w:val="20"/>
        </w:rPr>
        <w:t xml:space="preserve"> ar arodizglītību un profesionālo vidējo izglītību </w:t>
      </w:r>
      <w:r w:rsidR="00997A11">
        <w:rPr>
          <w:color w:val="000000"/>
          <w:szCs w:val="20"/>
        </w:rPr>
        <w:t>–</w:t>
      </w:r>
      <w:r>
        <w:rPr>
          <w:color w:val="000000"/>
          <w:szCs w:val="20"/>
        </w:rPr>
        <w:t xml:space="preserve"> </w:t>
      </w:r>
      <w:r w:rsidRPr="00F73E81">
        <w:rPr>
          <w:color w:val="000000"/>
          <w:szCs w:val="20"/>
        </w:rPr>
        <w:t>par 9</w:t>
      </w:r>
      <w:r w:rsidRPr="00521B1C">
        <w:rPr>
          <w:color w:val="000000"/>
          <w:szCs w:val="20"/>
        </w:rPr>
        <w:t>,7</w:t>
      </w:r>
      <w:r w:rsidRPr="00F73E81">
        <w:rPr>
          <w:color w:val="000000"/>
          <w:szCs w:val="20"/>
        </w:rPr>
        <w:t xml:space="preserve"> procentpunktiem</w:t>
      </w:r>
      <w:r>
        <w:rPr>
          <w:color w:val="000000"/>
          <w:szCs w:val="20"/>
        </w:rPr>
        <w:t>, salīdzinot ar 2023.</w:t>
      </w:r>
      <w:r w:rsidR="00B566DE">
        <w:rPr>
          <w:color w:val="000000"/>
          <w:szCs w:val="20"/>
        </w:rPr>
        <w:t> </w:t>
      </w:r>
      <w:r>
        <w:rPr>
          <w:color w:val="000000"/>
          <w:szCs w:val="20"/>
        </w:rPr>
        <w:t>gadu, nokrītoties līdz 19,7% no kopējā darbaspēka piedāvājuma.</w:t>
      </w:r>
      <w:r w:rsidRPr="00F73E81">
        <w:rPr>
          <w:color w:val="000000"/>
          <w:szCs w:val="20"/>
        </w:rPr>
        <w:t xml:space="preserve"> </w:t>
      </w:r>
      <w:r>
        <w:rPr>
          <w:color w:val="000000"/>
          <w:szCs w:val="20"/>
        </w:rPr>
        <w:t>Nedaudz samazināsies arī darbaspēka piedāvājums ar</w:t>
      </w:r>
      <w:r w:rsidRPr="00F73E81">
        <w:rPr>
          <w:color w:val="000000"/>
          <w:szCs w:val="20"/>
        </w:rPr>
        <w:t xml:space="preserve"> vispārējo vidējo izglītību </w:t>
      </w:r>
      <w:r w:rsidR="00997A11">
        <w:rPr>
          <w:color w:val="000000"/>
          <w:szCs w:val="20"/>
        </w:rPr>
        <w:t>–</w:t>
      </w:r>
      <w:r>
        <w:rPr>
          <w:color w:val="000000"/>
          <w:szCs w:val="20"/>
        </w:rPr>
        <w:t xml:space="preserve"> </w:t>
      </w:r>
      <w:r w:rsidRPr="00F73E81">
        <w:rPr>
          <w:color w:val="000000"/>
          <w:szCs w:val="20"/>
        </w:rPr>
        <w:t xml:space="preserve">par </w:t>
      </w:r>
      <w:r w:rsidRPr="00521B1C">
        <w:rPr>
          <w:color w:val="000000"/>
          <w:szCs w:val="20"/>
        </w:rPr>
        <w:t>0,3</w:t>
      </w:r>
      <w:r w:rsidRPr="00F73E81">
        <w:rPr>
          <w:color w:val="000000"/>
          <w:szCs w:val="20"/>
        </w:rPr>
        <w:t> procentpunkt</w:t>
      </w:r>
      <w:r w:rsidR="00997A11">
        <w:rPr>
          <w:color w:val="000000"/>
          <w:szCs w:val="20"/>
        </w:rPr>
        <w:t>iem</w:t>
      </w:r>
      <w:r>
        <w:rPr>
          <w:color w:val="000000"/>
          <w:szCs w:val="20"/>
        </w:rPr>
        <w:t xml:space="preserve"> (līdz 22,2% 2040.</w:t>
      </w:r>
      <w:r w:rsidR="00B566DE">
        <w:rPr>
          <w:color w:val="000000"/>
          <w:szCs w:val="20"/>
        </w:rPr>
        <w:t> </w:t>
      </w:r>
      <w:r>
        <w:rPr>
          <w:color w:val="000000"/>
          <w:szCs w:val="20"/>
        </w:rPr>
        <w:t>gadā)</w:t>
      </w:r>
      <w:r w:rsidRPr="00F73E81">
        <w:rPr>
          <w:color w:val="000000"/>
          <w:szCs w:val="20"/>
        </w:rPr>
        <w:t xml:space="preserve">. Savukārt darbaspēka piedāvājuma īpatsvars ar </w:t>
      </w:r>
      <w:r w:rsidRPr="00F73E81">
        <w:rPr>
          <w:color w:val="000000"/>
          <w:spacing w:val="-4"/>
          <w:szCs w:val="20"/>
        </w:rPr>
        <w:t>pamatizglītību un zemāku izglītību vidējā termiņā līdz 2030.</w:t>
      </w:r>
      <w:r w:rsidR="00B566DE">
        <w:rPr>
          <w:color w:val="000000"/>
          <w:spacing w:val="-4"/>
          <w:szCs w:val="20"/>
        </w:rPr>
        <w:t> </w:t>
      </w:r>
      <w:r w:rsidRPr="00F73E81">
        <w:rPr>
          <w:color w:val="000000"/>
          <w:spacing w:val="-4"/>
          <w:szCs w:val="20"/>
        </w:rPr>
        <w:t>gadam, salīdzinot ar 202</w:t>
      </w:r>
      <w:r w:rsidRPr="00521B1C">
        <w:rPr>
          <w:color w:val="000000"/>
          <w:spacing w:val="-4"/>
          <w:szCs w:val="20"/>
        </w:rPr>
        <w:t>3</w:t>
      </w:r>
      <w:r w:rsidRPr="00F73E81">
        <w:rPr>
          <w:color w:val="000000"/>
          <w:spacing w:val="-4"/>
          <w:szCs w:val="20"/>
        </w:rPr>
        <w:t>.</w:t>
      </w:r>
      <w:r w:rsidR="00B566DE">
        <w:rPr>
          <w:color w:val="000000"/>
          <w:spacing w:val="-4"/>
          <w:szCs w:val="20"/>
        </w:rPr>
        <w:t> </w:t>
      </w:r>
      <w:r w:rsidRPr="00F73E81">
        <w:rPr>
          <w:color w:val="000000"/>
          <w:spacing w:val="-4"/>
          <w:szCs w:val="20"/>
        </w:rPr>
        <w:t xml:space="preserve">gadu, kopējā darbaspēka piedāvājumā varētu palielināties par </w:t>
      </w:r>
      <w:r w:rsidRPr="00521B1C">
        <w:rPr>
          <w:color w:val="000000"/>
          <w:spacing w:val="-4"/>
          <w:szCs w:val="20"/>
        </w:rPr>
        <w:t>4,4</w:t>
      </w:r>
      <w:r w:rsidRPr="00F73E81">
        <w:rPr>
          <w:color w:val="000000"/>
          <w:spacing w:val="-4"/>
          <w:szCs w:val="20"/>
        </w:rPr>
        <w:t xml:space="preserve"> procentpunktiem</w:t>
      </w:r>
      <w:r>
        <w:rPr>
          <w:color w:val="000000"/>
          <w:spacing w:val="-4"/>
          <w:szCs w:val="20"/>
        </w:rPr>
        <w:t xml:space="preserve"> (līdz 12,3%)</w:t>
      </w:r>
      <w:r w:rsidRPr="00F73E81">
        <w:rPr>
          <w:color w:val="000000"/>
          <w:spacing w:val="-4"/>
          <w:szCs w:val="20"/>
        </w:rPr>
        <w:t>, bet līdz 2040.</w:t>
      </w:r>
      <w:r w:rsidR="00B566DE">
        <w:rPr>
          <w:color w:val="000000"/>
          <w:spacing w:val="-4"/>
          <w:szCs w:val="20"/>
        </w:rPr>
        <w:t> </w:t>
      </w:r>
      <w:r w:rsidRPr="00F73E81">
        <w:rPr>
          <w:color w:val="000000"/>
          <w:spacing w:val="-4"/>
          <w:szCs w:val="20"/>
        </w:rPr>
        <w:t xml:space="preserve">gadam par </w:t>
      </w:r>
      <w:r w:rsidRPr="00521B1C">
        <w:rPr>
          <w:color w:val="000000"/>
          <w:spacing w:val="-4"/>
          <w:szCs w:val="20"/>
        </w:rPr>
        <w:t>3</w:t>
      </w:r>
      <w:r w:rsidRPr="00F73E81">
        <w:rPr>
          <w:color w:val="000000"/>
          <w:spacing w:val="-4"/>
          <w:szCs w:val="20"/>
        </w:rPr>
        <w:t>,</w:t>
      </w:r>
      <w:r w:rsidRPr="00521B1C">
        <w:rPr>
          <w:color w:val="000000"/>
          <w:spacing w:val="-4"/>
          <w:szCs w:val="20"/>
        </w:rPr>
        <w:t>8</w:t>
      </w:r>
      <w:r w:rsidRPr="00F73E81">
        <w:rPr>
          <w:color w:val="000000"/>
          <w:spacing w:val="-4"/>
          <w:szCs w:val="20"/>
        </w:rPr>
        <w:t> procentpunktiem</w:t>
      </w:r>
      <w:r>
        <w:rPr>
          <w:color w:val="000000"/>
          <w:spacing w:val="-4"/>
          <w:szCs w:val="20"/>
        </w:rPr>
        <w:t xml:space="preserve"> (11,7%)</w:t>
      </w:r>
      <w:r w:rsidRPr="00F73E81">
        <w:rPr>
          <w:color w:val="000000"/>
          <w:spacing w:val="-4"/>
          <w:szCs w:val="20"/>
        </w:rPr>
        <w:t>.</w:t>
      </w:r>
    </w:p>
    <w:p w14:paraId="4CFC155D" w14:textId="2E1ABE32" w:rsidR="00267AA4" w:rsidRPr="00F73E81" w:rsidRDefault="00267AA4" w:rsidP="00267AA4">
      <w:pPr>
        <w:spacing w:after="120"/>
        <w:jc w:val="both"/>
        <w:rPr>
          <w:color w:val="000000"/>
          <w:spacing w:val="-2"/>
        </w:rPr>
      </w:pPr>
      <w:r w:rsidRPr="00F73E81">
        <w:rPr>
          <w:color w:val="000000"/>
          <w:spacing w:val="-2"/>
        </w:rPr>
        <w:t xml:space="preserve">Saglabājoties līdzšinējai izglītības piedāvājuma struktūrai, </w:t>
      </w:r>
      <w:r w:rsidRPr="00F73E81">
        <w:rPr>
          <w:b/>
          <w:bCs/>
          <w:color w:val="000000"/>
          <w:spacing w:val="-2"/>
        </w:rPr>
        <w:t xml:space="preserve">vislielākais darbaspēka pieaugums ar augstāko izglītību sagaidāms sociālo zinātņu, </w:t>
      </w:r>
      <w:proofErr w:type="spellStart"/>
      <w:r w:rsidRPr="00F73E81">
        <w:rPr>
          <w:b/>
          <w:bCs/>
          <w:color w:val="000000"/>
          <w:spacing w:val="-2"/>
        </w:rPr>
        <w:t>komerczinību</w:t>
      </w:r>
      <w:proofErr w:type="spellEnd"/>
      <w:r w:rsidRPr="00F73E81">
        <w:rPr>
          <w:b/>
          <w:bCs/>
          <w:color w:val="000000"/>
          <w:spacing w:val="-2"/>
        </w:rPr>
        <w:t xml:space="preserve"> un tiesību zinību jomās</w:t>
      </w:r>
      <w:r w:rsidRPr="00F73E81">
        <w:rPr>
          <w:color w:val="000000"/>
          <w:spacing w:val="-2"/>
        </w:rPr>
        <w:t>. Atbilstošās kvalifikācijas darbaspēka piedāvājuma pieaugums līdz 2040.</w:t>
      </w:r>
      <w:r w:rsidR="00B566DE">
        <w:rPr>
          <w:color w:val="000000"/>
          <w:spacing w:val="-2"/>
        </w:rPr>
        <w:t> </w:t>
      </w:r>
      <w:r w:rsidRPr="00F73E81">
        <w:rPr>
          <w:color w:val="000000"/>
          <w:spacing w:val="-2"/>
        </w:rPr>
        <w:t>gadam veidos aptuveni 4</w:t>
      </w:r>
      <w:r w:rsidRPr="00163525">
        <w:rPr>
          <w:color w:val="000000"/>
          <w:spacing w:val="-2"/>
        </w:rPr>
        <w:t>0</w:t>
      </w:r>
      <w:r w:rsidRPr="00F73E81">
        <w:rPr>
          <w:color w:val="000000"/>
          <w:spacing w:val="-2"/>
        </w:rPr>
        <w:t>% no kopējā darbaspēka pieauguma ar augstāko izglītību.</w:t>
      </w:r>
    </w:p>
    <w:p w14:paraId="7DCC6AEC" w14:textId="77777777" w:rsidR="00267AA4" w:rsidRPr="00596A20" w:rsidRDefault="00267AA4" w:rsidP="00267AA4">
      <w:pPr>
        <w:spacing w:before="120" w:after="120"/>
        <w:jc w:val="both"/>
        <w:rPr>
          <w:color w:val="000000"/>
          <w:szCs w:val="20"/>
        </w:rPr>
      </w:pPr>
      <w:r w:rsidRPr="00F73E81">
        <w:rPr>
          <w:color w:val="000000"/>
          <w:szCs w:val="20"/>
        </w:rPr>
        <w:t>Vienlaikus atsevišķās augstākās izglītības tematiskajās grupās sagaidāms darbaspēka piedāvājuma samazinājums</w:t>
      </w:r>
      <w:r w:rsidRPr="00FB5FFF">
        <w:rPr>
          <w:color w:val="000000"/>
          <w:szCs w:val="20"/>
        </w:rPr>
        <w:t xml:space="preserve">, ko galvenokārt nosaka zemāks atbilstošās kvalifikācijas </w:t>
      </w:r>
      <w:r w:rsidRPr="00F73E81">
        <w:rPr>
          <w:color w:val="000000"/>
          <w:szCs w:val="20"/>
        </w:rPr>
        <w:t>darbaspēka atražošanās līme</w:t>
      </w:r>
      <w:r w:rsidRPr="00FB5FFF">
        <w:rPr>
          <w:color w:val="000000"/>
          <w:szCs w:val="20"/>
        </w:rPr>
        <w:t>nis</w:t>
      </w:r>
      <w:r w:rsidRPr="00F73E81">
        <w:rPr>
          <w:color w:val="000000"/>
          <w:szCs w:val="20"/>
        </w:rPr>
        <w:t xml:space="preserve"> – jauno darba tirgū ienākošo speciālistu skaits ir mazāks nekā tie kuri iziet no </w:t>
      </w:r>
      <w:r w:rsidRPr="00596A20">
        <w:rPr>
          <w:color w:val="000000"/>
          <w:szCs w:val="20"/>
        </w:rPr>
        <w:t>darba tirgus</w:t>
      </w:r>
      <w:r w:rsidRPr="00F73E81">
        <w:rPr>
          <w:color w:val="000000"/>
          <w:szCs w:val="20"/>
        </w:rPr>
        <w:t xml:space="preserve"> dēļ pensionēšanās u.c. faktoriem. </w:t>
      </w:r>
    </w:p>
    <w:p w14:paraId="262ECD48" w14:textId="52FF4DBE" w:rsidR="00267AA4" w:rsidRPr="00F73E81" w:rsidRDefault="00267AA4" w:rsidP="00267AA4">
      <w:pPr>
        <w:spacing w:before="120" w:after="120"/>
        <w:jc w:val="both"/>
        <w:rPr>
          <w:color w:val="000000"/>
          <w:szCs w:val="20"/>
        </w:rPr>
      </w:pPr>
      <w:r w:rsidRPr="00F73E81">
        <w:rPr>
          <w:color w:val="000000"/>
          <w:szCs w:val="20"/>
        </w:rPr>
        <w:t>Visvairāk darbaspēka novecošanās turpmākajos gados izpaudīsies tādās izglītības tematiskajās grupās kā izglītība, inženierzinātnes, ražošana un būvniecība un lauksaimniecība. Jāatzīmē, ka 202</w:t>
      </w:r>
      <w:r w:rsidRPr="00596A20">
        <w:rPr>
          <w:color w:val="000000"/>
          <w:szCs w:val="20"/>
        </w:rPr>
        <w:t>3</w:t>
      </w:r>
      <w:r w:rsidRPr="00F73E81">
        <w:rPr>
          <w:color w:val="000000"/>
          <w:szCs w:val="20"/>
        </w:rPr>
        <w:t>.</w:t>
      </w:r>
      <w:r w:rsidR="00B566DE">
        <w:rPr>
          <w:color w:val="000000"/>
          <w:szCs w:val="20"/>
        </w:rPr>
        <w:t> </w:t>
      </w:r>
      <w:r w:rsidRPr="00F73E81">
        <w:rPr>
          <w:color w:val="000000"/>
          <w:szCs w:val="20"/>
        </w:rPr>
        <w:t>gadā no kopējā darbaspēka piedāvājuma ar atbilstošo izglītību vairāk nekā puse bija vecumā virs 45 gadiem –</w:t>
      </w:r>
      <w:r w:rsidR="00AB2324">
        <w:rPr>
          <w:color w:val="000000"/>
          <w:szCs w:val="20"/>
        </w:rPr>
        <w:t xml:space="preserve"> </w:t>
      </w:r>
      <w:r w:rsidRPr="00F73E81">
        <w:rPr>
          <w:color w:val="000000"/>
          <w:szCs w:val="20"/>
        </w:rPr>
        <w:t>tematiskajā grup</w:t>
      </w:r>
      <w:r w:rsidR="00AB2324">
        <w:rPr>
          <w:color w:val="000000"/>
          <w:szCs w:val="20"/>
        </w:rPr>
        <w:t>ā “</w:t>
      </w:r>
      <w:r w:rsidR="0054419B">
        <w:rPr>
          <w:color w:val="000000"/>
          <w:szCs w:val="20"/>
        </w:rPr>
        <w:t>Izglītība</w:t>
      </w:r>
      <w:r w:rsidR="00AB2324">
        <w:rPr>
          <w:color w:val="000000"/>
          <w:szCs w:val="20"/>
        </w:rPr>
        <w:t>”</w:t>
      </w:r>
      <w:r w:rsidRPr="00F73E81">
        <w:rPr>
          <w:color w:val="000000"/>
          <w:szCs w:val="20"/>
        </w:rPr>
        <w:t xml:space="preserve"> (6</w:t>
      </w:r>
      <w:r w:rsidRPr="00596A20">
        <w:rPr>
          <w:color w:val="000000"/>
          <w:szCs w:val="20"/>
        </w:rPr>
        <w:t>2</w:t>
      </w:r>
      <w:r w:rsidRPr="00F73E81">
        <w:rPr>
          <w:color w:val="000000"/>
          <w:szCs w:val="20"/>
        </w:rPr>
        <w:t>%), inženierzinātnes, ražošana un būvniecība (5</w:t>
      </w:r>
      <w:r w:rsidRPr="00596A20">
        <w:rPr>
          <w:color w:val="000000"/>
          <w:szCs w:val="20"/>
        </w:rPr>
        <w:t>6</w:t>
      </w:r>
      <w:r w:rsidRPr="00F73E81">
        <w:rPr>
          <w:color w:val="000000"/>
          <w:szCs w:val="20"/>
        </w:rPr>
        <w:t>%), bet lauksaimniecībā (</w:t>
      </w:r>
      <w:r w:rsidRPr="00596A20">
        <w:rPr>
          <w:color w:val="000000"/>
          <w:szCs w:val="20"/>
        </w:rPr>
        <w:t>6</w:t>
      </w:r>
      <w:r w:rsidRPr="00F73E81">
        <w:rPr>
          <w:color w:val="000000"/>
          <w:szCs w:val="20"/>
        </w:rPr>
        <w:t>2%). Nākamo 10-20 gadu laikā vairums no tiem pametīs darba tirgu.</w:t>
      </w:r>
    </w:p>
    <w:p w14:paraId="08E9C35D" w14:textId="77777777" w:rsidR="00343F74" w:rsidRPr="00F73E81" w:rsidRDefault="00343F74" w:rsidP="00343F74">
      <w:pPr>
        <w:spacing w:after="120"/>
        <w:jc w:val="both"/>
        <w:rPr>
          <w:color w:val="000000"/>
          <w:highlight w:val="yellow"/>
        </w:rPr>
      </w:pPr>
      <w:r w:rsidRPr="00F73E81">
        <w:rPr>
          <w:color w:val="000000"/>
        </w:rPr>
        <w:t xml:space="preserve">Tāpat </w:t>
      </w:r>
      <w:r w:rsidRPr="00F73E81">
        <w:rPr>
          <w:b/>
          <w:bCs/>
          <w:color w:val="000000"/>
        </w:rPr>
        <w:t>būtiska problēma joprojām saglabājās studējošo atbirums STEM virzienos</w:t>
      </w:r>
      <w:r w:rsidRPr="00F73E81">
        <w:rPr>
          <w:color w:val="000000"/>
        </w:rPr>
        <w:t>, kas būtiski ierobežo potenciālo darbaspēka pieaugumu šajās jomās. Aptuveni 28% no studējošiem STEM izglītības programmās ik gadu izkrīt no studijām.</w:t>
      </w:r>
    </w:p>
    <w:p w14:paraId="0AF87D7D" w14:textId="5BEBE571" w:rsidR="00343F74" w:rsidRPr="00F73E81" w:rsidRDefault="00343F74" w:rsidP="00343F74">
      <w:pPr>
        <w:spacing w:after="120"/>
        <w:jc w:val="both"/>
        <w:rPr>
          <w:color w:val="000000"/>
          <w:highlight w:val="yellow"/>
        </w:rPr>
      </w:pPr>
      <w:r w:rsidRPr="00F73E81">
        <w:rPr>
          <w:b/>
          <w:bCs/>
          <w:color w:val="000000"/>
          <w:spacing w:val="-2"/>
        </w:rPr>
        <w:t>Gan vidējā, gan ilgtermiņā turpinās samazināties vidējās kvalifikācijas darbaspēka piedāvājums</w:t>
      </w:r>
      <w:r w:rsidRPr="00F73E81">
        <w:rPr>
          <w:color w:val="000000"/>
          <w:spacing w:val="-2"/>
        </w:rPr>
        <w:t>. Būtiskākais samazinājums sagaidāms starp iedzīvotājiem ar arodizglītību un profesionālo vidējo izglītību – līdz 2030.</w:t>
      </w:r>
      <w:r w:rsidR="00B566DE">
        <w:rPr>
          <w:color w:val="000000"/>
          <w:spacing w:val="-2"/>
        </w:rPr>
        <w:t> </w:t>
      </w:r>
      <w:r w:rsidRPr="00F73E81">
        <w:rPr>
          <w:color w:val="000000"/>
          <w:spacing w:val="-2"/>
        </w:rPr>
        <w:t xml:space="preserve">gadam darbaspēka piedāvājums samazināsies par aptuveni </w:t>
      </w:r>
      <w:r w:rsidRPr="00366800">
        <w:rPr>
          <w:color w:val="000000"/>
          <w:spacing w:val="-2"/>
        </w:rPr>
        <w:t>17</w:t>
      </w:r>
      <w:r w:rsidRPr="00F73E81">
        <w:rPr>
          <w:color w:val="000000"/>
          <w:spacing w:val="-2"/>
        </w:rPr>
        <w:t xml:space="preserve">% jeb </w:t>
      </w:r>
      <w:r w:rsidRPr="00366800">
        <w:rPr>
          <w:color w:val="000000"/>
          <w:spacing w:val="-2"/>
        </w:rPr>
        <w:t>47,6</w:t>
      </w:r>
      <w:r w:rsidRPr="00F73E81">
        <w:rPr>
          <w:color w:val="000000"/>
          <w:spacing w:val="-2"/>
        </w:rPr>
        <w:t xml:space="preserve"> tūkst., salīdzinot ar 202</w:t>
      </w:r>
      <w:r w:rsidRPr="00366800">
        <w:rPr>
          <w:color w:val="000000"/>
          <w:spacing w:val="-2"/>
        </w:rPr>
        <w:t>3</w:t>
      </w:r>
      <w:r w:rsidRPr="00F73E81">
        <w:rPr>
          <w:color w:val="000000"/>
          <w:spacing w:val="-2"/>
        </w:rPr>
        <w:t>. gadu, bet līdz 2040.</w:t>
      </w:r>
      <w:r w:rsidR="00B566DE">
        <w:rPr>
          <w:color w:val="000000"/>
          <w:spacing w:val="-2"/>
        </w:rPr>
        <w:t> </w:t>
      </w:r>
      <w:r w:rsidRPr="00F73E81">
        <w:rPr>
          <w:color w:val="000000"/>
          <w:spacing w:val="-2"/>
        </w:rPr>
        <w:t xml:space="preserve">gadam gandrīz par </w:t>
      </w:r>
      <w:r w:rsidRPr="00366800">
        <w:rPr>
          <w:color w:val="000000"/>
          <w:spacing w:val="-2"/>
        </w:rPr>
        <w:t>94</w:t>
      </w:r>
      <w:r w:rsidRPr="00F73E81">
        <w:rPr>
          <w:color w:val="000000"/>
          <w:spacing w:val="-2"/>
        </w:rPr>
        <w:t> tūkst. jeb 3</w:t>
      </w:r>
      <w:r w:rsidRPr="00366800">
        <w:rPr>
          <w:color w:val="000000"/>
          <w:spacing w:val="-2"/>
        </w:rPr>
        <w:t>4</w:t>
      </w:r>
      <w:r w:rsidRPr="00F73E81">
        <w:rPr>
          <w:color w:val="000000"/>
          <w:spacing w:val="-2"/>
        </w:rPr>
        <w:t xml:space="preserve">%. </w:t>
      </w:r>
      <w:r w:rsidRPr="00F73E81">
        <w:rPr>
          <w:color w:val="000000"/>
        </w:rPr>
        <w:t xml:space="preserve">Mērenāks darbaspēka piedāvājuma samazinājums sagaidāms ar vispārējo vidējo izglītību – aptuveni par </w:t>
      </w:r>
      <w:r w:rsidRPr="00366800">
        <w:rPr>
          <w:color w:val="000000"/>
        </w:rPr>
        <w:t>6</w:t>
      </w:r>
      <w:r w:rsidRPr="00F73E81">
        <w:rPr>
          <w:color w:val="000000"/>
        </w:rPr>
        <w:t>,</w:t>
      </w:r>
      <w:r w:rsidRPr="00366800">
        <w:rPr>
          <w:color w:val="000000"/>
        </w:rPr>
        <w:t>7</w:t>
      </w:r>
      <w:r w:rsidRPr="00F73E81">
        <w:rPr>
          <w:color w:val="000000"/>
        </w:rPr>
        <w:t xml:space="preserve"> tūkst. jeb </w:t>
      </w:r>
      <w:r w:rsidRPr="00366800">
        <w:rPr>
          <w:color w:val="000000"/>
        </w:rPr>
        <w:t>3</w:t>
      </w:r>
      <w:r w:rsidR="00C71C5E">
        <w:rPr>
          <w:color w:val="000000"/>
        </w:rPr>
        <w:t>,</w:t>
      </w:r>
      <w:r w:rsidRPr="00366800">
        <w:rPr>
          <w:color w:val="000000"/>
        </w:rPr>
        <w:t>2</w:t>
      </w:r>
      <w:r w:rsidRPr="00F73E81">
        <w:rPr>
          <w:color w:val="000000"/>
        </w:rPr>
        <w:t>% līdz 2030.</w:t>
      </w:r>
      <w:r w:rsidR="00B566DE">
        <w:rPr>
          <w:color w:val="000000"/>
        </w:rPr>
        <w:t> </w:t>
      </w:r>
      <w:r w:rsidRPr="00F73E81">
        <w:rPr>
          <w:color w:val="000000"/>
        </w:rPr>
        <w:t>gadam, bet līdz 2040.</w:t>
      </w:r>
      <w:r w:rsidR="00B566DE">
        <w:rPr>
          <w:color w:val="000000"/>
        </w:rPr>
        <w:t> </w:t>
      </w:r>
      <w:r w:rsidRPr="00F73E81">
        <w:rPr>
          <w:color w:val="000000"/>
        </w:rPr>
        <w:t xml:space="preserve">gadam par </w:t>
      </w:r>
      <w:r w:rsidRPr="00366800">
        <w:rPr>
          <w:color w:val="000000"/>
        </w:rPr>
        <w:t>4,8</w:t>
      </w:r>
      <w:r w:rsidRPr="00F73E81">
        <w:rPr>
          <w:color w:val="000000"/>
        </w:rPr>
        <w:t xml:space="preserve"> tūkst. jeb </w:t>
      </w:r>
      <w:r w:rsidRPr="00366800">
        <w:rPr>
          <w:color w:val="000000"/>
        </w:rPr>
        <w:t>2,3</w:t>
      </w:r>
      <w:r w:rsidRPr="00F73E81">
        <w:rPr>
          <w:color w:val="000000"/>
        </w:rPr>
        <w:t xml:space="preserve"> procent</w:t>
      </w:r>
      <w:r w:rsidRPr="00366800">
        <w:rPr>
          <w:color w:val="000000"/>
        </w:rPr>
        <w:t>iem</w:t>
      </w:r>
      <w:r w:rsidRPr="00F73E81">
        <w:rPr>
          <w:color w:val="000000"/>
        </w:rPr>
        <w:t>.</w:t>
      </w:r>
    </w:p>
    <w:p w14:paraId="7C6806A6" w14:textId="316EA340" w:rsidR="00B018CB" w:rsidRPr="00F73E81" w:rsidRDefault="00B018CB" w:rsidP="00B018CB">
      <w:pPr>
        <w:spacing w:after="120"/>
        <w:jc w:val="both"/>
        <w:rPr>
          <w:color w:val="000000"/>
          <w:highlight w:val="yellow"/>
        </w:rPr>
      </w:pPr>
      <w:r w:rsidRPr="00F73E81">
        <w:rPr>
          <w:color w:val="000000"/>
        </w:rPr>
        <w:t>Darbaspēka piedāvājuma samazinājums ar profesionālo vidējo izglītību sagaidāms gandrīz visās izglītības tematiskajās grupās, izņemot dabaszinātnes un informācijas tehnoloģijas</w:t>
      </w:r>
      <w:r w:rsidRPr="00366800">
        <w:rPr>
          <w:color w:val="000000"/>
        </w:rPr>
        <w:t xml:space="preserve">, kā arī humanitārās zinātnēs un mākslā. </w:t>
      </w:r>
      <w:r w:rsidRPr="00F73E81">
        <w:rPr>
          <w:color w:val="000000"/>
        </w:rPr>
        <w:t xml:space="preserve">Būtiskākais samazinājums sagaidāms inženierzinātņu, ražošanas un būvniecības izglītības tematiskajā grupā, kas pašlaik veido aptuveni pusi no kopējā darbaspēka piedāvājuma ar profesionālo izglītību. Jāatzīmē, ka aptuveni </w:t>
      </w:r>
      <w:r w:rsidRPr="007D5101">
        <w:rPr>
          <w:color w:val="000000"/>
        </w:rPr>
        <w:t>55</w:t>
      </w:r>
      <w:r w:rsidRPr="00F73E81">
        <w:rPr>
          <w:color w:val="000000"/>
        </w:rPr>
        <w:t xml:space="preserve">% no ekonomiski aktīvajiem iedzīvotājiem ar izglītību šajā tematiskajā grupā ir vecumā virs </w:t>
      </w:r>
      <w:r w:rsidRPr="007D5101">
        <w:rPr>
          <w:color w:val="000000"/>
        </w:rPr>
        <w:t>50</w:t>
      </w:r>
      <w:r w:rsidRPr="00F73E81">
        <w:rPr>
          <w:color w:val="000000"/>
        </w:rPr>
        <w:t xml:space="preserve"> gadiem, līdz ar to līdz 2040.gadam aptuveni </w:t>
      </w:r>
      <w:r w:rsidRPr="007D5101">
        <w:rPr>
          <w:color w:val="000000"/>
        </w:rPr>
        <w:t>62</w:t>
      </w:r>
      <w:r w:rsidRPr="00F73E81">
        <w:rPr>
          <w:color w:val="000000"/>
        </w:rPr>
        <w:t xml:space="preserve"> tūkst. atbilstošās kvalifikācijas darbinieki varētu pamest darba tirgu, kas ir vidēji </w:t>
      </w:r>
      <w:r w:rsidRPr="007D5101">
        <w:rPr>
          <w:color w:val="000000"/>
        </w:rPr>
        <w:t>3650</w:t>
      </w:r>
      <w:r w:rsidRPr="00F73E81">
        <w:rPr>
          <w:color w:val="000000"/>
        </w:rPr>
        <w:t xml:space="preserve"> speciālistu gadā. Vienlaikus atbilstošo izglītības tematisko grupu pašlaik beidz aptuveni </w:t>
      </w:r>
      <w:r w:rsidRPr="007D5101">
        <w:rPr>
          <w:color w:val="000000"/>
        </w:rPr>
        <w:t>1890</w:t>
      </w:r>
      <w:r w:rsidRPr="00F73E81">
        <w:rPr>
          <w:color w:val="000000"/>
        </w:rPr>
        <w:t xml:space="preserve"> absolventi gadā, līdz ar to, lai nodrošinātu atbilstošās kvalifikācijas darbaspēka piedāvājuma saglabāšanu esošā līmenī, sagatavoto jauno speciālistu skaitam būtu jābūt divreiz lielākam nekā tas ir </w:t>
      </w:r>
      <w:r w:rsidRPr="007D5101">
        <w:rPr>
          <w:color w:val="000000"/>
        </w:rPr>
        <w:t>pašreiz</w:t>
      </w:r>
      <w:r w:rsidRPr="00F73E81">
        <w:rPr>
          <w:color w:val="000000"/>
        </w:rPr>
        <w:t>.</w:t>
      </w:r>
    </w:p>
    <w:p w14:paraId="2DC7FA02" w14:textId="77777777" w:rsidR="00B018CB" w:rsidRDefault="00B018CB">
      <w:pPr>
        <w:spacing w:after="0"/>
        <w:rPr>
          <w:szCs w:val="26"/>
        </w:rPr>
      </w:pPr>
      <w:r>
        <w:rPr>
          <w:szCs w:val="26"/>
        </w:rPr>
        <w:br w:type="page"/>
      </w:r>
    </w:p>
    <w:p w14:paraId="1876E772" w14:textId="00468E26" w:rsidR="00267AA4" w:rsidRPr="00F73E81" w:rsidRDefault="00267AA4" w:rsidP="00267AA4">
      <w:pPr>
        <w:spacing w:after="120"/>
        <w:jc w:val="right"/>
        <w:rPr>
          <w:szCs w:val="26"/>
        </w:rPr>
      </w:pPr>
      <w:r w:rsidRPr="00F73E81">
        <w:rPr>
          <w:szCs w:val="26"/>
        </w:rPr>
        <w:lastRenderedPageBreak/>
        <w:t>3.11. tabula</w:t>
      </w:r>
    </w:p>
    <w:p w14:paraId="2499CDF8" w14:textId="77777777" w:rsidR="00267AA4" w:rsidRPr="00F73E81" w:rsidRDefault="00267AA4" w:rsidP="00267AA4">
      <w:pPr>
        <w:spacing w:after="120"/>
        <w:jc w:val="center"/>
        <w:rPr>
          <w:rFonts w:ascii="Segoe UI Light" w:hAnsi="Segoe UI Light"/>
          <w:b/>
          <w:sz w:val="18"/>
          <w:szCs w:val="26"/>
        </w:rPr>
      </w:pPr>
      <w:r w:rsidRPr="00F73E81">
        <w:rPr>
          <w:rFonts w:ascii="Segoe UI Light" w:hAnsi="Segoe UI Light"/>
          <w:b/>
          <w:sz w:val="18"/>
          <w:szCs w:val="26"/>
        </w:rPr>
        <w:t>Darbaspēka piedāvājums pa izglītības tematiskajām grupām</w:t>
      </w:r>
    </w:p>
    <w:tbl>
      <w:tblPr>
        <w:tblStyle w:val="GridTable5Dark-Accent31"/>
        <w:tblW w:w="91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373"/>
        <w:gridCol w:w="623"/>
        <w:gridCol w:w="737"/>
        <w:gridCol w:w="737"/>
        <w:gridCol w:w="737"/>
        <w:gridCol w:w="737"/>
        <w:gridCol w:w="737"/>
        <w:gridCol w:w="737"/>
        <w:gridCol w:w="737"/>
      </w:tblGrid>
      <w:tr w:rsidR="0078478C" w:rsidRPr="002E2667" w14:paraId="33BDE286" w14:textId="77777777">
        <w:trPr>
          <w:cnfStyle w:val="100000000000" w:firstRow="1" w:lastRow="0" w:firstColumn="0" w:lastColumn="0" w:oddVBand="0" w:evenVBand="0" w:oddHBand="0" w:evenHBand="0" w:firstRowFirstColumn="0" w:firstRowLastColumn="0" w:lastRowFirstColumn="0" w:lastRowLastColumn="0"/>
          <w:cantSplit/>
          <w:trHeight w:val="20"/>
          <w:jc w:val="center"/>
        </w:trPr>
        <w:tc>
          <w:tcPr>
            <w:tcW w:w="3373" w:type="dxa"/>
            <w:shd w:val="clear" w:color="auto" w:fill="5F497A"/>
            <w:vAlign w:val="center"/>
          </w:tcPr>
          <w:p w14:paraId="3B7F567F" w14:textId="77777777" w:rsidR="00267AA4" w:rsidRPr="00F73E81" w:rsidRDefault="00267AA4">
            <w:pPr>
              <w:spacing w:before="40" w:after="40"/>
              <w:jc w:val="center"/>
              <w:rPr>
                <w:rFonts w:ascii="Segoe UI Light" w:eastAsia="Times New Roman" w:hAnsi="Segoe UI Light"/>
                <w:sz w:val="16"/>
                <w:szCs w:val="18"/>
                <w:highlight w:val="yellow"/>
                <w:lang w:eastAsia="lv-LV"/>
              </w:rPr>
            </w:pPr>
          </w:p>
        </w:tc>
        <w:tc>
          <w:tcPr>
            <w:tcW w:w="2097" w:type="dxa"/>
            <w:gridSpan w:val="3"/>
            <w:shd w:val="clear" w:color="auto" w:fill="5F497A"/>
            <w:noWrap/>
            <w:vAlign w:val="center"/>
            <w:hideMark/>
          </w:tcPr>
          <w:p w14:paraId="1F2610D8" w14:textId="77777777" w:rsidR="00267AA4" w:rsidRPr="00F73E81" w:rsidRDefault="00267AA4">
            <w:pPr>
              <w:spacing w:before="40" w:after="40"/>
              <w:jc w:val="center"/>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tūkstošos</w:t>
            </w:r>
          </w:p>
        </w:tc>
        <w:tc>
          <w:tcPr>
            <w:tcW w:w="2211" w:type="dxa"/>
            <w:gridSpan w:val="3"/>
            <w:shd w:val="clear" w:color="auto" w:fill="5F497A"/>
            <w:vAlign w:val="center"/>
            <w:hideMark/>
          </w:tcPr>
          <w:p w14:paraId="1260E59E" w14:textId="77777777" w:rsidR="00267AA4" w:rsidRPr="00F73E81" w:rsidRDefault="00267AA4">
            <w:pPr>
              <w:spacing w:before="40" w:after="40"/>
              <w:jc w:val="center"/>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struktūra, %</w:t>
            </w:r>
          </w:p>
        </w:tc>
        <w:tc>
          <w:tcPr>
            <w:tcW w:w="1474" w:type="dxa"/>
            <w:gridSpan w:val="2"/>
            <w:shd w:val="clear" w:color="auto" w:fill="5F497A"/>
            <w:vAlign w:val="center"/>
            <w:hideMark/>
          </w:tcPr>
          <w:p w14:paraId="2A55AC40" w14:textId="77777777" w:rsidR="00267AA4" w:rsidRPr="00F73E81" w:rsidRDefault="00267AA4">
            <w:pPr>
              <w:spacing w:before="40" w:after="40"/>
              <w:jc w:val="center"/>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izmaiņas tūkstošos pret 202</w:t>
            </w:r>
            <w:r>
              <w:rPr>
                <w:rFonts w:ascii="Segoe UI Light" w:eastAsia="Times New Roman" w:hAnsi="Segoe UI Light"/>
                <w:sz w:val="16"/>
                <w:szCs w:val="18"/>
                <w:lang w:eastAsia="lv-LV"/>
              </w:rPr>
              <w:t>3</w:t>
            </w:r>
            <w:r w:rsidRPr="00F73E81">
              <w:rPr>
                <w:rFonts w:ascii="Segoe UI Light" w:eastAsia="Times New Roman" w:hAnsi="Segoe UI Light"/>
                <w:sz w:val="16"/>
                <w:szCs w:val="18"/>
                <w:lang w:eastAsia="lv-LV"/>
              </w:rPr>
              <w:t>. gadu</w:t>
            </w:r>
          </w:p>
        </w:tc>
      </w:tr>
      <w:tr w:rsidR="00C03C20" w:rsidRPr="002E2667" w14:paraId="03972FED"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5F497A"/>
            <w:vAlign w:val="center"/>
            <w:hideMark/>
          </w:tcPr>
          <w:p w14:paraId="16A80F44" w14:textId="77777777" w:rsidR="00267AA4" w:rsidRPr="00F73E81" w:rsidRDefault="00267AA4">
            <w:pPr>
              <w:spacing w:before="40" w:after="40"/>
              <w:jc w:val="center"/>
              <w:rPr>
                <w:rFonts w:ascii="Segoe UI Light" w:eastAsia="Times New Roman" w:hAnsi="Segoe UI Light"/>
                <w:bCs/>
                <w:color w:val="FFFFFF"/>
                <w:sz w:val="16"/>
                <w:szCs w:val="18"/>
                <w:highlight w:val="yellow"/>
                <w:lang w:eastAsia="lv-LV"/>
              </w:rPr>
            </w:pPr>
          </w:p>
        </w:tc>
        <w:tc>
          <w:tcPr>
            <w:tcW w:w="623" w:type="dxa"/>
            <w:shd w:val="clear" w:color="auto" w:fill="5F497A"/>
            <w:vAlign w:val="center"/>
            <w:hideMark/>
          </w:tcPr>
          <w:p w14:paraId="485E5C59" w14:textId="3E841A60" w:rsidR="00267AA4" w:rsidRPr="00F73E81" w:rsidRDefault="00267AA4">
            <w:pPr>
              <w:spacing w:before="40" w:after="40"/>
              <w:jc w:val="center"/>
              <w:rPr>
                <w:rFonts w:ascii="Segoe UI Light" w:eastAsia="Times New Roman" w:hAnsi="Segoe UI Light"/>
                <w:b/>
                <w:color w:val="FFFFFF"/>
                <w:sz w:val="16"/>
                <w:szCs w:val="18"/>
                <w:lang w:eastAsia="lv-LV"/>
              </w:rPr>
            </w:pPr>
            <w:r w:rsidRPr="00F73E81">
              <w:rPr>
                <w:rFonts w:ascii="Segoe UI Light" w:eastAsia="Times New Roman" w:hAnsi="Segoe UI Light"/>
                <w:b/>
                <w:color w:val="FFFFFF"/>
                <w:sz w:val="16"/>
                <w:szCs w:val="18"/>
                <w:lang w:eastAsia="lv-LV"/>
              </w:rPr>
              <w:t>202</w:t>
            </w:r>
            <w:r>
              <w:rPr>
                <w:rFonts w:ascii="Segoe UI Light" w:eastAsia="Times New Roman" w:hAnsi="Segoe UI Light"/>
                <w:b/>
                <w:color w:val="FFFFFF"/>
                <w:sz w:val="16"/>
                <w:szCs w:val="18"/>
                <w:lang w:eastAsia="lv-LV"/>
              </w:rPr>
              <w:t>3</w:t>
            </w:r>
          </w:p>
        </w:tc>
        <w:tc>
          <w:tcPr>
            <w:tcW w:w="737" w:type="dxa"/>
            <w:shd w:val="clear" w:color="auto" w:fill="5F497A"/>
            <w:vAlign w:val="center"/>
            <w:hideMark/>
          </w:tcPr>
          <w:p w14:paraId="6709A875" w14:textId="77777777" w:rsidR="00267AA4" w:rsidRPr="00F73E81" w:rsidRDefault="00267AA4">
            <w:pPr>
              <w:spacing w:before="40" w:after="40"/>
              <w:jc w:val="center"/>
              <w:rPr>
                <w:rFonts w:ascii="Segoe UI Light" w:eastAsia="Times New Roman" w:hAnsi="Segoe UI Light"/>
                <w:b/>
                <w:color w:val="FFFFFF"/>
                <w:sz w:val="16"/>
                <w:szCs w:val="18"/>
                <w:lang w:eastAsia="lv-LV"/>
              </w:rPr>
            </w:pPr>
            <w:r w:rsidRPr="00F73E81">
              <w:rPr>
                <w:rFonts w:ascii="Segoe UI Light" w:eastAsia="Times New Roman" w:hAnsi="Segoe UI Light"/>
                <w:b/>
                <w:color w:val="FFFFFF"/>
                <w:sz w:val="16"/>
                <w:szCs w:val="18"/>
                <w:lang w:eastAsia="lv-LV"/>
              </w:rPr>
              <w:t>2030</w:t>
            </w:r>
          </w:p>
        </w:tc>
        <w:tc>
          <w:tcPr>
            <w:tcW w:w="737" w:type="dxa"/>
            <w:shd w:val="clear" w:color="auto" w:fill="5F497A"/>
            <w:vAlign w:val="center"/>
            <w:hideMark/>
          </w:tcPr>
          <w:p w14:paraId="78908072" w14:textId="77777777" w:rsidR="00267AA4" w:rsidRPr="00F73E81" w:rsidRDefault="00267AA4">
            <w:pPr>
              <w:spacing w:before="40" w:after="40"/>
              <w:jc w:val="center"/>
              <w:rPr>
                <w:rFonts w:ascii="Segoe UI Light" w:eastAsia="Times New Roman" w:hAnsi="Segoe UI Light"/>
                <w:b/>
                <w:color w:val="FFFFFF"/>
                <w:sz w:val="16"/>
                <w:szCs w:val="18"/>
                <w:lang w:eastAsia="lv-LV"/>
              </w:rPr>
            </w:pPr>
            <w:r w:rsidRPr="00F73E81">
              <w:rPr>
                <w:rFonts w:ascii="Segoe UI Light" w:eastAsia="Times New Roman" w:hAnsi="Segoe UI Light"/>
                <w:b/>
                <w:color w:val="FFFFFF"/>
                <w:sz w:val="16"/>
                <w:szCs w:val="18"/>
                <w:lang w:eastAsia="lv-LV"/>
              </w:rPr>
              <w:t>2040</w:t>
            </w:r>
          </w:p>
        </w:tc>
        <w:tc>
          <w:tcPr>
            <w:tcW w:w="737" w:type="dxa"/>
            <w:shd w:val="clear" w:color="auto" w:fill="5F497A"/>
            <w:vAlign w:val="center"/>
            <w:hideMark/>
          </w:tcPr>
          <w:p w14:paraId="5A9C7D7D" w14:textId="77777777" w:rsidR="00267AA4" w:rsidRPr="00F73E81" w:rsidRDefault="00267AA4">
            <w:pPr>
              <w:spacing w:before="40" w:after="40"/>
              <w:jc w:val="center"/>
              <w:rPr>
                <w:rFonts w:ascii="Segoe UI Light" w:eastAsia="Times New Roman" w:hAnsi="Segoe UI Light"/>
                <w:b/>
                <w:color w:val="FFFFFF"/>
                <w:sz w:val="16"/>
                <w:szCs w:val="18"/>
                <w:lang w:eastAsia="lv-LV"/>
              </w:rPr>
            </w:pPr>
            <w:r w:rsidRPr="00F73E81">
              <w:rPr>
                <w:rFonts w:ascii="Segoe UI Light" w:eastAsia="Times New Roman" w:hAnsi="Segoe UI Light"/>
                <w:b/>
                <w:color w:val="FFFFFF"/>
                <w:sz w:val="16"/>
                <w:szCs w:val="18"/>
                <w:lang w:eastAsia="lv-LV"/>
              </w:rPr>
              <w:t>202</w:t>
            </w:r>
            <w:r>
              <w:rPr>
                <w:rFonts w:ascii="Segoe UI Light" w:eastAsia="Times New Roman" w:hAnsi="Segoe UI Light"/>
                <w:b/>
                <w:color w:val="FFFFFF"/>
                <w:sz w:val="16"/>
                <w:szCs w:val="18"/>
                <w:lang w:eastAsia="lv-LV"/>
              </w:rPr>
              <w:t>3</w:t>
            </w:r>
          </w:p>
        </w:tc>
        <w:tc>
          <w:tcPr>
            <w:tcW w:w="737" w:type="dxa"/>
            <w:shd w:val="clear" w:color="auto" w:fill="5F497A"/>
            <w:vAlign w:val="center"/>
            <w:hideMark/>
          </w:tcPr>
          <w:p w14:paraId="408709CA" w14:textId="77777777" w:rsidR="00267AA4" w:rsidRPr="00F73E81" w:rsidRDefault="00267AA4">
            <w:pPr>
              <w:spacing w:before="40" w:after="40"/>
              <w:jc w:val="center"/>
              <w:rPr>
                <w:rFonts w:ascii="Segoe UI Light" w:eastAsia="Times New Roman" w:hAnsi="Segoe UI Light"/>
                <w:b/>
                <w:color w:val="FFFFFF"/>
                <w:sz w:val="16"/>
                <w:szCs w:val="18"/>
                <w:lang w:eastAsia="lv-LV"/>
              </w:rPr>
            </w:pPr>
            <w:r w:rsidRPr="00F73E81">
              <w:rPr>
                <w:rFonts w:ascii="Segoe UI Light" w:eastAsia="Times New Roman" w:hAnsi="Segoe UI Light"/>
                <w:b/>
                <w:color w:val="FFFFFF"/>
                <w:sz w:val="16"/>
                <w:szCs w:val="18"/>
                <w:lang w:eastAsia="lv-LV"/>
              </w:rPr>
              <w:t>2030</w:t>
            </w:r>
          </w:p>
        </w:tc>
        <w:tc>
          <w:tcPr>
            <w:tcW w:w="737" w:type="dxa"/>
            <w:shd w:val="clear" w:color="auto" w:fill="5F497A"/>
            <w:vAlign w:val="center"/>
            <w:hideMark/>
          </w:tcPr>
          <w:p w14:paraId="178F5B02" w14:textId="77777777" w:rsidR="00267AA4" w:rsidRPr="00F73E81" w:rsidRDefault="00267AA4">
            <w:pPr>
              <w:spacing w:before="40" w:after="40"/>
              <w:jc w:val="center"/>
              <w:rPr>
                <w:rFonts w:ascii="Segoe UI Light" w:eastAsia="Times New Roman" w:hAnsi="Segoe UI Light"/>
                <w:b/>
                <w:color w:val="FFFFFF"/>
                <w:sz w:val="16"/>
                <w:szCs w:val="18"/>
                <w:lang w:eastAsia="lv-LV"/>
              </w:rPr>
            </w:pPr>
            <w:r w:rsidRPr="00F73E81">
              <w:rPr>
                <w:rFonts w:ascii="Segoe UI Light" w:eastAsia="Times New Roman" w:hAnsi="Segoe UI Light"/>
                <w:b/>
                <w:color w:val="FFFFFF"/>
                <w:sz w:val="16"/>
                <w:szCs w:val="18"/>
                <w:lang w:eastAsia="lv-LV"/>
              </w:rPr>
              <w:t>2040</w:t>
            </w:r>
          </w:p>
        </w:tc>
        <w:tc>
          <w:tcPr>
            <w:tcW w:w="737" w:type="dxa"/>
            <w:shd w:val="clear" w:color="auto" w:fill="5F497A"/>
            <w:vAlign w:val="center"/>
            <w:hideMark/>
          </w:tcPr>
          <w:p w14:paraId="71A32049" w14:textId="77777777" w:rsidR="00267AA4" w:rsidRPr="00F73E81" w:rsidRDefault="00267AA4">
            <w:pPr>
              <w:spacing w:before="40" w:after="40"/>
              <w:jc w:val="center"/>
              <w:rPr>
                <w:rFonts w:ascii="Segoe UI Light" w:eastAsia="Times New Roman" w:hAnsi="Segoe UI Light"/>
                <w:b/>
                <w:color w:val="FFFFFF"/>
                <w:sz w:val="16"/>
                <w:szCs w:val="18"/>
                <w:lang w:eastAsia="lv-LV"/>
              </w:rPr>
            </w:pPr>
            <w:r w:rsidRPr="00F73E81">
              <w:rPr>
                <w:rFonts w:ascii="Segoe UI Light" w:eastAsia="Times New Roman" w:hAnsi="Segoe UI Light"/>
                <w:b/>
                <w:color w:val="FFFFFF"/>
                <w:sz w:val="16"/>
                <w:szCs w:val="18"/>
                <w:lang w:eastAsia="lv-LV"/>
              </w:rPr>
              <w:t>2030</w:t>
            </w:r>
          </w:p>
        </w:tc>
        <w:tc>
          <w:tcPr>
            <w:tcW w:w="737" w:type="dxa"/>
            <w:shd w:val="clear" w:color="auto" w:fill="5F497A"/>
            <w:vAlign w:val="center"/>
            <w:hideMark/>
          </w:tcPr>
          <w:p w14:paraId="1A1A7214" w14:textId="77777777" w:rsidR="00267AA4" w:rsidRPr="00F73E81" w:rsidRDefault="00267AA4">
            <w:pPr>
              <w:spacing w:before="40" w:after="40"/>
              <w:jc w:val="center"/>
              <w:rPr>
                <w:rFonts w:ascii="Segoe UI Light" w:eastAsia="Times New Roman" w:hAnsi="Segoe UI Light"/>
                <w:b/>
                <w:color w:val="FFFFFF"/>
                <w:sz w:val="16"/>
                <w:szCs w:val="18"/>
                <w:lang w:eastAsia="lv-LV"/>
              </w:rPr>
            </w:pPr>
            <w:r w:rsidRPr="00F73E81">
              <w:rPr>
                <w:rFonts w:ascii="Segoe UI Light" w:eastAsia="Times New Roman" w:hAnsi="Segoe UI Light"/>
                <w:b/>
                <w:color w:val="FFFFFF"/>
                <w:sz w:val="16"/>
                <w:szCs w:val="18"/>
                <w:lang w:eastAsia="lv-LV"/>
              </w:rPr>
              <w:t>2040</w:t>
            </w:r>
          </w:p>
        </w:tc>
      </w:tr>
      <w:tr w:rsidR="00C03C20" w:rsidRPr="002E2667" w14:paraId="5C0F7056" w14:textId="77777777">
        <w:trPr>
          <w:cantSplit/>
          <w:trHeight w:val="20"/>
          <w:jc w:val="center"/>
        </w:trPr>
        <w:tc>
          <w:tcPr>
            <w:tcW w:w="3373" w:type="dxa"/>
            <w:shd w:val="clear" w:color="auto" w:fill="E5DFEC"/>
            <w:vAlign w:val="bottom"/>
            <w:hideMark/>
          </w:tcPr>
          <w:p w14:paraId="5A165596" w14:textId="77777777" w:rsidR="00267AA4" w:rsidRPr="00F73E81" w:rsidRDefault="00267AA4">
            <w:pPr>
              <w:spacing w:before="40" w:after="40"/>
              <w:rPr>
                <w:rFonts w:ascii="Segoe UI Light" w:eastAsia="Times New Roman" w:hAnsi="Segoe UI Light"/>
                <w:b/>
                <w:sz w:val="16"/>
                <w:szCs w:val="18"/>
                <w:lang w:eastAsia="lv-LV"/>
              </w:rPr>
            </w:pPr>
            <w:bookmarkStart w:id="73" w:name="_Hlk40117391"/>
            <w:r w:rsidRPr="00F73E81">
              <w:rPr>
                <w:rFonts w:ascii="Segoe UI Light" w:eastAsia="Times New Roman" w:hAnsi="Segoe UI Light"/>
                <w:b/>
                <w:sz w:val="16"/>
                <w:szCs w:val="18"/>
                <w:lang w:eastAsia="lv-LV"/>
              </w:rPr>
              <w:t>Augstākā izglītība, tai skaitā:</w:t>
            </w:r>
          </w:p>
        </w:tc>
        <w:tc>
          <w:tcPr>
            <w:tcW w:w="623" w:type="dxa"/>
            <w:shd w:val="clear" w:color="auto" w:fill="E5DFEC"/>
            <w:noWrap/>
            <w:hideMark/>
          </w:tcPr>
          <w:p w14:paraId="25DE4811" w14:textId="7C4152AD"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379</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9</w:t>
            </w:r>
          </w:p>
        </w:tc>
        <w:tc>
          <w:tcPr>
            <w:tcW w:w="737" w:type="dxa"/>
            <w:shd w:val="clear" w:color="auto" w:fill="E5DFEC"/>
            <w:noWrap/>
            <w:hideMark/>
          </w:tcPr>
          <w:p w14:paraId="5B7F6F38" w14:textId="33AA9CB3"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405</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4</w:t>
            </w:r>
          </w:p>
        </w:tc>
        <w:tc>
          <w:tcPr>
            <w:tcW w:w="737" w:type="dxa"/>
            <w:shd w:val="clear" w:color="auto" w:fill="E5DFEC"/>
            <w:hideMark/>
          </w:tcPr>
          <w:p w14:paraId="42DA9647" w14:textId="431572CA"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434</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3</w:t>
            </w:r>
          </w:p>
        </w:tc>
        <w:tc>
          <w:tcPr>
            <w:tcW w:w="737" w:type="dxa"/>
            <w:shd w:val="clear" w:color="auto" w:fill="E5DFEC"/>
            <w:hideMark/>
          </w:tcPr>
          <w:p w14:paraId="56C400F3" w14:textId="70F80EC1"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40</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2</w:t>
            </w:r>
          </w:p>
        </w:tc>
        <w:tc>
          <w:tcPr>
            <w:tcW w:w="737" w:type="dxa"/>
            <w:shd w:val="clear" w:color="auto" w:fill="E5DFEC"/>
            <w:hideMark/>
          </w:tcPr>
          <w:p w14:paraId="38655E58" w14:textId="76B18EFC"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42</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2</w:t>
            </w:r>
          </w:p>
        </w:tc>
        <w:tc>
          <w:tcPr>
            <w:tcW w:w="737" w:type="dxa"/>
            <w:shd w:val="clear" w:color="auto" w:fill="E5DFEC"/>
            <w:hideMark/>
          </w:tcPr>
          <w:p w14:paraId="23E1174F" w14:textId="3C7AC723"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46</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4</w:t>
            </w:r>
          </w:p>
        </w:tc>
        <w:tc>
          <w:tcPr>
            <w:tcW w:w="737" w:type="dxa"/>
            <w:shd w:val="clear" w:color="auto" w:fill="E5DFEC"/>
            <w:hideMark/>
          </w:tcPr>
          <w:p w14:paraId="0D47F42A" w14:textId="3C4DDC79"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25</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6</w:t>
            </w:r>
          </w:p>
        </w:tc>
        <w:tc>
          <w:tcPr>
            <w:tcW w:w="737" w:type="dxa"/>
            <w:shd w:val="clear" w:color="auto" w:fill="E5DFEC"/>
            <w:hideMark/>
          </w:tcPr>
          <w:p w14:paraId="1C6EA728" w14:textId="04AA0C67"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54</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4</w:t>
            </w:r>
          </w:p>
        </w:tc>
      </w:tr>
      <w:tr w:rsidR="00C03C20" w:rsidRPr="002E2667" w14:paraId="5D290A3D"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vAlign w:val="bottom"/>
            <w:hideMark/>
          </w:tcPr>
          <w:p w14:paraId="57558608" w14:textId="77777777" w:rsidR="00267AA4" w:rsidRPr="00F73E81" w:rsidRDefault="00267AA4">
            <w:pPr>
              <w:spacing w:before="40" w:after="40"/>
              <w:ind w:left="171"/>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Izglītība</w:t>
            </w:r>
          </w:p>
        </w:tc>
        <w:tc>
          <w:tcPr>
            <w:tcW w:w="623" w:type="dxa"/>
            <w:shd w:val="clear" w:color="auto" w:fill="CCC0D9"/>
            <w:noWrap/>
            <w:hideMark/>
          </w:tcPr>
          <w:p w14:paraId="0703C53D" w14:textId="47746427"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46</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4</w:t>
            </w:r>
          </w:p>
        </w:tc>
        <w:tc>
          <w:tcPr>
            <w:tcW w:w="737" w:type="dxa"/>
            <w:shd w:val="clear" w:color="auto" w:fill="CCC0D9"/>
            <w:noWrap/>
            <w:hideMark/>
          </w:tcPr>
          <w:p w14:paraId="36B270F4" w14:textId="597D834A"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47</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2</w:t>
            </w:r>
          </w:p>
        </w:tc>
        <w:tc>
          <w:tcPr>
            <w:tcW w:w="737" w:type="dxa"/>
            <w:shd w:val="clear" w:color="auto" w:fill="CCC0D9"/>
            <w:hideMark/>
          </w:tcPr>
          <w:p w14:paraId="76A41887" w14:textId="2AC075C0"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42</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1</w:t>
            </w:r>
          </w:p>
        </w:tc>
        <w:tc>
          <w:tcPr>
            <w:tcW w:w="737" w:type="dxa"/>
            <w:shd w:val="clear" w:color="auto" w:fill="CCC0D9"/>
            <w:hideMark/>
          </w:tcPr>
          <w:p w14:paraId="104DF5B9" w14:textId="18A9BA6B"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4</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c>
          <w:tcPr>
            <w:tcW w:w="737" w:type="dxa"/>
            <w:shd w:val="clear" w:color="auto" w:fill="CCC0D9"/>
            <w:hideMark/>
          </w:tcPr>
          <w:p w14:paraId="19D8654B" w14:textId="2D23BA2F"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4</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c>
          <w:tcPr>
            <w:tcW w:w="737" w:type="dxa"/>
            <w:shd w:val="clear" w:color="auto" w:fill="CCC0D9"/>
            <w:hideMark/>
          </w:tcPr>
          <w:p w14:paraId="1DB2B2BC" w14:textId="78371380"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4</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5</w:t>
            </w:r>
          </w:p>
        </w:tc>
        <w:tc>
          <w:tcPr>
            <w:tcW w:w="737" w:type="dxa"/>
            <w:shd w:val="clear" w:color="auto" w:fill="CCC0D9"/>
            <w:hideMark/>
          </w:tcPr>
          <w:p w14:paraId="6B7F8A85" w14:textId="771F3E7B"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c>
          <w:tcPr>
            <w:tcW w:w="737" w:type="dxa"/>
            <w:shd w:val="clear" w:color="auto" w:fill="CCC0D9"/>
            <w:hideMark/>
          </w:tcPr>
          <w:p w14:paraId="16F20150" w14:textId="78920D59"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-4</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4</w:t>
            </w:r>
          </w:p>
        </w:tc>
      </w:tr>
      <w:bookmarkEnd w:id="73"/>
      <w:tr w:rsidR="00C03C20" w:rsidRPr="002E2667" w14:paraId="673F0CAF" w14:textId="77777777">
        <w:trPr>
          <w:cantSplit/>
          <w:trHeight w:val="20"/>
          <w:jc w:val="center"/>
        </w:trPr>
        <w:tc>
          <w:tcPr>
            <w:tcW w:w="3373" w:type="dxa"/>
            <w:shd w:val="clear" w:color="auto" w:fill="E5DFEC"/>
            <w:vAlign w:val="bottom"/>
            <w:hideMark/>
          </w:tcPr>
          <w:p w14:paraId="0A7ABE80" w14:textId="77777777" w:rsidR="00267AA4" w:rsidRPr="00F73E81" w:rsidRDefault="00267AA4">
            <w:pPr>
              <w:spacing w:before="40" w:after="40"/>
              <w:ind w:left="171"/>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Humanitārās zinātnes un māksla</w:t>
            </w:r>
          </w:p>
        </w:tc>
        <w:tc>
          <w:tcPr>
            <w:tcW w:w="623" w:type="dxa"/>
            <w:shd w:val="clear" w:color="auto" w:fill="E5DFEC"/>
            <w:noWrap/>
            <w:hideMark/>
          </w:tcPr>
          <w:p w14:paraId="21EADD0A" w14:textId="0E206811"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25</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7</w:t>
            </w:r>
          </w:p>
        </w:tc>
        <w:tc>
          <w:tcPr>
            <w:tcW w:w="737" w:type="dxa"/>
            <w:shd w:val="clear" w:color="auto" w:fill="E5DFEC"/>
            <w:noWrap/>
            <w:hideMark/>
          </w:tcPr>
          <w:p w14:paraId="4A2E8660" w14:textId="52AA5C27"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28</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3</w:t>
            </w:r>
          </w:p>
        </w:tc>
        <w:tc>
          <w:tcPr>
            <w:tcW w:w="737" w:type="dxa"/>
            <w:shd w:val="clear" w:color="auto" w:fill="E5DFEC"/>
            <w:hideMark/>
          </w:tcPr>
          <w:p w14:paraId="75E5DE20" w14:textId="0B78C74E"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31</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3</w:t>
            </w:r>
          </w:p>
        </w:tc>
        <w:tc>
          <w:tcPr>
            <w:tcW w:w="737" w:type="dxa"/>
            <w:shd w:val="clear" w:color="auto" w:fill="E5DFEC"/>
            <w:hideMark/>
          </w:tcPr>
          <w:p w14:paraId="0E8755E2" w14:textId="3670BF22"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c>
          <w:tcPr>
            <w:tcW w:w="737" w:type="dxa"/>
            <w:shd w:val="clear" w:color="auto" w:fill="E5DFEC"/>
            <w:hideMark/>
          </w:tcPr>
          <w:p w14:paraId="78F67413" w14:textId="16505303"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c>
          <w:tcPr>
            <w:tcW w:w="737" w:type="dxa"/>
            <w:shd w:val="clear" w:color="auto" w:fill="E5DFEC"/>
            <w:hideMark/>
          </w:tcPr>
          <w:p w14:paraId="21CFE6DA" w14:textId="2258802D"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3</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3</w:t>
            </w:r>
          </w:p>
        </w:tc>
        <w:tc>
          <w:tcPr>
            <w:tcW w:w="737" w:type="dxa"/>
            <w:shd w:val="clear" w:color="auto" w:fill="E5DFEC"/>
            <w:hideMark/>
          </w:tcPr>
          <w:p w14:paraId="3FD80D0A" w14:textId="25F88F8B"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c>
          <w:tcPr>
            <w:tcW w:w="737" w:type="dxa"/>
            <w:shd w:val="clear" w:color="auto" w:fill="E5DFEC"/>
            <w:hideMark/>
          </w:tcPr>
          <w:p w14:paraId="5E791C49" w14:textId="78ABB47F"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r>
      <w:tr w:rsidR="00C03C20" w:rsidRPr="002E2667" w14:paraId="72EC228B"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vAlign w:val="bottom"/>
            <w:hideMark/>
          </w:tcPr>
          <w:p w14:paraId="78D6928D" w14:textId="77777777" w:rsidR="00267AA4" w:rsidRPr="00F73E81" w:rsidRDefault="00267AA4">
            <w:pPr>
              <w:spacing w:before="40" w:after="40"/>
              <w:ind w:left="171"/>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 xml:space="preserve">Sociālās zinātnes, </w:t>
            </w:r>
            <w:proofErr w:type="spellStart"/>
            <w:r w:rsidRPr="00F73E81">
              <w:rPr>
                <w:rFonts w:ascii="Segoe UI Light" w:eastAsia="Times New Roman" w:hAnsi="Segoe UI Light"/>
                <w:sz w:val="16"/>
                <w:szCs w:val="18"/>
                <w:lang w:eastAsia="lv-LV"/>
              </w:rPr>
              <w:t>komerczinības</w:t>
            </w:r>
            <w:proofErr w:type="spellEnd"/>
            <w:r w:rsidRPr="00F73E81">
              <w:rPr>
                <w:rFonts w:ascii="Segoe UI Light" w:eastAsia="Times New Roman" w:hAnsi="Segoe UI Light"/>
                <w:sz w:val="16"/>
                <w:szCs w:val="18"/>
                <w:lang w:eastAsia="lv-LV"/>
              </w:rPr>
              <w:t xml:space="preserve"> un tiesības</w:t>
            </w:r>
          </w:p>
        </w:tc>
        <w:tc>
          <w:tcPr>
            <w:tcW w:w="623" w:type="dxa"/>
            <w:shd w:val="clear" w:color="auto" w:fill="CCC0D9"/>
            <w:noWrap/>
            <w:hideMark/>
          </w:tcPr>
          <w:p w14:paraId="5AC12A86" w14:textId="066A4E4E"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150</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6</w:t>
            </w:r>
          </w:p>
        </w:tc>
        <w:tc>
          <w:tcPr>
            <w:tcW w:w="737" w:type="dxa"/>
            <w:shd w:val="clear" w:color="auto" w:fill="CCC0D9"/>
            <w:noWrap/>
            <w:hideMark/>
          </w:tcPr>
          <w:p w14:paraId="3F8947E6" w14:textId="46C78941"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163</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0</w:t>
            </w:r>
          </w:p>
        </w:tc>
        <w:tc>
          <w:tcPr>
            <w:tcW w:w="737" w:type="dxa"/>
            <w:shd w:val="clear" w:color="auto" w:fill="CCC0D9"/>
            <w:hideMark/>
          </w:tcPr>
          <w:p w14:paraId="109807A4" w14:textId="672D9891"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175</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2</w:t>
            </w:r>
          </w:p>
        </w:tc>
        <w:tc>
          <w:tcPr>
            <w:tcW w:w="737" w:type="dxa"/>
            <w:shd w:val="clear" w:color="auto" w:fill="CCC0D9"/>
            <w:hideMark/>
          </w:tcPr>
          <w:p w14:paraId="3369E430" w14:textId="3249F4F7"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c>
          <w:tcPr>
            <w:tcW w:w="737" w:type="dxa"/>
            <w:shd w:val="clear" w:color="auto" w:fill="CCC0D9"/>
            <w:hideMark/>
          </w:tcPr>
          <w:p w14:paraId="0063D577" w14:textId="001AFF91"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17</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0</w:t>
            </w:r>
          </w:p>
        </w:tc>
        <w:tc>
          <w:tcPr>
            <w:tcW w:w="737" w:type="dxa"/>
            <w:shd w:val="clear" w:color="auto" w:fill="CCC0D9"/>
            <w:hideMark/>
          </w:tcPr>
          <w:p w14:paraId="1100E969" w14:textId="55D6E86E"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18</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c>
          <w:tcPr>
            <w:tcW w:w="737" w:type="dxa"/>
            <w:shd w:val="clear" w:color="auto" w:fill="CCC0D9"/>
            <w:hideMark/>
          </w:tcPr>
          <w:p w14:paraId="6B0716F1" w14:textId="764D54F4"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4</w:t>
            </w:r>
          </w:p>
        </w:tc>
        <w:tc>
          <w:tcPr>
            <w:tcW w:w="737" w:type="dxa"/>
            <w:shd w:val="clear" w:color="auto" w:fill="CCC0D9"/>
            <w:hideMark/>
          </w:tcPr>
          <w:p w14:paraId="0A0813CC" w14:textId="7A5E15D6"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24</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r>
      <w:tr w:rsidR="00C03C20" w:rsidRPr="002E2667" w14:paraId="5C035F89" w14:textId="77777777">
        <w:trPr>
          <w:cantSplit/>
          <w:trHeight w:val="20"/>
          <w:jc w:val="center"/>
        </w:trPr>
        <w:tc>
          <w:tcPr>
            <w:tcW w:w="3373" w:type="dxa"/>
            <w:shd w:val="clear" w:color="auto" w:fill="E5DFEC"/>
            <w:vAlign w:val="bottom"/>
            <w:hideMark/>
          </w:tcPr>
          <w:p w14:paraId="67F6197E" w14:textId="77777777" w:rsidR="00267AA4" w:rsidRPr="00F73E81" w:rsidRDefault="00267AA4">
            <w:pPr>
              <w:spacing w:before="40" w:after="40"/>
              <w:ind w:left="171"/>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Dabas zinātnes, matemātika un informācijas tehnoloģijas</w:t>
            </w:r>
          </w:p>
        </w:tc>
        <w:tc>
          <w:tcPr>
            <w:tcW w:w="623" w:type="dxa"/>
            <w:shd w:val="clear" w:color="auto" w:fill="E5DFEC"/>
            <w:noWrap/>
            <w:hideMark/>
          </w:tcPr>
          <w:p w14:paraId="673CDF4C" w14:textId="60085923"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26</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4</w:t>
            </w:r>
          </w:p>
        </w:tc>
        <w:tc>
          <w:tcPr>
            <w:tcW w:w="737" w:type="dxa"/>
            <w:shd w:val="clear" w:color="auto" w:fill="E5DFEC"/>
            <w:noWrap/>
            <w:hideMark/>
          </w:tcPr>
          <w:p w14:paraId="254F4F5C" w14:textId="1C8C9874"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27</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8</w:t>
            </w:r>
          </w:p>
        </w:tc>
        <w:tc>
          <w:tcPr>
            <w:tcW w:w="737" w:type="dxa"/>
            <w:shd w:val="clear" w:color="auto" w:fill="E5DFEC"/>
            <w:hideMark/>
          </w:tcPr>
          <w:p w14:paraId="6EA453B6" w14:textId="0AA05A04"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30</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9</w:t>
            </w:r>
          </w:p>
        </w:tc>
        <w:tc>
          <w:tcPr>
            <w:tcW w:w="737" w:type="dxa"/>
            <w:shd w:val="clear" w:color="auto" w:fill="E5DFEC"/>
            <w:hideMark/>
          </w:tcPr>
          <w:p w14:paraId="312C5E69" w14:textId="46587CA5"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E5DFEC"/>
            <w:hideMark/>
          </w:tcPr>
          <w:p w14:paraId="0E2EAE33" w14:textId="1EB6ECAF"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c>
          <w:tcPr>
            <w:tcW w:w="737" w:type="dxa"/>
            <w:shd w:val="clear" w:color="auto" w:fill="E5DFEC"/>
            <w:hideMark/>
          </w:tcPr>
          <w:p w14:paraId="2FDD9C04" w14:textId="7FD42B84"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3</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3</w:t>
            </w:r>
          </w:p>
        </w:tc>
        <w:tc>
          <w:tcPr>
            <w:tcW w:w="737" w:type="dxa"/>
            <w:shd w:val="clear" w:color="auto" w:fill="E5DFEC"/>
            <w:hideMark/>
          </w:tcPr>
          <w:p w14:paraId="63B715D9" w14:textId="6B000FB1"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4</w:t>
            </w:r>
          </w:p>
        </w:tc>
        <w:tc>
          <w:tcPr>
            <w:tcW w:w="737" w:type="dxa"/>
            <w:shd w:val="clear" w:color="auto" w:fill="E5DFEC"/>
            <w:hideMark/>
          </w:tcPr>
          <w:p w14:paraId="01CE2238" w14:textId="12346195"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4</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r>
      <w:tr w:rsidR="00C03C20" w:rsidRPr="002E2667" w14:paraId="6C3E0E67"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vAlign w:val="bottom"/>
            <w:hideMark/>
          </w:tcPr>
          <w:p w14:paraId="0874F686" w14:textId="77777777" w:rsidR="00267AA4" w:rsidRPr="00F73E81" w:rsidRDefault="00267AA4">
            <w:pPr>
              <w:spacing w:before="40" w:after="40"/>
              <w:ind w:left="171"/>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Inženierzinātnes, ražošana un būvniecība</w:t>
            </w:r>
          </w:p>
        </w:tc>
        <w:tc>
          <w:tcPr>
            <w:tcW w:w="623" w:type="dxa"/>
            <w:shd w:val="clear" w:color="auto" w:fill="CCC0D9"/>
            <w:noWrap/>
            <w:hideMark/>
          </w:tcPr>
          <w:p w14:paraId="0A221E71" w14:textId="7EA7CB5C"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54</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8</w:t>
            </w:r>
          </w:p>
        </w:tc>
        <w:tc>
          <w:tcPr>
            <w:tcW w:w="737" w:type="dxa"/>
            <w:shd w:val="clear" w:color="auto" w:fill="CCC0D9"/>
            <w:noWrap/>
            <w:hideMark/>
          </w:tcPr>
          <w:p w14:paraId="59F68B86" w14:textId="3222D89A"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55</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6</w:t>
            </w:r>
          </w:p>
        </w:tc>
        <w:tc>
          <w:tcPr>
            <w:tcW w:w="737" w:type="dxa"/>
            <w:shd w:val="clear" w:color="auto" w:fill="CCC0D9"/>
            <w:hideMark/>
          </w:tcPr>
          <w:p w14:paraId="62536F8A" w14:textId="095F5709"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58</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4</w:t>
            </w:r>
          </w:p>
        </w:tc>
        <w:tc>
          <w:tcPr>
            <w:tcW w:w="737" w:type="dxa"/>
            <w:shd w:val="clear" w:color="auto" w:fill="CCC0D9"/>
            <w:hideMark/>
          </w:tcPr>
          <w:p w14:paraId="35EAF57F" w14:textId="2B7E6EF1"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CCC0D9"/>
            <w:hideMark/>
          </w:tcPr>
          <w:p w14:paraId="11D8E65A" w14:textId="4E26FCBA"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CCC0D9"/>
            <w:hideMark/>
          </w:tcPr>
          <w:p w14:paraId="4909BCAC" w14:textId="2D395C7D"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6</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2</w:t>
            </w:r>
          </w:p>
        </w:tc>
        <w:tc>
          <w:tcPr>
            <w:tcW w:w="737" w:type="dxa"/>
            <w:shd w:val="clear" w:color="auto" w:fill="CCC0D9"/>
            <w:hideMark/>
          </w:tcPr>
          <w:p w14:paraId="1597F23F" w14:textId="24F3424D"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CCC0D9"/>
            <w:hideMark/>
          </w:tcPr>
          <w:p w14:paraId="0135139D" w14:textId="6A560786"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3</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r>
      <w:tr w:rsidR="00C03C20" w:rsidRPr="002E2667" w14:paraId="317C8976" w14:textId="77777777">
        <w:trPr>
          <w:cantSplit/>
          <w:trHeight w:val="20"/>
          <w:jc w:val="center"/>
        </w:trPr>
        <w:tc>
          <w:tcPr>
            <w:tcW w:w="3373" w:type="dxa"/>
            <w:shd w:val="clear" w:color="auto" w:fill="E5DFEC"/>
            <w:vAlign w:val="bottom"/>
            <w:hideMark/>
          </w:tcPr>
          <w:p w14:paraId="23BB713E" w14:textId="77777777" w:rsidR="00267AA4" w:rsidRPr="00F73E81" w:rsidRDefault="00267AA4">
            <w:pPr>
              <w:spacing w:before="40" w:after="40"/>
              <w:ind w:left="171"/>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Lauksaimniecība</w:t>
            </w:r>
          </w:p>
        </w:tc>
        <w:tc>
          <w:tcPr>
            <w:tcW w:w="623" w:type="dxa"/>
            <w:shd w:val="clear" w:color="auto" w:fill="E5DFEC"/>
            <w:noWrap/>
            <w:hideMark/>
          </w:tcPr>
          <w:p w14:paraId="68F42539" w14:textId="193D6EA3"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6</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1</w:t>
            </w:r>
          </w:p>
        </w:tc>
        <w:tc>
          <w:tcPr>
            <w:tcW w:w="737" w:type="dxa"/>
            <w:shd w:val="clear" w:color="auto" w:fill="E5DFEC"/>
            <w:noWrap/>
            <w:hideMark/>
          </w:tcPr>
          <w:p w14:paraId="7944E368" w14:textId="3AFFFD01"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6</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3</w:t>
            </w:r>
          </w:p>
        </w:tc>
        <w:tc>
          <w:tcPr>
            <w:tcW w:w="737" w:type="dxa"/>
            <w:shd w:val="clear" w:color="auto" w:fill="E5DFEC"/>
            <w:hideMark/>
          </w:tcPr>
          <w:p w14:paraId="62D4F59B" w14:textId="71045C84"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7</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0</w:t>
            </w:r>
          </w:p>
        </w:tc>
        <w:tc>
          <w:tcPr>
            <w:tcW w:w="737" w:type="dxa"/>
            <w:shd w:val="clear" w:color="auto" w:fill="E5DFEC"/>
            <w:hideMark/>
          </w:tcPr>
          <w:p w14:paraId="1EDF19A5" w14:textId="6ADBA185"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c>
          <w:tcPr>
            <w:tcW w:w="737" w:type="dxa"/>
            <w:shd w:val="clear" w:color="auto" w:fill="E5DFEC"/>
            <w:hideMark/>
          </w:tcPr>
          <w:p w14:paraId="6FE79CB7" w14:textId="05073BA6"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c>
          <w:tcPr>
            <w:tcW w:w="737" w:type="dxa"/>
            <w:shd w:val="clear" w:color="auto" w:fill="E5DFEC"/>
            <w:hideMark/>
          </w:tcPr>
          <w:p w14:paraId="23740727" w14:textId="5C778674"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c>
          <w:tcPr>
            <w:tcW w:w="737" w:type="dxa"/>
            <w:shd w:val="clear" w:color="auto" w:fill="E5DFEC"/>
            <w:hideMark/>
          </w:tcPr>
          <w:p w14:paraId="35432196" w14:textId="44B5F3CF"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2</w:t>
            </w:r>
          </w:p>
        </w:tc>
        <w:tc>
          <w:tcPr>
            <w:tcW w:w="737" w:type="dxa"/>
            <w:shd w:val="clear" w:color="auto" w:fill="E5DFEC"/>
            <w:hideMark/>
          </w:tcPr>
          <w:p w14:paraId="6B6C36BB" w14:textId="129D10D3"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r>
      <w:tr w:rsidR="00C03C20" w:rsidRPr="002E2667" w14:paraId="3F8A0A4D"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vAlign w:val="bottom"/>
            <w:hideMark/>
          </w:tcPr>
          <w:p w14:paraId="11B25281" w14:textId="77777777" w:rsidR="00267AA4" w:rsidRPr="00F73E81" w:rsidRDefault="00267AA4">
            <w:pPr>
              <w:spacing w:before="40" w:after="40"/>
              <w:ind w:left="171"/>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Veselības aprūpe un sociālā labklājība</w:t>
            </w:r>
          </w:p>
        </w:tc>
        <w:tc>
          <w:tcPr>
            <w:tcW w:w="623" w:type="dxa"/>
            <w:shd w:val="clear" w:color="auto" w:fill="CCC0D9"/>
            <w:noWrap/>
            <w:hideMark/>
          </w:tcPr>
          <w:p w14:paraId="0113E227" w14:textId="1039E082"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35</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7</w:t>
            </w:r>
          </w:p>
        </w:tc>
        <w:tc>
          <w:tcPr>
            <w:tcW w:w="737" w:type="dxa"/>
            <w:shd w:val="clear" w:color="auto" w:fill="CCC0D9"/>
            <w:noWrap/>
            <w:hideMark/>
          </w:tcPr>
          <w:p w14:paraId="72D7A9FD" w14:textId="5682C9C8"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41</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1</w:t>
            </w:r>
          </w:p>
        </w:tc>
        <w:tc>
          <w:tcPr>
            <w:tcW w:w="737" w:type="dxa"/>
            <w:shd w:val="clear" w:color="auto" w:fill="CCC0D9"/>
            <w:hideMark/>
          </w:tcPr>
          <w:p w14:paraId="56A1351D" w14:textId="4AAF099D"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50</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8</w:t>
            </w:r>
          </w:p>
        </w:tc>
        <w:tc>
          <w:tcPr>
            <w:tcW w:w="737" w:type="dxa"/>
            <w:shd w:val="clear" w:color="auto" w:fill="CCC0D9"/>
            <w:hideMark/>
          </w:tcPr>
          <w:p w14:paraId="017F75A0" w14:textId="72594CCD"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3</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CCC0D9"/>
            <w:hideMark/>
          </w:tcPr>
          <w:p w14:paraId="11D037AC" w14:textId="60690467"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4</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3</w:t>
            </w:r>
          </w:p>
        </w:tc>
        <w:tc>
          <w:tcPr>
            <w:tcW w:w="737" w:type="dxa"/>
            <w:shd w:val="clear" w:color="auto" w:fill="CCC0D9"/>
            <w:hideMark/>
          </w:tcPr>
          <w:p w14:paraId="7BF46BF7" w14:textId="617B1207"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4</w:t>
            </w:r>
          </w:p>
        </w:tc>
        <w:tc>
          <w:tcPr>
            <w:tcW w:w="737" w:type="dxa"/>
            <w:shd w:val="clear" w:color="auto" w:fill="CCC0D9"/>
            <w:hideMark/>
          </w:tcPr>
          <w:p w14:paraId="6ADEEE0F" w14:textId="588C93D8"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4</w:t>
            </w:r>
          </w:p>
        </w:tc>
        <w:tc>
          <w:tcPr>
            <w:tcW w:w="737" w:type="dxa"/>
            <w:shd w:val="clear" w:color="auto" w:fill="CCC0D9"/>
            <w:hideMark/>
          </w:tcPr>
          <w:p w14:paraId="055F9955" w14:textId="2C85CDD4"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0</w:t>
            </w:r>
          </w:p>
        </w:tc>
      </w:tr>
      <w:tr w:rsidR="00C03C20" w:rsidRPr="002E2667" w14:paraId="0E00137A" w14:textId="77777777">
        <w:trPr>
          <w:cantSplit/>
          <w:trHeight w:val="20"/>
          <w:jc w:val="center"/>
        </w:trPr>
        <w:tc>
          <w:tcPr>
            <w:tcW w:w="3373" w:type="dxa"/>
            <w:shd w:val="clear" w:color="auto" w:fill="E5DFEC"/>
            <w:vAlign w:val="bottom"/>
          </w:tcPr>
          <w:p w14:paraId="2DB9FD32" w14:textId="77777777" w:rsidR="00267AA4" w:rsidRPr="00F73E81" w:rsidRDefault="00267AA4">
            <w:pPr>
              <w:spacing w:before="40" w:after="40"/>
              <w:ind w:left="171"/>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Pakalpojumi</w:t>
            </w:r>
          </w:p>
        </w:tc>
        <w:tc>
          <w:tcPr>
            <w:tcW w:w="623" w:type="dxa"/>
            <w:shd w:val="clear" w:color="auto" w:fill="E5DFEC"/>
            <w:noWrap/>
          </w:tcPr>
          <w:p w14:paraId="53333D1B" w14:textId="4A691C4A"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25</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9</w:t>
            </w:r>
          </w:p>
        </w:tc>
        <w:tc>
          <w:tcPr>
            <w:tcW w:w="737" w:type="dxa"/>
            <w:shd w:val="clear" w:color="auto" w:fill="E5DFEC"/>
            <w:noWrap/>
          </w:tcPr>
          <w:p w14:paraId="6FBC1BC2" w14:textId="6CD87DEB"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28</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8</w:t>
            </w:r>
          </w:p>
        </w:tc>
        <w:tc>
          <w:tcPr>
            <w:tcW w:w="737" w:type="dxa"/>
            <w:shd w:val="clear" w:color="auto" w:fill="E5DFEC"/>
          </w:tcPr>
          <w:p w14:paraId="1E81D159" w14:textId="2CCCCA80"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33</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6</w:t>
            </w:r>
          </w:p>
        </w:tc>
        <w:tc>
          <w:tcPr>
            <w:tcW w:w="737" w:type="dxa"/>
            <w:shd w:val="clear" w:color="auto" w:fill="E5DFEC"/>
          </w:tcPr>
          <w:p w14:paraId="7548FE26" w14:textId="46B4AD00"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c>
          <w:tcPr>
            <w:tcW w:w="737" w:type="dxa"/>
            <w:shd w:val="clear" w:color="auto" w:fill="E5DFEC"/>
          </w:tcPr>
          <w:p w14:paraId="0C4AE833" w14:textId="4F7DAC7A"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3</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0</w:t>
            </w:r>
          </w:p>
        </w:tc>
        <w:tc>
          <w:tcPr>
            <w:tcW w:w="737" w:type="dxa"/>
            <w:shd w:val="clear" w:color="auto" w:fill="E5DFEC"/>
          </w:tcPr>
          <w:p w14:paraId="30BAB1B0" w14:textId="1CFEDB13"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3</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c>
          <w:tcPr>
            <w:tcW w:w="737" w:type="dxa"/>
            <w:shd w:val="clear" w:color="auto" w:fill="E5DFEC"/>
          </w:tcPr>
          <w:p w14:paraId="053F7985" w14:textId="10467EEC"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E5DFEC"/>
          </w:tcPr>
          <w:p w14:paraId="6F2588DA" w14:textId="71A10D99"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7</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r>
      <w:tr w:rsidR="00C03C20" w:rsidRPr="002E2667" w14:paraId="311ED492"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vAlign w:val="bottom"/>
          </w:tcPr>
          <w:p w14:paraId="33F7E199" w14:textId="77777777" w:rsidR="00267AA4" w:rsidRPr="00F73E81" w:rsidRDefault="00267AA4">
            <w:pPr>
              <w:spacing w:before="40" w:after="40"/>
              <w:ind w:left="171"/>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Citur neklasificētās tematiskās grupas</w:t>
            </w:r>
          </w:p>
        </w:tc>
        <w:tc>
          <w:tcPr>
            <w:tcW w:w="623" w:type="dxa"/>
            <w:shd w:val="clear" w:color="auto" w:fill="CCC0D9"/>
            <w:noWrap/>
          </w:tcPr>
          <w:p w14:paraId="47967FDA" w14:textId="1BDFD0E0"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8</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2</w:t>
            </w:r>
          </w:p>
        </w:tc>
        <w:tc>
          <w:tcPr>
            <w:tcW w:w="737" w:type="dxa"/>
            <w:shd w:val="clear" w:color="auto" w:fill="CCC0D9"/>
            <w:noWrap/>
          </w:tcPr>
          <w:p w14:paraId="73B39CCB" w14:textId="29921308"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7</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3</w:t>
            </w:r>
          </w:p>
        </w:tc>
        <w:tc>
          <w:tcPr>
            <w:tcW w:w="737" w:type="dxa"/>
            <w:shd w:val="clear" w:color="auto" w:fill="CCC0D9"/>
          </w:tcPr>
          <w:p w14:paraId="4C930657" w14:textId="2ADE196D"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5</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1</w:t>
            </w:r>
          </w:p>
        </w:tc>
        <w:tc>
          <w:tcPr>
            <w:tcW w:w="737" w:type="dxa"/>
            <w:shd w:val="clear" w:color="auto" w:fill="CCC0D9"/>
          </w:tcPr>
          <w:p w14:paraId="3F671557" w14:textId="0FD36205"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c>
          <w:tcPr>
            <w:tcW w:w="737" w:type="dxa"/>
            <w:shd w:val="clear" w:color="auto" w:fill="CCC0D9"/>
          </w:tcPr>
          <w:p w14:paraId="70AA8D5C" w14:textId="0A3072F9"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CCC0D9"/>
          </w:tcPr>
          <w:p w14:paraId="59FDEBB2" w14:textId="389FD6EA"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5</w:t>
            </w:r>
          </w:p>
        </w:tc>
        <w:tc>
          <w:tcPr>
            <w:tcW w:w="737" w:type="dxa"/>
            <w:shd w:val="clear" w:color="auto" w:fill="CCC0D9"/>
          </w:tcPr>
          <w:p w14:paraId="7D47ED71" w14:textId="37756E06"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CCC0D9"/>
          </w:tcPr>
          <w:p w14:paraId="4B6D09D4" w14:textId="48437782"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-3</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1</w:t>
            </w:r>
          </w:p>
        </w:tc>
      </w:tr>
      <w:tr w:rsidR="00C03C20" w:rsidRPr="002E2667" w14:paraId="6EB4B368" w14:textId="77777777">
        <w:trPr>
          <w:cantSplit/>
          <w:trHeight w:val="20"/>
          <w:jc w:val="center"/>
        </w:trPr>
        <w:tc>
          <w:tcPr>
            <w:tcW w:w="3373" w:type="dxa"/>
            <w:shd w:val="clear" w:color="auto" w:fill="E5DFEC"/>
            <w:vAlign w:val="bottom"/>
            <w:hideMark/>
          </w:tcPr>
          <w:p w14:paraId="06CDB49E" w14:textId="77777777" w:rsidR="00267AA4" w:rsidRPr="00F73E81" w:rsidRDefault="00267AA4">
            <w:pPr>
              <w:spacing w:before="40" w:after="40"/>
              <w:rPr>
                <w:rFonts w:ascii="Segoe UI Light" w:eastAsia="Times New Roman" w:hAnsi="Segoe UI Light"/>
                <w:b/>
                <w:sz w:val="16"/>
                <w:szCs w:val="18"/>
                <w:lang w:eastAsia="lv-LV"/>
              </w:rPr>
            </w:pPr>
            <w:r w:rsidRPr="00F73E81">
              <w:rPr>
                <w:rFonts w:ascii="Segoe UI Light" w:eastAsia="Times New Roman" w:hAnsi="Segoe UI Light"/>
                <w:b/>
                <w:sz w:val="16"/>
                <w:szCs w:val="18"/>
                <w:lang w:eastAsia="lv-LV"/>
              </w:rPr>
              <w:t>Vidējā izglītība, tai skaitā:</w:t>
            </w:r>
          </w:p>
        </w:tc>
        <w:tc>
          <w:tcPr>
            <w:tcW w:w="623" w:type="dxa"/>
            <w:shd w:val="clear" w:color="auto" w:fill="E5DFEC"/>
            <w:noWrap/>
            <w:hideMark/>
          </w:tcPr>
          <w:p w14:paraId="1C96C121" w14:textId="153A4521"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491</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1</w:t>
            </w:r>
          </w:p>
        </w:tc>
        <w:tc>
          <w:tcPr>
            <w:tcW w:w="737" w:type="dxa"/>
            <w:shd w:val="clear" w:color="auto" w:fill="E5DFEC"/>
            <w:noWrap/>
            <w:hideMark/>
          </w:tcPr>
          <w:p w14:paraId="5E7BDD83" w14:textId="3B93EF6F"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436</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8</w:t>
            </w:r>
          </w:p>
        </w:tc>
        <w:tc>
          <w:tcPr>
            <w:tcW w:w="737" w:type="dxa"/>
            <w:shd w:val="clear" w:color="auto" w:fill="E5DFEC"/>
            <w:hideMark/>
          </w:tcPr>
          <w:p w14:paraId="50EDD237" w14:textId="25B0C596"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392</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3</w:t>
            </w:r>
          </w:p>
        </w:tc>
        <w:tc>
          <w:tcPr>
            <w:tcW w:w="737" w:type="dxa"/>
            <w:shd w:val="clear" w:color="auto" w:fill="E5DFEC"/>
            <w:hideMark/>
          </w:tcPr>
          <w:p w14:paraId="4EA669D6" w14:textId="4627A7A4"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51</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9</w:t>
            </w:r>
          </w:p>
        </w:tc>
        <w:tc>
          <w:tcPr>
            <w:tcW w:w="737" w:type="dxa"/>
            <w:shd w:val="clear" w:color="auto" w:fill="E5DFEC"/>
            <w:hideMark/>
          </w:tcPr>
          <w:p w14:paraId="6137191F" w14:textId="7BF9FF66"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45</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5</w:t>
            </w:r>
          </w:p>
        </w:tc>
        <w:tc>
          <w:tcPr>
            <w:tcW w:w="737" w:type="dxa"/>
            <w:shd w:val="clear" w:color="auto" w:fill="E5DFEC"/>
            <w:hideMark/>
          </w:tcPr>
          <w:p w14:paraId="19CBA70F" w14:textId="51496B84"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41</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9</w:t>
            </w:r>
          </w:p>
        </w:tc>
        <w:tc>
          <w:tcPr>
            <w:tcW w:w="737" w:type="dxa"/>
            <w:shd w:val="clear" w:color="auto" w:fill="E5DFEC"/>
            <w:hideMark/>
          </w:tcPr>
          <w:p w14:paraId="34D4BA66" w14:textId="29A3DC84"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-54</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3</w:t>
            </w:r>
          </w:p>
        </w:tc>
        <w:tc>
          <w:tcPr>
            <w:tcW w:w="737" w:type="dxa"/>
            <w:shd w:val="clear" w:color="auto" w:fill="E5DFEC"/>
            <w:hideMark/>
          </w:tcPr>
          <w:p w14:paraId="5FFFADA0" w14:textId="189B88FD"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-98</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8</w:t>
            </w:r>
          </w:p>
        </w:tc>
      </w:tr>
      <w:tr w:rsidR="00C03C20" w:rsidRPr="002E2667" w14:paraId="33D7778C" w14:textId="77777777" w:rsidTr="00B018CB">
        <w:trPr>
          <w:cnfStyle w:val="000000100000" w:firstRow="0" w:lastRow="0" w:firstColumn="0" w:lastColumn="0" w:oddVBand="0" w:evenVBand="0" w:oddHBand="1" w:evenHBand="0" w:firstRowFirstColumn="0" w:firstRowLastColumn="0" w:lastRowFirstColumn="0" w:lastRowLastColumn="0"/>
          <w:cantSplit/>
          <w:trHeight w:val="283"/>
          <w:jc w:val="center"/>
        </w:trPr>
        <w:tc>
          <w:tcPr>
            <w:tcW w:w="3373" w:type="dxa"/>
            <w:shd w:val="clear" w:color="auto" w:fill="CCC0D9"/>
            <w:vAlign w:val="bottom"/>
          </w:tcPr>
          <w:p w14:paraId="25538648" w14:textId="77777777" w:rsidR="00267AA4" w:rsidRPr="00F73E81" w:rsidRDefault="00267AA4">
            <w:pPr>
              <w:spacing w:before="40" w:after="40"/>
              <w:ind w:left="170"/>
              <w:rPr>
                <w:rFonts w:ascii="Segoe UI Light" w:eastAsia="Times New Roman" w:hAnsi="Segoe UI Light"/>
                <w:b/>
                <w:bCs/>
                <w:sz w:val="16"/>
                <w:szCs w:val="18"/>
                <w:lang w:eastAsia="lv-LV"/>
              </w:rPr>
            </w:pPr>
            <w:r w:rsidRPr="00F73E81">
              <w:rPr>
                <w:rFonts w:ascii="Segoe UI Light" w:eastAsia="Times New Roman" w:hAnsi="Segoe UI Light"/>
                <w:b/>
                <w:bCs/>
                <w:sz w:val="16"/>
                <w:szCs w:val="18"/>
                <w:lang w:eastAsia="lv-LV"/>
              </w:rPr>
              <w:t>Arodizglītība un profesionālā vidējā izglītība:</w:t>
            </w:r>
          </w:p>
        </w:tc>
        <w:tc>
          <w:tcPr>
            <w:tcW w:w="623" w:type="dxa"/>
            <w:shd w:val="clear" w:color="auto" w:fill="CCC0D9"/>
            <w:noWrap/>
          </w:tcPr>
          <w:p w14:paraId="10534868" w14:textId="1D441949"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278</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5</w:t>
            </w:r>
          </w:p>
        </w:tc>
        <w:tc>
          <w:tcPr>
            <w:tcW w:w="737" w:type="dxa"/>
            <w:shd w:val="clear" w:color="auto" w:fill="CCC0D9"/>
            <w:noWrap/>
          </w:tcPr>
          <w:p w14:paraId="660D85DC" w14:textId="5FED1D85"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230</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8</w:t>
            </w:r>
          </w:p>
        </w:tc>
        <w:tc>
          <w:tcPr>
            <w:tcW w:w="737" w:type="dxa"/>
            <w:shd w:val="clear" w:color="auto" w:fill="CCC0D9"/>
          </w:tcPr>
          <w:p w14:paraId="2FD53F16" w14:textId="56C75720"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184</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5</w:t>
            </w:r>
          </w:p>
        </w:tc>
        <w:tc>
          <w:tcPr>
            <w:tcW w:w="737" w:type="dxa"/>
            <w:shd w:val="clear" w:color="auto" w:fill="CCC0D9"/>
          </w:tcPr>
          <w:p w14:paraId="22E1F3A1" w14:textId="456ACAE9"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29</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4</w:t>
            </w:r>
          </w:p>
        </w:tc>
        <w:tc>
          <w:tcPr>
            <w:tcW w:w="737" w:type="dxa"/>
            <w:shd w:val="clear" w:color="auto" w:fill="CCC0D9"/>
          </w:tcPr>
          <w:p w14:paraId="514C29A6" w14:textId="2260BFA4"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24</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0</w:t>
            </w:r>
          </w:p>
        </w:tc>
        <w:tc>
          <w:tcPr>
            <w:tcW w:w="737" w:type="dxa"/>
            <w:shd w:val="clear" w:color="auto" w:fill="CCC0D9"/>
          </w:tcPr>
          <w:p w14:paraId="71E6AE0D" w14:textId="6EDCED12"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19</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7</w:t>
            </w:r>
          </w:p>
        </w:tc>
        <w:tc>
          <w:tcPr>
            <w:tcW w:w="737" w:type="dxa"/>
            <w:shd w:val="clear" w:color="auto" w:fill="CCC0D9"/>
          </w:tcPr>
          <w:p w14:paraId="39B02661" w14:textId="3BD51F7F"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-47</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6</w:t>
            </w:r>
          </w:p>
        </w:tc>
        <w:tc>
          <w:tcPr>
            <w:tcW w:w="737" w:type="dxa"/>
            <w:shd w:val="clear" w:color="auto" w:fill="CCC0D9"/>
          </w:tcPr>
          <w:p w14:paraId="35BD223E" w14:textId="25A46E24"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-93</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9</w:t>
            </w:r>
          </w:p>
        </w:tc>
      </w:tr>
      <w:tr w:rsidR="00C03C20" w:rsidRPr="002E2667" w14:paraId="5CAFF3A3" w14:textId="77777777">
        <w:trPr>
          <w:cantSplit/>
          <w:trHeight w:val="20"/>
          <w:jc w:val="center"/>
        </w:trPr>
        <w:tc>
          <w:tcPr>
            <w:tcW w:w="3373" w:type="dxa"/>
            <w:shd w:val="clear" w:color="auto" w:fill="E5DFEC"/>
            <w:vAlign w:val="bottom"/>
            <w:hideMark/>
          </w:tcPr>
          <w:p w14:paraId="6C11F339" w14:textId="77777777" w:rsidR="00267AA4" w:rsidRPr="00F73E81" w:rsidRDefault="00267AA4">
            <w:pPr>
              <w:spacing w:before="40" w:after="40"/>
              <w:ind w:left="340"/>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Izglītība</w:t>
            </w:r>
          </w:p>
        </w:tc>
        <w:tc>
          <w:tcPr>
            <w:tcW w:w="623" w:type="dxa"/>
            <w:shd w:val="clear" w:color="auto" w:fill="E5DFEC"/>
            <w:noWrap/>
            <w:hideMark/>
          </w:tcPr>
          <w:p w14:paraId="07ACC8D9" w14:textId="25F6EADD"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5</w:t>
            </w:r>
          </w:p>
        </w:tc>
        <w:tc>
          <w:tcPr>
            <w:tcW w:w="737" w:type="dxa"/>
            <w:shd w:val="clear" w:color="auto" w:fill="E5DFEC"/>
            <w:noWrap/>
            <w:hideMark/>
          </w:tcPr>
          <w:p w14:paraId="0AA1D91E" w14:textId="79631B44"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8</w:t>
            </w:r>
          </w:p>
        </w:tc>
        <w:tc>
          <w:tcPr>
            <w:tcW w:w="737" w:type="dxa"/>
            <w:shd w:val="clear" w:color="auto" w:fill="E5DFEC"/>
            <w:hideMark/>
          </w:tcPr>
          <w:p w14:paraId="7E1314C8" w14:textId="7FAC995B"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7</w:t>
            </w:r>
          </w:p>
        </w:tc>
        <w:tc>
          <w:tcPr>
            <w:tcW w:w="737" w:type="dxa"/>
            <w:shd w:val="clear" w:color="auto" w:fill="E5DFEC"/>
            <w:hideMark/>
          </w:tcPr>
          <w:p w14:paraId="3D114866" w14:textId="3A949255"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3</w:t>
            </w:r>
          </w:p>
        </w:tc>
        <w:tc>
          <w:tcPr>
            <w:tcW w:w="737" w:type="dxa"/>
            <w:shd w:val="clear" w:color="auto" w:fill="E5DFEC"/>
            <w:hideMark/>
          </w:tcPr>
          <w:p w14:paraId="5B1341C0" w14:textId="59CFBF8B"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2</w:t>
            </w:r>
          </w:p>
        </w:tc>
        <w:tc>
          <w:tcPr>
            <w:tcW w:w="737" w:type="dxa"/>
            <w:shd w:val="clear" w:color="auto" w:fill="E5DFEC"/>
            <w:hideMark/>
          </w:tcPr>
          <w:p w14:paraId="0CCE54A5" w14:textId="5DD384AF"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1</w:t>
            </w:r>
          </w:p>
        </w:tc>
        <w:tc>
          <w:tcPr>
            <w:tcW w:w="737" w:type="dxa"/>
            <w:shd w:val="clear" w:color="auto" w:fill="E5DFEC"/>
            <w:hideMark/>
          </w:tcPr>
          <w:p w14:paraId="6291F503" w14:textId="18BD901C"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c>
          <w:tcPr>
            <w:tcW w:w="737" w:type="dxa"/>
            <w:shd w:val="clear" w:color="auto" w:fill="E5DFEC"/>
            <w:hideMark/>
          </w:tcPr>
          <w:p w14:paraId="14716157" w14:textId="41C63A7A"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r>
      <w:tr w:rsidR="00C03C20" w:rsidRPr="002E2667" w14:paraId="3597461A"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vAlign w:val="bottom"/>
            <w:hideMark/>
          </w:tcPr>
          <w:p w14:paraId="6522946C" w14:textId="77777777" w:rsidR="00267AA4" w:rsidRPr="00F73E81" w:rsidRDefault="00267AA4">
            <w:pPr>
              <w:spacing w:before="40" w:after="40"/>
              <w:ind w:left="340"/>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Humanitārās zinātnes un māksla</w:t>
            </w:r>
          </w:p>
        </w:tc>
        <w:tc>
          <w:tcPr>
            <w:tcW w:w="623" w:type="dxa"/>
            <w:shd w:val="clear" w:color="auto" w:fill="CCC0D9"/>
            <w:noWrap/>
            <w:hideMark/>
          </w:tcPr>
          <w:p w14:paraId="7AA4D5C3" w14:textId="5925CC15"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10</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7</w:t>
            </w:r>
          </w:p>
        </w:tc>
        <w:tc>
          <w:tcPr>
            <w:tcW w:w="737" w:type="dxa"/>
            <w:shd w:val="clear" w:color="auto" w:fill="CCC0D9"/>
            <w:noWrap/>
            <w:hideMark/>
          </w:tcPr>
          <w:p w14:paraId="20A99493" w14:textId="69D81EDA"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11</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3</w:t>
            </w:r>
          </w:p>
        </w:tc>
        <w:tc>
          <w:tcPr>
            <w:tcW w:w="737" w:type="dxa"/>
            <w:shd w:val="clear" w:color="auto" w:fill="CCC0D9"/>
            <w:hideMark/>
          </w:tcPr>
          <w:p w14:paraId="24B59343" w14:textId="47F440E3"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13</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1</w:t>
            </w:r>
          </w:p>
        </w:tc>
        <w:tc>
          <w:tcPr>
            <w:tcW w:w="737" w:type="dxa"/>
            <w:shd w:val="clear" w:color="auto" w:fill="CCC0D9"/>
            <w:hideMark/>
          </w:tcPr>
          <w:p w14:paraId="64DF2C3B" w14:textId="04CB48F9"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1</w:t>
            </w:r>
          </w:p>
        </w:tc>
        <w:tc>
          <w:tcPr>
            <w:tcW w:w="737" w:type="dxa"/>
            <w:shd w:val="clear" w:color="auto" w:fill="CCC0D9"/>
            <w:hideMark/>
          </w:tcPr>
          <w:p w14:paraId="60B0CACB" w14:textId="79C1FF48"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2</w:t>
            </w:r>
          </w:p>
        </w:tc>
        <w:tc>
          <w:tcPr>
            <w:tcW w:w="737" w:type="dxa"/>
            <w:shd w:val="clear" w:color="auto" w:fill="CCC0D9"/>
            <w:hideMark/>
          </w:tcPr>
          <w:p w14:paraId="7960B525" w14:textId="0D121C5E"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4</w:t>
            </w:r>
          </w:p>
        </w:tc>
        <w:tc>
          <w:tcPr>
            <w:tcW w:w="737" w:type="dxa"/>
            <w:shd w:val="clear" w:color="auto" w:fill="CCC0D9"/>
            <w:hideMark/>
          </w:tcPr>
          <w:p w14:paraId="0E123FC2" w14:textId="759C55A5"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c>
          <w:tcPr>
            <w:tcW w:w="737" w:type="dxa"/>
            <w:shd w:val="clear" w:color="auto" w:fill="CCC0D9"/>
            <w:hideMark/>
          </w:tcPr>
          <w:p w14:paraId="6D24BDEE" w14:textId="3D811C05"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4</w:t>
            </w:r>
          </w:p>
        </w:tc>
      </w:tr>
      <w:tr w:rsidR="00C03C20" w:rsidRPr="002E2667" w14:paraId="74480F68" w14:textId="77777777">
        <w:trPr>
          <w:cantSplit/>
          <w:trHeight w:val="20"/>
          <w:jc w:val="center"/>
        </w:trPr>
        <w:tc>
          <w:tcPr>
            <w:tcW w:w="3373" w:type="dxa"/>
            <w:shd w:val="clear" w:color="auto" w:fill="E5DFEC"/>
            <w:vAlign w:val="bottom"/>
            <w:hideMark/>
          </w:tcPr>
          <w:p w14:paraId="076929FE" w14:textId="77777777" w:rsidR="00267AA4" w:rsidRPr="00F73E81" w:rsidRDefault="00267AA4">
            <w:pPr>
              <w:spacing w:before="40" w:after="40"/>
              <w:ind w:left="340"/>
              <w:rPr>
                <w:rFonts w:ascii="Segoe UI Light" w:eastAsia="Times New Roman" w:hAnsi="Segoe UI Light"/>
                <w:spacing w:val="-4"/>
                <w:sz w:val="16"/>
                <w:szCs w:val="18"/>
                <w:lang w:eastAsia="lv-LV"/>
              </w:rPr>
            </w:pPr>
            <w:r w:rsidRPr="00F73E81">
              <w:rPr>
                <w:rFonts w:ascii="Segoe UI Light" w:eastAsia="Times New Roman" w:hAnsi="Segoe UI Light"/>
                <w:spacing w:val="-4"/>
                <w:sz w:val="16"/>
                <w:szCs w:val="18"/>
                <w:lang w:eastAsia="lv-LV"/>
              </w:rPr>
              <w:t xml:space="preserve">Sociālās zinātnes, </w:t>
            </w:r>
            <w:proofErr w:type="spellStart"/>
            <w:r w:rsidRPr="00F73E81">
              <w:rPr>
                <w:rFonts w:ascii="Segoe UI Light" w:eastAsia="Times New Roman" w:hAnsi="Segoe UI Light"/>
                <w:spacing w:val="-4"/>
                <w:sz w:val="16"/>
                <w:szCs w:val="18"/>
                <w:lang w:eastAsia="lv-LV"/>
              </w:rPr>
              <w:t>komerczinības</w:t>
            </w:r>
            <w:proofErr w:type="spellEnd"/>
            <w:r w:rsidRPr="00F73E81">
              <w:rPr>
                <w:rFonts w:ascii="Segoe UI Light" w:eastAsia="Times New Roman" w:hAnsi="Segoe UI Light"/>
                <w:spacing w:val="-4"/>
                <w:sz w:val="16"/>
                <w:szCs w:val="18"/>
                <w:lang w:eastAsia="lv-LV"/>
              </w:rPr>
              <w:t xml:space="preserve"> un tiesības</w:t>
            </w:r>
          </w:p>
        </w:tc>
        <w:tc>
          <w:tcPr>
            <w:tcW w:w="623" w:type="dxa"/>
            <w:shd w:val="clear" w:color="auto" w:fill="E5DFEC"/>
            <w:noWrap/>
            <w:hideMark/>
          </w:tcPr>
          <w:p w14:paraId="687CA0E1" w14:textId="74FFA261"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24</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6</w:t>
            </w:r>
          </w:p>
        </w:tc>
        <w:tc>
          <w:tcPr>
            <w:tcW w:w="737" w:type="dxa"/>
            <w:shd w:val="clear" w:color="auto" w:fill="E5DFEC"/>
            <w:noWrap/>
            <w:hideMark/>
          </w:tcPr>
          <w:p w14:paraId="1034CD01" w14:textId="7F549CC3"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19</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1</w:t>
            </w:r>
          </w:p>
        </w:tc>
        <w:tc>
          <w:tcPr>
            <w:tcW w:w="737" w:type="dxa"/>
            <w:shd w:val="clear" w:color="auto" w:fill="E5DFEC"/>
            <w:hideMark/>
          </w:tcPr>
          <w:p w14:paraId="54A95D1A" w14:textId="137B3D0D"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15</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0</w:t>
            </w:r>
          </w:p>
        </w:tc>
        <w:tc>
          <w:tcPr>
            <w:tcW w:w="737" w:type="dxa"/>
            <w:shd w:val="clear" w:color="auto" w:fill="E5DFEC"/>
            <w:hideMark/>
          </w:tcPr>
          <w:p w14:paraId="0065A210" w14:textId="6A2982EB"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c>
          <w:tcPr>
            <w:tcW w:w="737" w:type="dxa"/>
            <w:shd w:val="clear" w:color="auto" w:fill="E5DFEC"/>
            <w:hideMark/>
          </w:tcPr>
          <w:p w14:paraId="5606FDB4" w14:textId="1CC19B5C"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0</w:t>
            </w:r>
          </w:p>
        </w:tc>
        <w:tc>
          <w:tcPr>
            <w:tcW w:w="737" w:type="dxa"/>
            <w:shd w:val="clear" w:color="auto" w:fill="E5DFEC"/>
            <w:hideMark/>
          </w:tcPr>
          <w:p w14:paraId="653FBD94" w14:textId="0C1237EF"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c>
          <w:tcPr>
            <w:tcW w:w="737" w:type="dxa"/>
            <w:shd w:val="clear" w:color="auto" w:fill="E5DFEC"/>
            <w:hideMark/>
          </w:tcPr>
          <w:p w14:paraId="5958C12A" w14:textId="27D360A5"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5</w:t>
            </w:r>
          </w:p>
        </w:tc>
        <w:tc>
          <w:tcPr>
            <w:tcW w:w="737" w:type="dxa"/>
            <w:shd w:val="clear" w:color="auto" w:fill="E5DFEC"/>
            <w:hideMark/>
          </w:tcPr>
          <w:p w14:paraId="3CF73F66" w14:textId="791B8F25"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-9</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r>
      <w:tr w:rsidR="00C03C20" w:rsidRPr="002E2667" w14:paraId="2CE0728B"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vAlign w:val="bottom"/>
            <w:hideMark/>
          </w:tcPr>
          <w:p w14:paraId="0B840371" w14:textId="77777777" w:rsidR="00267AA4" w:rsidRPr="00F73E81" w:rsidRDefault="00267AA4">
            <w:pPr>
              <w:spacing w:before="40" w:after="40"/>
              <w:ind w:left="340"/>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Dabas zinātnes, matemātika un informācijas tehnoloģijas</w:t>
            </w:r>
          </w:p>
        </w:tc>
        <w:tc>
          <w:tcPr>
            <w:tcW w:w="623" w:type="dxa"/>
            <w:shd w:val="clear" w:color="auto" w:fill="CCC0D9"/>
            <w:noWrap/>
            <w:hideMark/>
          </w:tcPr>
          <w:p w14:paraId="6284C6DD" w14:textId="4DE8FDA9"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7</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4</w:t>
            </w:r>
          </w:p>
        </w:tc>
        <w:tc>
          <w:tcPr>
            <w:tcW w:w="737" w:type="dxa"/>
            <w:shd w:val="clear" w:color="auto" w:fill="CCC0D9"/>
            <w:noWrap/>
            <w:hideMark/>
          </w:tcPr>
          <w:p w14:paraId="1ACDEAB3" w14:textId="129681C7"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8</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0</w:t>
            </w:r>
          </w:p>
        </w:tc>
        <w:tc>
          <w:tcPr>
            <w:tcW w:w="737" w:type="dxa"/>
            <w:shd w:val="clear" w:color="auto" w:fill="CCC0D9"/>
            <w:hideMark/>
          </w:tcPr>
          <w:p w14:paraId="68B18368" w14:textId="3CEE3ACF"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9</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1</w:t>
            </w:r>
          </w:p>
        </w:tc>
        <w:tc>
          <w:tcPr>
            <w:tcW w:w="737" w:type="dxa"/>
            <w:shd w:val="clear" w:color="auto" w:fill="CCC0D9"/>
            <w:hideMark/>
          </w:tcPr>
          <w:p w14:paraId="7D0B1753" w14:textId="7A99E271"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CCC0D9"/>
            <w:hideMark/>
          </w:tcPr>
          <w:p w14:paraId="2D8AD698" w14:textId="5FCFBA61"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CCC0D9"/>
            <w:hideMark/>
          </w:tcPr>
          <w:p w14:paraId="42576068" w14:textId="65756004"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0</w:t>
            </w:r>
          </w:p>
        </w:tc>
        <w:tc>
          <w:tcPr>
            <w:tcW w:w="737" w:type="dxa"/>
            <w:shd w:val="clear" w:color="auto" w:fill="CCC0D9"/>
            <w:hideMark/>
          </w:tcPr>
          <w:p w14:paraId="2D1A51CB" w14:textId="62179342"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c>
          <w:tcPr>
            <w:tcW w:w="737" w:type="dxa"/>
            <w:shd w:val="clear" w:color="auto" w:fill="CCC0D9"/>
            <w:hideMark/>
          </w:tcPr>
          <w:p w14:paraId="65C0B4AE" w14:textId="6CAB6A67"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r>
      <w:tr w:rsidR="00C03C20" w:rsidRPr="002E2667" w14:paraId="1A9CC8C1" w14:textId="77777777">
        <w:trPr>
          <w:cantSplit/>
          <w:trHeight w:val="20"/>
          <w:jc w:val="center"/>
        </w:trPr>
        <w:tc>
          <w:tcPr>
            <w:tcW w:w="3373" w:type="dxa"/>
            <w:shd w:val="clear" w:color="auto" w:fill="E5DFEC"/>
            <w:vAlign w:val="bottom"/>
            <w:hideMark/>
          </w:tcPr>
          <w:p w14:paraId="39971796" w14:textId="77777777" w:rsidR="00267AA4" w:rsidRPr="00F73E81" w:rsidRDefault="00267AA4">
            <w:pPr>
              <w:spacing w:before="40" w:after="40"/>
              <w:ind w:left="340"/>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Inženierzinātnes, ražošana un būvniecība</w:t>
            </w:r>
          </w:p>
        </w:tc>
        <w:tc>
          <w:tcPr>
            <w:tcW w:w="623" w:type="dxa"/>
            <w:shd w:val="clear" w:color="auto" w:fill="E5DFEC"/>
            <w:noWrap/>
            <w:hideMark/>
          </w:tcPr>
          <w:p w14:paraId="7470AE34" w14:textId="22F93071"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144</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7</w:t>
            </w:r>
          </w:p>
        </w:tc>
        <w:tc>
          <w:tcPr>
            <w:tcW w:w="737" w:type="dxa"/>
            <w:shd w:val="clear" w:color="auto" w:fill="E5DFEC"/>
            <w:noWrap/>
            <w:hideMark/>
          </w:tcPr>
          <w:p w14:paraId="21D8037E" w14:textId="1B9F98D8"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114</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8</w:t>
            </w:r>
          </w:p>
        </w:tc>
        <w:tc>
          <w:tcPr>
            <w:tcW w:w="737" w:type="dxa"/>
            <w:shd w:val="clear" w:color="auto" w:fill="E5DFEC"/>
            <w:hideMark/>
          </w:tcPr>
          <w:p w14:paraId="770AC353" w14:textId="179C6F14"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82</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5</w:t>
            </w:r>
          </w:p>
        </w:tc>
        <w:tc>
          <w:tcPr>
            <w:tcW w:w="737" w:type="dxa"/>
            <w:shd w:val="clear" w:color="auto" w:fill="E5DFEC"/>
            <w:hideMark/>
          </w:tcPr>
          <w:p w14:paraId="72F43D16" w14:textId="1F849F60"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3</w:t>
            </w:r>
          </w:p>
        </w:tc>
        <w:tc>
          <w:tcPr>
            <w:tcW w:w="737" w:type="dxa"/>
            <w:shd w:val="clear" w:color="auto" w:fill="E5DFEC"/>
            <w:hideMark/>
          </w:tcPr>
          <w:p w14:paraId="1ED8719A" w14:textId="456264B8"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0</w:t>
            </w:r>
          </w:p>
        </w:tc>
        <w:tc>
          <w:tcPr>
            <w:tcW w:w="737" w:type="dxa"/>
            <w:shd w:val="clear" w:color="auto" w:fill="E5DFEC"/>
            <w:hideMark/>
          </w:tcPr>
          <w:p w14:paraId="708AD71E" w14:textId="303E0A6A"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8</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E5DFEC"/>
            <w:hideMark/>
          </w:tcPr>
          <w:p w14:paraId="196B8041" w14:textId="5BD53626"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-30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0</w:t>
            </w:r>
          </w:p>
        </w:tc>
        <w:tc>
          <w:tcPr>
            <w:tcW w:w="737" w:type="dxa"/>
            <w:shd w:val="clear" w:color="auto" w:fill="E5DFEC"/>
            <w:hideMark/>
          </w:tcPr>
          <w:p w14:paraId="4C23F5E2" w14:textId="0321DE91"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-62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2</w:t>
            </w:r>
          </w:p>
        </w:tc>
      </w:tr>
      <w:tr w:rsidR="00C03C20" w:rsidRPr="002E2667" w14:paraId="6FE2450D"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vAlign w:val="bottom"/>
            <w:hideMark/>
          </w:tcPr>
          <w:p w14:paraId="0BCE4BF0" w14:textId="77777777" w:rsidR="00267AA4" w:rsidRPr="00F73E81" w:rsidRDefault="00267AA4">
            <w:pPr>
              <w:spacing w:before="40" w:after="40"/>
              <w:ind w:left="340"/>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Lauksaimniecība</w:t>
            </w:r>
          </w:p>
        </w:tc>
        <w:tc>
          <w:tcPr>
            <w:tcW w:w="623" w:type="dxa"/>
            <w:shd w:val="clear" w:color="auto" w:fill="CCC0D9"/>
            <w:noWrap/>
            <w:hideMark/>
          </w:tcPr>
          <w:p w14:paraId="0443F608" w14:textId="2DCA324C"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12</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2</w:t>
            </w:r>
          </w:p>
        </w:tc>
        <w:tc>
          <w:tcPr>
            <w:tcW w:w="737" w:type="dxa"/>
            <w:shd w:val="clear" w:color="auto" w:fill="CCC0D9"/>
            <w:noWrap/>
            <w:hideMark/>
          </w:tcPr>
          <w:p w14:paraId="3E423B17" w14:textId="12F64BDA"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10</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1</w:t>
            </w:r>
          </w:p>
        </w:tc>
        <w:tc>
          <w:tcPr>
            <w:tcW w:w="737" w:type="dxa"/>
            <w:shd w:val="clear" w:color="auto" w:fill="CCC0D9"/>
            <w:hideMark/>
          </w:tcPr>
          <w:p w14:paraId="0DE1C550" w14:textId="64EB1A6E"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8</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1</w:t>
            </w:r>
          </w:p>
        </w:tc>
        <w:tc>
          <w:tcPr>
            <w:tcW w:w="737" w:type="dxa"/>
            <w:shd w:val="clear" w:color="auto" w:fill="CCC0D9"/>
            <w:hideMark/>
          </w:tcPr>
          <w:p w14:paraId="295B4D61" w14:textId="068AFA82"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3</w:t>
            </w:r>
          </w:p>
        </w:tc>
        <w:tc>
          <w:tcPr>
            <w:tcW w:w="737" w:type="dxa"/>
            <w:shd w:val="clear" w:color="auto" w:fill="CCC0D9"/>
            <w:hideMark/>
          </w:tcPr>
          <w:p w14:paraId="2EB4485F" w14:textId="7F8DD45F"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1</w:t>
            </w:r>
          </w:p>
        </w:tc>
        <w:tc>
          <w:tcPr>
            <w:tcW w:w="737" w:type="dxa"/>
            <w:shd w:val="clear" w:color="auto" w:fill="CCC0D9"/>
            <w:hideMark/>
          </w:tcPr>
          <w:p w14:paraId="55493EF3" w14:textId="053C5098"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c>
          <w:tcPr>
            <w:tcW w:w="737" w:type="dxa"/>
            <w:shd w:val="clear" w:color="auto" w:fill="CCC0D9"/>
            <w:hideMark/>
          </w:tcPr>
          <w:p w14:paraId="7600D354" w14:textId="11044425"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1</w:t>
            </w:r>
          </w:p>
        </w:tc>
        <w:tc>
          <w:tcPr>
            <w:tcW w:w="737" w:type="dxa"/>
            <w:shd w:val="clear" w:color="auto" w:fill="CCC0D9"/>
            <w:hideMark/>
          </w:tcPr>
          <w:p w14:paraId="18B842AA" w14:textId="67D94D47"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-4</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1</w:t>
            </w:r>
          </w:p>
        </w:tc>
      </w:tr>
      <w:tr w:rsidR="00C03C20" w:rsidRPr="002E2667" w14:paraId="557DF9CC" w14:textId="77777777">
        <w:trPr>
          <w:cantSplit/>
          <w:trHeight w:val="20"/>
          <w:jc w:val="center"/>
        </w:trPr>
        <w:tc>
          <w:tcPr>
            <w:tcW w:w="3373" w:type="dxa"/>
            <w:shd w:val="clear" w:color="auto" w:fill="E5DFEC"/>
            <w:vAlign w:val="bottom"/>
            <w:hideMark/>
          </w:tcPr>
          <w:p w14:paraId="568006FF" w14:textId="77777777" w:rsidR="00267AA4" w:rsidRPr="00F73E81" w:rsidRDefault="00267AA4">
            <w:pPr>
              <w:spacing w:before="40" w:after="40"/>
              <w:ind w:left="340"/>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Veselības aprūpe un sociālā labklājība</w:t>
            </w:r>
          </w:p>
        </w:tc>
        <w:tc>
          <w:tcPr>
            <w:tcW w:w="623" w:type="dxa"/>
            <w:shd w:val="clear" w:color="auto" w:fill="E5DFEC"/>
            <w:noWrap/>
            <w:hideMark/>
          </w:tcPr>
          <w:p w14:paraId="08994779" w14:textId="5D49CD23"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11</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9</w:t>
            </w:r>
          </w:p>
        </w:tc>
        <w:tc>
          <w:tcPr>
            <w:tcW w:w="737" w:type="dxa"/>
            <w:shd w:val="clear" w:color="auto" w:fill="E5DFEC"/>
            <w:noWrap/>
            <w:hideMark/>
          </w:tcPr>
          <w:p w14:paraId="7B579078" w14:textId="52165DA6"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9</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5</w:t>
            </w:r>
          </w:p>
        </w:tc>
        <w:tc>
          <w:tcPr>
            <w:tcW w:w="737" w:type="dxa"/>
            <w:shd w:val="clear" w:color="auto" w:fill="E5DFEC"/>
            <w:hideMark/>
          </w:tcPr>
          <w:p w14:paraId="694E4F8A" w14:textId="6C16630A"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8</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6</w:t>
            </w:r>
          </w:p>
        </w:tc>
        <w:tc>
          <w:tcPr>
            <w:tcW w:w="737" w:type="dxa"/>
            <w:shd w:val="clear" w:color="auto" w:fill="E5DFEC"/>
            <w:hideMark/>
          </w:tcPr>
          <w:p w14:paraId="7C4E5C63" w14:textId="56DC0E29"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3</w:t>
            </w:r>
          </w:p>
        </w:tc>
        <w:tc>
          <w:tcPr>
            <w:tcW w:w="737" w:type="dxa"/>
            <w:shd w:val="clear" w:color="auto" w:fill="E5DFEC"/>
            <w:hideMark/>
          </w:tcPr>
          <w:p w14:paraId="653B3A73" w14:textId="61E273CC"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0</w:t>
            </w:r>
          </w:p>
        </w:tc>
        <w:tc>
          <w:tcPr>
            <w:tcW w:w="737" w:type="dxa"/>
            <w:shd w:val="clear" w:color="auto" w:fill="E5DFEC"/>
            <w:hideMark/>
          </w:tcPr>
          <w:p w14:paraId="2C3E2A9D" w14:textId="46385BA9"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c>
          <w:tcPr>
            <w:tcW w:w="737" w:type="dxa"/>
            <w:shd w:val="clear" w:color="auto" w:fill="E5DFEC"/>
            <w:hideMark/>
          </w:tcPr>
          <w:p w14:paraId="67F5A4E5" w14:textId="444484A7"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4</w:t>
            </w:r>
          </w:p>
        </w:tc>
        <w:tc>
          <w:tcPr>
            <w:tcW w:w="737" w:type="dxa"/>
            <w:shd w:val="clear" w:color="auto" w:fill="E5DFEC"/>
            <w:hideMark/>
          </w:tcPr>
          <w:p w14:paraId="55C3D98E" w14:textId="402EEA3F"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-3</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3</w:t>
            </w:r>
          </w:p>
        </w:tc>
      </w:tr>
      <w:tr w:rsidR="00C03C20" w:rsidRPr="002E2667" w14:paraId="169168D9"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vAlign w:val="bottom"/>
            <w:hideMark/>
          </w:tcPr>
          <w:p w14:paraId="5CE4DF73" w14:textId="77777777" w:rsidR="00267AA4" w:rsidRPr="00F73E81" w:rsidRDefault="00267AA4">
            <w:pPr>
              <w:spacing w:before="40" w:after="40"/>
              <w:ind w:left="340"/>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Pakalpojumi</w:t>
            </w:r>
          </w:p>
        </w:tc>
        <w:tc>
          <w:tcPr>
            <w:tcW w:w="623" w:type="dxa"/>
            <w:shd w:val="clear" w:color="auto" w:fill="CCC0D9"/>
            <w:noWrap/>
            <w:hideMark/>
          </w:tcPr>
          <w:p w14:paraId="535D1E89" w14:textId="5F148A65"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54</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0</w:t>
            </w:r>
          </w:p>
        </w:tc>
        <w:tc>
          <w:tcPr>
            <w:tcW w:w="737" w:type="dxa"/>
            <w:shd w:val="clear" w:color="auto" w:fill="CCC0D9"/>
            <w:noWrap/>
            <w:hideMark/>
          </w:tcPr>
          <w:p w14:paraId="36694CDB" w14:textId="664DEFB1"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48</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3</w:t>
            </w:r>
          </w:p>
        </w:tc>
        <w:tc>
          <w:tcPr>
            <w:tcW w:w="737" w:type="dxa"/>
            <w:shd w:val="clear" w:color="auto" w:fill="CCC0D9"/>
            <w:hideMark/>
          </w:tcPr>
          <w:p w14:paraId="00B6344C" w14:textId="01CA5525"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43</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1</w:t>
            </w:r>
          </w:p>
        </w:tc>
        <w:tc>
          <w:tcPr>
            <w:tcW w:w="737" w:type="dxa"/>
            <w:shd w:val="clear" w:color="auto" w:fill="CCC0D9"/>
            <w:hideMark/>
          </w:tcPr>
          <w:p w14:paraId="6900E6B4" w14:textId="5B1DBAF9"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c>
          <w:tcPr>
            <w:tcW w:w="737" w:type="dxa"/>
            <w:shd w:val="clear" w:color="auto" w:fill="CCC0D9"/>
            <w:hideMark/>
          </w:tcPr>
          <w:p w14:paraId="629F6FD7" w14:textId="338F4641"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0</w:t>
            </w:r>
          </w:p>
        </w:tc>
        <w:tc>
          <w:tcPr>
            <w:tcW w:w="737" w:type="dxa"/>
            <w:shd w:val="clear" w:color="auto" w:fill="CCC0D9"/>
            <w:hideMark/>
          </w:tcPr>
          <w:p w14:paraId="1992785B" w14:textId="463FC376"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4</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6</w:t>
            </w:r>
          </w:p>
        </w:tc>
        <w:tc>
          <w:tcPr>
            <w:tcW w:w="737" w:type="dxa"/>
            <w:shd w:val="clear" w:color="auto" w:fill="CCC0D9"/>
            <w:hideMark/>
          </w:tcPr>
          <w:p w14:paraId="231FE818" w14:textId="3808B6D0"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-5</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7</w:t>
            </w:r>
          </w:p>
        </w:tc>
        <w:tc>
          <w:tcPr>
            <w:tcW w:w="737" w:type="dxa"/>
            <w:shd w:val="clear" w:color="auto" w:fill="CCC0D9"/>
            <w:hideMark/>
          </w:tcPr>
          <w:p w14:paraId="1A179A91" w14:textId="36894092"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9</w:t>
            </w:r>
          </w:p>
        </w:tc>
      </w:tr>
      <w:tr w:rsidR="00C03C20" w:rsidRPr="002E2667" w14:paraId="205B5787" w14:textId="77777777">
        <w:trPr>
          <w:cantSplit/>
          <w:trHeight w:val="20"/>
          <w:jc w:val="center"/>
        </w:trPr>
        <w:tc>
          <w:tcPr>
            <w:tcW w:w="3373" w:type="dxa"/>
            <w:shd w:val="clear" w:color="auto" w:fill="E5DFEC"/>
            <w:vAlign w:val="bottom"/>
          </w:tcPr>
          <w:p w14:paraId="636FFAD6" w14:textId="77777777" w:rsidR="00267AA4" w:rsidRPr="00F73E81" w:rsidRDefault="00267AA4">
            <w:pPr>
              <w:spacing w:before="40" w:after="40"/>
              <w:ind w:left="340"/>
              <w:rPr>
                <w:rFonts w:ascii="Segoe UI Light" w:eastAsia="Times New Roman" w:hAnsi="Segoe UI Light"/>
                <w:sz w:val="16"/>
                <w:szCs w:val="18"/>
                <w:lang w:eastAsia="lv-LV"/>
              </w:rPr>
            </w:pPr>
            <w:r w:rsidRPr="00F73E81">
              <w:rPr>
                <w:rFonts w:ascii="Segoe UI Light" w:eastAsia="Times New Roman" w:hAnsi="Segoe UI Light"/>
                <w:sz w:val="16"/>
                <w:szCs w:val="18"/>
                <w:lang w:eastAsia="lv-LV"/>
              </w:rPr>
              <w:t>Citur neklasificētās tematiskās grupas</w:t>
            </w:r>
          </w:p>
        </w:tc>
        <w:tc>
          <w:tcPr>
            <w:tcW w:w="623" w:type="dxa"/>
            <w:shd w:val="clear" w:color="auto" w:fill="E5DFEC"/>
            <w:noWrap/>
          </w:tcPr>
          <w:p w14:paraId="59F6D1D0" w14:textId="022F5526" w:rsidR="00267AA4" w:rsidRPr="00F73E81" w:rsidRDefault="00267AA4">
            <w:pPr>
              <w:tabs>
                <w:tab w:val="decimal" w:pos="315"/>
              </w:tabs>
              <w:spacing w:before="40" w:after="40"/>
              <w:rPr>
                <w:rFonts w:ascii="Segoe UI Light" w:hAnsi="Segoe UI Light" w:cs="Segoe UI Light"/>
                <w:color w:val="000000"/>
                <w:sz w:val="16"/>
                <w:szCs w:val="16"/>
              </w:rPr>
            </w:pPr>
            <w:r w:rsidRPr="00887355">
              <w:rPr>
                <w:rFonts w:ascii="Segoe UI Light" w:hAnsi="Segoe UI Light" w:cs="Segoe UI Light"/>
                <w:color w:val="000000"/>
                <w:sz w:val="16"/>
                <w:szCs w:val="16"/>
              </w:rPr>
              <w:t>10</w:t>
            </w:r>
            <w:r w:rsidR="007C6512">
              <w:rPr>
                <w:rFonts w:ascii="Segoe UI Light" w:hAnsi="Segoe UI Light" w:cs="Segoe UI Light"/>
                <w:color w:val="000000"/>
                <w:sz w:val="16"/>
                <w:szCs w:val="16"/>
              </w:rPr>
              <w:t>,</w:t>
            </w:r>
            <w:r w:rsidRPr="00887355">
              <w:rPr>
                <w:rFonts w:ascii="Segoe UI Light" w:hAnsi="Segoe UI Light" w:cs="Segoe UI Light"/>
                <w:color w:val="000000"/>
                <w:sz w:val="16"/>
                <w:szCs w:val="16"/>
              </w:rPr>
              <w:t>4</w:t>
            </w:r>
          </w:p>
        </w:tc>
        <w:tc>
          <w:tcPr>
            <w:tcW w:w="737" w:type="dxa"/>
            <w:shd w:val="clear" w:color="auto" w:fill="E5DFEC"/>
            <w:noWrap/>
          </w:tcPr>
          <w:p w14:paraId="6CDBEBE1" w14:textId="41C891A6"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7</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9</w:t>
            </w:r>
          </w:p>
        </w:tc>
        <w:tc>
          <w:tcPr>
            <w:tcW w:w="737" w:type="dxa"/>
            <w:shd w:val="clear" w:color="auto" w:fill="E5DFEC"/>
          </w:tcPr>
          <w:p w14:paraId="4BF51657" w14:textId="7709E938" w:rsidR="00267AA4" w:rsidRPr="00F73E81" w:rsidRDefault="00267AA4">
            <w:pPr>
              <w:tabs>
                <w:tab w:val="decimal" w:pos="315"/>
              </w:tabs>
              <w:spacing w:before="40" w:after="40"/>
              <w:rPr>
                <w:rFonts w:ascii="Segoe UI Light" w:hAnsi="Segoe UI Light" w:cs="Segoe UI Light"/>
                <w:color w:val="000000"/>
                <w:sz w:val="16"/>
                <w:szCs w:val="16"/>
              </w:rPr>
            </w:pPr>
            <w:r w:rsidRPr="00163525">
              <w:rPr>
                <w:rFonts w:ascii="Segoe UI Light" w:hAnsi="Segoe UI Light" w:cs="Segoe UI Light"/>
                <w:color w:val="000000"/>
                <w:sz w:val="16"/>
                <w:szCs w:val="16"/>
              </w:rPr>
              <w:t>4</w:t>
            </w:r>
            <w:r w:rsidR="007C6512">
              <w:rPr>
                <w:rFonts w:ascii="Segoe UI Light" w:hAnsi="Segoe UI Light" w:cs="Segoe UI Light"/>
                <w:color w:val="000000"/>
                <w:sz w:val="16"/>
                <w:szCs w:val="16"/>
              </w:rPr>
              <w:t>,</w:t>
            </w:r>
            <w:r w:rsidRPr="00163525">
              <w:rPr>
                <w:rFonts w:ascii="Segoe UI Light" w:hAnsi="Segoe UI Light" w:cs="Segoe UI Light"/>
                <w:color w:val="000000"/>
                <w:sz w:val="16"/>
                <w:szCs w:val="16"/>
              </w:rPr>
              <w:t>2</w:t>
            </w:r>
          </w:p>
        </w:tc>
        <w:tc>
          <w:tcPr>
            <w:tcW w:w="737" w:type="dxa"/>
            <w:shd w:val="clear" w:color="auto" w:fill="E5DFEC"/>
          </w:tcPr>
          <w:p w14:paraId="1466EE56" w14:textId="3A9AF37D"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1</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1</w:t>
            </w:r>
          </w:p>
        </w:tc>
        <w:tc>
          <w:tcPr>
            <w:tcW w:w="737" w:type="dxa"/>
            <w:shd w:val="clear" w:color="auto" w:fill="E5DFEC"/>
          </w:tcPr>
          <w:p w14:paraId="4BD20DD7" w14:textId="5D8C2019"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8</w:t>
            </w:r>
          </w:p>
        </w:tc>
        <w:tc>
          <w:tcPr>
            <w:tcW w:w="737" w:type="dxa"/>
            <w:shd w:val="clear" w:color="auto" w:fill="E5DFEC"/>
          </w:tcPr>
          <w:p w14:paraId="5469DE93" w14:textId="3168F97F"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0</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4</w:t>
            </w:r>
          </w:p>
        </w:tc>
        <w:tc>
          <w:tcPr>
            <w:tcW w:w="737" w:type="dxa"/>
            <w:shd w:val="clear" w:color="auto" w:fill="E5DFEC"/>
          </w:tcPr>
          <w:p w14:paraId="7C8C95B3" w14:textId="4295F031"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-2</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5</w:t>
            </w:r>
          </w:p>
        </w:tc>
        <w:tc>
          <w:tcPr>
            <w:tcW w:w="737" w:type="dxa"/>
            <w:shd w:val="clear" w:color="auto" w:fill="E5DFEC"/>
          </w:tcPr>
          <w:p w14:paraId="3857EE3C" w14:textId="7AECBF46" w:rsidR="00267AA4" w:rsidRPr="00F73E81" w:rsidRDefault="00267AA4">
            <w:pPr>
              <w:tabs>
                <w:tab w:val="decimal" w:pos="315"/>
              </w:tabs>
              <w:spacing w:before="40" w:after="40"/>
              <w:rPr>
                <w:rFonts w:ascii="Segoe UI Light" w:hAnsi="Segoe UI Light" w:cs="Segoe UI Light"/>
                <w:color w:val="000000"/>
                <w:sz w:val="16"/>
                <w:szCs w:val="16"/>
              </w:rPr>
            </w:pPr>
            <w:r w:rsidRPr="00B279B3">
              <w:rPr>
                <w:rFonts w:ascii="Segoe UI Light" w:hAnsi="Segoe UI Light" w:cs="Segoe UI Light"/>
                <w:color w:val="000000"/>
                <w:sz w:val="16"/>
                <w:szCs w:val="16"/>
              </w:rPr>
              <w:t>-6</w:t>
            </w:r>
            <w:r w:rsidR="007C6512">
              <w:rPr>
                <w:rFonts w:ascii="Segoe UI Light" w:hAnsi="Segoe UI Light" w:cs="Segoe UI Light"/>
                <w:color w:val="000000"/>
                <w:sz w:val="16"/>
                <w:szCs w:val="16"/>
              </w:rPr>
              <w:t>,</w:t>
            </w:r>
            <w:r w:rsidRPr="00B279B3">
              <w:rPr>
                <w:rFonts w:ascii="Segoe UI Light" w:hAnsi="Segoe UI Light" w:cs="Segoe UI Light"/>
                <w:color w:val="000000"/>
                <w:sz w:val="16"/>
                <w:szCs w:val="16"/>
              </w:rPr>
              <w:t>2</w:t>
            </w:r>
          </w:p>
        </w:tc>
      </w:tr>
      <w:tr w:rsidR="00C03C20" w:rsidRPr="002E2667" w14:paraId="72BA44CB"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vAlign w:val="bottom"/>
            <w:hideMark/>
          </w:tcPr>
          <w:p w14:paraId="6B39A6D0" w14:textId="77777777" w:rsidR="00267AA4" w:rsidRPr="00F73E81" w:rsidRDefault="00267AA4">
            <w:pPr>
              <w:spacing w:before="40" w:after="40"/>
              <w:ind w:left="170"/>
              <w:rPr>
                <w:rFonts w:ascii="Segoe UI Light" w:eastAsia="Times New Roman" w:hAnsi="Segoe UI Light"/>
                <w:b/>
                <w:bCs/>
                <w:sz w:val="16"/>
                <w:szCs w:val="18"/>
                <w:lang w:eastAsia="lv-LV"/>
              </w:rPr>
            </w:pPr>
            <w:r w:rsidRPr="00F73E81">
              <w:rPr>
                <w:rFonts w:ascii="Segoe UI Light" w:eastAsia="Times New Roman" w:hAnsi="Segoe UI Light"/>
                <w:b/>
                <w:bCs/>
                <w:sz w:val="16"/>
                <w:szCs w:val="18"/>
                <w:lang w:eastAsia="lv-LV"/>
              </w:rPr>
              <w:t>Vispārējā vidējā izglītība</w:t>
            </w:r>
          </w:p>
        </w:tc>
        <w:tc>
          <w:tcPr>
            <w:tcW w:w="623" w:type="dxa"/>
            <w:shd w:val="clear" w:color="auto" w:fill="CCC0D9"/>
            <w:noWrap/>
            <w:hideMark/>
          </w:tcPr>
          <w:p w14:paraId="1DC1726D" w14:textId="3A5A7878"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212</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7</w:t>
            </w:r>
          </w:p>
        </w:tc>
        <w:tc>
          <w:tcPr>
            <w:tcW w:w="737" w:type="dxa"/>
            <w:shd w:val="clear" w:color="auto" w:fill="CCC0D9"/>
            <w:noWrap/>
            <w:hideMark/>
          </w:tcPr>
          <w:p w14:paraId="214F72A0" w14:textId="29CECCAF"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205</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9</w:t>
            </w:r>
          </w:p>
        </w:tc>
        <w:tc>
          <w:tcPr>
            <w:tcW w:w="737" w:type="dxa"/>
            <w:shd w:val="clear" w:color="auto" w:fill="CCC0D9"/>
            <w:hideMark/>
          </w:tcPr>
          <w:p w14:paraId="7FED3259" w14:textId="751E5516"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207</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8</w:t>
            </w:r>
          </w:p>
        </w:tc>
        <w:tc>
          <w:tcPr>
            <w:tcW w:w="737" w:type="dxa"/>
            <w:shd w:val="clear" w:color="auto" w:fill="CCC0D9"/>
            <w:hideMark/>
          </w:tcPr>
          <w:p w14:paraId="49B17273" w14:textId="2091A0A3"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22</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5</w:t>
            </w:r>
          </w:p>
        </w:tc>
        <w:tc>
          <w:tcPr>
            <w:tcW w:w="737" w:type="dxa"/>
            <w:shd w:val="clear" w:color="auto" w:fill="CCC0D9"/>
            <w:hideMark/>
          </w:tcPr>
          <w:p w14:paraId="378071D5" w14:textId="718CA471"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21</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4</w:t>
            </w:r>
          </w:p>
        </w:tc>
        <w:tc>
          <w:tcPr>
            <w:tcW w:w="737" w:type="dxa"/>
            <w:shd w:val="clear" w:color="auto" w:fill="CCC0D9"/>
            <w:hideMark/>
          </w:tcPr>
          <w:p w14:paraId="559BB9DE" w14:textId="3D9B15AD"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22</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2</w:t>
            </w:r>
          </w:p>
        </w:tc>
        <w:tc>
          <w:tcPr>
            <w:tcW w:w="737" w:type="dxa"/>
            <w:shd w:val="clear" w:color="auto" w:fill="CCC0D9"/>
            <w:hideMark/>
          </w:tcPr>
          <w:p w14:paraId="52364A0C" w14:textId="40954BBE"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-6</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7</w:t>
            </w:r>
          </w:p>
        </w:tc>
        <w:tc>
          <w:tcPr>
            <w:tcW w:w="737" w:type="dxa"/>
            <w:shd w:val="clear" w:color="auto" w:fill="CCC0D9"/>
            <w:hideMark/>
          </w:tcPr>
          <w:p w14:paraId="07C38461" w14:textId="7B6725C6"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-4</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8</w:t>
            </w:r>
          </w:p>
        </w:tc>
      </w:tr>
      <w:tr w:rsidR="00C03C20" w:rsidRPr="002E2667" w14:paraId="6A71A10F" w14:textId="77777777">
        <w:trPr>
          <w:cantSplit/>
          <w:trHeight w:val="20"/>
          <w:jc w:val="center"/>
        </w:trPr>
        <w:tc>
          <w:tcPr>
            <w:tcW w:w="3373" w:type="dxa"/>
            <w:shd w:val="clear" w:color="auto" w:fill="E5DFEC"/>
            <w:vAlign w:val="bottom"/>
          </w:tcPr>
          <w:p w14:paraId="6EEE0B7E" w14:textId="77777777" w:rsidR="00267AA4" w:rsidRPr="00F73E81" w:rsidRDefault="00267AA4">
            <w:pPr>
              <w:spacing w:before="40" w:after="40"/>
              <w:rPr>
                <w:rFonts w:ascii="Segoe UI Light" w:eastAsia="Times New Roman" w:hAnsi="Segoe UI Light"/>
                <w:b/>
                <w:bCs/>
                <w:sz w:val="16"/>
                <w:szCs w:val="18"/>
                <w:lang w:eastAsia="lv-LV"/>
              </w:rPr>
            </w:pPr>
            <w:r w:rsidRPr="00F73E81">
              <w:rPr>
                <w:rFonts w:ascii="Segoe UI Light" w:eastAsia="Times New Roman" w:hAnsi="Segoe UI Light"/>
                <w:b/>
                <w:bCs/>
                <w:sz w:val="16"/>
                <w:szCs w:val="18"/>
                <w:lang w:eastAsia="lv-LV"/>
              </w:rPr>
              <w:t>Pamatizglītība vai zemāka</w:t>
            </w:r>
          </w:p>
        </w:tc>
        <w:tc>
          <w:tcPr>
            <w:tcW w:w="623" w:type="dxa"/>
            <w:shd w:val="clear" w:color="auto" w:fill="E5DFEC"/>
          </w:tcPr>
          <w:p w14:paraId="3D3BC268" w14:textId="7558E83B"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74</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7</w:t>
            </w:r>
          </w:p>
        </w:tc>
        <w:tc>
          <w:tcPr>
            <w:tcW w:w="737" w:type="dxa"/>
            <w:shd w:val="clear" w:color="auto" w:fill="E5DFEC"/>
            <w:noWrap/>
          </w:tcPr>
          <w:p w14:paraId="389DDD55" w14:textId="0EEC1857"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117</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9</w:t>
            </w:r>
          </w:p>
        </w:tc>
        <w:tc>
          <w:tcPr>
            <w:tcW w:w="737" w:type="dxa"/>
            <w:shd w:val="clear" w:color="auto" w:fill="E5DFEC"/>
            <w:noWrap/>
          </w:tcPr>
          <w:p w14:paraId="1B40DFA5" w14:textId="344364A5"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109</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7</w:t>
            </w:r>
          </w:p>
        </w:tc>
        <w:tc>
          <w:tcPr>
            <w:tcW w:w="737" w:type="dxa"/>
            <w:shd w:val="clear" w:color="auto" w:fill="E5DFEC"/>
          </w:tcPr>
          <w:p w14:paraId="22D087A6" w14:textId="6F6C8BD4"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7</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9</w:t>
            </w:r>
          </w:p>
        </w:tc>
        <w:tc>
          <w:tcPr>
            <w:tcW w:w="737" w:type="dxa"/>
            <w:shd w:val="clear" w:color="auto" w:fill="E5DFEC"/>
          </w:tcPr>
          <w:p w14:paraId="34F0A274" w14:textId="71977F4C"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12</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3</w:t>
            </w:r>
          </w:p>
        </w:tc>
        <w:tc>
          <w:tcPr>
            <w:tcW w:w="737" w:type="dxa"/>
            <w:shd w:val="clear" w:color="auto" w:fill="E5DFEC"/>
          </w:tcPr>
          <w:p w14:paraId="0E9509FF" w14:textId="5A36597B"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11</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7</w:t>
            </w:r>
          </w:p>
        </w:tc>
        <w:tc>
          <w:tcPr>
            <w:tcW w:w="737" w:type="dxa"/>
            <w:shd w:val="clear" w:color="auto" w:fill="E5DFEC"/>
          </w:tcPr>
          <w:p w14:paraId="06AD248D" w14:textId="75E80B57"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43</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2</w:t>
            </w:r>
          </w:p>
        </w:tc>
        <w:tc>
          <w:tcPr>
            <w:tcW w:w="737" w:type="dxa"/>
            <w:shd w:val="clear" w:color="auto" w:fill="E5DFEC"/>
          </w:tcPr>
          <w:p w14:paraId="3B5FEF71" w14:textId="67529572"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35</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0</w:t>
            </w:r>
          </w:p>
        </w:tc>
      </w:tr>
      <w:tr w:rsidR="00C03C20" w:rsidRPr="002E2667" w14:paraId="786CA4C6" w14:textId="77777777">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noWrap/>
            <w:vAlign w:val="bottom"/>
            <w:hideMark/>
          </w:tcPr>
          <w:p w14:paraId="243CA294" w14:textId="77777777" w:rsidR="00267AA4" w:rsidRPr="00F73E81" w:rsidRDefault="00267AA4">
            <w:pPr>
              <w:spacing w:before="40" w:after="40"/>
              <w:rPr>
                <w:rFonts w:ascii="Segoe UI Light" w:eastAsia="Times New Roman" w:hAnsi="Segoe UI Light"/>
                <w:b/>
                <w:sz w:val="16"/>
                <w:szCs w:val="18"/>
                <w:lang w:eastAsia="lv-LV"/>
              </w:rPr>
            </w:pPr>
            <w:r w:rsidRPr="00F73E81">
              <w:rPr>
                <w:rFonts w:ascii="Segoe UI Light" w:eastAsia="Times New Roman" w:hAnsi="Segoe UI Light"/>
                <w:b/>
                <w:sz w:val="16"/>
                <w:szCs w:val="18"/>
                <w:lang w:eastAsia="lv-LV"/>
              </w:rPr>
              <w:t>Kopā</w:t>
            </w:r>
          </w:p>
        </w:tc>
        <w:tc>
          <w:tcPr>
            <w:tcW w:w="623" w:type="dxa"/>
            <w:shd w:val="clear" w:color="auto" w:fill="CCC0D9"/>
            <w:noWrap/>
            <w:hideMark/>
          </w:tcPr>
          <w:p w14:paraId="4535D158" w14:textId="2E3C0641"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945</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7</w:t>
            </w:r>
          </w:p>
        </w:tc>
        <w:tc>
          <w:tcPr>
            <w:tcW w:w="737" w:type="dxa"/>
            <w:shd w:val="clear" w:color="auto" w:fill="CCC0D9"/>
            <w:noWrap/>
          </w:tcPr>
          <w:p w14:paraId="3CAD050B" w14:textId="62157E4A"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960</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1</w:t>
            </w:r>
          </w:p>
        </w:tc>
        <w:tc>
          <w:tcPr>
            <w:tcW w:w="737" w:type="dxa"/>
            <w:shd w:val="clear" w:color="auto" w:fill="CCC0D9"/>
            <w:noWrap/>
          </w:tcPr>
          <w:p w14:paraId="54A75C4C" w14:textId="643DFEEB" w:rsidR="00267AA4" w:rsidRPr="00F73E81" w:rsidRDefault="00267AA4">
            <w:pPr>
              <w:tabs>
                <w:tab w:val="decimal" w:pos="315"/>
              </w:tabs>
              <w:spacing w:before="40" w:after="40"/>
              <w:rPr>
                <w:rFonts w:ascii="Segoe UI Light" w:hAnsi="Segoe UI Light" w:cs="Segoe UI Light"/>
                <w:b/>
                <w:bCs/>
                <w:color w:val="000000"/>
                <w:sz w:val="16"/>
                <w:szCs w:val="16"/>
              </w:rPr>
            </w:pPr>
            <w:r w:rsidRPr="00163525">
              <w:rPr>
                <w:rFonts w:ascii="Segoe UI Light" w:hAnsi="Segoe UI Light" w:cs="Segoe UI Light"/>
                <w:b/>
                <w:bCs/>
                <w:color w:val="000000"/>
                <w:sz w:val="16"/>
                <w:szCs w:val="16"/>
              </w:rPr>
              <w:t>936</w:t>
            </w:r>
            <w:r w:rsidR="007C6512">
              <w:rPr>
                <w:rFonts w:ascii="Segoe UI Light" w:hAnsi="Segoe UI Light" w:cs="Segoe UI Light"/>
                <w:b/>
                <w:bCs/>
                <w:color w:val="000000"/>
                <w:sz w:val="16"/>
                <w:szCs w:val="16"/>
              </w:rPr>
              <w:t>,</w:t>
            </w:r>
            <w:r w:rsidRPr="00163525">
              <w:rPr>
                <w:rFonts w:ascii="Segoe UI Light" w:hAnsi="Segoe UI Light" w:cs="Segoe UI Light"/>
                <w:b/>
                <w:bCs/>
                <w:color w:val="000000"/>
                <w:sz w:val="16"/>
                <w:szCs w:val="16"/>
              </w:rPr>
              <w:t>3</w:t>
            </w:r>
          </w:p>
        </w:tc>
        <w:tc>
          <w:tcPr>
            <w:tcW w:w="737" w:type="dxa"/>
            <w:shd w:val="clear" w:color="auto" w:fill="CCC0D9"/>
          </w:tcPr>
          <w:p w14:paraId="338CBFA1" w14:textId="1D6554B3"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100</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0</w:t>
            </w:r>
          </w:p>
        </w:tc>
        <w:tc>
          <w:tcPr>
            <w:tcW w:w="737" w:type="dxa"/>
            <w:shd w:val="clear" w:color="auto" w:fill="CCC0D9"/>
          </w:tcPr>
          <w:p w14:paraId="39A04C2B" w14:textId="68936A45"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100</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0</w:t>
            </w:r>
          </w:p>
        </w:tc>
        <w:tc>
          <w:tcPr>
            <w:tcW w:w="737" w:type="dxa"/>
            <w:shd w:val="clear" w:color="auto" w:fill="CCC0D9"/>
          </w:tcPr>
          <w:p w14:paraId="5596EECD" w14:textId="6FA18790"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100</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0</w:t>
            </w:r>
          </w:p>
        </w:tc>
        <w:tc>
          <w:tcPr>
            <w:tcW w:w="737" w:type="dxa"/>
            <w:shd w:val="clear" w:color="auto" w:fill="CCC0D9"/>
          </w:tcPr>
          <w:p w14:paraId="1A541EDE" w14:textId="390C525B"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14</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5</w:t>
            </w:r>
          </w:p>
        </w:tc>
        <w:tc>
          <w:tcPr>
            <w:tcW w:w="737" w:type="dxa"/>
            <w:shd w:val="clear" w:color="auto" w:fill="CCC0D9"/>
          </w:tcPr>
          <w:p w14:paraId="2830EFCF" w14:textId="70FCF34A" w:rsidR="00267AA4" w:rsidRPr="00F73E81" w:rsidRDefault="00267AA4">
            <w:pPr>
              <w:tabs>
                <w:tab w:val="decimal" w:pos="315"/>
              </w:tabs>
              <w:spacing w:before="40" w:after="40"/>
              <w:rPr>
                <w:rFonts w:ascii="Segoe UI Light" w:hAnsi="Segoe UI Light" w:cs="Segoe UI Light"/>
                <w:b/>
                <w:bCs/>
                <w:color w:val="000000"/>
                <w:sz w:val="16"/>
                <w:szCs w:val="16"/>
              </w:rPr>
            </w:pPr>
            <w:r w:rsidRPr="00B279B3">
              <w:rPr>
                <w:rFonts w:ascii="Segoe UI Light" w:hAnsi="Segoe UI Light" w:cs="Segoe UI Light"/>
                <w:b/>
                <w:bCs/>
                <w:color w:val="000000"/>
                <w:sz w:val="16"/>
                <w:szCs w:val="16"/>
              </w:rPr>
              <w:t>-9</w:t>
            </w:r>
            <w:r w:rsidR="007C6512">
              <w:rPr>
                <w:rFonts w:ascii="Segoe UI Light" w:hAnsi="Segoe UI Light" w:cs="Segoe UI Light"/>
                <w:b/>
                <w:bCs/>
                <w:color w:val="000000"/>
                <w:sz w:val="16"/>
                <w:szCs w:val="16"/>
              </w:rPr>
              <w:t>,</w:t>
            </w:r>
            <w:r w:rsidRPr="00B279B3">
              <w:rPr>
                <w:rFonts w:ascii="Segoe UI Light" w:hAnsi="Segoe UI Light" w:cs="Segoe UI Light"/>
                <w:b/>
                <w:bCs/>
                <w:color w:val="000000"/>
                <w:sz w:val="16"/>
                <w:szCs w:val="16"/>
              </w:rPr>
              <w:t>3</w:t>
            </w:r>
          </w:p>
        </w:tc>
      </w:tr>
    </w:tbl>
    <w:p w14:paraId="7AFA3231" w14:textId="03CE013D" w:rsidR="00267AA4" w:rsidRPr="00267AA4" w:rsidRDefault="00267AA4" w:rsidP="00267AA4">
      <w:pPr>
        <w:spacing w:before="120" w:after="120"/>
        <w:jc w:val="both"/>
        <w:rPr>
          <w:rFonts w:cs="Calibri Light"/>
          <w:sz w:val="16"/>
          <w:szCs w:val="14"/>
        </w:rPr>
      </w:pPr>
      <w:r w:rsidRPr="00267AA4">
        <w:rPr>
          <w:rFonts w:cs="Calibri Light"/>
          <w:sz w:val="16"/>
          <w:szCs w:val="14"/>
        </w:rPr>
        <w:t>Avots: 2023.</w:t>
      </w:r>
      <w:r w:rsidR="00B566DE">
        <w:rPr>
          <w:rFonts w:cs="Calibri Light"/>
          <w:sz w:val="16"/>
          <w:szCs w:val="14"/>
        </w:rPr>
        <w:t> </w:t>
      </w:r>
      <w:r w:rsidRPr="00267AA4">
        <w:rPr>
          <w:rFonts w:cs="Calibri Light"/>
          <w:sz w:val="16"/>
          <w:szCs w:val="14"/>
        </w:rPr>
        <w:t xml:space="preserve">gadā </w:t>
      </w:r>
      <w:r>
        <w:rPr>
          <w:rFonts w:cs="Calibri Light"/>
          <w:sz w:val="16"/>
          <w:szCs w:val="14"/>
        </w:rPr>
        <w:t xml:space="preserve">– </w:t>
      </w:r>
      <w:r w:rsidRPr="00267AA4">
        <w:rPr>
          <w:rFonts w:cs="Calibri Light"/>
          <w:sz w:val="16"/>
          <w:szCs w:val="14"/>
        </w:rPr>
        <w:t>EM novērtējums, balstoties uz 2023.gada DSA datiem. EM prognozes 2030.</w:t>
      </w:r>
      <w:r w:rsidR="00997A11">
        <w:rPr>
          <w:rFonts w:cs="Calibri Light"/>
          <w:sz w:val="16"/>
          <w:szCs w:val="14"/>
        </w:rPr>
        <w:t xml:space="preserve">gadam </w:t>
      </w:r>
      <w:r w:rsidRPr="00267AA4">
        <w:rPr>
          <w:rFonts w:cs="Calibri Light"/>
          <w:sz w:val="16"/>
          <w:szCs w:val="14"/>
        </w:rPr>
        <w:t>un 2040.gadam.</w:t>
      </w:r>
    </w:p>
    <w:p w14:paraId="58FB479A" w14:textId="77777777" w:rsidR="00997A11" w:rsidRDefault="00997A11" w:rsidP="00267AA4">
      <w:pPr>
        <w:spacing w:after="120"/>
        <w:jc w:val="both"/>
        <w:rPr>
          <w:color w:val="000000"/>
        </w:rPr>
      </w:pPr>
    </w:p>
    <w:p w14:paraId="7835B0B1" w14:textId="68A4C49F" w:rsidR="00997A11" w:rsidRPr="00F73E81" w:rsidRDefault="00997A11" w:rsidP="00997A11">
      <w:pPr>
        <w:spacing w:after="120"/>
        <w:jc w:val="both"/>
        <w:rPr>
          <w:color w:val="000000"/>
          <w:highlight w:val="yellow"/>
        </w:rPr>
      </w:pPr>
      <w:r w:rsidRPr="00F73E81">
        <w:rPr>
          <w:color w:val="000000"/>
        </w:rPr>
        <w:t xml:space="preserve">Kopumā audzēkņu skaits profesionālajā izglītībā joprojām ir būtiski mazāks nekā būtu nepieciešams, lai novērstu darbaspēka novecošanās tendenču negatīvo ietekmi uz vidējās kvalifikācijas darbaspēka piedāvājumu. Lai nodrošinātu vidējās kvalifikācijas darbaspēka piedāvājuma atražošanu profesionālajā izglītībā būtu jāuzņem vismaz divreiz vairāk audzēkņu nekā tas ir pašlaik, kā arī jāmazina izglītojamo </w:t>
      </w:r>
      <w:r w:rsidR="00ED3C7A">
        <w:rPr>
          <w:color w:val="000000"/>
        </w:rPr>
        <w:t>skaits, kas priekšlaicīgi pārtrauc mācības</w:t>
      </w:r>
      <w:r w:rsidRPr="00F73E81">
        <w:rPr>
          <w:color w:val="000000"/>
        </w:rPr>
        <w:t xml:space="preserve">. Tāpat būtiska loma </w:t>
      </w:r>
      <w:r>
        <w:rPr>
          <w:color w:val="000000"/>
        </w:rPr>
        <w:t>vidējās kvalifikācijas darbaspēka piedāvājuma krituma mazināšanai ir pieaugušo kvalifikācijas celšanas un pārkvalifikācijas pasākumiem profesionālajā izglītībā</w:t>
      </w:r>
      <w:r w:rsidRPr="00845206">
        <w:rPr>
          <w:color w:val="000000"/>
        </w:rPr>
        <w:t xml:space="preserve">. </w:t>
      </w:r>
      <w:r w:rsidRPr="00F73E81">
        <w:rPr>
          <w:color w:val="000000"/>
        </w:rPr>
        <w:t xml:space="preserve">Joprojām aptuveni </w:t>
      </w:r>
      <w:r w:rsidRPr="00845206">
        <w:rPr>
          <w:color w:val="000000"/>
        </w:rPr>
        <w:t>303,4</w:t>
      </w:r>
      <w:r w:rsidRPr="00F73E81">
        <w:rPr>
          <w:color w:val="000000"/>
        </w:rPr>
        <w:t> tūkst. (</w:t>
      </w:r>
      <w:r w:rsidRPr="00845206">
        <w:rPr>
          <w:color w:val="000000"/>
        </w:rPr>
        <w:t>31</w:t>
      </w:r>
      <w:r w:rsidRPr="00F73E81">
        <w:rPr>
          <w:color w:val="000000"/>
        </w:rPr>
        <w:t>%) no iedzīvotājiem vecumā no 25 līdz 64 gadiem ir nepietiekam</w:t>
      </w:r>
      <w:r w:rsidR="00327AFF">
        <w:rPr>
          <w:color w:val="000000"/>
        </w:rPr>
        <w:t>a</w:t>
      </w:r>
      <w:r w:rsidRPr="00F73E81">
        <w:rPr>
          <w:color w:val="000000"/>
        </w:rPr>
        <w:t xml:space="preserve"> izglītība (</w:t>
      </w:r>
      <w:r w:rsidRPr="00327AFF">
        <w:rPr>
          <w:color w:val="000000"/>
        </w:rPr>
        <w:t>vidēj</w:t>
      </w:r>
      <w:r w:rsidR="00327AFF" w:rsidRPr="00D84B7C">
        <w:rPr>
          <w:color w:val="000000"/>
        </w:rPr>
        <w:t>ā</w:t>
      </w:r>
      <w:r w:rsidRPr="00327AFF">
        <w:rPr>
          <w:color w:val="000000"/>
        </w:rPr>
        <w:t xml:space="preserve"> vispārēj</w:t>
      </w:r>
      <w:r w:rsidR="00327AFF" w:rsidRPr="00D84B7C">
        <w:rPr>
          <w:color w:val="000000"/>
        </w:rPr>
        <w:t>ā</w:t>
      </w:r>
      <w:r w:rsidRPr="00327AFF">
        <w:rPr>
          <w:color w:val="000000"/>
        </w:rPr>
        <w:t xml:space="preserve"> izglītīb</w:t>
      </w:r>
      <w:r w:rsidR="00327AFF" w:rsidRPr="00D84B7C">
        <w:rPr>
          <w:color w:val="000000"/>
        </w:rPr>
        <w:t>a</w:t>
      </w:r>
      <w:r w:rsidRPr="00327AFF">
        <w:rPr>
          <w:color w:val="000000"/>
        </w:rPr>
        <w:t>, pamatizglītīb</w:t>
      </w:r>
      <w:r w:rsidR="00327AFF">
        <w:rPr>
          <w:color w:val="000000"/>
        </w:rPr>
        <w:t>a</w:t>
      </w:r>
      <w:r w:rsidRPr="00F73E81">
        <w:rPr>
          <w:color w:val="000000"/>
        </w:rPr>
        <w:t xml:space="preserve"> vai zemāk</w:t>
      </w:r>
      <w:r w:rsidR="00327AFF">
        <w:rPr>
          <w:color w:val="000000"/>
        </w:rPr>
        <w:t>s</w:t>
      </w:r>
      <w:r w:rsidRPr="00F73E81">
        <w:rPr>
          <w:color w:val="000000"/>
        </w:rPr>
        <w:t xml:space="preserve"> izglītības līmeni</w:t>
      </w:r>
      <w:r w:rsidR="00327AFF">
        <w:rPr>
          <w:color w:val="000000"/>
        </w:rPr>
        <w:t>s</w:t>
      </w:r>
      <w:r w:rsidRPr="00F73E81">
        <w:rPr>
          <w:color w:val="000000"/>
        </w:rPr>
        <w:t>), lai veiksmīgi integrētos darba tirgū, līdz ar to būtiski ir nodrošināt šiem cilvēkiem iespējas atgriezties izglītības sistēmā un paplašināt profesionālās prasmes/iegūt kvalifikāciju.</w:t>
      </w:r>
    </w:p>
    <w:p w14:paraId="3EC86D83" w14:textId="111224D4" w:rsidR="00997A11" w:rsidRPr="00F73E81" w:rsidRDefault="00997A11" w:rsidP="00997A11">
      <w:pPr>
        <w:spacing w:after="120"/>
        <w:jc w:val="both"/>
        <w:rPr>
          <w:color w:val="000000"/>
          <w:spacing w:val="-4"/>
          <w:highlight w:val="yellow"/>
        </w:rPr>
      </w:pPr>
      <w:r w:rsidRPr="00F73E81">
        <w:rPr>
          <w:b/>
          <w:bCs/>
          <w:color w:val="000000"/>
        </w:rPr>
        <w:t xml:space="preserve">Nākamajos gados var pieaugt zemas kvalifikācijas darbaspēka piedāvājums ar pamatizglītību un zemāku izglītības līmeni. </w:t>
      </w:r>
      <w:r w:rsidRPr="00F73E81">
        <w:rPr>
          <w:color w:val="000000"/>
          <w:spacing w:val="-4"/>
        </w:rPr>
        <w:t>202</w:t>
      </w:r>
      <w:r w:rsidRPr="003B24E9">
        <w:rPr>
          <w:color w:val="000000"/>
          <w:spacing w:val="-4"/>
        </w:rPr>
        <w:t>3</w:t>
      </w:r>
      <w:r w:rsidRPr="00F73E81">
        <w:rPr>
          <w:color w:val="000000"/>
          <w:spacing w:val="-4"/>
        </w:rPr>
        <w:t>.</w:t>
      </w:r>
      <w:r w:rsidR="00B566DE">
        <w:rPr>
          <w:color w:val="000000"/>
          <w:spacing w:val="-4"/>
        </w:rPr>
        <w:t> </w:t>
      </w:r>
      <w:r w:rsidRPr="00F73E81">
        <w:rPr>
          <w:color w:val="000000"/>
          <w:spacing w:val="-4"/>
        </w:rPr>
        <w:t xml:space="preserve">gadā </w:t>
      </w:r>
      <w:r w:rsidRPr="003B24E9">
        <w:rPr>
          <w:color w:val="000000"/>
          <w:spacing w:val="-4"/>
        </w:rPr>
        <w:t>10,4</w:t>
      </w:r>
      <w:r w:rsidRPr="00F73E81">
        <w:rPr>
          <w:color w:val="000000"/>
          <w:spacing w:val="-4"/>
        </w:rPr>
        <w:t xml:space="preserve">% no iedzīvotājiem vecumā no 20 līdz 64 gadiem iegūtais izglītības līmenis nebija augstāks par pamatizglītību. Aptuveni </w:t>
      </w:r>
      <w:r w:rsidRPr="003B24E9">
        <w:rPr>
          <w:color w:val="000000"/>
          <w:spacing w:val="-4"/>
        </w:rPr>
        <w:t>71</w:t>
      </w:r>
      <w:r w:rsidRPr="00F73E81">
        <w:rPr>
          <w:color w:val="000000"/>
          <w:spacing w:val="-4"/>
        </w:rPr>
        <w:t xml:space="preserve">% jeb </w:t>
      </w:r>
      <w:r w:rsidRPr="003B24E9">
        <w:rPr>
          <w:color w:val="000000"/>
          <w:spacing w:val="-4"/>
        </w:rPr>
        <w:t>80</w:t>
      </w:r>
      <w:r w:rsidRPr="00F73E81">
        <w:rPr>
          <w:color w:val="000000"/>
          <w:spacing w:val="-4"/>
        </w:rPr>
        <w:t>,</w:t>
      </w:r>
      <w:r w:rsidRPr="003B24E9">
        <w:rPr>
          <w:color w:val="000000"/>
          <w:spacing w:val="-4"/>
        </w:rPr>
        <w:t>3</w:t>
      </w:r>
      <w:r w:rsidRPr="00F73E81">
        <w:rPr>
          <w:color w:val="000000"/>
          <w:spacing w:val="-4"/>
        </w:rPr>
        <w:t xml:space="preserve"> tūkst. no tiem bija vecumā no 20</w:t>
      </w:r>
      <w:r w:rsidRPr="003B24E9">
        <w:rPr>
          <w:color w:val="000000"/>
          <w:spacing w:val="-4"/>
        </w:rPr>
        <w:t xml:space="preserve"> </w:t>
      </w:r>
      <w:r w:rsidRPr="00F73E81">
        <w:rPr>
          <w:color w:val="000000"/>
          <w:spacing w:val="-4"/>
        </w:rPr>
        <w:t>līdz 44 gadiem (aptuveni 1</w:t>
      </w:r>
      <w:r w:rsidRPr="003B24E9">
        <w:rPr>
          <w:color w:val="000000"/>
          <w:spacing w:val="-4"/>
        </w:rPr>
        <w:t>4</w:t>
      </w:r>
      <w:r w:rsidRPr="00F73E81">
        <w:rPr>
          <w:color w:val="000000"/>
          <w:spacing w:val="-4"/>
        </w:rPr>
        <w:t>% no kopējā iedzīvotāju skaita attiecīgajā vecuma grupā), tādēļ būtiska daļa no atbilstošās iedzīvotāju grupas nākamajos gados tikai vel sasniegs augstākās ekonomiskās aktivitātes vecuma kohortas (augstākā iedzīvotāju ekonomiskā aktivitāte parasti novērojama vecumā no 30 līdz 54 gadiem), līdz ar to arī kopumā palielinot zemas kvalifikācijas darbaspēka piedāvājumu darba tirgū.</w:t>
      </w:r>
    </w:p>
    <w:p w14:paraId="2A1E1421" w14:textId="331A8001" w:rsidR="00997A11" w:rsidRPr="00F73E81" w:rsidRDefault="00997A11" w:rsidP="00997A11">
      <w:pPr>
        <w:spacing w:after="120"/>
        <w:jc w:val="both"/>
        <w:rPr>
          <w:color w:val="000000"/>
          <w:spacing w:val="-4"/>
          <w:szCs w:val="20"/>
        </w:rPr>
      </w:pPr>
      <w:r w:rsidRPr="00F73E81">
        <w:rPr>
          <w:color w:val="000000"/>
          <w:spacing w:val="-4"/>
          <w:szCs w:val="20"/>
        </w:rPr>
        <w:lastRenderedPageBreak/>
        <w:t>Būtiskākais darbaspēka piedāvājuma pieaugums ar pamatizglītību un zemāku izglītības līmeni varētu būt vērojams līdz 20</w:t>
      </w:r>
      <w:r w:rsidRPr="00B86D40">
        <w:rPr>
          <w:color w:val="000000"/>
          <w:spacing w:val="-4"/>
          <w:szCs w:val="20"/>
        </w:rPr>
        <w:t>32</w:t>
      </w:r>
      <w:r w:rsidRPr="00F73E81">
        <w:rPr>
          <w:color w:val="000000"/>
          <w:spacing w:val="-4"/>
          <w:szCs w:val="20"/>
        </w:rPr>
        <w:t>.</w:t>
      </w:r>
      <w:r w:rsidR="00B566DE">
        <w:rPr>
          <w:color w:val="000000"/>
          <w:spacing w:val="-4"/>
          <w:szCs w:val="20"/>
        </w:rPr>
        <w:t> </w:t>
      </w:r>
      <w:r w:rsidRPr="00F73E81">
        <w:rPr>
          <w:color w:val="000000"/>
          <w:spacing w:val="-4"/>
          <w:szCs w:val="20"/>
        </w:rPr>
        <w:t>gadam, savukārt sākot ar 203</w:t>
      </w:r>
      <w:r w:rsidRPr="00B86D40">
        <w:rPr>
          <w:color w:val="000000"/>
          <w:spacing w:val="-4"/>
          <w:szCs w:val="20"/>
        </w:rPr>
        <w:t>3</w:t>
      </w:r>
      <w:r w:rsidRPr="00F73E81">
        <w:rPr>
          <w:color w:val="000000"/>
          <w:spacing w:val="-4"/>
          <w:szCs w:val="20"/>
        </w:rPr>
        <w:t>.</w:t>
      </w:r>
      <w:r w:rsidR="00B566DE">
        <w:rPr>
          <w:color w:val="000000"/>
          <w:spacing w:val="-4"/>
          <w:szCs w:val="20"/>
        </w:rPr>
        <w:t> </w:t>
      </w:r>
      <w:r w:rsidRPr="00F73E81">
        <w:rPr>
          <w:color w:val="000000"/>
          <w:spacing w:val="-4"/>
          <w:szCs w:val="20"/>
        </w:rPr>
        <w:t>gadu tas varētu pakāpeniski samazināties. Kopumā līdz 2030.</w:t>
      </w:r>
      <w:r w:rsidR="00B566DE">
        <w:rPr>
          <w:color w:val="000000"/>
          <w:spacing w:val="-4"/>
          <w:szCs w:val="20"/>
        </w:rPr>
        <w:t> </w:t>
      </w:r>
      <w:r w:rsidRPr="00F73E81">
        <w:rPr>
          <w:color w:val="000000"/>
          <w:spacing w:val="-4"/>
          <w:szCs w:val="20"/>
        </w:rPr>
        <w:t xml:space="preserve">gadam darbaspēka piedāvājums ar pamatizglītību un zemāku izglītības līmeni varētu pieaugt par </w:t>
      </w:r>
      <w:r w:rsidRPr="003B24E9">
        <w:rPr>
          <w:color w:val="000000"/>
          <w:spacing w:val="-4"/>
          <w:szCs w:val="20"/>
        </w:rPr>
        <w:t>43,2</w:t>
      </w:r>
      <w:r w:rsidRPr="00F73E81">
        <w:rPr>
          <w:color w:val="000000"/>
          <w:spacing w:val="-4"/>
          <w:szCs w:val="20"/>
        </w:rPr>
        <w:t xml:space="preserve"> tūkstošiem.</w:t>
      </w:r>
    </w:p>
    <w:p w14:paraId="5EF71226" w14:textId="77777777" w:rsidR="00997A11" w:rsidRPr="00F73E81" w:rsidRDefault="00997A11" w:rsidP="00997A11">
      <w:pPr>
        <w:spacing w:after="120"/>
        <w:jc w:val="both"/>
        <w:rPr>
          <w:color w:val="000000"/>
          <w:spacing w:val="-2"/>
          <w:szCs w:val="20"/>
        </w:rPr>
      </w:pPr>
      <w:r w:rsidRPr="00F73E81">
        <w:rPr>
          <w:color w:val="000000"/>
          <w:spacing w:val="-4"/>
          <w:szCs w:val="20"/>
        </w:rPr>
        <w:t xml:space="preserve">Būtisku ietekmi uz zemas kvalifikācijas darbaspēka piedāvājuma pieaugumu vidējā termiņā atstāj salīdzinoši lielais pagājušā gadsimta 90-to gadu </w:t>
      </w:r>
      <w:r w:rsidRPr="00F73E81">
        <w:rPr>
          <w:color w:val="000000"/>
          <w:spacing w:val="-2"/>
          <w:szCs w:val="20"/>
        </w:rPr>
        <w:t>otrā pusē</w:t>
      </w:r>
      <w:r w:rsidRPr="00F73E81">
        <w:rPr>
          <w:color w:val="000000"/>
          <w:spacing w:val="-4"/>
          <w:szCs w:val="20"/>
        </w:rPr>
        <w:t xml:space="preserve"> priekšlaicīgi izglītības sistēmu pametušo jauniešu skaits. </w:t>
      </w:r>
      <w:r w:rsidRPr="00F73E81">
        <w:rPr>
          <w:color w:val="000000"/>
          <w:spacing w:val="-2"/>
          <w:szCs w:val="20"/>
        </w:rPr>
        <w:t>Tāpat nozīmīga ietekme uz iedzīvotāju plūsmu ar pamatizglītību ir audzēkņu atbirumam vidējās izglītības posmā – lai gan mācības tiek uzsāktas, tomēr liela daļa tās nepabeidz.</w:t>
      </w:r>
    </w:p>
    <w:p w14:paraId="520B55F2" w14:textId="77777777" w:rsidR="00267AA4" w:rsidRDefault="00267AA4" w:rsidP="00343F74">
      <w:pPr>
        <w:spacing w:after="120"/>
        <w:jc w:val="both"/>
        <w:rPr>
          <w:color w:val="000000"/>
          <w:szCs w:val="20"/>
          <w:highlight w:val="yellow"/>
        </w:rPr>
      </w:pPr>
    </w:p>
    <w:p w14:paraId="7D1ADF92" w14:textId="77777777" w:rsidR="00267AA4" w:rsidRPr="00B73A48" w:rsidRDefault="00267AA4" w:rsidP="00343F74">
      <w:pPr>
        <w:spacing w:after="120"/>
        <w:jc w:val="both"/>
        <w:rPr>
          <w:color w:val="000000"/>
          <w:szCs w:val="20"/>
          <w:highlight w:val="yellow"/>
        </w:rPr>
      </w:pPr>
    </w:p>
    <w:p w14:paraId="4EBDE35A" w14:textId="051B207E" w:rsidR="00E54709" w:rsidRPr="00080A71" w:rsidRDefault="00E54709" w:rsidP="00080A71">
      <w:pPr>
        <w:pStyle w:val="Heading3"/>
      </w:pPr>
      <w:bookmarkStart w:id="74" w:name="_Toc183620107"/>
      <w:r w:rsidRPr="00080A71">
        <w:t>3.3.3. Darbaspēka pie</w:t>
      </w:r>
      <w:r w:rsidR="00584E4C" w:rsidRPr="00080A71">
        <w:t>prasījuma</w:t>
      </w:r>
      <w:r w:rsidRPr="00080A71">
        <w:t xml:space="preserve"> un piedāvājuma atbilstība</w:t>
      </w:r>
      <w:bookmarkEnd w:id="74"/>
    </w:p>
    <w:p w14:paraId="68669E9E" w14:textId="77777777" w:rsidR="0012245D" w:rsidRPr="00344301" w:rsidRDefault="0012245D" w:rsidP="00343F74">
      <w:pPr>
        <w:spacing w:after="120"/>
        <w:jc w:val="both"/>
      </w:pPr>
      <w:r w:rsidRPr="00344301">
        <w:t>Vidējā termiņā situācija darba tirgū uzlabosies, bet kļūs arī arvien sarežģītāka, ko no vienas puses noteiks pieaugošais darbaspēka pieprasījums (gan jaunu darbavietu, gan aizvietojošā pieprasījuma izteiksmē), kas nepieciešams, lai uzturētu ekonomikas izaugsmi, bet no otras puses – demogrāfijas tendenču ietekmē krītošais darbaspēka piedāvājums. Tādejādi darbaspēka nepietiekamība dažādās tautsaimniecības nozarēs nākamajos gados kļūs arvien izteiktāka. Tāpat darbaspēka iztrūkumu saasinās neatbilstības starp darba tirgū pieprasītām un piedāvātām prasmēm, kā arī reģionālās darba tirgus disproporcijas.</w:t>
      </w:r>
    </w:p>
    <w:p w14:paraId="43E0115A" w14:textId="4F299699" w:rsidR="0012245D" w:rsidRPr="00344301" w:rsidRDefault="0012245D" w:rsidP="00343F74">
      <w:pPr>
        <w:spacing w:after="120"/>
        <w:jc w:val="both"/>
      </w:pPr>
      <w:r w:rsidRPr="00344301">
        <w:t xml:space="preserve">Kopumā līdz 2030.gadam brīvās darbaspēka rezerves samazināsies līdz 52 tūkst. (no pašreizējam 61 tūkst.), bet līdz 2040.gadam starpība varētu samazināties līdz 46 tūkstošiem. Kopumā darba meklētāju skaits/ bezdarbs vidējā un ilgtermiņā būs tuvu dabiskam līmenim un to pamatā veidos </w:t>
      </w:r>
      <w:proofErr w:type="spellStart"/>
      <w:r w:rsidRPr="00344301">
        <w:t>frikcionālais</w:t>
      </w:r>
      <w:proofErr w:type="spellEnd"/>
      <w:r w:rsidRPr="00344301">
        <w:t xml:space="preserve"> un strukturālais bezdarbs.</w:t>
      </w:r>
    </w:p>
    <w:p w14:paraId="06069080" w14:textId="098725D2" w:rsidR="0012245D" w:rsidRPr="003B4CDA" w:rsidRDefault="0012245D" w:rsidP="00343F74">
      <w:pPr>
        <w:spacing w:after="120"/>
        <w:jc w:val="both"/>
      </w:pPr>
      <w:r w:rsidRPr="00344301">
        <w:t xml:space="preserve">Ekonomikas izaugsme turpmākajos gados būs pamatā balstīta uz produktivitātes pieaugumu. </w:t>
      </w:r>
      <w:r>
        <w:t xml:space="preserve">Neskatoties uz </w:t>
      </w:r>
      <w:r w:rsidRPr="00940D7C">
        <w:t>nenoteiktīb</w:t>
      </w:r>
      <w:r>
        <w:t>u</w:t>
      </w:r>
      <w:r w:rsidRPr="00940D7C">
        <w:t xml:space="preserve"> saistībā ar esošo ģeopolitisko stāvokli, Krievijai turpinot karadarbību Ukrainā</w:t>
      </w:r>
      <w:r w:rsidRPr="00344301">
        <w:t>, kopumā līdz 2030.</w:t>
      </w:r>
      <w:r w:rsidR="00B566DE">
        <w:t> </w:t>
      </w:r>
      <w:r w:rsidRPr="00344301">
        <w:t xml:space="preserve">gadam sagaidāms darbaspēka pieprasījuma kāpums – nodarbināto skaits varētu palielināties par </w:t>
      </w:r>
      <w:r>
        <w:t>2,7</w:t>
      </w:r>
      <w:r w:rsidRPr="00344301">
        <w:t>% jeb 24</w:t>
      </w:r>
      <w:r>
        <w:t> </w:t>
      </w:r>
      <w:r w:rsidRPr="00344301">
        <w:t>tūkst., salīdzinot ar 2023.</w:t>
      </w:r>
      <w:r w:rsidR="00B566DE">
        <w:t> </w:t>
      </w:r>
      <w:r w:rsidRPr="00344301">
        <w:t>gadu. Vienlaikus ilgtermiņā darbaspēka pieprasījums varētu pieaugt lēnāk, ņemot vērā arvien lielāku dažāda veida darbu automatizāciju un darbaspēka aizstāšanu ar tehnoloģijām. Tādejādi</w:t>
      </w:r>
      <w:r w:rsidRPr="00344301">
        <w:rPr>
          <w:b/>
          <w:bCs/>
        </w:rPr>
        <w:t xml:space="preserve"> galvenās darba iespējas radīs aizvietojošais darbaspēka pieprasījums </w:t>
      </w:r>
      <w:r w:rsidRPr="00344301">
        <w:t>– brīvo darbavietu pieaugums, kas atbrīvojās esošajiem nodarbinātajiem izejot no darba tirgus (pensionējoties, slimības vai citu iemeslu dēļ pametot darba tirgu).</w:t>
      </w:r>
    </w:p>
    <w:p w14:paraId="336CFC29" w14:textId="50922787" w:rsidR="0016645F" w:rsidRPr="0012245D" w:rsidRDefault="0016645F" w:rsidP="0012245D">
      <w:pPr>
        <w:spacing w:after="120"/>
        <w:jc w:val="right"/>
        <w:rPr>
          <w:szCs w:val="26"/>
        </w:rPr>
      </w:pPr>
      <w:r w:rsidRPr="0012245D">
        <w:rPr>
          <w:szCs w:val="26"/>
        </w:rPr>
        <w:t>3.1</w:t>
      </w:r>
      <w:r w:rsidR="001179C2" w:rsidRPr="0012245D">
        <w:rPr>
          <w:szCs w:val="26"/>
        </w:rPr>
        <w:t>2</w:t>
      </w:r>
      <w:r w:rsidRPr="0012245D">
        <w:rPr>
          <w:szCs w:val="26"/>
        </w:rPr>
        <w:t>. attēls</w:t>
      </w:r>
    </w:p>
    <w:p w14:paraId="77129273" w14:textId="4AF6CBE0" w:rsidR="0016645F" w:rsidRPr="0012245D" w:rsidRDefault="0016645F" w:rsidP="0012245D">
      <w:pPr>
        <w:spacing w:after="120"/>
        <w:jc w:val="center"/>
        <w:rPr>
          <w:rFonts w:ascii="Segoe UI Light" w:hAnsi="Segoe UI Light"/>
          <w:i/>
          <w:color w:val="000000"/>
          <w:sz w:val="16"/>
        </w:rPr>
      </w:pPr>
      <w:r w:rsidRPr="0012245D">
        <w:rPr>
          <w:rFonts w:ascii="Segoe UI Light" w:hAnsi="Segoe UI Light"/>
          <w:b/>
          <w:color w:val="000000"/>
          <w:sz w:val="18"/>
          <w:szCs w:val="26"/>
        </w:rPr>
        <w:t>Darbaspēka pieprasījuma un piedāvājuma atbilstība</w:t>
      </w:r>
      <w:r w:rsidRPr="0012245D">
        <w:rPr>
          <w:rFonts w:ascii="Segoe UI Light" w:hAnsi="Segoe UI Light"/>
          <w:b/>
          <w:color w:val="000000"/>
          <w:sz w:val="18"/>
          <w:szCs w:val="26"/>
        </w:rPr>
        <w:br/>
      </w:r>
      <w:r w:rsidR="0012245D" w:rsidRPr="0012245D">
        <w:rPr>
          <w:rFonts w:ascii="Segoe UI Light" w:hAnsi="Segoe UI Light"/>
          <w:i/>
          <w:color w:val="000000"/>
          <w:sz w:val="16"/>
        </w:rPr>
        <w:t>Darbaspēka pieprasījums un piedāvājums, tūkst.;</w:t>
      </w:r>
      <w:r w:rsidR="0012245D">
        <w:rPr>
          <w:rFonts w:ascii="Segoe UI Light" w:hAnsi="Segoe UI Light"/>
          <w:i/>
          <w:color w:val="000000"/>
          <w:sz w:val="16"/>
        </w:rPr>
        <w:t xml:space="preserve"> </w:t>
      </w:r>
      <w:r w:rsidR="0012245D" w:rsidRPr="0012245D">
        <w:rPr>
          <w:rFonts w:ascii="Segoe UI Light" w:hAnsi="Segoe UI Light"/>
          <w:i/>
          <w:color w:val="000000"/>
          <w:sz w:val="16"/>
        </w:rPr>
        <w:t>bezdarba līmenis, procentos</w:t>
      </w:r>
    </w:p>
    <w:p w14:paraId="714E1B27" w14:textId="78C75918" w:rsidR="0012245D" w:rsidRDefault="0012245D" w:rsidP="0012245D">
      <w:pPr>
        <w:jc w:val="both"/>
        <w:rPr>
          <w:rFonts w:cs="Calibri Light"/>
          <w:sz w:val="16"/>
          <w:szCs w:val="14"/>
        </w:rPr>
      </w:pPr>
      <w:r w:rsidRPr="0012245D">
        <w:rPr>
          <w:rFonts w:cs="Calibri Light"/>
          <w:noProof/>
          <w:sz w:val="16"/>
          <w:szCs w:val="14"/>
        </w:rPr>
        <mc:AlternateContent>
          <mc:Choice Requires="wpg">
            <w:drawing>
              <wp:anchor distT="0" distB="0" distL="114300" distR="114300" simplePos="0" relativeHeight="251658455" behindDoc="0" locked="0" layoutInCell="1" allowOverlap="1" wp14:anchorId="0967D595" wp14:editId="5C99C542">
                <wp:simplePos x="0" y="0"/>
                <wp:positionH relativeFrom="column">
                  <wp:posOffset>3689375</wp:posOffset>
                </wp:positionH>
                <wp:positionV relativeFrom="paragraph">
                  <wp:posOffset>229057</wp:posOffset>
                </wp:positionV>
                <wp:extent cx="1645921" cy="614477"/>
                <wp:effectExtent l="0" t="0" r="0" b="0"/>
                <wp:wrapNone/>
                <wp:docPr id="1074" name="Group 1074"/>
                <wp:cNvGraphicFramePr/>
                <a:graphic xmlns:a="http://schemas.openxmlformats.org/drawingml/2006/main">
                  <a:graphicData uri="http://schemas.microsoft.com/office/word/2010/wordprocessingGroup">
                    <wpg:wgp>
                      <wpg:cNvGrpSpPr/>
                      <wpg:grpSpPr>
                        <a:xfrm>
                          <a:off x="0" y="0"/>
                          <a:ext cx="1645921" cy="614477"/>
                          <a:chOff x="108428" y="0"/>
                          <a:chExt cx="2052161" cy="572301"/>
                        </a:xfrm>
                      </wpg:grpSpPr>
                      <wps:wsp>
                        <wps:cNvPr id="1075" name="TextBox 24"/>
                        <wps:cNvSpPr txBox="1"/>
                        <wps:spPr>
                          <a:xfrm>
                            <a:off x="335771" y="0"/>
                            <a:ext cx="1824818" cy="572301"/>
                          </a:xfrm>
                          <a:prstGeom prst="rect">
                            <a:avLst/>
                          </a:prstGeom>
                          <a:noFill/>
                        </wps:spPr>
                        <wps:txbx>
                          <w:txbxContent>
                            <w:p w14:paraId="52DBF256" w14:textId="77777777" w:rsidR="00B83D7D" w:rsidRPr="0012245D" w:rsidRDefault="00B83D7D" w:rsidP="0012245D">
                              <w:pPr>
                                <w:overflowPunct w:val="0"/>
                                <w:spacing w:after="60"/>
                                <w:textAlignment w:val="baseline"/>
                                <w:rPr>
                                  <w:rFonts w:ascii="Segoe UI Light" w:hAnsi="Segoe UI Light" w:cs="Segoe UI Light"/>
                                  <w:color w:val="000000"/>
                                  <w:sz w:val="16"/>
                                  <w:szCs w:val="16"/>
                                </w:rPr>
                              </w:pPr>
                              <w:r w:rsidRPr="0012245D">
                                <w:rPr>
                                  <w:rFonts w:ascii="Segoe UI Light" w:hAnsi="Segoe UI Light" w:cs="Segoe UI Light"/>
                                  <w:color w:val="000000"/>
                                  <w:sz w:val="16"/>
                                  <w:szCs w:val="16"/>
                                </w:rPr>
                                <w:t>Darbaspēka piedāvājums</w:t>
                              </w:r>
                            </w:p>
                            <w:p w14:paraId="5AECBB89" w14:textId="77777777" w:rsidR="00B83D7D" w:rsidRPr="0012245D" w:rsidRDefault="00B83D7D" w:rsidP="0012245D">
                              <w:pPr>
                                <w:overflowPunct w:val="0"/>
                                <w:spacing w:after="60"/>
                                <w:textAlignment w:val="baseline"/>
                                <w:rPr>
                                  <w:rFonts w:ascii="Segoe UI Light" w:hAnsi="Segoe UI Light" w:cs="Segoe UI Light"/>
                                  <w:color w:val="000000"/>
                                  <w:sz w:val="16"/>
                                  <w:szCs w:val="16"/>
                                </w:rPr>
                              </w:pPr>
                              <w:r w:rsidRPr="0012245D">
                                <w:rPr>
                                  <w:rFonts w:ascii="Segoe UI Light" w:hAnsi="Segoe UI Light" w:cs="Segoe UI Light"/>
                                  <w:color w:val="000000"/>
                                  <w:sz w:val="16"/>
                                  <w:szCs w:val="16"/>
                                </w:rPr>
                                <w:t>Pieprasījums pēc darbaspēka</w:t>
                              </w:r>
                            </w:p>
                            <w:p w14:paraId="46E35EFF" w14:textId="77777777" w:rsidR="00B83D7D" w:rsidRPr="0012245D" w:rsidRDefault="00B83D7D" w:rsidP="0012245D">
                              <w:pPr>
                                <w:overflowPunct w:val="0"/>
                                <w:spacing w:after="60"/>
                                <w:textAlignment w:val="baseline"/>
                                <w:rPr>
                                  <w:rFonts w:ascii="Segoe UI Light" w:hAnsi="Segoe UI Light" w:cs="Segoe UI Light"/>
                                  <w:color w:val="000000"/>
                                  <w:sz w:val="16"/>
                                  <w:szCs w:val="16"/>
                                </w:rPr>
                              </w:pPr>
                              <w:r w:rsidRPr="0012245D">
                                <w:rPr>
                                  <w:rFonts w:ascii="Segoe UI Light" w:hAnsi="Segoe UI Light" w:cs="Segoe UI Light"/>
                                  <w:color w:val="000000"/>
                                  <w:sz w:val="16"/>
                                  <w:szCs w:val="16"/>
                                </w:rPr>
                                <w:t>Bezdarba līmenis</w:t>
                              </w:r>
                            </w:p>
                          </w:txbxContent>
                        </wps:txbx>
                        <wps:bodyPr wrap="square" rtlCol="0">
                          <a:noAutofit/>
                        </wps:bodyPr>
                      </wps:wsp>
                      <wps:wsp>
                        <wps:cNvPr id="1076" name="Rectangle 1076"/>
                        <wps:cNvSpPr/>
                        <wps:spPr>
                          <a:xfrm>
                            <a:off x="112344" y="104991"/>
                            <a:ext cx="179542" cy="33529"/>
                          </a:xfrm>
                          <a:prstGeom prst="rect">
                            <a:avLst/>
                          </a:prstGeom>
                          <a:solidFill>
                            <a:srgbClr val="319DA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77" name="Rectangle 1077"/>
                        <wps:cNvSpPr/>
                        <wps:spPr>
                          <a:xfrm>
                            <a:off x="108443" y="266257"/>
                            <a:ext cx="179542" cy="33529"/>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78" name="Rectangle 1078"/>
                        <wps:cNvSpPr/>
                        <wps:spPr>
                          <a:xfrm>
                            <a:off x="108428" y="401049"/>
                            <a:ext cx="179542" cy="83823"/>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967D595" id="Group 1074" o:spid="_x0000_s1233" style="position:absolute;left:0;text-align:left;margin-left:290.5pt;margin-top:18.05pt;width:129.6pt;height:48.4pt;z-index:251658455;mso-width-relative:margin;mso-height-relative:margin" coordorigin="1084" coordsize="20521,5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">
                <v:shape id="TextBox 24" o:spid="_x0000_s1234" type="#_x0000_t202" style="position:absolute;left:3357;width:18248;height:5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" filled="f" stroked="f">
                  <v:textbox>
                    <w:txbxContent>
                      <w:p w14:paraId="52DBF256" w14:textId="77777777" w:rsidR="00B83D7D" w:rsidRPr="0012245D" w:rsidRDefault="00B83D7D" w:rsidP="0012245D">
                        <w:pPr>
                          <w:overflowPunct w:val="0"/>
                          <w:spacing w:after="60"/>
                          <w:textAlignment w:val="baseline"/>
                          <w:rPr>
                            <w:rFonts w:ascii="Segoe UI Light" w:hAnsi="Segoe UI Light" w:cs="Segoe UI Light"/>
                            <w:color w:val="000000"/>
                            <w:sz w:val="16"/>
                            <w:szCs w:val="16"/>
                          </w:rPr>
                        </w:pPr>
                        <w:r w:rsidRPr="0012245D">
                          <w:rPr>
                            <w:rFonts w:ascii="Segoe UI Light" w:hAnsi="Segoe UI Light" w:cs="Segoe UI Light"/>
                            <w:color w:val="000000"/>
                            <w:sz w:val="16"/>
                            <w:szCs w:val="16"/>
                          </w:rPr>
                          <w:t>Darbaspēka piedāvājums</w:t>
                        </w:r>
                      </w:p>
                      <w:p w14:paraId="5AECBB89" w14:textId="77777777" w:rsidR="00B83D7D" w:rsidRPr="0012245D" w:rsidRDefault="00B83D7D" w:rsidP="0012245D">
                        <w:pPr>
                          <w:overflowPunct w:val="0"/>
                          <w:spacing w:after="60"/>
                          <w:textAlignment w:val="baseline"/>
                          <w:rPr>
                            <w:rFonts w:ascii="Segoe UI Light" w:hAnsi="Segoe UI Light" w:cs="Segoe UI Light"/>
                            <w:color w:val="000000"/>
                            <w:sz w:val="16"/>
                            <w:szCs w:val="16"/>
                          </w:rPr>
                        </w:pPr>
                        <w:r w:rsidRPr="0012245D">
                          <w:rPr>
                            <w:rFonts w:ascii="Segoe UI Light" w:hAnsi="Segoe UI Light" w:cs="Segoe UI Light"/>
                            <w:color w:val="000000"/>
                            <w:sz w:val="16"/>
                            <w:szCs w:val="16"/>
                          </w:rPr>
                          <w:t>Pieprasījums pēc darbaspēka</w:t>
                        </w:r>
                      </w:p>
                      <w:p w14:paraId="46E35EFF" w14:textId="77777777" w:rsidR="00B83D7D" w:rsidRPr="0012245D" w:rsidRDefault="00B83D7D" w:rsidP="0012245D">
                        <w:pPr>
                          <w:overflowPunct w:val="0"/>
                          <w:spacing w:after="60"/>
                          <w:textAlignment w:val="baseline"/>
                          <w:rPr>
                            <w:rFonts w:ascii="Segoe UI Light" w:hAnsi="Segoe UI Light" w:cs="Segoe UI Light"/>
                            <w:color w:val="000000"/>
                            <w:sz w:val="16"/>
                            <w:szCs w:val="16"/>
                          </w:rPr>
                        </w:pPr>
                        <w:r w:rsidRPr="0012245D">
                          <w:rPr>
                            <w:rFonts w:ascii="Segoe UI Light" w:hAnsi="Segoe UI Light" w:cs="Segoe UI Light"/>
                            <w:color w:val="000000"/>
                            <w:sz w:val="16"/>
                            <w:szCs w:val="16"/>
                          </w:rPr>
                          <w:t>Bezdarba līmenis</w:t>
                        </w:r>
                      </w:p>
                    </w:txbxContent>
                  </v:textbox>
                </v:shape>
                <v:rect id="Rectangle 1076" o:spid="_x0000_s1235" style="position:absolute;left:1123;top:1049;width:1795;height: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" fillcolor="#319dae" stroked="f" strokeweight="2pt"/>
                <v:rect id="Rectangle 1077" o:spid="_x0000_s1236" style="position:absolute;left:1084;top:2662;width:1795;height: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" fillcolor="#c0504d [3205]" stroked="f" strokeweight="2pt"/>
                <v:rect id="Rectangle 1078" o:spid="_x0000_s1237" style="position:absolute;left:1084;top:4010;width:1795;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" fillcolor="#e5dfec [663]" stroked="f" strokeweight="2pt"/>
              </v:group>
            </w:pict>
          </mc:Fallback>
        </mc:AlternateContent>
      </w:r>
      <w:r w:rsidRPr="0012245D">
        <w:rPr>
          <w:rFonts w:cs="Calibri Light"/>
          <w:noProof/>
          <w:sz w:val="16"/>
          <w:szCs w:val="14"/>
        </w:rPr>
        <mc:AlternateContent>
          <mc:Choice Requires="wps">
            <w:drawing>
              <wp:anchor distT="0" distB="0" distL="114300" distR="114300" simplePos="0" relativeHeight="251658438" behindDoc="0" locked="0" layoutInCell="1" allowOverlap="1" wp14:anchorId="5E26B06C" wp14:editId="12B1E24F">
                <wp:simplePos x="0" y="0"/>
                <wp:positionH relativeFrom="column">
                  <wp:posOffset>3437585</wp:posOffset>
                </wp:positionH>
                <wp:positionV relativeFrom="paragraph">
                  <wp:posOffset>36195</wp:posOffset>
                </wp:positionV>
                <wp:extent cx="0" cy="1800000"/>
                <wp:effectExtent l="0" t="0" r="38100" b="29210"/>
                <wp:wrapNone/>
                <wp:docPr id="1079" name="Straight Connector 10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0000"/>
                        </a:xfrm>
                        <a:prstGeom prst="line">
                          <a:avLst/>
                        </a:prstGeom>
                        <a:ln w="12700">
                          <a:solidFill>
                            <a:schemeClr val="tx1">
                              <a:lumMod val="50000"/>
                              <a:lumOff val="50000"/>
                              <a:alpha val="84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8791621" id="Straight Connector 1079" o:spid="_x0000_s1026" style="position:absolute;z-index:2516584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0.7pt,2.85pt" to="270.7pt,1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" strokecolor="gray [1629]" strokeweight="1pt">
                <v:stroke dashstyle="dash" opacity="54998f"/>
                <o:lock v:ext="edit" shapetype="f"/>
              </v:line>
            </w:pict>
          </mc:Fallback>
        </mc:AlternateContent>
      </w:r>
      <w:r w:rsidRPr="0012245D">
        <w:rPr>
          <w:rFonts w:cs="Calibri Light"/>
          <w:noProof/>
          <w:sz w:val="16"/>
          <w:szCs w:val="14"/>
        </w:rPr>
        <w:drawing>
          <wp:inline distT="0" distB="0" distL="0" distR="0" wp14:anchorId="636B6142" wp14:editId="3706BD80">
            <wp:extent cx="5760085" cy="2063115"/>
            <wp:effectExtent l="0" t="0" r="0" b="0"/>
            <wp:docPr id="1072" name="Chart 1072">
              <a:extLst xmlns:a="http://schemas.openxmlformats.org/drawingml/2006/main">
                <a:ext uri="{FF2B5EF4-FFF2-40B4-BE49-F238E27FC236}">
                  <a16:creationId xmlns:a16="http://schemas.microsoft.com/office/drawing/2014/main" id="{52256E83-73CC-2EE6-2664-DE813FB7A6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1068E14D" w14:textId="7EF2DF89" w:rsidR="0016645F" w:rsidRPr="0012245D" w:rsidRDefault="0016645F" w:rsidP="0012245D">
      <w:pPr>
        <w:spacing w:before="120" w:after="120"/>
        <w:jc w:val="both"/>
        <w:rPr>
          <w:rFonts w:cs="Calibri Light"/>
          <w:sz w:val="16"/>
          <w:szCs w:val="14"/>
        </w:rPr>
      </w:pPr>
      <w:r w:rsidRPr="0012245D">
        <w:rPr>
          <w:rFonts w:cs="Calibri Light"/>
          <w:sz w:val="16"/>
          <w:szCs w:val="14"/>
        </w:rPr>
        <w:t>Avots: CSP dati līdz 202</w:t>
      </w:r>
      <w:r w:rsidR="0012245D">
        <w:rPr>
          <w:rFonts w:cs="Calibri Light"/>
          <w:sz w:val="16"/>
          <w:szCs w:val="14"/>
        </w:rPr>
        <w:t>3</w:t>
      </w:r>
      <w:r w:rsidRPr="0012245D">
        <w:rPr>
          <w:rFonts w:cs="Calibri Light"/>
          <w:sz w:val="16"/>
          <w:szCs w:val="14"/>
        </w:rPr>
        <w:t>.</w:t>
      </w:r>
      <w:r w:rsidR="0080669C" w:rsidRPr="0012245D">
        <w:rPr>
          <w:rFonts w:cs="Calibri Light"/>
          <w:sz w:val="16"/>
          <w:szCs w:val="14"/>
        </w:rPr>
        <w:t>gad</w:t>
      </w:r>
      <w:r w:rsidRPr="0012245D">
        <w:rPr>
          <w:rFonts w:cs="Calibri Light"/>
          <w:sz w:val="16"/>
          <w:szCs w:val="14"/>
        </w:rPr>
        <w:t>am, EM prognozes sākot ar 202</w:t>
      </w:r>
      <w:r w:rsidR="0012245D">
        <w:rPr>
          <w:rFonts w:cs="Calibri Light"/>
          <w:sz w:val="16"/>
          <w:szCs w:val="14"/>
        </w:rPr>
        <w:t>4</w:t>
      </w:r>
      <w:r w:rsidRPr="0012245D">
        <w:rPr>
          <w:rFonts w:cs="Calibri Light"/>
          <w:sz w:val="16"/>
          <w:szCs w:val="14"/>
        </w:rPr>
        <w:t>.</w:t>
      </w:r>
      <w:r w:rsidR="0080669C" w:rsidRPr="0012245D">
        <w:rPr>
          <w:rFonts w:cs="Calibri Light"/>
          <w:sz w:val="16"/>
          <w:szCs w:val="14"/>
        </w:rPr>
        <w:t>gad</w:t>
      </w:r>
      <w:r w:rsidRPr="0012245D">
        <w:rPr>
          <w:rFonts w:cs="Calibri Light"/>
          <w:sz w:val="16"/>
          <w:szCs w:val="14"/>
        </w:rPr>
        <w:t>u</w:t>
      </w:r>
      <w:r w:rsidR="0012245D" w:rsidRPr="0012245D">
        <w:rPr>
          <w:noProof/>
        </w:rPr>
        <w:t xml:space="preserve"> </w:t>
      </w:r>
    </w:p>
    <w:p w14:paraId="67A136FA" w14:textId="77777777" w:rsidR="0012245D" w:rsidRDefault="0012245D" w:rsidP="00343F74">
      <w:pPr>
        <w:spacing w:after="120"/>
        <w:jc w:val="both"/>
        <w:rPr>
          <w:highlight w:val="yellow"/>
        </w:rPr>
      </w:pPr>
    </w:p>
    <w:p w14:paraId="13DEB6DB" w14:textId="74A28670" w:rsidR="0012245D" w:rsidRDefault="0012245D" w:rsidP="00343F74">
      <w:pPr>
        <w:spacing w:after="120"/>
        <w:jc w:val="both"/>
      </w:pPr>
      <w:r w:rsidRPr="004F13D5">
        <w:t>Sagaidāms, ka ekonomikai atlabstot pēc energoresursu un pārtikas dārdzības izraisītā inflācijas kāpuma saistībā ar Krievijas iebrukumu Ukrainā, bezdarbs 2024.</w:t>
      </w:r>
      <w:r w:rsidR="00B566DE">
        <w:t> </w:t>
      </w:r>
      <w:r w:rsidRPr="004F13D5">
        <w:t>gadā samazināsies, arī nākamajos gados tas pamazām samazināsies, pietuvojoties savam dabiskam līmenim. Līdz 2030.</w:t>
      </w:r>
      <w:r w:rsidR="00B566DE">
        <w:t> </w:t>
      </w:r>
      <w:r w:rsidRPr="004F13D5">
        <w:t>gadam bezdarba līmenis varētu noslīdēt līdz 5,5% robežai, savukārt darba meklētāju skaits līdz 52 tūkstošiem. Pēc 2030.</w:t>
      </w:r>
      <w:r w:rsidR="00B566DE">
        <w:t> </w:t>
      </w:r>
      <w:r w:rsidRPr="004F13D5">
        <w:t>gada bezdarba rādītāji nostabilizēsies ap 5%, savukārt demogrāfijas tendenču negatīvā ietekme uz darbaspēka piedāvājumu lielā mērā tiks kompensēta ar iedzīvotāju ekonomiskās aktivitātes pieaugumu, kā arī darbaspēka migrācijas plūsmu izlīdzināšanos.</w:t>
      </w:r>
    </w:p>
    <w:p w14:paraId="78409409" w14:textId="77777777" w:rsidR="00745274" w:rsidRPr="0012245D" w:rsidRDefault="00745274" w:rsidP="00745274">
      <w:pPr>
        <w:spacing w:after="120"/>
        <w:jc w:val="right"/>
        <w:rPr>
          <w:szCs w:val="26"/>
        </w:rPr>
      </w:pPr>
      <w:r w:rsidRPr="0012245D">
        <w:rPr>
          <w:szCs w:val="26"/>
        </w:rPr>
        <w:lastRenderedPageBreak/>
        <w:t>3.12. tabula</w:t>
      </w:r>
    </w:p>
    <w:p w14:paraId="607C07BE" w14:textId="77777777" w:rsidR="00745274" w:rsidRPr="0012245D" w:rsidRDefault="00745274" w:rsidP="00745274">
      <w:pPr>
        <w:spacing w:after="120"/>
        <w:jc w:val="center"/>
        <w:rPr>
          <w:rFonts w:ascii="Segoe UI Light" w:hAnsi="Segoe UI Light"/>
          <w:i/>
          <w:sz w:val="16"/>
          <w:szCs w:val="16"/>
        </w:rPr>
      </w:pPr>
      <w:r w:rsidRPr="0012245D">
        <w:rPr>
          <w:rFonts w:ascii="Segoe UI Light" w:hAnsi="Segoe UI Light"/>
          <w:b/>
          <w:sz w:val="18"/>
          <w:szCs w:val="16"/>
        </w:rPr>
        <w:t>Nodarbinātības un bezdarba galveno rādītāju prognozes</w:t>
      </w:r>
      <w:r w:rsidRPr="0012245D">
        <w:rPr>
          <w:rFonts w:ascii="Segoe UI Light" w:hAnsi="Segoe UI Light"/>
          <w:b/>
          <w:sz w:val="18"/>
          <w:szCs w:val="16"/>
        </w:rPr>
        <w:br/>
      </w:r>
      <w:r w:rsidRPr="0012245D">
        <w:rPr>
          <w:rFonts w:ascii="Segoe UI Light" w:hAnsi="Segoe UI Light"/>
          <w:i/>
          <w:sz w:val="16"/>
          <w:szCs w:val="16"/>
        </w:rPr>
        <w:t>15-74</w:t>
      </w:r>
      <w:r>
        <w:rPr>
          <w:rFonts w:ascii="Segoe UI Light" w:hAnsi="Segoe UI Light"/>
          <w:i/>
          <w:sz w:val="16"/>
          <w:szCs w:val="16"/>
        </w:rPr>
        <w:t xml:space="preserve"> </w:t>
      </w:r>
      <w:r w:rsidRPr="0012245D">
        <w:rPr>
          <w:rFonts w:ascii="Segoe UI Light" w:hAnsi="Segoe UI Light"/>
          <w:i/>
          <w:sz w:val="16"/>
          <w:szCs w:val="16"/>
        </w:rPr>
        <w:t>gadu vecuma grupā</w:t>
      </w:r>
    </w:p>
    <w:tbl>
      <w:tblPr>
        <w:tblStyle w:val="GridTable5Dark-Accent3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6681"/>
        <w:gridCol w:w="785"/>
        <w:gridCol w:w="806"/>
        <w:gridCol w:w="789"/>
      </w:tblGrid>
      <w:tr w:rsidR="00745274" w:rsidRPr="0012245D" w14:paraId="19EF2687" w14:textId="77777777" w:rsidTr="00745274">
        <w:trPr>
          <w:cnfStyle w:val="100000000000" w:firstRow="1" w:lastRow="0" w:firstColumn="0" w:lastColumn="0" w:oddVBand="0" w:evenVBand="0" w:oddHBand="0" w:evenHBand="0" w:firstRowFirstColumn="0" w:firstRowLastColumn="0" w:lastRowFirstColumn="0" w:lastRowLastColumn="0"/>
          <w:trHeight w:val="20"/>
          <w:jc w:val="center"/>
        </w:trPr>
        <w:tc>
          <w:tcPr>
            <w:tcW w:w="3686" w:type="pct"/>
            <w:shd w:val="clear" w:color="auto" w:fill="5F497A" w:themeFill="accent4" w:themeFillShade="BF"/>
            <w:noWrap/>
          </w:tcPr>
          <w:p w14:paraId="1141E236" w14:textId="77777777" w:rsidR="00745274" w:rsidRPr="0012245D" w:rsidRDefault="00745274" w:rsidP="00745274">
            <w:pPr>
              <w:spacing w:before="40" w:after="40"/>
              <w:jc w:val="both"/>
              <w:rPr>
                <w:rFonts w:ascii="Segoe UI Light" w:eastAsia="Arial Unicode MS" w:hAnsi="Segoe UI Light"/>
                <w:b w:val="0"/>
                <w:sz w:val="16"/>
                <w:szCs w:val="20"/>
              </w:rPr>
            </w:pPr>
          </w:p>
        </w:tc>
        <w:tc>
          <w:tcPr>
            <w:tcW w:w="434" w:type="pct"/>
            <w:shd w:val="clear" w:color="auto" w:fill="5F497A" w:themeFill="accent4" w:themeFillShade="BF"/>
            <w:hideMark/>
          </w:tcPr>
          <w:p w14:paraId="278FF175" w14:textId="77777777" w:rsidR="00745274" w:rsidRPr="0012245D" w:rsidRDefault="00745274" w:rsidP="00745274">
            <w:pPr>
              <w:spacing w:before="40" w:after="40"/>
              <w:jc w:val="center"/>
              <w:rPr>
                <w:rFonts w:ascii="Segoe UI Light" w:hAnsi="Segoe UI Light"/>
                <w:sz w:val="16"/>
                <w:szCs w:val="20"/>
              </w:rPr>
            </w:pPr>
            <w:r w:rsidRPr="003B4CDA">
              <w:rPr>
                <w:rFonts w:ascii="Segoe UI Light" w:hAnsi="Segoe UI Light"/>
                <w:sz w:val="16"/>
                <w:szCs w:val="20"/>
              </w:rPr>
              <w:t>20</w:t>
            </w:r>
            <w:r>
              <w:rPr>
                <w:rFonts w:ascii="Segoe UI Light" w:hAnsi="Segoe UI Light"/>
                <w:sz w:val="16"/>
                <w:szCs w:val="20"/>
              </w:rPr>
              <w:t>23</w:t>
            </w:r>
          </w:p>
        </w:tc>
        <w:tc>
          <w:tcPr>
            <w:tcW w:w="444" w:type="pct"/>
            <w:shd w:val="clear" w:color="auto" w:fill="5F497A" w:themeFill="accent4" w:themeFillShade="BF"/>
            <w:hideMark/>
          </w:tcPr>
          <w:p w14:paraId="582EE60D" w14:textId="77777777" w:rsidR="00745274" w:rsidRPr="0012245D" w:rsidRDefault="00745274" w:rsidP="00745274">
            <w:pPr>
              <w:spacing w:before="40" w:after="40"/>
              <w:jc w:val="center"/>
              <w:rPr>
                <w:rFonts w:ascii="Segoe UI Light" w:hAnsi="Segoe UI Light"/>
                <w:sz w:val="16"/>
                <w:szCs w:val="20"/>
              </w:rPr>
            </w:pPr>
            <w:r w:rsidRPr="003B4CDA">
              <w:rPr>
                <w:rFonts w:ascii="Segoe UI Light" w:hAnsi="Segoe UI Light"/>
                <w:sz w:val="16"/>
                <w:szCs w:val="20"/>
              </w:rPr>
              <w:t>20</w:t>
            </w:r>
            <w:r>
              <w:rPr>
                <w:rFonts w:ascii="Segoe UI Light" w:hAnsi="Segoe UI Light"/>
                <w:sz w:val="16"/>
                <w:szCs w:val="20"/>
              </w:rPr>
              <w:t>30</w:t>
            </w:r>
          </w:p>
        </w:tc>
        <w:tc>
          <w:tcPr>
            <w:tcW w:w="435" w:type="pct"/>
            <w:shd w:val="clear" w:color="auto" w:fill="5F497A" w:themeFill="accent4" w:themeFillShade="BF"/>
            <w:hideMark/>
          </w:tcPr>
          <w:p w14:paraId="1A3C64AE" w14:textId="77777777" w:rsidR="00745274" w:rsidRPr="0012245D" w:rsidRDefault="00745274" w:rsidP="00745274">
            <w:pPr>
              <w:spacing w:before="40" w:after="40"/>
              <w:jc w:val="center"/>
              <w:rPr>
                <w:rFonts w:ascii="Segoe UI Light" w:hAnsi="Segoe UI Light"/>
                <w:sz w:val="16"/>
                <w:szCs w:val="20"/>
              </w:rPr>
            </w:pPr>
            <w:r w:rsidRPr="003B4CDA">
              <w:rPr>
                <w:rFonts w:ascii="Segoe UI Light" w:hAnsi="Segoe UI Light"/>
                <w:sz w:val="16"/>
                <w:szCs w:val="20"/>
              </w:rPr>
              <w:t>2040</w:t>
            </w:r>
          </w:p>
        </w:tc>
      </w:tr>
      <w:tr w:rsidR="00745274" w:rsidRPr="0012245D" w14:paraId="7A0E353B" w14:textId="77777777" w:rsidTr="00745274">
        <w:trPr>
          <w:cnfStyle w:val="000000100000" w:firstRow="0" w:lastRow="0" w:firstColumn="0" w:lastColumn="0" w:oddVBand="0" w:evenVBand="0" w:oddHBand="1" w:evenHBand="0" w:firstRowFirstColumn="0" w:firstRowLastColumn="0" w:lastRowFirstColumn="0" w:lastRowLastColumn="0"/>
          <w:trHeight w:val="20"/>
          <w:jc w:val="center"/>
        </w:trPr>
        <w:tc>
          <w:tcPr>
            <w:tcW w:w="3686" w:type="pct"/>
            <w:shd w:val="clear" w:color="auto" w:fill="E5DFEC" w:themeFill="accent4" w:themeFillTint="33"/>
            <w:hideMark/>
          </w:tcPr>
          <w:p w14:paraId="06A5CF2E" w14:textId="77777777" w:rsidR="00745274" w:rsidRPr="0012245D" w:rsidRDefault="00745274" w:rsidP="00745274">
            <w:pPr>
              <w:spacing w:before="40" w:after="40"/>
              <w:rPr>
                <w:rFonts w:ascii="Segoe UI Light" w:hAnsi="Segoe UI Light"/>
                <w:sz w:val="16"/>
                <w:szCs w:val="20"/>
              </w:rPr>
            </w:pPr>
            <w:r w:rsidRPr="0012245D">
              <w:rPr>
                <w:rFonts w:ascii="Segoe UI Light" w:hAnsi="Segoe UI Light"/>
                <w:sz w:val="16"/>
                <w:szCs w:val="20"/>
              </w:rPr>
              <w:t>Iedzīvotāju skaits privātajās mājsaimniecībās,</w:t>
            </w:r>
            <w:r>
              <w:rPr>
                <w:rFonts w:ascii="Segoe UI Light" w:hAnsi="Segoe UI Light"/>
                <w:sz w:val="16"/>
                <w:szCs w:val="20"/>
              </w:rPr>
              <w:t xml:space="preserve"> </w:t>
            </w:r>
            <w:r w:rsidRPr="0012245D">
              <w:rPr>
                <w:rFonts w:ascii="Segoe UI Light" w:hAnsi="Segoe UI Light"/>
                <w:sz w:val="16"/>
                <w:szCs w:val="20"/>
              </w:rPr>
              <w:t>gada sākumā, tūkstošos</w:t>
            </w:r>
          </w:p>
        </w:tc>
        <w:tc>
          <w:tcPr>
            <w:tcW w:w="434" w:type="pct"/>
            <w:shd w:val="clear" w:color="auto" w:fill="E5DFEC" w:themeFill="accent4" w:themeFillTint="33"/>
            <w:hideMark/>
          </w:tcPr>
          <w:p w14:paraId="2209CBCA" w14:textId="77777777" w:rsidR="00745274" w:rsidRPr="0012245D" w:rsidRDefault="00745274" w:rsidP="00745274">
            <w:pPr>
              <w:spacing w:before="40" w:after="40"/>
              <w:jc w:val="center"/>
              <w:rPr>
                <w:rFonts w:ascii="Segoe UI Light" w:hAnsi="Segoe UI Light"/>
                <w:sz w:val="16"/>
                <w:szCs w:val="20"/>
              </w:rPr>
            </w:pPr>
            <w:r>
              <w:rPr>
                <w:rFonts w:ascii="Segoe UI Light" w:hAnsi="Segoe UI Light"/>
                <w:sz w:val="16"/>
                <w:szCs w:val="20"/>
              </w:rPr>
              <w:t>1377,7</w:t>
            </w:r>
          </w:p>
        </w:tc>
        <w:tc>
          <w:tcPr>
            <w:tcW w:w="444" w:type="pct"/>
            <w:shd w:val="clear" w:color="auto" w:fill="E5DFEC" w:themeFill="accent4" w:themeFillTint="33"/>
            <w:hideMark/>
          </w:tcPr>
          <w:p w14:paraId="6CDBC113" w14:textId="77777777" w:rsidR="00745274" w:rsidRPr="0012245D" w:rsidRDefault="00745274" w:rsidP="00745274">
            <w:pPr>
              <w:tabs>
                <w:tab w:val="decimal" w:pos="472"/>
              </w:tabs>
              <w:spacing w:before="40" w:after="40"/>
              <w:jc w:val="center"/>
              <w:rPr>
                <w:rFonts w:ascii="Segoe UI Light" w:hAnsi="Segoe UI Light"/>
                <w:sz w:val="16"/>
                <w:szCs w:val="20"/>
              </w:rPr>
            </w:pPr>
            <w:r w:rsidRPr="003B4CDA">
              <w:rPr>
                <w:rFonts w:ascii="Segoe UI Light" w:hAnsi="Segoe UI Light"/>
                <w:sz w:val="16"/>
                <w:szCs w:val="20"/>
              </w:rPr>
              <w:t>13</w:t>
            </w:r>
            <w:r>
              <w:rPr>
                <w:rFonts w:ascii="Segoe UI Light" w:hAnsi="Segoe UI Light"/>
                <w:sz w:val="16"/>
                <w:szCs w:val="20"/>
              </w:rPr>
              <w:t>24</w:t>
            </w:r>
            <w:r w:rsidRPr="003B4CDA">
              <w:rPr>
                <w:rFonts w:ascii="Segoe UI Light" w:hAnsi="Segoe UI Light"/>
                <w:sz w:val="16"/>
                <w:szCs w:val="20"/>
              </w:rPr>
              <w:t>,</w:t>
            </w:r>
            <w:r>
              <w:rPr>
                <w:rFonts w:ascii="Segoe UI Light" w:hAnsi="Segoe UI Light"/>
                <w:sz w:val="16"/>
                <w:szCs w:val="20"/>
              </w:rPr>
              <w:t>1</w:t>
            </w:r>
          </w:p>
        </w:tc>
        <w:tc>
          <w:tcPr>
            <w:tcW w:w="435" w:type="pct"/>
            <w:shd w:val="clear" w:color="auto" w:fill="E5DFEC" w:themeFill="accent4" w:themeFillTint="33"/>
            <w:hideMark/>
          </w:tcPr>
          <w:p w14:paraId="458AD4B0" w14:textId="77777777" w:rsidR="00745274" w:rsidRPr="0012245D" w:rsidRDefault="00745274" w:rsidP="00745274">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12</w:t>
            </w:r>
            <w:r>
              <w:rPr>
                <w:rFonts w:ascii="Segoe UI Light" w:hAnsi="Segoe UI Light"/>
                <w:sz w:val="16"/>
                <w:szCs w:val="20"/>
              </w:rPr>
              <w:t>60</w:t>
            </w:r>
            <w:r w:rsidRPr="003B4CDA">
              <w:rPr>
                <w:rFonts w:ascii="Segoe UI Light" w:hAnsi="Segoe UI Light"/>
                <w:sz w:val="16"/>
                <w:szCs w:val="20"/>
              </w:rPr>
              <w:t>,</w:t>
            </w:r>
            <w:r>
              <w:rPr>
                <w:rFonts w:ascii="Segoe UI Light" w:hAnsi="Segoe UI Light"/>
                <w:sz w:val="16"/>
                <w:szCs w:val="20"/>
              </w:rPr>
              <w:t>0</w:t>
            </w:r>
          </w:p>
        </w:tc>
      </w:tr>
      <w:tr w:rsidR="00745274" w:rsidRPr="0012245D" w14:paraId="18A17EE7" w14:textId="77777777" w:rsidTr="00745274">
        <w:trPr>
          <w:trHeight w:val="20"/>
          <w:jc w:val="center"/>
        </w:trPr>
        <w:tc>
          <w:tcPr>
            <w:tcW w:w="3686" w:type="pct"/>
            <w:shd w:val="clear" w:color="auto" w:fill="CCC0D9" w:themeFill="accent4" w:themeFillTint="66"/>
            <w:hideMark/>
          </w:tcPr>
          <w:p w14:paraId="0E1D1BB6" w14:textId="77777777" w:rsidR="00745274" w:rsidRPr="0012245D" w:rsidRDefault="00745274" w:rsidP="00745274">
            <w:pPr>
              <w:spacing w:before="40" w:after="40"/>
              <w:rPr>
                <w:rFonts w:ascii="Segoe UI Light" w:hAnsi="Segoe UI Light"/>
                <w:sz w:val="16"/>
                <w:szCs w:val="20"/>
              </w:rPr>
            </w:pPr>
            <w:r w:rsidRPr="0012245D">
              <w:rPr>
                <w:rFonts w:ascii="Segoe UI Light" w:hAnsi="Segoe UI Light"/>
                <w:sz w:val="16"/>
                <w:szCs w:val="20"/>
              </w:rPr>
              <w:t>Nodarbināto iedzīvotāju skaits, tūkstošos</w:t>
            </w:r>
          </w:p>
        </w:tc>
        <w:tc>
          <w:tcPr>
            <w:tcW w:w="434" w:type="pct"/>
            <w:shd w:val="clear" w:color="auto" w:fill="CCC0D9" w:themeFill="accent4" w:themeFillTint="66"/>
            <w:hideMark/>
          </w:tcPr>
          <w:p w14:paraId="0DBCD196" w14:textId="77777777" w:rsidR="00745274" w:rsidRPr="0012245D" w:rsidRDefault="00745274" w:rsidP="00745274">
            <w:pPr>
              <w:spacing w:before="40" w:after="40"/>
              <w:jc w:val="center"/>
              <w:rPr>
                <w:rFonts w:ascii="Segoe UI Light" w:hAnsi="Segoe UI Light"/>
                <w:sz w:val="16"/>
                <w:szCs w:val="20"/>
              </w:rPr>
            </w:pPr>
            <w:r>
              <w:rPr>
                <w:rFonts w:ascii="Segoe UI Light" w:hAnsi="Segoe UI Light"/>
                <w:sz w:val="16"/>
                <w:szCs w:val="20"/>
              </w:rPr>
              <w:t>884</w:t>
            </w:r>
            <w:r w:rsidRPr="003B4CDA">
              <w:rPr>
                <w:rFonts w:ascii="Segoe UI Light" w:hAnsi="Segoe UI Light"/>
                <w:sz w:val="16"/>
                <w:szCs w:val="20"/>
              </w:rPr>
              <w:t>,</w:t>
            </w:r>
            <w:r>
              <w:rPr>
                <w:rFonts w:ascii="Segoe UI Light" w:hAnsi="Segoe UI Light"/>
                <w:sz w:val="16"/>
                <w:szCs w:val="20"/>
              </w:rPr>
              <w:t>2</w:t>
            </w:r>
          </w:p>
        </w:tc>
        <w:tc>
          <w:tcPr>
            <w:tcW w:w="444" w:type="pct"/>
            <w:shd w:val="clear" w:color="auto" w:fill="CCC0D9" w:themeFill="accent4" w:themeFillTint="66"/>
            <w:hideMark/>
          </w:tcPr>
          <w:p w14:paraId="1FC13160" w14:textId="77777777" w:rsidR="00745274" w:rsidRPr="0012245D" w:rsidRDefault="00745274" w:rsidP="00745274">
            <w:pPr>
              <w:tabs>
                <w:tab w:val="decimal" w:pos="472"/>
              </w:tabs>
              <w:spacing w:before="40" w:after="40"/>
              <w:jc w:val="center"/>
              <w:rPr>
                <w:rFonts w:ascii="Segoe UI Light" w:hAnsi="Segoe UI Light"/>
                <w:sz w:val="16"/>
                <w:szCs w:val="20"/>
              </w:rPr>
            </w:pPr>
            <w:r>
              <w:rPr>
                <w:rFonts w:ascii="Segoe UI Light" w:hAnsi="Segoe UI Light"/>
                <w:sz w:val="16"/>
                <w:szCs w:val="20"/>
              </w:rPr>
              <w:t>907,8</w:t>
            </w:r>
          </w:p>
        </w:tc>
        <w:tc>
          <w:tcPr>
            <w:tcW w:w="435" w:type="pct"/>
            <w:shd w:val="clear" w:color="auto" w:fill="CCC0D9" w:themeFill="accent4" w:themeFillTint="66"/>
            <w:hideMark/>
          </w:tcPr>
          <w:p w14:paraId="518FE719" w14:textId="77777777" w:rsidR="00745274" w:rsidRPr="0012245D" w:rsidRDefault="00745274" w:rsidP="00745274">
            <w:pPr>
              <w:tabs>
                <w:tab w:val="decimal" w:pos="452"/>
              </w:tabs>
              <w:spacing w:before="40" w:after="40"/>
              <w:jc w:val="center"/>
              <w:rPr>
                <w:rFonts w:ascii="Segoe UI Light" w:hAnsi="Segoe UI Light"/>
                <w:sz w:val="16"/>
                <w:szCs w:val="20"/>
              </w:rPr>
            </w:pPr>
            <w:r>
              <w:rPr>
                <w:rFonts w:ascii="Segoe UI Light" w:hAnsi="Segoe UI Light"/>
                <w:sz w:val="16"/>
                <w:szCs w:val="20"/>
              </w:rPr>
              <w:t>889,9</w:t>
            </w:r>
          </w:p>
        </w:tc>
      </w:tr>
      <w:tr w:rsidR="00745274" w:rsidRPr="00DC13E6" w14:paraId="6B68E3C1" w14:textId="77777777" w:rsidTr="00745274">
        <w:trPr>
          <w:cnfStyle w:val="000000100000" w:firstRow="0" w:lastRow="0" w:firstColumn="0" w:lastColumn="0" w:oddVBand="0" w:evenVBand="0" w:oddHBand="1" w:evenHBand="0" w:firstRowFirstColumn="0" w:firstRowLastColumn="0" w:lastRowFirstColumn="0" w:lastRowLastColumn="0"/>
          <w:trHeight w:val="20"/>
          <w:jc w:val="center"/>
        </w:trPr>
        <w:tc>
          <w:tcPr>
            <w:tcW w:w="3686" w:type="pct"/>
            <w:shd w:val="clear" w:color="auto" w:fill="E5DFEC" w:themeFill="accent4" w:themeFillTint="33"/>
            <w:hideMark/>
          </w:tcPr>
          <w:p w14:paraId="068E2F13" w14:textId="1A0C75FE" w:rsidR="00745274" w:rsidRPr="00DC13E6" w:rsidRDefault="00745274" w:rsidP="00745274">
            <w:pPr>
              <w:spacing w:before="40" w:after="40"/>
              <w:ind w:left="142"/>
              <w:rPr>
                <w:rFonts w:ascii="Segoe UI Light" w:hAnsi="Segoe UI Light"/>
                <w:sz w:val="16"/>
                <w:szCs w:val="20"/>
              </w:rPr>
            </w:pPr>
            <w:r w:rsidRPr="00DC13E6">
              <w:rPr>
                <w:rFonts w:ascii="Segoe UI Light" w:hAnsi="Segoe UI Light"/>
                <w:sz w:val="16"/>
                <w:szCs w:val="20"/>
              </w:rPr>
              <w:t>nodarbināto iedzīvotāju skaita izmaiņas, tūkstošos pret 2023.</w:t>
            </w:r>
            <w:r w:rsidR="00B566DE">
              <w:rPr>
                <w:rFonts w:ascii="Segoe UI Light" w:hAnsi="Segoe UI Light"/>
                <w:sz w:val="16"/>
                <w:szCs w:val="20"/>
              </w:rPr>
              <w:t> </w:t>
            </w:r>
            <w:r w:rsidRPr="00DC13E6">
              <w:rPr>
                <w:rFonts w:ascii="Segoe UI Light" w:hAnsi="Segoe UI Light"/>
                <w:sz w:val="16"/>
                <w:szCs w:val="20"/>
              </w:rPr>
              <w:t>gadu</w:t>
            </w:r>
          </w:p>
        </w:tc>
        <w:tc>
          <w:tcPr>
            <w:tcW w:w="434" w:type="pct"/>
            <w:shd w:val="clear" w:color="auto" w:fill="E5DFEC" w:themeFill="accent4" w:themeFillTint="33"/>
            <w:hideMark/>
          </w:tcPr>
          <w:p w14:paraId="17B0A680" w14:textId="77777777" w:rsidR="00745274" w:rsidRPr="00DC13E6" w:rsidRDefault="00745274" w:rsidP="00745274">
            <w:pPr>
              <w:spacing w:before="40" w:after="40"/>
              <w:jc w:val="center"/>
              <w:rPr>
                <w:rFonts w:ascii="Segoe UI Light" w:hAnsi="Segoe UI Light"/>
                <w:sz w:val="16"/>
                <w:szCs w:val="20"/>
              </w:rPr>
            </w:pPr>
            <w:r w:rsidRPr="00DC13E6">
              <w:rPr>
                <w:rFonts w:ascii="Segoe UI Light" w:hAnsi="Segoe UI Light"/>
                <w:sz w:val="16"/>
                <w:szCs w:val="20"/>
              </w:rPr>
              <w:t>–</w:t>
            </w:r>
          </w:p>
        </w:tc>
        <w:tc>
          <w:tcPr>
            <w:tcW w:w="444" w:type="pct"/>
            <w:shd w:val="clear" w:color="auto" w:fill="E5DFEC" w:themeFill="accent4" w:themeFillTint="33"/>
            <w:hideMark/>
          </w:tcPr>
          <w:p w14:paraId="6EF0319F" w14:textId="77777777" w:rsidR="00745274" w:rsidRPr="00DC13E6" w:rsidRDefault="00745274" w:rsidP="00745274">
            <w:pPr>
              <w:tabs>
                <w:tab w:val="decimal" w:pos="472"/>
              </w:tabs>
              <w:spacing w:before="40" w:after="40"/>
              <w:jc w:val="center"/>
              <w:rPr>
                <w:rFonts w:ascii="Segoe UI Light" w:hAnsi="Segoe UI Light"/>
                <w:sz w:val="16"/>
                <w:szCs w:val="20"/>
              </w:rPr>
            </w:pPr>
            <w:r w:rsidRPr="00DC13E6">
              <w:rPr>
                <w:rFonts w:ascii="Segoe UI Light" w:hAnsi="Segoe UI Light"/>
                <w:sz w:val="16"/>
                <w:szCs w:val="20"/>
              </w:rPr>
              <w:t>23,7</w:t>
            </w:r>
          </w:p>
        </w:tc>
        <w:tc>
          <w:tcPr>
            <w:tcW w:w="435" w:type="pct"/>
            <w:shd w:val="clear" w:color="auto" w:fill="E5DFEC" w:themeFill="accent4" w:themeFillTint="33"/>
            <w:hideMark/>
          </w:tcPr>
          <w:p w14:paraId="0FAC98A6" w14:textId="77777777" w:rsidR="00745274" w:rsidRPr="00DC13E6" w:rsidRDefault="00745274" w:rsidP="00745274">
            <w:pPr>
              <w:tabs>
                <w:tab w:val="decimal" w:pos="452"/>
              </w:tabs>
              <w:spacing w:before="40" w:after="40"/>
              <w:jc w:val="center"/>
              <w:rPr>
                <w:rFonts w:ascii="Segoe UI Light" w:hAnsi="Segoe UI Light"/>
                <w:sz w:val="16"/>
                <w:szCs w:val="20"/>
              </w:rPr>
            </w:pPr>
            <w:r w:rsidRPr="00DC13E6">
              <w:rPr>
                <w:rFonts w:ascii="Segoe UI Light" w:hAnsi="Segoe UI Light"/>
                <w:sz w:val="16"/>
                <w:szCs w:val="20"/>
              </w:rPr>
              <w:t>5,8</w:t>
            </w:r>
          </w:p>
        </w:tc>
      </w:tr>
      <w:tr w:rsidR="00745274" w:rsidRPr="0012245D" w14:paraId="1363BFA1" w14:textId="77777777" w:rsidTr="00745274">
        <w:trPr>
          <w:trHeight w:val="20"/>
          <w:jc w:val="center"/>
        </w:trPr>
        <w:tc>
          <w:tcPr>
            <w:tcW w:w="3686" w:type="pct"/>
            <w:shd w:val="clear" w:color="auto" w:fill="CCC0D9" w:themeFill="accent4" w:themeFillTint="66"/>
            <w:hideMark/>
          </w:tcPr>
          <w:p w14:paraId="31F65FF2" w14:textId="6B175C20" w:rsidR="00745274" w:rsidRPr="00DC13E6" w:rsidRDefault="00745274" w:rsidP="00745274">
            <w:pPr>
              <w:spacing w:before="40" w:after="40"/>
              <w:ind w:left="142"/>
              <w:rPr>
                <w:rFonts w:ascii="Segoe UI Light" w:hAnsi="Segoe UI Light"/>
                <w:sz w:val="16"/>
                <w:szCs w:val="20"/>
              </w:rPr>
            </w:pPr>
            <w:r w:rsidRPr="00DC13E6">
              <w:rPr>
                <w:rFonts w:ascii="Segoe UI Light" w:hAnsi="Segoe UI Light"/>
                <w:sz w:val="16"/>
                <w:szCs w:val="20"/>
              </w:rPr>
              <w:t>nodarbināto iedzīvotāju skaita izmaiņas, procentos pret 2023.</w:t>
            </w:r>
            <w:r w:rsidR="00B566DE">
              <w:rPr>
                <w:rFonts w:ascii="Segoe UI Light" w:hAnsi="Segoe UI Light"/>
                <w:sz w:val="16"/>
                <w:szCs w:val="20"/>
              </w:rPr>
              <w:t> </w:t>
            </w:r>
            <w:r w:rsidRPr="00DC13E6">
              <w:rPr>
                <w:rFonts w:ascii="Segoe UI Light" w:hAnsi="Segoe UI Light"/>
                <w:sz w:val="16"/>
                <w:szCs w:val="20"/>
              </w:rPr>
              <w:t>gadu</w:t>
            </w:r>
          </w:p>
        </w:tc>
        <w:tc>
          <w:tcPr>
            <w:tcW w:w="434" w:type="pct"/>
            <w:shd w:val="clear" w:color="auto" w:fill="CCC0D9" w:themeFill="accent4" w:themeFillTint="66"/>
            <w:hideMark/>
          </w:tcPr>
          <w:p w14:paraId="53CB9211" w14:textId="77777777" w:rsidR="00745274" w:rsidRPr="00DC13E6" w:rsidRDefault="00745274" w:rsidP="00745274">
            <w:pPr>
              <w:spacing w:before="40" w:after="40"/>
              <w:jc w:val="center"/>
              <w:rPr>
                <w:rFonts w:ascii="Segoe UI Light" w:hAnsi="Segoe UI Light"/>
                <w:sz w:val="16"/>
                <w:szCs w:val="20"/>
              </w:rPr>
            </w:pPr>
            <w:r w:rsidRPr="00DC13E6">
              <w:rPr>
                <w:rFonts w:ascii="Segoe UI Light" w:hAnsi="Segoe UI Light"/>
                <w:sz w:val="16"/>
                <w:szCs w:val="20"/>
              </w:rPr>
              <w:t>–</w:t>
            </w:r>
          </w:p>
        </w:tc>
        <w:tc>
          <w:tcPr>
            <w:tcW w:w="444" w:type="pct"/>
            <w:shd w:val="clear" w:color="auto" w:fill="CCC0D9" w:themeFill="accent4" w:themeFillTint="66"/>
            <w:hideMark/>
          </w:tcPr>
          <w:p w14:paraId="43AF7722" w14:textId="77777777" w:rsidR="00745274" w:rsidRPr="00DC13E6" w:rsidRDefault="00745274" w:rsidP="00745274">
            <w:pPr>
              <w:tabs>
                <w:tab w:val="decimal" w:pos="472"/>
              </w:tabs>
              <w:spacing w:before="40" w:after="40"/>
              <w:jc w:val="center"/>
              <w:rPr>
                <w:rFonts w:ascii="Segoe UI Light" w:hAnsi="Segoe UI Light"/>
                <w:sz w:val="16"/>
                <w:szCs w:val="20"/>
              </w:rPr>
            </w:pPr>
            <w:r w:rsidRPr="00DC13E6">
              <w:rPr>
                <w:rFonts w:ascii="Segoe UI Light" w:hAnsi="Segoe UI Light"/>
                <w:sz w:val="16"/>
                <w:szCs w:val="20"/>
              </w:rPr>
              <w:t>2,7</w:t>
            </w:r>
          </w:p>
        </w:tc>
        <w:tc>
          <w:tcPr>
            <w:tcW w:w="435" w:type="pct"/>
            <w:shd w:val="clear" w:color="auto" w:fill="CCC0D9" w:themeFill="accent4" w:themeFillTint="66"/>
            <w:hideMark/>
          </w:tcPr>
          <w:p w14:paraId="3D7A2ED7" w14:textId="77777777" w:rsidR="00745274" w:rsidRPr="0012245D" w:rsidRDefault="00745274" w:rsidP="00745274">
            <w:pPr>
              <w:tabs>
                <w:tab w:val="decimal" w:pos="452"/>
              </w:tabs>
              <w:spacing w:before="40" w:after="40"/>
              <w:jc w:val="center"/>
              <w:rPr>
                <w:rFonts w:ascii="Segoe UI Light" w:hAnsi="Segoe UI Light"/>
                <w:sz w:val="16"/>
                <w:szCs w:val="20"/>
              </w:rPr>
            </w:pPr>
            <w:r w:rsidRPr="00DC13E6">
              <w:rPr>
                <w:rFonts w:ascii="Segoe UI Light" w:hAnsi="Segoe UI Light"/>
                <w:sz w:val="16"/>
                <w:szCs w:val="20"/>
              </w:rPr>
              <w:t>0,7</w:t>
            </w:r>
          </w:p>
        </w:tc>
      </w:tr>
      <w:tr w:rsidR="00745274" w:rsidRPr="0012245D" w14:paraId="68439935" w14:textId="77777777" w:rsidTr="00745274">
        <w:trPr>
          <w:cnfStyle w:val="000000100000" w:firstRow="0" w:lastRow="0" w:firstColumn="0" w:lastColumn="0" w:oddVBand="0" w:evenVBand="0" w:oddHBand="1" w:evenHBand="0" w:firstRowFirstColumn="0" w:firstRowLastColumn="0" w:lastRowFirstColumn="0" w:lastRowLastColumn="0"/>
          <w:trHeight w:val="20"/>
          <w:jc w:val="center"/>
        </w:trPr>
        <w:tc>
          <w:tcPr>
            <w:tcW w:w="3686" w:type="pct"/>
            <w:shd w:val="clear" w:color="auto" w:fill="E5DFEC" w:themeFill="accent4" w:themeFillTint="33"/>
            <w:hideMark/>
          </w:tcPr>
          <w:p w14:paraId="74BB4EF0" w14:textId="77777777" w:rsidR="00745274" w:rsidRPr="0012245D" w:rsidRDefault="00745274" w:rsidP="00745274">
            <w:pPr>
              <w:spacing w:before="40" w:after="40"/>
              <w:rPr>
                <w:rFonts w:ascii="Segoe UI Light" w:hAnsi="Segoe UI Light"/>
                <w:sz w:val="16"/>
                <w:szCs w:val="20"/>
              </w:rPr>
            </w:pPr>
            <w:r w:rsidRPr="0012245D">
              <w:rPr>
                <w:rFonts w:ascii="Segoe UI Light" w:hAnsi="Segoe UI Light"/>
                <w:sz w:val="16"/>
                <w:szCs w:val="20"/>
              </w:rPr>
              <w:t>Ekonomiski aktīvo iedzīvotāju skaits, tūkstošos</w:t>
            </w:r>
          </w:p>
        </w:tc>
        <w:tc>
          <w:tcPr>
            <w:tcW w:w="434" w:type="pct"/>
            <w:shd w:val="clear" w:color="auto" w:fill="E5DFEC" w:themeFill="accent4" w:themeFillTint="33"/>
            <w:hideMark/>
          </w:tcPr>
          <w:p w14:paraId="50D04A04" w14:textId="77777777" w:rsidR="00745274" w:rsidRPr="0012245D" w:rsidRDefault="00745274" w:rsidP="00745274">
            <w:pPr>
              <w:spacing w:before="40" w:after="40"/>
              <w:jc w:val="center"/>
              <w:rPr>
                <w:rFonts w:ascii="Segoe UI Light" w:hAnsi="Segoe UI Light"/>
                <w:sz w:val="16"/>
                <w:szCs w:val="20"/>
              </w:rPr>
            </w:pPr>
            <w:r>
              <w:rPr>
                <w:rFonts w:ascii="Segoe UI Light" w:hAnsi="Segoe UI Light"/>
                <w:sz w:val="16"/>
                <w:szCs w:val="20"/>
              </w:rPr>
              <w:t>945,7</w:t>
            </w:r>
          </w:p>
        </w:tc>
        <w:tc>
          <w:tcPr>
            <w:tcW w:w="444" w:type="pct"/>
            <w:shd w:val="clear" w:color="auto" w:fill="E5DFEC" w:themeFill="accent4" w:themeFillTint="33"/>
            <w:hideMark/>
          </w:tcPr>
          <w:p w14:paraId="61B46CF8" w14:textId="77777777" w:rsidR="00745274" w:rsidRPr="0012245D" w:rsidRDefault="00745274" w:rsidP="00745274">
            <w:pPr>
              <w:tabs>
                <w:tab w:val="decimal" w:pos="472"/>
              </w:tabs>
              <w:spacing w:before="40" w:after="40"/>
              <w:jc w:val="center"/>
              <w:rPr>
                <w:rFonts w:ascii="Segoe UI Light" w:hAnsi="Segoe UI Light"/>
                <w:sz w:val="16"/>
                <w:szCs w:val="20"/>
              </w:rPr>
            </w:pPr>
            <w:r>
              <w:rPr>
                <w:rFonts w:ascii="Segoe UI Light" w:hAnsi="Segoe UI Light"/>
                <w:sz w:val="16"/>
                <w:szCs w:val="20"/>
              </w:rPr>
              <w:t>960,1</w:t>
            </w:r>
          </w:p>
        </w:tc>
        <w:tc>
          <w:tcPr>
            <w:tcW w:w="435" w:type="pct"/>
            <w:shd w:val="clear" w:color="auto" w:fill="E5DFEC" w:themeFill="accent4" w:themeFillTint="33"/>
            <w:hideMark/>
          </w:tcPr>
          <w:p w14:paraId="61C5470D" w14:textId="77777777" w:rsidR="00745274" w:rsidRPr="0012245D" w:rsidRDefault="00745274" w:rsidP="00745274">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9</w:t>
            </w:r>
            <w:r>
              <w:rPr>
                <w:rFonts w:ascii="Segoe UI Light" w:hAnsi="Segoe UI Light"/>
                <w:sz w:val="16"/>
                <w:szCs w:val="20"/>
              </w:rPr>
              <w:t>36</w:t>
            </w:r>
            <w:r w:rsidRPr="003B4CDA">
              <w:rPr>
                <w:rFonts w:ascii="Segoe UI Light" w:hAnsi="Segoe UI Light"/>
                <w:sz w:val="16"/>
                <w:szCs w:val="20"/>
              </w:rPr>
              <w:t>,</w:t>
            </w:r>
            <w:r>
              <w:rPr>
                <w:rFonts w:ascii="Segoe UI Light" w:hAnsi="Segoe UI Light"/>
                <w:sz w:val="16"/>
                <w:szCs w:val="20"/>
              </w:rPr>
              <w:t>3</w:t>
            </w:r>
          </w:p>
        </w:tc>
      </w:tr>
      <w:tr w:rsidR="00745274" w:rsidRPr="0012245D" w14:paraId="53EC8500" w14:textId="77777777" w:rsidTr="00745274">
        <w:trPr>
          <w:trHeight w:val="20"/>
          <w:jc w:val="center"/>
        </w:trPr>
        <w:tc>
          <w:tcPr>
            <w:tcW w:w="3686" w:type="pct"/>
            <w:shd w:val="clear" w:color="auto" w:fill="CCC0D9" w:themeFill="accent4" w:themeFillTint="66"/>
            <w:hideMark/>
          </w:tcPr>
          <w:p w14:paraId="04597E25" w14:textId="77777777" w:rsidR="00745274" w:rsidRPr="0012245D" w:rsidRDefault="00745274" w:rsidP="00745274">
            <w:pPr>
              <w:spacing w:before="40" w:after="40"/>
              <w:rPr>
                <w:rFonts w:ascii="Segoe UI Light" w:hAnsi="Segoe UI Light"/>
                <w:sz w:val="16"/>
                <w:szCs w:val="20"/>
              </w:rPr>
            </w:pPr>
            <w:r w:rsidRPr="0012245D">
              <w:rPr>
                <w:rFonts w:ascii="Segoe UI Light" w:hAnsi="Segoe UI Light"/>
                <w:sz w:val="16"/>
                <w:szCs w:val="20"/>
              </w:rPr>
              <w:t>Darba meklētāju skaits, tūkstošos</w:t>
            </w:r>
          </w:p>
        </w:tc>
        <w:tc>
          <w:tcPr>
            <w:tcW w:w="434" w:type="pct"/>
            <w:shd w:val="clear" w:color="auto" w:fill="CCC0D9" w:themeFill="accent4" w:themeFillTint="66"/>
            <w:hideMark/>
          </w:tcPr>
          <w:p w14:paraId="7848F687" w14:textId="77777777" w:rsidR="00745274" w:rsidRPr="0012245D" w:rsidRDefault="00745274" w:rsidP="00745274">
            <w:pPr>
              <w:spacing w:before="40" w:after="40"/>
              <w:jc w:val="center"/>
              <w:rPr>
                <w:rFonts w:ascii="Segoe UI Light" w:hAnsi="Segoe UI Light"/>
                <w:sz w:val="16"/>
                <w:szCs w:val="20"/>
              </w:rPr>
            </w:pPr>
            <w:r>
              <w:rPr>
                <w:rFonts w:ascii="Segoe UI Light" w:hAnsi="Segoe UI Light"/>
                <w:sz w:val="16"/>
                <w:szCs w:val="20"/>
              </w:rPr>
              <w:t>61,5</w:t>
            </w:r>
          </w:p>
        </w:tc>
        <w:tc>
          <w:tcPr>
            <w:tcW w:w="444" w:type="pct"/>
            <w:shd w:val="clear" w:color="auto" w:fill="CCC0D9" w:themeFill="accent4" w:themeFillTint="66"/>
            <w:hideMark/>
          </w:tcPr>
          <w:p w14:paraId="222695E0" w14:textId="77777777" w:rsidR="00745274" w:rsidRPr="0012245D" w:rsidRDefault="00745274" w:rsidP="00745274">
            <w:pPr>
              <w:tabs>
                <w:tab w:val="decimal" w:pos="472"/>
              </w:tabs>
              <w:spacing w:before="40" w:after="40"/>
              <w:jc w:val="center"/>
              <w:rPr>
                <w:rFonts w:ascii="Segoe UI Light" w:hAnsi="Segoe UI Light"/>
                <w:sz w:val="16"/>
                <w:szCs w:val="20"/>
              </w:rPr>
            </w:pPr>
            <w:r w:rsidRPr="003B4CDA">
              <w:rPr>
                <w:rFonts w:ascii="Segoe UI Light" w:hAnsi="Segoe UI Light"/>
                <w:sz w:val="16"/>
                <w:szCs w:val="20"/>
              </w:rPr>
              <w:t>52,</w:t>
            </w:r>
            <w:r>
              <w:rPr>
                <w:rFonts w:ascii="Segoe UI Light" w:hAnsi="Segoe UI Light"/>
                <w:sz w:val="16"/>
                <w:szCs w:val="20"/>
              </w:rPr>
              <w:t>3</w:t>
            </w:r>
          </w:p>
        </w:tc>
        <w:tc>
          <w:tcPr>
            <w:tcW w:w="435" w:type="pct"/>
            <w:shd w:val="clear" w:color="auto" w:fill="CCC0D9" w:themeFill="accent4" w:themeFillTint="66"/>
            <w:hideMark/>
          </w:tcPr>
          <w:p w14:paraId="3D507D87" w14:textId="77777777" w:rsidR="00745274" w:rsidRPr="0012245D" w:rsidRDefault="00745274" w:rsidP="00745274">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4</w:t>
            </w:r>
            <w:r>
              <w:rPr>
                <w:rFonts w:ascii="Segoe UI Light" w:hAnsi="Segoe UI Light"/>
                <w:sz w:val="16"/>
                <w:szCs w:val="20"/>
              </w:rPr>
              <w:t>6</w:t>
            </w:r>
            <w:r w:rsidRPr="003B4CDA">
              <w:rPr>
                <w:rFonts w:ascii="Segoe UI Light" w:hAnsi="Segoe UI Light"/>
                <w:sz w:val="16"/>
                <w:szCs w:val="20"/>
              </w:rPr>
              <w:t>,</w:t>
            </w:r>
            <w:r>
              <w:rPr>
                <w:rFonts w:ascii="Segoe UI Light" w:hAnsi="Segoe UI Light"/>
                <w:sz w:val="16"/>
                <w:szCs w:val="20"/>
              </w:rPr>
              <w:t>4</w:t>
            </w:r>
          </w:p>
        </w:tc>
      </w:tr>
      <w:tr w:rsidR="00745274" w:rsidRPr="0012245D" w14:paraId="0B4D4B59" w14:textId="77777777" w:rsidTr="00745274">
        <w:trPr>
          <w:cnfStyle w:val="000000100000" w:firstRow="0" w:lastRow="0" w:firstColumn="0" w:lastColumn="0" w:oddVBand="0" w:evenVBand="0" w:oddHBand="1" w:evenHBand="0" w:firstRowFirstColumn="0" w:firstRowLastColumn="0" w:lastRowFirstColumn="0" w:lastRowLastColumn="0"/>
          <w:trHeight w:val="20"/>
          <w:jc w:val="center"/>
        </w:trPr>
        <w:tc>
          <w:tcPr>
            <w:tcW w:w="3686" w:type="pct"/>
            <w:shd w:val="clear" w:color="auto" w:fill="E5DFEC" w:themeFill="accent4" w:themeFillTint="33"/>
            <w:hideMark/>
          </w:tcPr>
          <w:p w14:paraId="33B72C7D" w14:textId="77777777" w:rsidR="00745274" w:rsidRPr="0012245D" w:rsidRDefault="00745274" w:rsidP="00745274">
            <w:pPr>
              <w:spacing w:before="40" w:after="40"/>
              <w:rPr>
                <w:rFonts w:ascii="Segoe UI Light" w:hAnsi="Segoe UI Light"/>
                <w:sz w:val="16"/>
                <w:szCs w:val="20"/>
              </w:rPr>
            </w:pPr>
            <w:r w:rsidRPr="0012245D">
              <w:rPr>
                <w:rFonts w:ascii="Segoe UI Light" w:hAnsi="Segoe UI Light"/>
                <w:sz w:val="16"/>
                <w:szCs w:val="20"/>
              </w:rPr>
              <w:t>Nodarbinātības līmenis, nodarbināto skaits pret kopējo iedzīvotāju skaitu</w:t>
            </w:r>
          </w:p>
        </w:tc>
        <w:tc>
          <w:tcPr>
            <w:tcW w:w="434" w:type="pct"/>
            <w:shd w:val="clear" w:color="auto" w:fill="E5DFEC" w:themeFill="accent4" w:themeFillTint="33"/>
            <w:hideMark/>
          </w:tcPr>
          <w:p w14:paraId="153288EF" w14:textId="77777777" w:rsidR="00745274" w:rsidRPr="0012245D" w:rsidRDefault="00745274" w:rsidP="00745274">
            <w:pPr>
              <w:spacing w:before="40" w:after="40"/>
              <w:jc w:val="center"/>
              <w:rPr>
                <w:rFonts w:ascii="Segoe UI Light" w:hAnsi="Segoe UI Light"/>
                <w:sz w:val="16"/>
                <w:szCs w:val="20"/>
              </w:rPr>
            </w:pPr>
            <w:r>
              <w:rPr>
                <w:rFonts w:ascii="Segoe UI Light" w:hAnsi="Segoe UI Light"/>
                <w:sz w:val="16"/>
                <w:szCs w:val="20"/>
              </w:rPr>
              <w:t>64,2</w:t>
            </w:r>
          </w:p>
        </w:tc>
        <w:tc>
          <w:tcPr>
            <w:tcW w:w="444" w:type="pct"/>
            <w:shd w:val="clear" w:color="auto" w:fill="E5DFEC" w:themeFill="accent4" w:themeFillTint="33"/>
            <w:hideMark/>
          </w:tcPr>
          <w:p w14:paraId="4EBC0447" w14:textId="77777777" w:rsidR="00745274" w:rsidRPr="0012245D" w:rsidRDefault="00745274" w:rsidP="00745274">
            <w:pPr>
              <w:tabs>
                <w:tab w:val="decimal" w:pos="472"/>
              </w:tabs>
              <w:spacing w:before="40" w:after="40"/>
              <w:jc w:val="center"/>
              <w:rPr>
                <w:rFonts w:ascii="Segoe UI Light" w:hAnsi="Segoe UI Light"/>
                <w:sz w:val="16"/>
                <w:szCs w:val="20"/>
              </w:rPr>
            </w:pPr>
            <w:r>
              <w:rPr>
                <w:rFonts w:ascii="Segoe UI Light" w:hAnsi="Segoe UI Light"/>
                <w:sz w:val="16"/>
                <w:szCs w:val="20"/>
              </w:rPr>
              <w:t>68,6</w:t>
            </w:r>
          </w:p>
        </w:tc>
        <w:tc>
          <w:tcPr>
            <w:tcW w:w="435" w:type="pct"/>
            <w:shd w:val="clear" w:color="auto" w:fill="E5DFEC" w:themeFill="accent4" w:themeFillTint="33"/>
            <w:hideMark/>
          </w:tcPr>
          <w:p w14:paraId="1DFCEE43" w14:textId="77777777" w:rsidR="00745274" w:rsidRPr="0012245D" w:rsidRDefault="00745274" w:rsidP="00745274">
            <w:pPr>
              <w:tabs>
                <w:tab w:val="decimal" w:pos="452"/>
              </w:tabs>
              <w:spacing w:before="40" w:after="40"/>
              <w:jc w:val="center"/>
              <w:rPr>
                <w:rFonts w:ascii="Segoe UI Light" w:hAnsi="Segoe UI Light"/>
                <w:sz w:val="16"/>
                <w:szCs w:val="20"/>
              </w:rPr>
            </w:pPr>
            <w:r>
              <w:rPr>
                <w:rFonts w:ascii="Segoe UI Light" w:hAnsi="Segoe UI Light"/>
                <w:sz w:val="16"/>
                <w:szCs w:val="20"/>
              </w:rPr>
              <w:t>70,6</w:t>
            </w:r>
          </w:p>
        </w:tc>
      </w:tr>
      <w:tr w:rsidR="00745274" w:rsidRPr="0012245D" w14:paraId="1C5E7A31" w14:textId="77777777" w:rsidTr="00745274">
        <w:trPr>
          <w:trHeight w:val="20"/>
          <w:jc w:val="center"/>
        </w:trPr>
        <w:tc>
          <w:tcPr>
            <w:tcW w:w="3686" w:type="pct"/>
            <w:shd w:val="clear" w:color="auto" w:fill="CCC0D9" w:themeFill="accent4" w:themeFillTint="66"/>
            <w:hideMark/>
          </w:tcPr>
          <w:p w14:paraId="2F5041FE" w14:textId="77777777" w:rsidR="00745274" w:rsidRPr="0012245D" w:rsidRDefault="00745274" w:rsidP="00745274">
            <w:pPr>
              <w:spacing w:before="40" w:after="40"/>
              <w:rPr>
                <w:rFonts w:ascii="Segoe UI Light" w:hAnsi="Segoe UI Light"/>
                <w:sz w:val="16"/>
                <w:szCs w:val="20"/>
              </w:rPr>
            </w:pPr>
            <w:r w:rsidRPr="0012245D">
              <w:rPr>
                <w:rFonts w:ascii="Segoe UI Light" w:hAnsi="Segoe UI Light"/>
                <w:sz w:val="16"/>
                <w:szCs w:val="20"/>
              </w:rPr>
              <w:t>Līdzdalības līmenis, ekonomiski aktīvo iedzīvotāju skaits pret kopējo iedzīvotāju skaitu</w:t>
            </w:r>
          </w:p>
        </w:tc>
        <w:tc>
          <w:tcPr>
            <w:tcW w:w="434" w:type="pct"/>
            <w:shd w:val="clear" w:color="auto" w:fill="CCC0D9" w:themeFill="accent4" w:themeFillTint="66"/>
            <w:hideMark/>
          </w:tcPr>
          <w:p w14:paraId="35006AA4" w14:textId="77777777" w:rsidR="00745274" w:rsidRPr="0012245D" w:rsidRDefault="00745274" w:rsidP="00745274">
            <w:pPr>
              <w:spacing w:before="40" w:after="40"/>
              <w:jc w:val="center"/>
              <w:rPr>
                <w:rFonts w:ascii="Segoe UI Light" w:hAnsi="Segoe UI Light"/>
                <w:sz w:val="16"/>
                <w:szCs w:val="20"/>
              </w:rPr>
            </w:pPr>
            <w:r>
              <w:rPr>
                <w:rFonts w:ascii="Segoe UI Light" w:hAnsi="Segoe UI Light"/>
                <w:sz w:val="16"/>
                <w:szCs w:val="20"/>
              </w:rPr>
              <w:t>68,6</w:t>
            </w:r>
          </w:p>
        </w:tc>
        <w:tc>
          <w:tcPr>
            <w:tcW w:w="444" w:type="pct"/>
            <w:shd w:val="clear" w:color="auto" w:fill="CCC0D9" w:themeFill="accent4" w:themeFillTint="66"/>
            <w:hideMark/>
          </w:tcPr>
          <w:p w14:paraId="6C07E659" w14:textId="77777777" w:rsidR="00745274" w:rsidRPr="0012245D" w:rsidRDefault="00745274" w:rsidP="00745274">
            <w:pPr>
              <w:tabs>
                <w:tab w:val="decimal" w:pos="472"/>
              </w:tabs>
              <w:spacing w:before="40" w:after="40"/>
              <w:jc w:val="center"/>
              <w:rPr>
                <w:rFonts w:ascii="Segoe UI Light" w:hAnsi="Segoe UI Light"/>
                <w:sz w:val="16"/>
                <w:szCs w:val="20"/>
              </w:rPr>
            </w:pPr>
            <w:r>
              <w:rPr>
                <w:rFonts w:ascii="Segoe UI Light" w:hAnsi="Segoe UI Light"/>
                <w:sz w:val="16"/>
                <w:szCs w:val="20"/>
              </w:rPr>
              <w:t>72,5</w:t>
            </w:r>
          </w:p>
        </w:tc>
        <w:tc>
          <w:tcPr>
            <w:tcW w:w="435" w:type="pct"/>
            <w:shd w:val="clear" w:color="auto" w:fill="CCC0D9" w:themeFill="accent4" w:themeFillTint="66"/>
            <w:hideMark/>
          </w:tcPr>
          <w:p w14:paraId="061CDD32" w14:textId="77777777" w:rsidR="00745274" w:rsidRPr="0012245D" w:rsidRDefault="00745274" w:rsidP="00745274">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74,</w:t>
            </w:r>
            <w:r>
              <w:rPr>
                <w:rFonts w:ascii="Segoe UI Light" w:hAnsi="Segoe UI Light"/>
                <w:sz w:val="16"/>
                <w:szCs w:val="20"/>
              </w:rPr>
              <w:t>3</w:t>
            </w:r>
          </w:p>
        </w:tc>
      </w:tr>
      <w:tr w:rsidR="00745274" w:rsidRPr="0012245D" w14:paraId="3E3FA728" w14:textId="77777777" w:rsidTr="00745274">
        <w:trPr>
          <w:cnfStyle w:val="000000100000" w:firstRow="0" w:lastRow="0" w:firstColumn="0" w:lastColumn="0" w:oddVBand="0" w:evenVBand="0" w:oddHBand="1" w:evenHBand="0" w:firstRowFirstColumn="0" w:firstRowLastColumn="0" w:lastRowFirstColumn="0" w:lastRowLastColumn="0"/>
          <w:trHeight w:val="20"/>
          <w:jc w:val="center"/>
        </w:trPr>
        <w:tc>
          <w:tcPr>
            <w:tcW w:w="3686" w:type="pct"/>
            <w:shd w:val="clear" w:color="auto" w:fill="E5DFEC" w:themeFill="accent4" w:themeFillTint="33"/>
            <w:hideMark/>
          </w:tcPr>
          <w:p w14:paraId="6F827806" w14:textId="77777777" w:rsidR="00745274" w:rsidRPr="0012245D" w:rsidRDefault="00745274" w:rsidP="00745274">
            <w:pPr>
              <w:spacing w:before="40" w:after="40"/>
              <w:rPr>
                <w:rFonts w:ascii="Segoe UI Light" w:hAnsi="Segoe UI Light"/>
                <w:sz w:val="16"/>
                <w:szCs w:val="20"/>
              </w:rPr>
            </w:pPr>
            <w:r w:rsidRPr="0012245D">
              <w:rPr>
                <w:rFonts w:ascii="Segoe UI Light" w:hAnsi="Segoe UI Light"/>
                <w:sz w:val="16"/>
                <w:szCs w:val="20"/>
              </w:rPr>
              <w:t>Bezdarba līmenis, bezdarbnieku (darba meklētāju) īpatsvars ekonomiski aktīvo iedzīvotāju skaitā</w:t>
            </w:r>
          </w:p>
        </w:tc>
        <w:tc>
          <w:tcPr>
            <w:tcW w:w="434" w:type="pct"/>
            <w:shd w:val="clear" w:color="auto" w:fill="E5DFEC" w:themeFill="accent4" w:themeFillTint="33"/>
            <w:hideMark/>
          </w:tcPr>
          <w:p w14:paraId="7B43704B" w14:textId="77777777" w:rsidR="00745274" w:rsidRPr="0012245D" w:rsidRDefault="00745274" w:rsidP="00745274">
            <w:pPr>
              <w:spacing w:before="40" w:after="40"/>
              <w:jc w:val="center"/>
              <w:rPr>
                <w:rFonts w:ascii="Segoe UI Light" w:hAnsi="Segoe UI Light"/>
                <w:sz w:val="16"/>
                <w:szCs w:val="20"/>
              </w:rPr>
            </w:pPr>
            <w:r>
              <w:rPr>
                <w:rFonts w:ascii="Segoe UI Light" w:hAnsi="Segoe UI Light"/>
                <w:sz w:val="16"/>
                <w:szCs w:val="20"/>
              </w:rPr>
              <w:t>6,5</w:t>
            </w:r>
          </w:p>
        </w:tc>
        <w:tc>
          <w:tcPr>
            <w:tcW w:w="444" w:type="pct"/>
            <w:shd w:val="clear" w:color="auto" w:fill="E5DFEC" w:themeFill="accent4" w:themeFillTint="33"/>
            <w:hideMark/>
          </w:tcPr>
          <w:p w14:paraId="6537DFA9" w14:textId="77777777" w:rsidR="00745274" w:rsidRPr="0012245D" w:rsidRDefault="00745274" w:rsidP="00745274">
            <w:pPr>
              <w:tabs>
                <w:tab w:val="decimal" w:pos="472"/>
              </w:tabs>
              <w:spacing w:before="40" w:after="40"/>
              <w:jc w:val="center"/>
              <w:rPr>
                <w:rFonts w:ascii="Segoe UI Light" w:hAnsi="Segoe UI Light"/>
                <w:sz w:val="16"/>
                <w:szCs w:val="20"/>
              </w:rPr>
            </w:pPr>
            <w:r w:rsidRPr="003B4CDA">
              <w:rPr>
                <w:rFonts w:ascii="Segoe UI Light" w:hAnsi="Segoe UI Light"/>
                <w:sz w:val="16"/>
                <w:szCs w:val="20"/>
              </w:rPr>
              <w:t>5,</w:t>
            </w:r>
            <w:r>
              <w:rPr>
                <w:rFonts w:ascii="Segoe UI Light" w:hAnsi="Segoe UI Light"/>
                <w:sz w:val="16"/>
                <w:szCs w:val="20"/>
              </w:rPr>
              <w:t>5</w:t>
            </w:r>
          </w:p>
        </w:tc>
        <w:tc>
          <w:tcPr>
            <w:tcW w:w="435" w:type="pct"/>
            <w:shd w:val="clear" w:color="auto" w:fill="E5DFEC" w:themeFill="accent4" w:themeFillTint="33"/>
            <w:hideMark/>
          </w:tcPr>
          <w:p w14:paraId="2B8C3E52" w14:textId="77777777" w:rsidR="00745274" w:rsidRPr="0012245D" w:rsidRDefault="00745274" w:rsidP="00745274">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5,0</w:t>
            </w:r>
          </w:p>
        </w:tc>
      </w:tr>
    </w:tbl>
    <w:p w14:paraId="2AFC7B6E" w14:textId="09EC55AA" w:rsidR="00745274" w:rsidRPr="00024B8C" w:rsidRDefault="00745274" w:rsidP="00745274">
      <w:pPr>
        <w:spacing w:before="120" w:after="120"/>
        <w:jc w:val="both"/>
        <w:rPr>
          <w:rFonts w:cs="Calibri Light"/>
          <w:sz w:val="16"/>
          <w:szCs w:val="14"/>
        </w:rPr>
      </w:pPr>
      <w:r w:rsidRPr="00024B8C">
        <w:rPr>
          <w:rFonts w:cs="Calibri Light"/>
          <w:sz w:val="16"/>
          <w:szCs w:val="14"/>
        </w:rPr>
        <w:t>Avots: CSP dati 202</w:t>
      </w:r>
      <w:r>
        <w:rPr>
          <w:rFonts w:cs="Calibri Light"/>
          <w:sz w:val="16"/>
          <w:szCs w:val="14"/>
        </w:rPr>
        <w:t>3</w:t>
      </w:r>
      <w:r w:rsidRPr="00024B8C">
        <w:rPr>
          <w:rFonts w:cs="Calibri Light"/>
          <w:sz w:val="16"/>
          <w:szCs w:val="14"/>
        </w:rPr>
        <w:t>.</w:t>
      </w:r>
      <w:r w:rsidR="00B566DE">
        <w:rPr>
          <w:rFonts w:cs="Calibri Light"/>
          <w:sz w:val="16"/>
          <w:szCs w:val="14"/>
        </w:rPr>
        <w:t> </w:t>
      </w:r>
      <w:r w:rsidRPr="00024B8C">
        <w:rPr>
          <w:rFonts w:cs="Calibri Light"/>
          <w:sz w:val="16"/>
          <w:szCs w:val="14"/>
        </w:rPr>
        <w:t>gadam, EM prognozes 2030. un 2040.</w:t>
      </w:r>
      <w:r w:rsidR="00B566DE">
        <w:rPr>
          <w:rFonts w:cs="Calibri Light"/>
          <w:sz w:val="16"/>
          <w:szCs w:val="14"/>
        </w:rPr>
        <w:t> </w:t>
      </w:r>
      <w:r w:rsidRPr="00024B8C">
        <w:rPr>
          <w:rFonts w:cs="Calibri Light"/>
          <w:sz w:val="16"/>
          <w:szCs w:val="14"/>
        </w:rPr>
        <w:t>gadam</w:t>
      </w:r>
    </w:p>
    <w:p w14:paraId="0A690550" w14:textId="77777777" w:rsidR="00745274" w:rsidRDefault="00745274" w:rsidP="00745274">
      <w:pPr>
        <w:spacing w:after="120"/>
        <w:rPr>
          <w:b/>
          <w:szCs w:val="20"/>
        </w:rPr>
      </w:pPr>
    </w:p>
    <w:p w14:paraId="2CF92173" w14:textId="08E31353" w:rsidR="00745274" w:rsidRPr="00DC13E6" w:rsidRDefault="00745274" w:rsidP="00745274">
      <w:pPr>
        <w:spacing w:after="120"/>
        <w:rPr>
          <w:b/>
          <w:szCs w:val="20"/>
        </w:rPr>
      </w:pPr>
      <w:r w:rsidRPr="00DC13E6">
        <w:rPr>
          <w:b/>
          <w:szCs w:val="20"/>
        </w:rPr>
        <w:t>Atbilstība pa izglītības tematiskajām grupām</w:t>
      </w:r>
    </w:p>
    <w:p w14:paraId="6C850E91" w14:textId="4A9F126E" w:rsidR="00745274" w:rsidRPr="00DC13E6" w:rsidRDefault="00745274" w:rsidP="00745274">
      <w:pPr>
        <w:spacing w:after="120"/>
        <w:jc w:val="both"/>
        <w:rPr>
          <w:szCs w:val="20"/>
        </w:rPr>
      </w:pPr>
      <w:r w:rsidRPr="00DC13E6">
        <w:rPr>
          <w:szCs w:val="20"/>
        </w:rPr>
        <w:t>Līdz 2040.</w:t>
      </w:r>
      <w:r w:rsidR="00B566DE">
        <w:rPr>
          <w:szCs w:val="20"/>
        </w:rPr>
        <w:t> </w:t>
      </w:r>
      <w:r w:rsidRPr="00DC13E6">
        <w:rPr>
          <w:szCs w:val="20"/>
        </w:rPr>
        <w:t>gadam darbaspēka pieprasījums turpinās pārkārtoties par labu pieprasījumam pēc speciālistiem ar augstāko izglītību. Līdzīgas tendences būs vērojamas arī piedāvājuma pusē. Vienlaikus darbaspēka pieprasījuma un piedāvājuma attiecība nebūs vienlīdz vienāda visos izglītības segmentos.</w:t>
      </w:r>
    </w:p>
    <w:p w14:paraId="478CD00E" w14:textId="77777777" w:rsidR="00745274" w:rsidRPr="00DC13E6" w:rsidRDefault="00745274" w:rsidP="00745274">
      <w:pPr>
        <w:spacing w:after="120"/>
        <w:jc w:val="right"/>
        <w:rPr>
          <w:szCs w:val="26"/>
        </w:rPr>
      </w:pPr>
      <w:r w:rsidRPr="00DC13E6">
        <w:rPr>
          <w:szCs w:val="26"/>
        </w:rPr>
        <w:t>3.13. attēls</w:t>
      </w:r>
    </w:p>
    <w:p w14:paraId="00167AD6" w14:textId="77777777" w:rsidR="00745274" w:rsidRPr="00DC13E6" w:rsidRDefault="00745274" w:rsidP="00745274">
      <w:pPr>
        <w:spacing w:after="0"/>
        <w:jc w:val="center"/>
        <w:rPr>
          <w:rFonts w:ascii="Segoe UI Light" w:hAnsi="Segoe UI Light"/>
          <w:b/>
          <w:sz w:val="18"/>
          <w:szCs w:val="26"/>
        </w:rPr>
      </w:pPr>
      <w:r w:rsidRPr="00DC13E6">
        <w:rPr>
          <w:rFonts w:ascii="Segoe UI Light" w:hAnsi="Segoe UI Light"/>
          <w:b/>
          <w:sz w:val="18"/>
          <w:szCs w:val="26"/>
        </w:rPr>
        <w:t>Prognozējamais darbaspēka pārpalikums/iztrūkums un absolventu skaits pa izglītības posmiem un jomām</w:t>
      </w:r>
    </w:p>
    <w:p w14:paraId="79731DBC" w14:textId="77777777" w:rsidR="00745274" w:rsidRPr="00DC13E6" w:rsidRDefault="00745274" w:rsidP="00745274">
      <w:pPr>
        <w:spacing w:after="120"/>
        <w:jc w:val="center"/>
        <w:rPr>
          <w:rFonts w:ascii="Segoe UI Light" w:hAnsi="Segoe UI Light"/>
          <w:i/>
          <w:sz w:val="16"/>
          <w:szCs w:val="26"/>
        </w:rPr>
      </w:pPr>
      <w:r w:rsidRPr="00DC13E6">
        <w:rPr>
          <w:rFonts w:ascii="Segoe UI Light" w:hAnsi="Segoe UI Light"/>
          <w:i/>
          <w:sz w:val="16"/>
          <w:szCs w:val="26"/>
        </w:rPr>
        <w:t>piedāvājuma un pieprasījuma starpība 2030.gadā, absolventu skaits 2023.gadā</w:t>
      </w:r>
    </w:p>
    <w:p w14:paraId="5048A5C4" w14:textId="140646D1" w:rsidR="00745274" w:rsidRDefault="00F01887" w:rsidP="00745274">
      <w:pPr>
        <w:jc w:val="center"/>
        <w:rPr>
          <w:noProof/>
          <w:szCs w:val="20"/>
        </w:rPr>
      </w:pPr>
      <w:r w:rsidRPr="00DC13E6">
        <w:t xml:space="preserve"> </w:t>
      </w:r>
      <w:r w:rsidR="00745274">
        <w:rPr>
          <w:noProof/>
          <w:szCs w:val="20"/>
        </w:rPr>
        <w:drawing>
          <wp:inline distT="0" distB="0" distL="0" distR="0" wp14:anchorId="6DA0AE82" wp14:editId="4853A5D1">
            <wp:extent cx="5722620" cy="3321915"/>
            <wp:effectExtent l="0" t="0" r="0" b="0"/>
            <wp:docPr id="505026930" name="Picture 50502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37870" cy="3330768"/>
                    </a:xfrm>
                    <a:prstGeom prst="rect">
                      <a:avLst/>
                    </a:prstGeom>
                    <a:noFill/>
                  </pic:spPr>
                </pic:pic>
              </a:graphicData>
            </a:graphic>
          </wp:inline>
        </w:drawing>
      </w:r>
    </w:p>
    <w:p w14:paraId="03B5B9AC" w14:textId="287C5DC8" w:rsidR="00745274" w:rsidRPr="00024B8C" w:rsidRDefault="00745274" w:rsidP="00745274">
      <w:pPr>
        <w:spacing w:after="0"/>
        <w:rPr>
          <w:rFonts w:cs="Calibri Light"/>
          <w:sz w:val="16"/>
          <w:szCs w:val="14"/>
        </w:rPr>
      </w:pPr>
      <w:r w:rsidRPr="00024B8C">
        <w:rPr>
          <w:rFonts w:cs="Calibri Light"/>
          <w:sz w:val="16"/>
          <w:szCs w:val="14"/>
        </w:rPr>
        <w:t>* EM novērtējums, no 202</w:t>
      </w:r>
      <w:r>
        <w:rPr>
          <w:rFonts w:cs="Calibri Light"/>
          <w:sz w:val="16"/>
          <w:szCs w:val="14"/>
        </w:rPr>
        <w:t>3</w:t>
      </w:r>
      <w:r w:rsidRPr="00024B8C">
        <w:rPr>
          <w:rFonts w:cs="Calibri Light"/>
          <w:sz w:val="16"/>
          <w:szCs w:val="14"/>
        </w:rPr>
        <w:t>.</w:t>
      </w:r>
      <w:r w:rsidR="000F4966">
        <w:rPr>
          <w:rFonts w:cs="Calibri Light"/>
          <w:sz w:val="16"/>
          <w:szCs w:val="14"/>
        </w:rPr>
        <w:t> </w:t>
      </w:r>
      <w:r w:rsidRPr="00024B8C">
        <w:rPr>
          <w:rFonts w:cs="Calibri Light"/>
          <w:sz w:val="16"/>
          <w:szCs w:val="14"/>
        </w:rPr>
        <w:t>gadā beigušu skaita.</w:t>
      </w:r>
      <w:r w:rsidRPr="00024B8C">
        <w:rPr>
          <w:rFonts w:cs="Calibri Light"/>
          <w:sz w:val="16"/>
          <w:szCs w:val="14"/>
        </w:rPr>
        <w:br/>
        <w:t>Avots: CSP dati 202</w:t>
      </w:r>
      <w:r>
        <w:rPr>
          <w:rFonts w:cs="Calibri Light"/>
          <w:sz w:val="16"/>
          <w:szCs w:val="14"/>
        </w:rPr>
        <w:t>3</w:t>
      </w:r>
      <w:r w:rsidRPr="00024B8C">
        <w:rPr>
          <w:rFonts w:cs="Calibri Light"/>
          <w:sz w:val="16"/>
          <w:szCs w:val="14"/>
        </w:rPr>
        <w:t>.</w:t>
      </w:r>
      <w:r w:rsidR="000F4966">
        <w:rPr>
          <w:rFonts w:cs="Calibri Light"/>
          <w:sz w:val="16"/>
          <w:szCs w:val="14"/>
        </w:rPr>
        <w:t xml:space="preserve"> </w:t>
      </w:r>
      <w:r w:rsidRPr="00024B8C">
        <w:rPr>
          <w:rFonts w:cs="Calibri Light"/>
          <w:sz w:val="16"/>
          <w:szCs w:val="14"/>
        </w:rPr>
        <w:t>gadam, EM prognozes 2030.</w:t>
      </w:r>
      <w:r w:rsidR="000F4966">
        <w:rPr>
          <w:rFonts w:cs="Calibri Light"/>
          <w:sz w:val="16"/>
          <w:szCs w:val="14"/>
        </w:rPr>
        <w:t> </w:t>
      </w:r>
      <w:r w:rsidRPr="00024B8C">
        <w:rPr>
          <w:rFonts w:cs="Calibri Light"/>
          <w:sz w:val="16"/>
          <w:szCs w:val="14"/>
        </w:rPr>
        <w:t>gadam</w:t>
      </w:r>
      <w:r w:rsidR="000F4966">
        <w:rPr>
          <w:rFonts w:cs="Calibri Light"/>
          <w:sz w:val="16"/>
          <w:szCs w:val="14"/>
        </w:rPr>
        <w:t>. p2022 – 2022. gada EM vidēja un ilgtermiņa prognozes.</w:t>
      </w:r>
    </w:p>
    <w:p w14:paraId="29DE6F01" w14:textId="46267788" w:rsidR="00745274" w:rsidRDefault="00745274" w:rsidP="00343F74">
      <w:pPr>
        <w:spacing w:after="120"/>
        <w:jc w:val="both"/>
      </w:pPr>
    </w:p>
    <w:p w14:paraId="2FBF516B" w14:textId="5392DE3A" w:rsidR="000F4966" w:rsidRPr="00DC13E6" w:rsidRDefault="000F4966" w:rsidP="000F4966">
      <w:pPr>
        <w:spacing w:after="120"/>
        <w:jc w:val="both"/>
      </w:pPr>
      <w:r w:rsidRPr="00E717C8">
        <w:t xml:space="preserve">Kopumā gan vidējā, gan ilgtermiņā augstākās kvalifikācijas darbaspēka pieprasījums un piedāvājums būs tuvu </w:t>
      </w:r>
      <w:r w:rsidRPr="00DC13E6">
        <w:t>līdzsvaram, kas nozīmē, ka manevra iespējas attiecībā uz augstākās kvalifikācijas darbaspēka piesaisti būs ierobežotas. Būtiskākā darbaspēka nepietiekamība augstākās kvalifikācijas darbaspēka segmentā var veidoties pēc speciālistiem ar STEM izglītību (līdz 2030.</w:t>
      </w:r>
      <w:r w:rsidR="00B566DE">
        <w:t> </w:t>
      </w:r>
      <w:r w:rsidRPr="00DC13E6">
        <w:t xml:space="preserve">gadam iztrūkums pēc augstākās kvalifikācijas speciālistiem </w:t>
      </w:r>
      <w:proofErr w:type="spellStart"/>
      <w:r w:rsidRPr="00DC13E6">
        <w:t>Svirzienos</w:t>
      </w:r>
      <w:proofErr w:type="spellEnd"/>
      <w:r w:rsidRPr="00DC13E6">
        <w:t xml:space="preserve"> var pieaugt līdz ~10,1 tūkst.), savukārt darbaspēka pārpalikums sagaidāms starp speciālistiem ar sociālās un </w:t>
      </w:r>
      <w:r w:rsidRPr="00DC13E6">
        <w:lastRenderedPageBreak/>
        <w:t xml:space="preserve">humanitārās zinātnēs iegūtu izglītību - līdz 2030.gadam darbaspēka pārpalikums ar augstāko izglītību sociālo, </w:t>
      </w:r>
      <w:proofErr w:type="spellStart"/>
      <w:r w:rsidRPr="00DC13E6">
        <w:t>komerczinību</w:t>
      </w:r>
      <w:proofErr w:type="spellEnd"/>
      <w:r w:rsidRPr="00DC13E6">
        <w:t xml:space="preserve"> un humanitāro zinātņu tematiskajās jomās var sasniegt ~12,5 tūkst.</w:t>
      </w:r>
    </w:p>
    <w:p w14:paraId="59A3496A" w14:textId="03982E5A" w:rsidR="000F4966" w:rsidRPr="00DC13E6" w:rsidRDefault="000F4966" w:rsidP="000F4966">
      <w:pPr>
        <w:spacing w:after="120"/>
        <w:jc w:val="both"/>
      </w:pPr>
      <w:r w:rsidRPr="00DC13E6">
        <w:t>Salīdzinot ar 2022. gada EM vidēja un ilgtermiņa darba tirgus prognozēm, prognozējamais darbaspēka iztrūkums pēc speciālistiem ar STEM izglītību pieaudzis par gandrīz 1 tūkst. (2022.</w:t>
      </w:r>
      <w:r w:rsidR="00B566DE">
        <w:t> </w:t>
      </w:r>
      <w:r w:rsidRPr="00DC13E6">
        <w:t>gada prognozēs: ~9,1 tūkst. 2030.</w:t>
      </w:r>
      <w:r w:rsidR="00B566DE">
        <w:t> </w:t>
      </w:r>
      <w:r w:rsidRPr="00DC13E6">
        <w:t>gadā). Darbaspēka iztrūkuma pieaugumu veicinājis galvenokārt piedāvājuma puses faktori - straujāks darbaspēka piedāvājuma sarukums ar STEM izglītību, salīdzinot ar 2022.</w:t>
      </w:r>
      <w:r w:rsidR="00B566DE">
        <w:t> </w:t>
      </w:r>
      <w:r w:rsidRPr="00DC13E6">
        <w:t xml:space="preserve">gada prognozēto, kā arī mazāks STEM izglītības programmās uzņemto un absolventu skaits 2022. gadā, salīdzinot ar 2021. gadu. Tāpat strukturālās izmaņas ekonomikā un darba tirgus pieprasījuma pusē kopumā norit lēnāk nekā paredz izaugsmes mērķa scenārijs, līdz ar to, lai sasniegtu izaugsmes mērķus uz 2030. gadu, kopumā nepieciešamas straujākas darbaspēka pieprasījuma strukturālās izmaiņas, kas palielina darbaspēka nepietiekamības riskus, ņemot vērā īsāku laika posmu darbaspēka piedāvājumā pielāgošanās procesam. </w:t>
      </w:r>
    </w:p>
    <w:p w14:paraId="684455A6" w14:textId="52A234C1" w:rsidR="000F4966" w:rsidRPr="00DC13E6" w:rsidRDefault="000F4966" w:rsidP="000F4966">
      <w:pPr>
        <w:spacing w:after="120"/>
        <w:jc w:val="both"/>
      </w:pPr>
      <w:r w:rsidRPr="00DC13E6">
        <w:t xml:space="preserve">Kopumā līdzīgas tendences vērojamas arī darbaspēka piedāvājumā ar augstāko izglītību sociālās un humanitārajās zinātnēs (galvenokārt sociālo zinātņu, </w:t>
      </w:r>
      <w:proofErr w:type="spellStart"/>
      <w:r w:rsidRPr="00DC13E6">
        <w:t>komerczinību</w:t>
      </w:r>
      <w:proofErr w:type="spellEnd"/>
      <w:r w:rsidRPr="00DC13E6">
        <w:t xml:space="preserve"> un tiesību zinātņu izglītības tematiskajā grupā), līdz ar to samazinot prognozējamo atbilstošās kvalifikācijas darbaspēka pārpalikumu uz 2030. Salīdzinot ar 2022.</w:t>
      </w:r>
      <w:r w:rsidR="00B566DE">
        <w:t> </w:t>
      </w:r>
      <w:r w:rsidRPr="00DC13E6">
        <w:t>gada prognozēm, prognozētais pārpalikums samazinājies vairāk nekā divas reizes (iepriekš ~26,5 tūkst. 2030.</w:t>
      </w:r>
      <w:r w:rsidR="00B566DE">
        <w:t> </w:t>
      </w:r>
      <w:r w:rsidRPr="00DC13E6">
        <w:t>gadā).</w:t>
      </w:r>
    </w:p>
    <w:p w14:paraId="2096C1F5" w14:textId="33CEB006" w:rsidR="000F4966" w:rsidRPr="00DC13E6" w:rsidRDefault="000F4966" w:rsidP="000F4966">
      <w:pPr>
        <w:spacing w:after="120"/>
        <w:jc w:val="both"/>
      </w:pPr>
      <w:r w:rsidRPr="00DC13E6">
        <w:t>Izteiktāka nepietiekamība būs vērojama pēc speciālistiem ar profesionālo izglītību. Līdz 2030.</w:t>
      </w:r>
      <w:r w:rsidR="00B566DE">
        <w:t> </w:t>
      </w:r>
      <w:r w:rsidRPr="00DC13E6">
        <w:t>gadam plaisa starp darbaspēka pieprasījumu un piedāvājumu ar profesionālo izglītību varētu palielināties līdz 46 tūkst. speciālistu. Salīdzinot ar 2022. gada prognozēm, kopumā darbaspēka iztrūkuma prognoze uz 2030. gadu ir samazināta, ņemot vērā gan lēnāku darbaspēka piedāvājuma samazinājums ar profesionālo izglītību, ko daļēji ietekmējusi Ukrainas bēgļu ienākšana Latvijas darba tirgū, gan arī zemāks darbaspēka paprasījums (nodarbināto skaits) ar profesionālo izglītību prognožu bāzes gadā (2023. gadā) – saglabājoties darbaspēka nepietiekamībai ar profesionālo izglītību, daļā no vidējās kvalifikācijas darbavietu tiek piesaistīti darbinieki ar vidējo vispārējo izglītību vai pamatizglītību, un atsevišķos gadījumos arī ar augstāko izglītību.</w:t>
      </w:r>
    </w:p>
    <w:p w14:paraId="529BA91F" w14:textId="77777777" w:rsidR="000F4966" w:rsidRPr="00DC13E6" w:rsidRDefault="000F4966" w:rsidP="000F4966">
      <w:pPr>
        <w:spacing w:after="120"/>
        <w:jc w:val="both"/>
      </w:pPr>
      <w:r w:rsidRPr="00DC13E6">
        <w:t xml:space="preserve">Ņemot vērā, ka joprojām vērojami būtiski darbaspēka iztrūkuma riski ar profesionālo izglītību, sagaidāms, ka arī nākotnē daļā no vidējās kvalifikācijas darbavietu var nākties piesaistīt darbaspēku bez profesionālās kvalifikācijas, kas kopumā var samazināt katras individuālās darbavietas summāro pienesumu pievienoto vērtību ķēdē. </w:t>
      </w:r>
    </w:p>
    <w:p w14:paraId="38B3F14A" w14:textId="77777777" w:rsidR="000F4966" w:rsidRPr="00DC13E6" w:rsidRDefault="000F4966" w:rsidP="000F4966">
      <w:pPr>
        <w:spacing w:after="120"/>
        <w:jc w:val="both"/>
      </w:pPr>
      <w:r w:rsidRPr="00DC13E6">
        <w:t>Vienlaikus būtisks darbaspēka pārpalikums sagaidāms ar vispārējo vidējo izglītību un pamatizglītību. Šādas kvalifikācijas darbaspēka pārpalikums līdz 2030.gadam varētu sasniegt gandrīz 90 tūkst. (29,4 tūkst. ar vidējo vispārējo izglītību un 60,3 tūkst. ar pamatizglītību). Darbaspēka pārpalikumu šajās grupās lielā mērā noteiks atbilstošās kvalifikācijas darbaspēka pieprasījuma samazināšanās – arvien vairāk vienkāršas profesijas un manuālie darbi tiks aizvietoti ar dažādiem tehnoloģiskiem risinājumiem. Tāpat sagaidāms, ka vidējā termiņā palielināsies darbaspēka piedāvājums ar pamatizglītību un zemāku izglītības līmeni, līdz ar to pusei no šiem cilvēkiem 2030. gadā varētu būt problēmas atrast piemērotu darbu un iekļauties darba tirgū.</w:t>
      </w:r>
    </w:p>
    <w:p w14:paraId="6A3C745B" w14:textId="1B43AB3A" w:rsidR="000F4966" w:rsidRDefault="000F4966" w:rsidP="000F4966">
      <w:pPr>
        <w:spacing w:after="120"/>
        <w:jc w:val="both"/>
      </w:pPr>
      <w:r w:rsidRPr="00DC13E6">
        <w:t>Salīdzinoši ar 2022. gada EM prognozēm, prognozējamais darbaspēka pārpalikums ar vispārējo vidējo izglītību un pamatizglītību ir samazinājies, ko ietekmējuši gan piedāvājuma puses faktori –</w:t>
      </w:r>
      <w:r w:rsidR="00B566DE">
        <w:t xml:space="preserve"> </w:t>
      </w:r>
      <w:r w:rsidRPr="00DC13E6">
        <w:t>zemāka ekonomisko aktivitāte starp iedzīvotājiem ar vispārējo vidējo izglītību un pamatizglītību nekā iepriekš prognozēts, gan arī pieprasījuma faktori –  līdz ar kvalificēta darbaspēka nepietiekamību, darbaspēka iztrūkums tiek kompensēts ar darbinieku piesaisti ar vidējo vispārējo izglītību, pamatizglītību vai zemāku izglītības līmeni.</w:t>
      </w:r>
      <w:r>
        <w:t xml:space="preserve"> </w:t>
      </w:r>
    </w:p>
    <w:p w14:paraId="4CC466E2" w14:textId="77777777" w:rsidR="000F4966" w:rsidRDefault="000F4966" w:rsidP="00343F74">
      <w:pPr>
        <w:spacing w:after="120"/>
        <w:jc w:val="both"/>
      </w:pPr>
    </w:p>
    <w:p w14:paraId="07D38A4B" w14:textId="77777777" w:rsidR="00B018CB" w:rsidRDefault="00B018CB">
      <w:pPr>
        <w:spacing w:after="0"/>
        <w:rPr>
          <w:szCs w:val="26"/>
        </w:rPr>
      </w:pPr>
      <w:r>
        <w:rPr>
          <w:szCs w:val="26"/>
        </w:rPr>
        <w:br w:type="page"/>
      </w:r>
    </w:p>
    <w:p w14:paraId="1052A589" w14:textId="2F0E5AD5" w:rsidR="0016645F" w:rsidRPr="00024B8C" w:rsidRDefault="0016645F" w:rsidP="003126E7">
      <w:pPr>
        <w:spacing w:after="120"/>
        <w:jc w:val="right"/>
        <w:rPr>
          <w:szCs w:val="26"/>
        </w:rPr>
      </w:pPr>
      <w:bookmarkStart w:id="75" w:name="_Hlk40692966"/>
      <w:r w:rsidRPr="00024B8C">
        <w:rPr>
          <w:szCs w:val="26"/>
        </w:rPr>
        <w:lastRenderedPageBreak/>
        <w:t>3.1</w:t>
      </w:r>
      <w:r w:rsidR="001179C2" w:rsidRPr="00024B8C">
        <w:rPr>
          <w:szCs w:val="26"/>
        </w:rPr>
        <w:t>4</w:t>
      </w:r>
      <w:r w:rsidRPr="00024B8C">
        <w:rPr>
          <w:szCs w:val="26"/>
        </w:rPr>
        <w:t>. attēls</w:t>
      </w:r>
    </w:p>
    <w:bookmarkEnd w:id="75"/>
    <w:p w14:paraId="4DA5261A" w14:textId="09CAA849" w:rsidR="0016645F" w:rsidRPr="00024B8C" w:rsidRDefault="0016645F" w:rsidP="003126E7">
      <w:pPr>
        <w:spacing w:after="120"/>
        <w:jc w:val="center"/>
        <w:rPr>
          <w:rFonts w:ascii="Segoe UI Light" w:hAnsi="Segoe UI Light"/>
          <w:i/>
          <w:sz w:val="16"/>
          <w:szCs w:val="26"/>
        </w:rPr>
      </w:pPr>
      <w:r w:rsidRPr="00024B8C">
        <w:rPr>
          <w:rFonts w:ascii="Segoe UI Light" w:hAnsi="Segoe UI Light"/>
          <w:b/>
          <w:sz w:val="18"/>
          <w:szCs w:val="26"/>
        </w:rPr>
        <w:t>Darbaspēka pietiekamība pa izglītības līmeņiem</w:t>
      </w:r>
      <w:r w:rsidRPr="00024B8C">
        <w:rPr>
          <w:rFonts w:ascii="Segoe UI Light" w:hAnsi="Segoe UI Light"/>
          <w:b/>
          <w:sz w:val="18"/>
          <w:szCs w:val="26"/>
        </w:rPr>
        <w:br/>
      </w:r>
      <w:r w:rsidRPr="00024B8C">
        <w:rPr>
          <w:rFonts w:ascii="Segoe UI Light" w:hAnsi="Segoe UI Light"/>
          <w:i/>
          <w:sz w:val="16"/>
          <w:szCs w:val="26"/>
        </w:rPr>
        <w:t>piedāvājuma un pieprasījuma attiecība 2030.</w:t>
      </w:r>
      <w:r w:rsidR="0080669C" w:rsidRPr="00024B8C">
        <w:rPr>
          <w:rFonts w:ascii="Segoe UI Light" w:hAnsi="Segoe UI Light"/>
          <w:i/>
          <w:sz w:val="16"/>
          <w:szCs w:val="26"/>
        </w:rPr>
        <w:t>gad</w:t>
      </w:r>
      <w:r w:rsidRPr="00024B8C">
        <w:rPr>
          <w:rFonts w:ascii="Segoe UI Light" w:hAnsi="Segoe UI Light"/>
          <w:i/>
          <w:sz w:val="16"/>
          <w:szCs w:val="26"/>
        </w:rPr>
        <w:t>ā, procentos pieprasījums pret piedāvājumu</w:t>
      </w:r>
    </w:p>
    <w:p w14:paraId="6A7576F9" w14:textId="77777777" w:rsidR="00024B8C" w:rsidRPr="003B4CDA" w:rsidRDefault="00024B8C" w:rsidP="003126E7">
      <w:pPr>
        <w:spacing w:after="120"/>
        <w:jc w:val="center"/>
        <w:rPr>
          <w:bCs/>
          <w:iCs/>
          <w:sz w:val="18"/>
          <w:szCs w:val="26"/>
        </w:rPr>
      </w:pPr>
      <w:r w:rsidRPr="003B4CDA">
        <w:rPr>
          <w:bCs/>
          <w:iCs/>
          <w:noProof/>
          <w:sz w:val="18"/>
          <w:szCs w:val="26"/>
          <w:lang w:eastAsia="lv-LV"/>
        </w:rPr>
        <w:drawing>
          <wp:inline distT="0" distB="0" distL="0" distR="0" wp14:anchorId="0952C16C" wp14:editId="1FFE3355">
            <wp:extent cx="4319905" cy="1872000"/>
            <wp:effectExtent l="0" t="0" r="444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37620DEB" w14:textId="77777777" w:rsidR="00024B8C" w:rsidRPr="003B4CDA" w:rsidRDefault="00024B8C" w:rsidP="003126E7">
      <w:pPr>
        <w:tabs>
          <w:tab w:val="center" w:pos="2268"/>
          <w:tab w:val="center" w:pos="6804"/>
        </w:tabs>
        <w:spacing w:after="120"/>
        <w:rPr>
          <w:rFonts w:ascii="Segoe UI Light" w:hAnsi="Segoe UI Light"/>
          <w:bCs/>
          <w:i/>
          <w:iCs/>
          <w:sz w:val="16"/>
          <w:szCs w:val="26"/>
        </w:rPr>
      </w:pPr>
      <w:r w:rsidRPr="003B4CDA">
        <w:rPr>
          <w:rFonts w:ascii="Segoe UI Light" w:hAnsi="Segoe UI Light"/>
          <w:bCs/>
          <w:iCs/>
          <w:sz w:val="16"/>
          <w:szCs w:val="26"/>
        </w:rPr>
        <w:tab/>
        <w:t>Augstākā izglītība</w:t>
      </w:r>
      <w:r w:rsidRPr="003B4CDA">
        <w:rPr>
          <w:rFonts w:ascii="Segoe UI Light" w:hAnsi="Segoe UI Light"/>
          <w:bCs/>
          <w:iCs/>
          <w:sz w:val="16"/>
          <w:szCs w:val="26"/>
        </w:rPr>
        <w:tab/>
        <w:t>Profesionālā vidējā izglītība</w:t>
      </w:r>
      <w:r w:rsidRPr="003B4CDA">
        <w:rPr>
          <w:rFonts w:ascii="Segoe UI Light" w:hAnsi="Segoe UI Light"/>
          <w:bCs/>
          <w:iCs/>
          <w:sz w:val="16"/>
          <w:szCs w:val="26"/>
        </w:rPr>
        <w:br/>
      </w:r>
      <w:r w:rsidRPr="003B4CDA">
        <w:rPr>
          <w:rFonts w:ascii="Segoe UI Light" w:hAnsi="Segoe UI Light"/>
          <w:bCs/>
          <w:i/>
          <w:iCs/>
          <w:sz w:val="16"/>
          <w:szCs w:val="26"/>
        </w:rPr>
        <w:tab/>
        <w:t>tūkst.</w:t>
      </w:r>
      <w:r w:rsidRPr="003B4CDA">
        <w:rPr>
          <w:rFonts w:ascii="Segoe UI Light" w:hAnsi="Segoe UI Light"/>
          <w:bCs/>
          <w:i/>
          <w:iCs/>
          <w:sz w:val="16"/>
          <w:szCs w:val="26"/>
        </w:rPr>
        <w:tab/>
        <w:t>tūkst.</w:t>
      </w:r>
    </w:p>
    <w:p w14:paraId="47BCB395" w14:textId="77777777" w:rsidR="00024B8C" w:rsidRPr="003B4CDA" w:rsidRDefault="00024B8C" w:rsidP="003126E7">
      <w:pPr>
        <w:spacing w:after="120"/>
        <w:jc w:val="center"/>
        <w:rPr>
          <w:rFonts w:ascii="Segoe UI Light" w:hAnsi="Segoe UI Light"/>
          <w:bCs/>
          <w:iCs/>
          <w:sz w:val="18"/>
          <w:szCs w:val="26"/>
        </w:rPr>
      </w:pPr>
      <w:r w:rsidRPr="003B4CDA">
        <w:rPr>
          <w:rFonts w:ascii="Segoe UI Light" w:hAnsi="Segoe UI Light"/>
          <w:bCs/>
          <w:iCs/>
          <w:noProof/>
          <w:sz w:val="18"/>
          <w:szCs w:val="26"/>
          <w:lang w:eastAsia="lv-LV"/>
        </w:rPr>
        <w:drawing>
          <wp:inline distT="0" distB="0" distL="0" distR="0" wp14:anchorId="29B3E341" wp14:editId="7521F8DF">
            <wp:extent cx="2808000" cy="18000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r w:rsidRPr="003B4CDA">
        <w:rPr>
          <w:rFonts w:ascii="Segoe UI Light" w:hAnsi="Segoe UI Light"/>
          <w:bCs/>
          <w:iCs/>
          <w:sz w:val="18"/>
          <w:szCs w:val="26"/>
        </w:rPr>
        <w:t xml:space="preserve">    </w:t>
      </w:r>
      <w:r w:rsidRPr="003B4CDA">
        <w:rPr>
          <w:rFonts w:ascii="Segoe UI Light" w:hAnsi="Segoe UI Light"/>
          <w:bCs/>
          <w:iCs/>
          <w:noProof/>
          <w:sz w:val="18"/>
          <w:szCs w:val="26"/>
          <w:lang w:eastAsia="lv-LV"/>
        </w:rPr>
        <w:drawing>
          <wp:inline distT="0" distB="0" distL="0" distR="0" wp14:anchorId="33556F0F" wp14:editId="6F926997">
            <wp:extent cx="2808000" cy="1800000"/>
            <wp:effectExtent l="0" t="0" r="0" b="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2D423259" w14:textId="77777777" w:rsidR="00024B8C" w:rsidRPr="003B4CDA" w:rsidRDefault="00024B8C" w:rsidP="003126E7">
      <w:pPr>
        <w:tabs>
          <w:tab w:val="center" w:pos="2268"/>
          <w:tab w:val="center" w:pos="6804"/>
        </w:tabs>
        <w:spacing w:after="120"/>
        <w:rPr>
          <w:rFonts w:ascii="Segoe UI Light" w:hAnsi="Segoe UI Light"/>
          <w:bCs/>
          <w:i/>
          <w:iCs/>
          <w:sz w:val="16"/>
          <w:szCs w:val="26"/>
        </w:rPr>
      </w:pPr>
      <w:r w:rsidRPr="003B4CDA">
        <w:rPr>
          <w:rFonts w:ascii="Segoe UI Light" w:hAnsi="Segoe UI Light"/>
          <w:bCs/>
          <w:iCs/>
          <w:sz w:val="16"/>
          <w:szCs w:val="26"/>
        </w:rPr>
        <w:tab/>
        <w:t>Vispārējā vidējā izglītība</w:t>
      </w:r>
      <w:r w:rsidRPr="003B4CDA">
        <w:rPr>
          <w:rFonts w:ascii="Segoe UI Light" w:hAnsi="Segoe UI Light"/>
          <w:bCs/>
          <w:iCs/>
          <w:sz w:val="16"/>
          <w:szCs w:val="26"/>
        </w:rPr>
        <w:tab/>
        <w:t>Pamatizglītība</w:t>
      </w:r>
      <w:r w:rsidRPr="003B4CDA">
        <w:rPr>
          <w:rFonts w:ascii="Segoe UI Light" w:hAnsi="Segoe UI Light"/>
          <w:bCs/>
          <w:iCs/>
          <w:sz w:val="16"/>
          <w:szCs w:val="26"/>
        </w:rPr>
        <w:br/>
      </w:r>
      <w:r w:rsidRPr="003B4CDA">
        <w:rPr>
          <w:rFonts w:ascii="Segoe UI Light" w:hAnsi="Segoe UI Light"/>
          <w:bCs/>
          <w:i/>
          <w:iCs/>
          <w:sz w:val="16"/>
          <w:szCs w:val="26"/>
        </w:rPr>
        <w:tab/>
        <w:t>tūkst.</w:t>
      </w:r>
      <w:r w:rsidRPr="003B4CDA">
        <w:rPr>
          <w:rFonts w:ascii="Segoe UI Light" w:hAnsi="Segoe UI Light"/>
          <w:bCs/>
          <w:i/>
          <w:iCs/>
          <w:sz w:val="16"/>
          <w:szCs w:val="26"/>
        </w:rPr>
        <w:tab/>
        <w:t>tūkst.</w:t>
      </w:r>
    </w:p>
    <w:p w14:paraId="5F92444A" w14:textId="77777777" w:rsidR="00024B8C" w:rsidRPr="003B4CDA" w:rsidRDefault="00024B8C" w:rsidP="003126E7">
      <w:pPr>
        <w:spacing w:after="120"/>
        <w:jc w:val="center"/>
        <w:rPr>
          <w:rFonts w:ascii="Segoe UI Light" w:hAnsi="Segoe UI Light"/>
          <w:bCs/>
          <w:iCs/>
          <w:sz w:val="18"/>
          <w:szCs w:val="26"/>
        </w:rPr>
      </w:pPr>
      <w:r w:rsidRPr="003B4CDA">
        <w:rPr>
          <w:rFonts w:ascii="Segoe UI Light" w:hAnsi="Segoe UI Light"/>
          <w:bCs/>
          <w:iCs/>
          <w:noProof/>
          <w:sz w:val="18"/>
          <w:szCs w:val="26"/>
          <w:lang w:eastAsia="lv-LV"/>
        </w:rPr>
        <w:drawing>
          <wp:inline distT="0" distB="0" distL="0" distR="0" wp14:anchorId="5EE9A935" wp14:editId="450D5110">
            <wp:extent cx="2808000" cy="1800000"/>
            <wp:effectExtent l="0" t="0" r="0" b="0"/>
            <wp:docPr id="237" name="Chart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r w:rsidRPr="003B4CDA">
        <w:rPr>
          <w:rFonts w:ascii="Segoe UI Light" w:hAnsi="Segoe UI Light"/>
          <w:bCs/>
          <w:iCs/>
          <w:sz w:val="18"/>
          <w:szCs w:val="26"/>
        </w:rPr>
        <w:t xml:space="preserve">    </w:t>
      </w:r>
      <w:r w:rsidRPr="003B4CDA">
        <w:rPr>
          <w:rFonts w:ascii="Segoe UI Light" w:hAnsi="Segoe UI Light"/>
          <w:bCs/>
          <w:iCs/>
          <w:noProof/>
          <w:sz w:val="18"/>
          <w:szCs w:val="26"/>
          <w:lang w:eastAsia="lv-LV"/>
        </w:rPr>
        <w:drawing>
          <wp:inline distT="0" distB="0" distL="0" distR="0" wp14:anchorId="2AEBA17D" wp14:editId="2C9F079C">
            <wp:extent cx="2808000" cy="1800000"/>
            <wp:effectExtent l="0" t="0" r="0" b="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47744064" w14:textId="77777777" w:rsidR="00B018CB" w:rsidRDefault="00B018CB">
      <w:pPr>
        <w:spacing w:after="0"/>
        <w:rPr>
          <w:szCs w:val="26"/>
        </w:rPr>
      </w:pPr>
      <w:r>
        <w:rPr>
          <w:szCs w:val="26"/>
        </w:rPr>
        <w:br w:type="page"/>
      </w:r>
    </w:p>
    <w:p w14:paraId="38DE4258" w14:textId="596D0C0D" w:rsidR="0016645F" w:rsidRPr="00024B8C" w:rsidRDefault="0016645F" w:rsidP="003126E7">
      <w:pPr>
        <w:spacing w:after="120"/>
        <w:jc w:val="right"/>
        <w:rPr>
          <w:szCs w:val="26"/>
        </w:rPr>
      </w:pPr>
      <w:r w:rsidRPr="00024B8C">
        <w:rPr>
          <w:szCs w:val="26"/>
        </w:rPr>
        <w:lastRenderedPageBreak/>
        <w:t>3.1</w:t>
      </w:r>
      <w:r w:rsidR="001179C2" w:rsidRPr="00024B8C">
        <w:rPr>
          <w:szCs w:val="26"/>
        </w:rPr>
        <w:t>5</w:t>
      </w:r>
      <w:r w:rsidRPr="00024B8C">
        <w:rPr>
          <w:szCs w:val="26"/>
        </w:rPr>
        <w:t>. attēls</w:t>
      </w:r>
    </w:p>
    <w:p w14:paraId="41A40B60" w14:textId="1BC7DFCF" w:rsidR="0016645F" w:rsidRPr="00024B8C" w:rsidRDefault="0016645F" w:rsidP="003126E7">
      <w:pPr>
        <w:spacing w:after="120"/>
        <w:jc w:val="center"/>
        <w:rPr>
          <w:rFonts w:ascii="Segoe UI Light" w:hAnsi="Segoe UI Light"/>
          <w:i/>
          <w:sz w:val="16"/>
        </w:rPr>
      </w:pPr>
      <w:r w:rsidRPr="00024B8C">
        <w:rPr>
          <w:rFonts w:ascii="Segoe UI Light" w:hAnsi="Segoe UI Light"/>
          <w:b/>
          <w:sz w:val="18"/>
          <w:szCs w:val="26"/>
        </w:rPr>
        <w:t xml:space="preserve">Darbaspēka piedāvājuma un pieprasījuma prognozes </w:t>
      </w:r>
      <w:r w:rsidRPr="00024B8C">
        <w:rPr>
          <w:rFonts w:ascii="Segoe UI Light" w:hAnsi="Segoe UI Light"/>
          <w:b/>
          <w:sz w:val="18"/>
          <w:szCs w:val="26"/>
          <w:u w:val="single"/>
        </w:rPr>
        <w:t xml:space="preserve">ar augstāko </w:t>
      </w:r>
      <w:r w:rsidRPr="00024B8C">
        <w:rPr>
          <w:rFonts w:ascii="Segoe UI Light" w:hAnsi="Segoe UI Light"/>
          <w:b/>
          <w:bCs/>
          <w:color w:val="000000"/>
          <w:sz w:val="18"/>
          <w:szCs w:val="26"/>
          <w:u w:val="single"/>
        </w:rPr>
        <w:t>izglītību</w:t>
      </w:r>
      <w:r w:rsidRPr="00024B8C">
        <w:rPr>
          <w:rFonts w:ascii="Segoe UI Light" w:hAnsi="Segoe UI Light"/>
          <w:b/>
          <w:bCs/>
          <w:color w:val="000000"/>
          <w:sz w:val="18"/>
          <w:szCs w:val="26"/>
        </w:rPr>
        <w:t xml:space="preserve"> sadalījumā pa izglītības tematiskajām grupām</w:t>
      </w:r>
      <w:r w:rsidRPr="00024B8C">
        <w:rPr>
          <w:rFonts w:ascii="Segoe UI Light" w:hAnsi="Segoe UI Light"/>
          <w:b/>
          <w:bCs/>
          <w:color w:val="000000"/>
          <w:sz w:val="18"/>
          <w:szCs w:val="26"/>
        </w:rPr>
        <w:br/>
      </w:r>
      <w:r w:rsidRPr="00024B8C">
        <w:rPr>
          <w:rFonts w:ascii="Segoe UI Light" w:hAnsi="Segoe UI Light"/>
          <w:bCs/>
          <w:i/>
          <w:color w:val="000000"/>
          <w:sz w:val="16"/>
        </w:rPr>
        <w:t>procentos, pieprasījums pret piedāvājumu 2030.</w:t>
      </w:r>
      <w:r w:rsidR="0080669C" w:rsidRPr="00024B8C">
        <w:rPr>
          <w:rFonts w:ascii="Segoe UI Light" w:hAnsi="Segoe UI Light"/>
          <w:bCs/>
          <w:i/>
          <w:color w:val="000000"/>
          <w:sz w:val="16"/>
        </w:rPr>
        <w:t>gad</w:t>
      </w:r>
      <w:r w:rsidRPr="00024B8C">
        <w:rPr>
          <w:rFonts w:ascii="Segoe UI Light" w:hAnsi="Segoe UI Light"/>
          <w:bCs/>
          <w:i/>
          <w:color w:val="000000"/>
          <w:sz w:val="16"/>
        </w:rPr>
        <w:t>ā</w:t>
      </w:r>
    </w:p>
    <w:p w14:paraId="3D60BF53" w14:textId="77777777" w:rsidR="00024B8C" w:rsidRPr="003B4CDA" w:rsidRDefault="00024B8C" w:rsidP="00024B8C">
      <w:pPr>
        <w:rPr>
          <w:rFonts w:ascii="Segoe UI Light" w:hAnsi="Segoe UI Light"/>
          <w:sz w:val="18"/>
        </w:rPr>
      </w:pPr>
      <w:r w:rsidRPr="003B4CDA">
        <w:rPr>
          <w:rFonts w:ascii="Segoe UI Light" w:hAnsi="Segoe UI Light"/>
          <w:bCs/>
          <w:iCs/>
          <w:noProof/>
          <w:sz w:val="18"/>
          <w:szCs w:val="26"/>
          <w:lang w:eastAsia="lv-LV"/>
        </w:rPr>
        <w:drawing>
          <wp:inline distT="0" distB="0" distL="0" distR="0" wp14:anchorId="25CC24CD" wp14:editId="23AC9920">
            <wp:extent cx="5760085" cy="1733703"/>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24B8C" w:rsidRPr="003B4CDA" w14:paraId="610FA960" w14:textId="77777777">
        <w:trPr>
          <w:cantSplit/>
          <w:trHeight w:val="2041"/>
        </w:trPr>
        <w:tc>
          <w:tcPr>
            <w:tcW w:w="9071" w:type="dxa"/>
            <w:textDirection w:val="btLr"/>
          </w:tcPr>
          <w:p w14:paraId="4398AB91" w14:textId="77777777" w:rsidR="00024B8C" w:rsidRPr="003B4CDA" w:rsidRDefault="00024B8C">
            <w:pPr>
              <w:spacing w:before="840"/>
              <w:ind w:left="113" w:right="113"/>
              <w:jc w:val="right"/>
              <w:rPr>
                <w:rFonts w:ascii="Segoe UI Light" w:hAnsi="Segoe UI Light"/>
                <w:sz w:val="16"/>
              </w:rPr>
            </w:pPr>
            <w:r w:rsidRPr="003B4CDA">
              <w:rPr>
                <w:rFonts w:ascii="Segoe UI Light" w:hAnsi="Segoe UI Light"/>
                <w:bCs/>
                <w:iCs/>
                <w:sz w:val="16"/>
                <w:szCs w:val="26"/>
              </w:rPr>
              <w:t>Izglītība</w:t>
            </w:r>
          </w:p>
          <w:p w14:paraId="52FAC067" w14:textId="77777777" w:rsidR="00024B8C" w:rsidRPr="003B4CDA" w:rsidRDefault="00024B8C">
            <w:pPr>
              <w:spacing w:before="720"/>
              <w:ind w:left="113" w:right="113"/>
              <w:jc w:val="right"/>
              <w:rPr>
                <w:rFonts w:ascii="Segoe UI Light" w:hAnsi="Segoe UI Light"/>
                <w:sz w:val="16"/>
              </w:rPr>
            </w:pPr>
            <w:r w:rsidRPr="003B4CDA">
              <w:rPr>
                <w:rFonts w:ascii="Segoe UI Light" w:hAnsi="Segoe UI Light"/>
                <w:bCs/>
                <w:iCs/>
                <w:sz w:val="16"/>
                <w:szCs w:val="26"/>
              </w:rPr>
              <w:t xml:space="preserve">Humanitārās </w:t>
            </w:r>
            <w:r w:rsidRPr="003B4CDA">
              <w:rPr>
                <w:rFonts w:ascii="Segoe UI Light" w:hAnsi="Segoe UI Light"/>
                <w:bCs/>
                <w:iCs/>
                <w:sz w:val="16"/>
                <w:szCs w:val="26"/>
              </w:rPr>
              <w:br/>
              <w:t>zinātnes un māksla</w:t>
            </w:r>
          </w:p>
          <w:p w14:paraId="78B40A61" w14:textId="77777777" w:rsidR="00024B8C" w:rsidRPr="003B4CDA" w:rsidRDefault="00024B8C">
            <w:pPr>
              <w:spacing w:before="600"/>
              <w:ind w:left="113" w:right="113"/>
              <w:jc w:val="right"/>
              <w:rPr>
                <w:rFonts w:ascii="Segoe UI Light" w:hAnsi="Segoe UI Light"/>
                <w:sz w:val="16"/>
              </w:rPr>
            </w:pPr>
            <w:r w:rsidRPr="003B4CDA">
              <w:rPr>
                <w:rFonts w:ascii="Segoe UI Light" w:hAnsi="Segoe UI Light"/>
                <w:bCs/>
                <w:iCs/>
                <w:sz w:val="16"/>
                <w:szCs w:val="26"/>
              </w:rPr>
              <w:t xml:space="preserve">Sociālās zinātnes, </w:t>
            </w:r>
            <w:proofErr w:type="spellStart"/>
            <w:r w:rsidRPr="003B4CDA">
              <w:rPr>
                <w:rFonts w:ascii="Segoe UI Light" w:hAnsi="Segoe UI Light"/>
                <w:bCs/>
                <w:iCs/>
                <w:sz w:val="16"/>
                <w:szCs w:val="26"/>
              </w:rPr>
              <w:t>komerczinības</w:t>
            </w:r>
            <w:proofErr w:type="spellEnd"/>
            <w:r w:rsidRPr="003B4CDA">
              <w:rPr>
                <w:rFonts w:ascii="Segoe UI Light" w:hAnsi="Segoe UI Light"/>
                <w:bCs/>
                <w:iCs/>
                <w:sz w:val="16"/>
                <w:szCs w:val="26"/>
              </w:rPr>
              <w:t xml:space="preserve"> un tiesības</w:t>
            </w:r>
          </w:p>
          <w:p w14:paraId="2DFF18B6" w14:textId="77777777" w:rsidR="00024B8C" w:rsidRPr="003B4CDA" w:rsidRDefault="00024B8C">
            <w:pPr>
              <w:spacing w:before="480"/>
              <w:ind w:left="113" w:right="113"/>
              <w:jc w:val="right"/>
              <w:rPr>
                <w:rFonts w:ascii="Segoe UI Light" w:hAnsi="Segoe UI Light"/>
                <w:bCs/>
                <w:iCs/>
                <w:sz w:val="16"/>
                <w:szCs w:val="26"/>
              </w:rPr>
            </w:pPr>
            <w:r w:rsidRPr="003B4CDA">
              <w:rPr>
                <w:rFonts w:ascii="Segoe UI Light" w:hAnsi="Segoe UI Light"/>
                <w:bCs/>
                <w:iCs/>
                <w:sz w:val="16"/>
                <w:szCs w:val="26"/>
              </w:rPr>
              <w:t>Dabas zinātnes, matemātika un informācijas tehnoloģijas</w:t>
            </w:r>
          </w:p>
          <w:p w14:paraId="2E63C021" w14:textId="77777777" w:rsidR="00024B8C" w:rsidRPr="003B4CDA" w:rsidRDefault="00024B8C">
            <w:pPr>
              <w:spacing w:before="600"/>
              <w:ind w:left="113" w:right="113"/>
              <w:jc w:val="right"/>
              <w:rPr>
                <w:rFonts w:ascii="Segoe UI Light" w:hAnsi="Segoe UI Light"/>
                <w:bCs/>
                <w:iCs/>
                <w:sz w:val="16"/>
                <w:szCs w:val="26"/>
              </w:rPr>
            </w:pPr>
            <w:r w:rsidRPr="003B4CDA">
              <w:rPr>
                <w:rFonts w:ascii="Segoe UI Light" w:hAnsi="Segoe UI Light"/>
                <w:bCs/>
                <w:iCs/>
                <w:sz w:val="16"/>
                <w:szCs w:val="26"/>
              </w:rPr>
              <w:t>Inženierzinātnes, ražošana un būvniecība</w:t>
            </w:r>
          </w:p>
          <w:p w14:paraId="43CE8CCD" w14:textId="77777777" w:rsidR="00024B8C" w:rsidRPr="003B4CDA" w:rsidRDefault="00024B8C">
            <w:pPr>
              <w:spacing w:before="720"/>
              <w:ind w:left="113" w:right="113"/>
              <w:jc w:val="right"/>
              <w:rPr>
                <w:rFonts w:ascii="Segoe UI Light" w:hAnsi="Segoe UI Light"/>
                <w:sz w:val="16"/>
              </w:rPr>
            </w:pPr>
            <w:r w:rsidRPr="003B4CDA">
              <w:rPr>
                <w:rFonts w:ascii="Segoe UI Light" w:hAnsi="Segoe UI Light"/>
                <w:bCs/>
                <w:iCs/>
                <w:sz w:val="16"/>
                <w:szCs w:val="26"/>
              </w:rPr>
              <w:t>Lauksaimniecība</w:t>
            </w:r>
          </w:p>
          <w:p w14:paraId="65FC7401" w14:textId="77777777" w:rsidR="00024B8C" w:rsidRPr="003B4CDA" w:rsidRDefault="00024B8C">
            <w:pPr>
              <w:spacing w:before="720"/>
              <w:ind w:left="113" w:right="113"/>
              <w:jc w:val="right"/>
              <w:rPr>
                <w:rFonts w:ascii="Segoe UI Light" w:hAnsi="Segoe UI Light"/>
                <w:sz w:val="16"/>
              </w:rPr>
            </w:pPr>
            <w:r w:rsidRPr="003B4CDA">
              <w:rPr>
                <w:rFonts w:ascii="Segoe UI Light" w:hAnsi="Segoe UI Light"/>
                <w:bCs/>
                <w:iCs/>
                <w:sz w:val="16"/>
                <w:szCs w:val="26"/>
              </w:rPr>
              <w:t>Veselības aprūpe un sociālā labklājība</w:t>
            </w:r>
          </w:p>
          <w:p w14:paraId="20FB3AE8" w14:textId="77777777" w:rsidR="00024B8C" w:rsidRPr="003B4CDA" w:rsidRDefault="00024B8C">
            <w:pPr>
              <w:spacing w:before="720"/>
              <w:ind w:left="113" w:right="113"/>
              <w:jc w:val="right"/>
              <w:rPr>
                <w:rFonts w:ascii="Segoe UI Light" w:hAnsi="Segoe UI Light"/>
                <w:sz w:val="16"/>
              </w:rPr>
            </w:pPr>
            <w:r w:rsidRPr="003B4CDA">
              <w:rPr>
                <w:rFonts w:ascii="Segoe UI Light" w:hAnsi="Segoe UI Light"/>
                <w:bCs/>
                <w:iCs/>
                <w:sz w:val="16"/>
                <w:szCs w:val="26"/>
              </w:rPr>
              <w:t>Pakalpojumi</w:t>
            </w:r>
          </w:p>
        </w:tc>
      </w:tr>
    </w:tbl>
    <w:p w14:paraId="30E1B293" w14:textId="77777777" w:rsidR="00024B8C" w:rsidRDefault="00024B8C" w:rsidP="000816FF">
      <w:pPr>
        <w:spacing w:after="120"/>
      </w:pPr>
    </w:p>
    <w:p w14:paraId="5D8C7E0D" w14:textId="77777777" w:rsidR="00024B8C" w:rsidRPr="003B4CDA" w:rsidRDefault="00024B8C" w:rsidP="000816FF">
      <w:pPr>
        <w:spacing w:after="120"/>
        <w:jc w:val="center"/>
        <w:rPr>
          <w:b/>
          <w:bCs/>
          <w:color w:val="000000"/>
          <w:sz w:val="18"/>
          <w:szCs w:val="20"/>
        </w:rPr>
      </w:pPr>
      <w:r w:rsidRPr="003B4CDA">
        <w:rPr>
          <w:b/>
          <w:bCs/>
          <w:color w:val="000000"/>
          <w:sz w:val="18"/>
          <w:szCs w:val="20"/>
        </w:rPr>
        <w:t>Izglītība</w:t>
      </w:r>
    </w:p>
    <w:p w14:paraId="71CCB1F4"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54D3D9CC" w14:textId="77777777" w:rsidR="00024B8C" w:rsidRPr="003B4CDA" w:rsidRDefault="00024B8C" w:rsidP="000816FF">
      <w:pPr>
        <w:spacing w:after="120"/>
        <w:ind w:right="-285"/>
        <w:rPr>
          <w:bCs/>
          <w:color w:val="000000"/>
          <w:sz w:val="16"/>
        </w:rPr>
      </w:pPr>
      <w:r w:rsidRPr="003B4CDA">
        <w:rPr>
          <w:bCs/>
          <w:noProof/>
          <w:color w:val="000000"/>
          <w:sz w:val="16"/>
          <w:lang w:eastAsia="lv-LV"/>
        </w:rPr>
        <w:drawing>
          <wp:inline distT="0" distB="0" distL="0" distR="0" wp14:anchorId="2F7B337F" wp14:editId="247364EE">
            <wp:extent cx="1440000" cy="1440000"/>
            <wp:effectExtent l="0" t="0" r="8255" b="825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79F3D779" wp14:editId="1A9E3512">
            <wp:extent cx="2808000" cy="1440000"/>
            <wp:effectExtent l="0" t="0" r="0" b="825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4266AD9C" wp14:editId="65080C54">
            <wp:extent cx="1440000" cy="1440000"/>
            <wp:effectExtent l="0" t="0" r="8255" b="825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7D3818B3" w14:textId="77777777" w:rsidR="000816FF" w:rsidRDefault="000816FF" w:rsidP="000816FF">
      <w:pPr>
        <w:spacing w:after="120"/>
        <w:jc w:val="center"/>
        <w:rPr>
          <w:b/>
          <w:bCs/>
          <w:color w:val="000000"/>
          <w:sz w:val="18"/>
          <w:szCs w:val="20"/>
        </w:rPr>
      </w:pPr>
    </w:p>
    <w:p w14:paraId="5E574033" w14:textId="77777777" w:rsidR="00024B8C" w:rsidRPr="003B4CDA" w:rsidRDefault="00024B8C" w:rsidP="000816FF">
      <w:pPr>
        <w:spacing w:after="120"/>
        <w:jc w:val="center"/>
        <w:rPr>
          <w:b/>
          <w:bCs/>
          <w:color w:val="000000"/>
          <w:sz w:val="18"/>
          <w:szCs w:val="20"/>
        </w:rPr>
      </w:pPr>
      <w:r w:rsidRPr="003B4CDA">
        <w:rPr>
          <w:b/>
          <w:bCs/>
          <w:color w:val="000000"/>
          <w:sz w:val="18"/>
          <w:szCs w:val="20"/>
        </w:rPr>
        <w:t>Humanitārās zinātnes un māksla</w:t>
      </w:r>
    </w:p>
    <w:p w14:paraId="5446BD3E"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38D6CFC3" w14:textId="77777777" w:rsidR="00024B8C" w:rsidRPr="003B4CDA" w:rsidRDefault="00024B8C" w:rsidP="00024B8C">
      <w:pPr>
        <w:ind w:right="-285"/>
        <w:rPr>
          <w:color w:val="000000"/>
          <w:sz w:val="16"/>
          <w:szCs w:val="16"/>
        </w:rPr>
      </w:pPr>
      <w:r w:rsidRPr="003B4CDA">
        <w:rPr>
          <w:bCs/>
          <w:noProof/>
          <w:color w:val="000000"/>
          <w:sz w:val="16"/>
          <w:lang w:eastAsia="lv-LV"/>
        </w:rPr>
        <w:drawing>
          <wp:inline distT="0" distB="0" distL="0" distR="0" wp14:anchorId="59EC0964" wp14:editId="4F313099">
            <wp:extent cx="1440000" cy="1440000"/>
            <wp:effectExtent l="0" t="0" r="8255" b="8255"/>
            <wp:docPr id="239" name="Chart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2D222D4F" wp14:editId="1330ED5E">
            <wp:extent cx="2808000" cy="1440000"/>
            <wp:effectExtent l="0" t="0" r="0" b="8255"/>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570EF56E" wp14:editId="73EA6555">
            <wp:extent cx="1440000" cy="1440000"/>
            <wp:effectExtent l="0" t="0" r="8255" b="8255"/>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23ED3652" w14:textId="77777777" w:rsidR="00024B8C" w:rsidRPr="003B4CDA" w:rsidRDefault="00024B8C" w:rsidP="00024B8C">
      <w:pPr>
        <w:spacing w:after="0"/>
        <w:rPr>
          <w:szCs w:val="26"/>
        </w:rPr>
      </w:pPr>
      <w:r w:rsidRPr="003B4CDA">
        <w:rPr>
          <w:szCs w:val="26"/>
        </w:rPr>
        <w:br w:type="page"/>
      </w:r>
    </w:p>
    <w:p w14:paraId="5E49B065" w14:textId="77777777" w:rsidR="00024B8C" w:rsidRPr="003B4CDA" w:rsidRDefault="00024B8C" w:rsidP="000816FF">
      <w:pPr>
        <w:spacing w:after="120"/>
        <w:jc w:val="right"/>
        <w:rPr>
          <w:szCs w:val="26"/>
        </w:rPr>
      </w:pPr>
      <w:r w:rsidRPr="003B4CDA">
        <w:rPr>
          <w:szCs w:val="26"/>
        </w:rPr>
        <w:lastRenderedPageBreak/>
        <w:t>3.1</w:t>
      </w:r>
      <w:r>
        <w:rPr>
          <w:szCs w:val="26"/>
        </w:rPr>
        <w:t>5</w:t>
      </w:r>
      <w:r w:rsidRPr="003B4CDA">
        <w:rPr>
          <w:szCs w:val="26"/>
        </w:rPr>
        <w:t>. attēla turpinājums</w:t>
      </w:r>
    </w:p>
    <w:p w14:paraId="4C00ECE8" w14:textId="77777777" w:rsidR="00024B8C" w:rsidRPr="003B4CDA" w:rsidRDefault="00024B8C" w:rsidP="000816FF">
      <w:pPr>
        <w:spacing w:after="120"/>
        <w:jc w:val="center"/>
        <w:rPr>
          <w:b/>
          <w:bCs/>
          <w:color w:val="000000"/>
          <w:sz w:val="18"/>
          <w:szCs w:val="20"/>
        </w:rPr>
      </w:pPr>
      <w:r w:rsidRPr="003B4CDA">
        <w:rPr>
          <w:b/>
          <w:bCs/>
          <w:color w:val="000000"/>
          <w:sz w:val="18"/>
          <w:szCs w:val="20"/>
        </w:rPr>
        <w:t xml:space="preserve">Sociālās zinātnes, </w:t>
      </w:r>
      <w:proofErr w:type="spellStart"/>
      <w:r w:rsidRPr="003B4CDA">
        <w:rPr>
          <w:b/>
          <w:bCs/>
          <w:color w:val="000000"/>
          <w:sz w:val="18"/>
          <w:szCs w:val="20"/>
        </w:rPr>
        <w:t>komerczinības</w:t>
      </w:r>
      <w:proofErr w:type="spellEnd"/>
      <w:r w:rsidRPr="003B4CDA">
        <w:rPr>
          <w:b/>
          <w:bCs/>
          <w:color w:val="000000"/>
          <w:sz w:val="18"/>
          <w:szCs w:val="20"/>
        </w:rPr>
        <w:t xml:space="preserve"> un tiesības</w:t>
      </w:r>
    </w:p>
    <w:p w14:paraId="5A8D4E6E"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7A06BD1B"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023E6F0F" wp14:editId="30374B9F">
            <wp:extent cx="1440000" cy="1440000"/>
            <wp:effectExtent l="0" t="0" r="8255" b="8255"/>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545CDCF1" wp14:editId="0994F3A7">
            <wp:extent cx="2808000" cy="1440000"/>
            <wp:effectExtent l="0" t="0" r="0" b="8255"/>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325408F0" wp14:editId="5CE7ACA9">
            <wp:extent cx="1440000" cy="1440000"/>
            <wp:effectExtent l="0" t="0" r="8255" b="825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6F91AB45" w14:textId="77777777" w:rsidR="00024B8C" w:rsidRPr="003B4CDA" w:rsidRDefault="00024B8C" w:rsidP="000816FF">
      <w:pPr>
        <w:spacing w:after="120"/>
        <w:rPr>
          <w:szCs w:val="26"/>
        </w:rPr>
      </w:pPr>
    </w:p>
    <w:p w14:paraId="06BBB013" w14:textId="77777777" w:rsidR="000816FF" w:rsidRPr="003B4CDA" w:rsidRDefault="000816FF" w:rsidP="000816FF">
      <w:pPr>
        <w:spacing w:after="120"/>
        <w:rPr>
          <w:szCs w:val="26"/>
        </w:rPr>
      </w:pPr>
    </w:p>
    <w:p w14:paraId="426456A6" w14:textId="77777777" w:rsidR="00024B8C" w:rsidRPr="003B4CDA" w:rsidRDefault="00024B8C" w:rsidP="000816FF">
      <w:pPr>
        <w:spacing w:after="120"/>
        <w:jc w:val="center"/>
        <w:rPr>
          <w:b/>
          <w:bCs/>
          <w:color w:val="000000"/>
          <w:sz w:val="18"/>
          <w:szCs w:val="20"/>
        </w:rPr>
      </w:pPr>
      <w:r w:rsidRPr="003B4CDA">
        <w:rPr>
          <w:b/>
          <w:bCs/>
          <w:color w:val="000000"/>
          <w:sz w:val="18"/>
          <w:szCs w:val="20"/>
        </w:rPr>
        <w:t>Dabas zinātnes, matemātika un informācijas tehnoloģijas</w:t>
      </w:r>
    </w:p>
    <w:p w14:paraId="1E5CFD64"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7071AC0F"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3ED7C88E" wp14:editId="7735BE68">
            <wp:extent cx="1440000" cy="1440000"/>
            <wp:effectExtent l="0" t="0" r="8255" b="8255"/>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63D69F47" wp14:editId="1870F84D">
            <wp:extent cx="2808000" cy="1440000"/>
            <wp:effectExtent l="0" t="0" r="0" b="8255"/>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6B9F24CA" wp14:editId="53535A55">
            <wp:extent cx="1440000" cy="1440000"/>
            <wp:effectExtent l="0" t="0" r="8255" b="825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53E2A745" w14:textId="77777777" w:rsidR="00024B8C" w:rsidRPr="003B4CDA" w:rsidRDefault="00024B8C" w:rsidP="000816FF">
      <w:pPr>
        <w:spacing w:after="120"/>
        <w:ind w:right="-285"/>
        <w:rPr>
          <w:bCs/>
          <w:color w:val="000000"/>
          <w:sz w:val="16"/>
        </w:rPr>
      </w:pPr>
    </w:p>
    <w:p w14:paraId="6A5D5552" w14:textId="77777777" w:rsidR="000816FF" w:rsidRPr="003B4CDA" w:rsidRDefault="000816FF" w:rsidP="000816FF">
      <w:pPr>
        <w:spacing w:after="120"/>
        <w:ind w:right="-285"/>
        <w:rPr>
          <w:bCs/>
          <w:color w:val="000000"/>
          <w:sz w:val="16"/>
        </w:rPr>
      </w:pPr>
    </w:p>
    <w:p w14:paraId="3937EA98" w14:textId="77777777" w:rsidR="00024B8C" w:rsidRPr="003B4CDA" w:rsidRDefault="00024B8C" w:rsidP="000816FF">
      <w:pPr>
        <w:spacing w:after="120"/>
        <w:jc w:val="center"/>
        <w:rPr>
          <w:b/>
          <w:bCs/>
          <w:color w:val="000000"/>
          <w:sz w:val="18"/>
          <w:szCs w:val="20"/>
        </w:rPr>
      </w:pPr>
      <w:r w:rsidRPr="003B4CDA">
        <w:rPr>
          <w:b/>
          <w:bCs/>
          <w:color w:val="000000"/>
          <w:sz w:val="18"/>
          <w:szCs w:val="20"/>
        </w:rPr>
        <w:t>Inženierzinātnes, ražošana un būvniecība</w:t>
      </w:r>
    </w:p>
    <w:p w14:paraId="312F8B9B"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080B909B"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3FBD5FF2" wp14:editId="5F16A46C">
            <wp:extent cx="1440000" cy="1440000"/>
            <wp:effectExtent l="0" t="0" r="8255" b="8255"/>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02AEB774" wp14:editId="03C0860E">
            <wp:extent cx="2808000" cy="1440000"/>
            <wp:effectExtent l="0" t="0" r="0" b="8255"/>
            <wp:docPr id="336" name="Chart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0BE38150" wp14:editId="31E48357">
            <wp:extent cx="1440000" cy="1440000"/>
            <wp:effectExtent l="0" t="0" r="8255" b="825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3EB72EE0" w14:textId="77777777" w:rsidR="00024B8C" w:rsidRPr="003B4CDA" w:rsidRDefault="00024B8C" w:rsidP="00024B8C">
      <w:pPr>
        <w:spacing w:after="0"/>
        <w:rPr>
          <w:b/>
          <w:bCs/>
          <w:color w:val="000000"/>
          <w:sz w:val="18"/>
          <w:szCs w:val="20"/>
        </w:rPr>
      </w:pPr>
      <w:r w:rsidRPr="003B4CDA">
        <w:rPr>
          <w:b/>
          <w:bCs/>
          <w:color w:val="000000"/>
          <w:sz w:val="18"/>
          <w:szCs w:val="20"/>
        </w:rPr>
        <w:br w:type="page"/>
      </w:r>
    </w:p>
    <w:p w14:paraId="148E136E" w14:textId="77777777" w:rsidR="00024B8C" w:rsidRPr="003B4CDA" w:rsidRDefault="00024B8C" w:rsidP="000816FF">
      <w:pPr>
        <w:spacing w:after="120"/>
        <w:jc w:val="right"/>
        <w:rPr>
          <w:szCs w:val="26"/>
        </w:rPr>
      </w:pPr>
      <w:r w:rsidRPr="003B4CDA">
        <w:rPr>
          <w:szCs w:val="26"/>
        </w:rPr>
        <w:lastRenderedPageBreak/>
        <w:t>3.1</w:t>
      </w:r>
      <w:r>
        <w:rPr>
          <w:szCs w:val="26"/>
        </w:rPr>
        <w:t>5</w:t>
      </w:r>
      <w:r w:rsidRPr="003B4CDA">
        <w:rPr>
          <w:szCs w:val="26"/>
        </w:rPr>
        <w:t>. attēla turpinājums</w:t>
      </w:r>
    </w:p>
    <w:p w14:paraId="298C2473" w14:textId="77777777" w:rsidR="00024B8C" w:rsidRPr="003B4CDA" w:rsidRDefault="00024B8C" w:rsidP="000816FF">
      <w:pPr>
        <w:spacing w:after="120"/>
        <w:jc w:val="center"/>
        <w:rPr>
          <w:b/>
          <w:bCs/>
          <w:color w:val="000000"/>
          <w:sz w:val="18"/>
          <w:szCs w:val="20"/>
        </w:rPr>
      </w:pPr>
      <w:r w:rsidRPr="003B4CDA">
        <w:rPr>
          <w:b/>
          <w:bCs/>
          <w:color w:val="000000"/>
          <w:sz w:val="18"/>
          <w:szCs w:val="20"/>
        </w:rPr>
        <w:t>Lauksaimniecība</w:t>
      </w:r>
    </w:p>
    <w:p w14:paraId="005F202E"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5C62345D"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268F6E69" wp14:editId="678B81DE">
            <wp:extent cx="1440000" cy="1440000"/>
            <wp:effectExtent l="0" t="0" r="8255" b="8255"/>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6E0205AD" wp14:editId="5EA0AA7E">
            <wp:extent cx="2808000" cy="1440000"/>
            <wp:effectExtent l="0" t="0" r="0" b="8255"/>
            <wp:docPr id="337" name="Chart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54B98C4C" wp14:editId="6D48285B">
            <wp:extent cx="1440000" cy="1440000"/>
            <wp:effectExtent l="0" t="0" r="8255" b="8255"/>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3E7FC1B5" w14:textId="40E62DFB" w:rsidR="00024B8C" w:rsidRDefault="00024B8C" w:rsidP="000816FF">
      <w:pPr>
        <w:spacing w:after="120"/>
        <w:jc w:val="center"/>
        <w:rPr>
          <w:b/>
          <w:bCs/>
          <w:color w:val="000000"/>
          <w:sz w:val="18"/>
          <w:szCs w:val="20"/>
        </w:rPr>
      </w:pPr>
    </w:p>
    <w:p w14:paraId="7010B295" w14:textId="77777777" w:rsidR="000816FF" w:rsidRDefault="000816FF" w:rsidP="000816FF">
      <w:pPr>
        <w:spacing w:after="120"/>
        <w:jc w:val="center"/>
        <w:rPr>
          <w:b/>
          <w:bCs/>
          <w:color w:val="000000"/>
          <w:sz w:val="18"/>
          <w:szCs w:val="20"/>
        </w:rPr>
      </w:pPr>
    </w:p>
    <w:p w14:paraId="46371086" w14:textId="77777777" w:rsidR="00024B8C" w:rsidRPr="003B4CDA" w:rsidRDefault="00024B8C" w:rsidP="000816FF">
      <w:pPr>
        <w:spacing w:after="120"/>
        <w:jc w:val="center"/>
        <w:rPr>
          <w:b/>
          <w:bCs/>
          <w:color w:val="000000"/>
          <w:sz w:val="18"/>
          <w:szCs w:val="20"/>
        </w:rPr>
      </w:pPr>
      <w:r w:rsidRPr="003B4CDA">
        <w:rPr>
          <w:b/>
          <w:bCs/>
          <w:color w:val="000000"/>
          <w:sz w:val="18"/>
          <w:szCs w:val="20"/>
        </w:rPr>
        <w:t>Veselības aprūpe un sociālā labklājība</w:t>
      </w:r>
    </w:p>
    <w:p w14:paraId="4981C15E"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11E40114"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044128B8" wp14:editId="52C3BF7C">
            <wp:extent cx="1440000" cy="1440000"/>
            <wp:effectExtent l="0" t="0" r="8255" b="8255"/>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3A95CB11" wp14:editId="40F265D2">
            <wp:extent cx="2808000" cy="1440000"/>
            <wp:effectExtent l="0" t="0" r="0" b="8255"/>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45C04B0E" wp14:editId="7D0C2A94">
            <wp:extent cx="1440000" cy="1440000"/>
            <wp:effectExtent l="0" t="0" r="8255" b="8255"/>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730A0C24" w14:textId="77777777" w:rsidR="00024B8C" w:rsidRDefault="00024B8C" w:rsidP="000816FF">
      <w:pPr>
        <w:spacing w:after="120"/>
        <w:jc w:val="center"/>
        <w:rPr>
          <w:b/>
          <w:bCs/>
          <w:color w:val="000000"/>
          <w:sz w:val="18"/>
          <w:szCs w:val="20"/>
        </w:rPr>
      </w:pPr>
    </w:p>
    <w:p w14:paraId="535FFB09" w14:textId="77777777" w:rsidR="000816FF" w:rsidRDefault="000816FF" w:rsidP="000816FF">
      <w:pPr>
        <w:spacing w:after="120"/>
        <w:jc w:val="center"/>
        <w:rPr>
          <w:b/>
          <w:bCs/>
          <w:color w:val="000000"/>
          <w:sz w:val="18"/>
          <w:szCs w:val="20"/>
        </w:rPr>
      </w:pPr>
    </w:p>
    <w:p w14:paraId="6380C3E7" w14:textId="77777777" w:rsidR="00024B8C" w:rsidRPr="003B4CDA" w:rsidRDefault="00024B8C" w:rsidP="000816FF">
      <w:pPr>
        <w:spacing w:after="120"/>
        <w:jc w:val="center"/>
        <w:rPr>
          <w:b/>
          <w:bCs/>
          <w:color w:val="000000"/>
          <w:sz w:val="18"/>
          <w:szCs w:val="20"/>
        </w:rPr>
      </w:pPr>
      <w:r w:rsidRPr="003B4CDA">
        <w:rPr>
          <w:b/>
          <w:bCs/>
          <w:color w:val="000000"/>
          <w:sz w:val="18"/>
          <w:szCs w:val="20"/>
        </w:rPr>
        <w:t>Pakalpojumi</w:t>
      </w:r>
    </w:p>
    <w:p w14:paraId="5DE85473"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34FCB052"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56CA6F71" wp14:editId="2F222FAC">
            <wp:extent cx="1440000" cy="1440000"/>
            <wp:effectExtent l="0" t="0" r="8255" b="8255"/>
            <wp:docPr id="252"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4D8BA95C" wp14:editId="2E390231">
            <wp:extent cx="2808000" cy="1440000"/>
            <wp:effectExtent l="0" t="0" r="0" b="8255"/>
            <wp:docPr id="339" name="Chart 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7B409C95" wp14:editId="78C3E941">
            <wp:extent cx="1440000" cy="1440000"/>
            <wp:effectExtent l="0" t="0" r="8255" b="825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5D050CE2" w14:textId="77777777" w:rsidR="00024B8C" w:rsidRPr="00024B8C" w:rsidRDefault="00024B8C" w:rsidP="00024B8C">
      <w:pPr>
        <w:spacing w:after="120"/>
        <w:jc w:val="both"/>
        <w:rPr>
          <w:rFonts w:cs="Calibri Light"/>
          <w:sz w:val="16"/>
          <w:szCs w:val="14"/>
        </w:rPr>
      </w:pPr>
      <w:r w:rsidRPr="00024B8C">
        <w:rPr>
          <w:rFonts w:cs="Calibri Light"/>
          <w:sz w:val="16"/>
          <w:szCs w:val="14"/>
        </w:rPr>
        <w:t>Avots: CSP dati 2023. gadam, EM prognozes sākot ar 2024. gadu</w:t>
      </w:r>
    </w:p>
    <w:p w14:paraId="121B43E8" w14:textId="77777777" w:rsidR="0016645F" w:rsidRPr="00B73A48" w:rsidRDefault="0016645F" w:rsidP="0016645F">
      <w:pPr>
        <w:spacing w:after="0"/>
        <w:rPr>
          <w:szCs w:val="26"/>
          <w:highlight w:val="yellow"/>
        </w:rPr>
      </w:pPr>
      <w:r w:rsidRPr="00B73A48">
        <w:rPr>
          <w:szCs w:val="26"/>
          <w:highlight w:val="yellow"/>
        </w:rPr>
        <w:br w:type="page"/>
      </w:r>
    </w:p>
    <w:p w14:paraId="6AFFEC8E" w14:textId="0E0C89C5" w:rsidR="00024B8C" w:rsidRPr="003B4CDA" w:rsidRDefault="00024B8C" w:rsidP="000816FF">
      <w:pPr>
        <w:spacing w:after="120"/>
        <w:jc w:val="both"/>
      </w:pPr>
      <w:r w:rsidRPr="000663C1">
        <w:lastRenderedPageBreak/>
        <w:t xml:space="preserve">Saglabājoties esošai augstākās izglītības piedāvājuma struktūrai, būtiskākais darbaspēka iztrūkums </w:t>
      </w:r>
      <w:r w:rsidRPr="000663C1">
        <w:rPr>
          <w:b/>
          <w:bCs/>
        </w:rPr>
        <w:t xml:space="preserve">augstākās izglītības grupā </w:t>
      </w:r>
      <w:r w:rsidRPr="000663C1">
        <w:t>sagaidāms pēc speciālistiem ar izglītību inženierzinātņu, dabaszinātņu un IKT (STEM) jomās. Atbilstošās kvalifikācijas speciālistu iztrūkums līdz 2030.</w:t>
      </w:r>
      <w:r w:rsidR="00B566DE">
        <w:t> </w:t>
      </w:r>
      <w:r w:rsidRPr="000663C1">
        <w:t>gadam varētu pārsniegt 10 tūkst. speciālistu, galvenokārt tādās jomās kā datorzinātnes, arhitektūra un būvniecība, fizikālās un inženierzinātnēs.</w:t>
      </w:r>
    </w:p>
    <w:p w14:paraId="7722EFEE" w14:textId="1F1EDBA0" w:rsidR="00024B8C" w:rsidRPr="00737C2D" w:rsidRDefault="00024B8C" w:rsidP="000816FF">
      <w:pPr>
        <w:spacing w:after="120"/>
        <w:jc w:val="both"/>
      </w:pPr>
      <w:r w:rsidRPr="000663C1">
        <w:t>Joprojām tiek sagatavoti mazāk speciālistu ar izglītību STEM virzienos nekā darba tirgū turpmākajos gados būs nepieciešams, situācija ir arī nedaudz pasliktinājusies, salīdzinot ar 2022.</w:t>
      </w:r>
      <w:r w:rsidR="00B566DE">
        <w:t> </w:t>
      </w:r>
      <w:r w:rsidRPr="000663C1">
        <w:t>gada EM darba tirgus prognozēm, kad uz 2030.</w:t>
      </w:r>
      <w:r w:rsidR="00B566DE">
        <w:t> </w:t>
      </w:r>
      <w:r w:rsidRPr="000663C1">
        <w:t xml:space="preserve">gadu tika prognozēts aptuveni 9 tūkst. speciālistu iztrūkums ar STEM izglītību. </w:t>
      </w:r>
      <w:r w:rsidRPr="00737C2D">
        <w:t>Jāatzīmē, ka STEM virzienu absolventu īpatsvars studijas beigušo kopskaitā laika periodā no 2008.</w:t>
      </w:r>
      <w:r w:rsidR="00B566DE">
        <w:t> </w:t>
      </w:r>
      <w:r w:rsidRPr="00737C2D">
        <w:t>gada līdz 2023.</w:t>
      </w:r>
      <w:r w:rsidR="00B566DE">
        <w:t> </w:t>
      </w:r>
      <w:r w:rsidRPr="00737C2D">
        <w:t>gadam ir pieaudzis no 13% līdz 20%, kas kopumā ir arī palielinājis jauno speciālistu piedāvājumu darba tirgū.</w:t>
      </w:r>
    </w:p>
    <w:p w14:paraId="125B707B" w14:textId="7DDC3EFF" w:rsidR="00024B8C" w:rsidRPr="00737C2D" w:rsidRDefault="00024B8C" w:rsidP="000816FF">
      <w:pPr>
        <w:spacing w:after="120"/>
        <w:jc w:val="both"/>
      </w:pPr>
      <w:r w:rsidRPr="0002310A">
        <w:t>Lauksaimniecības tematiskajā grupā tāpat kā 2022.</w:t>
      </w:r>
      <w:r w:rsidR="00B566DE">
        <w:t> </w:t>
      </w:r>
      <w:r w:rsidRPr="0002310A">
        <w:t xml:space="preserve">gada prognozēs arī pašreizējās prognozēs darbaspēka pieprasījums un piedāvājums būs tuvu līdzsvaram. </w:t>
      </w:r>
      <w:r w:rsidRPr="00737C2D">
        <w:t>Tomēr lauksaimniecības tematiskajā grupā absolventu skaits ir samazinājies pēdējos gados un joprojām ir nepietiekams, lai kompensētu lauksaimniecības speciālistu samazinājumu, ko nosaka darbaspēka novecošanās.</w:t>
      </w:r>
    </w:p>
    <w:p w14:paraId="58F6CB44" w14:textId="0569AD7C" w:rsidR="00024B8C" w:rsidRPr="00737C2D" w:rsidRDefault="00024B8C" w:rsidP="000816FF">
      <w:pPr>
        <w:spacing w:after="120"/>
        <w:jc w:val="both"/>
      </w:pPr>
      <w:r w:rsidRPr="0002310A">
        <w:t>Vienlaikus veselības un sociālās aprūpes izglītības tematiskajā grupā situācija turpina būt sabalansēta, kur kopumā vidējā termiņā darbaspēka pieprasījums un piedāvājums būs līdzsvarā. Tomēr ilgtermiņā darbaspēka piedāvājums var nedaudz pārsniegt pieprasījumu</w:t>
      </w:r>
      <w:r w:rsidRPr="00737C2D">
        <w:t>. Jāatzīmē, ka pēdējo 7 gadu laikā absolventu skaits veselības un sociālās aprūpes tematiskajā grupā pieaudzis par vairāk nekā 22%, savukārt kopš 2000.</w:t>
      </w:r>
      <w:r w:rsidR="00B566DE">
        <w:t> </w:t>
      </w:r>
      <w:r w:rsidRPr="00737C2D">
        <w:t xml:space="preserve">gada tas ir </w:t>
      </w:r>
      <w:proofErr w:type="spellStart"/>
      <w:r w:rsidRPr="00737C2D">
        <w:t>pieckāršojies</w:t>
      </w:r>
      <w:proofErr w:type="spellEnd"/>
      <w:r w:rsidRPr="00737C2D">
        <w:t>.</w:t>
      </w:r>
    </w:p>
    <w:p w14:paraId="0EE0CC78" w14:textId="66F3231C" w:rsidR="00024B8C" w:rsidRPr="00703363" w:rsidRDefault="00024B8C" w:rsidP="000816FF">
      <w:pPr>
        <w:spacing w:after="120"/>
        <w:jc w:val="both"/>
      </w:pPr>
      <w:r w:rsidRPr="0002310A">
        <w:t xml:space="preserve">Relatīvajā izteiksmē lielākais darbaspēka pārpalikums ar augstāko izglītību prognozējams humanitāro zinātņu un pakalpojumu tematiskajās grupās. </w:t>
      </w:r>
      <w:r w:rsidRPr="00703363">
        <w:t>Jāatzīmē, ka kopš 2009.gada, kad šajās izglītības programmās absolventu skaits bija vislielākais, ir samazinājies par 40 procentiem.</w:t>
      </w:r>
    </w:p>
    <w:p w14:paraId="6110C61F" w14:textId="063DAA88" w:rsidR="00024B8C" w:rsidRPr="00123E96" w:rsidRDefault="00024B8C" w:rsidP="000816FF">
      <w:pPr>
        <w:spacing w:after="120"/>
        <w:jc w:val="both"/>
      </w:pPr>
      <w:r w:rsidRPr="00123E96">
        <w:t xml:space="preserve">Absolūtā izteiksmē lielākais darbaspēka pārpalikums joprojām sagaidāms ar izglītību sociālās un </w:t>
      </w:r>
      <w:proofErr w:type="spellStart"/>
      <w:r w:rsidRPr="00123E96">
        <w:t>komerczinātnēs</w:t>
      </w:r>
      <w:proofErr w:type="spellEnd"/>
      <w:r w:rsidRPr="00123E96">
        <w:t>, bet salīdzinot ar 2022.gada prognozēto, pārpalikums kopumā ir samazinājies – par 13,6 tūkst. speciālistu 2030.gadā</w:t>
      </w:r>
      <w:r w:rsidRPr="00703363">
        <w:t xml:space="preserve">. Jāatzīmē, ka sociālo un </w:t>
      </w:r>
      <w:proofErr w:type="spellStart"/>
      <w:r w:rsidRPr="00703363">
        <w:t>komerczinību</w:t>
      </w:r>
      <w:proofErr w:type="spellEnd"/>
      <w:r w:rsidRPr="00703363">
        <w:t xml:space="preserve"> programmās pēdējos 10 gados absolventu skaits strauji samazinās – par aptuveni 42%. Ja pirms 10 gadiem to skaits veidoja 40% no kopējā absolventu skaita augstskolās, tad 2023.gadā tas veidoja nedaudz vairāk par trešo daļu. Jāņem</w:t>
      </w:r>
      <w:r w:rsidRPr="00123E96">
        <w:t xml:space="preserve"> vērā, ka minētās izmaiņas izglītības piedāvājumā jūtamu ietekmi darba tirgū dos tikai ilgtermiņā – pēc 15-20 gadiem, tāpēc plaisa starp atbilstošās kvalifikācijas speciālistu piedāvājumu un pieprasījumu nākamajos gados turpinās pieaugt.</w:t>
      </w:r>
    </w:p>
    <w:p w14:paraId="6E8949B5" w14:textId="3B090D2B" w:rsidR="00024B8C" w:rsidRPr="00B71423" w:rsidRDefault="00024B8C" w:rsidP="00F149B5">
      <w:pPr>
        <w:spacing w:after="120"/>
        <w:jc w:val="both"/>
      </w:pPr>
      <w:r w:rsidRPr="00DD5E12">
        <w:t xml:space="preserve">Gan vidējā, gan ilgtermiņā darbaspēka pārpalikums  saglabāsies tematiskajā grupā „Izglītība”. Kopumā darbaspēka pieprasījums pēc izglītības speciālistiem turpmākajos gados varētu samazināties, kas saistīts gan ar skolu tīkla optimizāciju, gan arī kopējo izglītojamo skaita samazināšanos. Vienlaikus jāatzīmē, ka arī atbilstošās kvalifikācijas darbaspēka piedāvājums samazināsies – jauno darba tirgū ienākošo speciālistu skaits ir mazāks nekā tie kuri iziet no tā dēļ pensionēšanās u.c. </w:t>
      </w:r>
      <w:r w:rsidRPr="00B71423">
        <w:t xml:space="preserve">faktoriem. 2023.gadā </w:t>
      </w:r>
      <w:r w:rsidR="00F020EC" w:rsidRPr="00B71423">
        <w:t>gandrīz</w:t>
      </w:r>
      <w:r w:rsidRPr="00B71423">
        <w:t xml:space="preserve"> puse </w:t>
      </w:r>
      <w:r w:rsidR="00F020EC" w:rsidRPr="00B71423">
        <w:t xml:space="preserve">(47%) </w:t>
      </w:r>
      <w:r w:rsidRPr="00B71423">
        <w:t>no kopējā darbaspēka piedāvājuma ar augstāko izglītību tematiskajā grupa „Izglītība” bija vecumā virs 50 gadiem, tādejādi nākamo 10-15 gadu laikā vairums no tiem pametīs darba tirgu.</w:t>
      </w:r>
      <w:r w:rsidR="00702616">
        <w:t xml:space="preserve"> </w:t>
      </w:r>
      <w:r w:rsidR="008D0580" w:rsidRPr="008D0580">
        <w:t>Jāatzīmē, ka kopumā prognozētais darbaspēka pārpalikums izglītību tematiskajā grupa „Izglītība”, salīdzinot ar 2022. gada prognozēm ir pieaudzis, ko noteicis gan straujāks kopējā darbaspēka pieprasījuma samazinājums izglītības tematiskajā grupa „Izglītība” prognožu bāzes periodā, salīdzinot ar 2021.gadu, gan arī lielāks uzņemto studējošo skaits 2023.gadā, salīdzinot ar iepriekšējiem periodiem.</w:t>
      </w:r>
    </w:p>
    <w:p w14:paraId="12AD7F03" w14:textId="18E6EFC6" w:rsidR="00103B84" w:rsidRPr="00B71423" w:rsidRDefault="00103B84" w:rsidP="000816FF">
      <w:pPr>
        <w:spacing w:after="120"/>
        <w:rPr>
          <w:szCs w:val="26"/>
        </w:rPr>
      </w:pPr>
      <w:r w:rsidRPr="00B71423">
        <w:rPr>
          <w:szCs w:val="26"/>
        </w:rPr>
        <w:br w:type="page"/>
      </w:r>
    </w:p>
    <w:p w14:paraId="1FA4E117" w14:textId="751B78B0" w:rsidR="0016645F" w:rsidRPr="00024B8C" w:rsidRDefault="0016645F" w:rsidP="00024B8C">
      <w:pPr>
        <w:spacing w:after="120"/>
        <w:jc w:val="right"/>
        <w:rPr>
          <w:szCs w:val="26"/>
        </w:rPr>
      </w:pPr>
      <w:r w:rsidRPr="00024B8C">
        <w:rPr>
          <w:szCs w:val="26"/>
        </w:rPr>
        <w:lastRenderedPageBreak/>
        <w:t>3.1</w:t>
      </w:r>
      <w:r w:rsidR="001179C2" w:rsidRPr="00024B8C">
        <w:rPr>
          <w:szCs w:val="26"/>
        </w:rPr>
        <w:t>6</w:t>
      </w:r>
      <w:r w:rsidRPr="00024B8C">
        <w:rPr>
          <w:szCs w:val="26"/>
        </w:rPr>
        <w:t>. attēls</w:t>
      </w:r>
    </w:p>
    <w:p w14:paraId="135BF7AA" w14:textId="4ED031EC" w:rsidR="0016645F" w:rsidRPr="00024B8C" w:rsidRDefault="0016645F" w:rsidP="000816FF">
      <w:pPr>
        <w:spacing w:after="120"/>
        <w:jc w:val="center"/>
        <w:rPr>
          <w:rFonts w:ascii="Segoe UI Light" w:hAnsi="Segoe UI Light"/>
          <w:i/>
          <w:sz w:val="16"/>
        </w:rPr>
      </w:pPr>
      <w:r w:rsidRPr="00024B8C">
        <w:rPr>
          <w:rFonts w:ascii="Segoe UI Light" w:hAnsi="Segoe UI Light"/>
          <w:b/>
          <w:sz w:val="18"/>
          <w:szCs w:val="26"/>
        </w:rPr>
        <w:t xml:space="preserve">Darbaspēka piedāvājuma un pieprasījuma prognozes </w:t>
      </w:r>
      <w:r w:rsidRPr="00024B8C">
        <w:rPr>
          <w:rFonts w:ascii="Segoe UI Light" w:hAnsi="Segoe UI Light"/>
          <w:b/>
          <w:sz w:val="18"/>
          <w:szCs w:val="26"/>
          <w:u w:val="single"/>
        </w:rPr>
        <w:t xml:space="preserve">ar vidējo </w:t>
      </w:r>
      <w:r w:rsidRPr="00024B8C">
        <w:rPr>
          <w:rFonts w:ascii="Segoe UI Light" w:hAnsi="Segoe UI Light"/>
          <w:b/>
          <w:bCs/>
          <w:color w:val="000000"/>
          <w:sz w:val="18"/>
          <w:szCs w:val="26"/>
          <w:u w:val="single"/>
        </w:rPr>
        <w:t>izglītību</w:t>
      </w:r>
      <w:r w:rsidRPr="00024B8C">
        <w:rPr>
          <w:rFonts w:ascii="Segoe UI Light" w:hAnsi="Segoe UI Light"/>
          <w:b/>
          <w:bCs/>
          <w:color w:val="000000"/>
          <w:sz w:val="18"/>
          <w:szCs w:val="26"/>
        </w:rPr>
        <w:t xml:space="preserve"> sadalījumā pa izglītības tematiskajām grupām</w:t>
      </w:r>
      <w:r w:rsidRPr="00024B8C">
        <w:rPr>
          <w:rFonts w:ascii="Segoe UI Light" w:hAnsi="Segoe UI Light"/>
          <w:b/>
          <w:bCs/>
          <w:color w:val="000000"/>
          <w:sz w:val="18"/>
          <w:szCs w:val="26"/>
        </w:rPr>
        <w:br/>
      </w:r>
      <w:r w:rsidRPr="00024B8C">
        <w:rPr>
          <w:rFonts w:ascii="Segoe UI Light" w:hAnsi="Segoe UI Light"/>
          <w:bCs/>
          <w:i/>
          <w:color w:val="000000"/>
          <w:sz w:val="16"/>
        </w:rPr>
        <w:t>procentos, pieprasījums pret piedāvājumu 2030.</w:t>
      </w:r>
      <w:r w:rsidR="0080669C" w:rsidRPr="00024B8C">
        <w:rPr>
          <w:rFonts w:ascii="Segoe UI Light" w:hAnsi="Segoe UI Light"/>
          <w:bCs/>
          <w:i/>
          <w:color w:val="000000"/>
          <w:sz w:val="16"/>
        </w:rPr>
        <w:t>gad</w:t>
      </w:r>
      <w:r w:rsidRPr="00024B8C">
        <w:rPr>
          <w:rFonts w:ascii="Segoe UI Light" w:hAnsi="Segoe UI Light"/>
          <w:bCs/>
          <w:i/>
          <w:color w:val="000000"/>
          <w:sz w:val="16"/>
        </w:rPr>
        <w:t>ā</w:t>
      </w:r>
    </w:p>
    <w:p w14:paraId="3880F23B" w14:textId="77777777" w:rsidR="00024B8C" w:rsidRPr="003B4CDA" w:rsidRDefault="00024B8C" w:rsidP="000816FF">
      <w:pPr>
        <w:spacing w:after="120"/>
        <w:rPr>
          <w:rFonts w:ascii="Segoe UI Light" w:hAnsi="Segoe UI Light"/>
          <w:sz w:val="18"/>
          <w:szCs w:val="18"/>
        </w:rPr>
      </w:pPr>
      <w:r w:rsidRPr="003B4CDA">
        <w:rPr>
          <w:rFonts w:ascii="Segoe UI Light" w:hAnsi="Segoe UI Light"/>
          <w:bCs/>
          <w:iCs/>
          <w:noProof/>
          <w:sz w:val="18"/>
          <w:szCs w:val="26"/>
          <w:lang w:eastAsia="lv-LV"/>
        </w:rPr>
        <w:drawing>
          <wp:inline distT="0" distB="0" distL="0" distR="0" wp14:anchorId="56F98A54" wp14:editId="3E3CA935">
            <wp:extent cx="5760085" cy="1382573"/>
            <wp:effectExtent l="0" t="0" r="0" b="8255"/>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24B8C" w:rsidRPr="003B4CDA" w14:paraId="1D4EF4CB" w14:textId="77777777">
        <w:trPr>
          <w:cantSplit/>
          <w:trHeight w:val="1928"/>
        </w:trPr>
        <w:tc>
          <w:tcPr>
            <w:tcW w:w="9071" w:type="dxa"/>
            <w:textDirection w:val="btLr"/>
          </w:tcPr>
          <w:p w14:paraId="45D98312" w14:textId="77777777" w:rsidR="00024B8C" w:rsidRPr="003B4CDA" w:rsidRDefault="00024B8C" w:rsidP="000816FF">
            <w:pPr>
              <w:spacing w:before="720" w:after="120"/>
              <w:ind w:left="113" w:right="113"/>
              <w:jc w:val="right"/>
              <w:rPr>
                <w:rFonts w:ascii="Segoe UI Light" w:hAnsi="Segoe UI Light"/>
                <w:sz w:val="16"/>
                <w:szCs w:val="16"/>
              </w:rPr>
            </w:pPr>
            <w:r w:rsidRPr="003B4CDA">
              <w:rPr>
                <w:rFonts w:ascii="Segoe UI Light" w:hAnsi="Segoe UI Light"/>
                <w:bCs/>
                <w:iCs/>
                <w:sz w:val="16"/>
                <w:szCs w:val="16"/>
              </w:rPr>
              <w:t xml:space="preserve">Humanitārās </w:t>
            </w:r>
            <w:r w:rsidRPr="003B4CDA">
              <w:rPr>
                <w:rFonts w:ascii="Segoe UI Light" w:hAnsi="Segoe UI Light"/>
                <w:bCs/>
                <w:iCs/>
                <w:sz w:val="16"/>
                <w:szCs w:val="16"/>
              </w:rPr>
              <w:br/>
              <w:t>zinātnes un māksla</w:t>
            </w:r>
          </w:p>
          <w:p w14:paraId="448627E0" w14:textId="77777777" w:rsidR="00024B8C" w:rsidRPr="003B4CDA" w:rsidRDefault="00024B8C" w:rsidP="000816FF">
            <w:pPr>
              <w:spacing w:before="600" w:after="120"/>
              <w:ind w:left="113" w:right="113"/>
              <w:jc w:val="right"/>
              <w:rPr>
                <w:rFonts w:ascii="Segoe UI Light" w:hAnsi="Segoe UI Light"/>
                <w:sz w:val="16"/>
                <w:szCs w:val="16"/>
              </w:rPr>
            </w:pPr>
            <w:r w:rsidRPr="003B4CDA">
              <w:rPr>
                <w:rFonts w:ascii="Segoe UI Light" w:hAnsi="Segoe UI Light"/>
                <w:bCs/>
                <w:iCs/>
                <w:sz w:val="16"/>
                <w:szCs w:val="16"/>
              </w:rPr>
              <w:t xml:space="preserve">Sociālās zinātnes, </w:t>
            </w:r>
            <w:proofErr w:type="spellStart"/>
            <w:r w:rsidRPr="003B4CDA">
              <w:rPr>
                <w:rFonts w:ascii="Segoe UI Light" w:hAnsi="Segoe UI Light"/>
                <w:bCs/>
                <w:iCs/>
                <w:sz w:val="16"/>
                <w:szCs w:val="16"/>
              </w:rPr>
              <w:t>komerczinības</w:t>
            </w:r>
            <w:proofErr w:type="spellEnd"/>
            <w:r w:rsidRPr="003B4CDA">
              <w:rPr>
                <w:rFonts w:ascii="Segoe UI Light" w:hAnsi="Segoe UI Light"/>
                <w:bCs/>
                <w:iCs/>
                <w:sz w:val="16"/>
                <w:szCs w:val="16"/>
              </w:rPr>
              <w:t xml:space="preserve"> un tiesības</w:t>
            </w:r>
          </w:p>
          <w:p w14:paraId="69B48A26" w14:textId="77777777" w:rsidR="00024B8C" w:rsidRPr="003B4CDA" w:rsidRDefault="00024B8C" w:rsidP="000816FF">
            <w:pPr>
              <w:spacing w:before="540" w:after="120"/>
              <w:ind w:left="113" w:right="113"/>
              <w:jc w:val="right"/>
              <w:rPr>
                <w:rFonts w:ascii="Segoe UI Light" w:hAnsi="Segoe UI Light"/>
                <w:bCs/>
                <w:iCs/>
                <w:sz w:val="16"/>
                <w:szCs w:val="16"/>
              </w:rPr>
            </w:pPr>
            <w:r w:rsidRPr="003B4CDA">
              <w:rPr>
                <w:rFonts w:ascii="Segoe UI Light" w:hAnsi="Segoe UI Light"/>
                <w:bCs/>
                <w:iCs/>
                <w:sz w:val="16"/>
                <w:szCs w:val="16"/>
              </w:rPr>
              <w:t>Dabas zinātnes, matemātika un informācijas tehnoloģijas</w:t>
            </w:r>
          </w:p>
          <w:p w14:paraId="4E24C279" w14:textId="77777777" w:rsidR="00024B8C" w:rsidRPr="003B4CDA" w:rsidRDefault="00024B8C" w:rsidP="000816FF">
            <w:pPr>
              <w:spacing w:before="480" w:after="120"/>
              <w:ind w:left="113" w:right="113"/>
              <w:jc w:val="right"/>
              <w:rPr>
                <w:rFonts w:ascii="Segoe UI Light" w:hAnsi="Segoe UI Light"/>
                <w:bCs/>
                <w:iCs/>
                <w:sz w:val="16"/>
                <w:szCs w:val="16"/>
              </w:rPr>
            </w:pPr>
            <w:r w:rsidRPr="003B4CDA">
              <w:rPr>
                <w:rFonts w:ascii="Segoe UI Light" w:hAnsi="Segoe UI Light"/>
                <w:bCs/>
                <w:iCs/>
                <w:sz w:val="16"/>
                <w:szCs w:val="16"/>
              </w:rPr>
              <w:t>Inženierzinātnes, ražošana un būvniecība</w:t>
            </w:r>
          </w:p>
          <w:p w14:paraId="734580A8" w14:textId="77777777" w:rsidR="00024B8C" w:rsidRPr="003B4CDA" w:rsidRDefault="00024B8C" w:rsidP="000816FF">
            <w:pPr>
              <w:spacing w:before="720" w:after="120"/>
              <w:ind w:left="113" w:right="113"/>
              <w:jc w:val="right"/>
              <w:rPr>
                <w:rFonts w:ascii="Segoe UI Light" w:hAnsi="Segoe UI Light"/>
                <w:sz w:val="16"/>
                <w:szCs w:val="16"/>
              </w:rPr>
            </w:pPr>
            <w:r w:rsidRPr="003B4CDA">
              <w:rPr>
                <w:rFonts w:ascii="Segoe UI Light" w:hAnsi="Segoe UI Light"/>
                <w:bCs/>
                <w:iCs/>
                <w:sz w:val="16"/>
                <w:szCs w:val="16"/>
              </w:rPr>
              <w:t>Lauksaimniecība</w:t>
            </w:r>
          </w:p>
          <w:p w14:paraId="4C65B207" w14:textId="77777777" w:rsidR="00024B8C" w:rsidRPr="003B4CDA" w:rsidRDefault="00024B8C" w:rsidP="000816FF">
            <w:pPr>
              <w:spacing w:before="720" w:after="120"/>
              <w:ind w:left="113" w:right="113"/>
              <w:jc w:val="right"/>
              <w:rPr>
                <w:rFonts w:ascii="Segoe UI Light" w:hAnsi="Segoe UI Light"/>
                <w:sz w:val="16"/>
                <w:szCs w:val="16"/>
              </w:rPr>
            </w:pPr>
            <w:r w:rsidRPr="003B4CDA">
              <w:rPr>
                <w:rFonts w:ascii="Segoe UI Light" w:hAnsi="Segoe UI Light"/>
                <w:bCs/>
                <w:iCs/>
                <w:sz w:val="16"/>
                <w:szCs w:val="16"/>
              </w:rPr>
              <w:t>Veselības aprūpe un sociālā labklājība</w:t>
            </w:r>
          </w:p>
          <w:p w14:paraId="746BA044" w14:textId="77777777" w:rsidR="00024B8C" w:rsidRPr="003B4CDA" w:rsidRDefault="00024B8C" w:rsidP="000816FF">
            <w:pPr>
              <w:spacing w:before="720" w:after="120"/>
              <w:ind w:left="113" w:right="113"/>
              <w:jc w:val="right"/>
              <w:rPr>
                <w:rFonts w:ascii="Segoe UI Light" w:hAnsi="Segoe UI Light"/>
                <w:bCs/>
                <w:iCs/>
                <w:sz w:val="16"/>
                <w:szCs w:val="16"/>
              </w:rPr>
            </w:pPr>
            <w:r w:rsidRPr="003B4CDA">
              <w:rPr>
                <w:rFonts w:ascii="Segoe UI Light" w:hAnsi="Segoe UI Light"/>
                <w:bCs/>
                <w:iCs/>
                <w:sz w:val="16"/>
                <w:szCs w:val="16"/>
              </w:rPr>
              <w:t>Pakalpojumi</w:t>
            </w:r>
          </w:p>
          <w:p w14:paraId="5FF035DB" w14:textId="77777777" w:rsidR="00024B8C" w:rsidRPr="003B4CDA" w:rsidRDefault="00024B8C" w:rsidP="000816FF">
            <w:pPr>
              <w:spacing w:before="660" w:after="120"/>
              <w:ind w:left="113" w:right="113"/>
              <w:jc w:val="right"/>
              <w:rPr>
                <w:rFonts w:ascii="Segoe UI Light" w:hAnsi="Segoe UI Light"/>
                <w:sz w:val="16"/>
                <w:szCs w:val="16"/>
              </w:rPr>
            </w:pPr>
            <w:r w:rsidRPr="003B4CDA">
              <w:rPr>
                <w:rFonts w:ascii="Segoe UI Light" w:hAnsi="Segoe UI Light"/>
                <w:bCs/>
                <w:iCs/>
                <w:sz w:val="16"/>
                <w:szCs w:val="16"/>
              </w:rPr>
              <w:t>Vispārējās izglītības un citur neklasificētās tematiskās grupas</w:t>
            </w:r>
          </w:p>
        </w:tc>
      </w:tr>
    </w:tbl>
    <w:p w14:paraId="7911C83D" w14:textId="77777777" w:rsidR="00024B8C" w:rsidRDefault="00024B8C" w:rsidP="000816FF">
      <w:pPr>
        <w:spacing w:after="120"/>
        <w:jc w:val="right"/>
        <w:rPr>
          <w:szCs w:val="26"/>
        </w:rPr>
      </w:pPr>
    </w:p>
    <w:p w14:paraId="03B5B606" w14:textId="77777777" w:rsidR="000816FF" w:rsidRDefault="000816FF" w:rsidP="000816FF">
      <w:pPr>
        <w:spacing w:after="120"/>
        <w:jc w:val="right"/>
        <w:rPr>
          <w:szCs w:val="26"/>
        </w:rPr>
      </w:pPr>
    </w:p>
    <w:p w14:paraId="3A3BCAB7" w14:textId="77777777" w:rsidR="00024B8C" w:rsidRPr="003B4CDA" w:rsidRDefault="00024B8C" w:rsidP="000816FF">
      <w:pPr>
        <w:spacing w:after="120"/>
        <w:jc w:val="center"/>
        <w:rPr>
          <w:b/>
          <w:bCs/>
          <w:color w:val="000000"/>
          <w:sz w:val="18"/>
          <w:szCs w:val="20"/>
        </w:rPr>
      </w:pPr>
      <w:r w:rsidRPr="003B4CDA">
        <w:rPr>
          <w:b/>
          <w:bCs/>
          <w:color w:val="000000"/>
          <w:sz w:val="18"/>
          <w:szCs w:val="20"/>
        </w:rPr>
        <w:t>Humanitārās zinātnes un māksla</w:t>
      </w:r>
    </w:p>
    <w:p w14:paraId="22DCA061"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0501712C"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38343749" wp14:editId="4639CDFA">
            <wp:extent cx="1440000" cy="1440000"/>
            <wp:effectExtent l="0" t="0" r="8255" b="8255"/>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329FBD39" wp14:editId="352AFF89">
            <wp:extent cx="2808000" cy="1440000"/>
            <wp:effectExtent l="0" t="0" r="0" b="825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4D99FDB7" wp14:editId="27A7323E">
            <wp:extent cx="1440000" cy="1440000"/>
            <wp:effectExtent l="0" t="0" r="8255" b="8255"/>
            <wp:docPr id="273" name="Chart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235F66D9" w14:textId="77777777" w:rsidR="00024B8C" w:rsidRPr="003B4CDA" w:rsidRDefault="00024B8C" w:rsidP="000816FF">
      <w:pPr>
        <w:spacing w:after="120"/>
        <w:rPr>
          <w:color w:val="000000"/>
          <w:sz w:val="18"/>
          <w:szCs w:val="20"/>
        </w:rPr>
      </w:pPr>
    </w:p>
    <w:p w14:paraId="4D388C53" w14:textId="77777777" w:rsidR="000816FF" w:rsidRPr="003B4CDA" w:rsidRDefault="000816FF" w:rsidP="000816FF">
      <w:pPr>
        <w:spacing w:after="120"/>
        <w:rPr>
          <w:color w:val="000000"/>
          <w:sz w:val="18"/>
          <w:szCs w:val="20"/>
        </w:rPr>
      </w:pPr>
    </w:p>
    <w:p w14:paraId="1DF95FB6" w14:textId="77777777" w:rsidR="00024B8C" w:rsidRPr="003B4CDA" w:rsidRDefault="00024B8C" w:rsidP="000816FF">
      <w:pPr>
        <w:spacing w:after="120"/>
        <w:jc w:val="center"/>
        <w:rPr>
          <w:b/>
          <w:bCs/>
          <w:color w:val="000000"/>
          <w:sz w:val="18"/>
          <w:szCs w:val="20"/>
        </w:rPr>
      </w:pPr>
      <w:r w:rsidRPr="003B4CDA">
        <w:rPr>
          <w:b/>
          <w:bCs/>
          <w:color w:val="000000"/>
          <w:sz w:val="18"/>
          <w:szCs w:val="20"/>
        </w:rPr>
        <w:t xml:space="preserve">Sociālās zinātnes, </w:t>
      </w:r>
      <w:proofErr w:type="spellStart"/>
      <w:r w:rsidRPr="003B4CDA">
        <w:rPr>
          <w:b/>
          <w:bCs/>
          <w:color w:val="000000"/>
          <w:sz w:val="18"/>
          <w:szCs w:val="20"/>
        </w:rPr>
        <w:t>komerczinības</w:t>
      </w:r>
      <w:proofErr w:type="spellEnd"/>
      <w:r w:rsidRPr="003B4CDA">
        <w:rPr>
          <w:b/>
          <w:bCs/>
          <w:color w:val="000000"/>
          <w:sz w:val="18"/>
          <w:szCs w:val="20"/>
        </w:rPr>
        <w:t xml:space="preserve"> un tiesības</w:t>
      </w:r>
    </w:p>
    <w:p w14:paraId="02D98A89"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6EA44CD5"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543F496B" wp14:editId="1AF05FFF">
            <wp:extent cx="1440000" cy="1440000"/>
            <wp:effectExtent l="0" t="0" r="8255" b="8255"/>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129F701D" wp14:editId="099CBE0A">
            <wp:extent cx="2808000" cy="1440000"/>
            <wp:effectExtent l="0" t="0" r="0" b="8255"/>
            <wp:docPr id="340" name="Chart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5D332D45" wp14:editId="0F5C8D48">
            <wp:extent cx="1440000" cy="1440000"/>
            <wp:effectExtent l="0" t="0" r="8255" b="8255"/>
            <wp:docPr id="341" name="Chart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302487E2" w14:textId="77777777" w:rsidR="00024B8C" w:rsidRDefault="00024B8C" w:rsidP="000816FF">
      <w:pPr>
        <w:spacing w:after="120"/>
        <w:rPr>
          <w:szCs w:val="26"/>
        </w:rPr>
      </w:pPr>
      <w:r>
        <w:rPr>
          <w:szCs w:val="26"/>
        </w:rPr>
        <w:br w:type="page"/>
      </w:r>
    </w:p>
    <w:p w14:paraId="047DC74A" w14:textId="77777777" w:rsidR="00024B8C" w:rsidRPr="003B4CDA" w:rsidRDefault="00024B8C" w:rsidP="00024B8C">
      <w:pPr>
        <w:spacing w:after="120"/>
        <w:jc w:val="right"/>
        <w:rPr>
          <w:szCs w:val="26"/>
        </w:rPr>
      </w:pPr>
      <w:r w:rsidRPr="003B4CDA">
        <w:rPr>
          <w:szCs w:val="26"/>
        </w:rPr>
        <w:lastRenderedPageBreak/>
        <w:t>3.1</w:t>
      </w:r>
      <w:r>
        <w:rPr>
          <w:szCs w:val="26"/>
        </w:rPr>
        <w:t>6</w:t>
      </w:r>
      <w:r w:rsidRPr="003B4CDA">
        <w:rPr>
          <w:szCs w:val="26"/>
        </w:rPr>
        <w:t>. attēla turpinājums</w:t>
      </w:r>
    </w:p>
    <w:p w14:paraId="685321B8" w14:textId="77777777" w:rsidR="00024B8C" w:rsidRPr="003B4CDA" w:rsidRDefault="00024B8C" w:rsidP="000816FF">
      <w:pPr>
        <w:spacing w:after="120"/>
        <w:jc w:val="center"/>
        <w:rPr>
          <w:b/>
          <w:bCs/>
          <w:color w:val="000000"/>
          <w:sz w:val="18"/>
          <w:szCs w:val="20"/>
        </w:rPr>
      </w:pPr>
      <w:r w:rsidRPr="003B4CDA">
        <w:rPr>
          <w:b/>
          <w:bCs/>
          <w:color w:val="000000"/>
          <w:sz w:val="18"/>
          <w:szCs w:val="20"/>
        </w:rPr>
        <w:t>Dabas zinātnes, matemātika un informācijas tehnoloģijas</w:t>
      </w:r>
    </w:p>
    <w:p w14:paraId="584186C1"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64DB7E11"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6CA4B522" wp14:editId="05C5B91D">
            <wp:extent cx="1440000" cy="1440000"/>
            <wp:effectExtent l="0" t="0" r="8255" b="8255"/>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0D5B4669" wp14:editId="01A8D874">
            <wp:extent cx="2808000" cy="1440000"/>
            <wp:effectExtent l="0" t="0" r="0" b="8255"/>
            <wp:docPr id="342" name="Chart 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4584975B" wp14:editId="0AAF6743">
            <wp:extent cx="1440000" cy="1440000"/>
            <wp:effectExtent l="0" t="0" r="8255" b="8255"/>
            <wp:docPr id="343" name="Chart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538037DA" w14:textId="77777777" w:rsidR="00024B8C" w:rsidRDefault="00024B8C" w:rsidP="000816FF">
      <w:pPr>
        <w:spacing w:after="120"/>
        <w:jc w:val="right"/>
        <w:rPr>
          <w:szCs w:val="26"/>
        </w:rPr>
      </w:pPr>
    </w:p>
    <w:p w14:paraId="0BA0B46E" w14:textId="77777777" w:rsidR="000816FF" w:rsidRDefault="000816FF" w:rsidP="000816FF">
      <w:pPr>
        <w:spacing w:after="120"/>
        <w:jc w:val="right"/>
        <w:rPr>
          <w:szCs w:val="26"/>
        </w:rPr>
      </w:pPr>
    </w:p>
    <w:p w14:paraId="78EB92B0" w14:textId="77777777" w:rsidR="00024B8C" w:rsidRPr="003B4CDA" w:rsidRDefault="00024B8C" w:rsidP="000816FF">
      <w:pPr>
        <w:spacing w:after="120"/>
        <w:jc w:val="center"/>
        <w:rPr>
          <w:b/>
          <w:bCs/>
          <w:color w:val="000000"/>
          <w:sz w:val="18"/>
          <w:szCs w:val="20"/>
        </w:rPr>
      </w:pPr>
      <w:r w:rsidRPr="003B4CDA">
        <w:rPr>
          <w:b/>
          <w:bCs/>
          <w:color w:val="000000"/>
          <w:sz w:val="18"/>
          <w:szCs w:val="20"/>
        </w:rPr>
        <w:t>Inženierzinātnes, ražošana un būvniecība</w:t>
      </w:r>
    </w:p>
    <w:p w14:paraId="00676ABE"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1A76B7CB" w14:textId="77777777" w:rsidR="00024B8C"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0619352F" wp14:editId="1019F643">
            <wp:extent cx="1440000" cy="1440000"/>
            <wp:effectExtent l="0" t="0" r="8255" b="825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4F0925EE" wp14:editId="2D010124">
            <wp:extent cx="2808000" cy="1440000"/>
            <wp:effectExtent l="0" t="0" r="0" b="8255"/>
            <wp:docPr id="344" name="Chart 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1A958837" wp14:editId="75975A0D">
            <wp:extent cx="1440000" cy="1440000"/>
            <wp:effectExtent l="0" t="0" r="8255" b="8255"/>
            <wp:docPr id="345" name="Chart 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59AC596A" w14:textId="77777777" w:rsidR="000816FF" w:rsidRPr="003B4CDA" w:rsidRDefault="000816FF" w:rsidP="000816FF">
      <w:pPr>
        <w:spacing w:after="120"/>
        <w:ind w:right="-285"/>
        <w:rPr>
          <w:bCs/>
          <w:color w:val="000000"/>
          <w:sz w:val="16"/>
        </w:rPr>
      </w:pPr>
    </w:p>
    <w:p w14:paraId="5775A623" w14:textId="77777777" w:rsidR="00024B8C" w:rsidRPr="003B4CDA" w:rsidRDefault="00024B8C" w:rsidP="000816FF">
      <w:pPr>
        <w:spacing w:after="120"/>
        <w:rPr>
          <w:szCs w:val="26"/>
        </w:rPr>
      </w:pPr>
    </w:p>
    <w:p w14:paraId="5773682F" w14:textId="77777777" w:rsidR="00024B8C" w:rsidRPr="003B4CDA" w:rsidRDefault="00024B8C" w:rsidP="000816FF">
      <w:pPr>
        <w:spacing w:after="120"/>
        <w:jc w:val="center"/>
        <w:rPr>
          <w:b/>
          <w:bCs/>
          <w:color w:val="000000"/>
          <w:sz w:val="18"/>
          <w:szCs w:val="20"/>
        </w:rPr>
      </w:pPr>
      <w:r w:rsidRPr="003B4CDA">
        <w:rPr>
          <w:b/>
          <w:bCs/>
          <w:color w:val="000000"/>
          <w:sz w:val="18"/>
          <w:szCs w:val="20"/>
        </w:rPr>
        <w:t>Lauksaimniecība</w:t>
      </w:r>
    </w:p>
    <w:p w14:paraId="0170AC78"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5A951F74"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4A66AE24" wp14:editId="60337A03">
            <wp:extent cx="1440000" cy="1440000"/>
            <wp:effectExtent l="0" t="0" r="8255" b="825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31DCA440" wp14:editId="7895F8F3">
            <wp:extent cx="2808000" cy="1440000"/>
            <wp:effectExtent l="0" t="0" r="0" b="8255"/>
            <wp:docPr id="346" name="Chart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2C7C69FB" wp14:editId="3BFA84A5">
            <wp:extent cx="1440000" cy="1440000"/>
            <wp:effectExtent l="0" t="0" r="8255" b="8255"/>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25E49742" w14:textId="77777777" w:rsidR="00024B8C" w:rsidRPr="003B4CDA" w:rsidRDefault="00024B8C" w:rsidP="000816FF">
      <w:pPr>
        <w:spacing w:after="120"/>
        <w:ind w:right="-285"/>
        <w:rPr>
          <w:bCs/>
          <w:color w:val="000000"/>
          <w:sz w:val="16"/>
        </w:rPr>
      </w:pPr>
    </w:p>
    <w:p w14:paraId="4D8B966B" w14:textId="77777777" w:rsidR="00024B8C" w:rsidRDefault="00024B8C" w:rsidP="000816FF">
      <w:pPr>
        <w:spacing w:after="120"/>
        <w:rPr>
          <w:szCs w:val="26"/>
        </w:rPr>
      </w:pPr>
      <w:r>
        <w:rPr>
          <w:szCs w:val="26"/>
        </w:rPr>
        <w:br w:type="page"/>
      </w:r>
    </w:p>
    <w:p w14:paraId="7F165FBC" w14:textId="77777777" w:rsidR="00024B8C" w:rsidRPr="003B4CDA" w:rsidRDefault="00024B8C" w:rsidP="00024B8C">
      <w:pPr>
        <w:spacing w:after="120"/>
        <w:jc w:val="right"/>
        <w:rPr>
          <w:szCs w:val="26"/>
        </w:rPr>
      </w:pPr>
      <w:r w:rsidRPr="003B4CDA">
        <w:rPr>
          <w:szCs w:val="26"/>
        </w:rPr>
        <w:lastRenderedPageBreak/>
        <w:t>3.1</w:t>
      </w:r>
      <w:r>
        <w:rPr>
          <w:szCs w:val="26"/>
        </w:rPr>
        <w:t>6</w:t>
      </w:r>
      <w:r w:rsidRPr="003B4CDA">
        <w:rPr>
          <w:szCs w:val="26"/>
        </w:rPr>
        <w:t>. attēla turpinājums</w:t>
      </w:r>
    </w:p>
    <w:p w14:paraId="18639979" w14:textId="77777777" w:rsidR="00024B8C" w:rsidRPr="003B4CDA" w:rsidRDefault="00024B8C" w:rsidP="000816FF">
      <w:pPr>
        <w:spacing w:after="120"/>
        <w:jc w:val="center"/>
        <w:rPr>
          <w:b/>
          <w:bCs/>
          <w:color w:val="000000"/>
          <w:sz w:val="18"/>
          <w:szCs w:val="20"/>
        </w:rPr>
      </w:pPr>
      <w:r w:rsidRPr="003B4CDA">
        <w:rPr>
          <w:b/>
          <w:bCs/>
          <w:color w:val="000000"/>
          <w:sz w:val="18"/>
          <w:szCs w:val="20"/>
        </w:rPr>
        <w:t>Veselības aprūpe un sociālā labklājība</w:t>
      </w:r>
    </w:p>
    <w:p w14:paraId="40037945"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2027. gadā</w:t>
      </w:r>
    </w:p>
    <w:p w14:paraId="60501C63"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14BF8C34" wp14:editId="13726DB3">
            <wp:extent cx="1440000" cy="1440000"/>
            <wp:effectExtent l="0" t="0" r="8255" b="8255"/>
            <wp:docPr id="256" name="Chart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27E73875" wp14:editId="6C6D9E78">
            <wp:extent cx="2808000" cy="1440000"/>
            <wp:effectExtent l="0" t="0" r="0" b="8255"/>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446543C0" wp14:editId="7BE4F4CA">
            <wp:extent cx="1440000" cy="1440000"/>
            <wp:effectExtent l="0" t="0" r="8255" b="8255"/>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7C5DF760" w14:textId="77777777" w:rsidR="00024B8C" w:rsidRDefault="00024B8C" w:rsidP="000816FF">
      <w:pPr>
        <w:spacing w:after="120"/>
        <w:jc w:val="right"/>
        <w:rPr>
          <w:szCs w:val="26"/>
        </w:rPr>
      </w:pPr>
    </w:p>
    <w:p w14:paraId="454B5713" w14:textId="77777777" w:rsidR="000816FF" w:rsidRDefault="000816FF" w:rsidP="000816FF">
      <w:pPr>
        <w:spacing w:after="120"/>
        <w:jc w:val="right"/>
        <w:rPr>
          <w:szCs w:val="26"/>
        </w:rPr>
      </w:pPr>
    </w:p>
    <w:p w14:paraId="3BE80FEB" w14:textId="77777777" w:rsidR="00024B8C" w:rsidRPr="003B4CDA" w:rsidRDefault="00024B8C" w:rsidP="000816FF">
      <w:pPr>
        <w:spacing w:after="120"/>
        <w:jc w:val="center"/>
        <w:rPr>
          <w:b/>
          <w:bCs/>
          <w:color w:val="000000"/>
          <w:sz w:val="18"/>
          <w:szCs w:val="20"/>
        </w:rPr>
      </w:pPr>
      <w:r w:rsidRPr="003B4CDA">
        <w:rPr>
          <w:b/>
          <w:bCs/>
          <w:color w:val="000000"/>
          <w:sz w:val="18"/>
          <w:szCs w:val="20"/>
        </w:rPr>
        <w:t>Pakalpojumi</w:t>
      </w:r>
    </w:p>
    <w:p w14:paraId="50B76F87"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283E80FC"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198FD3A2" wp14:editId="3DB6B735">
            <wp:extent cx="1440000" cy="1440000"/>
            <wp:effectExtent l="0" t="0" r="8255" b="8255"/>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259F3F6D" wp14:editId="695103E6">
            <wp:extent cx="2808000" cy="1440000"/>
            <wp:effectExtent l="0" t="0" r="0" b="8255"/>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640F7D72" wp14:editId="414C7806">
            <wp:extent cx="1440000" cy="1440000"/>
            <wp:effectExtent l="0" t="0" r="8255" b="8255"/>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14:paraId="00E70F74" w14:textId="77777777" w:rsidR="00024B8C" w:rsidRPr="003B4CDA" w:rsidRDefault="00024B8C" w:rsidP="000816FF">
      <w:pPr>
        <w:spacing w:after="120"/>
        <w:ind w:right="-285"/>
        <w:rPr>
          <w:bCs/>
          <w:color w:val="000000"/>
          <w:sz w:val="16"/>
        </w:rPr>
      </w:pPr>
    </w:p>
    <w:p w14:paraId="32FC1718" w14:textId="77777777" w:rsidR="000816FF" w:rsidRPr="003B4CDA" w:rsidRDefault="000816FF" w:rsidP="000816FF">
      <w:pPr>
        <w:spacing w:after="120"/>
        <w:ind w:right="-285"/>
        <w:rPr>
          <w:bCs/>
          <w:color w:val="000000"/>
          <w:sz w:val="16"/>
        </w:rPr>
      </w:pPr>
    </w:p>
    <w:p w14:paraId="3B4888B1" w14:textId="77777777" w:rsidR="00024B8C" w:rsidRPr="003B4CDA" w:rsidRDefault="00024B8C" w:rsidP="000816FF">
      <w:pPr>
        <w:spacing w:after="120"/>
        <w:jc w:val="center"/>
        <w:rPr>
          <w:b/>
          <w:bCs/>
          <w:color w:val="000000"/>
          <w:sz w:val="18"/>
          <w:szCs w:val="20"/>
        </w:rPr>
      </w:pPr>
      <w:r w:rsidRPr="003B4CDA">
        <w:rPr>
          <w:b/>
          <w:bCs/>
          <w:color w:val="000000"/>
          <w:sz w:val="18"/>
          <w:szCs w:val="20"/>
        </w:rPr>
        <w:t>Vispārējās izglītības un citur neklasificētās tematiskās grupas</w:t>
      </w:r>
    </w:p>
    <w:p w14:paraId="68B0C6F1" w14:textId="77777777" w:rsidR="00024B8C" w:rsidRPr="003B4CDA" w:rsidRDefault="00024B8C" w:rsidP="000816FF">
      <w:pPr>
        <w:tabs>
          <w:tab w:val="center" w:pos="1134"/>
          <w:tab w:val="center" w:pos="4536"/>
          <w:tab w:val="center" w:pos="7938"/>
        </w:tabs>
        <w:spacing w:after="120"/>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60CCEC48" w14:textId="77777777" w:rsidR="00024B8C" w:rsidRPr="003B4CDA" w:rsidRDefault="00024B8C" w:rsidP="000816FF">
      <w:pPr>
        <w:spacing w:after="120"/>
        <w:ind w:right="-285"/>
        <w:rPr>
          <w:color w:val="000000"/>
          <w:sz w:val="16"/>
          <w:szCs w:val="16"/>
        </w:rPr>
      </w:pPr>
      <w:r w:rsidRPr="003B4CDA">
        <w:rPr>
          <w:bCs/>
          <w:noProof/>
          <w:color w:val="000000"/>
          <w:sz w:val="16"/>
          <w:lang w:eastAsia="lv-LV"/>
        </w:rPr>
        <w:drawing>
          <wp:inline distT="0" distB="0" distL="0" distR="0" wp14:anchorId="2DA55074" wp14:editId="3A0C368D">
            <wp:extent cx="1440000" cy="1440000"/>
            <wp:effectExtent l="0" t="0" r="8255" b="8255"/>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r w:rsidRPr="0C922411">
        <w:rPr>
          <w:color w:val="000000"/>
          <w:sz w:val="16"/>
          <w:szCs w:val="16"/>
        </w:rPr>
        <w:t xml:space="preserve">   </w:t>
      </w:r>
      <w:r w:rsidRPr="003B4CDA">
        <w:rPr>
          <w:bCs/>
          <w:iCs/>
          <w:noProof/>
          <w:sz w:val="18"/>
          <w:szCs w:val="26"/>
          <w:lang w:eastAsia="lv-LV"/>
        </w:rPr>
        <w:drawing>
          <wp:inline distT="0" distB="0" distL="0" distR="0" wp14:anchorId="019592D9" wp14:editId="622F3737">
            <wp:extent cx="2808000" cy="1440000"/>
            <wp:effectExtent l="0" t="0" r="0" b="8255"/>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r w:rsidRPr="0C922411">
        <w:rPr>
          <w:color w:val="000000"/>
          <w:sz w:val="16"/>
          <w:szCs w:val="16"/>
        </w:rPr>
        <w:t xml:space="preserve">   </w:t>
      </w:r>
      <w:r w:rsidRPr="003B4CDA">
        <w:rPr>
          <w:bCs/>
          <w:noProof/>
          <w:color w:val="000000"/>
          <w:sz w:val="16"/>
          <w:lang w:eastAsia="lv-LV"/>
        </w:rPr>
        <w:drawing>
          <wp:inline distT="0" distB="0" distL="0" distR="0" wp14:anchorId="48663583" wp14:editId="141FC38D">
            <wp:extent cx="1440000" cy="1440000"/>
            <wp:effectExtent l="0" t="0" r="8255" b="8255"/>
            <wp:docPr id="110" name="Chart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3091731A" w14:textId="77777777" w:rsidR="00024B8C" w:rsidRPr="00024B8C" w:rsidRDefault="00024B8C" w:rsidP="00024B8C">
      <w:pPr>
        <w:spacing w:before="120" w:after="120"/>
        <w:jc w:val="both"/>
        <w:rPr>
          <w:rFonts w:cs="Calibri Light"/>
          <w:sz w:val="16"/>
          <w:szCs w:val="14"/>
        </w:rPr>
      </w:pPr>
      <w:r w:rsidRPr="00024B8C">
        <w:rPr>
          <w:rFonts w:cs="Calibri Light"/>
          <w:sz w:val="16"/>
          <w:szCs w:val="14"/>
        </w:rPr>
        <w:t>Avots: CSP dati līdz 2023. gadam, EM prognozes sākot ar 2024. gadu</w:t>
      </w:r>
    </w:p>
    <w:p w14:paraId="050619F1" w14:textId="77777777" w:rsidR="00024B8C" w:rsidRDefault="00024B8C" w:rsidP="000816FF">
      <w:pPr>
        <w:spacing w:after="120"/>
        <w:jc w:val="both"/>
        <w:rPr>
          <w:highlight w:val="yellow"/>
        </w:rPr>
      </w:pPr>
    </w:p>
    <w:p w14:paraId="1EDC3F79" w14:textId="14ACEF7A" w:rsidR="00024B8C" w:rsidRPr="00A41E3C" w:rsidRDefault="00024B8C" w:rsidP="000816FF">
      <w:pPr>
        <w:spacing w:after="120"/>
        <w:jc w:val="both"/>
        <w:rPr>
          <w:highlight w:val="yellow"/>
        </w:rPr>
      </w:pPr>
      <w:r w:rsidRPr="00EC037F">
        <w:t xml:space="preserve">Nepietiekams darbaspēka piedāvājums </w:t>
      </w:r>
      <w:r w:rsidRPr="00EC037F">
        <w:rPr>
          <w:b/>
          <w:bCs/>
        </w:rPr>
        <w:t>ar profesionālo izglītību</w:t>
      </w:r>
      <w:r w:rsidRPr="00EC037F">
        <w:t xml:space="preserve"> sagaidāms gandrīz visās izglītības tematiskajās grupās. </w:t>
      </w:r>
      <w:r w:rsidRPr="00875D42">
        <w:t xml:space="preserve">Attiecība starp darbaspēka pieprasījumu un piedāvājumu ir </w:t>
      </w:r>
      <w:r>
        <w:t>samazinājusies visās tematiskajās grupās, izņemot vispārējo vidējo izglītību.</w:t>
      </w:r>
      <w:r w:rsidRPr="00875D42">
        <w:t xml:space="preserve"> </w:t>
      </w:r>
      <w:r w:rsidRPr="00EC037F">
        <w:t xml:space="preserve">Būtiskākais iztrūkums sagaidāms inženierzinātņu, ražošanas un būvniecības tematiskajās grupās </w:t>
      </w:r>
      <w:r w:rsidRPr="002833ED">
        <w:t xml:space="preserve">– galvenokārt tādās jomas kā būvniecība un civilā celtniecība, mehānika un metālapstrāde, </w:t>
      </w:r>
      <w:proofErr w:type="spellStart"/>
      <w:r w:rsidRPr="002833ED">
        <w:t>mašīnzinības</w:t>
      </w:r>
      <w:proofErr w:type="spellEnd"/>
      <w:r w:rsidRPr="002833ED">
        <w:t>, enerģētika, kā arī kokapstrādes tehnoloģijas un izstrādājumu izgatavošana. Inženierzinātņu</w:t>
      </w:r>
      <w:r w:rsidRPr="00875D42">
        <w:t xml:space="preserve">, ražošanas un būvniecības vidējās kvalifikācijas speciālistu iztrūkums līdz 2030.gadam varētu pieaugt līdz aptuveni 31 tūkst. speciālistu. Relatīvajā izteiksmē speciālistu iztrūkums ar izglītību inženierzinātņu un ražošanas tematiskajā </w:t>
      </w:r>
      <w:r w:rsidRPr="00875D42">
        <w:lastRenderedPageBreak/>
        <w:t xml:space="preserve">grupā ir samazinājies, salīdzinot ar 2022.gada darba tirgus prognozēm, bet tendence iztrūkumam pakāpeniski pieaugt ilgtermiņā saglabājas, kas lielā mērā atspoguļo atbilstošā izglītības piedāvājuma strukturālās </w:t>
      </w:r>
      <w:r w:rsidRPr="00997691">
        <w:t>izmaiņas – gan uzņemto audzēkņu, gan absolventu īpatsvars attiecīgajā tematiskajā grupā kopš 2008.gada ir sarucis par attiecīgi 4 un 8 procentpunktiem. Jāatzīmē gan, ka uzņemto audzēkņu skaits pēdējos divos gados būtiski pieaudzis un to īpatsvars kopējā uzņemto audzēkņu skaitā sasniedzis 2011.gada līmeni.</w:t>
      </w:r>
    </w:p>
    <w:p w14:paraId="027BBE22" w14:textId="77777777" w:rsidR="00024B8C" w:rsidRDefault="00024B8C" w:rsidP="000816FF">
      <w:pPr>
        <w:spacing w:after="120"/>
        <w:jc w:val="both"/>
        <w:rPr>
          <w:szCs w:val="20"/>
        </w:rPr>
      </w:pPr>
      <w:r w:rsidRPr="00DC2E08">
        <w:rPr>
          <w:szCs w:val="20"/>
        </w:rPr>
        <w:t xml:space="preserve">Līdzīgi kā inženierzinātnēs, arī sociālās zinātnēs, </w:t>
      </w:r>
      <w:proofErr w:type="spellStart"/>
      <w:r w:rsidRPr="00DC2E08">
        <w:rPr>
          <w:szCs w:val="20"/>
        </w:rPr>
        <w:t>komerczinībās</w:t>
      </w:r>
      <w:proofErr w:type="spellEnd"/>
      <w:r w:rsidRPr="00DC2E08">
        <w:rPr>
          <w:szCs w:val="20"/>
        </w:rPr>
        <w:t xml:space="preserve"> un tiesībās, veselības aprūpē un sociālajā labklājībā un pakalpojumos absolventu īpatsvars pēdējos gados ir samazinājies. Turklāt veselības aprūpes un sociālās labklājības tematiskajā grupā iztrūkums pieaug darbaspēka novecošanās dēļ, kā arī daudzas medicīnas programmas vairs neīsteno profesionālās vidējās izglītības līmeni un pamatā pārstrukturētas uz koledžām, kas nozīmē, ka jauni atbilstošās kvalifikācijas speciālisti nāk klāt ievērojami mazāk.</w:t>
      </w:r>
      <w:r w:rsidRPr="00421161">
        <w:rPr>
          <w:szCs w:val="20"/>
        </w:rPr>
        <w:t xml:space="preserve"> </w:t>
      </w:r>
    </w:p>
    <w:p w14:paraId="6039C22A" w14:textId="496BE619" w:rsidR="00024B8C" w:rsidRPr="003B4CDA" w:rsidRDefault="00024B8C" w:rsidP="000816FF">
      <w:pPr>
        <w:spacing w:after="120"/>
        <w:jc w:val="both"/>
        <w:rPr>
          <w:szCs w:val="20"/>
        </w:rPr>
      </w:pPr>
      <w:r w:rsidRPr="00BE52F1">
        <w:rPr>
          <w:szCs w:val="20"/>
        </w:rPr>
        <w:t>Vienlaikus arī lauksaimniecības tematiskajā grupā līdz 2030.gadam varētu veidoties darbaspēka iztrūkums un starpība starp pieprasījumu un piedāvājumu pakāpeniski palielināsies darbaspēka novecošanās dēļ. Tāpat jāņem vērā salīdzinoši nelielais atbilstošās kvalifikācijas speciālistu piedāvājums darba tirgū.</w:t>
      </w:r>
    </w:p>
    <w:p w14:paraId="72A4CBED" w14:textId="77777777" w:rsidR="00024B8C" w:rsidRPr="003B4CDA" w:rsidRDefault="00024B8C" w:rsidP="00024B8C">
      <w:pPr>
        <w:spacing w:after="120"/>
        <w:jc w:val="right"/>
        <w:rPr>
          <w:szCs w:val="26"/>
        </w:rPr>
      </w:pPr>
      <w:r w:rsidRPr="003B4CDA">
        <w:rPr>
          <w:szCs w:val="26"/>
        </w:rPr>
        <w:t>3.13. tabula</w:t>
      </w:r>
    </w:p>
    <w:p w14:paraId="373046BF" w14:textId="77777777" w:rsidR="00024B8C" w:rsidRPr="003B4CDA" w:rsidRDefault="00024B8C" w:rsidP="00024B8C">
      <w:pPr>
        <w:spacing w:after="120"/>
        <w:jc w:val="center"/>
        <w:rPr>
          <w:rFonts w:ascii="Segoe UI Light" w:hAnsi="Segoe UI Light"/>
          <w:i/>
          <w:sz w:val="16"/>
        </w:rPr>
      </w:pPr>
      <w:r w:rsidRPr="003B4CDA">
        <w:rPr>
          <w:rFonts w:ascii="Segoe UI Light" w:hAnsi="Segoe UI Light"/>
          <w:b/>
          <w:sz w:val="18"/>
          <w:szCs w:val="26"/>
        </w:rPr>
        <w:t>Darbaspēka pieprasījuma un piedāvājuma prognozes pa izglītības tematiskām grupām</w:t>
      </w:r>
      <w:r w:rsidRPr="003B4CDA">
        <w:rPr>
          <w:rFonts w:ascii="Segoe UI Light" w:hAnsi="Segoe UI Light"/>
          <w:b/>
          <w:sz w:val="18"/>
          <w:szCs w:val="26"/>
        </w:rPr>
        <w:br/>
      </w:r>
      <w:r w:rsidRPr="003B4CDA">
        <w:rPr>
          <w:rFonts w:ascii="Segoe UI Light" w:hAnsi="Segoe UI Light"/>
          <w:i/>
          <w:sz w:val="16"/>
        </w:rPr>
        <w:t>Saglabājoties pašreizējai darbaspēka sagatavošanas struktūrai</w:t>
      </w:r>
    </w:p>
    <w:tbl>
      <w:tblPr>
        <w:tblStyle w:val="GridTable5Dark-Accent31"/>
        <w:tblW w:w="5083"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259"/>
        <w:gridCol w:w="991"/>
        <w:gridCol w:w="991"/>
        <w:gridCol w:w="995"/>
        <w:gridCol w:w="991"/>
        <w:gridCol w:w="991"/>
        <w:gridCol w:w="993"/>
      </w:tblGrid>
      <w:tr w:rsidR="0078478C" w:rsidRPr="003B4CDA" w14:paraId="16223EBE" w14:textId="77777777" w:rsidTr="00941DB6">
        <w:trPr>
          <w:cnfStyle w:val="100000000000" w:firstRow="1" w:lastRow="0" w:firstColumn="0" w:lastColumn="0" w:oddVBand="0" w:evenVBand="0" w:oddHBand="0" w:evenHBand="0" w:firstRowFirstColumn="0" w:firstRowLastColumn="0" w:lastRowFirstColumn="0" w:lastRowLastColumn="0"/>
          <w:cantSplit/>
          <w:trHeight w:val="20"/>
        </w:trPr>
        <w:tc>
          <w:tcPr>
            <w:tcW w:w="1769" w:type="pct"/>
            <w:shd w:val="clear" w:color="auto" w:fill="5F497A" w:themeFill="accent4" w:themeFillShade="BF"/>
            <w:hideMark/>
          </w:tcPr>
          <w:p w14:paraId="5216ECC5" w14:textId="77777777" w:rsidR="00024B8C" w:rsidRPr="003B4CDA" w:rsidRDefault="00024B8C">
            <w:pPr>
              <w:spacing w:before="40" w:after="40"/>
              <w:jc w:val="center"/>
              <w:rPr>
                <w:rFonts w:ascii="Segoe UI Light" w:eastAsia="Times New Roman" w:hAnsi="Segoe UI Light"/>
                <w:b w:val="0"/>
                <w:bCs w:val="0"/>
                <w:sz w:val="16"/>
                <w:szCs w:val="16"/>
              </w:rPr>
            </w:pPr>
          </w:p>
        </w:tc>
        <w:tc>
          <w:tcPr>
            <w:tcW w:w="1616" w:type="pct"/>
            <w:gridSpan w:val="3"/>
            <w:shd w:val="clear" w:color="auto" w:fill="5F497A" w:themeFill="accent4" w:themeFillShade="BF"/>
          </w:tcPr>
          <w:p w14:paraId="5486242C" w14:textId="77777777" w:rsidR="00024B8C" w:rsidRPr="003B4CDA" w:rsidRDefault="00024B8C">
            <w:pPr>
              <w:spacing w:before="40" w:after="40"/>
              <w:jc w:val="center"/>
              <w:rPr>
                <w:rFonts w:ascii="Segoe UI Light" w:eastAsia="Times New Roman" w:hAnsi="Segoe UI Light"/>
                <w:sz w:val="16"/>
                <w:szCs w:val="16"/>
              </w:rPr>
            </w:pPr>
            <w:r w:rsidRPr="003B4CDA">
              <w:rPr>
                <w:rFonts w:ascii="Segoe UI Light" w:eastAsia="Times New Roman" w:hAnsi="Segoe UI Light"/>
                <w:sz w:val="16"/>
                <w:szCs w:val="16"/>
              </w:rPr>
              <w:t>20</w:t>
            </w:r>
            <w:r>
              <w:rPr>
                <w:rFonts w:ascii="Segoe UI Light" w:eastAsia="Times New Roman" w:hAnsi="Segoe UI Light"/>
                <w:sz w:val="16"/>
                <w:szCs w:val="16"/>
              </w:rPr>
              <w:t>30</w:t>
            </w:r>
          </w:p>
        </w:tc>
        <w:tc>
          <w:tcPr>
            <w:tcW w:w="1615" w:type="pct"/>
            <w:gridSpan w:val="3"/>
            <w:shd w:val="clear" w:color="auto" w:fill="5F497A" w:themeFill="accent4" w:themeFillShade="BF"/>
          </w:tcPr>
          <w:p w14:paraId="39268753" w14:textId="77777777" w:rsidR="00024B8C" w:rsidRPr="003B4CDA" w:rsidRDefault="00024B8C">
            <w:pPr>
              <w:spacing w:before="40" w:after="40"/>
              <w:jc w:val="center"/>
              <w:rPr>
                <w:rFonts w:ascii="Segoe UI Light" w:eastAsia="Times New Roman" w:hAnsi="Segoe UI Light"/>
                <w:sz w:val="16"/>
                <w:szCs w:val="16"/>
              </w:rPr>
            </w:pPr>
            <w:r w:rsidRPr="003B4CDA">
              <w:rPr>
                <w:rFonts w:ascii="Segoe UI Light" w:eastAsia="Times New Roman" w:hAnsi="Segoe UI Light"/>
                <w:sz w:val="16"/>
                <w:szCs w:val="16"/>
              </w:rPr>
              <w:t>2040</w:t>
            </w:r>
          </w:p>
        </w:tc>
      </w:tr>
      <w:tr w:rsidR="00C03C20" w:rsidRPr="003B4CDA" w14:paraId="6280C594"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5F497A" w:themeFill="accent4" w:themeFillShade="BF"/>
            <w:hideMark/>
          </w:tcPr>
          <w:p w14:paraId="3ACDAC5B" w14:textId="77777777" w:rsidR="00024B8C" w:rsidRPr="003B4CDA" w:rsidRDefault="00024B8C">
            <w:pPr>
              <w:spacing w:before="40" w:after="40"/>
              <w:jc w:val="center"/>
              <w:rPr>
                <w:rFonts w:ascii="Segoe UI Light" w:eastAsia="Times New Roman" w:hAnsi="Segoe UI Light"/>
                <w:bCs/>
                <w:color w:val="FFFFFF" w:themeColor="background1"/>
                <w:sz w:val="16"/>
                <w:szCs w:val="16"/>
              </w:rPr>
            </w:pPr>
          </w:p>
        </w:tc>
        <w:tc>
          <w:tcPr>
            <w:tcW w:w="538" w:type="pct"/>
            <w:shd w:val="clear" w:color="auto" w:fill="5F497A" w:themeFill="accent4" w:themeFillShade="BF"/>
          </w:tcPr>
          <w:p w14:paraId="7F59F4C6" w14:textId="77777777" w:rsidR="00024B8C" w:rsidRPr="00941DB6"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941DB6">
              <w:rPr>
                <w:rFonts w:ascii="Segoe UI Light" w:eastAsia="Times New Roman" w:hAnsi="Segoe UI Light"/>
                <w:b/>
                <w:color w:val="FFFFFF" w:themeColor="background1"/>
                <w:sz w:val="16"/>
                <w:szCs w:val="16"/>
              </w:rPr>
              <w:t>pieprasījums</w:t>
            </w:r>
            <w:r w:rsidRPr="00941DB6">
              <w:rPr>
                <w:rFonts w:ascii="Segoe UI Light" w:eastAsia="Times New Roman" w:hAnsi="Segoe UI Light"/>
                <w:b/>
                <w:color w:val="FFFFFF" w:themeColor="background1"/>
                <w:sz w:val="16"/>
                <w:szCs w:val="16"/>
              </w:rPr>
              <w:br/>
            </w:r>
            <w:r w:rsidRPr="00941DB6">
              <w:rPr>
                <w:rFonts w:ascii="Segoe UI Light" w:eastAsia="Times New Roman" w:hAnsi="Segoe UI Light"/>
                <w:color w:val="FFFFFF" w:themeColor="background1"/>
                <w:sz w:val="16"/>
                <w:szCs w:val="16"/>
              </w:rPr>
              <w:t>tūkst.</w:t>
            </w:r>
          </w:p>
        </w:tc>
        <w:tc>
          <w:tcPr>
            <w:tcW w:w="538" w:type="pct"/>
            <w:shd w:val="clear" w:color="auto" w:fill="5F497A" w:themeFill="accent4" w:themeFillShade="BF"/>
          </w:tcPr>
          <w:p w14:paraId="39104857" w14:textId="77777777" w:rsidR="00024B8C" w:rsidRPr="00941DB6"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941DB6">
              <w:rPr>
                <w:rFonts w:ascii="Segoe UI Light" w:eastAsia="Times New Roman" w:hAnsi="Segoe UI Light"/>
                <w:b/>
                <w:color w:val="FFFFFF" w:themeColor="background1"/>
                <w:sz w:val="16"/>
                <w:szCs w:val="16"/>
              </w:rPr>
              <w:t xml:space="preserve">piedāvājums </w:t>
            </w:r>
            <w:r w:rsidRPr="00941DB6">
              <w:rPr>
                <w:rFonts w:ascii="Segoe UI Light" w:eastAsia="Times New Roman" w:hAnsi="Segoe UI Light"/>
                <w:b/>
                <w:color w:val="FFFFFF" w:themeColor="background1"/>
                <w:sz w:val="16"/>
                <w:szCs w:val="16"/>
              </w:rPr>
              <w:br/>
            </w:r>
            <w:r w:rsidRPr="00941DB6">
              <w:rPr>
                <w:rFonts w:ascii="Segoe UI Light" w:eastAsia="Times New Roman" w:hAnsi="Segoe UI Light"/>
                <w:color w:val="FFFFFF" w:themeColor="background1"/>
                <w:sz w:val="16"/>
                <w:szCs w:val="16"/>
              </w:rPr>
              <w:t>tūkst.</w:t>
            </w:r>
          </w:p>
        </w:tc>
        <w:tc>
          <w:tcPr>
            <w:tcW w:w="538" w:type="pct"/>
            <w:shd w:val="clear" w:color="auto" w:fill="5F497A" w:themeFill="accent4" w:themeFillShade="BF"/>
          </w:tcPr>
          <w:p w14:paraId="40B4078C" w14:textId="77777777" w:rsidR="00024B8C" w:rsidRPr="00941DB6"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941DB6">
              <w:rPr>
                <w:rFonts w:ascii="Segoe UI Light" w:eastAsia="Times New Roman" w:hAnsi="Segoe UI Light"/>
                <w:b/>
                <w:color w:val="FFFFFF" w:themeColor="background1"/>
                <w:sz w:val="16"/>
                <w:szCs w:val="16"/>
              </w:rPr>
              <w:t xml:space="preserve">atbilstība </w:t>
            </w:r>
            <w:r w:rsidRPr="00941DB6">
              <w:rPr>
                <w:rFonts w:ascii="Segoe UI Light" w:eastAsia="Times New Roman" w:hAnsi="Segoe UI Light"/>
                <w:b/>
                <w:color w:val="FFFFFF" w:themeColor="background1"/>
                <w:sz w:val="16"/>
                <w:szCs w:val="16"/>
              </w:rPr>
              <w:br/>
            </w:r>
            <w:r w:rsidRPr="00941DB6">
              <w:rPr>
                <w:rFonts w:ascii="Segoe UI Light" w:eastAsia="Times New Roman" w:hAnsi="Segoe UI Light"/>
                <w:color w:val="FFFFFF" w:themeColor="background1"/>
                <w:sz w:val="16"/>
                <w:szCs w:val="16"/>
              </w:rPr>
              <w:t>procentos</w:t>
            </w:r>
          </w:p>
        </w:tc>
        <w:tc>
          <w:tcPr>
            <w:tcW w:w="538" w:type="pct"/>
            <w:shd w:val="clear" w:color="auto" w:fill="5F497A" w:themeFill="accent4" w:themeFillShade="BF"/>
          </w:tcPr>
          <w:p w14:paraId="55926CCF" w14:textId="77777777" w:rsidR="00024B8C" w:rsidRPr="00941DB6"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941DB6">
              <w:rPr>
                <w:rFonts w:ascii="Segoe UI Light" w:eastAsia="Times New Roman" w:hAnsi="Segoe UI Light"/>
                <w:b/>
                <w:color w:val="FFFFFF" w:themeColor="background1"/>
                <w:sz w:val="16"/>
                <w:szCs w:val="16"/>
              </w:rPr>
              <w:t xml:space="preserve">pieprasījums </w:t>
            </w:r>
            <w:r w:rsidRPr="00941DB6">
              <w:rPr>
                <w:rFonts w:ascii="Segoe UI Light" w:eastAsia="Times New Roman" w:hAnsi="Segoe UI Light"/>
                <w:b/>
                <w:color w:val="FFFFFF" w:themeColor="background1"/>
                <w:sz w:val="16"/>
                <w:szCs w:val="16"/>
              </w:rPr>
              <w:br/>
            </w:r>
            <w:r w:rsidRPr="00941DB6">
              <w:rPr>
                <w:rFonts w:ascii="Segoe UI Light" w:eastAsia="Times New Roman" w:hAnsi="Segoe UI Light"/>
                <w:color w:val="FFFFFF" w:themeColor="background1"/>
                <w:sz w:val="16"/>
                <w:szCs w:val="16"/>
              </w:rPr>
              <w:t>tūkst.</w:t>
            </w:r>
          </w:p>
        </w:tc>
        <w:tc>
          <w:tcPr>
            <w:tcW w:w="538" w:type="pct"/>
            <w:shd w:val="clear" w:color="auto" w:fill="5F497A" w:themeFill="accent4" w:themeFillShade="BF"/>
          </w:tcPr>
          <w:p w14:paraId="6D653111" w14:textId="77777777" w:rsidR="00024B8C" w:rsidRPr="00941DB6"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941DB6">
              <w:rPr>
                <w:rFonts w:ascii="Segoe UI Light" w:eastAsia="Times New Roman" w:hAnsi="Segoe UI Light"/>
                <w:b/>
                <w:color w:val="FFFFFF" w:themeColor="background1"/>
                <w:sz w:val="16"/>
                <w:szCs w:val="16"/>
              </w:rPr>
              <w:t xml:space="preserve">piedāvājums </w:t>
            </w:r>
            <w:r w:rsidRPr="00941DB6">
              <w:rPr>
                <w:rFonts w:ascii="Segoe UI Light" w:eastAsia="Times New Roman" w:hAnsi="Segoe UI Light"/>
                <w:b/>
                <w:color w:val="FFFFFF" w:themeColor="background1"/>
                <w:sz w:val="16"/>
                <w:szCs w:val="16"/>
              </w:rPr>
              <w:br/>
            </w:r>
            <w:r w:rsidRPr="00941DB6">
              <w:rPr>
                <w:rFonts w:ascii="Segoe UI Light" w:eastAsia="Times New Roman" w:hAnsi="Segoe UI Light"/>
                <w:color w:val="FFFFFF" w:themeColor="background1"/>
                <w:sz w:val="16"/>
                <w:szCs w:val="16"/>
              </w:rPr>
              <w:t>tūkst.</w:t>
            </w:r>
          </w:p>
        </w:tc>
        <w:tc>
          <w:tcPr>
            <w:tcW w:w="538" w:type="pct"/>
            <w:shd w:val="clear" w:color="auto" w:fill="5F497A" w:themeFill="accent4" w:themeFillShade="BF"/>
          </w:tcPr>
          <w:p w14:paraId="5E183A48" w14:textId="77777777" w:rsidR="00024B8C" w:rsidRPr="00941DB6" w:rsidRDefault="00024B8C" w:rsidP="00941DB6">
            <w:pPr>
              <w:spacing w:before="40" w:after="40"/>
              <w:ind w:left="-113" w:right="-113"/>
              <w:jc w:val="center"/>
              <w:rPr>
                <w:rFonts w:ascii="Segoe UI Light" w:eastAsia="Times New Roman" w:hAnsi="Segoe UI Light"/>
                <w:b/>
                <w:color w:val="FFFFFF" w:themeColor="background1"/>
                <w:sz w:val="16"/>
                <w:szCs w:val="16"/>
              </w:rPr>
            </w:pPr>
            <w:r w:rsidRPr="00941DB6">
              <w:rPr>
                <w:rFonts w:ascii="Segoe UI Light" w:eastAsia="Times New Roman" w:hAnsi="Segoe UI Light"/>
                <w:b/>
                <w:color w:val="FFFFFF" w:themeColor="background1"/>
                <w:sz w:val="16"/>
                <w:szCs w:val="16"/>
              </w:rPr>
              <w:t xml:space="preserve">atbilstība </w:t>
            </w:r>
            <w:r w:rsidRPr="00941DB6">
              <w:rPr>
                <w:rFonts w:ascii="Segoe UI Light" w:eastAsia="Times New Roman" w:hAnsi="Segoe UI Light"/>
                <w:b/>
                <w:color w:val="FFFFFF" w:themeColor="background1"/>
                <w:sz w:val="16"/>
                <w:szCs w:val="16"/>
              </w:rPr>
              <w:br/>
            </w:r>
            <w:r w:rsidRPr="00941DB6">
              <w:rPr>
                <w:rFonts w:ascii="Segoe UI Light" w:eastAsia="Times New Roman" w:hAnsi="Segoe UI Light"/>
                <w:color w:val="FFFFFF" w:themeColor="background1"/>
                <w:sz w:val="16"/>
                <w:szCs w:val="16"/>
              </w:rPr>
              <w:t>procentos</w:t>
            </w:r>
          </w:p>
        </w:tc>
      </w:tr>
      <w:tr w:rsidR="00C03C20" w:rsidRPr="003B4CDA" w14:paraId="2B11B331" w14:textId="77777777" w:rsidTr="00941DB6">
        <w:trPr>
          <w:cantSplit/>
          <w:trHeight w:val="20"/>
        </w:trPr>
        <w:tc>
          <w:tcPr>
            <w:tcW w:w="1769" w:type="pct"/>
            <w:shd w:val="clear" w:color="auto" w:fill="E5DFEC" w:themeFill="accent4" w:themeFillTint="33"/>
            <w:hideMark/>
          </w:tcPr>
          <w:p w14:paraId="0128AE6A" w14:textId="77777777" w:rsidR="00024B8C" w:rsidRPr="003B4CDA" w:rsidRDefault="00024B8C">
            <w:pPr>
              <w:spacing w:before="40" w:after="40"/>
              <w:rPr>
                <w:rFonts w:ascii="Segoe UI Light" w:eastAsia="Times New Roman" w:hAnsi="Segoe UI Light"/>
                <w:color w:val="000000"/>
                <w:sz w:val="16"/>
                <w:szCs w:val="16"/>
              </w:rPr>
            </w:pPr>
            <w:r w:rsidRPr="003B4CDA">
              <w:rPr>
                <w:rFonts w:ascii="Segoe UI Light" w:eastAsia="Times New Roman" w:hAnsi="Segoe UI Light"/>
                <w:bCs/>
                <w:sz w:val="16"/>
                <w:szCs w:val="16"/>
              </w:rPr>
              <w:t>Augstākā izglītība, tai skaitā:</w:t>
            </w:r>
          </w:p>
        </w:tc>
        <w:tc>
          <w:tcPr>
            <w:tcW w:w="538" w:type="pct"/>
            <w:shd w:val="clear" w:color="auto" w:fill="E5DFEC" w:themeFill="accent4" w:themeFillTint="33"/>
          </w:tcPr>
          <w:p w14:paraId="10B7BE5A"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397,1</w:t>
            </w:r>
          </w:p>
        </w:tc>
        <w:tc>
          <w:tcPr>
            <w:tcW w:w="538" w:type="pct"/>
            <w:shd w:val="clear" w:color="auto" w:fill="E5DFEC" w:themeFill="accent4" w:themeFillTint="33"/>
          </w:tcPr>
          <w:p w14:paraId="740E2BC1"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405.4</w:t>
            </w:r>
          </w:p>
        </w:tc>
        <w:tc>
          <w:tcPr>
            <w:tcW w:w="538" w:type="pct"/>
            <w:shd w:val="clear" w:color="auto" w:fill="E5DFEC" w:themeFill="accent4" w:themeFillTint="33"/>
          </w:tcPr>
          <w:p w14:paraId="5EB18522"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9</w:t>
            </w:r>
            <w:r>
              <w:rPr>
                <w:rFonts w:ascii="Segoe UI Light" w:eastAsia="Times New Roman" w:hAnsi="Segoe UI Light" w:cs="Segoe UI Light"/>
                <w:bCs/>
                <w:sz w:val="16"/>
                <w:szCs w:val="16"/>
              </w:rPr>
              <w:t>8</w:t>
            </w:r>
          </w:p>
        </w:tc>
        <w:tc>
          <w:tcPr>
            <w:tcW w:w="538" w:type="pct"/>
            <w:shd w:val="clear" w:color="auto" w:fill="E5DFEC" w:themeFill="accent4" w:themeFillTint="33"/>
          </w:tcPr>
          <w:p w14:paraId="5B4D4EE1"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413,9</w:t>
            </w:r>
          </w:p>
        </w:tc>
        <w:tc>
          <w:tcPr>
            <w:tcW w:w="538" w:type="pct"/>
            <w:shd w:val="clear" w:color="auto" w:fill="E5DFEC" w:themeFill="accent4" w:themeFillTint="33"/>
          </w:tcPr>
          <w:p w14:paraId="3FD7EC4C"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434,3</w:t>
            </w:r>
          </w:p>
        </w:tc>
        <w:tc>
          <w:tcPr>
            <w:tcW w:w="538" w:type="pct"/>
            <w:shd w:val="clear" w:color="auto" w:fill="E5DFEC" w:themeFill="accent4" w:themeFillTint="33"/>
          </w:tcPr>
          <w:p w14:paraId="5991024A"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9</w:t>
            </w:r>
            <w:r>
              <w:rPr>
                <w:rFonts w:ascii="Segoe UI Light" w:eastAsia="Times New Roman" w:hAnsi="Segoe UI Light" w:cs="Segoe UI Light"/>
                <w:bCs/>
                <w:sz w:val="16"/>
                <w:szCs w:val="16"/>
              </w:rPr>
              <w:t>5</w:t>
            </w:r>
          </w:p>
        </w:tc>
      </w:tr>
      <w:tr w:rsidR="00C03C20" w:rsidRPr="003B4CDA" w14:paraId="6E85A9ED"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hideMark/>
          </w:tcPr>
          <w:p w14:paraId="61141E43" w14:textId="77777777" w:rsidR="00024B8C" w:rsidRPr="003B4CDA" w:rsidRDefault="00024B8C">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Izglītība</w:t>
            </w:r>
          </w:p>
        </w:tc>
        <w:tc>
          <w:tcPr>
            <w:tcW w:w="538" w:type="pct"/>
            <w:shd w:val="clear" w:color="auto" w:fill="CCC0D9" w:themeFill="accent4" w:themeFillTint="66"/>
          </w:tcPr>
          <w:p w14:paraId="5BD9EAC5"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42,2</w:t>
            </w:r>
          </w:p>
        </w:tc>
        <w:tc>
          <w:tcPr>
            <w:tcW w:w="538" w:type="pct"/>
            <w:shd w:val="clear" w:color="auto" w:fill="CCC0D9" w:themeFill="accent4" w:themeFillTint="66"/>
          </w:tcPr>
          <w:p w14:paraId="52108020"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47,2</w:t>
            </w:r>
          </w:p>
        </w:tc>
        <w:tc>
          <w:tcPr>
            <w:tcW w:w="538" w:type="pct"/>
            <w:shd w:val="clear" w:color="auto" w:fill="CCC0D9" w:themeFill="accent4" w:themeFillTint="66"/>
          </w:tcPr>
          <w:p w14:paraId="5E102F6E"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9</w:t>
            </w:r>
            <w:r>
              <w:rPr>
                <w:rFonts w:ascii="Segoe UI Light" w:hAnsi="Segoe UI Light" w:cs="Segoe UI Light"/>
                <w:sz w:val="16"/>
                <w:szCs w:val="16"/>
              </w:rPr>
              <w:t>0</w:t>
            </w:r>
          </w:p>
        </w:tc>
        <w:tc>
          <w:tcPr>
            <w:tcW w:w="538" w:type="pct"/>
            <w:shd w:val="clear" w:color="auto" w:fill="CCC0D9" w:themeFill="accent4" w:themeFillTint="66"/>
          </w:tcPr>
          <w:p w14:paraId="2DF866B4"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37,4</w:t>
            </w:r>
          </w:p>
        </w:tc>
        <w:tc>
          <w:tcPr>
            <w:tcW w:w="538" w:type="pct"/>
            <w:shd w:val="clear" w:color="auto" w:fill="CCC0D9" w:themeFill="accent4" w:themeFillTint="66"/>
          </w:tcPr>
          <w:p w14:paraId="2D88D5C4"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42,1</w:t>
            </w:r>
          </w:p>
        </w:tc>
        <w:tc>
          <w:tcPr>
            <w:tcW w:w="538" w:type="pct"/>
            <w:shd w:val="clear" w:color="auto" w:fill="CCC0D9" w:themeFill="accent4" w:themeFillTint="66"/>
          </w:tcPr>
          <w:p w14:paraId="757D99E4"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89</w:t>
            </w:r>
          </w:p>
        </w:tc>
      </w:tr>
      <w:tr w:rsidR="00C03C20" w:rsidRPr="003B4CDA" w14:paraId="6CFF3B66" w14:textId="77777777" w:rsidTr="00941DB6">
        <w:trPr>
          <w:cantSplit/>
          <w:trHeight w:val="20"/>
        </w:trPr>
        <w:tc>
          <w:tcPr>
            <w:tcW w:w="1769" w:type="pct"/>
            <w:shd w:val="clear" w:color="auto" w:fill="E5DFEC" w:themeFill="accent4" w:themeFillTint="33"/>
            <w:hideMark/>
          </w:tcPr>
          <w:p w14:paraId="18D4CABB" w14:textId="77777777" w:rsidR="00024B8C" w:rsidRPr="003B4CDA" w:rsidRDefault="00024B8C">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Humanitārās zinātnes un māksla</w:t>
            </w:r>
          </w:p>
        </w:tc>
        <w:tc>
          <w:tcPr>
            <w:tcW w:w="538" w:type="pct"/>
            <w:shd w:val="clear" w:color="auto" w:fill="E5DFEC" w:themeFill="accent4" w:themeFillTint="33"/>
          </w:tcPr>
          <w:p w14:paraId="3672357C"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25,0</w:t>
            </w:r>
          </w:p>
        </w:tc>
        <w:tc>
          <w:tcPr>
            <w:tcW w:w="538" w:type="pct"/>
            <w:shd w:val="clear" w:color="auto" w:fill="E5DFEC" w:themeFill="accent4" w:themeFillTint="33"/>
          </w:tcPr>
          <w:p w14:paraId="567AAFCF"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28,3</w:t>
            </w:r>
          </w:p>
        </w:tc>
        <w:tc>
          <w:tcPr>
            <w:tcW w:w="538" w:type="pct"/>
            <w:shd w:val="clear" w:color="auto" w:fill="E5DFEC" w:themeFill="accent4" w:themeFillTint="33"/>
          </w:tcPr>
          <w:p w14:paraId="3BB78944"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8</w:t>
            </w:r>
            <w:r>
              <w:rPr>
                <w:rFonts w:ascii="Segoe UI Light" w:hAnsi="Segoe UI Light" w:cs="Segoe UI Light"/>
                <w:sz w:val="16"/>
                <w:szCs w:val="16"/>
              </w:rPr>
              <w:t>8</w:t>
            </w:r>
          </w:p>
        </w:tc>
        <w:tc>
          <w:tcPr>
            <w:tcW w:w="538" w:type="pct"/>
            <w:shd w:val="clear" w:color="auto" w:fill="E5DFEC" w:themeFill="accent4" w:themeFillTint="33"/>
          </w:tcPr>
          <w:p w14:paraId="0B19D338"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24,5</w:t>
            </w:r>
          </w:p>
        </w:tc>
        <w:tc>
          <w:tcPr>
            <w:tcW w:w="538" w:type="pct"/>
            <w:shd w:val="clear" w:color="auto" w:fill="E5DFEC" w:themeFill="accent4" w:themeFillTint="33"/>
          </w:tcPr>
          <w:p w14:paraId="78C8B2D4"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31,3</w:t>
            </w:r>
          </w:p>
        </w:tc>
        <w:tc>
          <w:tcPr>
            <w:tcW w:w="538" w:type="pct"/>
            <w:shd w:val="clear" w:color="auto" w:fill="E5DFEC" w:themeFill="accent4" w:themeFillTint="33"/>
          </w:tcPr>
          <w:p w14:paraId="468164A7"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78</w:t>
            </w:r>
          </w:p>
        </w:tc>
      </w:tr>
      <w:tr w:rsidR="00C03C20" w:rsidRPr="003B4CDA" w14:paraId="05996FC4"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hideMark/>
          </w:tcPr>
          <w:p w14:paraId="1696A501" w14:textId="77777777" w:rsidR="00024B8C" w:rsidRPr="003B4CDA" w:rsidRDefault="00024B8C">
            <w:pPr>
              <w:spacing w:before="40" w:after="40"/>
              <w:ind w:left="187" w:right="-113"/>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 xml:space="preserve">Sociālās zinātnes, </w:t>
            </w:r>
            <w:proofErr w:type="spellStart"/>
            <w:r w:rsidRPr="003B4CDA">
              <w:rPr>
                <w:rFonts w:ascii="Segoe UI Light" w:eastAsia="Times New Roman" w:hAnsi="Segoe UI Light"/>
                <w:color w:val="000000"/>
                <w:sz w:val="16"/>
                <w:szCs w:val="16"/>
              </w:rPr>
              <w:t>komerczinības</w:t>
            </w:r>
            <w:proofErr w:type="spellEnd"/>
            <w:r w:rsidRPr="003B4CDA">
              <w:rPr>
                <w:rFonts w:ascii="Segoe UI Light" w:eastAsia="Times New Roman" w:hAnsi="Segoe UI Light"/>
                <w:color w:val="000000"/>
                <w:sz w:val="16"/>
                <w:szCs w:val="16"/>
              </w:rPr>
              <w:t xml:space="preserve"> un tiesības</w:t>
            </w:r>
          </w:p>
        </w:tc>
        <w:tc>
          <w:tcPr>
            <w:tcW w:w="538" w:type="pct"/>
            <w:shd w:val="clear" w:color="auto" w:fill="CCC0D9" w:themeFill="accent4" w:themeFillTint="66"/>
          </w:tcPr>
          <w:p w14:paraId="2C44CF09"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153,9</w:t>
            </w:r>
          </w:p>
        </w:tc>
        <w:tc>
          <w:tcPr>
            <w:tcW w:w="538" w:type="pct"/>
            <w:shd w:val="clear" w:color="auto" w:fill="CCC0D9" w:themeFill="accent4" w:themeFillTint="66"/>
          </w:tcPr>
          <w:p w14:paraId="66C76488"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163,0</w:t>
            </w:r>
          </w:p>
        </w:tc>
        <w:tc>
          <w:tcPr>
            <w:tcW w:w="538" w:type="pct"/>
            <w:shd w:val="clear" w:color="auto" w:fill="CCC0D9" w:themeFill="accent4" w:themeFillTint="66"/>
          </w:tcPr>
          <w:p w14:paraId="0A68B490"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94</w:t>
            </w:r>
          </w:p>
        </w:tc>
        <w:tc>
          <w:tcPr>
            <w:tcW w:w="538" w:type="pct"/>
            <w:shd w:val="clear" w:color="auto" w:fill="CCC0D9" w:themeFill="accent4" w:themeFillTint="66"/>
          </w:tcPr>
          <w:p w14:paraId="6DE3B527"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156,2</w:t>
            </w:r>
          </w:p>
        </w:tc>
        <w:tc>
          <w:tcPr>
            <w:tcW w:w="538" w:type="pct"/>
            <w:shd w:val="clear" w:color="auto" w:fill="CCC0D9" w:themeFill="accent4" w:themeFillTint="66"/>
          </w:tcPr>
          <w:p w14:paraId="53A985E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175,2</w:t>
            </w:r>
          </w:p>
        </w:tc>
        <w:tc>
          <w:tcPr>
            <w:tcW w:w="538" w:type="pct"/>
            <w:shd w:val="clear" w:color="auto" w:fill="CCC0D9" w:themeFill="accent4" w:themeFillTint="66"/>
          </w:tcPr>
          <w:p w14:paraId="298244E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8</w:t>
            </w:r>
            <w:r>
              <w:rPr>
                <w:rFonts w:ascii="Segoe UI Light" w:hAnsi="Segoe UI Light" w:cs="Segoe UI Light"/>
                <w:sz w:val="16"/>
                <w:szCs w:val="16"/>
              </w:rPr>
              <w:t>9</w:t>
            </w:r>
          </w:p>
        </w:tc>
      </w:tr>
      <w:tr w:rsidR="00C03C20" w:rsidRPr="003B4CDA" w14:paraId="76E5C6AD" w14:textId="77777777" w:rsidTr="00941DB6">
        <w:trPr>
          <w:cantSplit/>
          <w:trHeight w:val="20"/>
        </w:trPr>
        <w:tc>
          <w:tcPr>
            <w:tcW w:w="1769" w:type="pct"/>
            <w:shd w:val="clear" w:color="auto" w:fill="E5DFEC" w:themeFill="accent4" w:themeFillTint="33"/>
            <w:hideMark/>
          </w:tcPr>
          <w:p w14:paraId="6A6167A0" w14:textId="77777777" w:rsidR="00024B8C" w:rsidRPr="003B4CDA" w:rsidRDefault="00024B8C">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Dabas zinātnes, matemātika un informācijas tehnoloģijas</w:t>
            </w:r>
          </w:p>
        </w:tc>
        <w:tc>
          <w:tcPr>
            <w:tcW w:w="538" w:type="pct"/>
            <w:shd w:val="clear" w:color="auto" w:fill="E5DFEC" w:themeFill="accent4" w:themeFillTint="33"/>
          </w:tcPr>
          <w:p w14:paraId="35D15285"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35,3</w:t>
            </w:r>
          </w:p>
        </w:tc>
        <w:tc>
          <w:tcPr>
            <w:tcW w:w="538" w:type="pct"/>
            <w:shd w:val="clear" w:color="auto" w:fill="E5DFEC" w:themeFill="accent4" w:themeFillTint="33"/>
          </w:tcPr>
          <w:p w14:paraId="3A5799A6"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27,8</w:t>
            </w:r>
          </w:p>
        </w:tc>
        <w:tc>
          <w:tcPr>
            <w:tcW w:w="538" w:type="pct"/>
            <w:shd w:val="clear" w:color="auto" w:fill="E5DFEC" w:themeFill="accent4" w:themeFillTint="33"/>
          </w:tcPr>
          <w:p w14:paraId="4DAE4D45"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127</w:t>
            </w:r>
          </w:p>
        </w:tc>
        <w:tc>
          <w:tcPr>
            <w:tcW w:w="538" w:type="pct"/>
            <w:shd w:val="clear" w:color="auto" w:fill="E5DFEC" w:themeFill="accent4" w:themeFillTint="33"/>
          </w:tcPr>
          <w:p w14:paraId="32D73359"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44,7</w:t>
            </w:r>
          </w:p>
        </w:tc>
        <w:tc>
          <w:tcPr>
            <w:tcW w:w="538" w:type="pct"/>
            <w:shd w:val="clear" w:color="auto" w:fill="E5DFEC" w:themeFill="accent4" w:themeFillTint="33"/>
          </w:tcPr>
          <w:p w14:paraId="04D9AAA9"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30,9</w:t>
            </w:r>
          </w:p>
        </w:tc>
        <w:tc>
          <w:tcPr>
            <w:tcW w:w="538" w:type="pct"/>
            <w:shd w:val="clear" w:color="auto" w:fill="E5DFEC" w:themeFill="accent4" w:themeFillTint="33"/>
          </w:tcPr>
          <w:p w14:paraId="2D74DA41"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45</w:t>
            </w:r>
          </w:p>
        </w:tc>
      </w:tr>
      <w:tr w:rsidR="00C03C20" w:rsidRPr="003B4CDA" w14:paraId="2183E004"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hideMark/>
          </w:tcPr>
          <w:p w14:paraId="6803DD98" w14:textId="77777777" w:rsidR="00024B8C" w:rsidRPr="003B4CDA" w:rsidRDefault="00024B8C">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Inženierzinātnes, ražošana un būvniecība</w:t>
            </w:r>
          </w:p>
        </w:tc>
        <w:tc>
          <w:tcPr>
            <w:tcW w:w="538" w:type="pct"/>
            <w:shd w:val="clear" w:color="auto" w:fill="CCC0D9" w:themeFill="accent4" w:themeFillTint="66"/>
          </w:tcPr>
          <w:p w14:paraId="77590F12"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58,1</w:t>
            </w:r>
          </w:p>
        </w:tc>
        <w:tc>
          <w:tcPr>
            <w:tcW w:w="538" w:type="pct"/>
            <w:shd w:val="clear" w:color="auto" w:fill="CCC0D9" w:themeFill="accent4" w:themeFillTint="66"/>
          </w:tcPr>
          <w:p w14:paraId="2EA4133C"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55,6</w:t>
            </w:r>
          </w:p>
        </w:tc>
        <w:tc>
          <w:tcPr>
            <w:tcW w:w="538" w:type="pct"/>
            <w:shd w:val="clear" w:color="auto" w:fill="CCC0D9" w:themeFill="accent4" w:themeFillTint="66"/>
          </w:tcPr>
          <w:p w14:paraId="6782BBA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105</w:t>
            </w:r>
          </w:p>
        </w:tc>
        <w:tc>
          <w:tcPr>
            <w:tcW w:w="538" w:type="pct"/>
            <w:shd w:val="clear" w:color="auto" w:fill="CCC0D9" w:themeFill="accent4" w:themeFillTint="66"/>
          </w:tcPr>
          <w:p w14:paraId="1D654A10"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62,2</w:t>
            </w:r>
          </w:p>
        </w:tc>
        <w:tc>
          <w:tcPr>
            <w:tcW w:w="538" w:type="pct"/>
            <w:shd w:val="clear" w:color="auto" w:fill="CCC0D9" w:themeFill="accent4" w:themeFillTint="66"/>
          </w:tcPr>
          <w:p w14:paraId="51D7063A"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58,4</w:t>
            </w:r>
          </w:p>
        </w:tc>
        <w:tc>
          <w:tcPr>
            <w:tcW w:w="538" w:type="pct"/>
            <w:shd w:val="clear" w:color="auto" w:fill="CCC0D9" w:themeFill="accent4" w:themeFillTint="66"/>
          </w:tcPr>
          <w:p w14:paraId="4116C4AC"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06</w:t>
            </w:r>
          </w:p>
        </w:tc>
      </w:tr>
      <w:tr w:rsidR="00C03C20" w:rsidRPr="003B4CDA" w14:paraId="73905D16" w14:textId="77777777" w:rsidTr="00941DB6">
        <w:trPr>
          <w:cantSplit/>
          <w:trHeight w:val="20"/>
        </w:trPr>
        <w:tc>
          <w:tcPr>
            <w:tcW w:w="1769" w:type="pct"/>
            <w:shd w:val="clear" w:color="auto" w:fill="E5DFEC" w:themeFill="accent4" w:themeFillTint="33"/>
            <w:hideMark/>
          </w:tcPr>
          <w:p w14:paraId="5B35B1A6" w14:textId="77777777" w:rsidR="00024B8C" w:rsidRPr="003B4CDA" w:rsidRDefault="00024B8C">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Lauksaimniecība</w:t>
            </w:r>
          </w:p>
        </w:tc>
        <w:tc>
          <w:tcPr>
            <w:tcW w:w="538" w:type="pct"/>
            <w:shd w:val="clear" w:color="auto" w:fill="E5DFEC" w:themeFill="accent4" w:themeFillTint="33"/>
          </w:tcPr>
          <w:p w14:paraId="35ED0FFC"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6,2</w:t>
            </w:r>
          </w:p>
        </w:tc>
        <w:tc>
          <w:tcPr>
            <w:tcW w:w="538" w:type="pct"/>
            <w:shd w:val="clear" w:color="auto" w:fill="E5DFEC" w:themeFill="accent4" w:themeFillTint="33"/>
          </w:tcPr>
          <w:p w14:paraId="628B18DA"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6,3</w:t>
            </w:r>
          </w:p>
        </w:tc>
        <w:tc>
          <w:tcPr>
            <w:tcW w:w="538" w:type="pct"/>
            <w:shd w:val="clear" w:color="auto" w:fill="E5DFEC" w:themeFill="accent4" w:themeFillTint="33"/>
          </w:tcPr>
          <w:p w14:paraId="0D454907"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97</w:t>
            </w:r>
          </w:p>
        </w:tc>
        <w:tc>
          <w:tcPr>
            <w:tcW w:w="538" w:type="pct"/>
            <w:shd w:val="clear" w:color="auto" w:fill="E5DFEC" w:themeFill="accent4" w:themeFillTint="33"/>
          </w:tcPr>
          <w:p w14:paraId="360F3F40"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6,3</w:t>
            </w:r>
          </w:p>
        </w:tc>
        <w:tc>
          <w:tcPr>
            <w:tcW w:w="538" w:type="pct"/>
            <w:shd w:val="clear" w:color="auto" w:fill="E5DFEC" w:themeFill="accent4" w:themeFillTint="33"/>
          </w:tcPr>
          <w:p w14:paraId="01FA4C7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7,0</w:t>
            </w:r>
          </w:p>
        </w:tc>
        <w:tc>
          <w:tcPr>
            <w:tcW w:w="538" w:type="pct"/>
            <w:shd w:val="clear" w:color="auto" w:fill="E5DFEC" w:themeFill="accent4" w:themeFillTint="33"/>
          </w:tcPr>
          <w:p w14:paraId="7A539537"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90</w:t>
            </w:r>
          </w:p>
        </w:tc>
      </w:tr>
      <w:tr w:rsidR="00C03C20" w:rsidRPr="003B4CDA" w14:paraId="0C819666"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hideMark/>
          </w:tcPr>
          <w:p w14:paraId="044FFA60" w14:textId="77777777" w:rsidR="00024B8C" w:rsidRPr="003B4CDA" w:rsidRDefault="00024B8C">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Veselības aprūpe un sociālā labklājība</w:t>
            </w:r>
          </w:p>
        </w:tc>
        <w:tc>
          <w:tcPr>
            <w:tcW w:w="538" w:type="pct"/>
            <w:shd w:val="clear" w:color="auto" w:fill="CCC0D9" w:themeFill="accent4" w:themeFillTint="66"/>
          </w:tcPr>
          <w:p w14:paraId="0B44DF37"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41,0</w:t>
            </w:r>
          </w:p>
        </w:tc>
        <w:tc>
          <w:tcPr>
            <w:tcW w:w="538" w:type="pct"/>
            <w:shd w:val="clear" w:color="auto" w:fill="CCC0D9" w:themeFill="accent4" w:themeFillTint="66"/>
          </w:tcPr>
          <w:p w14:paraId="6C33E624"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41,1</w:t>
            </w:r>
          </w:p>
        </w:tc>
        <w:tc>
          <w:tcPr>
            <w:tcW w:w="538" w:type="pct"/>
            <w:shd w:val="clear" w:color="auto" w:fill="CCC0D9" w:themeFill="accent4" w:themeFillTint="66"/>
          </w:tcPr>
          <w:p w14:paraId="1E10F6E1"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100</w:t>
            </w:r>
          </w:p>
        </w:tc>
        <w:tc>
          <w:tcPr>
            <w:tcW w:w="538" w:type="pct"/>
            <w:shd w:val="clear" w:color="auto" w:fill="CCC0D9" w:themeFill="accent4" w:themeFillTint="66"/>
          </w:tcPr>
          <w:p w14:paraId="0BDBDCB3"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47,1</w:t>
            </w:r>
          </w:p>
        </w:tc>
        <w:tc>
          <w:tcPr>
            <w:tcW w:w="538" w:type="pct"/>
            <w:shd w:val="clear" w:color="auto" w:fill="CCC0D9" w:themeFill="accent4" w:themeFillTint="66"/>
          </w:tcPr>
          <w:p w14:paraId="0CAE7308"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50,8</w:t>
            </w:r>
          </w:p>
        </w:tc>
        <w:tc>
          <w:tcPr>
            <w:tcW w:w="538" w:type="pct"/>
            <w:shd w:val="clear" w:color="auto" w:fill="CCC0D9" w:themeFill="accent4" w:themeFillTint="66"/>
          </w:tcPr>
          <w:p w14:paraId="1B7FAFA2"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93</w:t>
            </w:r>
          </w:p>
        </w:tc>
      </w:tr>
      <w:tr w:rsidR="00C03C20" w:rsidRPr="003B4CDA" w14:paraId="6164520A" w14:textId="77777777" w:rsidTr="00941DB6">
        <w:trPr>
          <w:cantSplit/>
          <w:trHeight w:val="20"/>
        </w:trPr>
        <w:tc>
          <w:tcPr>
            <w:tcW w:w="1769" w:type="pct"/>
            <w:shd w:val="clear" w:color="auto" w:fill="E5DFEC" w:themeFill="accent4" w:themeFillTint="33"/>
            <w:hideMark/>
          </w:tcPr>
          <w:p w14:paraId="6273718A" w14:textId="77777777" w:rsidR="00024B8C" w:rsidRPr="003B4CDA" w:rsidRDefault="00024B8C">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Pakalpojumi</w:t>
            </w:r>
          </w:p>
        </w:tc>
        <w:tc>
          <w:tcPr>
            <w:tcW w:w="538" w:type="pct"/>
            <w:shd w:val="clear" w:color="auto" w:fill="E5DFEC" w:themeFill="accent4" w:themeFillTint="33"/>
          </w:tcPr>
          <w:p w14:paraId="01D7949A"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35,3</w:t>
            </w:r>
          </w:p>
        </w:tc>
        <w:tc>
          <w:tcPr>
            <w:tcW w:w="538" w:type="pct"/>
            <w:shd w:val="clear" w:color="auto" w:fill="E5DFEC" w:themeFill="accent4" w:themeFillTint="33"/>
          </w:tcPr>
          <w:p w14:paraId="466C86C7"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36,1</w:t>
            </w:r>
          </w:p>
        </w:tc>
        <w:tc>
          <w:tcPr>
            <w:tcW w:w="538" w:type="pct"/>
            <w:shd w:val="clear" w:color="auto" w:fill="E5DFEC" w:themeFill="accent4" w:themeFillTint="33"/>
          </w:tcPr>
          <w:p w14:paraId="4C7B47ED"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98</w:t>
            </w:r>
          </w:p>
        </w:tc>
        <w:tc>
          <w:tcPr>
            <w:tcW w:w="538" w:type="pct"/>
            <w:shd w:val="clear" w:color="auto" w:fill="E5DFEC" w:themeFill="accent4" w:themeFillTint="33"/>
          </w:tcPr>
          <w:p w14:paraId="30833274"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35,4</w:t>
            </w:r>
          </w:p>
        </w:tc>
        <w:tc>
          <w:tcPr>
            <w:tcW w:w="538" w:type="pct"/>
            <w:shd w:val="clear" w:color="auto" w:fill="E5DFEC" w:themeFill="accent4" w:themeFillTint="33"/>
          </w:tcPr>
          <w:p w14:paraId="34336070"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38,7</w:t>
            </w:r>
          </w:p>
        </w:tc>
        <w:tc>
          <w:tcPr>
            <w:tcW w:w="538" w:type="pct"/>
            <w:shd w:val="clear" w:color="auto" w:fill="E5DFEC" w:themeFill="accent4" w:themeFillTint="33"/>
          </w:tcPr>
          <w:p w14:paraId="3207696D"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92</w:t>
            </w:r>
          </w:p>
        </w:tc>
      </w:tr>
      <w:tr w:rsidR="00C03C20" w:rsidRPr="003B4CDA" w14:paraId="11455910"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hideMark/>
          </w:tcPr>
          <w:p w14:paraId="60AC227F" w14:textId="77777777" w:rsidR="00024B8C" w:rsidRPr="003B4CDA" w:rsidRDefault="00024B8C">
            <w:pPr>
              <w:spacing w:before="40" w:after="40"/>
              <w:rPr>
                <w:rFonts w:ascii="Segoe UI Light" w:eastAsia="Times New Roman" w:hAnsi="Segoe UI Light"/>
                <w:bCs/>
                <w:sz w:val="16"/>
                <w:szCs w:val="16"/>
              </w:rPr>
            </w:pPr>
            <w:r w:rsidRPr="003B4CDA">
              <w:rPr>
                <w:rFonts w:ascii="Segoe UI Light" w:eastAsia="Times New Roman" w:hAnsi="Segoe UI Light"/>
                <w:bCs/>
                <w:sz w:val="16"/>
                <w:szCs w:val="16"/>
              </w:rPr>
              <w:t>Vidējā izglītība</w:t>
            </w:r>
            <w:r w:rsidRPr="003B4CDA">
              <w:rPr>
                <w:rFonts w:ascii="Segoe UI Light" w:eastAsia="Times New Roman" w:hAnsi="Segoe UI Light"/>
                <w:bCs/>
                <w:sz w:val="16"/>
                <w:szCs w:val="18"/>
                <w:lang w:eastAsia="lv-LV"/>
              </w:rPr>
              <w:t>, tai skaitā:</w:t>
            </w:r>
          </w:p>
        </w:tc>
        <w:tc>
          <w:tcPr>
            <w:tcW w:w="538" w:type="pct"/>
            <w:shd w:val="clear" w:color="auto" w:fill="CCC0D9" w:themeFill="accent4" w:themeFillTint="66"/>
          </w:tcPr>
          <w:p w14:paraId="46B44C4F"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453,1</w:t>
            </w:r>
          </w:p>
        </w:tc>
        <w:tc>
          <w:tcPr>
            <w:tcW w:w="538" w:type="pct"/>
            <w:shd w:val="clear" w:color="auto" w:fill="CCC0D9" w:themeFill="accent4" w:themeFillTint="66"/>
          </w:tcPr>
          <w:p w14:paraId="0DE05B4D"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436,8</w:t>
            </w:r>
          </w:p>
        </w:tc>
        <w:tc>
          <w:tcPr>
            <w:tcW w:w="538" w:type="pct"/>
            <w:shd w:val="clear" w:color="auto" w:fill="CCC0D9" w:themeFill="accent4" w:themeFillTint="66"/>
          </w:tcPr>
          <w:p w14:paraId="731B625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10</w:t>
            </w:r>
            <w:r>
              <w:rPr>
                <w:rFonts w:ascii="Segoe UI Light" w:eastAsia="Times New Roman" w:hAnsi="Segoe UI Light" w:cs="Segoe UI Light"/>
                <w:bCs/>
                <w:sz w:val="16"/>
                <w:szCs w:val="16"/>
              </w:rPr>
              <w:t>4</w:t>
            </w:r>
          </w:p>
        </w:tc>
        <w:tc>
          <w:tcPr>
            <w:tcW w:w="538" w:type="pct"/>
            <w:shd w:val="clear" w:color="auto" w:fill="CCC0D9" w:themeFill="accent4" w:themeFillTint="66"/>
          </w:tcPr>
          <w:p w14:paraId="7C9803AF"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431,9</w:t>
            </w:r>
          </w:p>
        </w:tc>
        <w:tc>
          <w:tcPr>
            <w:tcW w:w="538" w:type="pct"/>
            <w:shd w:val="clear" w:color="auto" w:fill="CCC0D9" w:themeFill="accent4" w:themeFillTint="66"/>
          </w:tcPr>
          <w:p w14:paraId="6ED2426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392,3</w:t>
            </w:r>
          </w:p>
        </w:tc>
        <w:tc>
          <w:tcPr>
            <w:tcW w:w="538" w:type="pct"/>
            <w:shd w:val="clear" w:color="auto" w:fill="CCC0D9" w:themeFill="accent4" w:themeFillTint="66"/>
          </w:tcPr>
          <w:p w14:paraId="1349CCE0"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1</w:t>
            </w:r>
            <w:r>
              <w:rPr>
                <w:rFonts w:ascii="Segoe UI Light" w:eastAsia="Times New Roman" w:hAnsi="Segoe UI Light" w:cs="Segoe UI Light"/>
                <w:bCs/>
                <w:sz w:val="16"/>
                <w:szCs w:val="16"/>
              </w:rPr>
              <w:t>10</w:t>
            </w:r>
          </w:p>
        </w:tc>
      </w:tr>
      <w:tr w:rsidR="00C03C20" w:rsidRPr="003B4CDA" w14:paraId="5CFE1655" w14:textId="77777777" w:rsidTr="00941DB6">
        <w:trPr>
          <w:cantSplit/>
          <w:trHeight w:val="20"/>
        </w:trPr>
        <w:tc>
          <w:tcPr>
            <w:tcW w:w="1769" w:type="pct"/>
            <w:shd w:val="clear" w:color="auto" w:fill="E5DFEC" w:themeFill="accent4" w:themeFillTint="33"/>
          </w:tcPr>
          <w:p w14:paraId="2C766A52" w14:textId="77777777" w:rsidR="00024B8C" w:rsidRPr="003B4CDA" w:rsidRDefault="00024B8C">
            <w:pPr>
              <w:spacing w:before="40" w:after="40"/>
              <w:ind w:left="170"/>
              <w:rPr>
                <w:rFonts w:ascii="Segoe UI Light" w:eastAsia="Times New Roman" w:hAnsi="Segoe UI Light"/>
                <w:sz w:val="16"/>
                <w:szCs w:val="16"/>
              </w:rPr>
            </w:pPr>
            <w:r w:rsidRPr="003B4CDA">
              <w:rPr>
                <w:rFonts w:ascii="Segoe UI Light" w:eastAsia="Times New Roman" w:hAnsi="Segoe UI Light"/>
                <w:sz w:val="16"/>
                <w:szCs w:val="16"/>
              </w:rPr>
              <w:t>Profesionālā vidējā izglītība, tai skaitā:</w:t>
            </w:r>
          </w:p>
        </w:tc>
        <w:tc>
          <w:tcPr>
            <w:tcW w:w="538" w:type="pct"/>
            <w:shd w:val="clear" w:color="auto" w:fill="E5DFEC" w:themeFill="accent4" w:themeFillTint="33"/>
          </w:tcPr>
          <w:p w14:paraId="55D98568"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276,5</w:t>
            </w:r>
          </w:p>
        </w:tc>
        <w:tc>
          <w:tcPr>
            <w:tcW w:w="538" w:type="pct"/>
            <w:shd w:val="clear" w:color="auto" w:fill="E5DFEC" w:themeFill="accent4" w:themeFillTint="33"/>
          </w:tcPr>
          <w:p w14:paraId="14DFDAC6"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230,8</w:t>
            </w:r>
          </w:p>
        </w:tc>
        <w:tc>
          <w:tcPr>
            <w:tcW w:w="538" w:type="pct"/>
            <w:shd w:val="clear" w:color="auto" w:fill="E5DFEC" w:themeFill="accent4" w:themeFillTint="33"/>
          </w:tcPr>
          <w:p w14:paraId="6AD8984C"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1</w:t>
            </w:r>
            <w:r>
              <w:rPr>
                <w:rFonts w:ascii="Segoe UI Light" w:eastAsia="Times New Roman" w:hAnsi="Segoe UI Light" w:cs="Segoe UI Light"/>
                <w:bCs/>
                <w:sz w:val="16"/>
                <w:szCs w:val="16"/>
              </w:rPr>
              <w:t>20</w:t>
            </w:r>
          </w:p>
        </w:tc>
        <w:tc>
          <w:tcPr>
            <w:tcW w:w="538" w:type="pct"/>
            <w:shd w:val="clear" w:color="auto" w:fill="E5DFEC" w:themeFill="accent4" w:themeFillTint="33"/>
          </w:tcPr>
          <w:p w14:paraId="1257888F"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289,7</w:t>
            </w:r>
          </w:p>
        </w:tc>
        <w:tc>
          <w:tcPr>
            <w:tcW w:w="538" w:type="pct"/>
            <w:shd w:val="clear" w:color="auto" w:fill="E5DFEC" w:themeFill="accent4" w:themeFillTint="33"/>
          </w:tcPr>
          <w:p w14:paraId="431E8D9F"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184,5</w:t>
            </w:r>
          </w:p>
        </w:tc>
        <w:tc>
          <w:tcPr>
            <w:tcW w:w="538" w:type="pct"/>
            <w:shd w:val="clear" w:color="auto" w:fill="E5DFEC" w:themeFill="accent4" w:themeFillTint="33"/>
          </w:tcPr>
          <w:p w14:paraId="062BE508"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1</w:t>
            </w:r>
            <w:r>
              <w:rPr>
                <w:rFonts w:ascii="Segoe UI Light" w:eastAsia="Times New Roman" w:hAnsi="Segoe UI Light" w:cs="Segoe UI Light"/>
                <w:bCs/>
                <w:sz w:val="16"/>
                <w:szCs w:val="16"/>
              </w:rPr>
              <w:t>57</w:t>
            </w:r>
          </w:p>
        </w:tc>
      </w:tr>
      <w:tr w:rsidR="00C03C20" w:rsidRPr="003B4CDA" w14:paraId="778F97E2"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tcPr>
          <w:p w14:paraId="1AAB9E16" w14:textId="77777777" w:rsidR="00024B8C" w:rsidRPr="003B4CDA" w:rsidRDefault="00024B8C">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Izglītība</w:t>
            </w:r>
          </w:p>
        </w:tc>
        <w:tc>
          <w:tcPr>
            <w:tcW w:w="538" w:type="pct"/>
            <w:shd w:val="clear" w:color="auto" w:fill="CCC0D9" w:themeFill="accent4" w:themeFillTint="66"/>
          </w:tcPr>
          <w:p w14:paraId="44DC785A"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2,1</w:t>
            </w:r>
          </w:p>
        </w:tc>
        <w:tc>
          <w:tcPr>
            <w:tcW w:w="538" w:type="pct"/>
            <w:shd w:val="clear" w:color="auto" w:fill="CCC0D9" w:themeFill="accent4" w:themeFillTint="66"/>
          </w:tcPr>
          <w:p w14:paraId="5901DDAD"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8</w:t>
            </w:r>
          </w:p>
        </w:tc>
        <w:tc>
          <w:tcPr>
            <w:tcW w:w="538" w:type="pct"/>
            <w:shd w:val="clear" w:color="auto" w:fill="CCC0D9" w:themeFill="accent4" w:themeFillTint="66"/>
          </w:tcPr>
          <w:p w14:paraId="37A20C8A"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11</w:t>
            </w:r>
            <w:r>
              <w:rPr>
                <w:rFonts w:ascii="Segoe UI Light" w:hAnsi="Segoe UI Light" w:cs="Segoe UI Light"/>
                <w:sz w:val="16"/>
                <w:szCs w:val="16"/>
              </w:rPr>
              <w:t>4</w:t>
            </w:r>
          </w:p>
        </w:tc>
        <w:tc>
          <w:tcPr>
            <w:tcW w:w="538" w:type="pct"/>
            <w:shd w:val="clear" w:color="auto" w:fill="CCC0D9" w:themeFill="accent4" w:themeFillTint="66"/>
          </w:tcPr>
          <w:p w14:paraId="5EC7EA0A" w14:textId="77777777" w:rsidR="00024B8C" w:rsidRPr="003B4CDA" w:rsidRDefault="00024B8C">
            <w:pPr>
              <w:tabs>
                <w:tab w:val="decimal" w:pos="582"/>
              </w:tabs>
              <w:spacing w:before="40" w:after="40"/>
              <w:rPr>
                <w:rFonts w:ascii="Segoe UI Light" w:eastAsia="Times New Roman" w:hAnsi="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5</w:t>
            </w:r>
          </w:p>
        </w:tc>
        <w:tc>
          <w:tcPr>
            <w:tcW w:w="538" w:type="pct"/>
            <w:shd w:val="clear" w:color="auto" w:fill="CCC0D9" w:themeFill="accent4" w:themeFillTint="66"/>
          </w:tcPr>
          <w:p w14:paraId="366A6EA8"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0,</w:t>
            </w:r>
            <w:r>
              <w:rPr>
                <w:rFonts w:ascii="Segoe UI Light" w:hAnsi="Segoe UI Light" w:cs="Segoe UI Light"/>
                <w:sz w:val="16"/>
                <w:szCs w:val="16"/>
              </w:rPr>
              <w:t>7</w:t>
            </w:r>
          </w:p>
        </w:tc>
        <w:tc>
          <w:tcPr>
            <w:tcW w:w="538" w:type="pct"/>
            <w:shd w:val="clear" w:color="auto" w:fill="CCC0D9" w:themeFill="accent4" w:themeFillTint="66"/>
          </w:tcPr>
          <w:p w14:paraId="2C23E186" w14:textId="77777777" w:rsidR="00024B8C" w:rsidRPr="00B25837" w:rsidRDefault="00024B8C">
            <w:pPr>
              <w:tabs>
                <w:tab w:val="decimal" w:pos="582"/>
              </w:tabs>
              <w:spacing w:before="40" w:after="40"/>
              <w:rPr>
                <w:rFonts w:ascii="Segoe UI Light" w:hAnsi="Segoe UI Light" w:cs="Segoe UI Light"/>
                <w:sz w:val="16"/>
                <w:szCs w:val="16"/>
              </w:rPr>
            </w:pPr>
            <w:r>
              <w:rPr>
                <w:rFonts w:ascii="Segoe UI Light" w:hAnsi="Segoe UI Light" w:cs="Segoe UI Light"/>
                <w:sz w:val="16"/>
                <w:szCs w:val="16"/>
              </w:rPr>
              <w:t>230</w:t>
            </w:r>
          </w:p>
        </w:tc>
      </w:tr>
      <w:tr w:rsidR="00C03C20" w:rsidRPr="003B4CDA" w14:paraId="0F162E8F" w14:textId="77777777" w:rsidTr="00941DB6">
        <w:trPr>
          <w:cantSplit/>
          <w:trHeight w:val="20"/>
        </w:trPr>
        <w:tc>
          <w:tcPr>
            <w:tcW w:w="1769" w:type="pct"/>
            <w:shd w:val="clear" w:color="auto" w:fill="E5DFEC" w:themeFill="accent4" w:themeFillTint="33"/>
          </w:tcPr>
          <w:p w14:paraId="5AC2C0DF" w14:textId="77777777" w:rsidR="00024B8C" w:rsidRPr="003B4CDA" w:rsidRDefault="00024B8C">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Humanitārās zinātnes un māksla</w:t>
            </w:r>
          </w:p>
        </w:tc>
        <w:tc>
          <w:tcPr>
            <w:tcW w:w="538" w:type="pct"/>
            <w:shd w:val="clear" w:color="auto" w:fill="E5DFEC" w:themeFill="accent4" w:themeFillTint="33"/>
          </w:tcPr>
          <w:p w14:paraId="7C6E09F1"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9,4</w:t>
            </w:r>
          </w:p>
        </w:tc>
        <w:tc>
          <w:tcPr>
            <w:tcW w:w="538" w:type="pct"/>
            <w:shd w:val="clear" w:color="auto" w:fill="E5DFEC" w:themeFill="accent4" w:themeFillTint="33"/>
          </w:tcPr>
          <w:p w14:paraId="2480681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11,3</w:t>
            </w:r>
          </w:p>
        </w:tc>
        <w:tc>
          <w:tcPr>
            <w:tcW w:w="538" w:type="pct"/>
            <w:shd w:val="clear" w:color="auto" w:fill="E5DFEC" w:themeFill="accent4" w:themeFillTint="33"/>
          </w:tcPr>
          <w:p w14:paraId="6D256EC0"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83</w:t>
            </w:r>
          </w:p>
        </w:tc>
        <w:tc>
          <w:tcPr>
            <w:tcW w:w="538" w:type="pct"/>
            <w:shd w:val="clear" w:color="auto" w:fill="E5DFEC" w:themeFill="accent4" w:themeFillTint="33"/>
          </w:tcPr>
          <w:p w14:paraId="5016B163"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9,5</w:t>
            </w:r>
          </w:p>
        </w:tc>
        <w:tc>
          <w:tcPr>
            <w:tcW w:w="538" w:type="pct"/>
            <w:shd w:val="clear" w:color="auto" w:fill="E5DFEC" w:themeFill="accent4" w:themeFillTint="33"/>
          </w:tcPr>
          <w:p w14:paraId="11A003B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13,1</w:t>
            </w:r>
          </w:p>
        </w:tc>
        <w:tc>
          <w:tcPr>
            <w:tcW w:w="538" w:type="pct"/>
            <w:shd w:val="clear" w:color="auto" w:fill="E5DFEC" w:themeFill="accent4" w:themeFillTint="33"/>
          </w:tcPr>
          <w:p w14:paraId="42BAB09C"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7</w:t>
            </w:r>
            <w:r>
              <w:rPr>
                <w:rFonts w:ascii="Segoe UI Light" w:hAnsi="Segoe UI Light" w:cs="Segoe UI Light"/>
                <w:sz w:val="16"/>
                <w:szCs w:val="16"/>
              </w:rPr>
              <w:t>3</w:t>
            </w:r>
          </w:p>
        </w:tc>
      </w:tr>
      <w:tr w:rsidR="00C03C20" w:rsidRPr="003B4CDA" w14:paraId="66FD81E4"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tcPr>
          <w:p w14:paraId="6104EE47" w14:textId="77777777" w:rsidR="00024B8C" w:rsidRPr="00D66911" w:rsidRDefault="00024B8C">
            <w:pPr>
              <w:spacing w:before="40" w:after="40"/>
              <w:ind w:left="340" w:right="-107"/>
              <w:rPr>
                <w:rFonts w:ascii="Segoe UI Light" w:eastAsia="Times New Roman" w:hAnsi="Segoe UI Light"/>
                <w:color w:val="000000"/>
                <w:spacing w:val="-4"/>
                <w:sz w:val="16"/>
                <w:szCs w:val="16"/>
              </w:rPr>
            </w:pPr>
            <w:r w:rsidRPr="00D66911">
              <w:rPr>
                <w:rFonts w:ascii="Segoe UI Light" w:eastAsia="Times New Roman" w:hAnsi="Segoe UI Light"/>
                <w:color w:val="000000"/>
                <w:spacing w:val="-4"/>
                <w:sz w:val="16"/>
                <w:szCs w:val="16"/>
              </w:rPr>
              <w:t xml:space="preserve">Sociālās zinātnes, </w:t>
            </w:r>
            <w:proofErr w:type="spellStart"/>
            <w:r w:rsidRPr="00D66911">
              <w:rPr>
                <w:rFonts w:ascii="Segoe UI Light" w:eastAsia="Times New Roman" w:hAnsi="Segoe UI Light"/>
                <w:color w:val="000000"/>
                <w:spacing w:val="-4"/>
                <w:sz w:val="16"/>
                <w:szCs w:val="16"/>
              </w:rPr>
              <w:t>komerczinības</w:t>
            </w:r>
            <w:proofErr w:type="spellEnd"/>
            <w:r w:rsidRPr="00D66911">
              <w:rPr>
                <w:rFonts w:ascii="Segoe UI Light" w:eastAsia="Times New Roman" w:hAnsi="Segoe UI Light"/>
                <w:color w:val="000000"/>
                <w:spacing w:val="-4"/>
                <w:sz w:val="16"/>
                <w:szCs w:val="16"/>
              </w:rPr>
              <w:t xml:space="preserve"> un tiesības</w:t>
            </w:r>
          </w:p>
        </w:tc>
        <w:tc>
          <w:tcPr>
            <w:tcW w:w="538" w:type="pct"/>
            <w:shd w:val="clear" w:color="auto" w:fill="CCC0D9" w:themeFill="accent4" w:themeFillTint="66"/>
          </w:tcPr>
          <w:p w14:paraId="1535FAD4"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22,2</w:t>
            </w:r>
          </w:p>
        </w:tc>
        <w:tc>
          <w:tcPr>
            <w:tcW w:w="538" w:type="pct"/>
            <w:shd w:val="clear" w:color="auto" w:fill="CCC0D9" w:themeFill="accent4" w:themeFillTint="66"/>
          </w:tcPr>
          <w:p w14:paraId="52E4531B"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19,1</w:t>
            </w:r>
          </w:p>
        </w:tc>
        <w:tc>
          <w:tcPr>
            <w:tcW w:w="538" w:type="pct"/>
            <w:shd w:val="clear" w:color="auto" w:fill="CCC0D9" w:themeFill="accent4" w:themeFillTint="66"/>
          </w:tcPr>
          <w:p w14:paraId="1C55269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116</w:t>
            </w:r>
          </w:p>
        </w:tc>
        <w:tc>
          <w:tcPr>
            <w:tcW w:w="538" w:type="pct"/>
            <w:shd w:val="clear" w:color="auto" w:fill="CCC0D9" w:themeFill="accent4" w:themeFillTint="66"/>
          </w:tcPr>
          <w:p w14:paraId="09B5A13C"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21,6</w:t>
            </w:r>
          </w:p>
        </w:tc>
        <w:tc>
          <w:tcPr>
            <w:tcW w:w="538" w:type="pct"/>
            <w:shd w:val="clear" w:color="auto" w:fill="CCC0D9" w:themeFill="accent4" w:themeFillTint="66"/>
          </w:tcPr>
          <w:p w14:paraId="17F72762"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15,0</w:t>
            </w:r>
          </w:p>
        </w:tc>
        <w:tc>
          <w:tcPr>
            <w:tcW w:w="538" w:type="pct"/>
            <w:shd w:val="clear" w:color="auto" w:fill="CCC0D9" w:themeFill="accent4" w:themeFillTint="66"/>
          </w:tcPr>
          <w:p w14:paraId="7FAE90FF"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144</w:t>
            </w:r>
          </w:p>
        </w:tc>
      </w:tr>
      <w:tr w:rsidR="00C03C20" w:rsidRPr="003B4CDA" w14:paraId="7866B1AA" w14:textId="77777777" w:rsidTr="00941DB6">
        <w:trPr>
          <w:cantSplit/>
          <w:trHeight w:val="20"/>
        </w:trPr>
        <w:tc>
          <w:tcPr>
            <w:tcW w:w="1769" w:type="pct"/>
            <w:shd w:val="clear" w:color="auto" w:fill="E5DFEC" w:themeFill="accent4" w:themeFillTint="33"/>
          </w:tcPr>
          <w:p w14:paraId="266D0064" w14:textId="77777777" w:rsidR="00024B8C" w:rsidRPr="003B4CDA" w:rsidRDefault="00024B8C">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Dabas zinātnes, matemātika un informācijas tehnoloģijas</w:t>
            </w:r>
          </w:p>
        </w:tc>
        <w:tc>
          <w:tcPr>
            <w:tcW w:w="538" w:type="pct"/>
            <w:shd w:val="clear" w:color="auto" w:fill="E5DFEC" w:themeFill="accent4" w:themeFillTint="33"/>
          </w:tcPr>
          <w:p w14:paraId="3EB4B9C5"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8,0</w:t>
            </w:r>
          </w:p>
        </w:tc>
        <w:tc>
          <w:tcPr>
            <w:tcW w:w="538" w:type="pct"/>
            <w:shd w:val="clear" w:color="auto" w:fill="E5DFEC" w:themeFill="accent4" w:themeFillTint="33"/>
          </w:tcPr>
          <w:p w14:paraId="3647924F"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8,0</w:t>
            </w:r>
          </w:p>
        </w:tc>
        <w:tc>
          <w:tcPr>
            <w:tcW w:w="538" w:type="pct"/>
            <w:shd w:val="clear" w:color="auto" w:fill="E5DFEC" w:themeFill="accent4" w:themeFillTint="33"/>
          </w:tcPr>
          <w:p w14:paraId="72C4AF12"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00</w:t>
            </w:r>
          </w:p>
        </w:tc>
        <w:tc>
          <w:tcPr>
            <w:tcW w:w="538" w:type="pct"/>
            <w:shd w:val="clear" w:color="auto" w:fill="E5DFEC" w:themeFill="accent4" w:themeFillTint="33"/>
          </w:tcPr>
          <w:p w14:paraId="7E7D4597"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9,5</w:t>
            </w:r>
          </w:p>
        </w:tc>
        <w:tc>
          <w:tcPr>
            <w:tcW w:w="538" w:type="pct"/>
            <w:shd w:val="clear" w:color="auto" w:fill="E5DFEC" w:themeFill="accent4" w:themeFillTint="33"/>
          </w:tcPr>
          <w:p w14:paraId="26E39C08"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9,1</w:t>
            </w:r>
          </w:p>
        </w:tc>
        <w:tc>
          <w:tcPr>
            <w:tcW w:w="538" w:type="pct"/>
            <w:shd w:val="clear" w:color="auto" w:fill="E5DFEC" w:themeFill="accent4" w:themeFillTint="33"/>
          </w:tcPr>
          <w:p w14:paraId="04E5A139"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04</w:t>
            </w:r>
          </w:p>
        </w:tc>
      </w:tr>
      <w:tr w:rsidR="00C03C20" w:rsidRPr="003B4CDA" w14:paraId="7DEBE4CF"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tcPr>
          <w:p w14:paraId="16BABC2C" w14:textId="77777777" w:rsidR="00024B8C" w:rsidRPr="003B4CDA" w:rsidRDefault="00024B8C">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Inženierzinātnes, ražošana un būvniecība</w:t>
            </w:r>
          </w:p>
        </w:tc>
        <w:tc>
          <w:tcPr>
            <w:tcW w:w="538" w:type="pct"/>
            <w:shd w:val="clear" w:color="auto" w:fill="CCC0D9" w:themeFill="accent4" w:themeFillTint="66"/>
          </w:tcPr>
          <w:p w14:paraId="14D1AFBD"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145,4</w:t>
            </w:r>
          </w:p>
        </w:tc>
        <w:tc>
          <w:tcPr>
            <w:tcW w:w="538" w:type="pct"/>
            <w:shd w:val="clear" w:color="auto" w:fill="CCC0D9" w:themeFill="accent4" w:themeFillTint="66"/>
          </w:tcPr>
          <w:p w14:paraId="4B4FB1A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114,8</w:t>
            </w:r>
          </w:p>
        </w:tc>
        <w:tc>
          <w:tcPr>
            <w:tcW w:w="538" w:type="pct"/>
            <w:shd w:val="clear" w:color="auto" w:fill="CCC0D9" w:themeFill="accent4" w:themeFillTint="66"/>
          </w:tcPr>
          <w:p w14:paraId="4B5E9B19"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127</w:t>
            </w:r>
          </w:p>
        </w:tc>
        <w:tc>
          <w:tcPr>
            <w:tcW w:w="538" w:type="pct"/>
            <w:shd w:val="clear" w:color="auto" w:fill="CCC0D9" w:themeFill="accent4" w:themeFillTint="66"/>
          </w:tcPr>
          <w:p w14:paraId="0770E29B"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154,4</w:t>
            </w:r>
          </w:p>
        </w:tc>
        <w:tc>
          <w:tcPr>
            <w:tcW w:w="538" w:type="pct"/>
            <w:shd w:val="clear" w:color="auto" w:fill="CCC0D9" w:themeFill="accent4" w:themeFillTint="66"/>
          </w:tcPr>
          <w:p w14:paraId="10B20397"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82,5</w:t>
            </w:r>
          </w:p>
        </w:tc>
        <w:tc>
          <w:tcPr>
            <w:tcW w:w="538" w:type="pct"/>
            <w:shd w:val="clear" w:color="auto" w:fill="CCC0D9" w:themeFill="accent4" w:themeFillTint="66"/>
          </w:tcPr>
          <w:p w14:paraId="184082F0"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187</w:t>
            </w:r>
          </w:p>
        </w:tc>
      </w:tr>
      <w:tr w:rsidR="00C03C20" w:rsidRPr="003B4CDA" w14:paraId="6E28CEEE" w14:textId="77777777" w:rsidTr="00941DB6">
        <w:trPr>
          <w:cantSplit/>
          <w:trHeight w:val="20"/>
        </w:trPr>
        <w:tc>
          <w:tcPr>
            <w:tcW w:w="1769" w:type="pct"/>
            <w:shd w:val="clear" w:color="auto" w:fill="E5DFEC" w:themeFill="accent4" w:themeFillTint="33"/>
          </w:tcPr>
          <w:p w14:paraId="5DB5DF2B" w14:textId="77777777" w:rsidR="00024B8C" w:rsidRPr="003B4CDA" w:rsidRDefault="00024B8C">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Lauksaimniecība</w:t>
            </w:r>
          </w:p>
        </w:tc>
        <w:tc>
          <w:tcPr>
            <w:tcW w:w="538" w:type="pct"/>
            <w:shd w:val="clear" w:color="auto" w:fill="E5DFEC" w:themeFill="accent4" w:themeFillTint="33"/>
          </w:tcPr>
          <w:p w14:paraId="253F6C22"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11,7</w:t>
            </w:r>
          </w:p>
        </w:tc>
        <w:tc>
          <w:tcPr>
            <w:tcW w:w="538" w:type="pct"/>
            <w:shd w:val="clear" w:color="auto" w:fill="E5DFEC" w:themeFill="accent4" w:themeFillTint="33"/>
          </w:tcPr>
          <w:p w14:paraId="0D242354"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10,1</w:t>
            </w:r>
          </w:p>
        </w:tc>
        <w:tc>
          <w:tcPr>
            <w:tcW w:w="538" w:type="pct"/>
            <w:shd w:val="clear" w:color="auto" w:fill="E5DFEC" w:themeFill="accent4" w:themeFillTint="33"/>
          </w:tcPr>
          <w:p w14:paraId="3E6C123A"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115</w:t>
            </w:r>
          </w:p>
        </w:tc>
        <w:tc>
          <w:tcPr>
            <w:tcW w:w="538" w:type="pct"/>
            <w:shd w:val="clear" w:color="auto" w:fill="E5DFEC" w:themeFill="accent4" w:themeFillTint="33"/>
          </w:tcPr>
          <w:p w14:paraId="53040433"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11,3</w:t>
            </w:r>
          </w:p>
        </w:tc>
        <w:tc>
          <w:tcPr>
            <w:tcW w:w="538" w:type="pct"/>
            <w:shd w:val="clear" w:color="auto" w:fill="E5DFEC" w:themeFill="accent4" w:themeFillTint="33"/>
          </w:tcPr>
          <w:p w14:paraId="5C21FD28"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8,</w:t>
            </w:r>
            <w:r>
              <w:rPr>
                <w:rFonts w:ascii="Segoe UI Light" w:hAnsi="Segoe UI Light" w:cs="Segoe UI Light"/>
                <w:sz w:val="16"/>
                <w:szCs w:val="16"/>
              </w:rPr>
              <w:t>1</w:t>
            </w:r>
          </w:p>
        </w:tc>
        <w:tc>
          <w:tcPr>
            <w:tcW w:w="538" w:type="pct"/>
            <w:shd w:val="clear" w:color="auto" w:fill="E5DFEC" w:themeFill="accent4" w:themeFillTint="33"/>
          </w:tcPr>
          <w:p w14:paraId="1EF9BF3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139</w:t>
            </w:r>
          </w:p>
        </w:tc>
      </w:tr>
      <w:tr w:rsidR="00C03C20" w:rsidRPr="003B4CDA" w14:paraId="0650FE48"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tcPr>
          <w:p w14:paraId="2E9784A3" w14:textId="77777777" w:rsidR="00024B8C" w:rsidRPr="003B4CDA" w:rsidRDefault="00024B8C">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Veselības aprūpe un sociālā labklājība</w:t>
            </w:r>
          </w:p>
        </w:tc>
        <w:tc>
          <w:tcPr>
            <w:tcW w:w="538" w:type="pct"/>
            <w:shd w:val="clear" w:color="auto" w:fill="CCC0D9" w:themeFill="accent4" w:themeFillTint="66"/>
          </w:tcPr>
          <w:p w14:paraId="05C82494"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12,8</w:t>
            </w:r>
          </w:p>
        </w:tc>
        <w:tc>
          <w:tcPr>
            <w:tcW w:w="538" w:type="pct"/>
            <w:shd w:val="clear" w:color="auto" w:fill="CCC0D9" w:themeFill="accent4" w:themeFillTint="66"/>
          </w:tcPr>
          <w:p w14:paraId="6A30008E"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9,5</w:t>
            </w:r>
          </w:p>
        </w:tc>
        <w:tc>
          <w:tcPr>
            <w:tcW w:w="538" w:type="pct"/>
            <w:shd w:val="clear" w:color="auto" w:fill="CCC0D9" w:themeFill="accent4" w:themeFillTint="66"/>
          </w:tcPr>
          <w:p w14:paraId="4E9229AB"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135</w:t>
            </w:r>
          </w:p>
        </w:tc>
        <w:tc>
          <w:tcPr>
            <w:tcW w:w="538" w:type="pct"/>
            <w:shd w:val="clear" w:color="auto" w:fill="CCC0D9" w:themeFill="accent4" w:themeFillTint="66"/>
          </w:tcPr>
          <w:p w14:paraId="5855560B"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14,9</w:t>
            </w:r>
          </w:p>
        </w:tc>
        <w:tc>
          <w:tcPr>
            <w:tcW w:w="538" w:type="pct"/>
            <w:shd w:val="clear" w:color="auto" w:fill="CCC0D9" w:themeFill="accent4" w:themeFillTint="66"/>
          </w:tcPr>
          <w:p w14:paraId="5CD2C46D"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8,6</w:t>
            </w:r>
          </w:p>
        </w:tc>
        <w:tc>
          <w:tcPr>
            <w:tcW w:w="538" w:type="pct"/>
            <w:shd w:val="clear" w:color="auto" w:fill="CCC0D9" w:themeFill="accent4" w:themeFillTint="66"/>
          </w:tcPr>
          <w:p w14:paraId="1CC68109"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73</w:t>
            </w:r>
          </w:p>
        </w:tc>
      </w:tr>
      <w:tr w:rsidR="00C03C20" w:rsidRPr="003B4CDA" w14:paraId="5AAB6EE4" w14:textId="77777777" w:rsidTr="00941DB6">
        <w:trPr>
          <w:cantSplit/>
          <w:trHeight w:val="20"/>
        </w:trPr>
        <w:tc>
          <w:tcPr>
            <w:tcW w:w="1769" w:type="pct"/>
            <w:shd w:val="clear" w:color="auto" w:fill="E5DFEC" w:themeFill="accent4" w:themeFillTint="33"/>
          </w:tcPr>
          <w:p w14:paraId="6C37B29F" w14:textId="77777777" w:rsidR="00024B8C" w:rsidRPr="003B4CDA" w:rsidRDefault="00024B8C">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Pakalpojumi</w:t>
            </w:r>
          </w:p>
        </w:tc>
        <w:tc>
          <w:tcPr>
            <w:tcW w:w="538" w:type="pct"/>
            <w:shd w:val="clear" w:color="auto" w:fill="E5DFEC" w:themeFill="accent4" w:themeFillTint="33"/>
          </w:tcPr>
          <w:p w14:paraId="2FCC6CE2"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53,9</w:t>
            </w:r>
          </w:p>
        </w:tc>
        <w:tc>
          <w:tcPr>
            <w:tcW w:w="538" w:type="pct"/>
            <w:shd w:val="clear" w:color="auto" w:fill="E5DFEC" w:themeFill="accent4" w:themeFillTint="33"/>
          </w:tcPr>
          <w:p w14:paraId="5079DBF6"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48,3</w:t>
            </w:r>
          </w:p>
        </w:tc>
        <w:tc>
          <w:tcPr>
            <w:tcW w:w="538" w:type="pct"/>
            <w:shd w:val="clear" w:color="auto" w:fill="E5DFEC" w:themeFill="accent4" w:themeFillTint="33"/>
          </w:tcPr>
          <w:p w14:paraId="6DF85F9B"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112</w:t>
            </w:r>
          </w:p>
        </w:tc>
        <w:tc>
          <w:tcPr>
            <w:tcW w:w="538" w:type="pct"/>
            <w:shd w:val="clear" w:color="auto" w:fill="E5DFEC" w:themeFill="accent4" w:themeFillTint="33"/>
          </w:tcPr>
          <w:p w14:paraId="6C78A515"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54,5</w:t>
            </w:r>
          </w:p>
        </w:tc>
        <w:tc>
          <w:tcPr>
            <w:tcW w:w="538" w:type="pct"/>
            <w:shd w:val="clear" w:color="auto" w:fill="E5DFEC" w:themeFill="accent4" w:themeFillTint="33"/>
          </w:tcPr>
          <w:p w14:paraId="6B62067F"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43,1</w:t>
            </w:r>
          </w:p>
        </w:tc>
        <w:tc>
          <w:tcPr>
            <w:tcW w:w="538" w:type="pct"/>
            <w:shd w:val="clear" w:color="auto" w:fill="E5DFEC" w:themeFill="accent4" w:themeFillTint="33"/>
          </w:tcPr>
          <w:p w14:paraId="2AA01752"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126</w:t>
            </w:r>
          </w:p>
        </w:tc>
      </w:tr>
      <w:tr w:rsidR="00C03C20" w:rsidRPr="003B4CDA" w14:paraId="662E6AEE"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tcPr>
          <w:p w14:paraId="7DCA1351" w14:textId="77777777" w:rsidR="00024B8C" w:rsidRPr="003B4CDA" w:rsidRDefault="00024B8C">
            <w:pPr>
              <w:spacing w:before="40" w:after="40"/>
              <w:ind w:left="170"/>
              <w:rPr>
                <w:rFonts w:ascii="Segoe UI Light" w:eastAsia="Times New Roman" w:hAnsi="Segoe UI Light"/>
                <w:color w:val="000000"/>
                <w:sz w:val="16"/>
                <w:szCs w:val="16"/>
              </w:rPr>
            </w:pPr>
            <w:r w:rsidRPr="003B4CDA">
              <w:rPr>
                <w:rFonts w:ascii="Segoe UI Light" w:eastAsia="Times New Roman" w:hAnsi="Segoe UI Light"/>
                <w:sz w:val="16"/>
                <w:szCs w:val="16"/>
              </w:rPr>
              <w:t>Vispārējā vidējā izglītība</w:t>
            </w:r>
          </w:p>
        </w:tc>
        <w:tc>
          <w:tcPr>
            <w:tcW w:w="538" w:type="pct"/>
            <w:shd w:val="clear" w:color="auto" w:fill="CCC0D9" w:themeFill="accent4" w:themeFillTint="66"/>
          </w:tcPr>
          <w:p w14:paraId="4C53F93F" w14:textId="77777777" w:rsidR="00024B8C" w:rsidRPr="00CD70EE" w:rsidRDefault="00024B8C">
            <w:pPr>
              <w:tabs>
                <w:tab w:val="decimal" w:pos="582"/>
              </w:tabs>
              <w:spacing w:before="40" w:after="40"/>
              <w:rPr>
                <w:rFonts w:ascii="Segoe UI Light" w:eastAsia="Times New Roman" w:hAnsi="Segoe UI Light" w:cs="Segoe UI Light"/>
                <w:bCs/>
                <w:sz w:val="16"/>
                <w:szCs w:val="16"/>
              </w:rPr>
            </w:pPr>
            <w:r w:rsidRPr="00CD70EE">
              <w:rPr>
                <w:rFonts w:ascii="Segoe UI Light" w:hAnsi="Segoe UI Light" w:cs="Segoe UI Light"/>
                <w:sz w:val="16"/>
                <w:szCs w:val="16"/>
              </w:rPr>
              <w:t>176,5</w:t>
            </w:r>
          </w:p>
        </w:tc>
        <w:tc>
          <w:tcPr>
            <w:tcW w:w="538" w:type="pct"/>
            <w:shd w:val="clear" w:color="auto" w:fill="CCC0D9" w:themeFill="accent4" w:themeFillTint="66"/>
          </w:tcPr>
          <w:p w14:paraId="4C8DB23D"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205,9</w:t>
            </w:r>
          </w:p>
        </w:tc>
        <w:tc>
          <w:tcPr>
            <w:tcW w:w="538" w:type="pct"/>
            <w:shd w:val="clear" w:color="auto" w:fill="CCC0D9" w:themeFill="accent4" w:themeFillTint="66"/>
          </w:tcPr>
          <w:p w14:paraId="72FBAB85"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86</w:t>
            </w:r>
          </w:p>
        </w:tc>
        <w:tc>
          <w:tcPr>
            <w:tcW w:w="538" w:type="pct"/>
            <w:shd w:val="clear" w:color="auto" w:fill="CCC0D9" w:themeFill="accent4" w:themeFillTint="66"/>
          </w:tcPr>
          <w:p w14:paraId="3BEFF398"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142,2</w:t>
            </w:r>
          </w:p>
        </w:tc>
        <w:tc>
          <w:tcPr>
            <w:tcW w:w="538" w:type="pct"/>
            <w:shd w:val="clear" w:color="auto" w:fill="CCC0D9" w:themeFill="accent4" w:themeFillTint="66"/>
          </w:tcPr>
          <w:p w14:paraId="7F60E5CE"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207,8</w:t>
            </w:r>
          </w:p>
        </w:tc>
        <w:tc>
          <w:tcPr>
            <w:tcW w:w="538" w:type="pct"/>
            <w:shd w:val="clear" w:color="auto" w:fill="CCC0D9" w:themeFill="accent4" w:themeFillTint="66"/>
          </w:tcPr>
          <w:p w14:paraId="435D1D00"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68</w:t>
            </w:r>
          </w:p>
        </w:tc>
      </w:tr>
      <w:tr w:rsidR="00C03C20" w:rsidRPr="003B4CDA" w14:paraId="2E43AE21" w14:textId="77777777" w:rsidTr="00941DB6">
        <w:trPr>
          <w:cantSplit/>
          <w:trHeight w:val="20"/>
        </w:trPr>
        <w:tc>
          <w:tcPr>
            <w:tcW w:w="1769" w:type="pct"/>
            <w:shd w:val="clear" w:color="auto" w:fill="E5DFEC" w:themeFill="accent4" w:themeFillTint="33"/>
          </w:tcPr>
          <w:p w14:paraId="1DC915D0" w14:textId="77777777" w:rsidR="00024B8C" w:rsidRPr="003B4CDA" w:rsidRDefault="00024B8C">
            <w:pPr>
              <w:spacing w:before="40" w:after="40"/>
              <w:rPr>
                <w:rFonts w:ascii="Segoe UI Light" w:eastAsia="Times New Roman" w:hAnsi="Segoe UI Light"/>
                <w:color w:val="000000"/>
                <w:sz w:val="16"/>
                <w:szCs w:val="16"/>
              </w:rPr>
            </w:pPr>
            <w:r w:rsidRPr="003B4CDA">
              <w:rPr>
                <w:rFonts w:ascii="Segoe UI Light" w:eastAsia="Times New Roman" w:hAnsi="Segoe UI Light"/>
                <w:bCs/>
                <w:sz w:val="16"/>
                <w:szCs w:val="16"/>
              </w:rPr>
              <w:t>Pamatizglītība un zemāka par pamatizglītību</w:t>
            </w:r>
          </w:p>
        </w:tc>
        <w:tc>
          <w:tcPr>
            <w:tcW w:w="538" w:type="pct"/>
            <w:shd w:val="clear" w:color="auto" w:fill="E5DFEC" w:themeFill="accent4" w:themeFillTint="33"/>
          </w:tcPr>
          <w:p w14:paraId="46568EE0"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57,6</w:t>
            </w:r>
          </w:p>
        </w:tc>
        <w:tc>
          <w:tcPr>
            <w:tcW w:w="538" w:type="pct"/>
            <w:shd w:val="clear" w:color="auto" w:fill="E5DFEC" w:themeFill="accent4" w:themeFillTint="33"/>
          </w:tcPr>
          <w:p w14:paraId="01B3F7B4"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117,9</w:t>
            </w:r>
          </w:p>
        </w:tc>
        <w:tc>
          <w:tcPr>
            <w:tcW w:w="538" w:type="pct"/>
            <w:shd w:val="clear" w:color="auto" w:fill="E5DFEC" w:themeFill="accent4" w:themeFillTint="33"/>
          </w:tcPr>
          <w:p w14:paraId="70325D13"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eastAsia="Times New Roman" w:hAnsi="Segoe UI Light" w:cs="Segoe UI Light"/>
                <w:bCs/>
                <w:sz w:val="16"/>
                <w:szCs w:val="16"/>
              </w:rPr>
              <w:t>49</w:t>
            </w:r>
          </w:p>
        </w:tc>
        <w:tc>
          <w:tcPr>
            <w:tcW w:w="538" w:type="pct"/>
            <w:shd w:val="clear" w:color="auto" w:fill="E5DFEC" w:themeFill="accent4" w:themeFillTint="33"/>
          </w:tcPr>
          <w:p w14:paraId="572993F2" w14:textId="77777777" w:rsidR="00024B8C" w:rsidRPr="003B4CDA" w:rsidRDefault="00024B8C">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44,2</w:t>
            </w:r>
          </w:p>
        </w:tc>
        <w:tc>
          <w:tcPr>
            <w:tcW w:w="538" w:type="pct"/>
            <w:shd w:val="clear" w:color="auto" w:fill="E5DFEC" w:themeFill="accent4" w:themeFillTint="33"/>
          </w:tcPr>
          <w:p w14:paraId="711D8700"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109,7</w:t>
            </w:r>
          </w:p>
        </w:tc>
        <w:tc>
          <w:tcPr>
            <w:tcW w:w="538" w:type="pct"/>
            <w:shd w:val="clear" w:color="auto" w:fill="E5DFEC" w:themeFill="accent4" w:themeFillTint="33"/>
          </w:tcPr>
          <w:p w14:paraId="14D0EDE9" w14:textId="77777777" w:rsidR="00024B8C" w:rsidRPr="003B4CDA" w:rsidRDefault="00024B8C">
            <w:pPr>
              <w:tabs>
                <w:tab w:val="decimal" w:pos="582"/>
              </w:tabs>
              <w:spacing w:before="40" w:after="40"/>
              <w:rPr>
                <w:rFonts w:ascii="Segoe UI Light" w:eastAsia="Times New Roman" w:hAnsi="Segoe UI Light" w:cs="Segoe UI Light"/>
                <w:bCs/>
                <w:sz w:val="16"/>
                <w:szCs w:val="16"/>
              </w:rPr>
            </w:pPr>
            <w:r>
              <w:rPr>
                <w:rFonts w:ascii="Segoe UI Light" w:eastAsia="Times New Roman" w:hAnsi="Segoe UI Light" w:cs="Segoe UI Light"/>
                <w:bCs/>
                <w:sz w:val="16"/>
                <w:szCs w:val="16"/>
              </w:rPr>
              <w:t>40</w:t>
            </w:r>
          </w:p>
        </w:tc>
      </w:tr>
      <w:tr w:rsidR="00C03C20" w:rsidRPr="003B4CDA" w14:paraId="70C4A216" w14:textId="77777777" w:rsidTr="00941DB6">
        <w:trPr>
          <w:cnfStyle w:val="000000100000" w:firstRow="0" w:lastRow="0" w:firstColumn="0" w:lastColumn="0" w:oddVBand="0" w:evenVBand="0" w:oddHBand="1" w:evenHBand="0" w:firstRowFirstColumn="0" w:firstRowLastColumn="0" w:lastRowFirstColumn="0" w:lastRowLastColumn="0"/>
          <w:cantSplit/>
          <w:trHeight w:val="20"/>
        </w:trPr>
        <w:tc>
          <w:tcPr>
            <w:tcW w:w="1769" w:type="pct"/>
            <w:shd w:val="clear" w:color="auto" w:fill="CCC0D9" w:themeFill="accent4" w:themeFillTint="66"/>
          </w:tcPr>
          <w:p w14:paraId="757C0173" w14:textId="77777777" w:rsidR="00024B8C" w:rsidRPr="003B4CDA" w:rsidRDefault="00024B8C">
            <w:pPr>
              <w:spacing w:before="40" w:after="40"/>
              <w:rPr>
                <w:rFonts w:ascii="Segoe UI Light" w:eastAsia="Times New Roman" w:hAnsi="Segoe UI Light"/>
                <w:b/>
                <w:color w:val="000000"/>
                <w:sz w:val="16"/>
                <w:szCs w:val="16"/>
              </w:rPr>
            </w:pPr>
            <w:r w:rsidRPr="003B4CDA">
              <w:rPr>
                <w:rFonts w:ascii="Segoe UI Light" w:eastAsia="Times New Roman" w:hAnsi="Segoe UI Light"/>
                <w:b/>
                <w:bCs/>
                <w:sz w:val="16"/>
                <w:szCs w:val="16"/>
              </w:rPr>
              <w:t>Kopā</w:t>
            </w:r>
          </w:p>
        </w:tc>
        <w:tc>
          <w:tcPr>
            <w:tcW w:w="538" w:type="pct"/>
            <w:shd w:val="clear" w:color="auto" w:fill="CCC0D9" w:themeFill="accent4" w:themeFillTint="66"/>
          </w:tcPr>
          <w:p w14:paraId="31509456" w14:textId="77777777" w:rsidR="00024B8C" w:rsidRPr="003B4CDA" w:rsidRDefault="00024B8C">
            <w:pPr>
              <w:tabs>
                <w:tab w:val="decimal" w:pos="582"/>
              </w:tabs>
              <w:spacing w:before="40" w:after="40"/>
              <w:rPr>
                <w:rFonts w:ascii="Segoe UI Light" w:eastAsia="Times New Roman" w:hAnsi="Segoe UI Light" w:cs="Segoe UI Light"/>
                <w:b/>
                <w:bCs/>
                <w:sz w:val="16"/>
                <w:szCs w:val="16"/>
              </w:rPr>
            </w:pPr>
            <w:r>
              <w:rPr>
                <w:rFonts w:ascii="Segoe UI Light" w:hAnsi="Segoe UI Light" w:cs="Segoe UI Light"/>
                <w:b/>
                <w:bCs/>
                <w:sz w:val="16"/>
                <w:szCs w:val="16"/>
              </w:rPr>
              <w:t>907,8</w:t>
            </w:r>
          </w:p>
        </w:tc>
        <w:tc>
          <w:tcPr>
            <w:tcW w:w="538" w:type="pct"/>
            <w:shd w:val="clear" w:color="auto" w:fill="CCC0D9" w:themeFill="accent4" w:themeFillTint="66"/>
          </w:tcPr>
          <w:p w14:paraId="7B576EF2" w14:textId="77777777" w:rsidR="00024B8C" w:rsidRPr="003B4CDA" w:rsidRDefault="00024B8C">
            <w:pPr>
              <w:tabs>
                <w:tab w:val="decimal" w:pos="582"/>
              </w:tabs>
              <w:spacing w:before="40" w:after="40"/>
              <w:rPr>
                <w:rFonts w:ascii="Segoe UI Light" w:eastAsia="Times New Roman" w:hAnsi="Segoe UI Light" w:cs="Segoe UI Light"/>
                <w:b/>
                <w:bCs/>
                <w:sz w:val="16"/>
                <w:szCs w:val="16"/>
              </w:rPr>
            </w:pPr>
            <w:r>
              <w:rPr>
                <w:rFonts w:ascii="Segoe UI Light" w:hAnsi="Segoe UI Light" w:cs="Segoe UI Light"/>
                <w:b/>
                <w:bCs/>
                <w:sz w:val="16"/>
                <w:szCs w:val="16"/>
              </w:rPr>
              <w:t>890,0</w:t>
            </w:r>
          </w:p>
        </w:tc>
        <w:tc>
          <w:tcPr>
            <w:tcW w:w="538" w:type="pct"/>
            <w:shd w:val="clear" w:color="auto" w:fill="CCC0D9" w:themeFill="accent4" w:themeFillTint="66"/>
          </w:tcPr>
          <w:p w14:paraId="64483399" w14:textId="77777777" w:rsidR="00024B8C" w:rsidRPr="003B4CDA" w:rsidRDefault="00024B8C">
            <w:pPr>
              <w:tabs>
                <w:tab w:val="decimal" w:pos="582"/>
              </w:tabs>
              <w:spacing w:before="40" w:after="40"/>
              <w:rPr>
                <w:rFonts w:ascii="Segoe UI Light" w:eastAsia="Times New Roman" w:hAnsi="Segoe UI Light" w:cs="Segoe UI Light"/>
                <w:b/>
                <w:bCs/>
                <w:sz w:val="16"/>
                <w:szCs w:val="16"/>
              </w:rPr>
            </w:pPr>
            <w:r w:rsidRPr="003B4CDA">
              <w:rPr>
                <w:rFonts w:ascii="Segoe UI Light" w:eastAsia="Times New Roman" w:hAnsi="Segoe UI Light" w:cs="Segoe UI Light"/>
                <w:b/>
                <w:bCs/>
                <w:sz w:val="16"/>
                <w:szCs w:val="16"/>
              </w:rPr>
              <w:t>9</w:t>
            </w:r>
            <w:r>
              <w:rPr>
                <w:rFonts w:ascii="Segoe UI Light" w:eastAsia="Times New Roman" w:hAnsi="Segoe UI Light" w:cs="Segoe UI Light"/>
                <w:b/>
                <w:bCs/>
                <w:sz w:val="16"/>
                <w:szCs w:val="16"/>
              </w:rPr>
              <w:t>5</w:t>
            </w:r>
          </w:p>
        </w:tc>
        <w:tc>
          <w:tcPr>
            <w:tcW w:w="538" w:type="pct"/>
            <w:shd w:val="clear" w:color="auto" w:fill="CCC0D9" w:themeFill="accent4" w:themeFillTint="66"/>
          </w:tcPr>
          <w:p w14:paraId="40F04DD2" w14:textId="77777777" w:rsidR="00024B8C" w:rsidRPr="003B4CDA" w:rsidRDefault="00024B8C">
            <w:pPr>
              <w:tabs>
                <w:tab w:val="decimal" w:pos="582"/>
              </w:tabs>
              <w:spacing w:before="40" w:after="40"/>
              <w:rPr>
                <w:rFonts w:ascii="Segoe UI Light" w:eastAsia="Times New Roman" w:hAnsi="Segoe UI Light"/>
                <w:b/>
                <w:bCs/>
                <w:sz w:val="16"/>
                <w:szCs w:val="16"/>
              </w:rPr>
            </w:pPr>
            <w:r>
              <w:rPr>
                <w:rFonts w:ascii="Segoe UI Light" w:hAnsi="Segoe UI Light" w:cs="Segoe UI Light"/>
                <w:b/>
                <w:bCs/>
                <w:sz w:val="16"/>
                <w:szCs w:val="16"/>
              </w:rPr>
              <w:t>960,1</w:t>
            </w:r>
          </w:p>
        </w:tc>
        <w:tc>
          <w:tcPr>
            <w:tcW w:w="538" w:type="pct"/>
            <w:shd w:val="clear" w:color="auto" w:fill="CCC0D9" w:themeFill="accent4" w:themeFillTint="66"/>
          </w:tcPr>
          <w:p w14:paraId="5DE657F0" w14:textId="77777777" w:rsidR="00024B8C" w:rsidRPr="003B4CDA" w:rsidRDefault="00024B8C">
            <w:pPr>
              <w:tabs>
                <w:tab w:val="decimal" w:pos="582"/>
              </w:tabs>
              <w:spacing w:before="40" w:after="40"/>
              <w:rPr>
                <w:rFonts w:ascii="Segoe UI Light" w:eastAsia="Times New Roman" w:hAnsi="Segoe UI Light" w:cs="Segoe UI Light"/>
                <w:b/>
                <w:bCs/>
                <w:sz w:val="16"/>
                <w:szCs w:val="16"/>
              </w:rPr>
            </w:pPr>
            <w:r>
              <w:rPr>
                <w:rFonts w:ascii="Segoe UI Light" w:hAnsi="Segoe UI Light" w:cs="Segoe UI Light"/>
                <w:b/>
                <w:bCs/>
                <w:sz w:val="16"/>
                <w:szCs w:val="16"/>
              </w:rPr>
              <w:t>936,3</w:t>
            </w:r>
          </w:p>
        </w:tc>
        <w:tc>
          <w:tcPr>
            <w:tcW w:w="538" w:type="pct"/>
            <w:shd w:val="clear" w:color="auto" w:fill="CCC0D9" w:themeFill="accent4" w:themeFillTint="66"/>
          </w:tcPr>
          <w:p w14:paraId="68C88C8B" w14:textId="77777777" w:rsidR="00024B8C" w:rsidRPr="003B4CDA" w:rsidRDefault="00024B8C">
            <w:pPr>
              <w:tabs>
                <w:tab w:val="decimal" w:pos="582"/>
              </w:tabs>
              <w:spacing w:before="40" w:after="40"/>
              <w:rPr>
                <w:rFonts w:ascii="Segoe UI Light" w:eastAsia="Times New Roman" w:hAnsi="Segoe UI Light" w:cs="Segoe UI Light"/>
                <w:b/>
                <w:bCs/>
                <w:sz w:val="16"/>
                <w:szCs w:val="16"/>
              </w:rPr>
            </w:pPr>
            <w:r w:rsidRPr="003B4CDA">
              <w:rPr>
                <w:rFonts w:ascii="Segoe UI Light" w:eastAsia="Times New Roman" w:hAnsi="Segoe UI Light" w:cs="Segoe UI Light"/>
                <w:b/>
                <w:bCs/>
                <w:sz w:val="16"/>
                <w:szCs w:val="16"/>
              </w:rPr>
              <w:t>95</w:t>
            </w:r>
          </w:p>
        </w:tc>
      </w:tr>
    </w:tbl>
    <w:p w14:paraId="428B0DEB" w14:textId="77777777" w:rsidR="00024B8C" w:rsidRPr="00941DB6" w:rsidRDefault="00024B8C" w:rsidP="00941DB6">
      <w:pPr>
        <w:spacing w:before="120" w:after="120"/>
        <w:jc w:val="both"/>
        <w:rPr>
          <w:rFonts w:cs="Calibri Light"/>
          <w:sz w:val="16"/>
          <w:szCs w:val="14"/>
        </w:rPr>
      </w:pPr>
      <w:r w:rsidRPr="00941DB6">
        <w:rPr>
          <w:rFonts w:cs="Calibri Light"/>
          <w:sz w:val="16"/>
          <w:szCs w:val="14"/>
        </w:rPr>
        <w:t>Avots: EM prognozes</w:t>
      </w:r>
    </w:p>
    <w:p w14:paraId="7A465BFF" w14:textId="77777777" w:rsidR="00941DB6" w:rsidRDefault="00941DB6" w:rsidP="000816FF">
      <w:pPr>
        <w:spacing w:after="120"/>
        <w:jc w:val="both"/>
        <w:rPr>
          <w:szCs w:val="20"/>
          <w:highlight w:val="yellow"/>
        </w:rPr>
      </w:pPr>
    </w:p>
    <w:p w14:paraId="54C51F8B" w14:textId="77777777" w:rsidR="00B018CB" w:rsidRDefault="00B018CB">
      <w:pPr>
        <w:spacing w:after="0"/>
        <w:rPr>
          <w:rFonts w:ascii="Aptos Narrow" w:hAnsi="Aptos Narrow"/>
          <w:b/>
          <w:color w:val="5F497A" w:themeColor="accent4" w:themeShade="BF"/>
          <w:sz w:val="28"/>
          <w:szCs w:val="28"/>
        </w:rPr>
      </w:pPr>
      <w:r>
        <w:rPr>
          <w:rFonts w:ascii="Aptos Narrow" w:hAnsi="Aptos Narrow"/>
          <w:b/>
          <w:color w:val="5F497A" w:themeColor="accent4" w:themeShade="BF"/>
          <w:sz w:val="28"/>
          <w:szCs w:val="28"/>
        </w:rPr>
        <w:br w:type="page"/>
      </w:r>
    </w:p>
    <w:p w14:paraId="30727CA1" w14:textId="77C82876" w:rsidR="00941DB6" w:rsidRPr="00B018CB" w:rsidRDefault="00941DB6" w:rsidP="000816FF">
      <w:pPr>
        <w:spacing w:after="120"/>
        <w:jc w:val="both"/>
        <w:rPr>
          <w:rFonts w:ascii="Aptos Narrow" w:hAnsi="Aptos Narrow"/>
          <w:b/>
          <w:color w:val="5F497A" w:themeColor="accent4" w:themeShade="BF"/>
          <w:sz w:val="28"/>
          <w:szCs w:val="28"/>
        </w:rPr>
      </w:pPr>
      <w:r w:rsidRPr="00B018CB">
        <w:rPr>
          <w:rFonts w:ascii="Aptos Narrow" w:hAnsi="Aptos Narrow"/>
          <w:b/>
          <w:color w:val="5F497A" w:themeColor="accent4" w:themeShade="BF"/>
          <w:sz w:val="28"/>
          <w:szCs w:val="28"/>
        </w:rPr>
        <w:lastRenderedPageBreak/>
        <w:t>Darbaspēka pieprasījuma un piedāvājuma atbilstība pa profesiju grupām</w:t>
      </w:r>
    </w:p>
    <w:p w14:paraId="3323EB94" w14:textId="77777777" w:rsidR="00941DB6" w:rsidRPr="00877B6F" w:rsidRDefault="00941DB6" w:rsidP="000816FF">
      <w:pPr>
        <w:spacing w:after="120"/>
        <w:jc w:val="both"/>
        <w:rPr>
          <w:szCs w:val="20"/>
        </w:rPr>
      </w:pPr>
      <w:r w:rsidRPr="00877B6F">
        <w:rPr>
          <w:szCs w:val="20"/>
        </w:rPr>
        <w:t xml:space="preserve">Gan vidējā, gan ilgtermiņā būtiskākais </w:t>
      </w:r>
      <w:r w:rsidRPr="00877B6F">
        <w:rPr>
          <w:b/>
          <w:szCs w:val="20"/>
        </w:rPr>
        <w:t>darbaspēka iztrūkums veidosies pēc vidējās kvalifikācijas darbiniekiem</w:t>
      </w:r>
      <w:r w:rsidRPr="00877B6F">
        <w:rPr>
          <w:szCs w:val="20"/>
        </w:rPr>
        <w:t xml:space="preserve"> tādās profesijās kā metālapstrādes un mašīnbūves strādnieki, būvnieki, pašgājēju mašīnu un iekārtu vadītāji un operatori, elektrisko un elektronisko iekārtu speciālisti, pārtikas produktu pārstrādes un kokapstrādes strādnieki, rūpniecisko iekārtu operatori. Gandrīz visās šajās specialitātēs nākamajos gados sagaidāms darbaspēka piedāvājuma samazinājums, ko no vienas puses nosaka darbaspēka novecošanās un iziešana no darba tirgus, bet no otras puses, nepietiekamais profesionālās izglītības piedāvājums atbilstošajās specialitātēs.</w:t>
      </w:r>
    </w:p>
    <w:p w14:paraId="0411645C" w14:textId="77777777" w:rsidR="00941DB6" w:rsidRPr="003B4CDA" w:rsidRDefault="00941DB6" w:rsidP="000816FF">
      <w:pPr>
        <w:spacing w:after="120"/>
        <w:jc w:val="both"/>
        <w:rPr>
          <w:szCs w:val="20"/>
        </w:rPr>
      </w:pPr>
      <w:r w:rsidRPr="00877B6F">
        <w:rPr>
          <w:szCs w:val="20"/>
        </w:rPr>
        <w:t>Vienlaikus lielākais darbaspēka pārpalikums būs pakalpojumu un tirdzniecības profesijās, kā arī kalpotāju profesijās, kur liela daļa no nodarbinātajiem ir ar vidējo vispārējo izglītību, savukārt darba meklētāju skaits ar šādu izglītību saglabāsies augsts.</w:t>
      </w:r>
    </w:p>
    <w:p w14:paraId="6BE0993A" w14:textId="77777777" w:rsidR="00941DB6" w:rsidRPr="003B4CDA" w:rsidRDefault="00941DB6" w:rsidP="00941DB6">
      <w:pPr>
        <w:spacing w:after="120"/>
        <w:jc w:val="right"/>
        <w:rPr>
          <w:szCs w:val="26"/>
        </w:rPr>
      </w:pPr>
      <w:r w:rsidRPr="003B4CDA">
        <w:rPr>
          <w:szCs w:val="26"/>
        </w:rPr>
        <w:t>3.1</w:t>
      </w:r>
      <w:r>
        <w:rPr>
          <w:szCs w:val="26"/>
        </w:rPr>
        <w:t>7</w:t>
      </w:r>
      <w:r w:rsidRPr="003B4CDA">
        <w:rPr>
          <w:szCs w:val="26"/>
        </w:rPr>
        <w:t>. attēls</w:t>
      </w:r>
    </w:p>
    <w:p w14:paraId="22634048" w14:textId="77777777" w:rsidR="00941DB6" w:rsidRPr="003B4CDA" w:rsidRDefault="00941DB6" w:rsidP="00941DB6">
      <w:pPr>
        <w:spacing w:after="120"/>
        <w:jc w:val="center"/>
        <w:rPr>
          <w:rFonts w:ascii="Segoe UI Light" w:hAnsi="Segoe UI Light"/>
          <w:b/>
          <w:bCs/>
          <w:color w:val="000000"/>
          <w:sz w:val="16"/>
        </w:rPr>
      </w:pPr>
      <w:r w:rsidRPr="003B4CDA">
        <w:rPr>
          <w:rFonts w:ascii="Segoe UI Light" w:hAnsi="Segoe UI Light"/>
          <w:b/>
          <w:sz w:val="18"/>
          <w:szCs w:val="26"/>
        </w:rPr>
        <w:t xml:space="preserve">Darbaspēka piedāvājuma un pieprasījuma prognozes </w:t>
      </w:r>
      <w:r w:rsidRPr="003B4CDA">
        <w:rPr>
          <w:rFonts w:ascii="Segoe UI Light" w:hAnsi="Segoe UI Light"/>
          <w:b/>
          <w:bCs/>
          <w:color w:val="000000"/>
          <w:sz w:val="18"/>
          <w:szCs w:val="26"/>
        </w:rPr>
        <w:t xml:space="preserve">sadalījumā pa profesiju grupām </w:t>
      </w:r>
      <w:r w:rsidRPr="003B4CDA">
        <w:rPr>
          <w:rFonts w:ascii="Segoe UI Light" w:hAnsi="Segoe UI Light"/>
          <w:b/>
          <w:bCs/>
          <w:color w:val="000000"/>
          <w:sz w:val="18"/>
          <w:szCs w:val="26"/>
        </w:rPr>
        <w:br/>
      </w:r>
      <w:r w:rsidRPr="003B4CDA">
        <w:rPr>
          <w:rFonts w:ascii="Segoe UI Light" w:hAnsi="Segoe UI Light"/>
          <w:bCs/>
          <w:i/>
          <w:color w:val="000000"/>
          <w:sz w:val="16"/>
        </w:rPr>
        <w:t>tūkstošos</w:t>
      </w:r>
    </w:p>
    <w:p w14:paraId="54A5C786" w14:textId="77777777" w:rsidR="00941DB6" w:rsidRPr="003B4CDA" w:rsidRDefault="00941DB6" w:rsidP="000816FF">
      <w:pPr>
        <w:tabs>
          <w:tab w:val="center" w:pos="1560"/>
          <w:tab w:val="center" w:pos="4678"/>
          <w:tab w:val="center" w:pos="7655"/>
        </w:tabs>
        <w:spacing w:after="120"/>
        <w:rPr>
          <w:rFonts w:ascii="Segoe UI Light" w:hAnsi="Segoe UI Light"/>
          <w:sz w:val="16"/>
          <w:szCs w:val="20"/>
        </w:rPr>
      </w:pPr>
      <w:r w:rsidRPr="003B4CDA">
        <w:rPr>
          <w:rFonts w:ascii="Segoe UI Light" w:hAnsi="Segoe UI Light"/>
          <w:bCs/>
          <w:sz w:val="16"/>
          <w:szCs w:val="20"/>
        </w:rPr>
        <w:tab/>
        <w:t>Vadītāji</w:t>
      </w:r>
      <w:r w:rsidRPr="003B4CDA">
        <w:rPr>
          <w:rFonts w:ascii="Segoe UI Light" w:hAnsi="Segoe UI Light"/>
          <w:bCs/>
          <w:sz w:val="16"/>
          <w:szCs w:val="20"/>
        </w:rPr>
        <w:tab/>
        <w:t>Vecākie speciālisti</w:t>
      </w:r>
      <w:r w:rsidRPr="003B4CDA">
        <w:rPr>
          <w:rFonts w:ascii="Segoe UI Light" w:hAnsi="Segoe UI Light"/>
          <w:bCs/>
          <w:sz w:val="16"/>
          <w:szCs w:val="20"/>
        </w:rPr>
        <w:tab/>
      </w:r>
      <w:proofErr w:type="spellStart"/>
      <w:r w:rsidRPr="003B4CDA">
        <w:rPr>
          <w:rFonts w:ascii="Segoe UI Light" w:hAnsi="Segoe UI Light"/>
          <w:bCs/>
          <w:sz w:val="16"/>
          <w:szCs w:val="20"/>
        </w:rPr>
        <w:t>Speciālisti</w:t>
      </w:r>
      <w:proofErr w:type="spellEnd"/>
    </w:p>
    <w:p w14:paraId="76E43073" w14:textId="77777777" w:rsidR="00941DB6" w:rsidRPr="003B4CDA" w:rsidRDefault="00941DB6" w:rsidP="000816FF">
      <w:pPr>
        <w:tabs>
          <w:tab w:val="center" w:pos="1560"/>
          <w:tab w:val="center" w:pos="4678"/>
          <w:tab w:val="center" w:pos="7655"/>
        </w:tabs>
        <w:spacing w:after="120"/>
        <w:ind w:right="-193"/>
        <w:rPr>
          <w:rFonts w:ascii="Segoe UI Light" w:hAnsi="Segoe UI Light"/>
          <w:sz w:val="16"/>
          <w:szCs w:val="16"/>
        </w:rPr>
      </w:pPr>
      <w:r w:rsidRPr="003B4CDA">
        <w:rPr>
          <w:rFonts w:ascii="Segoe UI Light" w:hAnsi="Segoe UI Light"/>
          <w:noProof/>
          <w:sz w:val="16"/>
          <w:szCs w:val="20"/>
          <w:lang w:eastAsia="lv-LV"/>
        </w:rPr>
        <w:drawing>
          <wp:inline distT="0" distB="0" distL="0" distR="0" wp14:anchorId="6EC3BAE9" wp14:editId="65E67786">
            <wp:extent cx="1944000" cy="1440000"/>
            <wp:effectExtent l="0" t="0" r="0" b="0"/>
            <wp:docPr id="313" name="Chart 3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r w:rsidRPr="003B4CDA">
        <w:rPr>
          <w:rFonts w:ascii="Segoe UI Light" w:hAnsi="Segoe UI Light"/>
          <w:noProof/>
          <w:sz w:val="16"/>
          <w:szCs w:val="20"/>
          <w:lang w:eastAsia="lv-LV"/>
        </w:rPr>
        <w:drawing>
          <wp:inline distT="0" distB="0" distL="0" distR="0" wp14:anchorId="55844BAF" wp14:editId="4F586A04">
            <wp:extent cx="1944000" cy="1440000"/>
            <wp:effectExtent l="0" t="0" r="0" b="0"/>
            <wp:docPr id="260" name="Chart 2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r w:rsidRPr="003B4CDA">
        <w:rPr>
          <w:rFonts w:ascii="Segoe UI Light" w:hAnsi="Segoe UI Light"/>
          <w:noProof/>
          <w:sz w:val="16"/>
          <w:szCs w:val="20"/>
          <w:lang w:eastAsia="lv-LV"/>
        </w:rPr>
        <w:drawing>
          <wp:inline distT="0" distB="0" distL="0" distR="0" wp14:anchorId="0DE7F572" wp14:editId="16BFCFAA">
            <wp:extent cx="1944000" cy="1440000"/>
            <wp:effectExtent l="0" t="0" r="0" b="0"/>
            <wp:docPr id="111" name="Chart 1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2B23A4A3" w14:textId="77777777" w:rsidR="00941DB6" w:rsidRPr="003B4CDA" w:rsidRDefault="00941DB6" w:rsidP="000816FF">
      <w:pPr>
        <w:tabs>
          <w:tab w:val="center" w:pos="1560"/>
          <w:tab w:val="center" w:pos="4678"/>
          <w:tab w:val="center" w:pos="7655"/>
        </w:tabs>
        <w:spacing w:after="120"/>
        <w:rPr>
          <w:rFonts w:ascii="Segoe UI Light" w:hAnsi="Segoe UI Light"/>
          <w:sz w:val="16"/>
          <w:szCs w:val="20"/>
        </w:rPr>
      </w:pPr>
      <w:r w:rsidRPr="003B4CDA">
        <w:rPr>
          <w:rFonts w:ascii="Segoe UI Light" w:hAnsi="Segoe UI Light"/>
          <w:bCs/>
          <w:sz w:val="16"/>
          <w:szCs w:val="20"/>
        </w:rPr>
        <w:tab/>
        <w:t>Kalpotāji</w:t>
      </w:r>
      <w:r w:rsidRPr="003B4CDA">
        <w:rPr>
          <w:rFonts w:ascii="Segoe UI Light" w:hAnsi="Segoe UI Light"/>
          <w:bCs/>
          <w:sz w:val="16"/>
          <w:szCs w:val="20"/>
        </w:rPr>
        <w:tab/>
        <w:t>Pakalpojumu un tirdzniecības darbinieki</w:t>
      </w:r>
      <w:r w:rsidRPr="003B4CDA">
        <w:rPr>
          <w:rFonts w:ascii="Segoe UI Light" w:hAnsi="Segoe UI Light"/>
          <w:sz w:val="16"/>
          <w:szCs w:val="20"/>
        </w:rPr>
        <w:tab/>
      </w:r>
      <w:r w:rsidRPr="003B4CDA">
        <w:rPr>
          <w:rFonts w:ascii="Segoe UI Light" w:hAnsi="Segoe UI Light"/>
          <w:bCs/>
          <w:sz w:val="16"/>
          <w:szCs w:val="20"/>
        </w:rPr>
        <w:t>Kvalificēti lauksaimniecības,</w:t>
      </w:r>
      <w:r w:rsidRPr="003B4CDA">
        <w:rPr>
          <w:rFonts w:ascii="Segoe UI Light" w:hAnsi="Segoe UI Light"/>
          <w:bCs/>
          <w:sz w:val="16"/>
          <w:szCs w:val="20"/>
        </w:rPr>
        <w:br/>
      </w:r>
      <w:r w:rsidRPr="003B4CDA">
        <w:rPr>
          <w:rFonts w:ascii="Segoe UI Light" w:hAnsi="Segoe UI Light"/>
          <w:bCs/>
          <w:sz w:val="16"/>
          <w:szCs w:val="20"/>
        </w:rPr>
        <w:tab/>
      </w:r>
      <w:r w:rsidRPr="003B4CDA">
        <w:rPr>
          <w:rFonts w:ascii="Segoe UI Light" w:hAnsi="Segoe UI Light"/>
          <w:bCs/>
          <w:sz w:val="16"/>
          <w:szCs w:val="20"/>
        </w:rPr>
        <w:tab/>
      </w:r>
      <w:r w:rsidRPr="003B4CDA">
        <w:rPr>
          <w:rFonts w:ascii="Segoe UI Light" w:hAnsi="Segoe UI Light"/>
          <w:bCs/>
          <w:sz w:val="16"/>
          <w:szCs w:val="20"/>
        </w:rPr>
        <w:tab/>
        <w:t>mežsaimniecības darbinieki</w:t>
      </w:r>
    </w:p>
    <w:p w14:paraId="116FDA9C" w14:textId="77777777" w:rsidR="00941DB6" w:rsidRPr="003B4CDA" w:rsidRDefault="00941DB6" w:rsidP="000816FF">
      <w:pPr>
        <w:tabs>
          <w:tab w:val="center" w:pos="1560"/>
          <w:tab w:val="center" w:pos="4678"/>
          <w:tab w:val="center" w:pos="7655"/>
        </w:tabs>
        <w:spacing w:after="120"/>
        <w:ind w:right="-193"/>
        <w:rPr>
          <w:rFonts w:ascii="Segoe UI Light" w:hAnsi="Segoe UI Light"/>
          <w:sz w:val="16"/>
          <w:szCs w:val="16"/>
        </w:rPr>
      </w:pPr>
      <w:r w:rsidRPr="003B4CDA">
        <w:rPr>
          <w:rFonts w:ascii="Segoe UI Light" w:hAnsi="Segoe UI Light"/>
          <w:noProof/>
          <w:sz w:val="16"/>
          <w:szCs w:val="20"/>
          <w:lang w:eastAsia="lv-LV"/>
        </w:rPr>
        <w:drawing>
          <wp:inline distT="0" distB="0" distL="0" distR="0" wp14:anchorId="578E578A" wp14:editId="0AC13E79">
            <wp:extent cx="1944000" cy="1440000"/>
            <wp:effectExtent l="0" t="0" r="0" b="0"/>
            <wp:docPr id="112" name="Chart 1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r w:rsidRPr="003B4CDA">
        <w:rPr>
          <w:rFonts w:ascii="Segoe UI Light" w:hAnsi="Segoe UI Light"/>
          <w:noProof/>
          <w:sz w:val="16"/>
          <w:szCs w:val="20"/>
          <w:lang w:eastAsia="lv-LV"/>
        </w:rPr>
        <w:drawing>
          <wp:inline distT="0" distB="0" distL="0" distR="0" wp14:anchorId="32866CAB" wp14:editId="6A03A540">
            <wp:extent cx="1944000" cy="1440000"/>
            <wp:effectExtent l="0" t="0" r="0" b="0"/>
            <wp:docPr id="113" name="Chart 1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r w:rsidRPr="003B4CDA">
        <w:rPr>
          <w:rFonts w:ascii="Segoe UI Light" w:hAnsi="Segoe UI Light"/>
          <w:noProof/>
          <w:sz w:val="16"/>
          <w:szCs w:val="20"/>
          <w:lang w:eastAsia="lv-LV"/>
        </w:rPr>
        <w:drawing>
          <wp:inline distT="0" distB="0" distL="0" distR="0" wp14:anchorId="28E76CE1" wp14:editId="5148CB67">
            <wp:extent cx="1944000" cy="1440000"/>
            <wp:effectExtent l="0" t="0" r="0" b="0"/>
            <wp:docPr id="114" name="Chart 1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14:paraId="0B223A8A" w14:textId="77777777" w:rsidR="00941DB6" w:rsidRPr="003B4CDA" w:rsidRDefault="00941DB6" w:rsidP="000816FF">
      <w:pPr>
        <w:tabs>
          <w:tab w:val="center" w:pos="1560"/>
          <w:tab w:val="center" w:pos="4678"/>
          <w:tab w:val="center" w:pos="7655"/>
        </w:tabs>
        <w:spacing w:after="120"/>
        <w:rPr>
          <w:rFonts w:ascii="Segoe UI Light" w:hAnsi="Segoe UI Light"/>
          <w:sz w:val="16"/>
          <w:szCs w:val="20"/>
        </w:rPr>
      </w:pPr>
      <w:r w:rsidRPr="003B4CDA">
        <w:rPr>
          <w:rFonts w:ascii="Segoe UI Light" w:hAnsi="Segoe UI Light"/>
          <w:bCs/>
          <w:sz w:val="16"/>
          <w:szCs w:val="20"/>
        </w:rPr>
        <w:tab/>
        <w:t>Kvalificēti strādnieki un amatnieki</w:t>
      </w:r>
      <w:r w:rsidRPr="003B4CDA">
        <w:rPr>
          <w:rFonts w:ascii="Segoe UI Light" w:hAnsi="Segoe UI Light"/>
          <w:sz w:val="16"/>
          <w:szCs w:val="20"/>
        </w:rPr>
        <w:tab/>
      </w:r>
      <w:r w:rsidRPr="003B4CDA">
        <w:rPr>
          <w:rFonts w:ascii="Segoe UI Light" w:hAnsi="Segoe UI Light"/>
          <w:bCs/>
          <w:sz w:val="16"/>
          <w:szCs w:val="20"/>
        </w:rPr>
        <w:t>Iekārtu un mašīnu operatori,</w:t>
      </w:r>
      <w:r w:rsidRPr="003B4CDA">
        <w:rPr>
          <w:rFonts w:ascii="Segoe UI Light" w:hAnsi="Segoe UI Light"/>
          <w:sz w:val="16"/>
          <w:szCs w:val="20"/>
        </w:rPr>
        <w:tab/>
      </w:r>
      <w:r w:rsidRPr="003B4CDA">
        <w:rPr>
          <w:rFonts w:ascii="Segoe UI Light" w:hAnsi="Segoe UI Light"/>
          <w:bCs/>
          <w:sz w:val="16"/>
          <w:szCs w:val="20"/>
        </w:rPr>
        <w:t>Vienkāršās profesijas</w:t>
      </w:r>
      <w:r w:rsidRPr="003B4CDA">
        <w:rPr>
          <w:rFonts w:ascii="Segoe UI Light" w:hAnsi="Segoe UI Light"/>
          <w:bCs/>
          <w:sz w:val="16"/>
          <w:szCs w:val="20"/>
        </w:rPr>
        <w:br/>
      </w:r>
      <w:r w:rsidRPr="003B4CDA">
        <w:rPr>
          <w:rFonts w:ascii="Segoe UI Light" w:hAnsi="Segoe UI Light"/>
          <w:bCs/>
          <w:sz w:val="16"/>
          <w:szCs w:val="20"/>
        </w:rPr>
        <w:tab/>
      </w:r>
      <w:r w:rsidRPr="003B4CDA">
        <w:rPr>
          <w:rFonts w:ascii="Segoe UI Light" w:hAnsi="Segoe UI Light"/>
          <w:bCs/>
          <w:sz w:val="16"/>
          <w:szCs w:val="20"/>
        </w:rPr>
        <w:tab/>
        <w:t>izstrādājumu montieri</w:t>
      </w:r>
    </w:p>
    <w:p w14:paraId="3B2C6586" w14:textId="77777777" w:rsidR="00941DB6" w:rsidRPr="003B4CDA" w:rsidRDefault="00941DB6" w:rsidP="000816FF">
      <w:pPr>
        <w:tabs>
          <w:tab w:val="center" w:pos="1560"/>
          <w:tab w:val="center" w:pos="4678"/>
          <w:tab w:val="center" w:pos="7655"/>
        </w:tabs>
        <w:spacing w:after="120"/>
        <w:ind w:right="-193"/>
        <w:rPr>
          <w:rFonts w:ascii="Segoe UI Light" w:hAnsi="Segoe UI Light"/>
          <w:sz w:val="16"/>
          <w:szCs w:val="16"/>
        </w:rPr>
      </w:pPr>
      <w:r w:rsidRPr="003B4CDA">
        <w:rPr>
          <w:rFonts w:ascii="Segoe UI Light" w:hAnsi="Segoe UI Light"/>
          <w:noProof/>
          <w:sz w:val="16"/>
          <w:szCs w:val="20"/>
          <w:lang w:eastAsia="lv-LV"/>
        </w:rPr>
        <w:drawing>
          <wp:inline distT="0" distB="0" distL="0" distR="0" wp14:anchorId="70B01C2F" wp14:editId="2F363B40">
            <wp:extent cx="1944000" cy="1440000"/>
            <wp:effectExtent l="0" t="0" r="0" b="0"/>
            <wp:docPr id="116" name="Chart 1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r w:rsidRPr="003B4CDA">
        <w:rPr>
          <w:rFonts w:ascii="Segoe UI Light" w:hAnsi="Segoe UI Light"/>
          <w:noProof/>
          <w:sz w:val="16"/>
          <w:szCs w:val="20"/>
          <w:lang w:eastAsia="lv-LV"/>
        </w:rPr>
        <w:drawing>
          <wp:inline distT="0" distB="0" distL="0" distR="0" wp14:anchorId="4E8BC99C" wp14:editId="63C24AD3">
            <wp:extent cx="1944000" cy="1440000"/>
            <wp:effectExtent l="0" t="0" r="0" b="0"/>
            <wp:docPr id="117" name="Chart 1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r w:rsidRPr="003B4CDA">
        <w:rPr>
          <w:rFonts w:ascii="Segoe UI Light" w:hAnsi="Segoe UI Light"/>
          <w:noProof/>
          <w:sz w:val="16"/>
          <w:szCs w:val="20"/>
          <w:lang w:eastAsia="lv-LV"/>
        </w:rPr>
        <w:drawing>
          <wp:inline distT="0" distB="0" distL="0" distR="0" wp14:anchorId="2FBD62BC" wp14:editId="0F819739">
            <wp:extent cx="1944000" cy="1440000"/>
            <wp:effectExtent l="0" t="0" r="0" b="0"/>
            <wp:docPr id="118" name="Chart 1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14:paraId="313F91A9" w14:textId="77777777" w:rsidR="00941DB6" w:rsidRPr="00941DB6" w:rsidRDefault="00941DB6" w:rsidP="00941DB6">
      <w:pPr>
        <w:spacing w:after="120"/>
        <w:jc w:val="both"/>
        <w:rPr>
          <w:rFonts w:cs="Calibri Light"/>
          <w:sz w:val="16"/>
          <w:szCs w:val="14"/>
        </w:rPr>
      </w:pPr>
      <w:r w:rsidRPr="00941DB6">
        <w:rPr>
          <w:rFonts w:cs="Calibri Light"/>
          <w:sz w:val="16"/>
          <w:szCs w:val="14"/>
        </w:rPr>
        <w:t>Avots: CSP dati 2023. gadam, EM prognozes sākot ar 2024. gadu</w:t>
      </w:r>
    </w:p>
    <w:p w14:paraId="621D1095" w14:textId="77777777" w:rsidR="00C24E26" w:rsidRPr="00B73A48" w:rsidRDefault="00C24E26" w:rsidP="000816FF">
      <w:pPr>
        <w:spacing w:after="120"/>
        <w:jc w:val="both"/>
        <w:rPr>
          <w:b/>
          <w:szCs w:val="20"/>
          <w:highlight w:val="yellow"/>
        </w:rPr>
      </w:pPr>
    </w:p>
    <w:p w14:paraId="39F4D3B0" w14:textId="77777777" w:rsidR="00941DB6" w:rsidRDefault="00941DB6" w:rsidP="000816FF">
      <w:pPr>
        <w:spacing w:after="120"/>
        <w:jc w:val="both"/>
        <w:rPr>
          <w:szCs w:val="20"/>
        </w:rPr>
      </w:pPr>
      <w:r w:rsidRPr="00877B6F">
        <w:rPr>
          <w:b/>
          <w:szCs w:val="20"/>
        </w:rPr>
        <w:t>Augstākās kvalifikācijas profesijās</w:t>
      </w:r>
      <w:r w:rsidRPr="00877B6F">
        <w:rPr>
          <w:szCs w:val="20"/>
        </w:rPr>
        <w:t xml:space="preserve"> vidējā un ilgtermiņā turpinās augt gan darbaspēka pieprasījums, gan </w:t>
      </w:r>
      <w:r w:rsidRPr="00DA69C9">
        <w:rPr>
          <w:szCs w:val="20"/>
        </w:rPr>
        <w:t xml:space="preserve">piedāvājums, tādejādi kopumā pieprasījums un piedāvājums saglabāsies līdzsvarā. Vienlaikus izteiktāka darbaspēka nepietiekamība varētu veidoties atsevišķās augstākās kvalifikācijas profesijās. Būtiskākā darbaspēka nepietiekamība vidējā termiņā varētu veidoties IKT speciālistu profesijās (datu bāzu un tīklu vecākie speciālisti, programmētāji/lietojumprogrammu veidotāji un analītiķi, informācijas tehnoloģiju darbības un lietotāju atbalsta speciālisti, telekomunikāciju un radiosakaru iekārtu speciālisti), zinātnes un inženierzinātņu profesijās </w:t>
      </w:r>
      <w:r w:rsidRPr="00DA69C9">
        <w:rPr>
          <w:szCs w:val="20"/>
        </w:rPr>
        <w:lastRenderedPageBreak/>
        <w:t xml:space="preserve">(matemātikas, statistiķu un aktuāru profesijās, tehnoloģisko procesu kontroles profesijās, </w:t>
      </w:r>
      <w:proofErr w:type="spellStart"/>
      <w:r w:rsidRPr="00DA69C9">
        <w:rPr>
          <w:szCs w:val="20"/>
        </w:rPr>
        <w:t>elektrotehnoloģiju</w:t>
      </w:r>
      <w:proofErr w:type="spellEnd"/>
      <w:r w:rsidRPr="00DA69C9">
        <w:rPr>
          <w:szCs w:val="20"/>
        </w:rPr>
        <w:t xml:space="preserve"> inženieru,</w:t>
      </w:r>
      <w:r w:rsidRPr="00DA69C9">
        <w:t xml:space="preserve"> </w:t>
      </w:r>
      <w:r w:rsidRPr="00DA69C9">
        <w:rPr>
          <w:szCs w:val="20"/>
        </w:rPr>
        <w:t>fizikas un zemes zinātņu vecākie speciālisti, arhitekti, plānotāji, ģeodēzijas un kartogrāfijas inženieri un dizaineri, kā arī kuģu un gaisa kuģu vadītāji un tehniskie speciālisti) kā arī veselības jomas vecāko speciālistu profesijās (ārsti un ārstu palīgi, medicīnas māsu un vecmāšu profesijās), kā arī dažādu līmeņu vadītāju profesijās (tirdzniecības un attīstības jomās,</w:t>
      </w:r>
      <w:r w:rsidRPr="00DA69C9">
        <w:t xml:space="preserve"> l</w:t>
      </w:r>
      <w:r w:rsidRPr="00DA69C9">
        <w:rPr>
          <w:szCs w:val="20"/>
        </w:rPr>
        <w:t>auksaimniecības, mežsaimniecības un zivsaimniecības ražošanā, kā arī IKT).</w:t>
      </w:r>
    </w:p>
    <w:p w14:paraId="2C681236" w14:textId="77777777" w:rsidR="00B018CB" w:rsidRDefault="00B018CB" w:rsidP="000816FF">
      <w:pPr>
        <w:spacing w:after="120"/>
        <w:jc w:val="both"/>
        <w:rPr>
          <w:szCs w:val="20"/>
        </w:rPr>
      </w:pPr>
    </w:p>
    <w:p w14:paraId="0069E56D" w14:textId="77777777" w:rsidR="00941DB6" w:rsidRPr="00103B84" w:rsidRDefault="00941DB6" w:rsidP="00941DB6">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right"/>
        <w:rPr>
          <w:rFonts w:ascii="Segoe UI Light" w:hAnsi="Segoe UI Light"/>
          <w:b/>
          <w:sz w:val="16"/>
          <w:szCs w:val="16"/>
        </w:rPr>
      </w:pPr>
      <w:r w:rsidRPr="00103B84">
        <w:rPr>
          <w:rFonts w:ascii="Segoe UI Light" w:hAnsi="Segoe UI Light"/>
          <w:b/>
          <w:sz w:val="16"/>
          <w:szCs w:val="16"/>
        </w:rPr>
        <w:t>Prasmju piedāvājuma un pieprasījuma neatbilstības Eiropā*</w:t>
      </w:r>
    </w:p>
    <w:p w14:paraId="79933BF2" w14:textId="77777777" w:rsidR="00941DB6" w:rsidRPr="008B1887" w:rsidRDefault="00941DB6" w:rsidP="00941DB6">
      <w:pPr>
        <w:pBdr>
          <w:top w:val="single" w:sz="4" w:space="6" w:color="auto" w:shadow="1"/>
          <w:left w:val="single" w:sz="4" w:space="6" w:color="auto" w:shadow="1"/>
          <w:bottom w:val="single" w:sz="4" w:space="6" w:color="auto" w:shadow="1"/>
          <w:right w:val="single" w:sz="4" w:space="6" w:color="auto" w:shadow="1"/>
        </w:pBdr>
        <w:shd w:val="clear" w:color="auto" w:fill="E5DFEC"/>
        <w:spacing w:after="120"/>
        <w:rPr>
          <w:rFonts w:ascii="Segoe UI Light" w:hAnsi="Segoe UI Light"/>
          <w:bCs/>
          <w:sz w:val="16"/>
          <w:szCs w:val="16"/>
        </w:rPr>
      </w:pPr>
      <w:r w:rsidRPr="008B1887">
        <w:rPr>
          <w:rFonts w:ascii="Segoe UI Light" w:hAnsi="Segoe UI Light"/>
          <w:bCs/>
          <w:sz w:val="16"/>
          <w:szCs w:val="16"/>
        </w:rPr>
        <w:t xml:space="preserve">Paredzams, ka pandēmijas ietekmē pieaugs prasmju neatbilstība Eiropā. Arī digitālo tehnoloģiju attīstība veidos arvien lielāku nesabalansētību darba tirgū. Aizvien aktuālāks kļūs jautājums par sabiedrības novecošanos un sudraba ekonomikas izaicinājumiem darba tirgū.  Līdz ar to īpaši svarīgas būs politikas iniciatīvas attiecībā uz </w:t>
      </w:r>
      <w:proofErr w:type="spellStart"/>
      <w:r w:rsidRPr="008B1887">
        <w:rPr>
          <w:rFonts w:ascii="Segoe UI Light" w:hAnsi="Segoe UI Light"/>
          <w:bCs/>
          <w:sz w:val="16"/>
          <w:szCs w:val="16"/>
        </w:rPr>
        <w:t>pārkvalifikāciju</w:t>
      </w:r>
      <w:proofErr w:type="spellEnd"/>
      <w:r w:rsidRPr="008B1887">
        <w:rPr>
          <w:rFonts w:ascii="Segoe UI Light" w:hAnsi="Segoe UI Light"/>
          <w:bCs/>
          <w:sz w:val="16"/>
          <w:szCs w:val="16"/>
        </w:rPr>
        <w:t xml:space="preserve"> vai esošo prasmju pilnveidošanu.</w:t>
      </w:r>
    </w:p>
    <w:p w14:paraId="206F9958" w14:textId="77777777" w:rsidR="00941DB6" w:rsidRPr="008B1887" w:rsidRDefault="00941DB6" w:rsidP="00941DB6">
      <w:pPr>
        <w:pBdr>
          <w:top w:val="single" w:sz="4" w:space="6" w:color="auto" w:shadow="1"/>
          <w:left w:val="single" w:sz="4" w:space="6" w:color="auto" w:shadow="1"/>
          <w:bottom w:val="single" w:sz="4" w:space="6" w:color="auto" w:shadow="1"/>
          <w:right w:val="single" w:sz="4" w:space="6" w:color="auto" w:shadow="1"/>
        </w:pBdr>
        <w:shd w:val="clear" w:color="auto" w:fill="E5DFEC"/>
        <w:spacing w:after="120"/>
        <w:rPr>
          <w:rFonts w:ascii="Segoe UI Light" w:hAnsi="Segoe UI Light"/>
          <w:bCs/>
          <w:sz w:val="16"/>
          <w:szCs w:val="16"/>
        </w:rPr>
      </w:pPr>
      <w:r w:rsidRPr="008B1887">
        <w:rPr>
          <w:rFonts w:ascii="Segoe UI Light" w:hAnsi="Segoe UI Light"/>
          <w:bCs/>
          <w:sz w:val="16"/>
          <w:szCs w:val="16"/>
        </w:rPr>
        <w:t xml:space="preserve">Pieaugs augstas kvalifikācijas darbaspēka īpatsvars. Saskaņā ar </w:t>
      </w:r>
      <w:proofErr w:type="spellStart"/>
      <w:r w:rsidRPr="008B1887">
        <w:rPr>
          <w:rFonts w:ascii="Segoe UI Light" w:hAnsi="Segoe UI Light"/>
          <w:bCs/>
          <w:sz w:val="16"/>
          <w:szCs w:val="16"/>
        </w:rPr>
        <w:t>Cedefop</w:t>
      </w:r>
      <w:proofErr w:type="spellEnd"/>
      <w:r w:rsidRPr="008B1887">
        <w:rPr>
          <w:rFonts w:ascii="Segoe UI Light" w:hAnsi="Segoe UI Light"/>
          <w:bCs/>
          <w:sz w:val="16"/>
          <w:szCs w:val="16"/>
        </w:rPr>
        <w:t>, augstas kvalifikācijas darbaspēks pieaugs no 26% 2021. gadā līdz 40% 2030. gadā (salīdzinājumam, 2000. gadā – 21%), savukārt zemas kvalifikācijas ievērojami saruks un veidos tikai 15% no visa darbaspēka 2030. gadā. Pieprasījums pēc zemas kvalifikācijas darbaspēka būs ievērojami zemāks nekā piedāvājums un cilvēkiem ar pamatizglītību vai bez izglītības būs arvien grūtāk atrast darbu, jo viņus no darba tirgus izspiedīs darbaspēks ar augstāku kvalifikāciju. Darbaspēka īpatsvars ar vidēju kvalifikāciju paliks gandrīz nemainīgs un 2030. gadā veidos 45% no visa darbaspēka.</w:t>
      </w:r>
    </w:p>
    <w:p w14:paraId="745A9284" w14:textId="2848EA41" w:rsidR="00941DB6" w:rsidRPr="00941DB6" w:rsidRDefault="00941DB6" w:rsidP="00941DB6">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center"/>
        <w:rPr>
          <w:rFonts w:ascii="Segoe UI Light" w:hAnsi="Segoe UI Light"/>
          <w:bCs/>
          <w:sz w:val="16"/>
          <w:szCs w:val="16"/>
        </w:rPr>
      </w:pPr>
      <w:r>
        <w:rPr>
          <w:rFonts w:ascii="Segoe UI Light" w:hAnsi="Segoe UI Light"/>
          <w:b/>
          <w:sz w:val="16"/>
          <w:szCs w:val="16"/>
        </w:rPr>
        <w:t>ES-27 esošais un prognozētais n</w:t>
      </w:r>
      <w:r w:rsidRPr="00187A94">
        <w:rPr>
          <w:rFonts w:ascii="Segoe UI Light" w:hAnsi="Segoe UI Light"/>
          <w:b/>
          <w:sz w:val="16"/>
          <w:szCs w:val="16"/>
        </w:rPr>
        <w:t xml:space="preserve">odarbinātības </w:t>
      </w:r>
      <w:r>
        <w:rPr>
          <w:rFonts w:ascii="Segoe UI Light" w:hAnsi="Segoe UI Light"/>
          <w:b/>
          <w:sz w:val="16"/>
          <w:szCs w:val="16"/>
        </w:rPr>
        <w:t>īpatsvars</w:t>
      </w:r>
      <w:r w:rsidRPr="00187A94">
        <w:rPr>
          <w:rFonts w:ascii="Segoe UI Light" w:hAnsi="Segoe UI Light"/>
          <w:b/>
          <w:sz w:val="16"/>
          <w:szCs w:val="16"/>
        </w:rPr>
        <w:t xml:space="preserve"> </w:t>
      </w:r>
      <w:r>
        <w:rPr>
          <w:rFonts w:ascii="Segoe UI Light" w:hAnsi="Segoe UI Light"/>
          <w:b/>
          <w:sz w:val="16"/>
          <w:szCs w:val="16"/>
        </w:rPr>
        <w:t>pēc izglītības līmeņa</w:t>
      </w:r>
      <w:r w:rsidRPr="008B1887">
        <w:rPr>
          <w:rFonts w:ascii="Segoe UI Light" w:hAnsi="Segoe UI Light"/>
          <w:b/>
          <w:sz w:val="16"/>
          <w:szCs w:val="16"/>
        </w:rPr>
        <w:br/>
      </w:r>
      <w:r w:rsidRPr="00941DB6">
        <w:rPr>
          <w:rFonts w:ascii="Segoe UI Light" w:hAnsi="Segoe UI Light"/>
          <w:bCs/>
          <w:sz w:val="16"/>
          <w:szCs w:val="16"/>
        </w:rPr>
        <w:t>2035. gads pret 2022. gadu</w:t>
      </w:r>
      <w:r>
        <w:rPr>
          <w:rFonts w:ascii="Segoe UI Light" w:hAnsi="Segoe UI Light"/>
          <w:bCs/>
          <w:sz w:val="16"/>
          <w:szCs w:val="16"/>
        </w:rPr>
        <w:t>, tūkst.</w:t>
      </w:r>
    </w:p>
    <w:p w14:paraId="51B3D214" w14:textId="77777777" w:rsidR="00941DB6" w:rsidRPr="008B1887" w:rsidRDefault="00941DB6" w:rsidP="0C92241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jc w:val="center"/>
        <w:rPr>
          <w:rFonts w:ascii="Segoe UI Light" w:hAnsi="Segoe UI Light"/>
          <w:b/>
          <w:sz w:val="16"/>
          <w:szCs w:val="16"/>
        </w:rPr>
      </w:pPr>
      <w:r w:rsidRPr="008B1887">
        <w:rPr>
          <w:rFonts w:ascii="Segoe UI Light" w:hAnsi="Segoe UI Light"/>
          <w:b/>
          <w:noProof/>
          <w:sz w:val="16"/>
          <w:szCs w:val="16"/>
        </w:rPr>
        <w:drawing>
          <wp:inline distT="0" distB="0" distL="0" distR="0" wp14:anchorId="61C31FB0" wp14:editId="6DABFD10">
            <wp:extent cx="4762500" cy="1440000"/>
            <wp:effectExtent l="0" t="0" r="0" b="8255"/>
            <wp:docPr id="1081" name="Chart 1081">
              <a:extLst xmlns:a="http://schemas.openxmlformats.org/drawingml/2006/main">
                <a:ext uri="{FF2B5EF4-FFF2-40B4-BE49-F238E27FC236}">
                  <a16:creationId xmlns:a16="http://schemas.microsoft.com/office/drawing/2014/main" id="{9B30232F-4664-45D4-8647-EE327DBCD5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14:paraId="63C36C21" w14:textId="77777777" w:rsidR="00941DB6" w:rsidRDefault="00941DB6" w:rsidP="00941DB6">
      <w:pPr>
        <w:pBdr>
          <w:top w:val="single" w:sz="4" w:space="6" w:color="auto" w:shadow="1"/>
          <w:left w:val="single" w:sz="4" w:space="6" w:color="auto" w:shadow="1"/>
          <w:bottom w:val="single" w:sz="4" w:space="6" w:color="auto" w:shadow="1"/>
          <w:right w:val="single" w:sz="4" w:space="6" w:color="auto" w:shadow="1"/>
        </w:pBdr>
        <w:shd w:val="clear" w:color="auto" w:fill="E5DFEC"/>
        <w:spacing w:after="120"/>
        <w:rPr>
          <w:rFonts w:ascii="Segoe UI Light" w:hAnsi="Segoe UI Light"/>
          <w:b/>
          <w:sz w:val="16"/>
          <w:szCs w:val="16"/>
        </w:rPr>
      </w:pPr>
      <w:r w:rsidRPr="008B1887">
        <w:rPr>
          <w:rFonts w:ascii="Segoe UI Light" w:hAnsi="Segoe UI Light"/>
          <w:bCs/>
          <w:sz w:val="16"/>
          <w:szCs w:val="16"/>
        </w:rPr>
        <w:t xml:space="preserve">Lai gan paredzams, ka 2030. gadā pieprasījums pēc augstas kvalifikācijas darbaspēka pat nedaudz pārsniegs piedāvājumu, tuvākos gados augstas kvalifikācijas darbaspēka piedāvājums varētu pieaugt straujāk nekā pieprasījums. Tā kā jaunieši, kas ienāk darba tirgū ir ar augstāku izglītību nekā vecākās kohortas, kas pamet darbu tirgu (daudziem ir nepieciešamās prasmes, bet nav atbilstošas formālās kvalifikācijas), paredzams, ka darbinieku īpatsvars ar augstāko kvalifikāciju pieaugs. Daži augsti kvalificēti darbinieki nonāks profesijās, kas prasa zemāku kvalifikāciju. Tajā pašā laikā paredzams, ka profesijās, kurām nepieciešamas augsta līmeņa prasmes, būs tās, kurām 2030. gadā būs vislielākās </w:t>
      </w:r>
      <w:proofErr w:type="spellStart"/>
      <w:r w:rsidRPr="008B1887">
        <w:rPr>
          <w:rFonts w:ascii="Segoe UI Light" w:hAnsi="Segoe UI Light"/>
          <w:bCs/>
          <w:sz w:val="16"/>
          <w:szCs w:val="16"/>
        </w:rPr>
        <w:t>rekrutēšanas</w:t>
      </w:r>
      <w:proofErr w:type="spellEnd"/>
      <w:r w:rsidRPr="008B1887">
        <w:rPr>
          <w:rFonts w:ascii="Segoe UI Light" w:hAnsi="Segoe UI Light"/>
          <w:bCs/>
          <w:sz w:val="16"/>
          <w:szCs w:val="16"/>
        </w:rPr>
        <w:t xml:space="preserve"> grūtības, jo automatizācija veicinās esošo darbinieku prasmju novecošanu. Tas radīs situāciju, ka darbaspēks ir ar augstāko kvalifikāciju/izglītību, tomēr ar nepietiekamām profesionālām prasmēm</w:t>
      </w:r>
      <w:r w:rsidRPr="008B1887">
        <w:rPr>
          <w:rFonts w:ascii="Segoe UI Light" w:hAnsi="Segoe UI Light"/>
          <w:b/>
          <w:sz w:val="16"/>
          <w:szCs w:val="16"/>
        </w:rPr>
        <w:t>.</w:t>
      </w:r>
    </w:p>
    <w:p w14:paraId="5B181A1C" w14:textId="77777777" w:rsidR="00941DB6" w:rsidRPr="00941DB6" w:rsidRDefault="00941DB6" w:rsidP="00941DB6">
      <w:pPr>
        <w:pBdr>
          <w:top w:val="single" w:sz="4" w:space="6" w:color="auto" w:shadow="1"/>
          <w:left w:val="single" w:sz="4" w:space="6" w:color="auto" w:shadow="1"/>
          <w:bottom w:val="single" w:sz="4" w:space="6" w:color="auto" w:shadow="1"/>
          <w:right w:val="single" w:sz="4" w:space="6" w:color="auto" w:shadow="1"/>
        </w:pBdr>
        <w:shd w:val="clear" w:color="auto" w:fill="E5DFEC"/>
        <w:spacing w:before="240" w:after="120"/>
        <w:jc w:val="center"/>
        <w:rPr>
          <w:rFonts w:ascii="Segoe UI Light" w:hAnsi="Segoe UI Light"/>
          <w:bCs/>
          <w:sz w:val="16"/>
          <w:szCs w:val="16"/>
        </w:rPr>
      </w:pPr>
      <w:r>
        <w:rPr>
          <w:rFonts w:ascii="Segoe UI Light" w:hAnsi="Segoe UI Light"/>
          <w:b/>
          <w:sz w:val="16"/>
          <w:szCs w:val="16"/>
        </w:rPr>
        <w:t xml:space="preserve">ES-27 augstākās izglītības kvalifikācijas nodarbināto īpatsvars profesiju griezumā </w:t>
      </w:r>
      <w:r w:rsidRPr="008B1887">
        <w:rPr>
          <w:rFonts w:ascii="Segoe UI Light" w:hAnsi="Segoe UI Light"/>
          <w:b/>
          <w:sz w:val="16"/>
          <w:szCs w:val="16"/>
        </w:rPr>
        <w:br/>
      </w:r>
      <w:r w:rsidRPr="00941DB6">
        <w:rPr>
          <w:rFonts w:ascii="Segoe UI Light" w:hAnsi="Segoe UI Light"/>
          <w:bCs/>
          <w:sz w:val="16"/>
          <w:szCs w:val="16"/>
        </w:rPr>
        <w:t>2035. gads pret 2022. gadu, procentos</w:t>
      </w:r>
    </w:p>
    <w:p w14:paraId="46AE8222" w14:textId="77777777" w:rsidR="00941DB6" w:rsidRPr="00CC02C8" w:rsidRDefault="00941DB6" w:rsidP="0C92241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center"/>
        <w:rPr>
          <w:rFonts w:ascii="Segoe UI Light" w:hAnsi="Segoe UI Light"/>
          <w:b/>
          <w:sz w:val="16"/>
          <w:szCs w:val="16"/>
        </w:rPr>
      </w:pPr>
      <w:r>
        <w:rPr>
          <w:rFonts w:ascii="Segoe UI Light" w:hAnsi="Segoe UI Light"/>
          <w:b/>
          <w:noProof/>
          <w:sz w:val="16"/>
          <w:szCs w:val="16"/>
        </w:rPr>
        <w:drawing>
          <wp:inline distT="0" distB="0" distL="0" distR="0" wp14:anchorId="410FB540" wp14:editId="5515BE79">
            <wp:extent cx="5580000" cy="2160000"/>
            <wp:effectExtent l="0" t="0" r="1905" b="0"/>
            <wp:docPr id="1082" name="Chart 10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14:paraId="2FC323A6" w14:textId="77777777" w:rsidR="00941DB6" w:rsidRPr="00CC02C8" w:rsidRDefault="00941DB6" w:rsidP="00941DB6">
      <w:pPr>
        <w:pBdr>
          <w:top w:val="single" w:sz="4" w:space="6" w:color="auto" w:shadow="1"/>
          <w:left w:val="single" w:sz="4" w:space="6" w:color="auto" w:shadow="1"/>
          <w:bottom w:val="single" w:sz="4" w:space="6" w:color="auto" w:shadow="1"/>
          <w:right w:val="single" w:sz="4" w:space="6" w:color="auto" w:shadow="1"/>
        </w:pBdr>
        <w:shd w:val="clear" w:color="auto" w:fill="E5DFEC"/>
        <w:spacing w:after="120"/>
        <w:rPr>
          <w:rFonts w:ascii="Segoe UI Light" w:hAnsi="Segoe UI Light"/>
          <w:bCs/>
          <w:sz w:val="12"/>
          <w:szCs w:val="12"/>
        </w:rPr>
      </w:pPr>
      <w:r w:rsidRPr="008B1887">
        <w:rPr>
          <w:rFonts w:ascii="Segoe UI Light" w:hAnsi="Segoe UI Light"/>
          <w:bCs/>
          <w:sz w:val="12"/>
          <w:szCs w:val="12"/>
        </w:rPr>
        <w:t xml:space="preserve">* saskaņā ar </w:t>
      </w:r>
      <w:proofErr w:type="spellStart"/>
      <w:r w:rsidRPr="008B1887">
        <w:rPr>
          <w:rFonts w:ascii="Segoe UI Light" w:hAnsi="Segoe UI Light"/>
          <w:bCs/>
          <w:sz w:val="12"/>
          <w:szCs w:val="12"/>
        </w:rPr>
        <w:t>Cedefop</w:t>
      </w:r>
      <w:proofErr w:type="spellEnd"/>
      <w:r w:rsidRPr="008B1887">
        <w:rPr>
          <w:rFonts w:ascii="Segoe UI Light" w:hAnsi="Segoe UI Light"/>
          <w:bCs/>
          <w:sz w:val="12"/>
          <w:szCs w:val="12"/>
        </w:rPr>
        <w:t xml:space="preserve"> prognozēm</w:t>
      </w:r>
      <w:r>
        <w:rPr>
          <w:rFonts w:ascii="Segoe UI Light" w:hAnsi="Segoe UI Light"/>
          <w:b/>
          <w:sz w:val="16"/>
          <w:szCs w:val="16"/>
        </w:rPr>
        <w:tab/>
      </w:r>
      <w:r w:rsidRPr="008B1887">
        <w:rPr>
          <w:rFonts w:ascii="Segoe UI Light" w:hAnsi="Segoe UI Light"/>
          <w:b/>
          <w:sz w:val="16"/>
          <w:szCs w:val="16"/>
        </w:rPr>
        <w:br w:type="page"/>
      </w:r>
    </w:p>
    <w:p w14:paraId="3FE644D0" w14:textId="77777777" w:rsidR="00941DB6" w:rsidRPr="003B4CDA" w:rsidRDefault="00941DB6" w:rsidP="00941DB6">
      <w:pPr>
        <w:spacing w:after="120"/>
        <w:jc w:val="right"/>
        <w:rPr>
          <w:szCs w:val="26"/>
        </w:rPr>
      </w:pPr>
      <w:r w:rsidRPr="003B4CDA">
        <w:rPr>
          <w:szCs w:val="26"/>
        </w:rPr>
        <w:lastRenderedPageBreak/>
        <w:t>3.1</w:t>
      </w:r>
      <w:r>
        <w:rPr>
          <w:szCs w:val="26"/>
        </w:rPr>
        <w:t>8</w:t>
      </w:r>
      <w:r w:rsidRPr="003B4CDA">
        <w:rPr>
          <w:szCs w:val="26"/>
        </w:rPr>
        <w:t>. attēls</w:t>
      </w:r>
    </w:p>
    <w:p w14:paraId="7FEAA983" w14:textId="77777777" w:rsidR="00941DB6" w:rsidRPr="003B4CDA" w:rsidRDefault="00941DB6" w:rsidP="000816FF">
      <w:pPr>
        <w:spacing w:after="120"/>
        <w:jc w:val="center"/>
        <w:rPr>
          <w:rFonts w:ascii="Segoe UI Light" w:hAnsi="Segoe UI Light"/>
          <w:i/>
          <w:sz w:val="16"/>
          <w:szCs w:val="26"/>
        </w:rPr>
      </w:pPr>
      <w:r w:rsidRPr="003B4CDA">
        <w:rPr>
          <w:rFonts w:ascii="Segoe UI Light" w:hAnsi="Segoe UI Light"/>
          <w:b/>
          <w:sz w:val="18"/>
          <w:szCs w:val="26"/>
        </w:rPr>
        <w:t>Darbaspēka pieprasījuma un piedāvājuma attiecība pa profesiju grupām</w:t>
      </w:r>
      <w:r w:rsidRPr="003B4CDA">
        <w:rPr>
          <w:rFonts w:ascii="Segoe UI Light" w:hAnsi="Segoe UI Light"/>
          <w:b/>
          <w:sz w:val="18"/>
          <w:szCs w:val="26"/>
        </w:rPr>
        <w:br/>
      </w:r>
      <w:r w:rsidRPr="003B4CDA">
        <w:rPr>
          <w:rFonts w:ascii="Segoe UI Light" w:hAnsi="Segoe UI Light"/>
          <w:i/>
          <w:sz w:val="16"/>
          <w:szCs w:val="26"/>
          <w:u w:val="single"/>
        </w:rPr>
        <w:t>20</w:t>
      </w:r>
      <w:r>
        <w:rPr>
          <w:rFonts w:ascii="Segoe UI Light" w:hAnsi="Segoe UI Light"/>
          <w:i/>
          <w:sz w:val="16"/>
          <w:szCs w:val="26"/>
          <w:u w:val="single"/>
        </w:rPr>
        <w:t>30</w:t>
      </w:r>
      <w:r w:rsidRPr="003B4CDA">
        <w:rPr>
          <w:rFonts w:ascii="Segoe UI Light" w:hAnsi="Segoe UI Light"/>
          <w:i/>
          <w:sz w:val="16"/>
          <w:szCs w:val="26"/>
          <w:u w:val="single"/>
        </w:rPr>
        <w:t>. gads,</w:t>
      </w:r>
      <w:r w:rsidRPr="003B4CDA">
        <w:rPr>
          <w:rFonts w:ascii="Segoe UI Light" w:hAnsi="Segoe UI Light"/>
          <w:i/>
          <w:sz w:val="16"/>
          <w:szCs w:val="26"/>
        </w:rPr>
        <w:t xml:space="preserve"> pieprasījums pret piedāvājumu, procentos</w:t>
      </w:r>
    </w:p>
    <w:p w14:paraId="68761181" w14:textId="77777777" w:rsidR="00941DB6" w:rsidRPr="003B4CDA" w:rsidRDefault="00941DB6" w:rsidP="000816FF">
      <w:pPr>
        <w:spacing w:after="120"/>
        <w:jc w:val="both"/>
        <w:rPr>
          <w:rFonts w:ascii="Segoe UI Light" w:hAnsi="Segoe UI Light"/>
        </w:rPr>
      </w:pPr>
      <w:r w:rsidRPr="003B4CDA">
        <w:rPr>
          <w:rFonts w:ascii="Segoe UI Light" w:hAnsi="Segoe UI Light"/>
          <w:bCs/>
          <w:iCs/>
          <w:noProof/>
          <w:sz w:val="18"/>
          <w:szCs w:val="26"/>
          <w:lang w:eastAsia="lv-LV"/>
        </w:rPr>
        <w:drawing>
          <wp:inline distT="0" distB="0" distL="0" distR="0" wp14:anchorId="01355F8C" wp14:editId="5EE3C599">
            <wp:extent cx="5760085" cy="1440000"/>
            <wp:effectExtent l="0" t="0" r="0" b="8255"/>
            <wp:docPr id="264" name="Chart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41DB6" w:rsidRPr="003B4CDA" w14:paraId="43EF0E13" w14:textId="77777777">
        <w:trPr>
          <w:cantSplit/>
          <w:trHeight w:val="2041"/>
          <w:jc w:val="right"/>
        </w:trPr>
        <w:tc>
          <w:tcPr>
            <w:tcW w:w="9071" w:type="dxa"/>
            <w:textDirection w:val="btLr"/>
          </w:tcPr>
          <w:p w14:paraId="148A7914" w14:textId="77777777" w:rsidR="00941DB6" w:rsidRPr="003B4CDA" w:rsidRDefault="00941DB6" w:rsidP="000816FF">
            <w:pPr>
              <w:spacing w:before="720" w:after="120"/>
              <w:ind w:right="57"/>
              <w:jc w:val="right"/>
              <w:rPr>
                <w:rFonts w:ascii="Segoe UI Light" w:hAnsi="Segoe UI Light"/>
                <w:sz w:val="16"/>
                <w:szCs w:val="16"/>
              </w:rPr>
            </w:pPr>
            <w:r w:rsidRPr="003B4CDA">
              <w:rPr>
                <w:rFonts w:ascii="Segoe UI Light" w:hAnsi="Segoe UI Light"/>
                <w:sz w:val="16"/>
                <w:szCs w:val="16"/>
              </w:rPr>
              <w:t>Kopā</w:t>
            </w:r>
          </w:p>
          <w:p w14:paraId="1F53A75E" w14:textId="77777777" w:rsidR="00941DB6" w:rsidRPr="003B4CDA" w:rsidRDefault="00941DB6" w:rsidP="000816FF">
            <w:pPr>
              <w:spacing w:before="620" w:after="120"/>
              <w:ind w:right="57"/>
              <w:jc w:val="right"/>
              <w:rPr>
                <w:rFonts w:ascii="Segoe UI Light" w:hAnsi="Segoe UI Light"/>
                <w:sz w:val="16"/>
                <w:szCs w:val="16"/>
              </w:rPr>
            </w:pPr>
            <w:r w:rsidRPr="003B4CDA">
              <w:rPr>
                <w:rFonts w:ascii="Segoe UI Light" w:hAnsi="Segoe UI Light"/>
                <w:sz w:val="16"/>
                <w:szCs w:val="16"/>
              </w:rPr>
              <w:t>Vadītāji</w:t>
            </w:r>
          </w:p>
          <w:p w14:paraId="67489657" w14:textId="77777777" w:rsidR="00941DB6" w:rsidRPr="003B4CDA" w:rsidRDefault="00941DB6" w:rsidP="000816FF">
            <w:pPr>
              <w:spacing w:before="620" w:after="120"/>
              <w:ind w:right="57"/>
              <w:jc w:val="right"/>
              <w:rPr>
                <w:rFonts w:ascii="Segoe UI Light" w:hAnsi="Segoe UI Light"/>
                <w:sz w:val="16"/>
                <w:szCs w:val="16"/>
              </w:rPr>
            </w:pPr>
            <w:r w:rsidRPr="003B4CDA">
              <w:rPr>
                <w:rFonts w:ascii="Segoe UI Light" w:hAnsi="Segoe UI Light"/>
                <w:sz w:val="16"/>
                <w:szCs w:val="16"/>
              </w:rPr>
              <w:t>Vecākie speciālisti</w:t>
            </w:r>
          </w:p>
          <w:p w14:paraId="66BC7599" w14:textId="77777777" w:rsidR="00941DB6" w:rsidRPr="003B4CDA" w:rsidRDefault="00941DB6" w:rsidP="000816FF">
            <w:pPr>
              <w:spacing w:before="620" w:after="120"/>
              <w:ind w:right="57"/>
              <w:jc w:val="right"/>
              <w:rPr>
                <w:rFonts w:ascii="Segoe UI Light" w:hAnsi="Segoe UI Light"/>
                <w:sz w:val="16"/>
                <w:szCs w:val="16"/>
              </w:rPr>
            </w:pPr>
            <w:r w:rsidRPr="003B4CDA">
              <w:rPr>
                <w:rFonts w:ascii="Segoe UI Light" w:hAnsi="Segoe UI Light"/>
                <w:sz w:val="16"/>
                <w:szCs w:val="16"/>
              </w:rPr>
              <w:t>Speciālisti</w:t>
            </w:r>
          </w:p>
          <w:p w14:paraId="66F8614C" w14:textId="77777777" w:rsidR="00941DB6" w:rsidRPr="003B4CDA" w:rsidRDefault="00941DB6" w:rsidP="000816FF">
            <w:pPr>
              <w:spacing w:before="620" w:after="120"/>
              <w:ind w:right="57"/>
              <w:jc w:val="right"/>
              <w:rPr>
                <w:rFonts w:ascii="Segoe UI Light" w:hAnsi="Segoe UI Light"/>
                <w:sz w:val="16"/>
                <w:szCs w:val="16"/>
              </w:rPr>
            </w:pPr>
            <w:r w:rsidRPr="003B4CDA">
              <w:rPr>
                <w:rFonts w:ascii="Segoe UI Light" w:hAnsi="Segoe UI Light"/>
                <w:sz w:val="16"/>
                <w:szCs w:val="16"/>
              </w:rPr>
              <w:t>Kalpotāji</w:t>
            </w:r>
          </w:p>
          <w:p w14:paraId="61B97DF8" w14:textId="77777777" w:rsidR="00941DB6" w:rsidRPr="003B4CDA" w:rsidRDefault="00941DB6" w:rsidP="000816FF">
            <w:pPr>
              <w:spacing w:before="480" w:after="120"/>
              <w:ind w:right="57"/>
              <w:jc w:val="right"/>
              <w:rPr>
                <w:rFonts w:ascii="Segoe UI Light" w:hAnsi="Segoe UI Light"/>
                <w:sz w:val="16"/>
                <w:szCs w:val="16"/>
              </w:rPr>
            </w:pPr>
            <w:r w:rsidRPr="003B4CDA">
              <w:rPr>
                <w:rFonts w:ascii="Segoe UI Light" w:hAnsi="Segoe UI Light"/>
                <w:sz w:val="16"/>
                <w:szCs w:val="16"/>
              </w:rPr>
              <w:t>Pakalpojumu un tirdzniecības darbinieki</w:t>
            </w:r>
          </w:p>
          <w:p w14:paraId="2422795F" w14:textId="77777777" w:rsidR="00941DB6" w:rsidRPr="003B4CDA" w:rsidRDefault="00941DB6" w:rsidP="000816FF">
            <w:pPr>
              <w:spacing w:before="300" w:after="120"/>
              <w:ind w:right="57"/>
              <w:jc w:val="right"/>
              <w:rPr>
                <w:rFonts w:ascii="Segoe UI Light" w:hAnsi="Segoe UI Light"/>
                <w:sz w:val="16"/>
                <w:szCs w:val="16"/>
              </w:rPr>
            </w:pPr>
            <w:r w:rsidRPr="003B4CDA">
              <w:rPr>
                <w:rFonts w:ascii="Segoe UI Light" w:hAnsi="Segoe UI Light"/>
                <w:sz w:val="16"/>
                <w:szCs w:val="16"/>
              </w:rPr>
              <w:t>Kvalificēti lauksaimniecības, mežsaimniecības un zivsaimniecības darbinieki</w:t>
            </w:r>
          </w:p>
          <w:p w14:paraId="59970907" w14:textId="77777777" w:rsidR="00941DB6" w:rsidRPr="003B4CDA" w:rsidRDefault="00941DB6" w:rsidP="000816FF">
            <w:pPr>
              <w:spacing w:before="300" w:after="120"/>
              <w:ind w:right="57"/>
              <w:jc w:val="right"/>
              <w:rPr>
                <w:rFonts w:ascii="Segoe UI Light" w:hAnsi="Segoe UI Light"/>
                <w:sz w:val="16"/>
                <w:szCs w:val="16"/>
              </w:rPr>
            </w:pPr>
            <w:r w:rsidRPr="003B4CDA">
              <w:rPr>
                <w:rFonts w:ascii="Segoe UI Light" w:hAnsi="Segoe UI Light"/>
                <w:sz w:val="16"/>
                <w:szCs w:val="16"/>
              </w:rPr>
              <w:t>Kvalificēti strādnieki un amatnieki</w:t>
            </w:r>
          </w:p>
          <w:p w14:paraId="12423161" w14:textId="77777777" w:rsidR="00941DB6" w:rsidRPr="003B4CDA" w:rsidRDefault="00941DB6" w:rsidP="000816FF">
            <w:pPr>
              <w:spacing w:before="360" w:after="120"/>
              <w:ind w:right="57"/>
              <w:jc w:val="right"/>
              <w:rPr>
                <w:rFonts w:ascii="Segoe UI Light" w:hAnsi="Segoe UI Light"/>
                <w:sz w:val="16"/>
                <w:szCs w:val="16"/>
              </w:rPr>
            </w:pPr>
            <w:r w:rsidRPr="003B4CDA">
              <w:rPr>
                <w:rFonts w:ascii="Segoe UI Light" w:hAnsi="Segoe UI Light"/>
                <w:sz w:val="16"/>
                <w:szCs w:val="16"/>
              </w:rPr>
              <w:t>Iekārtu un mašīnu operatori un izstrādājumu montieri</w:t>
            </w:r>
          </w:p>
          <w:p w14:paraId="106D15EE" w14:textId="77777777" w:rsidR="00941DB6" w:rsidRPr="003B4CDA" w:rsidRDefault="00941DB6" w:rsidP="000816FF">
            <w:pPr>
              <w:spacing w:before="540" w:after="120"/>
              <w:ind w:right="57"/>
              <w:jc w:val="right"/>
              <w:rPr>
                <w:rFonts w:ascii="Segoe UI Light" w:hAnsi="Segoe UI Light"/>
                <w:sz w:val="16"/>
                <w:szCs w:val="16"/>
              </w:rPr>
            </w:pPr>
            <w:r w:rsidRPr="003B4CDA">
              <w:rPr>
                <w:rFonts w:ascii="Segoe UI Light" w:hAnsi="Segoe UI Light"/>
                <w:sz w:val="16"/>
                <w:szCs w:val="16"/>
              </w:rPr>
              <w:t>Vienkāršās profesijas</w:t>
            </w:r>
          </w:p>
        </w:tc>
      </w:tr>
    </w:tbl>
    <w:p w14:paraId="44FBB4BC" w14:textId="77777777" w:rsidR="00941DB6" w:rsidRDefault="00941DB6" w:rsidP="000816FF">
      <w:pPr>
        <w:spacing w:after="120"/>
        <w:jc w:val="center"/>
        <w:rPr>
          <w:szCs w:val="26"/>
        </w:rPr>
      </w:pPr>
    </w:p>
    <w:p w14:paraId="0751753B" w14:textId="77777777" w:rsidR="00941DB6" w:rsidRPr="003B4CDA" w:rsidRDefault="00941DB6" w:rsidP="000816FF">
      <w:pPr>
        <w:spacing w:after="120"/>
        <w:jc w:val="center"/>
        <w:rPr>
          <w:rFonts w:ascii="Segoe UI Light" w:hAnsi="Segoe UI Light"/>
          <w:i/>
          <w:sz w:val="16"/>
          <w:szCs w:val="26"/>
        </w:rPr>
      </w:pPr>
      <w:r w:rsidRPr="003B4CDA">
        <w:rPr>
          <w:rFonts w:ascii="Segoe UI Light" w:hAnsi="Segoe UI Light"/>
          <w:b/>
          <w:sz w:val="18"/>
          <w:szCs w:val="26"/>
        </w:rPr>
        <w:t>Darbaspēka pieprasījuma un piedāvājuma attiecība pa profesiju grupām</w:t>
      </w:r>
      <w:r w:rsidRPr="003B4CDA">
        <w:rPr>
          <w:rFonts w:ascii="Segoe UI Light" w:hAnsi="Segoe UI Light"/>
          <w:b/>
          <w:sz w:val="18"/>
          <w:szCs w:val="26"/>
        </w:rPr>
        <w:br/>
      </w:r>
      <w:r w:rsidRPr="003B4CDA">
        <w:rPr>
          <w:rFonts w:ascii="Segoe UI Light" w:hAnsi="Segoe UI Light"/>
          <w:i/>
          <w:sz w:val="16"/>
          <w:szCs w:val="26"/>
          <w:u w:val="single"/>
        </w:rPr>
        <w:t>2040. gads</w:t>
      </w:r>
      <w:r w:rsidRPr="003B4CDA">
        <w:rPr>
          <w:rFonts w:ascii="Segoe UI Light" w:hAnsi="Segoe UI Light"/>
          <w:i/>
          <w:sz w:val="16"/>
          <w:szCs w:val="26"/>
        </w:rPr>
        <w:t>, pieprasījums pret piedāvājumu, procentos</w:t>
      </w:r>
    </w:p>
    <w:p w14:paraId="5B0AFF3F" w14:textId="77777777" w:rsidR="00941DB6" w:rsidRPr="003B4CDA" w:rsidRDefault="00941DB6" w:rsidP="000816FF">
      <w:pPr>
        <w:spacing w:after="120"/>
        <w:jc w:val="both"/>
        <w:rPr>
          <w:rFonts w:ascii="Segoe UI Light" w:hAnsi="Segoe UI Light"/>
        </w:rPr>
      </w:pPr>
      <w:r w:rsidRPr="003B4CDA">
        <w:rPr>
          <w:rFonts w:ascii="Segoe UI Light" w:hAnsi="Segoe UI Light"/>
          <w:bCs/>
          <w:iCs/>
          <w:noProof/>
          <w:sz w:val="18"/>
          <w:szCs w:val="26"/>
          <w:lang w:eastAsia="lv-LV"/>
        </w:rPr>
        <w:drawing>
          <wp:inline distT="0" distB="0" distL="0" distR="0" wp14:anchorId="30F544C3" wp14:editId="5564151C">
            <wp:extent cx="5760085" cy="1440000"/>
            <wp:effectExtent l="0" t="0" r="0" b="8255"/>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41DB6" w:rsidRPr="003B4CDA" w14:paraId="75812C30" w14:textId="77777777">
        <w:trPr>
          <w:cantSplit/>
          <w:trHeight w:val="2041"/>
          <w:jc w:val="right"/>
        </w:trPr>
        <w:tc>
          <w:tcPr>
            <w:tcW w:w="9071" w:type="dxa"/>
            <w:textDirection w:val="btLr"/>
          </w:tcPr>
          <w:p w14:paraId="4FEEF12C" w14:textId="77777777" w:rsidR="00941DB6" w:rsidRPr="003B4CDA" w:rsidRDefault="00941DB6" w:rsidP="000816FF">
            <w:pPr>
              <w:spacing w:before="720" w:after="120"/>
              <w:ind w:right="57"/>
              <w:jc w:val="right"/>
              <w:rPr>
                <w:rFonts w:ascii="Segoe UI Light" w:hAnsi="Segoe UI Light"/>
                <w:sz w:val="16"/>
                <w:szCs w:val="16"/>
              </w:rPr>
            </w:pPr>
            <w:r w:rsidRPr="003B4CDA">
              <w:rPr>
                <w:rFonts w:ascii="Segoe UI Light" w:hAnsi="Segoe UI Light"/>
                <w:sz w:val="16"/>
                <w:szCs w:val="16"/>
              </w:rPr>
              <w:t>Kopā</w:t>
            </w:r>
          </w:p>
          <w:p w14:paraId="1CA7044C" w14:textId="77777777" w:rsidR="00941DB6" w:rsidRPr="003B4CDA" w:rsidRDefault="00941DB6" w:rsidP="000816FF">
            <w:pPr>
              <w:spacing w:before="620" w:after="120"/>
              <w:ind w:right="57"/>
              <w:jc w:val="right"/>
              <w:rPr>
                <w:rFonts w:ascii="Segoe UI Light" w:hAnsi="Segoe UI Light"/>
                <w:sz w:val="16"/>
                <w:szCs w:val="16"/>
              </w:rPr>
            </w:pPr>
            <w:r w:rsidRPr="003B4CDA">
              <w:rPr>
                <w:rFonts w:ascii="Segoe UI Light" w:hAnsi="Segoe UI Light"/>
                <w:sz w:val="16"/>
                <w:szCs w:val="16"/>
              </w:rPr>
              <w:t>Vadītāji</w:t>
            </w:r>
          </w:p>
          <w:p w14:paraId="4E5C8CE2" w14:textId="77777777" w:rsidR="00941DB6" w:rsidRPr="003B4CDA" w:rsidRDefault="00941DB6" w:rsidP="000816FF">
            <w:pPr>
              <w:spacing w:before="620" w:after="120"/>
              <w:ind w:right="57"/>
              <w:jc w:val="right"/>
              <w:rPr>
                <w:rFonts w:ascii="Segoe UI Light" w:hAnsi="Segoe UI Light"/>
                <w:sz w:val="16"/>
                <w:szCs w:val="16"/>
              </w:rPr>
            </w:pPr>
            <w:r w:rsidRPr="003B4CDA">
              <w:rPr>
                <w:rFonts w:ascii="Segoe UI Light" w:hAnsi="Segoe UI Light"/>
                <w:sz w:val="16"/>
                <w:szCs w:val="16"/>
              </w:rPr>
              <w:t>Vecākie speciālisti</w:t>
            </w:r>
          </w:p>
          <w:p w14:paraId="4F95998F" w14:textId="77777777" w:rsidR="00941DB6" w:rsidRPr="003B4CDA" w:rsidRDefault="00941DB6" w:rsidP="000816FF">
            <w:pPr>
              <w:spacing w:before="620" w:after="120"/>
              <w:ind w:right="57"/>
              <w:jc w:val="right"/>
              <w:rPr>
                <w:rFonts w:ascii="Segoe UI Light" w:hAnsi="Segoe UI Light"/>
                <w:sz w:val="16"/>
                <w:szCs w:val="16"/>
              </w:rPr>
            </w:pPr>
            <w:r w:rsidRPr="003B4CDA">
              <w:rPr>
                <w:rFonts w:ascii="Segoe UI Light" w:hAnsi="Segoe UI Light"/>
                <w:sz w:val="16"/>
                <w:szCs w:val="16"/>
              </w:rPr>
              <w:t>Speciālisti</w:t>
            </w:r>
          </w:p>
          <w:p w14:paraId="3930EC86" w14:textId="77777777" w:rsidR="00941DB6" w:rsidRPr="003B4CDA" w:rsidRDefault="00941DB6" w:rsidP="000816FF">
            <w:pPr>
              <w:spacing w:before="620" w:after="120"/>
              <w:ind w:right="57"/>
              <w:jc w:val="right"/>
              <w:rPr>
                <w:rFonts w:ascii="Segoe UI Light" w:hAnsi="Segoe UI Light"/>
                <w:sz w:val="16"/>
                <w:szCs w:val="16"/>
              </w:rPr>
            </w:pPr>
            <w:r w:rsidRPr="003B4CDA">
              <w:rPr>
                <w:rFonts w:ascii="Segoe UI Light" w:hAnsi="Segoe UI Light"/>
                <w:sz w:val="16"/>
                <w:szCs w:val="16"/>
              </w:rPr>
              <w:t>Kalpotāji</w:t>
            </w:r>
          </w:p>
          <w:p w14:paraId="24EEA7E6" w14:textId="77777777" w:rsidR="00941DB6" w:rsidRPr="003B4CDA" w:rsidRDefault="00941DB6" w:rsidP="000816FF">
            <w:pPr>
              <w:spacing w:before="480" w:after="120"/>
              <w:ind w:right="57"/>
              <w:jc w:val="right"/>
              <w:rPr>
                <w:rFonts w:ascii="Segoe UI Light" w:hAnsi="Segoe UI Light"/>
                <w:sz w:val="16"/>
                <w:szCs w:val="16"/>
              </w:rPr>
            </w:pPr>
            <w:r w:rsidRPr="003B4CDA">
              <w:rPr>
                <w:rFonts w:ascii="Segoe UI Light" w:hAnsi="Segoe UI Light"/>
                <w:sz w:val="16"/>
                <w:szCs w:val="16"/>
              </w:rPr>
              <w:t>Pakalpojumu un tirdzniecības darbinieki</w:t>
            </w:r>
          </w:p>
          <w:p w14:paraId="72ABE683" w14:textId="77777777" w:rsidR="00941DB6" w:rsidRPr="003B4CDA" w:rsidRDefault="00941DB6" w:rsidP="000816FF">
            <w:pPr>
              <w:spacing w:before="300" w:after="120"/>
              <w:ind w:right="57"/>
              <w:jc w:val="right"/>
              <w:rPr>
                <w:rFonts w:ascii="Segoe UI Light" w:hAnsi="Segoe UI Light"/>
                <w:sz w:val="16"/>
                <w:szCs w:val="16"/>
              </w:rPr>
            </w:pPr>
            <w:r w:rsidRPr="003B4CDA">
              <w:rPr>
                <w:rFonts w:ascii="Segoe UI Light" w:hAnsi="Segoe UI Light"/>
                <w:sz w:val="16"/>
                <w:szCs w:val="16"/>
              </w:rPr>
              <w:t>Kvalificēti lauksaimniecības, mežsaimniecības un zivsaimniecības darbinieki</w:t>
            </w:r>
          </w:p>
          <w:p w14:paraId="47B72620" w14:textId="77777777" w:rsidR="00941DB6" w:rsidRPr="003B4CDA" w:rsidRDefault="00941DB6" w:rsidP="000816FF">
            <w:pPr>
              <w:spacing w:before="300" w:after="120"/>
              <w:ind w:right="57"/>
              <w:jc w:val="right"/>
              <w:rPr>
                <w:rFonts w:ascii="Segoe UI Light" w:hAnsi="Segoe UI Light"/>
                <w:sz w:val="16"/>
                <w:szCs w:val="16"/>
              </w:rPr>
            </w:pPr>
            <w:r w:rsidRPr="003B4CDA">
              <w:rPr>
                <w:rFonts w:ascii="Segoe UI Light" w:hAnsi="Segoe UI Light"/>
                <w:sz w:val="16"/>
                <w:szCs w:val="16"/>
              </w:rPr>
              <w:t>Kvalificēti strādnieki un amatnieki</w:t>
            </w:r>
          </w:p>
          <w:p w14:paraId="583E8140" w14:textId="77777777" w:rsidR="00941DB6" w:rsidRPr="003B4CDA" w:rsidRDefault="00941DB6" w:rsidP="000816FF">
            <w:pPr>
              <w:spacing w:before="360" w:after="120"/>
              <w:ind w:right="57"/>
              <w:jc w:val="right"/>
              <w:rPr>
                <w:rFonts w:ascii="Segoe UI Light" w:hAnsi="Segoe UI Light"/>
                <w:sz w:val="16"/>
                <w:szCs w:val="16"/>
              </w:rPr>
            </w:pPr>
            <w:r w:rsidRPr="003B4CDA">
              <w:rPr>
                <w:rFonts w:ascii="Segoe UI Light" w:hAnsi="Segoe UI Light"/>
                <w:sz w:val="16"/>
                <w:szCs w:val="16"/>
              </w:rPr>
              <w:t>Iekārtu un mašīnu operatori un izstrādājumu montieri</w:t>
            </w:r>
          </w:p>
          <w:p w14:paraId="70F1561B" w14:textId="77777777" w:rsidR="00941DB6" w:rsidRPr="003B4CDA" w:rsidRDefault="00941DB6" w:rsidP="000816FF">
            <w:pPr>
              <w:spacing w:before="540" w:after="120"/>
              <w:ind w:right="57"/>
              <w:jc w:val="right"/>
              <w:rPr>
                <w:rFonts w:ascii="Segoe UI Light" w:hAnsi="Segoe UI Light"/>
                <w:sz w:val="16"/>
                <w:szCs w:val="16"/>
              </w:rPr>
            </w:pPr>
            <w:r w:rsidRPr="003B4CDA">
              <w:rPr>
                <w:rFonts w:ascii="Segoe UI Light" w:hAnsi="Segoe UI Light"/>
                <w:sz w:val="16"/>
                <w:szCs w:val="16"/>
              </w:rPr>
              <w:t>Vienkāršās profesijas</w:t>
            </w:r>
          </w:p>
        </w:tc>
      </w:tr>
    </w:tbl>
    <w:p w14:paraId="77891A4E" w14:textId="77777777" w:rsidR="00941DB6" w:rsidRPr="00941DB6" w:rsidRDefault="00941DB6" w:rsidP="00941DB6">
      <w:pPr>
        <w:spacing w:before="120" w:after="120"/>
        <w:jc w:val="both"/>
        <w:rPr>
          <w:rFonts w:cs="Calibri Light"/>
          <w:sz w:val="16"/>
          <w:szCs w:val="14"/>
        </w:rPr>
      </w:pPr>
      <w:r w:rsidRPr="00941DB6">
        <w:rPr>
          <w:rFonts w:cs="Calibri Light"/>
          <w:sz w:val="16"/>
          <w:szCs w:val="14"/>
        </w:rPr>
        <w:t>Avots: EM prognozes</w:t>
      </w:r>
    </w:p>
    <w:p w14:paraId="6E1B29EF" w14:textId="77777777" w:rsidR="00B22578" w:rsidRDefault="00B22578" w:rsidP="000816FF">
      <w:pPr>
        <w:spacing w:after="120"/>
        <w:jc w:val="both"/>
        <w:rPr>
          <w:szCs w:val="20"/>
        </w:rPr>
      </w:pPr>
    </w:p>
    <w:p w14:paraId="424B6E79" w14:textId="6F6AC52C" w:rsidR="00941DB6" w:rsidRPr="00C831DC" w:rsidRDefault="00941DB6" w:rsidP="000816FF">
      <w:pPr>
        <w:spacing w:after="120"/>
        <w:jc w:val="both"/>
        <w:rPr>
          <w:szCs w:val="20"/>
        </w:rPr>
      </w:pPr>
      <w:r w:rsidRPr="00C831DC">
        <w:rPr>
          <w:szCs w:val="20"/>
        </w:rPr>
        <w:t>Sagaidāms, ka būtisks darbaspēka pārpalikums saglabāsies vienkāršajās profesijās, ņemot vērā darbaspēka piedāvājuma ar pamatizglītību pieaugumu vidējā termiņā, kā arī ievērojamo darbaspēka pārpalikumu ar vispārējo vidējo izglītību. Jāņem vērā, ka vidējā un ilgtermiņā, līdz ar automatizācijas tendencēm, būtiskākais darbavietu samazinājums sagaidāms profesijās ar augstu manuālo un atkārtojamu darbu īpatsvaru.</w:t>
      </w:r>
    </w:p>
    <w:p w14:paraId="3FEE94C3" w14:textId="7B8AB4A6" w:rsidR="00490B57" w:rsidRPr="00B73A48" w:rsidRDefault="00941DB6" w:rsidP="00941DB6">
      <w:pPr>
        <w:jc w:val="both"/>
        <w:rPr>
          <w:highlight w:val="yellow"/>
        </w:rPr>
      </w:pPr>
      <w:r w:rsidRPr="00C831DC">
        <w:rPr>
          <w:szCs w:val="20"/>
        </w:rPr>
        <w:t xml:space="preserve">Saglabājoties līdzšinējai darbaspēka sagatavošanas struktūrai un apjomam, ilgtermiņā disproporcijas padziļināsies jau iepriekš minētajās vidējās kvalifikācijas profesijās – iekārtu un mašīnu operatoru, kā arī kvalificētu strādnieku un amatnieku profesijās piedāvājums būs ievērojami mazāks nekā pieprasījums. Pieprasījums pārsniegs piedāvājumu arī kvalificētu lauksaimniecības, mežsaimniecības un zivsaimniecības darbinieku profesiju grupā, tā kā šajā profesiju grupā ir augsts nodarbināto īpatsvars </w:t>
      </w:r>
      <w:proofErr w:type="spellStart"/>
      <w:r w:rsidRPr="00C831DC">
        <w:rPr>
          <w:szCs w:val="20"/>
        </w:rPr>
        <w:t>pirmspensijas</w:t>
      </w:r>
      <w:proofErr w:type="spellEnd"/>
      <w:r w:rsidRPr="00C831DC">
        <w:rPr>
          <w:szCs w:val="20"/>
        </w:rPr>
        <w:t xml:space="preserve"> vecumā, bet vienlaikus relatīvi mazs </w:t>
      </w:r>
      <w:proofErr w:type="spellStart"/>
      <w:r w:rsidRPr="00C831DC">
        <w:rPr>
          <w:szCs w:val="20"/>
        </w:rPr>
        <w:t>jaunpienācēju</w:t>
      </w:r>
      <w:proofErr w:type="spellEnd"/>
      <w:r w:rsidRPr="00C831DC">
        <w:rPr>
          <w:szCs w:val="20"/>
        </w:rPr>
        <w:t xml:space="preserve"> skaits no izglītības sistēmas.</w:t>
      </w:r>
      <w:r w:rsidR="00490B57" w:rsidRPr="00B73A48">
        <w:rPr>
          <w:highlight w:val="yellow"/>
        </w:rPr>
        <w:br w:type="page"/>
      </w:r>
    </w:p>
    <w:p w14:paraId="1EBCC777" w14:textId="3B1036A3" w:rsidR="0077767D" w:rsidRDefault="0077767D" w:rsidP="0077767D">
      <w:pPr>
        <w:pStyle w:val="BodyTextIndent2"/>
        <w:spacing w:line="240" w:lineRule="auto"/>
        <w:ind w:left="0"/>
        <w:jc w:val="both"/>
        <w:rPr>
          <w:sz w:val="20"/>
          <w:szCs w:val="20"/>
        </w:rPr>
      </w:pPr>
      <w:bookmarkStart w:id="76" w:name="_Toc517876445"/>
      <w:r>
        <w:rPr>
          <w:noProof/>
          <w:sz w:val="20"/>
          <w:szCs w:val="20"/>
        </w:rPr>
        <w:lastRenderedPageBreak/>
        <w:drawing>
          <wp:anchor distT="0" distB="0" distL="114300" distR="114300" simplePos="0" relativeHeight="251821271" behindDoc="1" locked="0" layoutInCell="1" allowOverlap="1" wp14:anchorId="50504558" wp14:editId="4462F4DC">
            <wp:simplePos x="0" y="0"/>
            <wp:positionH relativeFrom="page">
              <wp:posOffset>0</wp:posOffset>
            </wp:positionH>
            <wp:positionV relativeFrom="page">
              <wp:posOffset>1</wp:posOffset>
            </wp:positionV>
            <wp:extent cx="7559675" cy="4203510"/>
            <wp:effectExtent l="0" t="0" r="3175" b="6985"/>
            <wp:wrapNone/>
            <wp:docPr id="1401" name="Picture 1401" descr="Back view of a student with a backpack pushing a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Picture 1401" descr="Back view of a student with a backpack pushing a bike"/>
                    <pic:cNvPicPr/>
                  </pic:nvPicPr>
                  <pic:blipFill rotWithShape="1">
                    <a:blip r:embed="rId209" cstate="print">
                      <a:duotone>
                        <a:schemeClr val="accent1">
                          <a:shade val="45000"/>
                          <a:satMod val="135000"/>
                        </a:schemeClr>
                        <a:prstClr val="white"/>
                      </a:duotone>
                      <a:extLst>
                        <a:ext uri="{28A0092B-C50C-407E-A947-70E740481C1C}">
                          <a14:useLocalDpi xmlns:a14="http://schemas.microsoft.com/office/drawing/2010/main" val="0"/>
                        </a:ext>
                      </a:extLst>
                    </a:blip>
                    <a:srcRect b="16593"/>
                    <a:stretch/>
                  </pic:blipFill>
                  <pic:spPr bwMode="auto">
                    <a:xfrm>
                      <a:off x="0" y="0"/>
                      <a:ext cx="7560000" cy="42036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3CE4A4" w14:textId="77777777" w:rsidR="0077767D" w:rsidRDefault="0077767D" w:rsidP="0077767D">
      <w:pPr>
        <w:pStyle w:val="BodyTextIndent2"/>
        <w:spacing w:line="240" w:lineRule="auto"/>
        <w:ind w:left="0"/>
        <w:jc w:val="both"/>
        <w:rPr>
          <w:sz w:val="20"/>
          <w:szCs w:val="20"/>
        </w:rPr>
      </w:pPr>
    </w:p>
    <w:p w14:paraId="7A1C3B32" w14:textId="77777777" w:rsidR="0077767D" w:rsidRDefault="0077767D" w:rsidP="0077767D">
      <w:pPr>
        <w:pStyle w:val="BodyTextIndent2"/>
        <w:spacing w:line="240" w:lineRule="auto"/>
        <w:ind w:left="0"/>
        <w:jc w:val="both"/>
        <w:rPr>
          <w:sz w:val="20"/>
          <w:szCs w:val="20"/>
        </w:rPr>
      </w:pPr>
    </w:p>
    <w:p w14:paraId="62B85A51" w14:textId="77777777" w:rsidR="0077767D" w:rsidRDefault="0077767D" w:rsidP="0077767D">
      <w:pPr>
        <w:pStyle w:val="BodyTextIndent2"/>
        <w:spacing w:line="240" w:lineRule="auto"/>
        <w:ind w:left="0"/>
        <w:jc w:val="both"/>
        <w:rPr>
          <w:sz w:val="20"/>
          <w:szCs w:val="20"/>
        </w:rPr>
      </w:pPr>
    </w:p>
    <w:p w14:paraId="556DB808" w14:textId="77777777" w:rsidR="0077767D" w:rsidRDefault="0077767D" w:rsidP="0077767D">
      <w:pPr>
        <w:pStyle w:val="BodyTextIndent2"/>
        <w:spacing w:line="240" w:lineRule="auto"/>
        <w:ind w:left="0"/>
        <w:jc w:val="both"/>
        <w:rPr>
          <w:sz w:val="20"/>
          <w:szCs w:val="20"/>
        </w:rPr>
      </w:pPr>
    </w:p>
    <w:p w14:paraId="6D39E63E" w14:textId="77777777" w:rsidR="0077767D" w:rsidRDefault="0077767D" w:rsidP="0077767D">
      <w:pPr>
        <w:pStyle w:val="BodyTextIndent2"/>
        <w:spacing w:line="240" w:lineRule="auto"/>
        <w:ind w:left="0"/>
        <w:jc w:val="both"/>
        <w:rPr>
          <w:sz w:val="20"/>
          <w:szCs w:val="20"/>
        </w:rPr>
      </w:pPr>
    </w:p>
    <w:p w14:paraId="6142C278" w14:textId="77777777" w:rsidR="0077767D" w:rsidRDefault="0077767D" w:rsidP="0077767D">
      <w:pPr>
        <w:pStyle w:val="BodyTextIndent2"/>
        <w:spacing w:line="240" w:lineRule="auto"/>
        <w:ind w:left="0"/>
        <w:jc w:val="both"/>
        <w:rPr>
          <w:sz w:val="20"/>
          <w:szCs w:val="20"/>
        </w:rPr>
      </w:pPr>
    </w:p>
    <w:p w14:paraId="592B6FCD" w14:textId="77777777" w:rsidR="0077767D" w:rsidRDefault="0077767D" w:rsidP="0077767D">
      <w:pPr>
        <w:pStyle w:val="BodyTextIndent2"/>
        <w:spacing w:line="240" w:lineRule="auto"/>
        <w:ind w:left="0"/>
        <w:jc w:val="both"/>
        <w:rPr>
          <w:sz w:val="20"/>
          <w:szCs w:val="20"/>
        </w:rPr>
      </w:pPr>
    </w:p>
    <w:p w14:paraId="726CEF20" w14:textId="77777777" w:rsidR="0077767D" w:rsidRDefault="0077767D" w:rsidP="0077767D">
      <w:pPr>
        <w:pStyle w:val="BodyTextIndent2"/>
        <w:spacing w:line="240" w:lineRule="auto"/>
        <w:ind w:left="0"/>
        <w:jc w:val="both"/>
        <w:rPr>
          <w:sz w:val="20"/>
          <w:szCs w:val="20"/>
        </w:rPr>
      </w:pPr>
    </w:p>
    <w:p w14:paraId="581E8ECB" w14:textId="77777777" w:rsidR="0077767D" w:rsidRDefault="0077767D" w:rsidP="0077767D">
      <w:pPr>
        <w:pStyle w:val="BodyTextIndent2"/>
        <w:spacing w:line="240" w:lineRule="auto"/>
        <w:ind w:left="0"/>
        <w:jc w:val="both"/>
        <w:rPr>
          <w:sz w:val="20"/>
          <w:szCs w:val="20"/>
        </w:rPr>
      </w:pPr>
    </w:p>
    <w:p w14:paraId="2758D871" w14:textId="77777777" w:rsidR="0077767D" w:rsidRDefault="0077767D" w:rsidP="0077767D">
      <w:pPr>
        <w:pStyle w:val="BodyTextIndent2"/>
        <w:spacing w:line="240" w:lineRule="auto"/>
        <w:ind w:left="0"/>
        <w:jc w:val="both"/>
        <w:rPr>
          <w:sz w:val="20"/>
          <w:szCs w:val="20"/>
        </w:rPr>
      </w:pPr>
    </w:p>
    <w:p w14:paraId="16742099" w14:textId="77777777" w:rsidR="0077767D" w:rsidRDefault="0077767D" w:rsidP="0077767D">
      <w:pPr>
        <w:pStyle w:val="BodyTextIndent2"/>
        <w:spacing w:line="240" w:lineRule="auto"/>
        <w:ind w:left="0"/>
        <w:jc w:val="both"/>
        <w:rPr>
          <w:sz w:val="20"/>
          <w:szCs w:val="20"/>
        </w:rPr>
      </w:pPr>
    </w:p>
    <w:p w14:paraId="0013543E" w14:textId="77777777" w:rsidR="0077767D" w:rsidRDefault="0077767D" w:rsidP="0077767D">
      <w:pPr>
        <w:pStyle w:val="BodyTextIndent2"/>
        <w:spacing w:line="240" w:lineRule="auto"/>
        <w:ind w:left="0"/>
        <w:jc w:val="both"/>
        <w:rPr>
          <w:sz w:val="20"/>
          <w:szCs w:val="20"/>
        </w:rPr>
      </w:pPr>
    </w:p>
    <w:p w14:paraId="00938D05" w14:textId="77777777" w:rsidR="0077767D" w:rsidRDefault="0077767D" w:rsidP="0077767D">
      <w:pPr>
        <w:pStyle w:val="BodyTextIndent2"/>
        <w:spacing w:line="240" w:lineRule="auto"/>
        <w:ind w:left="0"/>
        <w:jc w:val="both"/>
        <w:rPr>
          <w:sz w:val="20"/>
          <w:szCs w:val="20"/>
        </w:rPr>
      </w:pPr>
    </w:p>
    <w:p w14:paraId="379598AA" w14:textId="77777777" w:rsidR="0077767D" w:rsidRDefault="0077767D" w:rsidP="0077767D">
      <w:pPr>
        <w:pStyle w:val="BodyTextIndent2"/>
        <w:spacing w:line="240" w:lineRule="auto"/>
        <w:ind w:left="0"/>
        <w:jc w:val="both"/>
        <w:rPr>
          <w:sz w:val="20"/>
          <w:szCs w:val="20"/>
        </w:rPr>
      </w:pPr>
    </w:p>
    <w:p w14:paraId="010E7A76" w14:textId="77777777" w:rsidR="0077767D" w:rsidRDefault="0077767D" w:rsidP="0077767D">
      <w:pPr>
        <w:pStyle w:val="BodyTextIndent2"/>
        <w:spacing w:line="240" w:lineRule="auto"/>
        <w:ind w:left="0"/>
        <w:jc w:val="both"/>
        <w:rPr>
          <w:sz w:val="20"/>
          <w:szCs w:val="20"/>
        </w:rPr>
      </w:pPr>
    </w:p>
    <w:p w14:paraId="237CAE20" w14:textId="77777777" w:rsidR="0077767D" w:rsidRPr="00CD313C" w:rsidRDefault="0077767D" w:rsidP="0077767D">
      <w:pPr>
        <w:pStyle w:val="BodyTextIndent2"/>
        <w:spacing w:line="240" w:lineRule="auto"/>
        <w:ind w:left="0"/>
        <w:jc w:val="both"/>
        <w:rPr>
          <w:sz w:val="20"/>
          <w:szCs w:val="20"/>
        </w:rPr>
      </w:pPr>
    </w:p>
    <w:p w14:paraId="5624B8A8" w14:textId="3E172E8F" w:rsidR="00490B57" w:rsidRPr="00080A71" w:rsidRDefault="00490B57" w:rsidP="00080A71">
      <w:pPr>
        <w:pStyle w:val="Heading1"/>
      </w:pPr>
      <w:bookmarkStart w:id="77" w:name="_Toc183620108"/>
      <w:r w:rsidRPr="00080A71">
        <w:t xml:space="preserve">4. </w:t>
      </w:r>
      <w:r w:rsidR="00F572F5" w:rsidRPr="00080A71">
        <w:t>PĀRSKATS PAR ĪSTENOTAJIEM IZGLĪTĪBAS UN NODARBINĀTĪBAS PASĀKUMI</w:t>
      </w:r>
      <w:bookmarkEnd w:id="76"/>
      <w:r w:rsidR="00F572F5" w:rsidRPr="00080A71">
        <w:t>EM</w:t>
      </w:r>
      <w:bookmarkEnd w:id="77"/>
    </w:p>
    <w:p w14:paraId="5121F4E5" w14:textId="77777777" w:rsidR="0077767D" w:rsidRDefault="0077767D">
      <w:pPr>
        <w:spacing w:after="0"/>
        <w:rPr>
          <w:rFonts w:eastAsia="Times New Roman"/>
          <w:szCs w:val="20"/>
          <w:lang w:eastAsia="lv-LV"/>
        </w:rPr>
      </w:pPr>
      <w:r>
        <w:rPr>
          <w:rFonts w:eastAsia="Times New Roman"/>
          <w:szCs w:val="20"/>
          <w:lang w:eastAsia="lv-LV"/>
        </w:rPr>
        <w:br w:type="page"/>
      </w:r>
    </w:p>
    <w:p w14:paraId="41510C03" w14:textId="3A0A2420" w:rsidR="003229C8" w:rsidRPr="00080A71" w:rsidRDefault="003229C8" w:rsidP="00653B38">
      <w:pPr>
        <w:pStyle w:val="Heading2"/>
        <w:spacing w:after="240"/>
      </w:pPr>
      <w:bookmarkStart w:id="78" w:name="_Toc41981845"/>
      <w:bookmarkStart w:id="79" w:name="_Toc517876446"/>
      <w:bookmarkStart w:id="80" w:name="_Toc40208732"/>
      <w:bookmarkStart w:id="81" w:name="_Toc183620109"/>
      <w:bookmarkStart w:id="82" w:name="_Toc106366808"/>
      <w:bookmarkStart w:id="83" w:name="_Hlk103329530"/>
      <w:bookmarkStart w:id="84" w:name="_Hlk103758957"/>
      <w:bookmarkStart w:id="85" w:name="_Hlk167350497"/>
      <w:r w:rsidRPr="00080A71">
        <w:lastRenderedPageBreak/>
        <w:t>4.</w:t>
      </w:r>
      <w:r w:rsidR="00296D35">
        <w:t>1</w:t>
      </w:r>
      <w:r w:rsidRPr="00080A71">
        <w:t xml:space="preserve">. </w:t>
      </w:r>
      <w:bookmarkEnd w:id="78"/>
      <w:bookmarkEnd w:id="79"/>
      <w:bookmarkEnd w:id="80"/>
      <w:r w:rsidRPr="00080A71">
        <w:t>Izglītības piedāvājuma uzlabošanas virzieni</w:t>
      </w:r>
      <w:bookmarkEnd w:id="81"/>
    </w:p>
    <w:p w14:paraId="5D46AB66" w14:textId="313C626D" w:rsidR="003229C8" w:rsidRPr="00BB1E54" w:rsidRDefault="003229C8" w:rsidP="00026013">
      <w:pPr>
        <w:tabs>
          <w:tab w:val="left" w:pos="2410"/>
        </w:tabs>
        <w:spacing w:after="120"/>
        <w:jc w:val="both"/>
        <w:rPr>
          <w:rFonts w:eastAsia="Times New Roman"/>
          <w:szCs w:val="20"/>
          <w:lang w:eastAsia="lv-LV"/>
        </w:rPr>
      </w:pPr>
      <w:r w:rsidRPr="00BB1E54">
        <w:rPr>
          <w:rFonts w:eastAsia="Times New Roman"/>
          <w:lang w:eastAsia="lv-LV"/>
        </w:rPr>
        <w:t xml:space="preserve">MK 2021. gada 21. jūnijā apstiprināja Izglītības attīstības pamatnostādnes 2021.-2027. gadam </w:t>
      </w:r>
      <w:r w:rsidRPr="00BB1E54">
        <w:rPr>
          <w:rFonts w:eastAsia="Times New Roman"/>
          <w:iCs/>
          <w:lang w:eastAsia="lv-LV"/>
        </w:rPr>
        <w:t>“Nākotnes prasmes nākotnes sabiedrībai”</w:t>
      </w:r>
      <w:r w:rsidR="002113DA">
        <w:rPr>
          <w:rStyle w:val="FootnoteReference"/>
          <w:rFonts w:eastAsia="Times New Roman"/>
          <w:iCs/>
          <w:lang w:eastAsia="lv-LV"/>
        </w:rPr>
        <w:footnoteReference w:id="18"/>
      </w:r>
      <w:r w:rsidRPr="00BB1E54">
        <w:rPr>
          <w:rFonts w:eastAsia="Times New Roman"/>
          <w:iCs/>
          <w:lang w:eastAsia="lv-LV"/>
        </w:rPr>
        <w:t>,</w:t>
      </w:r>
      <w:r w:rsidRPr="00BB1E54">
        <w:rPr>
          <w:rFonts w:eastAsia="Times New Roman"/>
          <w:lang w:eastAsia="lv-LV"/>
        </w:rPr>
        <w:t xml:space="preserve"> kas aptver visus izglītības veidus un pakāpes. Pamatnostādnes paredz visās izglītības jomās galveno uzmanību pievērst sākto reformu ieviešanai un nepieciešamo atbalsta sistēmu (cilvēkresursu, sadarbības tīklu, pārvaldības, kvalitātes) attīstībai un nodrošināšanai, tādējādi nostiprinot pārmaiņu ilgtspēju. Nozīmīgākās plānotās pārmaiņas četrās izglītības jomās:</w:t>
      </w:r>
    </w:p>
    <w:p w14:paraId="7B2A5FDD" w14:textId="77777777" w:rsidR="003229C8" w:rsidRPr="00BB1E54" w:rsidRDefault="003229C8" w:rsidP="00972191">
      <w:pPr>
        <w:pStyle w:val="ListParagraph"/>
        <w:numPr>
          <w:ilvl w:val="0"/>
          <w:numId w:val="4"/>
        </w:numPr>
        <w:spacing w:after="120"/>
        <w:jc w:val="both"/>
        <w:rPr>
          <w:rFonts w:eastAsia="Times New Roman"/>
          <w:szCs w:val="20"/>
          <w:lang w:eastAsia="lv-LV"/>
        </w:rPr>
      </w:pPr>
      <w:r w:rsidRPr="00BB1E54">
        <w:rPr>
          <w:rFonts w:eastAsia="Times New Roman"/>
          <w:b/>
          <w:bCs/>
          <w:szCs w:val="20"/>
          <w:lang w:eastAsia="lv-LV"/>
        </w:rPr>
        <w:t xml:space="preserve">vispārējā izglītībā – </w:t>
      </w:r>
      <w:r w:rsidRPr="00BB1E54">
        <w:rPr>
          <w:rFonts w:eastAsia="Times New Roman"/>
          <w:szCs w:val="20"/>
          <w:lang w:eastAsia="lv-LV"/>
        </w:rPr>
        <w:t>ieviest un nostiprināt kompetenču pieeju ar mērķi uzlabot mācīšanu, mācīšanos un skolēnu sniegumu, piesaistīt jaunus pedagogus, nodrošinot pedagogu ataudzi un nodrošināt mērķtiecīgu atbalsta sistēmu iekļaujošas izglītības nostiprināšanai;</w:t>
      </w:r>
    </w:p>
    <w:p w14:paraId="23AC8C23" w14:textId="77777777" w:rsidR="003229C8" w:rsidRPr="00BB1E54" w:rsidRDefault="003229C8" w:rsidP="00972191">
      <w:pPr>
        <w:pStyle w:val="ListParagraph"/>
        <w:numPr>
          <w:ilvl w:val="0"/>
          <w:numId w:val="4"/>
        </w:numPr>
        <w:spacing w:after="120"/>
        <w:jc w:val="both"/>
        <w:rPr>
          <w:rFonts w:eastAsia="Times New Roman"/>
          <w:szCs w:val="20"/>
          <w:lang w:eastAsia="lv-LV"/>
        </w:rPr>
      </w:pPr>
      <w:r w:rsidRPr="00BB1E54">
        <w:rPr>
          <w:rFonts w:eastAsia="Times New Roman"/>
          <w:b/>
          <w:bCs/>
          <w:szCs w:val="20"/>
          <w:lang w:eastAsia="lv-LV"/>
        </w:rPr>
        <w:t xml:space="preserve">profesionālajā izglītībā – </w:t>
      </w:r>
      <w:r w:rsidRPr="00BB1E54">
        <w:rPr>
          <w:rFonts w:eastAsia="Times New Roman"/>
          <w:szCs w:val="20"/>
          <w:lang w:eastAsia="lv-LV"/>
        </w:rPr>
        <w:t>nostiprināt profesionālās izglītības iestādes kā nozaru izcilības un inovāciju centrus, attīstīt elastīgu un ilgtspējīgu izglītības piedāvājumu un stiprināt koordinētu un stratēģisku sadarbību ar tautsaimniecības nozaru pārstāvjiem un darba devējiem;</w:t>
      </w:r>
    </w:p>
    <w:p w14:paraId="2D88CF17" w14:textId="77777777" w:rsidR="003229C8" w:rsidRPr="00BB1E54" w:rsidRDefault="003229C8" w:rsidP="00972191">
      <w:pPr>
        <w:pStyle w:val="ListParagraph"/>
        <w:numPr>
          <w:ilvl w:val="0"/>
          <w:numId w:val="4"/>
        </w:numPr>
        <w:spacing w:after="120"/>
        <w:jc w:val="both"/>
        <w:rPr>
          <w:rFonts w:eastAsia="Times New Roman"/>
          <w:szCs w:val="20"/>
          <w:lang w:eastAsia="lv-LV"/>
        </w:rPr>
      </w:pPr>
      <w:r w:rsidRPr="00BB1E54">
        <w:rPr>
          <w:rFonts w:eastAsia="Times New Roman"/>
          <w:b/>
          <w:bCs/>
          <w:szCs w:val="20"/>
          <w:lang w:eastAsia="lv-LV"/>
        </w:rPr>
        <w:t>augstākajā izglītībā –</w:t>
      </w:r>
      <w:r w:rsidRPr="00BB1E54">
        <w:rPr>
          <w:rFonts w:eastAsia="Times New Roman"/>
          <w:szCs w:val="20"/>
          <w:lang w:eastAsia="lv-LV"/>
        </w:rPr>
        <w:t xml:space="preserve"> nostiprināt akadēmiskā personāla kvalitāti un nodrošināt ilgtspējīgu akadēmisko karjeru, veicināt izcilību augstākajā izglītībā un stiprināt augstākās izglītības institūciju pārvaldību;</w:t>
      </w:r>
    </w:p>
    <w:p w14:paraId="747D7DEB" w14:textId="77777777" w:rsidR="003229C8" w:rsidRPr="00BB1E54" w:rsidRDefault="003229C8" w:rsidP="00972191">
      <w:pPr>
        <w:pStyle w:val="ListParagraph"/>
        <w:numPr>
          <w:ilvl w:val="0"/>
          <w:numId w:val="4"/>
        </w:numPr>
        <w:spacing w:after="120"/>
        <w:jc w:val="both"/>
        <w:rPr>
          <w:rFonts w:eastAsia="Times New Roman"/>
          <w:szCs w:val="20"/>
          <w:lang w:eastAsia="lv-LV"/>
        </w:rPr>
      </w:pPr>
      <w:r w:rsidRPr="00BB1E54">
        <w:rPr>
          <w:rFonts w:eastAsia="Times New Roman"/>
          <w:b/>
          <w:bCs/>
          <w:szCs w:val="20"/>
          <w:lang w:eastAsia="lv-LV"/>
        </w:rPr>
        <w:t>pieaugušo izglītībā</w:t>
      </w:r>
      <w:r w:rsidRPr="00BB1E54">
        <w:rPr>
          <w:rFonts w:eastAsia="Times New Roman"/>
          <w:szCs w:val="20"/>
          <w:lang w:eastAsia="lv-LV"/>
        </w:rPr>
        <w:t xml:space="preserve"> </w:t>
      </w:r>
      <w:r w:rsidRPr="00BB1E54">
        <w:rPr>
          <w:rFonts w:eastAsia="Times New Roman"/>
          <w:b/>
          <w:bCs/>
          <w:szCs w:val="20"/>
          <w:lang w:eastAsia="lv-LV"/>
        </w:rPr>
        <w:t>–</w:t>
      </w:r>
      <w:r w:rsidRPr="00BB1E54">
        <w:rPr>
          <w:rFonts w:eastAsia="Times New Roman"/>
          <w:szCs w:val="20"/>
          <w:lang w:eastAsia="lv-LV"/>
        </w:rPr>
        <w:t xml:space="preserve"> palielināt dalību pieaugušo izglītībā, jo īpaši iedzīvotāju grupām, kas mazāk iesaistās mācībās, paaugstināt pieaugušo izglītības kvalitāti un izveidot ilgtspējīgu un sociāli atbildīgu pieaugušo izglītības finansējuma sistēmu.</w:t>
      </w:r>
    </w:p>
    <w:p w14:paraId="51E1A0FC" w14:textId="77777777" w:rsidR="00026013" w:rsidRPr="00653B38" w:rsidRDefault="00026013" w:rsidP="00653B38">
      <w:pPr>
        <w:spacing w:after="0"/>
        <w:jc w:val="both"/>
        <w:rPr>
          <w:rFonts w:eastAsia="Times New Roman"/>
          <w:sz w:val="16"/>
          <w:szCs w:val="16"/>
          <w:lang w:eastAsia="lv-LV"/>
        </w:rPr>
      </w:pPr>
    </w:p>
    <w:p w14:paraId="00E64D12" w14:textId="04C1739A" w:rsidR="003229C8" w:rsidRPr="00BB1E54" w:rsidRDefault="003229C8" w:rsidP="00653B38">
      <w:pPr>
        <w:pStyle w:val="Heading3"/>
        <w:spacing w:after="240"/>
      </w:pPr>
      <w:bookmarkStart w:id="86" w:name="_Toc183620110"/>
      <w:r w:rsidRPr="00BB1E54">
        <w:t>4.</w:t>
      </w:r>
      <w:r w:rsidR="00296D35">
        <w:t>1</w:t>
      </w:r>
      <w:r w:rsidRPr="00BB1E54">
        <w:t>.1. Aktuālie pasākumi vispārējā izglītībā</w:t>
      </w:r>
      <w:bookmarkEnd w:id="82"/>
      <w:bookmarkEnd w:id="86"/>
    </w:p>
    <w:p w14:paraId="1E275401" w14:textId="15818E3F" w:rsidR="003229C8" w:rsidRPr="006B634C" w:rsidRDefault="003229C8" w:rsidP="006B634C">
      <w:pPr>
        <w:spacing w:after="120"/>
        <w:jc w:val="both"/>
        <w:rPr>
          <w:bCs/>
          <w:szCs w:val="20"/>
        </w:rPr>
      </w:pPr>
      <w:r w:rsidRPr="006B634C">
        <w:rPr>
          <w:b/>
          <w:szCs w:val="20"/>
        </w:rPr>
        <w:t>Ilgtspējīgas izglītības ekosistēmas izveide un jauns pedagogu atalgojuma finansēšanas modelis</w:t>
      </w:r>
      <w:r w:rsidR="006B634C" w:rsidRPr="006B634C">
        <w:rPr>
          <w:b/>
          <w:szCs w:val="20"/>
        </w:rPr>
        <w:t>.</w:t>
      </w:r>
      <w:r w:rsidR="006B634C">
        <w:rPr>
          <w:bCs/>
          <w:szCs w:val="20"/>
        </w:rPr>
        <w:t xml:space="preserve"> </w:t>
      </w:r>
      <w:r w:rsidRPr="00BB1E54">
        <w:rPr>
          <w:bCs/>
          <w:szCs w:val="20"/>
        </w:rPr>
        <w:t xml:space="preserve">MK 2023. gada 21. novembrī apstiprināja informatīvo ziņojumu “Kompleksi risinājumi augstvērtīgai izglītības nodrošināšanai vispārējā pamata un vidējā izglītībā: ilgtspējīga izglītības ekosistēma un efektīvs finansēšanas modelis”, kurā piedāvāti kritēriji vispārējās izglītības iestāžu tīkla reformai, kā arī ietvars jaunam pedagogu atalgojuma finansēšanas modelim vispārējās pamata un vidējās izglītības iestādēs. IZM turpina darbu pie ilgtspējīga vispārējās izglītības iestāžu tīkla izveides, lai nodrošinātu kvalitatīvas izglītības pieejamību, ievērojot principu – sākumskola maksimāli tuvu izglītojamā dzīvesvietai un spēcīga pamatskola un vidusskola, kurā tiek nodrošināts kompetenču pieejai atbilstošs un kvalitatīvs mācību programmu piedāvājums. </w:t>
      </w:r>
      <w:r w:rsidRPr="00BB1E54">
        <w:rPr>
          <w:rFonts w:cs="Calibri Light"/>
          <w:szCs w:val="20"/>
        </w:rPr>
        <w:t>IZM izstrādā jaunu pedagogu darba samaksas finansēšanas modeli “Programma skolā”. Tas paredz, ka pedagogi saņems taisnīgu un līdzvērtīgu atalgojumu, neatkarīgi no skolas atrašanās vietas vai skolēnu skaita. Jaunais finansēšanas modelis tiek balstīts labas skolas un optimālas klases kritērijos, nosakot, ka finansējums tiek aprēķināts konkrētai izglītības iestādei, ņemot vērā tajā īstenotās izglītības programmas apmēru. Modelis paredz līdzvērtīgu finansējumu līdzīgām skolām visā valsts teritorijā. Tāpat tiek paredzēts finansējuma pieaugums atbalsta personālam, tai skaitā garantēts valsts finansējums sociālajiem pedagogiem un karjeras konsultantiem. Plānots, ka jaunais pedagogu darba samaksas modelis stāsies spēkā ar 2025. gada 1. septembri.</w:t>
      </w:r>
    </w:p>
    <w:p w14:paraId="65CE6123" w14:textId="73CEB18B" w:rsidR="003229C8" w:rsidRPr="006B634C" w:rsidRDefault="003229C8" w:rsidP="00026013">
      <w:pPr>
        <w:spacing w:after="120"/>
        <w:jc w:val="both"/>
        <w:rPr>
          <w:rFonts w:ascii="Aptos Narrow" w:hAnsi="Aptos Narrow"/>
          <w:b/>
          <w:color w:val="5F497A" w:themeColor="accent4" w:themeShade="BF"/>
          <w:sz w:val="28"/>
          <w:szCs w:val="28"/>
        </w:rPr>
      </w:pPr>
      <w:r w:rsidRPr="006B634C">
        <w:rPr>
          <w:b/>
          <w:bCs/>
        </w:rPr>
        <w:t>Pāreja uz mācībām latviešu valodā</w:t>
      </w:r>
      <w:r w:rsidR="006B634C" w:rsidRPr="006B634C">
        <w:rPr>
          <w:b/>
          <w:bCs/>
        </w:rPr>
        <w:t>.</w:t>
      </w:r>
      <w:r w:rsidR="006B634C">
        <w:rPr>
          <w:rFonts w:ascii="Aptos Narrow" w:hAnsi="Aptos Narrow"/>
          <w:b/>
          <w:color w:val="5F497A" w:themeColor="accent4" w:themeShade="BF"/>
          <w:sz w:val="28"/>
          <w:szCs w:val="28"/>
        </w:rPr>
        <w:t xml:space="preserve"> </w:t>
      </w:r>
      <w:r w:rsidRPr="00BB1E54">
        <w:t>2023./2024. mācību gadā pirmsskolas izglītībā un pamatizglītības pakāpē uzsākta pāreja uz mācībām tikai valsts valodā Latvijas izglītības iestādēs, kuras pirms tam īstenoja mazākumtautību izglītības programmas – “Vienota skola”. Šobrīd izglītības process tikai valsts valodā tiek īstenots 1., 4. un 7. klasē. No 2024. gada 1. septembra mācības tikai valsts valodā uzsāks 2., 5. un 8. klašu skolēni, bet no 2025. gada 1. septembra – pievienosies arī 3., 6. un 9. klases. Vienlaikus pamatizglītības posmā notiek pāreja uz otru svešvalodu, kas ir ES oficiālā valoda vai valoda, par kuras apguvi noslēgti starpvaldību līgumi izglītības jomā. Lai sniegtu atbalstu skolu pārejai uz mācībām latviešu valodā tiek īstenotas aktivitātes, veicinot skolu sadarbību, skolotāju pieredzes apmaiņu un jaunu prasmju apguvi.</w:t>
      </w:r>
    </w:p>
    <w:p w14:paraId="39715897" w14:textId="20DEF07E" w:rsidR="003229C8" w:rsidRPr="006B634C" w:rsidRDefault="003229C8" w:rsidP="006B634C">
      <w:pPr>
        <w:spacing w:after="120"/>
        <w:jc w:val="both"/>
        <w:rPr>
          <w:rFonts w:ascii="Aptos Narrow" w:hAnsi="Aptos Narrow"/>
          <w:b/>
          <w:color w:val="5F497A" w:themeColor="accent4" w:themeShade="BF"/>
          <w:sz w:val="28"/>
          <w:szCs w:val="28"/>
        </w:rPr>
      </w:pPr>
      <w:r w:rsidRPr="006B634C">
        <w:rPr>
          <w:rFonts w:cs="Calibri Light"/>
          <w:b/>
          <w:szCs w:val="20"/>
        </w:rPr>
        <w:t>Kompetencēs balstīta izglītības satura ieviešana</w:t>
      </w:r>
      <w:r w:rsidR="006B634C" w:rsidRPr="006B634C">
        <w:rPr>
          <w:rFonts w:cs="Calibri Light"/>
          <w:b/>
          <w:szCs w:val="20"/>
        </w:rPr>
        <w:t>.</w:t>
      </w:r>
      <w:r w:rsidR="006B634C" w:rsidRPr="006B634C">
        <w:rPr>
          <w:rFonts w:cs="Calibri Light"/>
          <w:bCs/>
          <w:szCs w:val="20"/>
        </w:rPr>
        <w:t xml:space="preserve"> </w:t>
      </w:r>
      <w:r w:rsidRPr="00BB1E54">
        <w:rPr>
          <w:rFonts w:cs="Calibri Light"/>
          <w:bCs/>
          <w:szCs w:val="20"/>
        </w:rPr>
        <w:t>2023. gadā noslēdzās 2019. gadā uzsāktā vispārējās izglītības satura reforma, ieviešot</w:t>
      </w:r>
      <w:r w:rsidRPr="00BB1E54">
        <w:t xml:space="preserve"> </w:t>
      </w:r>
      <w:r w:rsidRPr="00BB1E54">
        <w:rPr>
          <w:rFonts w:cs="Calibri Light"/>
          <w:bCs/>
          <w:szCs w:val="20"/>
        </w:rPr>
        <w:t>pamatizglītībā un vidējā izglītībā kompetenču pieeju mācību saturā,</w:t>
      </w:r>
      <w:r w:rsidRPr="00BB1E54">
        <w:rPr>
          <w:rFonts w:cs="Calibri Light"/>
          <w:szCs w:val="20"/>
        </w:rPr>
        <w:t xml:space="preserve"> kas iekļāva arī pedagogu atbalsta sistēmas veidošanu un mācību procesa pilnveidi.</w:t>
      </w:r>
      <w:r w:rsidRPr="00BB1E54">
        <w:t xml:space="preserve"> </w:t>
      </w:r>
      <w:r w:rsidRPr="00BB1E54">
        <w:rPr>
          <w:rFonts w:cs="Calibri Light"/>
          <w:szCs w:val="20"/>
        </w:rPr>
        <w:t xml:space="preserve">Kompetenču pieejā balstītais vispārējās izglītības saturs paredz </w:t>
      </w:r>
      <w:r w:rsidRPr="00BB1E54">
        <w:rPr>
          <w:rFonts w:cs="Calibri Light"/>
          <w:bCs/>
          <w:szCs w:val="20"/>
        </w:rPr>
        <w:t xml:space="preserve">vidējās izglītības satura apguvi ne tikai optimālajā līmenī, bet izvēles mācību priekšmetos un kursos arī padziļināti augstākajā līmenī, tādējādi veicinot jauniešu </w:t>
      </w:r>
      <w:r w:rsidRPr="00BB1E54">
        <w:rPr>
          <w:rFonts w:cs="Calibri Light"/>
          <w:szCs w:val="20"/>
        </w:rPr>
        <w:t>mērķtiecīgāku ceļu uz augstāko izglītību. ES fondu 2021.–2027. gada plānošanas perioda ietvaros plānotas darbības profesionālā atbalsta centra izveidei, kas nodrošinās metodisko atbalstu izglītības iestādēm, tai skaitā izstrādās mācību un metodiskos materiālus dažādos mācību priekšmetos.</w:t>
      </w:r>
    </w:p>
    <w:p w14:paraId="4C6064FB" w14:textId="4848DBDD" w:rsidR="003229C8" w:rsidRPr="006B634C" w:rsidRDefault="003229C8" w:rsidP="003229C8">
      <w:pPr>
        <w:spacing w:after="120"/>
        <w:jc w:val="both"/>
        <w:rPr>
          <w:rFonts w:ascii="Aptos Narrow" w:hAnsi="Aptos Narrow"/>
          <w:b/>
          <w:color w:val="5F497A" w:themeColor="accent4" w:themeShade="BF"/>
          <w:sz w:val="28"/>
          <w:szCs w:val="28"/>
        </w:rPr>
      </w:pPr>
      <w:r w:rsidRPr="006B634C">
        <w:rPr>
          <w:b/>
          <w:szCs w:val="20"/>
        </w:rPr>
        <w:lastRenderedPageBreak/>
        <w:t>STEM izglītības veicināšana</w:t>
      </w:r>
      <w:r w:rsidR="006B634C" w:rsidRPr="006B634C">
        <w:rPr>
          <w:b/>
          <w:szCs w:val="20"/>
        </w:rPr>
        <w:t>.</w:t>
      </w:r>
      <w:r w:rsidR="006B634C">
        <w:rPr>
          <w:rFonts w:ascii="Aptos Narrow" w:hAnsi="Aptos Narrow"/>
          <w:b/>
          <w:color w:val="5F497A" w:themeColor="accent4" w:themeShade="BF"/>
          <w:sz w:val="28"/>
          <w:szCs w:val="28"/>
        </w:rPr>
        <w:t xml:space="preserve"> </w:t>
      </w:r>
      <w:r w:rsidRPr="00BB1E54">
        <w:rPr>
          <w:bCs/>
          <w:szCs w:val="20"/>
        </w:rPr>
        <w:t xml:space="preserve">No 2025./2026. mācību gada vidusskolu beidzējiem būs obligāti jākārto valsts pārbaudes darbs </w:t>
      </w:r>
      <w:proofErr w:type="spellStart"/>
      <w:r w:rsidRPr="00BB1E54">
        <w:rPr>
          <w:bCs/>
          <w:szCs w:val="20"/>
        </w:rPr>
        <w:t>dabaszinībās</w:t>
      </w:r>
      <w:proofErr w:type="spellEnd"/>
      <w:r w:rsidRPr="00BB1E54">
        <w:rPr>
          <w:bCs/>
          <w:szCs w:val="20"/>
        </w:rPr>
        <w:t xml:space="preserve"> vispārīgajā</w:t>
      </w:r>
      <w:r w:rsidRPr="00BB1E54">
        <w:t xml:space="preserve"> </w:t>
      </w:r>
      <w:r w:rsidRPr="00BB1E54">
        <w:rPr>
          <w:bCs/>
          <w:szCs w:val="20"/>
        </w:rPr>
        <w:t>mācību satura apguves līmenī vai fizikā, ķīmijā vai bioloģijā vismaz optimālajā līmenī.</w:t>
      </w:r>
    </w:p>
    <w:p w14:paraId="290EE001" w14:textId="77777777" w:rsidR="003229C8" w:rsidRPr="00BB1E54" w:rsidRDefault="003229C8" w:rsidP="003229C8">
      <w:pPr>
        <w:spacing w:after="120"/>
        <w:jc w:val="both"/>
        <w:rPr>
          <w:rFonts w:cs="Calibri Light"/>
          <w:szCs w:val="20"/>
        </w:rPr>
      </w:pPr>
      <w:r w:rsidRPr="00BB1E54">
        <w:rPr>
          <w:bCs/>
          <w:szCs w:val="20"/>
        </w:rPr>
        <w:t xml:space="preserve">Ar </w:t>
      </w:r>
      <w:r w:rsidRPr="00BB1E54">
        <w:rPr>
          <w:rFonts w:cs="Calibri Light"/>
          <w:szCs w:val="20"/>
        </w:rPr>
        <w:t>ESF atbalstu ir izstrādāts mācību saturs un mācību līdzekļu piemēri no pirmsskolas līdz vidusskolai visās mācību jomās, arī STEM. Sadarbībā ar Latvijas augstskolām ir izstrādāti digitāli mācību līdzekļi vidējā izglītībā tādos mācību priekšmetos kā fizika, dizains un tehnoloģijas, programmēšana, ķīmija un bioloģija. Lai veicinātu tehnoloģiju izmantošanu skolās, 2023.</w:t>
      </w:r>
      <w:r w:rsidRPr="00BB1E54">
        <w:t> </w:t>
      </w:r>
      <w:r w:rsidRPr="00BB1E54">
        <w:rPr>
          <w:rFonts w:cs="Calibri Light"/>
          <w:szCs w:val="20"/>
        </w:rPr>
        <w:t xml:space="preserve">gadā tika organizētas mācības izglītības tehnoloģiju </w:t>
      </w:r>
      <w:proofErr w:type="spellStart"/>
      <w:r w:rsidRPr="00BB1E54">
        <w:rPr>
          <w:rFonts w:cs="Calibri Light"/>
          <w:szCs w:val="20"/>
        </w:rPr>
        <w:t>mentoriem</w:t>
      </w:r>
      <w:proofErr w:type="spellEnd"/>
      <w:r w:rsidRPr="00BB1E54">
        <w:rPr>
          <w:rFonts w:cs="Calibri Light"/>
          <w:szCs w:val="20"/>
        </w:rPr>
        <w:t xml:space="preserve">, kā arī sniegts atbalsts izglītības iestādēm digitālo risinājumu ieviešanā un nodrošināti </w:t>
      </w:r>
      <w:r w:rsidRPr="00BB1E54">
        <w:rPr>
          <w:rStyle w:val="normaltextrun"/>
        </w:rPr>
        <w:t>pedagogu profesionālās kompetences pilnveides kursi. Pilnveidota</w:t>
      </w:r>
      <w:r w:rsidRPr="00BB1E54">
        <w:rPr>
          <w:rFonts w:cs="Calibri Light"/>
          <w:szCs w:val="20"/>
        </w:rPr>
        <w:t xml:space="preserve"> mācīšanās platforma </w:t>
      </w:r>
      <w:r w:rsidRPr="00BB1E54">
        <w:rPr>
          <w:rFonts w:cs="Calibri Light"/>
          <w:i/>
          <w:iCs/>
          <w:szCs w:val="20"/>
        </w:rPr>
        <w:t xml:space="preserve">skolo.lv </w:t>
      </w:r>
      <w:r w:rsidRPr="00BB1E54">
        <w:rPr>
          <w:rFonts w:cs="Calibri Light"/>
          <w:szCs w:val="20"/>
        </w:rPr>
        <w:t>un</w:t>
      </w:r>
      <w:r w:rsidRPr="00BB1E54">
        <w:rPr>
          <w:rFonts w:cs="Calibri Light"/>
          <w:i/>
          <w:iCs/>
          <w:szCs w:val="20"/>
        </w:rPr>
        <w:t xml:space="preserve"> </w:t>
      </w:r>
      <w:r w:rsidRPr="00BB1E54">
        <w:rPr>
          <w:rFonts w:cs="Calibri Light"/>
          <w:szCs w:val="20"/>
        </w:rPr>
        <w:t>digitāla mācību resursu krātuves</w:t>
      </w:r>
      <w:r w:rsidRPr="00BB1E54">
        <w:rPr>
          <w:rFonts w:cs="Calibri Light"/>
          <w:i/>
          <w:iCs/>
          <w:szCs w:val="20"/>
        </w:rPr>
        <w:t xml:space="preserve"> mape.gov.lv </w:t>
      </w:r>
      <w:r w:rsidRPr="00BB1E54">
        <w:rPr>
          <w:rFonts w:cs="Calibri Light"/>
          <w:szCs w:val="20"/>
        </w:rPr>
        <w:t xml:space="preserve">funkcionalitāte un </w:t>
      </w:r>
      <w:r w:rsidRPr="00BB1E54">
        <w:rPr>
          <w:rFonts w:eastAsia="Times New Roman" w:cs="Calibri Light"/>
          <w:bCs/>
          <w:szCs w:val="20"/>
          <w:lang w:eastAsia="lv-LV"/>
        </w:rPr>
        <w:t>satura komplektēšana</w:t>
      </w:r>
      <w:r w:rsidRPr="00BB1E54">
        <w:rPr>
          <w:rFonts w:cs="Calibri Light"/>
          <w:szCs w:val="20"/>
        </w:rPr>
        <w:t>.</w:t>
      </w:r>
    </w:p>
    <w:p w14:paraId="3AB452A4" w14:textId="77777777" w:rsidR="003229C8" w:rsidRPr="00BB1E54" w:rsidRDefault="003229C8" w:rsidP="003229C8">
      <w:pPr>
        <w:spacing w:after="120"/>
        <w:jc w:val="both"/>
        <w:rPr>
          <w:rFonts w:cs="Calibri Light"/>
          <w:szCs w:val="20"/>
        </w:rPr>
      </w:pPr>
      <w:r w:rsidRPr="00BB1E54">
        <w:rPr>
          <w:rFonts w:cs="Calibri Light"/>
          <w:szCs w:val="20"/>
        </w:rPr>
        <w:t>Lai palielinātu bērnu un jauniešu interesi par STEM, valsts nozīmes interešu izglītības iestādes</w:t>
      </w:r>
      <w:r w:rsidRPr="00BB1E54">
        <w:rPr>
          <w:rStyle w:val="FootnoteReference"/>
          <w:rFonts w:cs="Calibri Light"/>
          <w:szCs w:val="20"/>
        </w:rPr>
        <w:footnoteReference w:id="19"/>
      </w:r>
      <w:r w:rsidRPr="00BB1E54">
        <w:rPr>
          <w:rFonts w:cs="Calibri Light"/>
          <w:szCs w:val="20"/>
        </w:rPr>
        <w:t xml:space="preserve"> no 2024. gada 1. septembra varēs saņemt papildu valsts budžeta finansējumu pedagogu atalgojumam un interešu izglītības programmu attīstībai. Šobrīd STEM interešu izglītības programmām tiek izmantoti 6% no valsts mērķdotācijas interešu izglītības programmām. Papildu piešķirtais valsts atbalsts paredz pakāpeniski palielināt finansējumu STEM jomu interešu izglītības programmu attīstībai, 2026./2027. mācību gadā sasniedzot 20% no kopējās mērķdotācijas apjoma pašvaldībām interešu izglītības īstenošanai.</w:t>
      </w:r>
      <w:r w:rsidRPr="00BB1E54">
        <w:t xml:space="preserve"> </w:t>
      </w:r>
      <w:r w:rsidRPr="00BB1E54">
        <w:rPr>
          <w:rFonts w:cs="Calibri Light"/>
          <w:szCs w:val="20"/>
        </w:rPr>
        <w:t>Piešķirtais finansējums STEM interešu izglītības programmām paredz izglītojamo skaita pieaugumu 2024. gadā par 9200 izglītojamiem, 2025. gadā un turpmāk par 10 800 izglītojamiem katru gadu.</w:t>
      </w:r>
    </w:p>
    <w:p w14:paraId="32D333F9" w14:textId="77777777" w:rsidR="003229C8" w:rsidRPr="00BB1E54" w:rsidRDefault="003229C8" w:rsidP="003229C8">
      <w:pPr>
        <w:spacing w:after="120"/>
        <w:jc w:val="both"/>
      </w:pPr>
      <w:r w:rsidRPr="00BB1E54">
        <w:rPr>
          <w:bCs/>
          <w:szCs w:val="20"/>
        </w:rPr>
        <w:t>Lai risinātu pedagogu trūkumu, tai skaitā STEM jomās, īstermiņa risinājums ir skolotāju izglītības projekts “</w:t>
      </w:r>
      <w:proofErr w:type="spellStart"/>
      <w:r w:rsidRPr="00BB1E54">
        <w:rPr>
          <w:bCs/>
          <w:szCs w:val="20"/>
        </w:rPr>
        <w:t>Mācītspēks</w:t>
      </w:r>
      <w:proofErr w:type="spellEnd"/>
      <w:r w:rsidRPr="00BB1E54">
        <w:rPr>
          <w:bCs/>
          <w:szCs w:val="20"/>
        </w:rPr>
        <w:t>”. Projekta ietvaros skolotāja darbam tiek piesaistīti un sagatavoti cilvēki ar iepriekš iegūtu augstāko izglītību kādā konkrētā jomā, dodot iespēju ātri ienākt izglītības sistēmā. 2023. gadā projekta ietvaros s</w:t>
      </w:r>
      <w:r w:rsidRPr="00BB1E54">
        <w:t>kolotāja kvalifikāciju ieguva 70 dalībnieki, savukārt divu gadu posmu absolvēja 31 dalībnieks. 2023. gada 1. septembrī mācības uzsāka jauns kurss – 89 topošie skolotāji, kuri strādās skolās, paralēli studējot pedagoģiju izvēlētajā augstskolā.</w:t>
      </w:r>
    </w:p>
    <w:p w14:paraId="6B7D9B7D" w14:textId="77777777" w:rsidR="003229C8" w:rsidRPr="00BB1E54" w:rsidRDefault="003229C8" w:rsidP="003229C8">
      <w:pPr>
        <w:spacing w:after="120"/>
        <w:jc w:val="both"/>
        <w:rPr>
          <w:rStyle w:val="normaltextrun"/>
        </w:rPr>
      </w:pPr>
      <w:r w:rsidRPr="00BB1E54">
        <w:rPr>
          <w:bCs/>
          <w:szCs w:val="20"/>
        </w:rPr>
        <w:t>2023.</w:t>
      </w:r>
      <w:r w:rsidRPr="00BB1E54">
        <w:t> </w:t>
      </w:r>
      <w:r w:rsidRPr="00BB1E54">
        <w:rPr>
          <w:bCs/>
          <w:szCs w:val="20"/>
        </w:rPr>
        <w:t xml:space="preserve">gada </w:t>
      </w:r>
      <w:r w:rsidRPr="006B634C">
        <w:rPr>
          <w:bCs/>
          <w:szCs w:val="20"/>
        </w:rPr>
        <w:t>decembrī</w:t>
      </w:r>
      <w:r w:rsidRPr="006B634C">
        <w:rPr>
          <w:b/>
          <w:szCs w:val="20"/>
        </w:rPr>
        <w:t xml:space="preserve"> </w:t>
      </w:r>
      <w:r w:rsidRPr="006B634C">
        <w:rPr>
          <w:rStyle w:val="Strong"/>
          <w:b w:val="0"/>
        </w:rPr>
        <w:t>IZM, nodibinājums “Iespējamā misija” un Rīgas Tehniskās universitāte (RTU) parakstīja memorandu</w:t>
      </w:r>
      <w:r w:rsidRPr="006B634C">
        <w:rPr>
          <w:b/>
        </w:rPr>
        <w:t xml:space="preserve"> </w:t>
      </w:r>
      <w:r w:rsidRPr="006B634C">
        <w:rPr>
          <w:rStyle w:val="Strong"/>
          <w:b w:val="0"/>
        </w:rPr>
        <w:t>par skolotāju Līderības attīstības programmas izveidi, kurai pievienojusies arī energokompānija “</w:t>
      </w:r>
      <w:proofErr w:type="spellStart"/>
      <w:r w:rsidRPr="006B634C">
        <w:rPr>
          <w:rStyle w:val="Strong"/>
          <w:b w:val="0"/>
        </w:rPr>
        <w:t>Enefit</w:t>
      </w:r>
      <w:proofErr w:type="spellEnd"/>
      <w:r w:rsidRPr="006B634C">
        <w:rPr>
          <w:rStyle w:val="Strong"/>
          <w:b w:val="0"/>
        </w:rPr>
        <w:t>”. Trīs gadu laikā paredzēts sagatavot vairāk nekā 150 STEM priekšmetu skolotāju.</w:t>
      </w:r>
    </w:p>
    <w:p w14:paraId="4CC307EA" w14:textId="3624E488" w:rsidR="003229C8" w:rsidRPr="006B634C" w:rsidRDefault="003229C8" w:rsidP="003229C8">
      <w:pPr>
        <w:spacing w:after="120"/>
        <w:jc w:val="both"/>
        <w:rPr>
          <w:rFonts w:ascii="Aptos Narrow" w:hAnsi="Aptos Narrow"/>
          <w:b/>
          <w:color w:val="5F497A" w:themeColor="accent4" w:themeShade="BF"/>
          <w:sz w:val="28"/>
          <w:szCs w:val="28"/>
        </w:rPr>
      </w:pPr>
      <w:r w:rsidRPr="006B634C">
        <w:rPr>
          <w:rFonts w:cs="Calibri Light"/>
          <w:b/>
          <w:bCs/>
          <w:szCs w:val="20"/>
        </w:rPr>
        <w:t>Atbalsts izglītojamo individuālo kompetenču un talantu attīstībai</w:t>
      </w:r>
      <w:r w:rsidR="006B634C" w:rsidRPr="006B634C">
        <w:rPr>
          <w:rFonts w:cs="Calibri Light"/>
          <w:b/>
          <w:bCs/>
          <w:szCs w:val="20"/>
        </w:rPr>
        <w:t xml:space="preserve">. </w:t>
      </w:r>
      <w:r w:rsidRPr="00BB1E54">
        <w:rPr>
          <w:rFonts w:cs="Calibri Light"/>
          <w:szCs w:val="20"/>
        </w:rPr>
        <w:t xml:space="preserve">Ar ESF atbalstu īstenoti pasākumi skolēnu kompetenču attīstībai galvenokārt STEM jomā, gan sniedzot atbalstu padziļinātai mācību satura apguvei, gan paplašinot interešu izglītības iespējas pamatizglītībā. Līdz 2023. gada decembrim pasākumos iesaistīti vairāk kā 195 tūkst. skolēnu. Bez tam tiek nodrošināts arī atbalsts nacionāla un starptautiska mēroga pasākumu īstenošanai izglītojamo talantu attīstībai. Nodrošināta gan mācību priekšmetu olimpiāžu un zinātnisko konkursu norise valsts un starptautiskā līmenī, gan sniegts atbalsts talantīgu izglītojamo attīstībai un pedagogu profesionālajai pilnveidei darbam ar talantīgiem izglītojamiem, t.sk. meiteņu sasniegumu un talantu attīstībai STEM jomā. </w:t>
      </w:r>
      <w:r w:rsidRPr="00BB1E54">
        <w:rPr>
          <w:rFonts w:eastAsia="Times New Roman" w:cs="Calibri Light"/>
          <w:szCs w:val="20"/>
          <w:lang w:eastAsia="lv-LV"/>
        </w:rPr>
        <w:t>Laika posmā no 2017. gada līdz 2023. gadam 760 izglītojamie ir piedalījušies 144 starptautiskos pasākumos, to skaitā ieguvuši 28 zelta, 93 sudraba un 187 bronzas medaļas un 73 atzinības rakstus starptautiskajās mācību priekšmetu olimpiādēs un zinātniski pētniecisko darbu konkursos</w:t>
      </w:r>
      <w:r w:rsidRPr="00BB1E54">
        <w:rPr>
          <w:rStyle w:val="FootnoteReference"/>
          <w:rFonts w:eastAsia="Times New Roman" w:cs="Calibri Light"/>
          <w:szCs w:val="20"/>
          <w:lang w:eastAsia="lv-LV"/>
        </w:rPr>
        <w:footnoteReference w:id="20"/>
      </w:r>
      <w:r w:rsidRPr="00BB1E54">
        <w:rPr>
          <w:rFonts w:eastAsia="Times New Roman" w:cs="Calibri Light"/>
          <w:szCs w:val="20"/>
          <w:lang w:eastAsia="lv-LV"/>
        </w:rPr>
        <w:t xml:space="preserve">. </w:t>
      </w:r>
      <w:r w:rsidRPr="00BB1E54">
        <w:t xml:space="preserve">Turpmāka mācību priekšmetu olimpiāžu un skolēnu zinātniskās pētniecības darbības finansēšana plānota ar IZM pārziņā esošo ES fondu 2021.–2027. gadam atbalstu, kuru īstenos Valsts izglītības satura centrs. </w:t>
      </w:r>
    </w:p>
    <w:p w14:paraId="71137F6F" w14:textId="2AB612FE" w:rsidR="003229C8" w:rsidRPr="006B634C" w:rsidRDefault="003229C8" w:rsidP="003229C8">
      <w:pPr>
        <w:spacing w:after="120"/>
        <w:jc w:val="both"/>
        <w:rPr>
          <w:rFonts w:ascii="Aptos Narrow" w:hAnsi="Aptos Narrow"/>
          <w:b/>
          <w:color w:val="5F497A" w:themeColor="accent4" w:themeShade="BF"/>
          <w:sz w:val="28"/>
          <w:szCs w:val="28"/>
        </w:rPr>
      </w:pPr>
      <w:r w:rsidRPr="006B634C">
        <w:rPr>
          <w:b/>
          <w:szCs w:val="20"/>
        </w:rPr>
        <w:t>Atbalsts priekšlaicīgas mācību pārtraukšanas samazināšanai</w:t>
      </w:r>
      <w:r w:rsidR="006B634C" w:rsidRPr="006B634C">
        <w:rPr>
          <w:b/>
          <w:szCs w:val="20"/>
        </w:rPr>
        <w:t>.</w:t>
      </w:r>
      <w:r w:rsidR="006B634C">
        <w:rPr>
          <w:rFonts w:ascii="Aptos Narrow" w:hAnsi="Aptos Narrow"/>
          <w:b/>
          <w:color w:val="5F497A" w:themeColor="accent4" w:themeShade="BF"/>
          <w:sz w:val="28"/>
          <w:szCs w:val="28"/>
        </w:rPr>
        <w:t xml:space="preserve"> </w:t>
      </w:r>
      <w:r w:rsidRPr="00BB1E54">
        <w:rPr>
          <w:bCs/>
          <w:szCs w:val="20"/>
        </w:rPr>
        <w:t>Ar ES fondu atbalstu tiek īstenoti preventīvi un intervences pasākumi,</w:t>
      </w:r>
      <w:r w:rsidRPr="00BB1E54">
        <w:rPr>
          <w:bCs/>
        </w:rPr>
        <w:t xml:space="preserve"> </w:t>
      </w:r>
      <w:r w:rsidRPr="00BB1E54">
        <w:rPr>
          <w:bCs/>
          <w:szCs w:val="20"/>
        </w:rPr>
        <w:t xml:space="preserve">iesaistot pašvaldības, skolas, pedagogus </w:t>
      </w:r>
      <w:r w:rsidRPr="00BB1E54">
        <w:rPr>
          <w:szCs w:val="20"/>
        </w:rPr>
        <w:t>un vecākus, lai laikus identificētu bērnus un jauniešus ar risku pārtraukt mācības un sniegtu viņiem personalizētu atbalstu.</w:t>
      </w:r>
      <w:r w:rsidRPr="00BB1E54">
        <w:t xml:space="preserve"> </w:t>
      </w:r>
      <w:r w:rsidRPr="00BB1E54">
        <w:rPr>
          <w:bCs/>
          <w:szCs w:val="20"/>
        </w:rPr>
        <w:t xml:space="preserve">Nodrošināts ekonomisks atbalsts (kompensācija sabiedriskā transporta, dienesta viesnīcas, ēdināšanas izdevumiem, individuālo mācību līdzekļu iegādei u.c. </w:t>
      </w:r>
      <w:r w:rsidRPr="00BB1E54">
        <w:rPr>
          <w:szCs w:val="20"/>
        </w:rPr>
        <w:t xml:space="preserve">izdevumiem), individuāls konsultatīvs atbalsts (psihologu, logopēdu u.c. speciālistu iesaiste) un konsultācijas mācību priekšmetos, tai skaitā STEM. </w:t>
      </w:r>
      <w:r w:rsidRPr="00BB1E54">
        <w:rPr>
          <w:rFonts w:cs="Calibri Light"/>
          <w:szCs w:val="20"/>
        </w:rPr>
        <w:t>2023. gadā noslēdzās</w:t>
      </w:r>
      <w:r w:rsidRPr="00BB1E54">
        <w:rPr>
          <w:rFonts w:cs="Calibri Light"/>
          <w:szCs w:val="20"/>
          <w:shd w:val="clear" w:color="auto" w:fill="FFFFFF"/>
        </w:rPr>
        <w:t xml:space="preserve"> 2017. gadā uzsāktais Izglītības kvalitātes valsts dienesta ESF projekts “Atbalsts priekšlaicīgas mācību pārtraukšanas samazināšanai”</w:t>
      </w:r>
      <w:r w:rsidRPr="00BB1E54">
        <w:t xml:space="preserve"> </w:t>
      </w:r>
      <w:r w:rsidRPr="00BB1E54">
        <w:rPr>
          <w:rFonts w:cs="Calibri Light"/>
          <w:szCs w:val="20"/>
          <w:shd w:val="clear" w:color="auto" w:fill="FFFFFF"/>
        </w:rPr>
        <w:t>(</w:t>
      </w:r>
      <w:proofErr w:type="spellStart"/>
      <w:r w:rsidRPr="00BB1E54">
        <w:rPr>
          <w:rFonts w:cs="Calibri Light"/>
          <w:szCs w:val="20"/>
          <w:shd w:val="clear" w:color="auto" w:fill="FFFFFF"/>
        </w:rPr>
        <w:t>PuMPuRS</w:t>
      </w:r>
      <w:proofErr w:type="spellEnd"/>
      <w:r w:rsidRPr="00BB1E54">
        <w:rPr>
          <w:rFonts w:cs="Calibri Light"/>
          <w:szCs w:val="20"/>
          <w:shd w:val="clear" w:color="auto" w:fill="FFFFFF"/>
        </w:rPr>
        <w:t>), kura ietvaros</w:t>
      </w:r>
      <w:r w:rsidRPr="00BB1E54">
        <w:rPr>
          <w:rStyle w:val="Emphasis"/>
          <w:rFonts w:cs="Calibri Light"/>
          <w:shd w:val="clear" w:color="auto" w:fill="FFFFFF"/>
        </w:rPr>
        <w:t xml:space="preserve"> </w:t>
      </w:r>
      <w:r w:rsidRPr="00BB1E54">
        <w:rPr>
          <w:rFonts w:cs="Calibri Light"/>
          <w:szCs w:val="20"/>
          <w:shd w:val="clear" w:color="auto" w:fill="FFFFFF"/>
        </w:rPr>
        <w:t xml:space="preserve">atbalstīti ap 50 tūkst. skolēnu 599 izglītības iestādēs. Projekta īstenošanas gaitā par sadarbības partneriem kļuva 41 pašvaldība. Atbalsts tika sniegts arī izglītības iestāžu pedagogiem un atbalsta personālam. Lai nodrošinātu projekta ilgtspēju, pašvaldībās ir izstrādāti priekšlaicīgas mācību </w:t>
      </w:r>
      <w:proofErr w:type="spellStart"/>
      <w:r w:rsidRPr="00BB1E54">
        <w:rPr>
          <w:rFonts w:cs="Calibri Light"/>
          <w:szCs w:val="20"/>
          <w:shd w:val="clear" w:color="auto" w:fill="FFFFFF"/>
        </w:rPr>
        <w:t>pārtr</w:t>
      </w:r>
      <w:proofErr w:type="spellEnd"/>
      <w:r w:rsidR="00E37464">
        <w:rPr>
          <w:rFonts w:cs="Calibri Light"/>
          <w:szCs w:val="20"/>
          <w:shd w:val="clear" w:color="auto" w:fill="FFFFFF"/>
        </w:rPr>
        <w:t>)</w:t>
      </w:r>
      <w:proofErr w:type="spellStart"/>
      <w:r w:rsidRPr="00BB1E54">
        <w:rPr>
          <w:rFonts w:cs="Calibri Light"/>
          <w:szCs w:val="20"/>
          <w:shd w:val="clear" w:color="auto" w:fill="FFFFFF"/>
        </w:rPr>
        <w:t>aukšanas</w:t>
      </w:r>
      <w:proofErr w:type="spellEnd"/>
      <w:r w:rsidRPr="00BB1E54">
        <w:rPr>
          <w:rFonts w:cs="Calibri Light"/>
          <w:szCs w:val="20"/>
          <w:shd w:val="clear" w:color="auto" w:fill="FFFFFF"/>
        </w:rPr>
        <w:t xml:space="preserve"> </w:t>
      </w:r>
      <w:proofErr w:type="spellStart"/>
      <w:r w:rsidRPr="00BB1E54">
        <w:rPr>
          <w:rFonts w:cs="Calibri Light"/>
          <w:szCs w:val="20"/>
          <w:shd w:val="clear" w:color="auto" w:fill="FFFFFF"/>
        </w:rPr>
        <w:t>prevencijas</w:t>
      </w:r>
      <w:proofErr w:type="spellEnd"/>
      <w:r w:rsidRPr="00BB1E54">
        <w:rPr>
          <w:rFonts w:cs="Calibri Light"/>
          <w:szCs w:val="20"/>
          <w:shd w:val="clear" w:color="auto" w:fill="FFFFFF"/>
        </w:rPr>
        <w:t xml:space="preserve"> sistēmas un ieviešanas plāni 2024.-2028. gadam.</w:t>
      </w:r>
    </w:p>
    <w:p w14:paraId="140CC6F4" w14:textId="77777777" w:rsidR="003229C8" w:rsidRPr="00BB1E54" w:rsidRDefault="003229C8" w:rsidP="003229C8">
      <w:pPr>
        <w:spacing w:after="120"/>
        <w:jc w:val="both"/>
        <w:rPr>
          <w:szCs w:val="20"/>
        </w:rPr>
      </w:pPr>
      <w:bookmarkStart w:id="87" w:name="_Hlk163216278"/>
      <w:r w:rsidRPr="00BB1E54">
        <w:rPr>
          <w:szCs w:val="20"/>
        </w:rPr>
        <w:t xml:space="preserve">2021.–2027. gada ES struktūrfondu plānošanas periodā ieguldījumi paredzēti integrētas “skola-kopiena” sadarbības programmas īstenošanai atstumtības riska mazināšanai izglītības iestādēs. Plānotā atbalsta mērķis ir </w:t>
      </w:r>
      <w:r w:rsidRPr="00BB1E54">
        <w:rPr>
          <w:szCs w:val="20"/>
        </w:rPr>
        <w:lastRenderedPageBreak/>
        <w:t>turpināt attīstīt pašvaldības izglītības ekosistēmas pieeju, veicinot starpinstitūciju sadarbību un izglītojamā vecāku iesaisti izglītības procesā, tādējādi nodrošinot koordinētu rīcību sociālās atstumtības un priekšlaicīgas mācību pārtraukšanas riska samazināšanu izglītojamiem un sekmējot vispārējās izglītības satura apguvi.</w:t>
      </w:r>
    </w:p>
    <w:p w14:paraId="49393B68" w14:textId="58A64E93" w:rsidR="003229C8" w:rsidRPr="00BB1E54" w:rsidRDefault="003229C8" w:rsidP="003229C8">
      <w:pPr>
        <w:spacing w:after="120"/>
        <w:jc w:val="both"/>
        <w:rPr>
          <w:rStyle w:val="normaltextrun"/>
        </w:rPr>
      </w:pPr>
      <w:r w:rsidRPr="00BB1E54">
        <w:rPr>
          <w:rStyle w:val="normaltextrun"/>
        </w:rPr>
        <w:t>Skolēniem, kuri 9. klasē nenokārto centralizētos eksāmenus, lai iegūtu pamatizglītību ir pienākums atkārtoti mācīties 9. klasē. Šobrīd notiek diskusijas par IZM iniciatīvu ieviest izlīdzinošo mācību gadu, kura laikā eksāmenus nenokār</w:t>
      </w:r>
      <w:r w:rsidR="007A679C">
        <w:rPr>
          <w:rStyle w:val="normaltextrun"/>
        </w:rPr>
        <w:t>t</w:t>
      </w:r>
      <w:r w:rsidRPr="00BB1E54">
        <w:rPr>
          <w:rStyle w:val="normaltextrun"/>
        </w:rPr>
        <w:t xml:space="preserve">ojušie </w:t>
      </w:r>
      <w:proofErr w:type="spellStart"/>
      <w:r w:rsidRPr="00BB1E54">
        <w:rPr>
          <w:rStyle w:val="normaltextrun"/>
        </w:rPr>
        <w:t>pamatskolēni</w:t>
      </w:r>
      <w:proofErr w:type="spellEnd"/>
      <w:r w:rsidRPr="00BB1E54">
        <w:rPr>
          <w:rStyle w:val="normaltextrun"/>
        </w:rPr>
        <w:t xml:space="preserve"> apgūtu ne tikai tos priekšmetus, kuros viņa zināšanas un prasmes bija nepietiekamas, bet mācītos arī profesionālās </w:t>
      </w:r>
      <w:r w:rsidR="005E5D04">
        <w:rPr>
          <w:rStyle w:val="normaltextrun"/>
        </w:rPr>
        <w:t xml:space="preserve"> orientācijas </w:t>
      </w:r>
      <w:r w:rsidRPr="00BB1E54">
        <w:rPr>
          <w:rStyle w:val="normaltextrun"/>
        </w:rPr>
        <w:t>priekšmetus.</w:t>
      </w:r>
    </w:p>
    <w:p w14:paraId="33A8EA89" w14:textId="6DC16D2C" w:rsidR="003229C8" w:rsidRPr="00BB1E54" w:rsidRDefault="003229C8" w:rsidP="003229C8">
      <w:pPr>
        <w:spacing w:after="120"/>
        <w:jc w:val="both"/>
        <w:rPr>
          <w:szCs w:val="20"/>
        </w:rPr>
      </w:pPr>
      <w:r w:rsidRPr="00BB1E54">
        <w:rPr>
          <w:szCs w:val="20"/>
        </w:rPr>
        <w:t xml:space="preserve">Projekta “PROTI un DARI!” ietvaros kopš 2014. gada atbalsts sniegts vairāk nekā 5 tūkst. </w:t>
      </w:r>
      <w:r w:rsidR="00E37464" w:rsidRPr="00BB1E54">
        <w:rPr>
          <w:szCs w:val="20"/>
        </w:rPr>
        <w:t>jauniešiem</w:t>
      </w:r>
      <w:r w:rsidR="00E37464">
        <w:rPr>
          <w:szCs w:val="20"/>
        </w:rPr>
        <w:t xml:space="preserve"> </w:t>
      </w:r>
      <w:r w:rsidR="00E37464" w:rsidRPr="00BB1E54">
        <w:rPr>
          <w:szCs w:val="20"/>
        </w:rPr>
        <w:t>(vecumā 15-29 gadi</w:t>
      </w:r>
      <w:r w:rsidR="00E37464">
        <w:rPr>
          <w:szCs w:val="20"/>
        </w:rPr>
        <w:t>)</w:t>
      </w:r>
      <w:r w:rsidRPr="00BB1E54">
        <w:rPr>
          <w:szCs w:val="20"/>
        </w:rPr>
        <w:t xml:space="preserve"> NEET</w:t>
      </w:r>
      <w:r w:rsidR="00E37464">
        <w:rPr>
          <w:szCs w:val="20"/>
        </w:rPr>
        <w:t xml:space="preserve"> situācijā </w:t>
      </w:r>
      <w:r w:rsidR="00E37464" w:rsidRPr="00E37464">
        <w:rPr>
          <w:szCs w:val="20"/>
        </w:rPr>
        <w:t>(nav iesaistīts ne nodarbinātībā, ne izglītībā, ne mācībās)</w:t>
      </w:r>
      <w:r w:rsidRPr="00BB1E54">
        <w:rPr>
          <w:szCs w:val="20"/>
        </w:rPr>
        <w:t>.</w:t>
      </w:r>
      <w:r w:rsidRPr="00BB1E54">
        <w:t xml:space="preserve"> Ar ESF+ līdzfinansējumu paredzēts turpināt sekmēt NEET</w:t>
      </w:r>
      <w:r w:rsidR="00E37464">
        <w:t xml:space="preserve"> </w:t>
      </w:r>
      <w:r w:rsidRPr="00BB1E54">
        <w:t xml:space="preserve">jauniešu integrēšanos izglītībā un nodarbinātībā. </w:t>
      </w:r>
      <w:r w:rsidRPr="00BB1E54">
        <w:rPr>
          <w:szCs w:val="20"/>
        </w:rPr>
        <w:t>Līdz 2027. gadam pasākumos plānots iesaistīt 2250 jauniešus.</w:t>
      </w:r>
      <w:bookmarkEnd w:id="87"/>
    </w:p>
    <w:p w14:paraId="723A56DE" w14:textId="30E753A7" w:rsidR="003229C8" w:rsidRPr="006B634C" w:rsidRDefault="003229C8" w:rsidP="003229C8">
      <w:pPr>
        <w:spacing w:after="120"/>
        <w:jc w:val="both"/>
        <w:rPr>
          <w:rStyle w:val="normaltextrun"/>
          <w:rFonts w:ascii="Aptos Narrow" w:hAnsi="Aptos Narrow"/>
          <w:b/>
          <w:bCs/>
          <w:color w:val="5F497A" w:themeColor="accent4" w:themeShade="BF"/>
          <w:sz w:val="28"/>
          <w:szCs w:val="28"/>
        </w:rPr>
      </w:pPr>
      <w:r w:rsidRPr="006B634C">
        <w:rPr>
          <w:rStyle w:val="normaltextrun"/>
          <w:b/>
          <w:bCs/>
        </w:rPr>
        <w:t>Iekļaujošas (speciālās) izglītības nostiprināšana</w:t>
      </w:r>
      <w:r w:rsidR="006B634C" w:rsidRPr="006B634C">
        <w:rPr>
          <w:rStyle w:val="normaltextrun"/>
          <w:b/>
          <w:bCs/>
        </w:rPr>
        <w:t>.</w:t>
      </w:r>
      <w:r w:rsidR="006B634C">
        <w:rPr>
          <w:rFonts w:ascii="Aptos Narrow" w:hAnsi="Aptos Narrow"/>
          <w:b/>
          <w:bCs/>
          <w:color w:val="5F497A" w:themeColor="accent4" w:themeShade="BF"/>
          <w:sz w:val="28"/>
          <w:szCs w:val="28"/>
        </w:rPr>
        <w:t xml:space="preserve"> </w:t>
      </w:r>
      <w:r w:rsidRPr="00BB1E54">
        <w:rPr>
          <w:rStyle w:val="normaltextrun"/>
        </w:rPr>
        <w:t xml:space="preserve">Nodrošinot iekļaujošās izglītības pieejamību, 2023./2024. mācību gadā 365 vispārējās izglītības iestādes īsteno speciālās izglītības programmas. Valstī darbojas 10 speciālās izglītības iestādes attīstības centri. </w:t>
      </w:r>
      <w:r w:rsidRPr="00BB1E54">
        <w:rPr>
          <w:rStyle w:val="normaltextrun"/>
          <w:color w:val="000000"/>
          <w:bdr w:val="none" w:sz="0" w:space="0" w:color="auto" w:frame="1"/>
        </w:rPr>
        <w:t xml:space="preserve">ES fondu </w:t>
      </w:r>
      <w:r w:rsidRPr="00BB1E54">
        <w:rPr>
          <w:rStyle w:val="normaltextrun"/>
          <w:color w:val="000000"/>
          <w:shd w:val="clear" w:color="auto" w:fill="FFFFFF"/>
        </w:rPr>
        <w:t xml:space="preserve">2021.–2027. gadam plānošanas perioda </w:t>
      </w:r>
      <w:r w:rsidRPr="00BB1E54">
        <w:rPr>
          <w:rStyle w:val="normaltextrun"/>
          <w:color w:val="000000"/>
          <w:bdr w:val="none" w:sz="0" w:space="0" w:color="auto" w:frame="1"/>
        </w:rPr>
        <w:t xml:space="preserve">ietvaros paredzēta infrastruktūras un mācību vides pilnveide efektīvas, kvalitatīvas un mūsdienīgas izglītības īstenošanai speciālās izglītības iestādēs. </w:t>
      </w:r>
      <w:r w:rsidRPr="00BB1E54">
        <w:rPr>
          <w:rStyle w:val="normaltextrun"/>
          <w:color w:val="000000"/>
          <w:shd w:val="clear" w:color="auto" w:fill="FFFFFF"/>
        </w:rPr>
        <w:t xml:space="preserve">Lai paaugstinātu speciālās izglītības iestāžu kapacitāti kvalitatīvas speciālās izglītības nodrošināšanā, līdz 2029. gada beigām paredzēts sakārtot speciālās izglītības iestāžu tīklu, uzlabot mācību vidi, pilnveidot materiāltehnisko un mācību līdzekļu nodrošinājumu. Paredzēts, ka katrā pašvaldībā pēc 2025. gada 31. augusta darbojas ne vairāk kā viena speciālās izglītības iestāde (izņemot Rīgas </w:t>
      </w:r>
      <w:proofErr w:type="spellStart"/>
      <w:r w:rsidRPr="00BB1E54">
        <w:rPr>
          <w:rStyle w:val="normaltextrun"/>
          <w:color w:val="000000"/>
          <w:shd w:val="clear" w:color="auto" w:fill="FFFFFF"/>
        </w:rPr>
        <w:t>valstspilsētu</w:t>
      </w:r>
      <w:proofErr w:type="spellEnd"/>
      <w:r w:rsidRPr="00BB1E54">
        <w:rPr>
          <w:rStyle w:val="normaltextrun"/>
          <w:color w:val="000000"/>
          <w:shd w:val="clear" w:color="auto" w:fill="FFFFFF"/>
        </w:rPr>
        <w:t>), kas licencētas speciālās izglītības programmas īsteno vienuviet. Prioritāri atbalsts paredzēts speciālās izglītības attīstības centriem.</w:t>
      </w:r>
    </w:p>
    <w:bookmarkEnd w:id="83"/>
    <w:p w14:paraId="43237F54" w14:textId="7955E93E" w:rsidR="003229C8" w:rsidRPr="00BB1E54" w:rsidRDefault="003229C8" w:rsidP="00026013">
      <w:pPr>
        <w:spacing w:after="120"/>
        <w:jc w:val="both"/>
      </w:pPr>
      <w:r w:rsidRPr="00BB1E54">
        <w:rPr>
          <w:b/>
        </w:rPr>
        <w:t>Karjeras atbalsts</w:t>
      </w:r>
      <w:r w:rsidRPr="00BB1E54">
        <w:t xml:space="preserve"> palīdz skolēniem pieņemt apzinātu un motivētu lēmumu par savu turpmāko izglītības vai darba karjeru, tādējādi arī veicina izglītības priekšlaicīgas pārtraukšanas mazināšanu. Izglītības iestādes vai pašvaldības to iespēju robežās nodrošina pedagoga-karjeras konsultanta pakalpojumus un īsteno karjeras atbalsta pasākumus. </w:t>
      </w:r>
      <w:r w:rsidR="0013499C">
        <w:t>Valsts izglītības attīstības aģentūra (VIAA)</w:t>
      </w:r>
      <w:r w:rsidRPr="00BB1E54">
        <w:t xml:space="preserve"> nodrošina regulāru metodisko un informatīvo atbalstu karjeras </w:t>
      </w:r>
      <w:r w:rsidR="00C2672F">
        <w:t xml:space="preserve"> konsultantiem </w:t>
      </w:r>
      <w:r w:rsidRPr="00BB1E54">
        <w:t>izglītības iestādēs un pašvaldību izglītības pārvaldēs</w:t>
      </w:r>
      <w:r w:rsidR="00BF5D7D">
        <w:t>.</w:t>
      </w:r>
    </w:p>
    <w:p w14:paraId="43D89CF2" w14:textId="7B9A2EC1" w:rsidR="003229C8" w:rsidRPr="006B634C" w:rsidRDefault="003229C8" w:rsidP="00026013">
      <w:pPr>
        <w:spacing w:after="120"/>
        <w:jc w:val="both"/>
        <w:rPr>
          <w:rFonts w:ascii="Aptos Narrow" w:hAnsi="Aptos Narrow"/>
          <w:b/>
          <w:color w:val="5F497A" w:themeColor="accent4" w:themeShade="BF"/>
          <w:sz w:val="28"/>
          <w:szCs w:val="28"/>
        </w:rPr>
      </w:pPr>
      <w:r w:rsidRPr="006B634C">
        <w:rPr>
          <w:rFonts w:cs="Calibri Light"/>
          <w:b/>
          <w:bCs/>
          <w:szCs w:val="20"/>
        </w:rPr>
        <w:t>Valsts pārbaudījumu organizēšanas procesa pilnveide</w:t>
      </w:r>
      <w:r w:rsidR="006B634C" w:rsidRPr="006B634C">
        <w:rPr>
          <w:rFonts w:cs="Calibri Light"/>
          <w:b/>
          <w:bCs/>
          <w:szCs w:val="20"/>
        </w:rPr>
        <w:t>.</w:t>
      </w:r>
      <w:r w:rsidR="006B634C">
        <w:rPr>
          <w:rFonts w:ascii="Aptos Narrow" w:hAnsi="Aptos Narrow"/>
          <w:b/>
          <w:color w:val="5F497A" w:themeColor="accent4" w:themeShade="BF"/>
          <w:sz w:val="28"/>
          <w:szCs w:val="28"/>
        </w:rPr>
        <w:t xml:space="preserve"> </w:t>
      </w:r>
      <w:r w:rsidRPr="00BB1E54">
        <w:rPr>
          <w:rFonts w:cs="Calibri Light"/>
          <w:szCs w:val="20"/>
        </w:rPr>
        <w:t>2023. gadā noslēdzās projekta “Valsts pārbaudījumu organizēšanas procesa pilnveide” īstenošana, nodrošinot iespēju valsts pārbaudījumus vai to daļas kārtot e-vidē, uzlabojot informācijas apmaiņas un datu apstrādes iespējas. Projekta ietvaros pilnveidota Valsts pārbaudījumu informācijas sistēma un ieviesti jauni risinājumi, piemēram, valsts pārbaudījumu uzdevumu ievade sistēmā (uzdevumu bankas izveide) un attīstīti e-pakalpojumi. Sākot ar 2023. gadu centralizētie eksāmeni notiek tiešsaistē. Tāpat tiešsaistē tiek veikta centralizēto eksāmenu vērtēšana, un sagatavoti elektroniski parakstīti sertifikāti.</w:t>
      </w:r>
    </w:p>
    <w:p w14:paraId="5AC46054" w14:textId="6EA62C31" w:rsidR="003229C8" w:rsidRPr="006B634C" w:rsidRDefault="003229C8" w:rsidP="00026013">
      <w:pPr>
        <w:spacing w:after="120"/>
        <w:jc w:val="both"/>
        <w:rPr>
          <w:rFonts w:ascii="Aptos Narrow" w:hAnsi="Aptos Narrow"/>
          <w:b/>
          <w:bCs/>
          <w:color w:val="5F497A" w:themeColor="accent4" w:themeShade="BF"/>
          <w:sz w:val="28"/>
          <w:szCs w:val="28"/>
        </w:rPr>
      </w:pPr>
      <w:bookmarkStart w:id="88" w:name="_Hlk167352854"/>
      <w:r w:rsidRPr="006B634C">
        <w:rPr>
          <w:b/>
          <w:szCs w:val="20"/>
        </w:rPr>
        <w:t>Vispārējās izglītības iestāžu infrastruktūras modernizācija</w:t>
      </w:r>
      <w:bookmarkEnd w:id="88"/>
      <w:r w:rsidR="006B634C" w:rsidRPr="006B634C">
        <w:rPr>
          <w:b/>
          <w:szCs w:val="20"/>
        </w:rPr>
        <w:t>.</w:t>
      </w:r>
      <w:r w:rsidR="006B634C">
        <w:rPr>
          <w:rFonts w:ascii="Aptos Narrow" w:hAnsi="Aptos Narrow"/>
          <w:b/>
          <w:bCs/>
          <w:color w:val="5F497A" w:themeColor="accent4" w:themeShade="BF"/>
          <w:sz w:val="28"/>
          <w:szCs w:val="28"/>
        </w:rPr>
        <w:t xml:space="preserve"> </w:t>
      </w:r>
      <w:r w:rsidRPr="00BB1E54">
        <w:rPr>
          <w:bCs/>
          <w:szCs w:val="20"/>
        </w:rPr>
        <w:t>Piesaistot ERAF līdzfinansējumu līdz 2023. gada beigām modernizētas 92 pašvaldību dibinātas vispārējās izglītības iestādes, radot modernu, ergonomisku un higiēnas prasībām atbilstošu mācību vid</w:t>
      </w:r>
      <w:r w:rsidRPr="002C2AC9">
        <w:rPr>
          <w:b/>
          <w:szCs w:val="20"/>
        </w:rPr>
        <w:t>i, kas papildināta</w:t>
      </w:r>
      <w:r w:rsidRPr="00BB1E54">
        <w:rPr>
          <w:bCs/>
          <w:szCs w:val="20"/>
        </w:rPr>
        <w:t xml:space="preserve"> ar modernu, mācību procesam nepieciešamu IKT aprīkojumu un risinājumiem. Atsevišķās pašvaldībās, kurās vērojams izglītojamo skaita pieaugums un esošas infrastruktūras nepietiekamība, paredzēta arī jaunu izglītības iestāžu ēku būvniecība (piemēram, Ādažu un Ogres novada pašvaldībās), kā arī jaunu piebūvju būvniecība. </w:t>
      </w:r>
    </w:p>
    <w:p w14:paraId="0D15B63D" w14:textId="7682A29A" w:rsidR="00026013" w:rsidRPr="002C2AC9" w:rsidRDefault="003229C8" w:rsidP="002C2AC9">
      <w:pPr>
        <w:spacing w:after="120"/>
        <w:jc w:val="both"/>
        <w:rPr>
          <w:rFonts w:ascii="Aptos Narrow" w:hAnsi="Aptos Narrow"/>
          <w:b/>
          <w:bCs/>
          <w:color w:val="5F497A" w:themeColor="accent4" w:themeShade="BF"/>
          <w:sz w:val="28"/>
          <w:szCs w:val="28"/>
        </w:rPr>
      </w:pPr>
      <w:r w:rsidRPr="006B634C">
        <w:rPr>
          <w:b/>
          <w:bCs/>
          <w:lang w:eastAsia="lv-LV"/>
        </w:rPr>
        <w:t>Digitālās plaisas mazināšana vispārējā un profesionālajā vidējā izglītībā</w:t>
      </w:r>
      <w:r w:rsidR="006B634C" w:rsidRPr="006B634C">
        <w:rPr>
          <w:b/>
          <w:bCs/>
          <w:lang w:eastAsia="lv-LV"/>
        </w:rPr>
        <w:t>.</w:t>
      </w:r>
      <w:r w:rsidR="006B634C">
        <w:rPr>
          <w:rFonts w:ascii="Aptos Narrow" w:hAnsi="Aptos Narrow"/>
          <w:b/>
          <w:bCs/>
          <w:color w:val="5F497A" w:themeColor="accent4" w:themeShade="BF"/>
          <w:sz w:val="28"/>
          <w:szCs w:val="28"/>
        </w:rPr>
        <w:t xml:space="preserve"> </w:t>
      </w:r>
      <w:r w:rsidRPr="000A297A">
        <w:rPr>
          <w:lang w:eastAsia="lv-LV"/>
        </w:rPr>
        <w:t>Izstrādāta “Izglītības resursu uzskaites un monitoringa informācijas sistēma” (RUMIS) izglītības procesam nepieciešamo datoru un citu palīglīdzekļu reģistrēšanai un izsniegšanai skolēniem. 2021. gada 14. maijā augstāko valsts un Latvijas Pašvaldību savienības amatpersonu parakstītais sadarbības memorands “Dators ikvienam bērnam” paredz līdz 2025. gadam nodrošināt mācību procesam piemērotu datoru katram skolēnam un skolotājam, kā arī datoru bibliotēkas izveidi skolās. Ar REACT-EU pieejamo finansējumu 2023. gadā 524 vispārējās izglītības iestādes tika nodrošinātas ar 25,7 tūkst. datortehnikas vienībām 7.</w:t>
      </w:r>
      <w:r w:rsidR="000A297A">
        <w:rPr>
          <w:lang w:eastAsia="lv-LV"/>
        </w:rPr>
        <w:t>-</w:t>
      </w:r>
      <w:r w:rsidRPr="000A297A">
        <w:rPr>
          <w:lang w:eastAsia="lv-LV"/>
        </w:rPr>
        <w:t>9. klašu izglītojamajiem. ANM ietvaros tika iegādātas 35,8 tūkst. portatīvās datortehnikas vienības sociāli neaizsargātākajiem izglītojamiem. Datortehnika pārējām izglītojamo grupām, kā arī pedagogiem un atbalsta personālam, kas ir iesaistīts vispārējās izglītības nodrošināšanā, tiks iegādāta ES fondu 2021.-2027. gada plānošanas perioda ietvaros.</w:t>
      </w:r>
    </w:p>
    <w:p w14:paraId="18B9E83A" w14:textId="051A9445" w:rsidR="003229C8" w:rsidRPr="006B634C" w:rsidRDefault="003229C8" w:rsidP="00026013">
      <w:pPr>
        <w:spacing w:after="120"/>
        <w:jc w:val="both"/>
        <w:rPr>
          <w:rFonts w:ascii="Aptos Narrow" w:hAnsi="Aptos Narrow"/>
          <w:b/>
          <w:bCs/>
          <w:color w:val="5F497A" w:themeColor="accent4" w:themeShade="BF"/>
          <w:sz w:val="28"/>
          <w:szCs w:val="28"/>
        </w:rPr>
      </w:pPr>
      <w:r w:rsidRPr="006B634C">
        <w:rPr>
          <w:b/>
          <w:bCs/>
          <w:lang w:eastAsia="lv-LV"/>
        </w:rPr>
        <w:t>Mācībspēka prognozēšanas un nodarbinātības plānošanas sistēma</w:t>
      </w:r>
      <w:r w:rsidR="006B634C" w:rsidRPr="006B634C">
        <w:rPr>
          <w:b/>
          <w:bCs/>
          <w:lang w:eastAsia="lv-LV"/>
        </w:rPr>
        <w:t>.</w:t>
      </w:r>
      <w:r w:rsidR="006B634C">
        <w:rPr>
          <w:rFonts w:ascii="Aptos Narrow" w:hAnsi="Aptos Narrow"/>
          <w:b/>
          <w:bCs/>
          <w:color w:val="5F497A" w:themeColor="accent4" w:themeShade="BF"/>
          <w:sz w:val="28"/>
          <w:szCs w:val="28"/>
        </w:rPr>
        <w:t xml:space="preserve"> </w:t>
      </w:r>
      <w:r w:rsidRPr="00BB1E54">
        <w:rPr>
          <w:lang w:eastAsia="lv-LV"/>
        </w:rPr>
        <w:t>2023. gadā noslēdzās darbs pie pētījuma un analītiskā rīka izstrādes, kas ir priekšnosacījums pedagogu pieprasījuma un piedāvājuma prognozēšanas un nodarbinātības plānošanas sistēmas izveidei vispārējā un profesionālā izglītībā, kas dos iespēju laicīgi reaģēt uz sistēmas vajadzībām skolotāju sagatavošanā un profesionālās kompetences pilnveidē, pedagogu efektīvai nodarbinātības plānošanai izglītības iestādēs, atbalsta darbību plānošanai pašvaldības un valsts līmenī.</w:t>
      </w:r>
    </w:p>
    <w:p w14:paraId="2F0EA847" w14:textId="77777777" w:rsidR="003229C8" w:rsidRPr="00BB1E54" w:rsidRDefault="003229C8" w:rsidP="00026013">
      <w:pPr>
        <w:spacing w:after="120"/>
        <w:rPr>
          <w:lang w:eastAsia="lv-LV"/>
        </w:rPr>
      </w:pPr>
    </w:p>
    <w:p w14:paraId="605A6FE7" w14:textId="22DAC69D" w:rsidR="003229C8" w:rsidRPr="00BB1E54" w:rsidRDefault="003229C8" w:rsidP="00653B38">
      <w:pPr>
        <w:pStyle w:val="Heading3"/>
        <w:spacing w:after="240"/>
      </w:pPr>
      <w:bookmarkStart w:id="89" w:name="_Toc106366809"/>
      <w:bookmarkStart w:id="90" w:name="_Toc183620111"/>
      <w:r w:rsidRPr="00BB1E54">
        <w:lastRenderedPageBreak/>
        <w:t>4.</w:t>
      </w:r>
      <w:r w:rsidR="00296D35">
        <w:t>1</w:t>
      </w:r>
      <w:r w:rsidRPr="00BB1E54">
        <w:t>.2. Aktuālie pasākumi profesionālajā vidējā izglītībā</w:t>
      </w:r>
      <w:bookmarkEnd w:id="89"/>
      <w:bookmarkEnd w:id="90"/>
    </w:p>
    <w:p w14:paraId="0883CF08" w14:textId="7D7D07F3" w:rsidR="003229C8" w:rsidRPr="00BB1E54" w:rsidRDefault="003229C8" w:rsidP="00026013">
      <w:pPr>
        <w:spacing w:after="120"/>
        <w:jc w:val="both"/>
        <w:rPr>
          <w:rFonts w:eastAsiaTheme="minorHAnsi" w:cs="Calibri Light"/>
          <w:szCs w:val="20"/>
          <w:shd w:val="clear" w:color="auto" w:fill="FFFFFF"/>
        </w:rPr>
      </w:pPr>
      <w:r w:rsidRPr="00BB1E54">
        <w:rPr>
          <w:b/>
          <w:szCs w:val="20"/>
        </w:rPr>
        <w:t>Profesionālās izglītības satura reforma</w:t>
      </w:r>
      <w:r w:rsidRPr="00BB1E54">
        <w:rPr>
          <w:szCs w:val="20"/>
        </w:rPr>
        <w:t xml:space="preserve">, </w:t>
      </w:r>
      <w:r w:rsidRPr="00BB1E54">
        <w:rPr>
          <w:bCs/>
          <w:szCs w:val="20"/>
        </w:rPr>
        <w:t xml:space="preserve">kas tika uzsākta ES fondu 2014. – 2020. gada plānošanas periodā, ir noslēgusies, vienlaikus vairāku projektu ietvaros uzsāktās iniciatīvas, piemēram </w:t>
      </w:r>
      <w:r w:rsidR="00DC35CF">
        <w:rPr>
          <w:bCs/>
          <w:szCs w:val="20"/>
        </w:rPr>
        <w:t>DVB</w:t>
      </w:r>
      <w:r w:rsidRPr="00BB1E54">
        <w:rPr>
          <w:bCs/>
          <w:szCs w:val="20"/>
        </w:rPr>
        <w:t xml:space="preserve"> mācības, plānots turpināt un attīstīt ar ES fondu un citu finanšu instrumentu atbalstu. Profesionālās izglītības programmu īstenošanā ir ieviesta modulārā pieeja, kas izglītības iestādēm ļauj īstenot atsevišķi vienu vai vairākus moduļus un izsniegt apliecību par attiecīgā moduļa apguvi. Sākot</w:t>
      </w:r>
      <w:r w:rsidRPr="00BB1E54">
        <w:rPr>
          <w:szCs w:val="20"/>
        </w:rPr>
        <w:t xml:space="preserve"> ar 2023. gadu izglītības iestādes var uzņemt personas profesionālās izglītības programmās vēlākos posmos, lai turpinātu / pabeigtu mācības. Tiek izvērtēta un atzīta iepriekšējā izglītībā vai profesionālajā pieredzē iegūtā kompetence, lai persona īsākā laika periodā, individualizēti apgūtu tikai trūkstošās vispārīgās vai profesionālās kompetences konkrētās profesionālās kvalifikācijas ieguvei. </w:t>
      </w:r>
      <w:r w:rsidRPr="00BB1E54">
        <w:rPr>
          <w:rFonts w:eastAsiaTheme="minorHAnsi" w:cs="Calibri Light"/>
          <w:szCs w:val="20"/>
          <w:shd w:val="clear" w:color="auto" w:fill="FFFFFF"/>
        </w:rPr>
        <w:t>Līdz 2029. gadam paredzēts izstrādāt digitālu platformu “Profesionālo kvalifikāciju sistēma” (e-PKS) profesionālās izglītības satura infrastruktūras pārvaldībai un aktualizācijai, kas būs vienlīdz izmantojama gan sākotnējā profesionālajā izglītībā, gan pieaugušo profesionālajā tālākizglītībā un profesionālajā pilnveidē.</w:t>
      </w:r>
    </w:p>
    <w:p w14:paraId="43AA1EC7" w14:textId="77777777" w:rsidR="003229C8" w:rsidRPr="00BB1E54" w:rsidRDefault="003229C8" w:rsidP="00026013">
      <w:pPr>
        <w:spacing w:after="120"/>
        <w:jc w:val="both"/>
      </w:pPr>
      <w:r w:rsidRPr="00BB1E54">
        <w:t>2023. gadā publicētajā OECD pētījumā “</w:t>
      </w:r>
      <w:proofErr w:type="spellStart"/>
      <w:r w:rsidRPr="00BB1E54">
        <w:t>Education</w:t>
      </w:r>
      <w:proofErr w:type="spellEnd"/>
      <w:r w:rsidRPr="00BB1E54">
        <w:t xml:space="preserve"> </w:t>
      </w:r>
      <w:proofErr w:type="spellStart"/>
      <w:r w:rsidRPr="00BB1E54">
        <w:t>at</w:t>
      </w:r>
      <w:proofErr w:type="spellEnd"/>
      <w:r w:rsidRPr="00BB1E54">
        <w:t xml:space="preserve"> a </w:t>
      </w:r>
      <w:proofErr w:type="spellStart"/>
      <w:r w:rsidRPr="00BB1E54">
        <w:t>Glance</w:t>
      </w:r>
      <w:proofErr w:type="spellEnd"/>
      <w:r w:rsidRPr="00BB1E54">
        <w:t xml:space="preserve"> 2023” Latvijas profesionālas izglītības sistēma atzīta par vienu no efektīvākajām starp pētījuma dalībvalstīm.</w:t>
      </w:r>
    </w:p>
    <w:p w14:paraId="59322479" w14:textId="16207704" w:rsidR="00026013" w:rsidRPr="002C2AC9" w:rsidRDefault="003229C8" w:rsidP="00026013">
      <w:pPr>
        <w:spacing w:after="120"/>
        <w:jc w:val="both"/>
        <w:rPr>
          <w:rFonts w:ascii="Aptos Narrow" w:hAnsi="Aptos Narrow"/>
          <w:b/>
          <w:bCs/>
          <w:color w:val="5F497A" w:themeColor="accent4" w:themeShade="BF"/>
          <w:sz w:val="28"/>
          <w:szCs w:val="28"/>
        </w:rPr>
      </w:pPr>
      <w:r w:rsidRPr="006B634C">
        <w:rPr>
          <w:rFonts w:cs="Calibri Light"/>
          <w:b/>
          <w:szCs w:val="20"/>
        </w:rPr>
        <w:t>Izcilības un inovāciju attīstība profesionālajā izglītībā</w:t>
      </w:r>
      <w:r w:rsidR="006B634C" w:rsidRPr="006B634C">
        <w:rPr>
          <w:rFonts w:cs="Calibri Light"/>
          <w:b/>
          <w:szCs w:val="20"/>
        </w:rPr>
        <w:t>.</w:t>
      </w:r>
      <w:r w:rsidR="006B634C">
        <w:rPr>
          <w:rFonts w:ascii="Aptos Narrow" w:hAnsi="Aptos Narrow"/>
          <w:b/>
          <w:bCs/>
          <w:color w:val="5F497A" w:themeColor="accent4" w:themeShade="BF"/>
          <w:sz w:val="28"/>
          <w:szCs w:val="28"/>
        </w:rPr>
        <w:t xml:space="preserve"> </w:t>
      </w:r>
      <w:r w:rsidRPr="00BB1E54">
        <w:rPr>
          <w:rFonts w:cs="Calibri Light"/>
          <w:bCs/>
          <w:szCs w:val="20"/>
        </w:rPr>
        <w:t xml:space="preserve">Kopš 2017. gada ar ES fondu atbalstu Valsts izglītības attīstības aģentūra organizē nacionāla līmeņa profesionālās meistarības konkursu </w:t>
      </w:r>
      <w:proofErr w:type="spellStart"/>
      <w:r w:rsidRPr="00BB1E54">
        <w:rPr>
          <w:rFonts w:cs="Calibri Light"/>
          <w:i/>
          <w:iCs/>
          <w:szCs w:val="20"/>
        </w:rPr>
        <w:t>SkillsLatvia</w:t>
      </w:r>
      <w:proofErr w:type="spellEnd"/>
      <w:r w:rsidRPr="00BB1E54">
        <w:rPr>
          <w:rFonts w:cs="Calibri Light"/>
          <w:szCs w:val="20"/>
        </w:rPr>
        <w:t xml:space="preserve"> </w:t>
      </w:r>
      <w:r w:rsidRPr="00BB1E54">
        <w:rPr>
          <w:rFonts w:cs="Calibri Light"/>
          <w:bCs/>
          <w:szCs w:val="20"/>
        </w:rPr>
        <w:t xml:space="preserve">profesionālās izglītības audzēkņiem, kā arī sagatavo </w:t>
      </w:r>
      <w:r w:rsidRPr="00BB1E54">
        <w:rPr>
          <w:rFonts w:cs="Calibri Light"/>
          <w:szCs w:val="20"/>
        </w:rPr>
        <w:t>konkursantus dalībai starptautiskajos jauno profesionāļu meistarības konkursos “</w:t>
      </w:r>
      <w:proofErr w:type="spellStart"/>
      <w:r w:rsidRPr="00BB1E54">
        <w:rPr>
          <w:rFonts w:cs="Calibri Light"/>
          <w:szCs w:val="20"/>
        </w:rPr>
        <w:t>EuroSkills</w:t>
      </w:r>
      <w:proofErr w:type="spellEnd"/>
      <w:r w:rsidRPr="00BB1E54">
        <w:rPr>
          <w:rFonts w:cs="Calibri Light"/>
          <w:szCs w:val="20"/>
        </w:rPr>
        <w:t>” un “</w:t>
      </w:r>
      <w:proofErr w:type="spellStart"/>
      <w:r w:rsidRPr="00BB1E54">
        <w:rPr>
          <w:rFonts w:cs="Calibri Light"/>
          <w:szCs w:val="20"/>
        </w:rPr>
        <w:t>WorldSkills</w:t>
      </w:r>
      <w:proofErr w:type="spellEnd"/>
      <w:r w:rsidRPr="00BB1E54">
        <w:rPr>
          <w:rFonts w:cs="Calibri Light"/>
          <w:szCs w:val="20"/>
        </w:rPr>
        <w:t>”.</w:t>
      </w:r>
      <w:r w:rsidRPr="00BB1E54">
        <w:rPr>
          <w:rFonts w:cs="Calibri Light"/>
          <w:i/>
          <w:iCs/>
          <w:szCs w:val="20"/>
        </w:rPr>
        <w:t xml:space="preserve"> </w:t>
      </w:r>
      <w:r w:rsidRPr="00BB1E54">
        <w:rPr>
          <w:rFonts w:cs="Calibri Light"/>
          <w:szCs w:val="20"/>
        </w:rPr>
        <w:t>Arī turpmāk profesionālās izglītības iestādēs tiks sniegts atbalsts pedagogiem darbā ar talantīgajiem audzēkņiem profesionālo prasmju apguvē un pilnveidē.</w:t>
      </w:r>
    </w:p>
    <w:p w14:paraId="19268B33" w14:textId="0AFF4D8E" w:rsidR="00026013" w:rsidRPr="002C2AC9" w:rsidRDefault="003229C8" w:rsidP="00026013">
      <w:pPr>
        <w:spacing w:after="120"/>
        <w:jc w:val="both"/>
        <w:rPr>
          <w:rFonts w:ascii="Aptos Narrow" w:hAnsi="Aptos Narrow"/>
          <w:b/>
          <w:bCs/>
          <w:color w:val="5F497A" w:themeColor="accent4" w:themeShade="BF"/>
          <w:sz w:val="28"/>
          <w:szCs w:val="28"/>
        </w:rPr>
      </w:pPr>
      <w:r w:rsidRPr="006B634C">
        <w:rPr>
          <w:b/>
          <w:bCs/>
          <w:szCs w:val="20"/>
        </w:rPr>
        <w:t>Karjeras attīstības atbalsta pasākumu īstenošana</w:t>
      </w:r>
      <w:r w:rsidR="006B634C" w:rsidRPr="006B634C">
        <w:rPr>
          <w:b/>
          <w:bCs/>
          <w:szCs w:val="20"/>
        </w:rPr>
        <w:t>.</w:t>
      </w:r>
      <w:r w:rsidR="006B634C">
        <w:rPr>
          <w:rFonts w:ascii="Aptos Narrow" w:hAnsi="Aptos Narrow"/>
          <w:b/>
          <w:bCs/>
          <w:color w:val="5F497A" w:themeColor="accent4" w:themeShade="BF"/>
          <w:sz w:val="28"/>
          <w:szCs w:val="28"/>
        </w:rPr>
        <w:t xml:space="preserve"> </w:t>
      </w:r>
      <w:r w:rsidRPr="00BB1E54">
        <w:rPr>
          <w:szCs w:val="20"/>
        </w:rPr>
        <w:t xml:space="preserve">Turpinās karjeras atbalsta pasākumu īstenošana – uzņēmumu apmeklējumi, tikšanās ar absolventiem, mērķtiecīga prakses vietu izvēle u.c., iespēju robežās nodrošināts karjeras konsultanta amats tehnikumos un citās profesionālās izglītības iestādēs, audzēkņiem ir iespēja saņemt individuālas un grupu karjeras konsultācijas. </w:t>
      </w:r>
    </w:p>
    <w:p w14:paraId="5E913C79" w14:textId="16D04581" w:rsidR="0066775F" w:rsidRPr="002C2AC9" w:rsidRDefault="008B2057" w:rsidP="0066775F">
      <w:pPr>
        <w:spacing w:after="120"/>
        <w:jc w:val="both"/>
        <w:rPr>
          <w:rFonts w:ascii="Aptos Narrow" w:hAnsi="Aptos Narrow"/>
          <w:b/>
          <w:bCs/>
          <w:color w:val="5F497A" w:themeColor="accent4" w:themeShade="BF"/>
          <w:sz w:val="28"/>
          <w:szCs w:val="28"/>
        </w:rPr>
      </w:pPr>
      <w:r>
        <w:rPr>
          <w:rFonts w:eastAsia="Times New Roman" w:cs="Calibri Light"/>
          <w:b/>
          <w:bCs/>
          <w:szCs w:val="20"/>
          <w:lang w:eastAsia="lv-LV"/>
        </w:rPr>
        <w:t>DVB</w:t>
      </w:r>
      <w:r w:rsidR="003229C8" w:rsidRPr="006B634C">
        <w:rPr>
          <w:rFonts w:eastAsia="Times New Roman" w:cs="Calibri Light"/>
          <w:b/>
          <w:bCs/>
          <w:szCs w:val="20"/>
          <w:lang w:eastAsia="lv-LV"/>
        </w:rPr>
        <w:t xml:space="preserve"> mācību un prakšu īstenošanai profesionālajā izglītībā</w:t>
      </w:r>
      <w:r w:rsidR="006B634C" w:rsidRPr="006B634C">
        <w:rPr>
          <w:rFonts w:eastAsia="Times New Roman" w:cs="Calibri Light"/>
          <w:b/>
          <w:bCs/>
          <w:szCs w:val="20"/>
          <w:lang w:eastAsia="lv-LV"/>
        </w:rPr>
        <w:t>.</w:t>
      </w:r>
      <w:r w:rsidR="006B634C">
        <w:rPr>
          <w:rFonts w:ascii="Aptos Narrow" w:hAnsi="Aptos Narrow"/>
          <w:b/>
          <w:bCs/>
          <w:color w:val="5F497A" w:themeColor="accent4" w:themeShade="BF"/>
          <w:sz w:val="28"/>
          <w:szCs w:val="28"/>
        </w:rPr>
        <w:t xml:space="preserve"> </w:t>
      </w:r>
      <w:r w:rsidR="003229C8" w:rsidRPr="00BB1E54">
        <w:rPr>
          <w:rFonts w:eastAsia="Times New Roman" w:cs="Calibri Light"/>
          <w:szCs w:val="20"/>
          <w:lang w:eastAsia="lv-LV"/>
        </w:rPr>
        <w:t>2023. gadā bija pieejams papildu ES fondu finansējums,</w:t>
      </w:r>
      <w:r w:rsidR="003229C8" w:rsidRPr="00BB1E54">
        <w:rPr>
          <w:rFonts w:eastAsia="Times New Roman" w:cs="Calibri Light"/>
          <w:b/>
          <w:bCs/>
          <w:szCs w:val="20"/>
          <w:lang w:eastAsia="lv-LV"/>
        </w:rPr>
        <w:t xml:space="preserve"> </w:t>
      </w:r>
      <w:r w:rsidR="003229C8" w:rsidRPr="00BB1E54">
        <w:rPr>
          <w:rFonts w:eastAsia="Times New Roman" w:cs="Calibri Light"/>
          <w:szCs w:val="20"/>
          <w:lang w:eastAsia="lv-LV"/>
        </w:rPr>
        <w:t xml:space="preserve">nodrošinot iespēju papildus 650 izglītojamo iesaisti </w:t>
      </w:r>
      <w:r>
        <w:rPr>
          <w:rFonts w:eastAsia="Times New Roman" w:cs="Calibri Light"/>
          <w:szCs w:val="20"/>
          <w:lang w:eastAsia="lv-LV"/>
        </w:rPr>
        <w:t>DVB</w:t>
      </w:r>
      <w:r w:rsidR="003229C8" w:rsidRPr="00BB1E54">
        <w:rPr>
          <w:rFonts w:eastAsia="Times New Roman" w:cs="Calibri Light"/>
          <w:szCs w:val="20"/>
          <w:lang w:eastAsia="lv-LV"/>
        </w:rPr>
        <w:t xml:space="preserve"> mācībās un 1130 izglītojamo iesaisti mācību praksēs uzņēmumos. Kopš ES projekta uzsākšanas mācību praksēs un </w:t>
      </w:r>
      <w:r>
        <w:rPr>
          <w:rFonts w:eastAsia="Times New Roman" w:cs="Calibri Light"/>
          <w:szCs w:val="20"/>
          <w:lang w:eastAsia="lv-LV"/>
        </w:rPr>
        <w:t>DVB</w:t>
      </w:r>
      <w:r w:rsidR="003229C8" w:rsidRPr="00BB1E54">
        <w:rPr>
          <w:rFonts w:eastAsia="Times New Roman" w:cs="Calibri Light"/>
          <w:szCs w:val="20"/>
          <w:lang w:eastAsia="lv-LV"/>
        </w:rPr>
        <w:t xml:space="preserve"> mācībās iesaistījušies kopumā vairāk nekā 16 tūkst. audzēkņu, 37 profesionālās izglītības iestādes un vairāk nekā 2700 uzņēmumu.</w:t>
      </w:r>
      <w:r w:rsidR="003229C8" w:rsidRPr="00BB1E54">
        <w:rPr>
          <w:szCs w:val="20"/>
        </w:rPr>
        <w:t xml:space="preserve"> </w:t>
      </w:r>
      <w:r>
        <w:rPr>
          <w:szCs w:val="20"/>
        </w:rPr>
        <w:t>DVB</w:t>
      </w:r>
      <w:r w:rsidR="003229C8" w:rsidRPr="00BB1E54">
        <w:rPr>
          <w:szCs w:val="20"/>
        </w:rPr>
        <w:t xml:space="preserve"> mācību nostiprināšana</w:t>
      </w:r>
      <w:r w:rsidR="003229C8" w:rsidRPr="00BB1E54">
        <w:t xml:space="preserve"> </w:t>
      </w:r>
      <w:r w:rsidR="003229C8" w:rsidRPr="00BB1E54">
        <w:rPr>
          <w:szCs w:val="20"/>
        </w:rPr>
        <w:t>profesionālajā izglītībā tiks turpināta.</w:t>
      </w:r>
    </w:p>
    <w:p w14:paraId="50CB37B0" w14:textId="5AF1D82E" w:rsidR="0066775F" w:rsidRPr="002C2AC9" w:rsidRDefault="003229C8" w:rsidP="00026013">
      <w:pPr>
        <w:spacing w:after="120"/>
        <w:jc w:val="both"/>
        <w:rPr>
          <w:rFonts w:ascii="Aptos Narrow" w:hAnsi="Aptos Narrow"/>
          <w:b/>
          <w:bCs/>
          <w:color w:val="5F497A" w:themeColor="accent4" w:themeShade="BF"/>
          <w:sz w:val="28"/>
          <w:szCs w:val="28"/>
        </w:rPr>
      </w:pPr>
      <w:r w:rsidRPr="006B634C">
        <w:rPr>
          <w:b/>
          <w:bCs/>
        </w:rPr>
        <w:t>Profesionālās izglītības iestāžu infrastruktūras modernizācija</w:t>
      </w:r>
      <w:r w:rsidR="006B634C" w:rsidRPr="006B634C">
        <w:rPr>
          <w:b/>
          <w:bCs/>
        </w:rPr>
        <w:t>.</w:t>
      </w:r>
      <w:r w:rsidR="006B634C">
        <w:rPr>
          <w:rFonts w:ascii="Aptos Narrow" w:hAnsi="Aptos Narrow"/>
          <w:b/>
          <w:bCs/>
          <w:color w:val="5F497A" w:themeColor="accent4" w:themeShade="BF"/>
          <w:sz w:val="28"/>
          <w:szCs w:val="28"/>
        </w:rPr>
        <w:t xml:space="preserve"> </w:t>
      </w:r>
      <w:r w:rsidRPr="00BB1E54">
        <w:t xml:space="preserve">Ar ERAF atbalstu līdz šim veikti nozīmīgi uzlabojumi izglītības iestāžu mācību vidē, tai skaitā ar izglītības programmu īstenošanai nepieciešamajām iekārtām aprīkoti mācību kabineti, no jauna izveidoti mācību poligoni un darbnīcas, atjaunotas dienesta viesnīcas un sporta infrastruktūra. Modernizētas 66 izglītības programmas, kopējie ieguldījumi infrastruktūras modernizācijā ES fondu 2014. - 2020. gada plānošanas periodā bija 96,2 milj. EUR.  Turpmāk plānoti ieguldījumi 41,5 milj. EUR apmērā izglītības iestāžu mācību vidē nozarēm aktuālo prasmju apguvei, nodrošinot iepriekšējo investīciju ilgtspēju un rezultātu nostiprināšanu, tāpat arī IKT un digitālo risinājumu attīstībai, STEM mācību kabinetu aprīkojumam, kā arī energoefektivitātes paaugstināšanai izglītības iestāžu ēkās. </w:t>
      </w:r>
    </w:p>
    <w:p w14:paraId="5A1EA7E2" w14:textId="3D1A44F4" w:rsidR="003229C8" w:rsidRPr="006B634C" w:rsidRDefault="003229C8" w:rsidP="00026013">
      <w:pPr>
        <w:spacing w:after="120"/>
        <w:jc w:val="both"/>
        <w:rPr>
          <w:rFonts w:ascii="Aptos Narrow" w:hAnsi="Aptos Narrow"/>
          <w:b/>
          <w:bCs/>
          <w:color w:val="5F497A" w:themeColor="accent4" w:themeShade="BF"/>
          <w:sz w:val="28"/>
          <w:szCs w:val="28"/>
        </w:rPr>
      </w:pPr>
      <w:r w:rsidRPr="006B634C">
        <w:rPr>
          <w:b/>
          <w:bCs/>
        </w:rPr>
        <w:t>Sadarbības stiprināšana ar sociālajiem partneriem un nozares organizācijām</w:t>
      </w:r>
      <w:r w:rsidR="006B634C" w:rsidRPr="006B634C">
        <w:rPr>
          <w:b/>
          <w:bCs/>
        </w:rPr>
        <w:t>.</w:t>
      </w:r>
      <w:r w:rsidR="006B634C" w:rsidRPr="006B634C">
        <w:t xml:space="preserve"> </w:t>
      </w:r>
      <w:r w:rsidR="00BF5D7D">
        <w:t>L</w:t>
      </w:r>
      <w:r w:rsidRPr="00BB1E54">
        <w:t>ai nodrošinātu speciālistu sagatavošanu atbilstoši darba tirgus prasībām. Visās IZM padotībā esošajās profesionālajās izglītības iestādēs kopš 2016. gada sākuma darbojas koleģiāla padomdevēju institūciju – konvents. Tā mērķis ir veicināt profesionālās izglītības iestādes attīstību, nosakot tās darbības stratēģiskos virzienus, atbilstoši darba tirgus prasībām.</w:t>
      </w:r>
    </w:p>
    <w:p w14:paraId="651B7E23" w14:textId="77777777" w:rsidR="003229C8" w:rsidRPr="00BB1E54" w:rsidRDefault="003229C8" w:rsidP="00026013">
      <w:pPr>
        <w:spacing w:after="120"/>
        <w:jc w:val="both"/>
      </w:pPr>
      <w:r w:rsidRPr="00BB1E54">
        <w:t>Turpina darboties Nozaru ekspertu padomes (NEP), nozaru ekspertiem iesaistoties profesionālās izglītības satura attīstībā, īstenošanā un kvalifikācijas eksāmenu vērtēšanā, kā arī reformu īstenošanā profesionālajā izglītībā, t.sk. risinot jautājumus, kas saistās ar attiecīgās nozares speciālistu pieprasījumu un piedāvājumu darba tirgū.</w:t>
      </w:r>
    </w:p>
    <w:p w14:paraId="4C56F8F6" w14:textId="77777777" w:rsidR="0066775F" w:rsidRPr="00653B38" w:rsidRDefault="0066775F" w:rsidP="00653B38">
      <w:pPr>
        <w:spacing w:after="0"/>
        <w:jc w:val="both"/>
        <w:rPr>
          <w:sz w:val="16"/>
          <w:szCs w:val="18"/>
        </w:rPr>
      </w:pPr>
    </w:p>
    <w:p w14:paraId="55084F68" w14:textId="7673DD41" w:rsidR="003229C8" w:rsidRPr="00BB1E54" w:rsidRDefault="003229C8" w:rsidP="00653B38">
      <w:pPr>
        <w:pStyle w:val="Heading3"/>
        <w:spacing w:after="240"/>
        <w:rPr>
          <w:rStyle w:val="normaltextrun"/>
          <w:color w:val="000000" w:themeColor="text1"/>
        </w:rPr>
      </w:pPr>
      <w:bookmarkStart w:id="91" w:name="_Hlk103588225"/>
      <w:bookmarkStart w:id="92" w:name="_Toc106366810"/>
      <w:bookmarkStart w:id="93" w:name="_Toc183620112"/>
      <w:r w:rsidRPr="00BB1E54">
        <w:t>4.</w:t>
      </w:r>
      <w:r w:rsidR="00296D35">
        <w:t>1</w:t>
      </w:r>
      <w:r w:rsidRPr="00BB1E54">
        <w:t>.3. Aktuālie pasākumi augstākajā izglītībā</w:t>
      </w:r>
      <w:bookmarkEnd w:id="91"/>
      <w:bookmarkEnd w:id="92"/>
      <w:bookmarkEnd w:id="93"/>
    </w:p>
    <w:p w14:paraId="673A9FDF" w14:textId="3957089A" w:rsidR="003A549D" w:rsidRPr="002C2AC9" w:rsidRDefault="003229C8" w:rsidP="002C2AC9">
      <w:pPr>
        <w:spacing w:after="120"/>
        <w:jc w:val="both"/>
        <w:rPr>
          <w:rStyle w:val="normaltextrun"/>
          <w:rFonts w:ascii="Aptos Narrow" w:hAnsi="Aptos Narrow"/>
          <w:b/>
          <w:color w:val="5F497A" w:themeColor="accent4" w:themeShade="BF"/>
          <w:sz w:val="28"/>
          <w:szCs w:val="28"/>
        </w:rPr>
      </w:pPr>
      <w:r w:rsidRPr="006B634C">
        <w:rPr>
          <w:rStyle w:val="normaltextrun"/>
          <w:rFonts w:cs="Calibri Light"/>
          <w:b/>
          <w:bCs/>
          <w:color w:val="000000"/>
          <w:szCs w:val="20"/>
        </w:rPr>
        <w:t>Augstskolu iekšējās pārvaldības reforma</w:t>
      </w:r>
      <w:r w:rsidR="006B634C" w:rsidRPr="006B634C">
        <w:rPr>
          <w:rStyle w:val="normaltextrun"/>
          <w:rFonts w:cs="Calibri Light"/>
          <w:b/>
          <w:bCs/>
          <w:color w:val="000000"/>
          <w:szCs w:val="20"/>
        </w:rPr>
        <w:t>.</w:t>
      </w:r>
      <w:r w:rsidR="006B634C">
        <w:rPr>
          <w:rFonts w:ascii="Aptos Narrow" w:hAnsi="Aptos Narrow"/>
          <w:b/>
          <w:color w:val="5F497A" w:themeColor="accent4" w:themeShade="BF"/>
          <w:sz w:val="28"/>
          <w:szCs w:val="28"/>
        </w:rPr>
        <w:t xml:space="preserve"> </w:t>
      </w:r>
      <w:r w:rsidRPr="00BB1E54">
        <w:rPr>
          <w:rStyle w:val="normaltextrun"/>
          <w:rFonts w:cs="Calibri Light"/>
          <w:color w:val="000000"/>
          <w:szCs w:val="20"/>
        </w:rPr>
        <w:t>2023. gadā noslēdzās IZM īstenotais ESF projekts “Atbalsts valsts augstskolu padomju darbības uzsākšanai”, kura mērķis bija nodrošināt valsts augstskolu darbības nepārtrauktību, tām pārejot uz jaunu iekšējās pārvaldības modeli un nosakot tālākās stratēģiskās attīstības virzienus. Projekta ietvaros apstiprinātas 14 valsts dibinātu augstskolu stratēģiskās specializācijas, apstiprinātas un ar IZM saskaņotas 13 valsts dibinātu augstskolu attīstības stratēģijas un sniegts atbalsts 14 augstskolu izveidoto padomju darbības nodrošināšanai.</w:t>
      </w:r>
    </w:p>
    <w:p w14:paraId="05306F67" w14:textId="77FABF43" w:rsidR="003229C8" w:rsidRPr="006B634C" w:rsidRDefault="003229C8" w:rsidP="006B634C">
      <w:pPr>
        <w:spacing w:after="120"/>
        <w:jc w:val="both"/>
        <w:rPr>
          <w:rStyle w:val="eop"/>
          <w:rFonts w:ascii="Aptos Narrow" w:hAnsi="Aptos Narrow"/>
          <w:b/>
          <w:color w:val="5F497A" w:themeColor="accent4" w:themeShade="BF"/>
          <w:sz w:val="28"/>
          <w:szCs w:val="28"/>
        </w:rPr>
      </w:pPr>
      <w:proofErr w:type="spellStart"/>
      <w:r w:rsidRPr="006B634C">
        <w:rPr>
          <w:rStyle w:val="normaltextrun"/>
          <w:rFonts w:cs="Calibri Light"/>
          <w:b/>
          <w:bCs/>
          <w:color w:val="000000"/>
          <w:szCs w:val="20"/>
        </w:rPr>
        <w:lastRenderedPageBreak/>
        <w:t>Tenūras</w:t>
      </w:r>
      <w:proofErr w:type="spellEnd"/>
      <w:r w:rsidRPr="006B634C">
        <w:rPr>
          <w:rStyle w:val="normaltextrun"/>
          <w:rFonts w:cs="Calibri Light"/>
          <w:b/>
          <w:bCs/>
          <w:color w:val="000000"/>
          <w:szCs w:val="20"/>
        </w:rPr>
        <w:t xml:space="preserve"> profesūras fonda ieviešana</w:t>
      </w:r>
      <w:r w:rsidR="006B634C" w:rsidRPr="006B634C">
        <w:rPr>
          <w:rStyle w:val="normaltextrun"/>
          <w:rFonts w:cs="Calibri Light"/>
          <w:b/>
          <w:bCs/>
          <w:color w:val="000000"/>
          <w:szCs w:val="20"/>
        </w:rPr>
        <w:t>.</w:t>
      </w:r>
      <w:r w:rsidR="006B634C">
        <w:rPr>
          <w:rFonts w:ascii="Aptos Narrow" w:hAnsi="Aptos Narrow"/>
          <w:b/>
          <w:color w:val="5F497A" w:themeColor="accent4" w:themeShade="BF"/>
          <w:sz w:val="28"/>
          <w:szCs w:val="28"/>
        </w:rPr>
        <w:t xml:space="preserve"> </w:t>
      </w:r>
      <w:r w:rsidRPr="00BB1E54">
        <w:rPr>
          <w:rStyle w:val="normaltextrun"/>
          <w:rFonts w:cs="Calibri Light"/>
          <w:color w:val="000000"/>
          <w:szCs w:val="20"/>
        </w:rPr>
        <w:t xml:space="preserve">2023. gadā IZM uzsāka garantētās nodarbinātības jeb </w:t>
      </w:r>
      <w:proofErr w:type="spellStart"/>
      <w:r w:rsidRPr="00BB1E54">
        <w:rPr>
          <w:rStyle w:val="normaltextrun"/>
          <w:rFonts w:cs="Calibri Light"/>
          <w:color w:val="000000"/>
          <w:szCs w:val="20"/>
        </w:rPr>
        <w:t>tenūras</w:t>
      </w:r>
      <w:proofErr w:type="spellEnd"/>
      <w:r w:rsidRPr="00BB1E54">
        <w:rPr>
          <w:rStyle w:val="normaltextrun"/>
          <w:rFonts w:cs="Calibri Light"/>
          <w:color w:val="000000"/>
          <w:szCs w:val="20"/>
        </w:rPr>
        <w:t xml:space="preserve"> (no angļu val. </w:t>
      </w:r>
      <w:proofErr w:type="spellStart"/>
      <w:r w:rsidRPr="00BB1E54">
        <w:rPr>
          <w:rStyle w:val="normaltextrun"/>
          <w:rFonts w:cs="Calibri Light"/>
          <w:i/>
          <w:iCs/>
          <w:color w:val="000000"/>
          <w:szCs w:val="20"/>
        </w:rPr>
        <w:t>tenure</w:t>
      </w:r>
      <w:proofErr w:type="spellEnd"/>
      <w:r w:rsidRPr="00BB1E54">
        <w:rPr>
          <w:rStyle w:val="normaltextrun"/>
          <w:rFonts w:cs="Calibri Light"/>
          <w:color w:val="000000"/>
          <w:szCs w:val="20"/>
        </w:rPr>
        <w:t xml:space="preserve">) sistēmas ieviešanu Latvijā zinātnes universitātēs, vienlaicīgi nodrošinot visu zinātnes nozaru grupu vienmērīgu attīstību. </w:t>
      </w:r>
      <w:proofErr w:type="spellStart"/>
      <w:r w:rsidRPr="00BB1E54">
        <w:rPr>
          <w:rStyle w:val="normaltextrun"/>
          <w:rFonts w:cs="Calibri Light"/>
          <w:color w:val="000000"/>
          <w:szCs w:val="20"/>
        </w:rPr>
        <w:t>Tenūras</w:t>
      </w:r>
      <w:proofErr w:type="spellEnd"/>
      <w:r w:rsidRPr="00BB1E54">
        <w:rPr>
          <w:rStyle w:val="normaltextrun"/>
          <w:rFonts w:cs="Calibri Light"/>
          <w:color w:val="000000"/>
          <w:szCs w:val="20"/>
        </w:rPr>
        <w:t xml:space="preserve"> sistēmas ietvaros paredzēts vēlētajam akadēmiskajam personālam, iegūstot noteiktu akadēmisko amatu, piemēram, asociētā profesora vai profesora amatu, un izpildot iepriekš zināmus profesionālās un zinātniskās kvalifikācijas kritērijus, nodrošināt stabilu nodarbinātību ar beztermiņa darba līgumu pretstatā darba līguma slēgšanai tikai uz ievēlēšanas laiku – sešiem gadiem, kā tas ir šobrīd. Ņemot vērā, ka </w:t>
      </w:r>
      <w:proofErr w:type="spellStart"/>
      <w:r w:rsidRPr="00BB1E54">
        <w:rPr>
          <w:rStyle w:val="normaltextrun"/>
          <w:rFonts w:cs="Calibri Light"/>
          <w:color w:val="000000"/>
          <w:szCs w:val="20"/>
        </w:rPr>
        <w:t>tenūras</w:t>
      </w:r>
      <w:proofErr w:type="spellEnd"/>
      <w:r w:rsidRPr="00BB1E54">
        <w:rPr>
          <w:rStyle w:val="normaltextrun"/>
          <w:rFonts w:cs="Calibri Light"/>
          <w:color w:val="000000"/>
          <w:szCs w:val="20"/>
        </w:rPr>
        <w:t xml:space="preserve"> sistēma sekmīgi darbojas citās Eiropas valstīs, tas ir viens no risinājumiem, kā attīstīt </w:t>
      </w:r>
      <w:proofErr w:type="spellStart"/>
      <w:r w:rsidRPr="00BB1E54">
        <w:rPr>
          <w:rStyle w:val="normaltextrun"/>
          <w:rFonts w:cs="Calibri Light"/>
          <w:color w:val="000000"/>
          <w:szCs w:val="20"/>
        </w:rPr>
        <w:t>cilvēkkapitāla</w:t>
      </w:r>
      <w:proofErr w:type="spellEnd"/>
      <w:r w:rsidRPr="00BB1E54">
        <w:rPr>
          <w:rStyle w:val="normaltextrun"/>
          <w:rFonts w:cs="Calibri Light"/>
          <w:color w:val="000000"/>
          <w:szCs w:val="20"/>
        </w:rPr>
        <w:t xml:space="preserve"> attīstību pētniecībā un inovācijās Latvijā. </w:t>
      </w:r>
      <w:proofErr w:type="spellStart"/>
      <w:r w:rsidRPr="00BB1E54">
        <w:rPr>
          <w:rStyle w:val="normaltextrun"/>
          <w:rFonts w:cs="Calibri Light"/>
          <w:color w:val="000000"/>
          <w:szCs w:val="20"/>
        </w:rPr>
        <w:t>Tenūras</w:t>
      </w:r>
      <w:proofErr w:type="spellEnd"/>
      <w:r w:rsidRPr="00BB1E54">
        <w:rPr>
          <w:rStyle w:val="normaltextrun"/>
          <w:rFonts w:cs="Calibri Light"/>
          <w:color w:val="000000"/>
          <w:szCs w:val="20"/>
        </w:rPr>
        <w:t xml:space="preserve"> sistēmu plānots pilnībā ieviest 2024. gadā.</w:t>
      </w:r>
    </w:p>
    <w:p w14:paraId="26983C42" w14:textId="7185E960" w:rsidR="003A549D" w:rsidRPr="002C2AC9" w:rsidRDefault="003229C8" w:rsidP="002C2AC9">
      <w:pPr>
        <w:spacing w:after="120"/>
        <w:jc w:val="both"/>
        <w:rPr>
          <w:rStyle w:val="normaltextrun"/>
          <w:rFonts w:ascii="Aptos Narrow" w:hAnsi="Aptos Narrow"/>
          <w:b/>
          <w:bCs/>
          <w:color w:val="5F497A" w:themeColor="accent4" w:themeShade="BF"/>
          <w:sz w:val="28"/>
          <w:szCs w:val="28"/>
        </w:rPr>
      </w:pPr>
      <w:r w:rsidRPr="006B634C">
        <w:rPr>
          <w:rStyle w:val="normaltextrun"/>
          <w:rFonts w:cs="Calibri Light"/>
          <w:b/>
          <w:bCs/>
          <w:color w:val="000000"/>
          <w:szCs w:val="20"/>
        </w:rPr>
        <w:t>Pakāpeniska institucionālā finansējuma modeļa ieviešana</w:t>
      </w:r>
      <w:r w:rsidR="006B634C" w:rsidRPr="006B634C">
        <w:rPr>
          <w:rStyle w:val="normaltextrun"/>
          <w:rFonts w:cs="Calibri Light"/>
          <w:b/>
          <w:bCs/>
          <w:color w:val="000000"/>
          <w:szCs w:val="20"/>
        </w:rPr>
        <w:t>.</w:t>
      </w:r>
      <w:r w:rsidR="006B634C" w:rsidRPr="006B634C">
        <w:rPr>
          <w:rStyle w:val="normaltextrun"/>
          <w:rFonts w:cs="Calibri Light"/>
          <w:color w:val="000000"/>
          <w:szCs w:val="20"/>
        </w:rPr>
        <w:t xml:space="preserve"> </w:t>
      </w:r>
      <w:r w:rsidRPr="00BB1E54">
        <w:rPr>
          <w:rStyle w:val="normaltextrun"/>
          <w:rFonts w:cs="Calibri Light"/>
          <w:color w:val="000000"/>
          <w:szCs w:val="20"/>
        </w:rPr>
        <w:t xml:space="preserve">Grozījumi Augstskolu likumā, kas stājās spēkā 2024. gada 1. janvārī, paredz pakāpenisku institucionālā finansējuma modeļa (izmaiņas augstākās izglītības finansēšanas 1. pīlārā) ieviešanu Latvijā. Galvenais mērķis ir pilnveidot un modernizēt esošo valsts augstākās izglītības iestāžu finansēšanas modeli un principus, stiprinot atbilstību tautsaimniecības pieprasījumam. Paredzēts atteikties no tā, ka IZM un Augstākās izglītības padome </w:t>
      </w:r>
      <w:proofErr w:type="spellStart"/>
      <w:r w:rsidRPr="00BB1E54">
        <w:rPr>
          <w:rStyle w:val="normaltextrun"/>
          <w:rFonts w:cs="Calibri Light"/>
          <w:color w:val="000000"/>
          <w:szCs w:val="20"/>
        </w:rPr>
        <w:t>mikrolīmenī</w:t>
      </w:r>
      <w:proofErr w:type="spellEnd"/>
      <w:r w:rsidRPr="00BB1E54">
        <w:rPr>
          <w:rStyle w:val="normaltextrun"/>
          <w:rFonts w:cs="Calibri Light"/>
          <w:color w:val="000000"/>
          <w:szCs w:val="20"/>
        </w:rPr>
        <w:t xml:space="preserve"> nosaka valsts budžeta finansēto vietu skaitu sadalījumā pa studiju programmām. Visām augstākās izglītības iestādēm būs iespējams pieteikties dalībai </w:t>
      </w:r>
      <w:proofErr w:type="spellStart"/>
      <w:r w:rsidRPr="00BB1E54">
        <w:rPr>
          <w:rStyle w:val="normaltextrun"/>
          <w:rFonts w:cs="Calibri Light"/>
          <w:color w:val="000000"/>
          <w:szCs w:val="20"/>
        </w:rPr>
        <w:t>izmēģinājumprojektā</w:t>
      </w:r>
      <w:proofErr w:type="spellEnd"/>
      <w:r w:rsidRPr="00BB1E54">
        <w:rPr>
          <w:rStyle w:val="normaltextrun"/>
          <w:rFonts w:cs="Calibri Light"/>
          <w:color w:val="000000"/>
          <w:szCs w:val="20"/>
        </w:rPr>
        <w:t>.</w:t>
      </w:r>
    </w:p>
    <w:p w14:paraId="7E2A1289" w14:textId="19912D5C" w:rsidR="003A549D" w:rsidRPr="002C2AC9" w:rsidRDefault="003229C8" w:rsidP="002C2AC9">
      <w:pPr>
        <w:spacing w:after="120"/>
        <w:jc w:val="both"/>
        <w:rPr>
          <w:rStyle w:val="normaltextrun"/>
          <w:rFonts w:ascii="Aptos Narrow" w:hAnsi="Aptos Narrow"/>
          <w:b/>
          <w:bCs/>
          <w:color w:val="5F497A" w:themeColor="accent4" w:themeShade="BF"/>
          <w:sz w:val="28"/>
          <w:szCs w:val="28"/>
        </w:rPr>
      </w:pPr>
      <w:r w:rsidRPr="006B634C">
        <w:rPr>
          <w:rStyle w:val="normaltextrun"/>
          <w:rFonts w:cs="Calibri Light"/>
          <w:b/>
          <w:bCs/>
          <w:szCs w:val="20"/>
        </w:rPr>
        <w:t>Pilnveidots pašreizējais augstākās izglītības finansēšanas modelis</w:t>
      </w:r>
      <w:r w:rsidR="006B634C" w:rsidRPr="006B634C">
        <w:rPr>
          <w:rStyle w:val="normaltextrun"/>
          <w:rFonts w:cs="Calibri Light"/>
          <w:b/>
          <w:bCs/>
          <w:szCs w:val="20"/>
        </w:rPr>
        <w:t>.</w:t>
      </w:r>
      <w:r w:rsidR="006B634C" w:rsidRPr="006B634C">
        <w:rPr>
          <w:rStyle w:val="normaltextrun"/>
          <w:rFonts w:cs="Calibri Light"/>
          <w:szCs w:val="20"/>
        </w:rPr>
        <w:t xml:space="preserve"> </w:t>
      </w:r>
      <w:r w:rsidRPr="00BB1E54">
        <w:rPr>
          <w:rStyle w:val="normaltextrun"/>
          <w:rFonts w:cs="Calibri Light"/>
          <w:szCs w:val="20"/>
        </w:rPr>
        <w:t>No 2023. gada snieguma finansējums (augstākās izglītības finansēšanas 2. pīlārs)  augstskolām tiek piešķirts, ņemot vērā absolventu skaitu jomās, kurās ir darbaspēka iztrūkums, kā arī atbilstoši tam, vai to absolventi ir nodarbināti augsti kvalificētajos amatos, kas atbilst speciālistiem ar augstāko izglītību. Iepriekš snieguma finansējuma struktūra sastāvēja tikai no zinātnes un pētniecības kritērijiem. Līdz ar minētajām izmaiņām ministrija sniedz stimulu augstākās izglītības iestādēm fokusēties uz rezultātu (absolventu sagatavošanu), nevis procesu (studiju programmas īstenošanu).</w:t>
      </w:r>
    </w:p>
    <w:p w14:paraId="1971DD44" w14:textId="5D6B19F2" w:rsidR="003229C8" w:rsidRPr="006B634C" w:rsidRDefault="003229C8" w:rsidP="006B634C">
      <w:pPr>
        <w:spacing w:after="120"/>
        <w:jc w:val="both"/>
        <w:rPr>
          <w:rStyle w:val="eop"/>
          <w:rFonts w:ascii="Aptos Narrow" w:hAnsi="Aptos Narrow"/>
          <w:b/>
          <w:color w:val="5F497A" w:themeColor="accent4" w:themeShade="BF"/>
          <w:sz w:val="28"/>
          <w:szCs w:val="28"/>
        </w:rPr>
      </w:pPr>
      <w:r w:rsidRPr="006B634C">
        <w:rPr>
          <w:rStyle w:val="normaltextrun"/>
          <w:rFonts w:cs="Calibri Light"/>
          <w:b/>
          <w:bCs/>
          <w:color w:val="000000"/>
          <w:szCs w:val="20"/>
        </w:rPr>
        <w:t>Atbalsts topošajiem un jaunajiem pedagogiem</w:t>
      </w:r>
      <w:r w:rsidR="006B634C" w:rsidRPr="006B634C">
        <w:rPr>
          <w:rStyle w:val="normaltextrun"/>
          <w:rFonts w:cs="Calibri Light"/>
          <w:b/>
          <w:bCs/>
          <w:color w:val="000000"/>
          <w:szCs w:val="20"/>
        </w:rPr>
        <w:t>.</w:t>
      </w:r>
      <w:r w:rsidR="006B634C">
        <w:rPr>
          <w:rFonts w:ascii="Aptos Narrow" w:hAnsi="Aptos Narrow"/>
          <w:b/>
          <w:color w:val="5F497A" w:themeColor="accent4" w:themeShade="BF"/>
          <w:sz w:val="28"/>
          <w:szCs w:val="28"/>
        </w:rPr>
        <w:t xml:space="preserve"> </w:t>
      </w:r>
      <w:r w:rsidRPr="00BB1E54">
        <w:rPr>
          <w:rStyle w:val="normaltextrun"/>
          <w:rFonts w:cs="Calibri Light"/>
          <w:color w:val="000000"/>
          <w:szCs w:val="20"/>
        </w:rPr>
        <w:t>IZM 2023. gadā uzsāka īstenot atbalsta programmu topošajiem un jaunajiem skolotājiem, kuri savu darbību pēc studijām saista ar darbu skolā. Atbalsta programmas ietvaros IZM ir izstrādājusi tematisko stipendiju prioritāro jomu pedagoģijas studentiem, nodrošinot valsts budžeta stipendiju 300 EUR apmērā mēnesī, sākot ar 1. kursu. Stipendija ieviesta, lai nodrošinātu valsts izglītības iestādēs nepieciešamo skolotāju skaitu un veicinātu vidējās izglītības absolventu interesi par pedagoģijas studijām, it īpaši valstī prioritārajās izglītības (STEM, Eiropas Ekonomikas zonas oficiālo valodu un latviešu valodas un literatūras mācību) jomās. Stipendijas saņēmējiem izvirzītas prasības attiecībā pret akadēmiskajiem rādītājiem, praksi un nodarbinātību izglītības iestādē. Jauno pedagoģijas studentu atbalsta programmas ietvaros ministrija aktualizējusi studiju vietas izmaksas valstij prioritārajās pedagoģijas izglītības programmās, tādējādi izvirzot prasības augstākās izglītības iestādēm celt studiju kvalitāti un modernizēt studiju vidi.</w:t>
      </w:r>
      <w:r w:rsidRPr="00BB1E54">
        <w:rPr>
          <w:rStyle w:val="eop"/>
          <w:rFonts w:cs="Calibri Light"/>
          <w:color w:val="000000"/>
          <w:szCs w:val="20"/>
        </w:rPr>
        <w:t> </w:t>
      </w:r>
    </w:p>
    <w:p w14:paraId="30312C73" w14:textId="6CE147EC" w:rsidR="006B634C" w:rsidRPr="002C2AC9" w:rsidRDefault="003229C8" w:rsidP="002C2AC9">
      <w:pPr>
        <w:pStyle w:val="paragraph"/>
        <w:spacing w:before="0" w:beforeAutospacing="0" w:after="120" w:afterAutospacing="0"/>
        <w:ind w:left="-30" w:right="-30"/>
        <w:jc w:val="both"/>
        <w:textAlignment w:val="baseline"/>
        <w:rPr>
          <w:rFonts w:ascii="Calibri Light" w:eastAsia="Calibri" w:hAnsi="Calibri Light" w:cs="Calibri Light"/>
          <w:color w:val="000000"/>
          <w:sz w:val="20"/>
          <w:szCs w:val="20"/>
          <w:lang w:val="lv-LV"/>
        </w:rPr>
      </w:pPr>
      <w:r w:rsidRPr="00BB1E54">
        <w:rPr>
          <w:rStyle w:val="normaltextrun"/>
          <w:rFonts w:ascii="Calibri Light" w:eastAsia="Calibri" w:hAnsi="Calibri Light" w:cs="Calibri Light"/>
          <w:color w:val="000000"/>
          <w:sz w:val="20"/>
          <w:szCs w:val="20"/>
          <w:lang w:val="lv-LV"/>
        </w:rPr>
        <w:t>2023. gadā tika uzsākta ES fondu līdzfinansēta programma, kas paredz indukcijas gada ieviešanu pedagogu sagatavošanas studiju programmās. Jaunajiem pedagogiem pirmajā gadā pēc skolotāja kvalifikācijas iegūšanas tik sniegts sistēmisks atbalsts,</w:t>
      </w:r>
      <w:r w:rsidRPr="00BB1E54">
        <w:rPr>
          <w:lang w:val="lv-LV"/>
        </w:rPr>
        <w:t xml:space="preserve"> </w:t>
      </w:r>
      <w:r w:rsidRPr="00BB1E54">
        <w:rPr>
          <w:rStyle w:val="normaltextrun"/>
          <w:rFonts w:ascii="Calibri Light" w:eastAsia="Calibri" w:hAnsi="Calibri Light" w:cs="Calibri Light"/>
          <w:color w:val="000000"/>
          <w:sz w:val="20"/>
          <w:szCs w:val="20"/>
          <w:lang w:val="lv-LV"/>
        </w:rPr>
        <w:t>lai sekmētu viņu tālāku iekļaušanos izglītības iestādes vidē un palikšanu skolotāja profesijā. Projektu īsteno Latvijas Universitāte, tā īstenošana plānota līdz 2026. gada 30. jūnijam.</w:t>
      </w:r>
    </w:p>
    <w:p w14:paraId="4602ACED" w14:textId="559826C7" w:rsidR="003229C8" w:rsidRPr="006B634C" w:rsidRDefault="003229C8" w:rsidP="003A549D">
      <w:pPr>
        <w:spacing w:after="120"/>
        <w:jc w:val="both"/>
        <w:rPr>
          <w:rFonts w:ascii="Aptos Narrow" w:hAnsi="Aptos Narrow"/>
          <w:b/>
          <w:bCs/>
          <w:color w:val="5F497A" w:themeColor="accent4" w:themeShade="BF"/>
          <w:sz w:val="28"/>
          <w:szCs w:val="28"/>
        </w:rPr>
      </w:pPr>
      <w:r w:rsidRPr="006B634C">
        <w:rPr>
          <w:b/>
          <w:szCs w:val="20"/>
        </w:rPr>
        <w:t>Digitālo prasmju attīstība augstākajā izglītībā</w:t>
      </w:r>
      <w:r w:rsidR="006B634C" w:rsidRPr="006B634C">
        <w:rPr>
          <w:b/>
          <w:szCs w:val="20"/>
        </w:rPr>
        <w:t>.</w:t>
      </w:r>
      <w:r w:rsidR="006B634C">
        <w:rPr>
          <w:rFonts w:ascii="Aptos Narrow" w:hAnsi="Aptos Narrow"/>
          <w:b/>
          <w:bCs/>
          <w:color w:val="5F497A" w:themeColor="accent4" w:themeShade="BF"/>
          <w:sz w:val="28"/>
          <w:szCs w:val="28"/>
        </w:rPr>
        <w:t xml:space="preserve"> </w:t>
      </w:r>
      <w:r w:rsidR="005E5E57">
        <w:rPr>
          <w:bCs/>
          <w:szCs w:val="20"/>
        </w:rPr>
        <w:t>N</w:t>
      </w:r>
      <w:r w:rsidRPr="00BB1E54">
        <w:rPr>
          <w:bCs/>
          <w:szCs w:val="20"/>
        </w:rPr>
        <w:t>odrošin</w:t>
      </w:r>
      <w:r w:rsidR="005E5E57">
        <w:rPr>
          <w:bCs/>
          <w:szCs w:val="20"/>
        </w:rPr>
        <w:t>a</w:t>
      </w:r>
      <w:r w:rsidRPr="00BB1E54">
        <w:rPr>
          <w:bCs/>
          <w:szCs w:val="20"/>
        </w:rPr>
        <w:t xml:space="preserve"> pārvaldības efektivitāti, akadēmiskā personāla veiktspēju, studiju kvalitātes augšanu, starptautisko konkurētspēju un augstākās izglītības iestāžu kā digitālās izcilības centru veidošanos. Ar ES fondu atbalstu Latvijas augstskolu un zinātnisko institūciju akadēmiskais un zinātniskais personāls apgūst augsta līmeņa digitālās prasmes (jaunākās tendences un metodes informāciju tehnoloģiju kursu satura sagatavošanā un pasniegšanā) Ņujorkas štata Bufalo Universitātē. Šo mācību mērķis ir nodrošināt iegūto zināšanu pārnesi Latvijas augstskolās.  No 2019. gada augsta līmeņa digitālās prasmes Ņujorkas štata Bufalo universitātē apguvuši 74 Latvijas augstākās izglītības institūciju pasniedzēji.</w:t>
      </w:r>
    </w:p>
    <w:p w14:paraId="6FB0D7E9" w14:textId="77777777" w:rsidR="003229C8" w:rsidRPr="00BB1E54" w:rsidRDefault="003229C8" w:rsidP="003A549D">
      <w:pPr>
        <w:spacing w:after="120"/>
        <w:jc w:val="both"/>
        <w:rPr>
          <w:bCs/>
          <w:szCs w:val="20"/>
        </w:rPr>
      </w:pPr>
      <w:r w:rsidRPr="00BB1E54">
        <w:rPr>
          <w:bCs/>
          <w:szCs w:val="20"/>
        </w:rPr>
        <w:t xml:space="preserve">ES Atveseļošanas palīdzības programmas REACT-EU ietvaros no 2022. gada novembra līdz 2023. gada decembrim tika īstenoti augstskolu sadarbības projekti (kopējais finansējums 7,1 milj. EUR, projektu īstenošanā iesaistījās 12 augstskolas, kā arī nozaru organizācijas) studējošo digitālo prasmju attīstībai, pilnveidojot studiju saturu, mācību metodiku un ieviešot atbilstošus digitālos tehnoloģiskos risinājumus. Atbalsts ir veicinājis IKT izglītības attīstību, ļaujot ikvienam studentam būtiski uzlabot digitālās prasmes atbilstoši mūsdienu darba tirgus vajadzībām. Atbalstu saņēma arī docētāji jaunā digitālā satura, mācību metodikas un digitālo tehnoloģisko risinājumu ieviešanai. </w:t>
      </w:r>
    </w:p>
    <w:p w14:paraId="6E580159" w14:textId="77777777" w:rsidR="003229C8" w:rsidRPr="00BB1E54" w:rsidRDefault="003229C8" w:rsidP="003A549D">
      <w:pPr>
        <w:spacing w:after="120"/>
        <w:jc w:val="both"/>
        <w:rPr>
          <w:bCs/>
          <w:szCs w:val="20"/>
        </w:rPr>
      </w:pPr>
      <w:r w:rsidRPr="00BB1E54">
        <w:rPr>
          <w:bCs/>
          <w:szCs w:val="20"/>
        </w:rPr>
        <w:t>ANM digitālās transformācijas komponentes ietvaros plānotas investīcijas augsta līmeņa digitālo prasmju apguvei (kopējais finansējums 17 milj. EUR). Līdz 2026. gadam paredzēts ievērojami palielināt speciālistu skaitu ar augsta līmeņa digitālajām prasmēm (</w:t>
      </w:r>
      <w:proofErr w:type="spellStart"/>
      <w:r w:rsidRPr="00BB1E54">
        <w:rPr>
          <w:bCs/>
          <w:szCs w:val="20"/>
        </w:rPr>
        <w:t>DigiComp</w:t>
      </w:r>
      <w:proofErr w:type="spellEnd"/>
      <w:r w:rsidRPr="00BB1E54">
        <w:rPr>
          <w:bCs/>
          <w:szCs w:val="20"/>
        </w:rPr>
        <w:t xml:space="preserve"> 7.-8. līmenis), kas spēj pielietot augstās tehnoloģijas zināšanu un tehnoloģiju ietilpīgu jaunu produktu un pakalpojumu attīstībai dažādās nozarēs, vienlaikus arī sekmējot Latvijas lomas nostiprināšanos reģionā augsta līmeņa IKT speciālistu sagatavošanā. Investīcijas mācību un saistīto P&amp;A aktivitāšu īstenošanā plānotas trīs jomās – kvantu tehnoloģijās, augstas veiktspējas skaitļošanā un valodu tehnoloģijās. Projektus plānots īstenot no </w:t>
      </w:r>
    </w:p>
    <w:p w14:paraId="4138AF57" w14:textId="77777777" w:rsidR="003229C8" w:rsidRPr="00BB1E54" w:rsidRDefault="003229C8" w:rsidP="003A549D">
      <w:pPr>
        <w:spacing w:after="120"/>
        <w:jc w:val="both"/>
        <w:rPr>
          <w:bCs/>
          <w:szCs w:val="20"/>
        </w:rPr>
      </w:pPr>
      <w:r w:rsidRPr="00BB1E54">
        <w:rPr>
          <w:bCs/>
          <w:szCs w:val="20"/>
        </w:rPr>
        <w:lastRenderedPageBreak/>
        <w:t>Atbalsta programmas digitālo prasmju attīstībai tiks turpinātas ar citiem atbalsta pasākumiem arī ES fondu plānošanas periodā 2021.-2027. gadam, kur digitālā transformācija ir viens no ES izvirzītajiem prioritārajiem virzieniem.</w:t>
      </w:r>
    </w:p>
    <w:p w14:paraId="36AB67C2" w14:textId="6E6D41F3" w:rsidR="003229C8" w:rsidRDefault="003229C8" w:rsidP="003A549D">
      <w:pPr>
        <w:spacing w:after="120"/>
        <w:jc w:val="both"/>
        <w:rPr>
          <w:bCs/>
          <w:szCs w:val="20"/>
        </w:rPr>
      </w:pPr>
      <w:r w:rsidRPr="006B634C">
        <w:rPr>
          <w:b/>
          <w:szCs w:val="20"/>
        </w:rPr>
        <w:t>Atbrīvojumi no nodokļiem</w:t>
      </w:r>
      <w:r w:rsidR="006B634C" w:rsidRPr="006B634C">
        <w:rPr>
          <w:b/>
          <w:szCs w:val="20"/>
        </w:rPr>
        <w:t>.</w:t>
      </w:r>
      <w:r w:rsidR="006B634C">
        <w:rPr>
          <w:rFonts w:ascii="Aptos Narrow" w:hAnsi="Aptos Narrow"/>
          <w:b/>
          <w:bCs/>
          <w:color w:val="5F497A" w:themeColor="accent4" w:themeShade="BF"/>
          <w:sz w:val="28"/>
          <w:szCs w:val="28"/>
        </w:rPr>
        <w:t xml:space="preserve"> </w:t>
      </w:r>
      <w:r w:rsidRPr="00BB1E54">
        <w:rPr>
          <w:bCs/>
          <w:szCs w:val="20"/>
        </w:rPr>
        <w:t>Darba devēja apmaksātā mācību maksa par darbinieka augstākās izglītības iegūšanu valsts akreditētās Latvijas izglītības iestādēs, ES dalībvalstu un Eiropas Ekonomikas zonas valstu mācību iestādēs nav uzskatāma par algota darba ienākumu, ja augstākās izglītības iegūšana saistīta ar tādu prasmju iegūšanu, kas nepieciešama darba devējam. To nosaka grozījumi likumā "Par iedzīvotāju ienākuma nodokli", kas stājās spēkā 2024. gada 1. janvārī. Tādējādi darba devējiem tiek dota iespēja apmaksāt darbiniekiem augstāko izglītību, neapliekot mācību maksu darbiniekam/ darba devējam ar darbaspēka nodokļiem.</w:t>
      </w:r>
    </w:p>
    <w:p w14:paraId="452862C0" w14:textId="77777777" w:rsidR="00653B38" w:rsidRPr="00653B38" w:rsidRDefault="00653B38" w:rsidP="00653B38">
      <w:pPr>
        <w:spacing w:after="0"/>
        <w:jc w:val="both"/>
        <w:rPr>
          <w:rFonts w:ascii="Aptos Narrow" w:hAnsi="Aptos Narrow"/>
          <w:b/>
          <w:bCs/>
          <w:color w:val="5F497A" w:themeColor="accent4" w:themeShade="BF"/>
          <w:sz w:val="16"/>
          <w:szCs w:val="16"/>
        </w:rPr>
      </w:pPr>
    </w:p>
    <w:p w14:paraId="040BA3D1" w14:textId="41000D47" w:rsidR="003229C8" w:rsidRPr="00BB1E54" w:rsidRDefault="003229C8" w:rsidP="00653B38">
      <w:pPr>
        <w:pStyle w:val="Heading3"/>
        <w:spacing w:after="240"/>
      </w:pPr>
      <w:bookmarkStart w:id="94" w:name="_Toc106366811"/>
      <w:bookmarkStart w:id="95" w:name="_Toc183620113"/>
      <w:r w:rsidRPr="00BB1E54">
        <w:t>4.</w:t>
      </w:r>
      <w:r w:rsidR="00296D35">
        <w:t>1</w:t>
      </w:r>
      <w:r w:rsidRPr="00BB1E54">
        <w:t>.4. Aktuālie pasākumi pieaugušo izglītībā</w:t>
      </w:r>
      <w:bookmarkEnd w:id="94"/>
      <w:bookmarkEnd w:id="95"/>
    </w:p>
    <w:p w14:paraId="43F32415" w14:textId="3DCAB4BC" w:rsidR="000460BA" w:rsidRDefault="000460BA" w:rsidP="006B634C">
      <w:pPr>
        <w:spacing w:after="120"/>
        <w:jc w:val="both"/>
        <w:rPr>
          <w:rFonts w:cs="Calibri Light"/>
        </w:rPr>
      </w:pPr>
      <w:r w:rsidRPr="001F4651">
        <w:rPr>
          <w:rFonts w:cs="Calibri Light"/>
          <w:b/>
          <w:bCs/>
          <w:szCs w:val="20"/>
        </w:rPr>
        <w:t>Pieaugušo izglītības kvalitātes pilnveidošana.</w:t>
      </w:r>
      <w:r>
        <w:rPr>
          <w:rFonts w:ascii="Aptos Narrow" w:hAnsi="Aptos Narrow"/>
          <w:b/>
          <w:bCs/>
          <w:color w:val="5F497A" w:themeColor="accent4" w:themeShade="BF"/>
          <w:sz w:val="28"/>
          <w:szCs w:val="28"/>
        </w:rPr>
        <w:t xml:space="preserve"> </w:t>
      </w:r>
      <w:r w:rsidRPr="000460BA">
        <w:rPr>
          <w:rFonts w:cs="Calibri Light"/>
          <w:szCs w:val="20"/>
        </w:rPr>
        <w:t xml:space="preserve"> </w:t>
      </w:r>
      <w:r w:rsidRPr="00BB1E54">
        <w:rPr>
          <w:rFonts w:cs="Calibri Light"/>
          <w:szCs w:val="20"/>
        </w:rPr>
        <w:t>2022. gada 15. septembrī tika veikti grozījumi Izglītības likumā,</w:t>
      </w:r>
      <w:r w:rsidRPr="00BB1E54">
        <w:rPr>
          <w:rFonts w:cs="Calibri Light"/>
          <w:i/>
          <w:iCs/>
          <w:szCs w:val="20"/>
        </w:rPr>
        <w:t xml:space="preserve"> </w:t>
      </w:r>
      <w:r w:rsidRPr="00BB1E54">
        <w:rPr>
          <w:rFonts w:cs="Calibri Light"/>
          <w:szCs w:val="20"/>
        </w:rPr>
        <w:t xml:space="preserve">un atbilstoši tiem </w:t>
      </w:r>
      <w:r w:rsidRPr="00BB1E54">
        <w:rPr>
          <w:rFonts w:cs="Calibri Light"/>
          <w:smallCaps/>
          <w:szCs w:val="20"/>
        </w:rPr>
        <w:t xml:space="preserve">MK </w:t>
      </w:r>
      <w:r w:rsidRPr="00BB1E54">
        <w:rPr>
          <w:rFonts w:cs="Calibri Light"/>
          <w:szCs w:val="20"/>
        </w:rPr>
        <w:t xml:space="preserve">apstiprināja </w:t>
      </w:r>
      <w:r w:rsidRPr="00BB1E54">
        <w:rPr>
          <w:rFonts w:eastAsia="Times New Roman" w:cs="Calibri Light"/>
          <w:szCs w:val="20"/>
          <w:lang w:eastAsia="lv-LV"/>
        </w:rPr>
        <w:t xml:space="preserve">kārtību, kādā pašvaldības izsniedz un atceļ neformālās izglītības programmu īstenošanas atļaujas, lai veicinātu neformālās izglītības, tai skaitā digitālo prasmju, pieejamību un kvalitāti Latvijā. </w:t>
      </w:r>
      <w:r w:rsidRPr="00BB1E54">
        <w:rPr>
          <w:rFonts w:cs="Calibri Light"/>
        </w:rPr>
        <w:t xml:space="preserve">Turpmāk </w:t>
      </w:r>
      <w:r w:rsidRPr="00BB1E54">
        <w:rPr>
          <w:rFonts w:eastAsia="Times New Roman" w:cs="Calibri Light"/>
          <w:szCs w:val="20"/>
          <w:lang w:eastAsia="lv-LV"/>
        </w:rPr>
        <w:t xml:space="preserve">par neformālās izglītības programmas apguvi tek izsniegts izglītības dokuments – apliecība, kurā iekļauti mācīšanās rezultātu apraksts. 2023.gadā noslēdzās darbs pie vienota ietvara izveidošanas Latvijā, kas nosaka, ka digitālo </w:t>
      </w:r>
      <w:proofErr w:type="spellStart"/>
      <w:r w:rsidRPr="00BB1E54">
        <w:rPr>
          <w:rFonts w:eastAsia="Times New Roman" w:cs="Calibri Light"/>
          <w:szCs w:val="20"/>
          <w:lang w:eastAsia="lv-LV"/>
        </w:rPr>
        <w:t>pamatprasmju</w:t>
      </w:r>
      <w:proofErr w:type="spellEnd"/>
      <w:r w:rsidRPr="00BB1E54">
        <w:rPr>
          <w:rFonts w:eastAsia="Times New Roman" w:cs="Calibri Light"/>
          <w:szCs w:val="20"/>
          <w:lang w:eastAsia="lv-LV"/>
        </w:rPr>
        <w:t xml:space="preserve"> novērtēšanai, mācību vajadzību noteikšanai, plānošanai un novērtēšanai tiek izmantots Eiropas Iedzīvotāju digitālo kompetenču ietvars (</w:t>
      </w:r>
      <w:proofErr w:type="spellStart"/>
      <w:r w:rsidRPr="00BB1E54">
        <w:rPr>
          <w:rFonts w:eastAsia="Times New Roman" w:cs="Calibri Light"/>
          <w:szCs w:val="20"/>
          <w:lang w:eastAsia="lv-LV"/>
        </w:rPr>
        <w:t>DigComp</w:t>
      </w:r>
      <w:proofErr w:type="spellEnd"/>
      <w:r w:rsidRPr="00BB1E54">
        <w:rPr>
          <w:rFonts w:eastAsia="Times New Roman" w:cs="Calibri Light"/>
          <w:szCs w:val="20"/>
          <w:lang w:eastAsia="lv-LV"/>
        </w:rPr>
        <w:t>). Lai atbalstītu jaunā regulējuma ieviešanu, izstrādātas vadlīnijas</w:t>
      </w:r>
      <w:r w:rsidRPr="00BB1E54">
        <w:rPr>
          <w:rFonts w:cs="Calibri Light"/>
        </w:rPr>
        <w:t xml:space="preserve"> neformālās izglītības programmu izstrādei un īstenošanai.</w:t>
      </w:r>
    </w:p>
    <w:p w14:paraId="1B433E0F" w14:textId="46A53AD1" w:rsidR="006B2087" w:rsidRDefault="006B2087" w:rsidP="006B634C">
      <w:pPr>
        <w:spacing w:after="120"/>
        <w:jc w:val="both"/>
        <w:rPr>
          <w:rFonts w:cs="Calibri Light"/>
          <w:bCs/>
          <w:szCs w:val="20"/>
        </w:rPr>
      </w:pPr>
      <w:r>
        <w:rPr>
          <w:rFonts w:cs="Calibri Light"/>
        </w:rPr>
        <w:t xml:space="preserve">Vienlaikus ir SAM 4.2.4.2. projekta ietvaros tiks uzsākts darbs pie </w:t>
      </w:r>
      <w:r w:rsidRPr="006B2087">
        <w:rPr>
          <w:rFonts w:cs="Calibri Light"/>
        </w:rPr>
        <w:t>vienot</w:t>
      </w:r>
      <w:r>
        <w:rPr>
          <w:rFonts w:cs="Calibri Light"/>
        </w:rPr>
        <w:t>as</w:t>
      </w:r>
      <w:r w:rsidRPr="006B2087">
        <w:rPr>
          <w:rFonts w:cs="Calibri Light"/>
        </w:rPr>
        <w:t xml:space="preserve"> metodik</w:t>
      </w:r>
      <w:r>
        <w:rPr>
          <w:rFonts w:cs="Calibri Light"/>
        </w:rPr>
        <w:t>as</w:t>
      </w:r>
      <w:r w:rsidRPr="006B2087">
        <w:rPr>
          <w:rFonts w:cs="Calibri Light"/>
        </w:rPr>
        <w:t xml:space="preserve"> sistēmiskai pieaugušo izglītības kvalitātes uzraudzībai</w:t>
      </w:r>
      <w:r>
        <w:rPr>
          <w:rFonts w:cs="Calibri Light"/>
        </w:rPr>
        <w:t xml:space="preserve">. SAM 4.2.4.2. projekta ietvaros ir paredzēts </w:t>
      </w:r>
      <w:r w:rsidRPr="006B2087">
        <w:rPr>
          <w:rFonts w:cs="Calibri Light"/>
        </w:rPr>
        <w:t>snieg</w:t>
      </w:r>
      <w:r>
        <w:rPr>
          <w:rFonts w:cs="Calibri Light"/>
        </w:rPr>
        <w:t>t</w:t>
      </w:r>
      <w:r w:rsidRPr="006B2087">
        <w:rPr>
          <w:rFonts w:cs="Calibri Light"/>
        </w:rPr>
        <w:t xml:space="preserve"> metodisko atbalstu izglītības iestādēm, apkopot un analizēt informāciju par situāciju pieaugušo izglītībā un </w:t>
      </w:r>
      <w:r>
        <w:rPr>
          <w:rFonts w:cs="Calibri Light"/>
        </w:rPr>
        <w:t>informēt</w:t>
      </w:r>
      <w:r w:rsidRPr="006B2087">
        <w:rPr>
          <w:rFonts w:cs="Calibri Light"/>
        </w:rPr>
        <w:t xml:space="preserve"> sabiedrīb</w:t>
      </w:r>
      <w:r>
        <w:rPr>
          <w:rFonts w:cs="Calibri Light"/>
        </w:rPr>
        <w:t>u</w:t>
      </w:r>
      <w:r w:rsidRPr="006B2087">
        <w:rPr>
          <w:rFonts w:cs="Calibri Light"/>
        </w:rPr>
        <w:t xml:space="preserve"> </w:t>
      </w:r>
      <w:r>
        <w:rPr>
          <w:rFonts w:cs="Calibri Light"/>
        </w:rPr>
        <w:t>par pieaugušo izglītības kvalitātes aspektiem</w:t>
      </w:r>
      <w:r w:rsidRPr="006B2087">
        <w:rPr>
          <w:rFonts w:cs="Calibri Light"/>
        </w:rPr>
        <w:t>, kā arī vei</w:t>
      </w:r>
      <w:r>
        <w:rPr>
          <w:rFonts w:cs="Calibri Light"/>
        </w:rPr>
        <w:t>kt</w:t>
      </w:r>
      <w:r w:rsidRPr="006B2087">
        <w:rPr>
          <w:rFonts w:cs="Calibri Light"/>
        </w:rPr>
        <w:t xml:space="preserve"> pieaugušo izglītības īstenotāju darbīb</w:t>
      </w:r>
      <w:r>
        <w:rPr>
          <w:rFonts w:cs="Calibri Light"/>
        </w:rPr>
        <w:t>as</w:t>
      </w:r>
      <w:r w:rsidRPr="006B2087">
        <w:rPr>
          <w:rFonts w:cs="Calibri Light"/>
        </w:rPr>
        <w:t xml:space="preserve"> un pieaugušo izglītības programmu īstenošanas </w:t>
      </w:r>
      <w:proofErr w:type="spellStart"/>
      <w:r w:rsidRPr="006B2087">
        <w:rPr>
          <w:rFonts w:cs="Calibri Light"/>
        </w:rPr>
        <w:t>izvērtējumu</w:t>
      </w:r>
      <w:proofErr w:type="spellEnd"/>
      <w:r w:rsidRPr="006B2087">
        <w:rPr>
          <w:rFonts w:cs="Calibri Light"/>
        </w:rPr>
        <w:t xml:space="preserve"> un uzraudzību</w:t>
      </w:r>
      <w:r>
        <w:rPr>
          <w:rFonts w:cs="Calibri Light"/>
        </w:rPr>
        <w:t>.</w:t>
      </w:r>
    </w:p>
    <w:p w14:paraId="4D983415" w14:textId="70D0FC0B" w:rsidR="003229C8" w:rsidRPr="006B2087" w:rsidRDefault="00971243" w:rsidP="006B634C">
      <w:pPr>
        <w:spacing w:after="120"/>
        <w:jc w:val="both"/>
        <w:rPr>
          <w:rFonts w:cs="Calibri Light"/>
          <w:bCs/>
          <w:szCs w:val="20"/>
        </w:rPr>
      </w:pPr>
      <w:r>
        <w:rPr>
          <w:rFonts w:cs="Calibri Light"/>
          <w:b/>
          <w:bCs/>
          <w:szCs w:val="20"/>
        </w:rPr>
        <w:t>I</w:t>
      </w:r>
      <w:r w:rsidRPr="00971243">
        <w:rPr>
          <w:rFonts w:cs="Calibri Light"/>
          <w:b/>
          <w:bCs/>
          <w:szCs w:val="20"/>
        </w:rPr>
        <w:t>ndividualizēts un elastīgs pieaugušo izglītības piedāvājums</w:t>
      </w:r>
      <w:r>
        <w:rPr>
          <w:rFonts w:cs="Calibri Light"/>
          <w:bCs/>
          <w:szCs w:val="20"/>
        </w:rPr>
        <w:t xml:space="preserve">. </w:t>
      </w:r>
      <w:r w:rsidR="003229C8" w:rsidRPr="00BB1E54">
        <w:rPr>
          <w:rFonts w:cs="Calibri Light"/>
          <w:bCs/>
          <w:szCs w:val="20"/>
        </w:rPr>
        <w:t>2022. gada 1. aprīlī stājās spēkā grozījumi Profesionālās izglītības likumā, kas paredz modulāro profesionālās izglītības programmu īstenošanu pieaugušo izglītībā un nosaka izglītības dokumentus, ko izsniedz par programmas moduļa apguvi. Modulārās pieejas ieviešana ir profesionālās izglītības programmu saturiska pārstrukturēšana, dodot iespēju cilvēkiem efektīvi pārvaldīt pārmaiņas un ātrāk pielāgoties jaunajām attīstības tendencēm nozarē. Ņemot vērā minētos grozījumus</w:t>
      </w:r>
      <w:r w:rsidR="003229C8" w:rsidRPr="00BB1E54">
        <w:t xml:space="preserve"> </w:t>
      </w:r>
      <w:r w:rsidR="003229C8" w:rsidRPr="00BB1E54">
        <w:rPr>
          <w:rFonts w:cs="Calibri Light"/>
          <w:bCs/>
          <w:szCs w:val="20"/>
        </w:rPr>
        <w:t>Profesionālās izglītības likumā, IZM izstrādāja kritērijus un kārtību, kādā profesionālās izglītības iestāde novērtē cilvēka iepriekšējā izglītībā vai profesionālajā pieredzē iegūto kompetenci, lai vēlākos posmos uzņemtu viņu profesionālās izglītības programmā izglītības turpināšanai un profesionālās kvalifikācijas iegūšanai. Patlaban notiek darbs pie regulējuma pilnveides, lai noteiktu prasības un kārtību, kādā atzīst personas profesionālo kvalifikāciju vai tās daļu. 2023. gadā MK apstiprināja noteikumus, kas nosaka valsts atzītu profesionālās izglītības, profesionālās kvalifikācijas, profesionālās pilnveides un profesionālās ievirzes izglītību apliecinošo dokumentu paraugus, to izgatavošanas un izsniegšanas kārtību, kā arī moduļa apliecības paraugu un dokumenta par profesionālās izglītības programmas daļas apguvi paraugus un to izsniegšanas kārtību.</w:t>
      </w:r>
      <w:r w:rsidR="003229C8" w:rsidRPr="00BB1E54">
        <w:t xml:space="preserve"> </w:t>
      </w:r>
      <w:r w:rsidR="003229C8" w:rsidRPr="00BB1E54">
        <w:rPr>
          <w:rFonts w:cs="Calibri Light"/>
          <w:bCs/>
          <w:szCs w:val="20"/>
        </w:rPr>
        <w:t>2024. gada februārī MK apstiprināja jaunu</w:t>
      </w:r>
      <w:r w:rsidR="003229C8" w:rsidRPr="00BB1E54">
        <w:t xml:space="preserve"> </w:t>
      </w:r>
      <w:r w:rsidR="003229C8" w:rsidRPr="00BB1E54">
        <w:rPr>
          <w:rFonts w:cs="Calibri Light"/>
          <w:bCs/>
          <w:szCs w:val="20"/>
        </w:rPr>
        <w:t>valsts profesionālās tālākizglītības un profesionālās pilnveides izglītības standartu. Lai nodrošinātu augošo vajadzību pēc augstāka līmeņa profesionālajām kompetencēm un prasmēm, jaunais standarts nodrošina iespējas profesionālajā tālākizglītībā iegūt arī 5.–8. profesionālā kvalifikācijas līmeņa profesionālo kvalifikāciju. Minētās izmaiņas ļaus profesionālās izglītības iestādēm attīstīt darba tirgum atbilstošo profesionālās tālākizglītības piedāvājumu.</w:t>
      </w:r>
    </w:p>
    <w:p w14:paraId="3A6D3A7C" w14:textId="2A3275E3" w:rsidR="003A549D" w:rsidRPr="002C2AC9" w:rsidRDefault="003229C8" w:rsidP="003A549D">
      <w:pPr>
        <w:spacing w:after="120"/>
        <w:jc w:val="both"/>
      </w:pPr>
      <w:r w:rsidRPr="00BB1E54">
        <w:t>Visas IZM padotības profesionālās  izglītības iestādes īsteno pieaugušo izglītību. To attīstības un investīciju stratēģijās 2021.-2027. gadam pieaugušo izglītībā ir plānots palielināt pieaugušo izglītojamo skaitu un  piedāvāt profesionālās tālākizglītības programmas un ārpus formālās izglītības sistēmas apgūtās profesionālās kompetences novērtēšanu visās profesionālajās kvalifikācijās.</w:t>
      </w:r>
    </w:p>
    <w:p w14:paraId="1C942152" w14:textId="77777777" w:rsidR="006B2087" w:rsidRPr="000460BA" w:rsidRDefault="006B2087" w:rsidP="006B2087">
      <w:pPr>
        <w:spacing w:after="120"/>
        <w:jc w:val="both"/>
        <w:rPr>
          <w:rFonts w:ascii="Aptos Narrow" w:hAnsi="Aptos Narrow"/>
          <w:b/>
          <w:bCs/>
          <w:color w:val="5F497A" w:themeColor="accent4" w:themeShade="BF"/>
          <w:sz w:val="28"/>
          <w:szCs w:val="28"/>
        </w:rPr>
      </w:pPr>
      <w:r w:rsidRPr="006B634C">
        <w:rPr>
          <w:rFonts w:cs="Calibri Light"/>
          <w:b/>
          <w:szCs w:val="20"/>
        </w:rPr>
        <w:t>Ilgtspējīgas un sociāli atbildīgas atbalsta sistēmas pieaugušo izglītībai izveide</w:t>
      </w:r>
      <w:r>
        <w:rPr>
          <w:rFonts w:cs="Calibri Light"/>
          <w:b/>
          <w:szCs w:val="20"/>
        </w:rPr>
        <w:t xml:space="preserve">s </w:t>
      </w:r>
      <w:r w:rsidRPr="0063258F">
        <w:rPr>
          <w:rFonts w:cs="Calibri Light"/>
          <w:bCs/>
          <w:szCs w:val="20"/>
        </w:rPr>
        <w:t xml:space="preserve">ietvaros </w:t>
      </w:r>
      <w:r>
        <w:rPr>
          <w:rFonts w:cs="Calibri Light"/>
          <w:bCs/>
          <w:szCs w:val="20"/>
        </w:rPr>
        <w:t>turpinās</w:t>
      </w:r>
      <w:r w:rsidRPr="0036601F">
        <w:rPr>
          <w:rFonts w:cs="Calibri Light"/>
          <w:bCs/>
          <w:szCs w:val="20"/>
        </w:rPr>
        <w:t xml:space="preserve"> darbs pie</w:t>
      </w:r>
      <w:r>
        <w:rPr>
          <w:rFonts w:ascii="Aptos Narrow" w:hAnsi="Aptos Narrow"/>
          <w:b/>
          <w:bCs/>
          <w:color w:val="5F497A" w:themeColor="accent4" w:themeShade="BF"/>
          <w:sz w:val="28"/>
          <w:szCs w:val="28"/>
        </w:rPr>
        <w:t xml:space="preserve"> </w:t>
      </w:r>
      <w:r w:rsidRPr="0036601F">
        <w:rPr>
          <w:bCs/>
          <w:szCs w:val="20"/>
        </w:rPr>
        <w:t>Individuālā mācību kont</w:t>
      </w:r>
      <w:r>
        <w:rPr>
          <w:bCs/>
          <w:szCs w:val="20"/>
        </w:rPr>
        <w:t>u</w:t>
      </w:r>
      <w:r w:rsidRPr="0036601F">
        <w:rPr>
          <w:bCs/>
          <w:szCs w:val="20"/>
        </w:rPr>
        <w:t xml:space="preserve"> (</w:t>
      </w:r>
      <w:r>
        <w:rPr>
          <w:bCs/>
          <w:szCs w:val="20"/>
        </w:rPr>
        <w:t>IMK</w:t>
      </w:r>
      <w:r w:rsidRPr="0036601F">
        <w:rPr>
          <w:bCs/>
          <w:szCs w:val="20"/>
        </w:rPr>
        <w:t xml:space="preserve">) pieejas </w:t>
      </w:r>
      <w:r>
        <w:rPr>
          <w:bCs/>
          <w:szCs w:val="20"/>
        </w:rPr>
        <w:t>attīstības</w:t>
      </w:r>
      <w:r w:rsidRPr="0036601F">
        <w:rPr>
          <w:bCs/>
          <w:szCs w:val="20"/>
        </w:rPr>
        <w:t xml:space="preserve">. </w:t>
      </w:r>
      <w:r>
        <w:rPr>
          <w:bCs/>
          <w:szCs w:val="20"/>
        </w:rPr>
        <w:t>L</w:t>
      </w:r>
      <w:r w:rsidRPr="00407B21">
        <w:rPr>
          <w:bCs/>
          <w:szCs w:val="20"/>
        </w:rPr>
        <w:t xml:space="preserve">īdz 2026. gada 31. </w:t>
      </w:r>
      <w:bookmarkStart w:id="96" w:name="_Hlk128726981"/>
      <w:r w:rsidRPr="00407B21">
        <w:rPr>
          <w:bCs/>
          <w:szCs w:val="20"/>
        </w:rPr>
        <w:t xml:space="preserve">maijam plānots attīstīt un aprobēt Latvijas kontekstam atbilstošu </w:t>
      </w:r>
      <w:r>
        <w:rPr>
          <w:bCs/>
          <w:szCs w:val="20"/>
        </w:rPr>
        <w:t>IMK</w:t>
      </w:r>
      <w:r w:rsidRPr="00407B21">
        <w:rPr>
          <w:bCs/>
          <w:szCs w:val="20"/>
        </w:rPr>
        <w:t xml:space="preserve"> </w:t>
      </w:r>
      <w:bookmarkEnd w:id="96"/>
      <w:r>
        <w:rPr>
          <w:bCs/>
          <w:szCs w:val="20"/>
        </w:rPr>
        <w:t>pieeju un platformu</w:t>
      </w:r>
      <w:r w:rsidRPr="00407B21">
        <w:rPr>
          <w:bCs/>
          <w:szCs w:val="20"/>
        </w:rPr>
        <w:t>, kas stiprin</w:t>
      </w:r>
      <w:r>
        <w:rPr>
          <w:bCs/>
          <w:szCs w:val="20"/>
        </w:rPr>
        <w:t>ās</w:t>
      </w:r>
      <w:r w:rsidRPr="00407B21">
        <w:rPr>
          <w:bCs/>
          <w:szCs w:val="20"/>
        </w:rPr>
        <w:t xml:space="preserve"> indivīda mācību ceļu īstenošanu, pārvaldību un informācijas par mācīšanas rezultātiem uzglabāšanu, kā arī sekmē</w:t>
      </w:r>
      <w:r>
        <w:rPr>
          <w:bCs/>
          <w:szCs w:val="20"/>
        </w:rPr>
        <w:t>s</w:t>
      </w:r>
      <w:r w:rsidRPr="00407B21">
        <w:rPr>
          <w:bCs/>
          <w:szCs w:val="20"/>
        </w:rPr>
        <w:t xml:space="preserve"> pieaugušo dalību izglītībā, palīdzot apgūt un pilnveidot digitālās prasmes, tostarp veicinot piekļuvi starptautisku un ārvalstu mācību platformu mācību iespējām, izmantojot </w:t>
      </w:r>
      <w:r>
        <w:rPr>
          <w:bCs/>
          <w:szCs w:val="20"/>
        </w:rPr>
        <w:t>IMK</w:t>
      </w:r>
      <w:r w:rsidRPr="00407B21">
        <w:rPr>
          <w:bCs/>
          <w:szCs w:val="20"/>
        </w:rPr>
        <w:t xml:space="preserve"> resursus. Pasākuma finansējumu veido </w:t>
      </w:r>
      <w:r>
        <w:rPr>
          <w:bCs/>
          <w:szCs w:val="20"/>
        </w:rPr>
        <w:t>ANM</w:t>
      </w:r>
      <w:r w:rsidRPr="00407B21">
        <w:rPr>
          <w:bCs/>
          <w:szCs w:val="20"/>
        </w:rPr>
        <w:t xml:space="preserve"> finansējums 14,30 milj. EUR apmērā un plānots, ka līdz 2026.gada 31. maijam vismaz 3 500 pieaugušajiem, </w:t>
      </w:r>
      <w:r>
        <w:rPr>
          <w:bCs/>
          <w:szCs w:val="20"/>
        </w:rPr>
        <w:t>tiks</w:t>
      </w:r>
      <w:r w:rsidRPr="00407B21">
        <w:rPr>
          <w:bCs/>
          <w:szCs w:val="20"/>
        </w:rPr>
        <w:t xml:space="preserve"> palīdzēts apgūt digitālās prasmes</w:t>
      </w:r>
      <w:r>
        <w:rPr>
          <w:bCs/>
          <w:szCs w:val="20"/>
        </w:rPr>
        <w:t xml:space="preserve">, </w:t>
      </w:r>
      <w:r w:rsidRPr="00407B21">
        <w:rPr>
          <w:bCs/>
          <w:szCs w:val="20"/>
        </w:rPr>
        <w:t>izmantojot individuālo mācību kontu resursus</w:t>
      </w:r>
      <w:r>
        <w:rPr>
          <w:bCs/>
          <w:szCs w:val="20"/>
        </w:rPr>
        <w:t xml:space="preserve">. </w:t>
      </w:r>
    </w:p>
    <w:p w14:paraId="79CF04FA" w14:textId="77777777" w:rsidR="006B2087" w:rsidRPr="008F10C5" w:rsidRDefault="006B2087" w:rsidP="006B2087">
      <w:pPr>
        <w:spacing w:after="120"/>
        <w:jc w:val="both"/>
      </w:pPr>
      <w:r>
        <w:rPr>
          <w:bCs/>
          <w:szCs w:val="20"/>
        </w:rPr>
        <w:t xml:space="preserve">Tāpat </w:t>
      </w:r>
      <w:r>
        <w:rPr>
          <w:szCs w:val="20"/>
        </w:rPr>
        <w:t>ANM</w:t>
      </w:r>
      <w:r w:rsidRPr="0063258F">
        <w:rPr>
          <w:szCs w:val="20"/>
        </w:rPr>
        <w:t xml:space="preserve"> plān</w:t>
      </w:r>
      <w:r>
        <w:rPr>
          <w:szCs w:val="20"/>
        </w:rPr>
        <w:t xml:space="preserve">a reformas ietvaros ir </w:t>
      </w:r>
      <w:r w:rsidRPr="0063258F">
        <w:rPr>
          <w:bCs/>
          <w:szCs w:val="20"/>
        </w:rPr>
        <w:t xml:space="preserve">paredzēts attīstīt un pilotēt </w:t>
      </w:r>
      <w:r>
        <w:rPr>
          <w:bCs/>
          <w:szCs w:val="20"/>
        </w:rPr>
        <w:t xml:space="preserve">Latvijas kontekstam atbilstošus </w:t>
      </w:r>
      <w:r w:rsidRPr="0063258F">
        <w:rPr>
          <w:bCs/>
          <w:szCs w:val="20"/>
        </w:rPr>
        <w:t>Prasmju fondus. Atbalsts ir paredzēts publiskās un privātās partnerības instrument</w:t>
      </w:r>
      <w:r>
        <w:rPr>
          <w:bCs/>
          <w:szCs w:val="20"/>
        </w:rPr>
        <w:t>a – Prasmju fondu</w:t>
      </w:r>
      <w:r w:rsidRPr="0063258F">
        <w:rPr>
          <w:bCs/>
          <w:szCs w:val="20"/>
        </w:rPr>
        <w:t xml:space="preserve"> attīstībai</w:t>
      </w:r>
      <w:r>
        <w:rPr>
          <w:bCs/>
          <w:szCs w:val="20"/>
        </w:rPr>
        <w:t>, kur f</w:t>
      </w:r>
      <w:r w:rsidRPr="0063258F">
        <w:rPr>
          <w:bCs/>
          <w:szCs w:val="20"/>
        </w:rPr>
        <w:t xml:space="preserve">inansējuma </w:t>
      </w:r>
      <w:r w:rsidRPr="0063258F">
        <w:rPr>
          <w:bCs/>
          <w:szCs w:val="20"/>
        </w:rPr>
        <w:lastRenderedPageBreak/>
        <w:t>saņēmēj</w:t>
      </w:r>
      <w:r>
        <w:rPr>
          <w:bCs/>
          <w:szCs w:val="20"/>
        </w:rPr>
        <w:t xml:space="preserve">s būs </w:t>
      </w:r>
      <w:r w:rsidRPr="0063258F">
        <w:rPr>
          <w:bCs/>
          <w:szCs w:val="20"/>
        </w:rPr>
        <w:t>darba devēju un darba ņēmēju pārstāvoš</w:t>
      </w:r>
      <w:r>
        <w:rPr>
          <w:bCs/>
          <w:szCs w:val="20"/>
        </w:rPr>
        <w:t>u</w:t>
      </w:r>
      <w:r w:rsidRPr="0063258F">
        <w:rPr>
          <w:bCs/>
          <w:szCs w:val="20"/>
        </w:rPr>
        <w:t xml:space="preserve"> institūcij</w:t>
      </w:r>
      <w:r>
        <w:rPr>
          <w:bCs/>
          <w:szCs w:val="20"/>
        </w:rPr>
        <w:t>u</w:t>
      </w:r>
      <w:r w:rsidRPr="0063258F">
        <w:rPr>
          <w:bCs/>
          <w:szCs w:val="20"/>
        </w:rPr>
        <w:t xml:space="preserve"> un valsts institūcij</w:t>
      </w:r>
      <w:r>
        <w:rPr>
          <w:bCs/>
          <w:szCs w:val="20"/>
        </w:rPr>
        <w:t>u</w:t>
      </w:r>
      <w:r w:rsidRPr="0063258F">
        <w:rPr>
          <w:bCs/>
          <w:szCs w:val="20"/>
        </w:rPr>
        <w:t xml:space="preserve"> partnerība. Pieejamais indikatīvais finansējums 2024.-2029.</w:t>
      </w:r>
      <w:r>
        <w:rPr>
          <w:bCs/>
          <w:szCs w:val="20"/>
        </w:rPr>
        <w:t xml:space="preserve">gadam ir </w:t>
      </w:r>
      <w:r w:rsidRPr="0063258F">
        <w:rPr>
          <w:bCs/>
          <w:szCs w:val="20"/>
        </w:rPr>
        <w:t xml:space="preserve">ESF 5,8 milj. EUR. </w:t>
      </w:r>
      <w:r>
        <w:rPr>
          <w:bCs/>
          <w:szCs w:val="20"/>
        </w:rPr>
        <w:t xml:space="preserve">Finansējuma mērķis ir  izstrādāt </w:t>
      </w:r>
      <w:r w:rsidRPr="008F10C5">
        <w:rPr>
          <w:bCs/>
          <w:szCs w:val="20"/>
        </w:rPr>
        <w:t xml:space="preserve"> Latvijai atbilstošu prasmju fondu finansēšanas</w:t>
      </w:r>
      <w:r>
        <w:rPr>
          <w:bCs/>
          <w:szCs w:val="20"/>
        </w:rPr>
        <w:t xml:space="preserve">, </w:t>
      </w:r>
      <w:r w:rsidRPr="008F10C5">
        <w:rPr>
          <w:bCs/>
          <w:szCs w:val="20"/>
        </w:rPr>
        <w:t xml:space="preserve">darbības </w:t>
      </w:r>
      <w:r>
        <w:rPr>
          <w:bCs/>
          <w:szCs w:val="20"/>
        </w:rPr>
        <w:t xml:space="preserve">un pārvaldības </w:t>
      </w:r>
      <w:r w:rsidRPr="008F10C5">
        <w:rPr>
          <w:bCs/>
          <w:szCs w:val="20"/>
        </w:rPr>
        <w:t xml:space="preserve">modeli, ar nodomu tam ilgtermiņā kļūt par </w:t>
      </w:r>
      <w:proofErr w:type="spellStart"/>
      <w:r w:rsidRPr="008F10C5">
        <w:rPr>
          <w:bCs/>
          <w:szCs w:val="20"/>
        </w:rPr>
        <w:t>pašregulējošu</w:t>
      </w:r>
      <w:proofErr w:type="spellEnd"/>
      <w:r w:rsidRPr="008F10C5">
        <w:rPr>
          <w:bCs/>
          <w:szCs w:val="20"/>
        </w:rPr>
        <w:t xml:space="preserve"> un </w:t>
      </w:r>
      <w:proofErr w:type="spellStart"/>
      <w:r w:rsidRPr="008F10C5">
        <w:rPr>
          <w:bCs/>
          <w:szCs w:val="20"/>
        </w:rPr>
        <w:t>pašfinansējošu</w:t>
      </w:r>
      <w:proofErr w:type="spellEnd"/>
      <w:r w:rsidRPr="008F10C5">
        <w:rPr>
          <w:bCs/>
          <w:szCs w:val="20"/>
        </w:rPr>
        <w:t xml:space="preserve"> struktūru, attīstot sociālajā dialogā balstītu sistēmu nozares </w:t>
      </w:r>
      <w:r>
        <w:rPr>
          <w:bCs/>
          <w:szCs w:val="20"/>
        </w:rPr>
        <w:t xml:space="preserve">stratēģiskai </w:t>
      </w:r>
      <w:proofErr w:type="spellStart"/>
      <w:r>
        <w:rPr>
          <w:bCs/>
          <w:szCs w:val="20"/>
        </w:rPr>
        <w:t>cilvēkkapitāla</w:t>
      </w:r>
      <w:proofErr w:type="spellEnd"/>
      <w:r>
        <w:rPr>
          <w:bCs/>
          <w:szCs w:val="20"/>
        </w:rPr>
        <w:t xml:space="preserve"> attīstībai</w:t>
      </w:r>
      <w:r w:rsidRPr="008F10C5">
        <w:rPr>
          <w:bCs/>
          <w:szCs w:val="20"/>
        </w:rPr>
        <w:t xml:space="preserve"> </w:t>
      </w:r>
      <w:r>
        <w:t>un jaunu darbinieku piesaistei.</w:t>
      </w:r>
    </w:p>
    <w:p w14:paraId="71511999" w14:textId="7520DD7A" w:rsidR="006B634C" w:rsidRPr="002C2AC9" w:rsidRDefault="006B634C" w:rsidP="003A549D">
      <w:pPr>
        <w:spacing w:after="120"/>
        <w:jc w:val="both"/>
        <w:rPr>
          <w:rFonts w:ascii="Aptos Narrow" w:hAnsi="Aptos Narrow"/>
          <w:b/>
          <w:bCs/>
          <w:color w:val="5F497A" w:themeColor="accent4" w:themeShade="BF"/>
          <w:sz w:val="28"/>
          <w:szCs w:val="28"/>
        </w:rPr>
      </w:pPr>
      <w:r w:rsidRPr="006B634C">
        <w:rPr>
          <w:b/>
          <w:szCs w:val="20"/>
        </w:rPr>
        <w:t xml:space="preserve">Atbalsts nodarbināto kvalifikācijas </w:t>
      </w:r>
      <w:r w:rsidR="00971243" w:rsidRPr="006B634C">
        <w:rPr>
          <w:b/>
          <w:szCs w:val="20"/>
        </w:rPr>
        <w:t>pilnveid</w:t>
      </w:r>
      <w:r w:rsidR="00971243">
        <w:rPr>
          <w:b/>
          <w:szCs w:val="20"/>
        </w:rPr>
        <w:t xml:space="preserve">ei un </w:t>
      </w:r>
      <w:r w:rsidR="00971243" w:rsidRPr="00971243">
        <w:rPr>
          <w:rFonts w:cs="Calibri Light"/>
          <w:b/>
          <w:bCs/>
          <w:szCs w:val="20"/>
        </w:rPr>
        <w:t>atbalsts dalības šķēršļu mazināšanai</w:t>
      </w:r>
      <w:r w:rsidRPr="006B634C">
        <w:rPr>
          <w:b/>
          <w:szCs w:val="20"/>
        </w:rPr>
        <w:t>.</w:t>
      </w:r>
      <w:r>
        <w:rPr>
          <w:rFonts w:ascii="Aptos Narrow" w:hAnsi="Aptos Narrow"/>
          <w:b/>
          <w:bCs/>
          <w:color w:val="5F497A" w:themeColor="accent4" w:themeShade="BF"/>
          <w:sz w:val="28"/>
          <w:szCs w:val="28"/>
        </w:rPr>
        <w:t xml:space="preserve"> </w:t>
      </w:r>
      <w:r w:rsidRPr="00BB1E54">
        <w:rPr>
          <w:bCs/>
          <w:szCs w:val="20"/>
        </w:rPr>
        <w:t xml:space="preserve">2023. gada decembrī noslēdzās 2017. gadā uzsāktais ESF projekts “Nodarbināto personu profesionālās kompetences pilnveide”, kuru īstenoja Valsts izglītības attīstības aģentūra </w:t>
      </w:r>
      <w:r w:rsidR="0036601F">
        <w:rPr>
          <w:bCs/>
          <w:szCs w:val="20"/>
        </w:rPr>
        <w:t xml:space="preserve">(VIAA) </w:t>
      </w:r>
      <w:r w:rsidRPr="00BB1E54">
        <w:rPr>
          <w:bCs/>
          <w:szCs w:val="20"/>
        </w:rPr>
        <w:t>sadarbībā ar Latvijas pašvaldībām, izglītības iestādēm un Nodarbinātības valsts aģentūru (NVA). Projekta ietvaros 10 mācību kārtās dažādas izglītības programmas pabeidza nepini 77 tūkst. dalībnieki, tai skaitā 14,6 tūkst.</w:t>
      </w:r>
      <w:r w:rsidRPr="00BB1E54">
        <w:t xml:space="preserve"> </w:t>
      </w:r>
      <w:r w:rsidRPr="00BB1E54">
        <w:rPr>
          <w:bCs/>
          <w:szCs w:val="20"/>
        </w:rPr>
        <w:t xml:space="preserve">personas ar zemu izglītības līmeni. Vairāk nekā puse no projektā iesaistītajiem nodarbinātajiem mācību ietvaros pilnveidoja digitālās prasmes. Nodarbinātajiem projektā bija iespēja saņemt kompensāciju par profesionālās kvalifikācijas eksāmena nokārtošanu un kvalifikācijas iegūšanu, apliecinot darba gaitā vai personiskajā dzīvē iegūtās profesionālās zināšanas un prasmes kādā profesijā. Kopumā šo iespēju izmantoja 1909 personas. Projektā iesaistījās 124 izglītības iestādes kopumā piedāvājot apgūt 2309 dažādas izglītības programmas. Nodarbināto mācības turpināsies </w:t>
      </w:r>
      <w:bookmarkStart w:id="97" w:name="_Hlk169269335"/>
      <w:r w:rsidRPr="00BB1E54">
        <w:rPr>
          <w:bCs/>
          <w:szCs w:val="20"/>
        </w:rPr>
        <w:t xml:space="preserve">ES fondu 2021.-2027. gadam plānošanas periodā </w:t>
      </w:r>
      <w:bookmarkEnd w:id="97"/>
      <w:r w:rsidRPr="00BB1E54">
        <w:rPr>
          <w:bCs/>
          <w:szCs w:val="20"/>
        </w:rPr>
        <w:t xml:space="preserve">ESF+ projekta ietvaros “Atbalsts pieaugušo individuālajās vajadzībās balstītai pieaugušo izglītībai”, kura īstenošanas noteikumus MK apstiprināja 2024. gada 5. maijā. Paredzēts, ka līdz 2029. gada 31. decembrim 28 tūkst. nodarbinātajiem, tostarp </w:t>
      </w:r>
      <w:proofErr w:type="spellStart"/>
      <w:r w:rsidRPr="00BB1E54">
        <w:rPr>
          <w:bCs/>
          <w:szCs w:val="20"/>
        </w:rPr>
        <w:t>pašnodarbinātajiem</w:t>
      </w:r>
      <w:proofErr w:type="spellEnd"/>
      <w:r w:rsidRPr="00BB1E54">
        <w:rPr>
          <w:bCs/>
          <w:szCs w:val="20"/>
        </w:rPr>
        <w:t xml:space="preserve">, līdz būs iespēja apgūt jaunas zināšanas un pilnveidot prasmes, iegūt profesionālo kvalifikāciju vai pārkvalificēties. </w:t>
      </w:r>
      <w:r w:rsidR="00971243">
        <w:rPr>
          <w:bCs/>
          <w:szCs w:val="20"/>
        </w:rPr>
        <w:t>P</w:t>
      </w:r>
      <w:r w:rsidRPr="00BB1E54">
        <w:rPr>
          <w:bCs/>
          <w:szCs w:val="20"/>
        </w:rPr>
        <w:t xml:space="preserve">rioritāri atbalsts </w:t>
      </w:r>
      <w:r w:rsidR="00971243">
        <w:rPr>
          <w:bCs/>
          <w:szCs w:val="20"/>
        </w:rPr>
        <w:t>tiks sniegts</w:t>
      </w:r>
      <w:r w:rsidR="00971243" w:rsidRPr="00BB1E54">
        <w:rPr>
          <w:bCs/>
          <w:szCs w:val="20"/>
        </w:rPr>
        <w:t xml:space="preserve"> </w:t>
      </w:r>
      <w:r w:rsidRPr="00BB1E54">
        <w:rPr>
          <w:bCs/>
          <w:szCs w:val="20"/>
        </w:rPr>
        <w:t>nodarbinātajiem ar zemu izglītības līmeni</w:t>
      </w:r>
      <w:r w:rsidR="00971243">
        <w:rPr>
          <w:bCs/>
          <w:szCs w:val="20"/>
        </w:rPr>
        <w:t>, paredzot atbalstu 14 tūkst. nodarbināto ar zemu izglītības līmeni</w:t>
      </w:r>
      <w:r w:rsidRPr="00BB1E54">
        <w:rPr>
          <w:bCs/>
          <w:szCs w:val="20"/>
        </w:rPr>
        <w:t>.</w:t>
      </w:r>
      <w:r w:rsidR="00971243">
        <w:rPr>
          <w:bCs/>
          <w:szCs w:val="20"/>
        </w:rPr>
        <w:t xml:space="preserve"> </w:t>
      </w:r>
      <w:r w:rsidR="0036601F">
        <w:rPr>
          <w:bCs/>
          <w:szCs w:val="20"/>
        </w:rPr>
        <w:t xml:space="preserve">Vienlaikus projekta ietvaros VIAA izstrādās </w:t>
      </w:r>
      <w:r w:rsidR="0036601F" w:rsidRPr="0036601F">
        <w:rPr>
          <w:bCs/>
          <w:szCs w:val="20"/>
        </w:rPr>
        <w:t>konceptuāl</w:t>
      </w:r>
      <w:r w:rsidR="0036601F">
        <w:rPr>
          <w:bCs/>
          <w:szCs w:val="20"/>
        </w:rPr>
        <w:t>a</w:t>
      </w:r>
      <w:r w:rsidR="0036601F" w:rsidRPr="0036601F">
        <w:rPr>
          <w:bCs/>
          <w:szCs w:val="20"/>
        </w:rPr>
        <w:t xml:space="preserve"> risinājuma aprakst</w:t>
      </w:r>
      <w:r w:rsidR="0036601F">
        <w:rPr>
          <w:bCs/>
          <w:szCs w:val="20"/>
        </w:rPr>
        <w:t>u</w:t>
      </w:r>
      <w:r w:rsidR="0036601F" w:rsidRPr="0036601F">
        <w:rPr>
          <w:bCs/>
          <w:szCs w:val="20"/>
        </w:rPr>
        <w:t xml:space="preserve"> un tā īstenošanas plān</w:t>
      </w:r>
      <w:r w:rsidR="0036601F">
        <w:rPr>
          <w:bCs/>
          <w:szCs w:val="20"/>
        </w:rPr>
        <w:t>u</w:t>
      </w:r>
      <w:r w:rsidR="0036601F" w:rsidRPr="0036601F">
        <w:rPr>
          <w:bCs/>
          <w:szCs w:val="20"/>
        </w:rPr>
        <w:t>, lai sasniegtu, informētu un motivētu nodarbinātos ar zemu izglītības līmeni iesaistīties mācībās</w:t>
      </w:r>
      <w:r w:rsidR="0036601F">
        <w:rPr>
          <w:bCs/>
          <w:szCs w:val="20"/>
        </w:rPr>
        <w:t>.</w:t>
      </w:r>
      <w:r w:rsidR="0036601F" w:rsidRPr="0036601F">
        <w:rPr>
          <w:bCs/>
          <w:szCs w:val="20"/>
        </w:rPr>
        <w:t xml:space="preserve"> </w:t>
      </w:r>
      <w:r w:rsidR="0036601F">
        <w:rPr>
          <w:bCs/>
          <w:szCs w:val="20"/>
        </w:rPr>
        <w:t>I</w:t>
      </w:r>
      <w:r w:rsidR="0036601F" w:rsidRPr="0036601F">
        <w:rPr>
          <w:bCs/>
          <w:szCs w:val="20"/>
        </w:rPr>
        <w:t>zvērtējot projekta īstenošanas progresu,</w:t>
      </w:r>
      <w:r w:rsidR="0036601F">
        <w:rPr>
          <w:bCs/>
          <w:szCs w:val="20"/>
        </w:rPr>
        <w:t xml:space="preserve"> VIAA</w:t>
      </w:r>
      <w:r w:rsidR="0036601F" w:rsidRPr="0036601F">
        <w:rPr>
          <w:bCs/>
          <w:szCs w:val="20"/>
        </w:rPr>
        <w:t xml:space="preserve"> reizi gadā aktualizē</w:t>
      </w:r>
      <w:r w:rsidR="0036601F">
        <w:rPr>
          <w:bCs/>
          <w:szCs w:val="20"/>
        </w:rPr>
        <w:t>s</w:t>
      </w:r>
      <w:r w:rsidR="0036601F" w:rsidRPr="0036601F">
        <w:rPr>
          <w:bCs/>
          <w:szCs w:val="20"/>
        </w:rPr>
        <w:t xml:space="preserve"> konceptuālo risinājuma aprakstu un plānu.</w:t>
      </w:r>
    </w:p>
    <w:p w14:paraId="267701BF" w14:textId="4ABC7022" w:rsidR="001F4651" w:rsidRPr="006B634C" w:rsidRDefault="001F4651" w:rsidP="0036601F">
      <w:pPr>
        <w:spacing w:after="120"/>
        <w:jc w:val="both"/>
        <w:rPr>
          <w:rFonts w:ascii="Aptos Narrow" w:hAnsi="Aptos Narrow"/>
          <w:b/>
          <w:bCs/>
          <w:color w:val="5F497A" w:themeColor="accent4" w:themeShade="BF"/>
          <w:sz w:val="28"/>
          <w:szCs w:val="28"/>
        </w:rPr>
      </w:pPr>
      <w:r w:rsidRPr="006B634C">
        <w:rPr>
          <w:b/>
          <w:szCs w:val="20"/>
        </w:rPr>
        <w:t>Atbalsts uzņēmējiem nodarbināto prasmju pilnveidei.</w:t>
      </w:r>
      <w:r>
        <w:rPr>
          <w:rFonts w:ascii="Aptos Narrow" w:hAnsi="Aptos Narrow"/>
          <w:b/>
          <w:bCs/>
          <w:color w:val="5F497A" w:themeColor="accent4" w:themeShade="BF"/>
          <w:sz w:val="28"/>
          <w:szCs w:val="28"/>
        </w:rPr>
        <w:t xml:space="preserve"> </w:t>
      </w:r>
      <w:r w:rsidRPr="00BB1E54">
        <w:rPr>
          <w:bCs/>
          <w:szCs w:val="20"/>
        </w:rPr>
        <w:t>Lai sekmētu uzņēmuma digitālo transformāciju un konkurētspēju, ANM digitālās transformācijas komponentes ietvaros plānotas investīcijas uzņēmumu digitālo prasmju attīstībai</w:t>
      </w:r>
      <w:r w:rsidRPr="00BB1E54">
        <w:t xml:space="preserve">. Atveseļošanas fonda atbalsta programma tika apstiprināta 2023. gada 12. septembrī. Tās mērķis ir pilnveidot Latvijas sīko (mikro), mazo, vidējo un lielo komersantu digitālās, robotizācijas un automatizācijas prasmes, tai skaitā prasmes, kas sekmētu eksporta veicināšanu, augsta līmeņa digitālās pārvaldības </w:t>
      </w:r>
      <w:proofErr w:type="spellStart"/>
      <w:r w:rsidRPr="00BB1E54">
        <w:t>pamatprasmes</w:t>
      </w:r>
      <w:proofErr w:type="spellEnd"/>
      <w:r w:rsidRPr="00BB1E54">
        <w:t xml:space="preserve"> uzņēmumu vadības līmenī un prasmes digitālo tehnoloģiju izmantošanai dažādos uzņēmējdarbības procesos. Investīcijai pieejamais Atveseļošanas fonda finansējums ir 20 milj. EUR, un plānots, ka programmas ietvaros līdz 2026. gada vidum atbalstu darbinieku digitālo prasmju pilnveidei saņems vismaz 2521 komersanti. Apmācības digitālo prasmju pilnveidei uzņēmumu darbiniekiem pieejamas caur Eiropas digitālās inovācijas centriem (EDIC) vai konkursa kārtībā atlasītām biedrībām jeb nozares asociācijām. Biedrības nodrošina pamata prasmju apmācību kursus komersantu darbiniekiem tiešsaistē, klātienē un </w:t>
      </w:r>
      <w:proofErr w:type="spellStart"/>
      <w:r w:rsidRPr="00BB1E54">
        <w:t>hibrīdformātā</w:t>
      </w:r>
      <w:proofErr w:type="spellEnd"/>
      <w:r w:rsidRPr="00BB1E54">
        <w:t xml:space="preserve">, savukārt EDIC komersantu darbiniekiem nodrošina specializēto jomu apmācību kursus. Līdz šim atbalsta programmas ietvaros 2 kārtās saņemti 9 biedrību projekti. </w:t>
      </w:r>
      <w:r w:rsidRPr="00BB1E54">
        <w:rPr>
          <w:bCs/>
          <w:szCs w:val="20"/>
        </w:rPr>
        <w:t>Minēto investīciju plānots turpināt arī ES fondu 2021–2027. gadam plānošanas ietvaros, tam novirzot vēl 10 milj. EUR.</w:t>
      </w:r>
    </w:p>
    <w:p w14:paraId="6A451AE1" w14:textId="77777777" w:rsidR="003229C8" w:rsidRPr="00BB1E54" w:rsidRDefault="003229C8" w:rsidP="00082FD2">
      <w:pPr>
        <w:pStyle w:val="paragraph"/>
        <w:pBdr>
          <w:top w:val="single" w:sz="4" w:space="6" w:color="auto" w:shadow="1"/>
          <w:left w:val="single" w:sz="4" w:space="6" w:color="auto" w:shadow="1"/>
          <w:bottom w:val="single" w:sz="4" w:space="6" w:color="auto" w:shadow="1"/>
          <w:right w:val="single" w:sz="4" w:space="6" w:color="auto" w:shadow="1"/>
        </w:pBdr>
        <w:shd w:val="clear" w:color="auto" w:fill="E5DFEC"/>
        <w:spacing w:before="0" w:beforeAutospacing="0" w:after="240" w:afterAutospacing="0"/>
        <w:jc w:val="right"/>
        <w:textAlignment w:val="baseline"/>
        <w:rPr>
          <w:rFonts w:ascii="Segoe UI" w:hAnsi="Segoe UI" w:cs="Segoe UI"/>
          <w:sz w:val="18"/>
          <w:szCs w:val="18"/>
          <w:lang w:val="lv-LV"/>
        </w:rPr>
      </w:pPr>
      <w:r w:rsidRPr="00BB1E54">
        <w:rPr>
          <w:rStyle w:val="normaltextrun"/>
          <w:rFonts w:ascii="Segoe UI Light" w:hAnsi="Segoe UI Light" w:cs="Segoe UI Light"/>
          <w:b/>
          <w:bCs/>
          <w:sz w:val="18"/>
          <w:szCs w:val="18"/>
          <w:lang w:val="lv-LV"/>
        </w:rPr>
        <w:t>Atbalsts darba devējiem prasmju attīstīšanas veicināšanā Latvijā</w:t>
      </w:r>
      <w:r w:rsidRPr="00BB1E54">
        <w:rPr>
          <w:rStyle w:val="eop"/>
          <w:rFonts w:ascii="Segoe UI Light" w:hAnsi="Segoe UI Light" w:cs="Segoe UI Light"/>
          <w:sz w:val="18"/>
          <w:szCs w:val="18"/>
          <w:lang w:val="lv-LV"/>
        </w:rPr>
        <w:t> </w:t>
      </w:r>
    </w:p>
    <w:p w14:paraId="428DADD4" w14:textId="77777777" w:rsidR="003229C8" w:rsidRPr="00BB1E54" w:rsidRDefault="003229C8" w:rsidP="003A549D">
      <w:pPr>
        <w:pStyle w:val="paragraph"/>
        <w:pBdr>
          <w:top w:val="single" w:sz="4" w:space="6" w:color="auto" w:shadow="1"/>
          <w:left w:val="single" w:sz="4" w:space="6" w:color="auto" w:shadow="1"/>
          <w:bottom w:val="single" w:sz="4" w:space="6" w:color="auto" w:shadow="1"/>
          <w:right w:val="single" w:sz="4" w:space="6" w:color="auto" w:shadow="1"/>
        </w:pBdr>
        <w:shd w:val="clear" w:color="auto" w:fill="E5DFEC"/>
        <w:spacing w:before="0" w:beforeAutospacing="0" w:after="0" w:afterAutospacing="0"/>
        <w:jc w:val="both"/>
        <w:textAlignment w:val="baseline"/>
        <w:rPr>
          <w:rStyle w:val="normaltextrun"/>
          <w:rFonts w:ascii="Segoe UI Light" w:hAnsi="Segoe UI Light" w:cs="Segoe UI Light"/>
          <w:sz w:val="16"/>
          <w:szCs w:val="16"/>
          <w:lang w:val="lv-LV"/>
        </w:rPr>
      </w:pPr>
      <w:r w:rsidRPr="00BB1E54">
        <w:rPr>
          <w:rStyle w:val="normaltextrun"/>
          <w:rFonts w:ascii="Segoe UI Light" w:hAnsi="Segoe UI Light" w:cs="Segoe UI Light"/>
          <w:sz w:val="16"/>
          <w:szCs w:val="16"/>
          <w:lang w:val="lv-LV"/>
        </w:rPr>
        <w:t>2023. gada septembrī noslēdzās 2021. gadā uzsāktā EK Strukturālo reformu atbalsta ģenerāldirektorāts sadarbībā ar OECD uzsāktā IZM pieteiktā Tehniskā atbalsta instrumenta projekta “Atbalsts darba devējiem prasmju attīstīšanas veicināšanā Latvijā” (“</w:t>
      </w:r>
      <w:proofErr w:type="spellStart"/>
      <w:r w:rsidRPr="00BB1E54">
        <w:rPr>
          <w:rStyle w:val="normaltextrun"/>
          <w:rFonts w:ascii="Segoe UI Light" w:hAnsi="Segoe UI Light" w:cs="Segoe UI Light"/>
          <w:sz w:val="16"/>
          <w:szCs w:val="16"/>
          <w:lang w:val="lv-LV"/>
        </w:rPr>
        <w:t>Support</w:t>
      </w:r>
      <w:proofErr w:type="spellEnd"/>
      <w:r w:rsidRPr="00BB1E54">
        <w:rPr>
          <w:rStyle w:val="normaltextrun"/>
          <w:rFonts w:ascii="Segoe UI Light" w:hAnsi="Segoe UI Light" w:cs="Segoe UI Light"/>
          <w:sz w:val="16"/>
          <w:szCs w:val="16"/>
          <w:lang w:val="lv-LV"/>
        </w:rPr>
        <w:t xml:space="preserve"> </w:t>
      </w:r>
      <w:proofErr w:type="spellStart"/>
      <w:r w:rsidRPr="00BB1E54">
        <w:rPr>
          <w:rStyle w:val="normaltextrun"/>
          <w:rFonts w:ascii="Segoe UI Light" w:hAnsi="Segoe UI Light" w:cs="Segoe UI Light"/>
          <w:sz w:val="16"/>
          <w:szCs w:val="16"/>
          <w:lang w:val="lv-LV"/>
        </w:rPr>
        <w:t>employers</w:t>
      </w:r>
      <w:proofErr w:type="spellEnd"/>
      <w:r w:rsidRPr="00BB1E54">
        <w:rPr>
          <w:rStyle w:val="normaltextrun"/>
          <w:rFonts w:ascii="Segoe UI Light" w:hAnsi="Segoe UI Light" w:cs="Segoe UI Light"/>
          <w:sz w:val="16"/>
          <w:szCs w:val="16"/>
          <w:lang w:val="lv-LV"/>
        </w:rPr>
        <w:t xml:space="preserve"> </w:t>
      </w:r>
      <w:proofErr w:type="spellStart"/>
      <w:r w:rsidRPr="00BB1E54">
        <w:rPr>
          <w:rStyle w:val="normaltextrun"/>
          <w:rFonts w:ascii="Segoe UI Light" w:hAnsi="Segoe UI Light" w:cs="Segoe UI Light"/>
          <w:sz w:val="16"/>
          <w:szCs w:val="16"/>
          <w:lang w:val="lv-LV"/>
        </w:rPr>
        <w:t>in</w:t>
      </w:r>
      <w:proofErr w:type="spellEnd"/>
      <w:r w:rsidRPr="00BB1E54">
        <w:rPr>
          <w:rStyle w:val="normaltextrun"/>
          <w:rFonts w:ascii="Segoe UI Light" w:hAnsi="Segoe UI Light" w:cs="Segoe UI Light"/>
          <w:sz w:val="16"/>
          <w:szCs w:val="16"/>
          <w:lang w:val="lv-LV"/>
        </w:rPr>
        <w:t xml:space="preserve"> </w:t>
      </w:r>
      <w:proofErr w:type="spellStart"/>
      <w:r w:rsidRPr="00BB1E54">
        <w:rPr>
          <w:rStyle w:val="normaltextrun"/>
          <w:rFonts w:ascii="Segoe UI Light" w:hAnsi="Segoe UI Light" w:cs="Segoe UI Light"/>
          <w:sz w:val="16"/>
          <w:szCs w:val="16"/>
          <w:lang w:val="lv-LV"/>
        </w:rPr>
        <w:t>promoting</w:t>
      </w:r>
      <w:proofErr w:type="spellEnd"/>
      <w:r w:rsidRPr="00BB1E54">
        <w:rPr>
          <w:rStyle w:val="normaltextrun"/>
          <w:rFonts w:ascii="Segoe UI Light" w:hAnsi="Segoe UI Light" w:cs="Segoe UI Light"/>
          <w:sz w:val="16"/>
          <w:szCs w:val="16"/>
          <w:lang w:val="lv-LV"/>
        </w:rPr>
        <w:t xml:space="preserve"> </w:t>
      </w:r>
      <w:proofErr w:type="spellStart"/>
      <w:r w:rsidRPr="00BB1E54">
        <w:rPr>
          <w:rStyle w:val="normaltextrun"/>
          <w:rFonts w:ascii="Segoe UI Light" w:hAnsi="Segoe UI Light" w:cs="Segoe UI Light"/>
          <w:sz w:val="16"/>
          <w:szCs w:val="16"/>
          <w:lang w:val="lv-LV"/>
        </w:rPr>
        <w:t>skills</w:t>
      </w:r>
      <w:proofErr w:type="spellEnd"/>
      <w:r w:rsidRPr="00BB1E54">
        <w:rPr>
          <w:rStyle w:val="normaltextrun"/>
          <w:rFonts w:ascii="Segoe UI Light" w:hAnsi="Segoe UI Light" w:cs="Segoe UI Light"/>
          <w:sz w:val="16"/>
          <w:szCs w:val="16"/>
          <w:lang w:val="lv-LV"/>
        </w:rPr>
        <w:t xml:space="preserve"> </w:t>
      </w:r>
      <w:proofErr w:type="spellStart"/>
      <w:r w:rsidRPr="00BB1E54">
        <w:rPr>
          <w:rStyle w:val="normaltextrun"/>
          <w:rFonts w:ascii="Segoe UI Light" w:hAnsi="Segoe UI Light" w:cs="Segoe UI Light"/>
          <w:sz w:val="16"/>
          <w:szCs w:val="16"/>
          <w:lang w:val="lv-LV"/>
        </w:rPr>
        <w:t>development</w:t>
      </w:r>
      <w:proofErr w:type="spellEnd"/>
      <w:r w:rsidRPr="00BB1E54">
        <w:rPr>
          <w:rStyle w:val="normaltextrun"/>
          <w:rFonts w:ascii="Segoe UI Light" w:hAnsi="Segoe UI Light" w:cs="Segoe UI Light"/>
          <w:sz w:val="16"/>
          <w:szCs w:val="16"/>
          <w:lang w:val="lv-LV"/>
        </w:rPr>
        <w:t xml:space="preserve"> </w:t>
      </w:r>
      <w:proofErr w:type="spellStart"/>
      <w:r w:rsidRPr="00BB1E54">
        <w:rPr>
          <w:rStyle w:val="normaltextrun"/>
          <w:rFonts w:ascii="Segoe UI Light" w:hAnsi="Segoe UI Light" w:cs="Segoe UI Light"/>
          <w:sz w:val="16"/>
          <w:szCs w:val="16"/>
          <w:lang w:val="lv-LV"/>
        </w:rPr>
        <w:t>in</w:t>
      </w:r>
      <w:proofErr w:type="spellEnd"/>
      <w:r w:rsidRPr="00BB1E54">
        <w:rPr>
          <w:rStyle w:val="normaltextrun"/>
          <w:rFonts w:ascii="Segoe UI Light" w:hAnsi="Segoe UI Light" w:cs="Segoe UI Light"/>
          <w:sz w:val="16"/>
          <w:szCs w:val="16"/>
          <w:lang w:val="lv-LV"/>
        </w:rPr>
        <w:t xml:space="preserve"> Latvia”) īstenošana. Projekta mērķis bija atbalstīt Latviju jauna normatīvā regulējuma izstrādē, kas atbalstīs un stimulēs darba devējus (īpaši mazos un vidējos uzņēmumus) paaugstināt savu darbinieku prasmes vai veicināt </w:t>
      </w:r>
      <w:proofErr w:type="spellStart"/>
      <w:r w:rsidRPr="00BB1E54">
        <w:rPr>
          <w:rStyle w:val="normaltextrun"/>
          <w:rFonts w:ascii="Segoe UI Light" w:hAnsi="Segoe UI Light" w:cs="Segoe UI Light"/>
          <w:sz w:val="16"/>
          <w:szCs w:val="16"/>
          <w:lang w:val="lv-LV"/>
        </w:rPr>
        <w:t>pārkvalifikāciju</w:t>
      </w:r>
      <w:proofErr w:type="spellEnd"/>
      <w:r w:rsidRPr="00BB1E54">
        <w:rPr>
          <w:rStyle w:val="normaltextrun"/>
          <w:rFonts w:ascii="Segoe UI Light" w:hAnsi="Segoe UI Light" w:cs="Segoe UI Light"/>
          <w:sz w:val="16"/>
          <w:szCs w:val="16"/>
          <w:lang w:val="lv-LV"/>
        </w:rPr>
        <w:t>, ko paredz Izglītības likumā ietvertais deleģējums MK “…noteikt atbalsta pasākumus darba devējiem darbinieku papildu izglītošanā, tai skaitā kritērijus šāda atbalsta saņemšanai un atbalsta pasākumu īstenošanas kārtību”. Projekts ietvēra plašas Latvijas ieinteresēto pušu konsultācijas, tostarp diskusijās un darba semināros iesaistot EM, IZM, Finanšu ministriju, kā arī sociālos un sadarbības partnerus un nozaru asociācijas. Projekta ietvaros tika: (1) veikts galveno šķēršļu novērtējums un noskaidroti apstākļi, kas veicina Latvijas darba devēju ieguldījumu savu darbinieku prasmēs; (2) identificēti starptautiskās labās prakses piemēri, kas mudina darba devējus ieguldīt savu darbinieku prasmēs; (3) izstrādātas praktiskas vadlīnijas, lai attīstītu normatīvo regulējumu darba devēju atbalstam un ieguldījumu veicināšanai darbinieku prasmju pilnveidē; (3) izstrādāti priekšlikumi atbalsta pasākumiem (subsidēto mācību, kuras nodrošināja darba devēju asociācijas, pilnveidošanai; tiešsaistes rīka attīstībai uzņēmumiem prasmju nepietiekamības un mācību vajadzību novērtēšanai; ārējo ekspertu piesaistei mikro, mazo un vidējo uzņēmumu prasmju nepietiekamības un mācību vajadzību novērtējumam u.c.); (4) attīstīts monitoringa ietvars, t.sk. metodoloģija un uzraudzības rādītāji, kas sekmēs ieviesto atbalsta pasākumu īstenošanas novērtējumu; (5) izveidots ceļvedis turpmākiem rīcības virzieniem ilgtspējīgas un sociāli atbildīgas pieaugušo izglītības atbalsta sistēmai.</w:t>
      </w:r>
    </w:p>
    <w:p w14:paraId="08484D2A" w14:textId="0516C5CC" w:rsidR="003229C8" w:rsidRPr="00BB1E54" w:rsidRDefault="003229C8" w:rsidP="003A549D">
      <w:pPr>
        <w:pStyle w:val="paragraph"/>
        <w:pBdr>
          <w:top w:val="single" w:sz="4" w:space="6" w:color="auto" w:shadow="1"/>
          <w:left w:val="single" w:sz="4" w:space="6" w:color="auto" w:shadow="1"/>
          <w:bottom w:val="single" w:sz="4" w:space="6" w:color="auto" w:shadow="1"/>
          <w:right w:val="single" w:sz="4" w:space="6" w:color="auto" w:shadow="1"/>
        </w:pBdr>
        <w:shd w:val="clear" w:color="auto" w:fill="E5DFEC"/>
        <w:spacing w:before="0" w:beforeAutospacing="0" w:after="0" w:afterAutospacing="0"/>
        <w:jc w:val="both"/>
        <w:textAlignment w:val="baseline"/>
        <w:rPr>
          <w:rStyle w:val="normaltextrun"/>
          <w:rFonts w:ascii="Segoe UI Light" w:hAnsi="Segoe UI Light" w:cs="Segoe UI Light"/>
          <w:sz w:val="16"/>
          <w:szCs w:val="16"/>
          <w:lang w:val="lv-LV"/>
        </w:rPr>
      </w:pPr>
      <w:r w:rsidRPr="00BB1E54">
        <w:rPr>
          <w:rStyle w:val="normaltextrun"/>
          <w:rFonts w:ascii="Segoe UI Light" w:hAnsi="Segoe UI Light" w:cs="Segoe UI Light"/>
          <w:sz w:val="16"/>
          <w:szCs w:val="16"/>
          <w:lang w:val="lv-LV"/>
        </w:rPr>
        <w:t>Projekta rezultāti ņemti vērā EM normatīvā regulējuma izstrādē, lai stimulētu darba devējus paaugstināt savu darbinieku prasmes, kā arī pilnveidotu plānotos atbalsta pasākumu darba devējiem. Ilgtermiņā. Projekta ietvaros izstrādāto priekšlikumu ieviešana, kopā ar citiem iecerētiem atbalsta pasākumiem (piemēram, Prasmju fondu iniciatīvu, Individuālo mācību kontu iniciatīvu), sniegs ieguldījumu ilgtspējīgai un sociāli atbildīgai pieaugušo izglītības atbalsta sistēmas attīstībai.</w:t>
      </w:r>
    </w:p>
    <w:p w14:paraId="131ABE05" w14:textId="77777777" w:rsidR="003A549D" w:rsidRDefault="003A549D" w:rsidP="003A549D">
      <w:pPr>
        <w:spacing w:after="120"/>
        <w:jc w:val="both"/>
        <w:rPr>
          <w:bCs/>
          <w:szCs w:val="20"/>
        </w:rPr>
      </w:pPr>
    </w:p>
    <w:p w14:paraId="60455986" w14:textId="77777777" w:rsidR="00653B38" w:rsidRPr="00BB1E54" w:rsidRDefault="00653B38" w:rsidP="00653B38">
      <w:pPr>
        <w:spacing w:after="120"/>
        <w:jc w:val="both"/>
        <w:rPr>
          <w:bCs/>
          <w:szCs w:val="20"/>
        </w:rPr>
      </w:pPr>
      <w:r w:rsidRPr="00BB1E54">
        <w:rPr>
          <w:bCs/>
          <w:szCs w:val="20"/>
        </w:rPr>
        <w:lastRenderedPageBreak/>
        <w:t>ES fondu 2021.-2027. gadam plānošanas periodā paredzēts sniegt atbalstu arī darba devēju nozaru vajadzībās balstītai darbinieku kompetences paaugstināšanai, motivējot darba devējus iesaistīt mācībās savus darbiniekus prasmju pilnveidošanai</w:t>
      </w:r>
      <w:r w:rsidRPr="00BB1E54">
        <w:t xml:space="preserve">, tādējādi sekmējot </w:t>
      </w:r>
      <w:r w:rsidRPr="00BB1E54">
        <w:rPr>
          <w:bCs/>
          <w:szCs w:val="20"/>
        </w:rPr>
        <w:t xml:space="preserve">uzņēmēju konkurētspēju un produktivitāti. ESF+ pasākuma “Atbalsts nozaru vajadzībās balstītai pieaugušo izglītībai” īstenošanai līdz 2029. gada beigām būs pieejams finansējums 14,5 milj. EUR apmērā, un kopumā paredzēts mācībās iesaistīt vismaz 8352 darba devēju nodarbinātas personas, tai skaitā </w:t>
      </w:r>
      <w:proofErr w:type="spellStart"/>
      <w:r w:rsidRPr="00BB1E54">
        <w:rPr>
          <w:bCs/>
          <w:szCs w:val="20"/>
        </w:rPr>
        <w:t>pašnodarbinātas</w:t>
      </w:r>
      <w:proofErr w:type="spellEnd"/>
      <w:r w:rsidRPr="00BB1E54">
        <w:rPr>
          <w:bCs/>
          <w:szCs w:val="20"/>
        </w:rPr>
        <w:t xml:space="preserve"> personas.</w:t>
      </w:r>
      <w:r w:rsidRPr="00BB1E54">
        <w:t xml:space="preserve"> Paredzēts atbalstu sniegt vismaz 464 </w:t>
      </w:r>
      <w:r w:rsidRPr="00BB1E54">
        <w:rPr>
          <w:bCs/>
          <w:szCs w:val="20"/>
        </w:rPr>
        <w:t>komersantiem. Mācības paredzētas tādās jomās kā telemātika un loģistika, inženierzinātnes, tehnoloģijas un vadība, ražošana un pārstrāde, programmēšana, matemātika un statistika, veselības aprūpes pakalpojumi, viesnīcu vadība, tūrisma vadība, tūrisma un atpūtas organizācija u</w:t>
      </w:r>
      <w:r>
        <w:rPr>
          <w:bCs/>
          <w:szCs w:val="20"/>
        </w:rPr>
        <w:t>.c.</w:t>
      </w:r>
      <w:r w:rsidRPr="00BB1E54">
        <w:rPr>
          <w:bCs/>
          <w:szCs w:val="20"/>
        </w:rPr>
        <w:t>.</w:t>
      </w:r>
    </w:p>
    <w:p w14:paraId="2796A71A" w14:textId="57504ECF" w:rsidR="000460BA" w:rsidRDefault="003229C8" w:rsidP="006B634C">
      <w:pPr>
        <w:spacing w:after="120"/>
        <w:jc w:val="both"/>
        <w:rPr>
          <w:szCs w:val="20"/>
        </w:rPr>
      </w:pPr>
      <w:r w:rsidRPr="0007342C">
        <w:rPr>
          <w:b/>
          <w:bCs/>
          <w:szCs w:val="20"/>
        </w:rPr>
        <w:t xml:space="preserve">Digitālo prasmju </w:t>
      </w:r>
      <w:r w:rsidR="000460BA">
        <w:rPr>
          <w:b/>
          <w:bCs/>
          <w:szCs w:val="20"/>
        </w:rPr>
        <w:t>attīstība</w:t>
      </w:r>
      <w:r w:rsidR="006B634C" w:rsidRPr="0007342C">
        <w:rPr>
          <w:b/>
          <w:bCs/>
          <w:szCs w:val="20"/>
        </w:rPr>
        <w:t>.</w:t>
      </w:r>
      <w:r w:rsidR="006B634C" w:rsidRPr="006B634C">
        <w:rPr>
          <w:szCs w:val="20"/>
        </w:rPr>
        <w:t xml:space="preserve"> </w:t>
      </w:r>
      <w:r w:rsidR="000460BA">
        <w:rPr>
          <w:szCs w:val="20"/>
        </w:rPr>
        <w:t>ANM p</w:t>
      </w:r>
      <w:r w:rsidR="000460BA" w:rsidRPr="000460BA">
        <w:rPr>
          <w:szCs w:val="20"/>
        </w:rPr>
        <w:t>rojekta “Sabiedrības digitālo prasmju attīstība</w:t>
      </w:r>
      <w:r w:rsidR="000460BA">
        <w:rPr>
          <w:szCs w:val="20"/>
        </w:rPr>
        <w:t>” ietvaros līdz 2026. gada vidum 40</w:t>
      </w:r>
      <w:r w:rsidR="006B2087">
        <w:rPr>
          <w:szCs w:val="20"/>
        </w:rPr>
        <w:t xml:space="preserve"> 000 iedzīvotājiem bez vai ar zemu digitālo prasmju līmeni tiks nodrošināta digitālo prasmju pilnveide, tostarp ar </w:t>
      </w:r>
      <w:proofErr w:type="spellStart"/>
      <w:r w:rsidR="006B2087">
        <w:rPr>
          <w:szCs w:val="20"/>
        </w:rPr>
        <w:t>mentora</w:t>
      </w:r>
      <w:proofErr w:type="spellEnd"/>
      <w:r w:rsidR="006B2087">
        <w:rPr>
          <w:szCs w:val="20"/>
        </w:rPr>
        <w:t xml:space="preserve"> atbalstu. Projekta </w:t>
      </w:r>
      <w:r w:rsidR="000460BA">
        <w:rPr>
          <w:szCs w:val="20"/>
        </w:rPr>
        <w:t xml:space="preserve">mērķis </w:t>
      </w:r>
      <w:r w:rsidR="000460BA" w:rsidRPr="000460BA">
        <w:rPr>
          <w:szCs w:val="20"/>
        </w:rPr>
        <w:t xml:space="preserve">veicināt digitālo pašapkalpošanās prasmju attīstību sabiedrībā, tādējādi veicinot personu veiksmīgāku iekļaušanos </w:t>
      </w:r>
      <w:r w:rsidR="006B2087">
        <w:rPr>
          <w:szCs w:val="20"/>
        </w:rPr>
        <w:t xml:space="preserve">mūsdienu </w:t>
      </w:r>
      <w:r w:rsidR="000460BA" w:rsidRPr="000460BA">
        <w:rPr>
          <w:szCs w:val="20"/>
        </w:rPr>
        <w:t>sabiedrībā, t.sk. nodarbinātībā, ikdienas sadzīves jautājumu mūsdienīgā risināšanā un kvalitatīvas dzīves uzlabošanā</w:t>
      </w:r>
      <w:r w:rsidR="006B2087">
        <w:rPr>
          <w:szCs w:val="20"/>
        </w:rPr>
        <w:t xml:space="preserve">, jo īpaši valsts un pašvaldību digitālo pakalpojumu izmantošanu un pieeju digitālai informācijai. </w:t>
      </w:r>
    </w:p>
    <w:p w14:paraId="54BB8B32" w14:textId="650E9771" w:rsidR="003A549D" w:rsidRPr="00BB1E54" w:rsidRDefault="003229C8" w:rsidP="00653B38">
      <w:pPr>
        <w:jc w:val="both"/>
        <w:rPr>
          <w:bCs/>
          <w:szCs w:val="20"/>
        </w:rPr>
      </w:pPr>
      <w:r w:rsidRPr="00BB1E54">
        <w:rPr>
          <w:bCs/>
          <w:szCs w:val="20"/>
        </w:rPr>
        <w:t xml:space="preserve">ANM plāna ietvaros paredzēts izveidot jaunu pieeju IKT speciālistu sagatavošanai, t.i. </w:t>
      </w:r>
      <w:proofErr w:type="spellStart"/>
      <w:r w:rsidRPr="00BB1E54">
        <w:rPr>
          <w:bCs/>
          <w:szCs w:val="20"/>
        </w:rPr>
        <w:t>pašvadītas</w:t>
      </w:r>
      <w:proofErr w:type="spellEnd"/>
      <w:r w:rsidRPr="00BB1E54">
        <w:rPr>
          <w:bCs/>
          <w:szCs w:val="20"/>
        </w:rPr>
        <w:t xml:space="preserve"> IKT mācīšanās skolas mācību vidi un līdz 2027.gadam izglītojot ap 500-600 jaunus IKT speciālistus. Tāpat paredzētas investīcijas jau izveidoto </w:t>
      </w:r>
      <w:proofErr w:type="spellStart"/>
      <w:r w:rsidRPr="00BB1E54">
        <w:rPr>
          <w:bCs/>
          <w:szCs w:val="20"/>
        </w:rPr>
        <w:t>ārpusformālās</w:t>
      </w:r>
      <w:proofErr w:type="spellEnd"/>
      <w:r w:rsidRPr="00BB1E54">
        <w:rPr>
          <w:bCs/>
          <w:szCs w:val="20"/>
        </w:rPr>
        <w:t xml:space="preserve"> izglītības IKT speciālistu sagatavošanas iniciatīvu mērogošanai, īpaši atbalstot sieviešu iesaisti IKT darbam, intensīvu mācību īstenošanai cilvēkiem, kas vēlas mainīt karjeru un apgūt nepieciešamās iemaņas darbam IT jomā. Šādi plānots līdz 2027.gadam papildus iesaistīt mācībās ap 400 personām. Pasākuma finansējumu veido Atveseļošanās fonda finansējums 7,6 milj. EUR apmērā.</w:t>
      </w:r>
    </w:p>
    <w:p w14:paraId="767FD97F" w14:textId="77777777" w:rsidR="00277003" w:rsidRPr="00082FD2" w:rsidRDefault="00277003" w:rsidP="00277003">
      <w:pPr>
        <w:pStyle w:val="paragraph"/>
        <w:pBdr>
          <w:top w:val="single" w:sz="4" w:space="6" w:color="auto" w:shadow="1"/>
          <w:left w:val="single" w:sz="4" w:space="6" w:color="auto" w:shadow="1"/>
          <w:bottom w:val="single" w:sz="4" w:space="6" w:color="auto" w:shadow="1"/>
          <w:right w:val="single" w:sz="4" w:space="6" w:color="auto" w:shadow="1"/>
        </w:pBdr>
        <w:shd w:val="clear" w:color="auto" w:fill="E5DFEC"/>
        <w:spacing w:before="0" w:beforeAutospacing="0" w:after="240" w:afterAutospacing="0"/>
        <w:jc w:val="right"/>
        <w:textAlignment w:val="baseline"/>
        <w:rPr>
          <w:rStyle w:val="normaltextrun"/>
          <w:rFonts w:ascii="Segoe UI Light" w:hAnsi="Segoe UI Light" w:cs="Segoe UI Light"/>
          <w:b/>
          <w:bCs/>
          <w:sz w:val="16"/>
          <w:szCs w:val="16"/>
          <w:lang w:val="lv-LV"/>
        </w:rPr>
      </w:pPr>
      <w:r w:rsidRPr="00082FD2">
        <w:rPr>
          <w:rStyle w:val="normaltextrun"/>
          <w:rFonts w:ascii="Segoe UI Light" w:hAnsi="Segoe UI Light" w:cs="Segoe UI Light"/>
          <w:b/>
          <w:bCs/>
          <w:sz w:val="16"/>
          <w:szCs w:val="16"/>
          <w:lang w:val="lv-LV"/>
        </w:rPr>
        <w:t>OECD pieaugušo prasmju pētījums</w:t>
      </w:r>
    </w:p>
    <w:p w14:paraId="21C7E50F" w14:textId="77777777" w:rsidR="00277003" w:rsidRPr="00BB1E54" w:rsidRDefault="00277003" w:rsidP="00277003">
      <w:pPr>
        <w:pStyle w:val="paragraph"/>
        <w:pBdr>
          <w:top w:val="single" w:sz="4" w:space="6" w:color="auto" w:shadow="1"/>
          <w:left w:val="single" w:sz="4" w:space="6" w:color="auto" w:shadow="1"/>
          <w:bottom w:val="single" w:sz="4" w:space="6" w:color="auto" w:shadow="1"/>
          <w:right w:val="single" w:sz="4" w:space="6" w:color="auto" w:shadow="1"/>
        </w:pBdr>
        <w:shd w:val="clear" w:color="auto" w:fill="E5DFEC"/>
        <w:spacing w:before="0" w:beforeAutospacing="0" w:after="0" w:afterAutospacing="0"/>
        <w:jc w:val="both"/>
        <w:textAlignment w:val="baseline"/>
        <w:rPr>
          <w:rStyle w:val="normaltextrun"/>
          <w:lang w:val="lv-LV"/>
        </w:rPr>
      </w:pPr>
      <w:r w:rsidRPr="00BB1E54">
        <w:rPr>
          <w:rStyle w:val="normaltextrun"/>
          <w:rFonts w:ascii="Segoe UI Light" w:hAnsi="Segoe UI Light" w:cs="Segoe UI Light"/>
          <w:sz w:val="16"/>
          <w:szCs w:val="16"/>
          <w:lang w:val="lv-LV"/>
        </w:rPr>
        <w:t>2023.</w:t>
      </w:r>
      <w:r>
        <w:rPr>
          <w:rStyle w:val="normaltextrun"/>
          <w:rFonts w:ascii="Segoe UI Light" w:hAnsi="Segoe UI Light" w:cs="Segoe UI Light"/>
          <w:sz w:val="16"/>
          <w:szCs w:val="16"/>
          <w:lang w:val="lv-LV"/>
        </w:rPr>
        <w:t> </w:t>
      </w:r>
      <w:r w:rsidRPr="00BB1E54">
        <w:rPr>
          <w:rStyle w:val="normaltextrun"/>
          <w:rFonts w:ascii="Segoe UI Light" w:hAnsi="Segoe UI Light" w:cs="Segoe UI Light"/>
          <w:sz w:val="16"/>
          <w:szCs w:val="16"/>
          <w:lang w:val="lv-LV"/>
        </w:rPr>
        <w:t>gada 16.</w:t>
      </w:r>
      <w:r>
        <w:rPr>
          <w:rStyle w:val="normaltextrun"/>
          <w:rFonts w:ascii="Segoe UI Light" w:hAnsi="Segoe UI Light" w:cs="Segoe UI Light"/>
          <w:sz w:val="16"/>
          <w:szCs w:val="16"/>
          <w:lang w:val="lv-LV"/>
        </w:rPr>
        <w:t> </w:t>
      </w:r>
      <w:r w:rsidRPr="00BB1E54">
        <w:rPr>
          <w:rStyle w:val="normaltextrun"/>
          <w:rFonts w:ascii="Segoe UI Light" w:hAnsi="Segoe UI Light" w:cs="Segoe UI Light"/>
          <w:sz w:val="16"/>
          <w:szCs w:val="16"/>
          <w:lang w:val="lv-LV"/>
        </w:rPr>
        <w:t xml:space="preserve">jūnijā tika pabeigta datu iegūšana par iedzīvotāju izglītības, prasmēm un kompetencēm starptautiskajā </w:t>
      </w:r>
      <w:proofErr w:type="spellStart"/>
      <w:r w:rsidRPr="00BB1E54">
        <w:rPr>
          <w:rStyle w:val="normaltextrun"/>
          <w:rFonts w:ascii="Segoe UI Light" w:hAnsi="Segoe UI Light" w:cs="Segoe UI Light"/>
          <w:sz w:val="16"/>
          <w:szCs w:val="16"/>
          <w:lang w:val="lv-LV"/>
        </w:rPr>
        <w:t>Starptautiskajā</w:t>
      </w:r>
      <w:proofErr w:type="spellEnd"/>
      <w:r w:rsidRPr="00BB1E54">
        <w:rPr>
          <w:rStyle w:val="normaltextrun"/>
          <w:rFonts w:ascii="Segoe UI Light" w:hAnsi="Segoe UI Light" w:cs="Segoe UI Light"/>
          <w:sz w:val="16"/>
          <w:szCs w:val="16"/>
          <w:lang w:val="lv-LV"/>
        </w:rPr>
        <w:t xml:space="preserve"> pieaugušo kompetenču novērtēšanas programmas pētījumā OECD PIAAC, kuru IZM un Latvijas Universitāte sadarbībā ar pētījumu centru SKDS īstenoja visā Latvijas teritorijā. Dalība OECD PIAAC pētījumā dod iespēju novērtēt 16-65 gadus vecu iedzīvotāju lasītprasmi, rēķināšanu un problēmu risināšanu, kā arī šo kompetenču izmantošanu ikdienas dzīvē un darbā. Pirmie OECD PIAAC pētījuma rezultāti tiks publicēti 2024. gada 10.</w:t>
      </w:r>
      <w:r>
        <w:rPr>
          <w:rStyle w:val="normaltextrun"/>
          <w:rFonts w:ascii="Segoe UI Light" w:hAnsi="Segoe UI Light" w:cs="Segoe UI Light"/>
          <w:sz w:val="16"/>
          <w:szCs w:val="16"/>
          <w:lang w:val="lv-LV"/>
        </w:rPr>
        <w:t> </w:t>
      </w:r>
      <w:r w:rsidRPr="00BB1E54">
        <w:rPr>
          <w:rStyle w:val="normaltextrun"/>
          <w:rFonts w:ascii="Segoe UI Light" w:hAnsi="Segoe UI Light" w:cs="Segoe UI Light"/>
          <w:sz w:val="16"/>
          <w:szCs w:val="16"/>
          <w:lang w:val="lv-LV"/>
        </w:rPr>
        <w:t xml:space="preserve">decembrī. Iegūtie dati ļaus analizēt </w:t>
      </w:r>
      <w:proofErr w:type="spellStart"/>
      <w:r w:rsidRPr="00BB1E54">
        <w:rPr>
          <w:rStyle w:val="normaltextrun"/>
          <w:rFonts w:ascii="Segoe UI Light" w:hAnsi="Segoe UI Light" w:cs="Segoe UI Light"/>
          <w:sz w:val="16"/>
          <w:szCs w:val="16"/>
          <w:lang w:val="lv-LV"/>
        </w:rPr>
        <w:t>cilvēkkapitāla</w:t>
      </w:r>
      <w:proofErr w:type="spellEnd"/>
      <w:r w:rsidRPr="00BB1E54">
        <w:rPr>
          <w:rStyle w:val="normaltextrun"/>
          <w:rFonts w:ascii="Segoe UI Light" w:hAnsi="Segoe UI Light" w:cs="Segoe UI Light"/>
          <w:sz w:val="16"/>
          <w:szCs w:val="16"/>
          <w:lang w:val="lv-LV"/>
        </w:rPr>
        <w:t xml:space="preserve"> kapacitāti, neatbilstības starp prasmju piedāvājumu un pieprasījumu darba tirgū un attiecīgo prasmju ietekmi uz atlīdzības apmēru, kā arī starptautiski salīdzināt Latvijas cilvēkresursu kvalitāti.</w:t>
      </w:r>
    </w:p>
    <w:p w14:paraId="0CAB371C" w14:textId="77777777" w:rsidR="00277003" w:rsidRPr="00BB1E54" w:rsidRDefault="00277003" w:rsidP="00277003">
      <w:pPr>
        <w:autoSpaceDE w:val="0"/>
        <w:autoSpaceDN w:val="0"/>
        <w:adjustRightInd w:val="0"/>
        <w:spacing w:after="120"/>
        <w:jc w:val="both"/>
        <w:rPr>
          <w:b/>
          <w:bCs/>
          <w:color w:val="000000" w:themeColor="text1"/>
        </w:rPr>
      </w:pPr>
    </w:p>
    <w:p w14:paraId="20A4B39C" w14:textId="2C2A75DA" w:rsidR="003229C8" w:rsidRDefault="003229C8" w:rsidP="003A549D">
      <w:pPr>
        <w:spacing w:after="120"/>
        <w:jc w:val="both"/>
        <w:rPr>
          <w:rFonts w:cs="Calibri Light"/>
        </w:rPr>
      </w:pPr>
      <w:r w:rsidRPr="001F4651">
        <w:rPr>
          <w:rFonts w:cs="Calibri Light"/>
          <w:b/>
          <w:bCs/>
        </w:rPr>
        <w:t>Pašvaldību pieaugušo izglītības koordinatoru tīkls</w:t>
      </w:r>
      <w:r w:rsidR="001F4651">
        <w:rPr>
          <w:rFonts w:ascii="Aptos Narrow" w:hAnsi="Aptos Narrow"/>
          <w:b/>
          <w:bCs/>
          <w:color w:val="5F497A" w:themeColor="accent4" w:themeShade="BF"/>
          <w:sz w:val="28"/>
          <w:szCs w:val="28"/>
        </w:rPr>
        <w:t xml:space="preserve"> </w:t>
      </w:r>
      <w:r w:rsidR="001F4651">
        <w:rPr>
          <w:rFonts w:cs="Calibri Light"/>
        </w:rPr>
        <w:t>t</w:t>
      </w:r>
      <w:r w:rsidRPr="00BB1E54">
        <w:rPr>
          <w:rFonts w:cs="Calibri Light"/>
        </w:rPr>
        <w:t xml:space="preserve">iek pastāvīgi stiprināts – notiek mācības, izstrādāta un īstenota Pieaugušo izglītības koordinatoru kompetences pilnveides programma u.tml. Sadarbībā ar Baltijas Datoru akadēmiju izstrādāta un pašvaldībās pilotēta neformālās izglītības programma “Digitālo pakalpojumu izmantošana ikdienas dzīves situāciju risināšanā”, iesaistot pieaugušos ar zemām digitālām prasmēm. Sadarbībā ar Latvijas Banku izstrādātas un pilotētas neformālās izglītības programmas pieaugušajiem finanšu </w:t>
      </w:r>
      <w:proofErr w:type="spellStart"/>
      <w:r w:rsidRPr="00BB1E54">
        <w:rPr>
          <w:rFonts w:cs="Calibri Light"/>
        </w:rPr>
        <w:t>pratības</w:t>
      </w:r>
      <w:proofErr w:type="spellEnd"/>
      <w:r w:rsidRPr="00BB1E54">
        <w:rPr>
          <w:rFonts w:cs="Calibri Light"/>
        </w:rPr>
        <w:t xml:space="preserve"> jomā. 2024. gadā ir uzsākta jauna ikmēneša aktivitāte “Atvērtās e-durvju dienas pieaugušo izglītībā”.</w:t>
      </w:r>
    </w:p>
    <w:p w14:paraId="73F7E9C9" w14:textId="1031D8B9" w:rsidR="001F4651" w:rsidRPr="001F4651" w:rsidRDefault="001133C1" w:rsidP="003A549D">
      <w:pPr>
        <w:spacing w:after="120"/>
        <w:jc w:val="both"/>
        <w:rPr>
          <w:rFonts w:cs="Calibri Light"/>
        </w:rPr>
      </w:pPr>
      <w:r w:rsidRPr="001133C1">
        <w:rPr>
          <w:b/>
          <w:bCs/>
          <w:szCs w:val="20"/>
        </w:rPr>
        <w:t>Papildus a</w:t>
      </w:r>
      <w:r w:rsidRPr="001133C1">
        <w:rPr>
          <w:b/>
          <w:bCs/>
        </w:rPr>
        <w:t>ktīvā darba tirgus politikas ietvaros tiek īstenotas</w:t>
      </w:r>
      <w:r w:rsidRPr="001133C1">
        <w:rPr>
          <w:b/>
          <w:bCs/>
          <w:szCs w:val="20"/>
        </w:rPr>
        <w:t xml:space="preserve"> bezdarbnieku</w:t>
      </w:r>
      <w:r w:rsidRPr="006B634C">
        <w:rPr>
          <w:b/>
          <w:bCs/>
          <w:szCs w:val="20"/>
        </w:rPr>
        <w:t xml:space="preserve"> un bezdarba riskam pakļauto personu </w:t>
      </w:r>
      <w:r w:rsidRPr="001133C1">
        <w:rPr>
          <w:b/>
          <w:bCs/>
          <w:szCs w:val="20"/>
        </w:rPr>
        <w:t xml:space="preserve">profesionālās mācības, pārkvalifikācijas un prasmju pilnveides pasākumu pilnveidošana </w:t>
      </w:r>
      <w:r w:rsidRPr="001133C1">
        <w:rPr>
          <w:szCs w:val="20"/>
        </w:rPr>
        <w:t>(detalizēti par ADTP pasākumiem sk. ziņojuma 4.3 sadaļu)</w:t>
      </w:r>
      <w:r w:rsidRPr="001133C1">
        <w:rPr>
          <w:b/>
          <w:bCs/>
          <w:szCs w:val="20"/>
        </w:rPr>
        <w:t>.</w:t>
      </w:r>
    </w:p>
    <w:p w14:paraId="698B3B84" w14:textId="4E9F9F24" w:rsidR="001F4651" w:rsidRDefault="001F4651">
      <w:pPr>
        <w:spacing w:after="0"/>
        <w:rPr>
          <w:rFonts w:cs="Calibri Light"/>
        </w:rPr>
      </w:pPr>
    </w:p>
    <w:p w14:paraId="1D771A9C" w14:textId="7EBC2085" w:rsidR="003229C8" w:rsidRDefault="003229C8" w:rsidP="00080A71">
      <w:pPr>
        <w:pStyle w:val="Heading2"/>
      </w:pPr>
      <w:bookmarkStart w:id="98" w:name="_Toc183620114"/>
      <w:r w:rsidRPr="00080A71">
        <w:t>4.</w:t>
      </w:r>
      <w:r w:rsidR="00653B38">
        <w:t>2</w:t>
      </w:r>
      <w:r w:rsidRPr="00080A71">
        <w:t>. Aktīvā darba tirgus politika un iekšējās mobilitātes veicināšana</w:t>
      </w:r>
      <w:bookmarkEnd w:id="98"/>
      <w:r w:rsidRPr="00080A71">
        <w:t xml:space="preserve"> </w:t>
      </w:r>
    </w:p>
    <w:p w14:paraId="4BE71AF5" w14:textId="64CFB5A4" w:rsidR="00573A44" w:rsidRPr="00573A44" w:rsidRDefault="00573A44" w:rsidP="00573A44">
      <w:pPr>
        <w:rPr>
          <w:rFonts w:ascii="Aptos Narrow" w:hAnsi="Aptos Narrow"/>
          <w:b/>
          <w:color w:val="5F497A" w:themeColor="accent4" w:themeShade="BF"/>
          <w:sz w:val="28"/>
          <w:szCs w:val="28"/>
        </w:rPr>
      </w:pPr>
      <w:r w:rsidRPr="00573A44">
        <w:rPr>
          <w:rFonts w:ascii="Aptos Narrow" w:hAnsi="Aptos Narrow"/>
          <w:b/>
          <w:color w:val="5F497A" w:themeColor="accent4" w:themeShade="BF"/>
          <w:sz w:val="28"/>
          <w:szCs w:val="28"/>
        </w:rPr>
        <w:t>NVA īstenotie aktīvie un preventīvie darba tirgus pasākumi</w:t>
      </w:r>
    </w:p>
    <w:p w14:paraId="7D449C79" w14:textId="7B1FE08F" w:rsidR="003229C8" w:rsidRPr="00BB1E54" w:rsidRDefault="002B2D9F" w:rsidP="003A549D">
      <w:pPr>
        <w:spacing w:after="120"/>
        <w:jc w:val="both"/>
        <w:rPr>
          <w:rFonts w:eastAsia="Times New Roman"/>
          <w:lang w:eastAsia="lv-LV"/>
        </w:rPr>
      </w:pPr>
      <w:r w:rsidRPr="00BB1E54">
        <w:rPr>
          <w:rFonts w:eastAsia="Times New Roman"/>
          <w:lang w:eastAsia="lv-LV"/>
        </w:rPr>
        <w:t xml:space="preserve">NVA sniegtie pakalpojumi un pasākumi </w:t>
      </w:r>
      <w:r>
        <w:rPr>
          <w:rFonts w:eastAsia="Times New Roman"/>
          <w:lang w:eastAsia="lv-LV"/>
        </w:rPr>
        <w:t>s</w:t>
      </w:r>
      <w:r w:rsidR="003229C8" w:rsidRPr="00BB1E54">
        <w:rPr>
          <w:rFonts w:eastAsia="Times New Roman"/>
          <w:lang w:eastAsia="lv-LV"/>
        </w:rPr>
        <w:t xml:space="preserve">ekmē iedzīvotāju ekonomisko aktivitāti un konkurētspēju darba tirgū. </w:t>
      </w:r>
      <w:r>
        <w:rPr>
          <w:rFonts w:eastAsia="Times New Roman"/>
          <w:lang w:eastAsia="lv-LV"/>
        </w:rPr>
        <w:t xml:space="preserve">Tie </w:t>
      </w:r>
      <w:r w:rsidR="003229C8" w:rsidRPr="00BB1E54">
        <w:rPr>
          <w:rFonts w:eastAsia="Times New Roman"/>
          <w:lang w:eastAsia="lv-LV"/>
        </w:rPr>
        <w:t xml:space="preserve">pastāvīgi tiek pārskatīti un pilnveidoti, lai uzlabotu to efektivitāti un pielāgotu aktuālajai situācijai Latvijas ekonomikā un darba tirgū. Nozīmīgākie īstenotie </w:t>
      </w:r>
      <w:r>
        <w:rPr>
          <w:rFonts w:eastAsia="Times New Roman"/>
          <w:lang w:eastAsia="lv-LV"/>
        </w:rPr>
        <w:t>aktīvie darba tirgus politikas</w:t>
      </w:r>
      <w:r w:rsidR="00D84386">
        <w:rPr>
          <w:rFonts w:eastAsia="Times New Roman"/>
          <w:lang w:eastAsia="lv-LV"/>
        </w:rPr>
        <w:t xml:space="preserve"> (ADTP)</w:t>
      </w:r>
      <w:r>
        <w:rPr>
          <w:rFonts w:eastAsia="Times New Roman"/>
          <w:lang w:eastAsia="lv-LV"/>
        </w:rPr>
        <w:t xml:space="preserve"> pasākumi</w:t>
      </w:r>
      <w:r w:rsidR="003229C8" w:rsidRPr="00BB1E54">
        <w:rPr>
          <w:rFonts w:eastAsia="Times New Roman"/>
          <w:lang w:eastAsia="lv-LV"/>
        </w:rPr>
        <w:t>:</w:t>
      </w:r>
    </w:p>
    <w:p w14:paraId="4C33CAF0" w14:textId="1AE5C35E" w:rsidR="003229C8" w:rsidRPr="00BB1E54" w:rsidRDefault="003229C8" w:rsidP="00972191">
      <w:pPr>
        <w:pStyle w:val="ListParagraph"/>
        <w:numPr>
          <w:ilvl w:val="0"/>
          <w:numId w:val="5"/>
        </w:numPr>
        <w:spacing w:after="120"/>
        <w:ind w:left="357" w:hanging="357"/>
        <w:jc w:val="both"/>
        <w:rPr>
          <w:rFonts w:eastAsia="Times New Roman"/>
          <w:bCs/>
          <w:szCs w:val="20"/>
          <w:lang w:eastAsia="lv-LV"/>
        </w:rPr>
      </w:pPr>
      <w:r w:rsidRPr="00BB1E54">
        <w:rPr>
          <w:rFonts w:eastAsia="Times New Roman"/>
          <w:bCs/>
          <w:szCs w:val="20"/>
          <w:lang w:eastAsia="lv-LV"/>
        </w:rPr>
        <w:t xml:space="preserve">mācību pasākumi – profesionālā </w:t>
      </w:r>
      <w:r w:rsidR="00181D93">
        <w:rPr>
          <w:rFonts w:eastAsia="Times New Roman"/>
          <w:bCs/>
          <w:szCs w:val="20"/>
          <w:lang w:eastAsia="lv-LV"/>
        </w:rPr>
        <w:t>tālākizglītība (</w:t>
      </w:r>
      <w:proofErr w:type="spellStart"/>
      <w:r w:rsidRPr="00BB1E54">
        <w:rPr>
          <w:rFonts w:eastAsia="Times New Roman"/>
          <w:bCs/>
          <w:szCs w:val="20"/>
          <w:lang w:eastAsia="lv-LV"/>
        </w:rPr>
        <w:t>pārkvalifikācija</w:t>
      </w:r>
      <w:proofErr w:type="spellEnd"/>
      <w:r w:rsidR="00181D93">
        <w:rPr>
          <w:rFonts w:eastAsia="Times New Roman"/>
          <w:bCs/>
          <w:szCs w:val="20"/>
          <w:lang w:eastAsia="lv-LV"/>
        </w:rPr>
        <w:t>), profesionālā pilnveide (</w:t>
      </w:r>
      <w:r w:rsidRPr="00BB1E54">
        <w:rPr>
          <w:rFonts w:eastAsia="Times New Roman"/>
          <w:bCs/>
          <w:szCs w:val="20"/>
          <w:lang w:eastAsia="lv-LV"/>
        </w:rPr>
        <w:t>kvalifikācijas paaugstināšana</w:t>
      </w:r>
      <w:r w:rsidR="00181D93">
        <w:rPr>
          <w:rFonts w:eastAsia="Times New Roman"/>
          <w:bCs/>
          <w:szCs w:val="20"/>
          <w:lang w:eastAsia="lv-LV"/>
        </w:rPr>
        <w:t>)</w:t>
      </w:r>
      <w:r w:rsidRPr="00BB1E54">
        <w:rPr>
          <w:rFonts w:eastAsia="Times New Roman"/>
          <w:bCs/>
          <w:szCs w:val="20"/>
          <w:lang w:eastAsia="lv-LV"/>
        </w:rPr>
        <w:t>, apmācība pie darba devēja, neformālās izglītības ieguve, konkurētspējas paaugstināšanas pasākumi (</w:t>
      </w:r>
      <w:proofErr w:type="spellStart"/>
      <w:r w:rsidRPr="00BB1E54">
        <w:rPr>
          <w:rFonts w:eastAsia="Times New Roman"/>
          <w:bCs/>
          <w:szCs w:val="20"/>
          <w:lang w:eastAsia="lv-LV"/>
        </w:rPr>
        <w:t>pamatkompetences</w:t>
      </w:r>
      <w:proofErr w:type="spellEnd"/>
      <w:r w:rsidRPr="00BB1E54">
        <w:rPr>
          <w:rFonts w:eastAsia="Times New Roman"/>
          <w:bCs/>
          <w:szCs w:val="20"/>
          <w:lang w:eastAsia="lv-LV"/>
        </w:rPr>
        <w:t>)</w:t>
      </w:r>
      <w:r w:rsidR="00181D93">
        <w:rPr>
          <w:rFonts w:eastAsia="Times New Roman"/>
          <w:bCs/>
          <w:szCs w:val="20"/>
          <w:lang w:eastAsia="lv-LV"/>
        </w:rPr>
        <w:t xml:space="preserve"> un </w:t>
      </w:r>
      <w:r w:rsidR="00181D93" w:rsidRPr="00181D93">
        <w:rPr>
          <w:rFonts w:eastAsia="Times New Roman"/>
          <w:bCs/>
          <w:szCs w:val="20"/>
          <w:lang w:eastAsia="lv-LV"/>
        </w:rPr>
        <w:t>atbalsts tiešsaistes kursu mācībām, tai skaitā atbalsts pieejams bezdarba riskam pakļautajām personām (nodarbinātajiem);</w:t>
      </w:r>
    </w:p>
    <w:p w14:paraId="79FD3220" w14:textId="77777777" w:rsidR="003229C8" w:rsidRPr="00BB1E54" w:rsidRDefault="003229C8" w:rsidP="00972191">
      <w:pPr>
        <w:pStyle w:val="ListParagraph"/>
        <w:numPr>
          <w:ilvl w:val="0"/>
          <w:numId w:val="5"/>
        </w:numPr>
        <w:spacing w:after="120"/>
        <w:ind w:left="357" w:hanging="357"/>
        <w:jc w:val="both"/>
        <w:rPr>
          <w:rFonts w:eastAsia="Times New Roman"/>
          <w:bCs/>
          <w:szCs w:val="20"/>
          <w:lang w:eastAsia="lv-LV"/>
        </w:rPr>
      </w:pPr>
      <w:r w:rsidRPr="00BB1E54">
        <w:rPr>
          <w:rFonts w:eastAsia="Times New Roman"/>
          <w:bCs/>
          <w:szCs w:val="20"/>
          <w:lang w:eastAsia="lv-LV"/>
        </w:rPr>
        <w:lastRenderedPageBreak/>
        <w:t xml:space="preserve">nodarbinātības pasākumi – pasākumi noteiktām personu grupām (subsidētās darba vietas), algotie pagaidu sabiedriskie darbi, pasākumi komercdarbības vai </w:t>
      </w:r>
      <w:proofErr w:type="spellStart"/>
      <w:r w:rsidRPr="00BB1E54">
        <w:rPr>
          <w:rFonts w:eastAsia="Times New Roman"/>
          <w:bCs/>
          <w:szCs w:val="20"/>
          <w:lang w:eastAsia="lv-LV"/>
        </w:rPr>
        <w:t>pašnodarbinātības</w:t>
      </w:r>
      <w:proofErr w:type="spellEnd"/>
      <w:r w:rsidRPr="00BB1E54">
        <w:rPr>
          <w:rFonts w:eastAsia="Times New Roman"/>
          <w:bCs/>
          <w:szCs w:val="20"/>
          <w:lang w:eastAsia="lv-LV"/>
        </w:rPr>
        <w:t xml:space="preserve"> uzsākšanai, skolēnu vasaras nodarbinātība;</w:t>
      </w:r>
    </w:p>
    <w:p w14:paraId="0178E6C5" w14:textId="77777777" w:rsidR="003229C8" w:rsidRPr="00BB1E54" w:rsidRDefault="003229C8" w:rsidP="00972191">
      <w:pPr>
        <w:pStyle w:val="ListParagraph"/>
        <w:numPr>
          <w:ilvl w:val="0"/>
          <w:numId w:val="5"/>
        </w:numPr>
        <w:spacing w:after="120"/>
        <w:ind w:left="357" w:hanging="357"/>
        <w:jc w:val="both"/>
        <w:rPr>
          <w:rFonts w:eastAsia="Times New Roman"/>
          <w:bCs/>
          <w:szCs w:val="20"/>
          <w:lang w:eastAsia="lv-LV"/>
        </w:rPr>
      </w:pPr>
      <w:r w:rsidRPr="00BB1E54">
        <w:rPr>
          <w:rFonts w:eastAsia="Times New Roman"/>
          <w:bCs/>
          <w:szCs w:val="20"/>
          <w:lang w:eastAsia="lv-LV"/>
        </w:rPr>
        <w:t>darba meklēšanas atbalsta pasākumi un konsultācijas – bezdarbnieku profilēšana un individuālā darba meklēšanas plāna sastādīšana, karjeras plānošanas konsultācijas, informatīvās dienas;</w:t>
      </w:r>
    </w:p>
    <w:p w14:paraId="1639D1D6" w14:textId="77777777" w:rsidR="003229C8" w:rsidRPr="00BB1E54" w:rsidRDefault="003229C8" w:rsidP="00972191">
      <w:pPr>
        <w:pStyle w:val="ListParagraph"/>
        <w:numPr>
          <w:ilvl w:val="0"/>
          <w:numId w:val="5"/>
        </w:numPr>
        <w:spacing w:after="120"/>
        <w:ind w:left="357" w:hanging="357"/>
        <w:contextualSpacing w:val="0"/>
        <w:jc w:val="both"/>
        <w:rPr>
          <w:rFonts w:eastAsia="Times New Roman"/>
          <w:lang w:eastAsia="lv-LV"/>
        </w:rPr>
      </w:pPr>
      <w:r w:rsidRPr="00BB1E54">
        <w:rPr>
          <w:rFonts w:eastAsia="Times New Roman"/>
          <w:bCs/>
          <w:szCs w:val="20"/>
          <w:lang w:eastAsia="lv-LV"/>
        </w:rPr>
        <w:t xml:space="preserve">citi atbalsta pasākumi – aktivizēšanas pasākumi ilgstošajiem bezdarbniekiem, arī personām ar atkarību, atbalsts reģionālajai </w:t>
      </w:r>
      <w:r w:rsidRPr="00BB1E54">
        <w:rPr>
          <w:rFonts w:eastAsia="Times New Roman"/>
          <w:lang w:eastAsia="lv-LV"/>
        </w:rPr>
        <w:t>mobilitātei (nokļūšanai līdz darba vai mācību vietai) u. c.</w:t>
      </w:r>
    </w:p>
    <w:p w14:paraId="50CB2AA2" w14:textId="77777777" w:rsidR="005E5E57" w:rsidRDefault="005E5E57" w:rsidP="003A549D">
      <w:pPr>
        <w:spacing w:after="120"/>
        <w:jc w:val="both"/>
        <w:rPr>
          <w:rFonts w:eastAsia="Times New Roman"/>
          <w:lang w:eastAsia="lv-LV"/>
        </w:rPr>
      </w:pPr>
    </w:p>
    <w:p w14:paraId="4333B00C" w14:textId="7A81634B" w:rsidR="003229C8" w:rsidRPr="00BB1E54" w:rsidRDefault="003229C8" w:rsidP="003A549D">
      <w:pPr>
        <w:spacing w:after="120"/>
        <w:jc w:val="both"/>
        <w:rPr>
          <w:rFonts w:eastAsia="Times New Roman"/>
          <w:bCs/>
          <w:szCs w:val="20"/>
          <w:lang w:eastAsia="lv-LV"/>
        </w:rPr>
      </w:pPr>
      <w:r w:rsidRPr="00BB1E54">
        <w:rPr>
          <w:rFonts w:eastAsia="Times New Roman"/>
          <w:lang w:eastAsia="lv-LV"/>
        </w:rPr>
        <w:t>2021. gada septembrī MK apstiprināja “Sociālās aizsardzības un darba tirgus politikas pamatnostādnes 2021.-2027. gadam”</w:t>
      </w:r>
      <w:r w:rsidRPr="00BB1E54">
        <w:rPr>
          <w:rStyle w:val="FootnoteReference"/>
          <w:rFonts w:eastAsia="Times New Roman"/>
          <w:lang w:eastAsia="lv-LV"/>
        </w:rPr>
        <w:footnoteReference w:id="21"/>
      </w:r>
      <w:r w:rsidRPr="00BB1E54">
        <w:rPr>
          <w:rFonts w:eastAsia="Times New Roman"/>
          <w:lang w:eastAsia="lv-LV"/>
        </w:rPr>
        <w:t>. ADTP vidējā termiņa mērķis ir izveidot iekļaujošu darba tirgu ikvienam un rūpēties par esošo darba vietu kvalitāti, tādējādi atbalstot ilgtermiņa līdzdalību darba tirgū. Līdz 2027. gadam plānots:</w:t>
      </w:r>
    </w:p>
    <w:p w14:paraId="30F58F45" w14:textId="77777777" w:rsidR="003229C8" w:rsidRPr="00BB1E54" w:rsidRDefault="003229C8" w:rsidP="00972191">
      <w:pPr>
        <w:pStyle w:val="ListParagraph"/>
        <w:numPr>
          <w:ilvl w:val="0"/>
          <w:numId w:val="5"/>
        </w:numPr>
        <w:spacing w:after="120"/>
        <w:ind w:left="357" w:hanging="357"/>
        <w:jc w:val="both"/>
        <w:rPr>
          <w:rFonts w:eastAsia="Times New Roman"/>
          <w:bCs/>
          <w:szCs w:val="20"/>
          <w:lang w:eastAsia="lv-LV"/>
        </w:rPr>
      </w:pPr>
      <w:r w:rsidRPr="00BB1E54">
        <w:rPr>
          <w:rFonts w:eastAsia="Times New Roman"/>
          <w:bCs/>
          <w:szCs w:val="20"/>
          <w:lang w:eastAsia="lv-LV"/>
        </w:rPr>
        <w:t>sasniegt 80% nodarbinātības līmeni iedzīvotājiem vecuma grupā no 20-64 gadiem;</w:t>
      </w:r>
    </w:p>
    <w:p w14:paraId="57861033" w14:textId="77777777" w:rsidR="003229C8" w:rsidRPr="00BB1E54" w:rsidRDefault="003229C8" w:rsidP="00972191">
      <w:pPr>
        <w:pStyle w:val="ListParagraph"/>
        <w:numPr>
          <w:ilvl w:val="0"/>
          <w:numId w:val="5"/>
        </w:numPr>
        <w:spacing w:after="120"/>
        <w:ind w:left="357" w:hanging="357"/>
        <w:jc w:val="both"/>
        <w:rPr>
          <w:rFonts w:eastAsia="Times New Roman"/>
          <w:bCs/>
          <w:szCs w:val="20"/>
          <w:lang w:eastAsia="lv-LV"/>
        </w:rPr>
      </w:pPr>
      <w:r w:rsidRPr="00BB1E54">
        <w:rPr>
          <w:rFonts w:eastAsia="Times New Roman"/>
          <w:bCs/>
          <w:szCs w:val="20"/>
          <w:lang w:eastAsia="lv-LV"/>
        </w:rPr>
        <w:t>sasniegt 50% nodarbinātības līmeni personām ar invaliditāti vecuma grupā no 20-64 gadiem;</w:t>
      </w:r>
    </w:p>
    <w:p w14:paraId="4D284EF7" w14:textId="77777777" w:rsidR="003229C8" w:rsidRPr="00BB1E54" w:rsidRDefault="003229C8" w:rsidP="00972191">
      <w:pPr>
        <w:pStyle w:val="ListParagraph"/>
        <w:numPr>
          <w:ilvl w:val="0"/>
          <w:numId w:val="5"/>
        </w:numPr>
        <w:spacing w:after="120"/>
        <w:jc w:val="both"/>
        <w:rPr>
          <w:rFonts w:eastAsia="Times New Roman"/>
          <w:bCs/>
          <w:szCs w:val="20"/>
          <w:lang w:eastAsia="lv-LV"/>
        </w:rPr>
      </w:pPr>
      <w:r w:rsidRPr="00BB1E54">
        <w:rPr>
          <w:rFonts w:eastAsia="Times New Roman"/>
          <w:bCs/>
          <w:szCs w:val="20"/>
          <w:lang w:eastAsia="lv-LV"/>
        </w:rPr>
        <w:t>samazināt ilgstošo reģistrēto bezdarbnieku īpatsvaru līdz 15%.</w:t>
      </w:r>
    </w:p>
    <w:p w14:paraId="1E6A3CCA" w14:textId="466918BE" w:rsidR="003229C8" w:rsidRDefault="003229C8" w:rsidP="003A549D">
      <w:pPr>
        <w:spacing w:after="120"/>
        <w:jc w:val="both"/>
        <w:rPr>
          <w:rFonts w:eastAsia="Times New Roman"/>
          <w:bCs/>
          <w:szCs w:val="20"/>
          <w:lang w:eastAsia="lv-LV"/>
        </w:rPr>
      </w:pPr>
      <w:r w:rsidRPr="00BB1E54">
        <w:rPr>
          <w:rFonts w:eastAsia="Times New Roman"/>
          <w:bCs/>
          <w:szCs w:val="20"/>
          <w:lang w:eastAsia="lv-LV"/>
        </w:rPr>
        <w:t xml:space="preserve">Esošo ADTP pasākumu pilnveide un attīstība tiek plānota tā, lai palīdzētu visiem darbspējīgajiem iedzīvotājiem iekļauties darba tirgū, īpašu atbalstu sniedzot nelabvēlīgākā situācijā esošajiem un augstākam bezdarba riskam pakļautajiem iedzīvotājiem (cilvēki ar zemu izglītības līmeni, ilgstošie bezdarbnieki, personas ar invaliditāti, gados vecākas personas u.c.). Iekļaujoša darba tirgus veidošana paredz savlaicīga un individuāli pielāgota atbalsta sniegšanu, lai uzlabotu nodarbinātības vai </w:t>
      </w:r>
      <w:proofErr w:type="spellStart"/>
      <w:r w:rsidRPr="00BB1E54">
        <w:rPr>
          <w:rFonts w:eastAsia="Times New Roman"/>
          <w:bCs/>
          <w:szCs w:val="20"/>
          <w:lang w:eastAsia="lv-LV"/>
        </w:rPr>
        <w:t>pašnodarbinātības</w:t>
      </w:r>
      <w:proofErr w:type="spellEnd"/>
      <w:r w:rsidRPr="00BB1E54">
        <w:rPr>
          <w:rFonts w:eastAsia="Times New Roman"/>
          <w:bCs/>
          <w:szCs w:val="20"/>
          <w:lang w:eastAsia="lv-LV"/>
        </w:rPr>
        <w:t xml:space="preserve"> izredzes, atbalstu pārejā no ekonomiskās </w:t>
      </w:r>
      <w:proofErr w:type="spellStart"/>
      <w:r w:rsidRPr="00BB1E54">
        <w:rPr>
          <w:rFonts w:eastAsia="Times New Roman"/>
          <w:bCs/>
          <w:szCs w:val="20"/>
          <w:lang w:eastAsia="lv-LV"/>
        </w:rPr>
        <w:t>neaktivitātes</w:t>
      </w:r>
      <w:proofErr w:type="spellEnd"/>
      <w:r w:rsidRPr="00BB1E54">
        <w:rPr>
          <w:rFonts w:eastAsia="Times New Roman"/>
          <w:bCs/>
          <w:szCs w:val="20"/>
          <w:lang w:eastAsia="lv-LV"/>
        </w:rPr>
        <w:t xml:space="preserve"> uz nodarbinātību un starp dažādām profesijām un nozarēm, kvalitatīvu un drošu darba vietu attīstību, nodarbināto nabadzības riska novēršanu, iespēju radīšanu </w:t>
      </w:r>
      <w:proofErr w:type="spellStart"/>
      <w:r w:rsidRPr="00BB1E54">
        <w:rPr>
          <w:rFonts w:eastAsia="Times New Roman"/>
          <w:bCs/>
          <w:szCs w:val="20"/>
          <w:lang w:eastAsia="lv-LV"/>
        </w:rPr>
        <w:t>pārkvalifikācijai</w:t>
      </w:r>
      <w:proofErr w:type="spellEnd"/>
      <w:r w:rsidRPr="00BB1E54">
        <w:rPr>
          <w:rFonts w:eastAsia="Times New Roman"/>
          <w:bCs/>
          <w:szCs w:val="20"/>
          <w:lang w:eastAsia="lv-LV"/>
        </w:rPr>
        <w:t xml:space="preserve"> un izglītībai visa darba mūža garumā.</w:t>
      </w:r>
    </w:p>
    <w:p w14:paraId="48E6F85B" w14:textId="77777777" w:rsidR="00573A44" w:rsidRPr="00BB1E54" w:rsidRDefault="00573A44" w:rsidP="003A549D">
      <w:pPr>
        <w:spacing w:after="120"/>
        <w:jc w:val="both"/>
        <w:rPr>
          <w:rFonts w:eastAsia="Times New Roman"/>
          <w:bCs/>
          <w:szCs w:val="20"/>
          <w:lang w:eastAsia="lv-LV"/>
        </w:rPr>
      </w:pPr>
    </w:p>
    <w:p w14:paraId="2183C7EA" w14:textId="458211A6" w:rsidR="00573A44" w:rsidRPr="00573A44" w:rsidRDefault="00573A44" w:rsidP="003A549D">
      <w:pPr>
        <w:spacing w:after="120"/>
        <w:jc w:val="both"/>
        <w:rPr>
          <w:rFonts w:ascii="Aptos Narrow" w:hAnsi="Aptos Narrow"/>
          <w:b/>
          <w:color w:val="5F497A" w:themeColor="accent4" w:themeShade="BF"/>
          <w:sz w:val="28"/>
          <w:szCs w:val="28"/>
        </w:rPr>
      </w:pPr>
      <w:r w:rsidRPr="00573A44">
        <w:rPr>
          <w:rFonts w:ascii="Aptos Narrow" w:hAnsi="Aptos Narrow"/>
          <w:b/>
          <w:color w:val="5F497A" w:themeColor="accent4" w:themeShade="BF"/>
          <w:sz w:val="28"/>
          <w:szCs w:val="28"/>
        </w:rPr>
        <w:t>Darbaspēka iekšējās mobilitātes veicināšanas pasākumi</w:t>
      </w:r>
    </w:p>
    <w:p w14:paraId="6CAAC9CD" w14:textId="201727C7" w:rsidR="003229C8" w:rsidRPr="00BB1E54" w:rsidRDefault="003229C8" w:rsidP="003A549D">
      <w:pPr>
        <w:spacing w:after="120"/>
        <w:jc w:val="both"/>
        <w:rPr>
          <w:rFonts w:eastAsiaTheme="minorHAnsi"/>
          <w:szCs w:val="20"/>
          <w:lang w:eastAsia="lv-LV"/>
        </w:rPr>
      </w:pPr>
      <w:r w:rsidRPr="00BB1E54">
        <w:rPr>
          <w:szCs w:val="20"/>
          <w:lang w:eastAsia="lv-LV"/>
        </w:rPr>
        <w:t>Lai mazinātu darba tirgus reģionālās atšķirības un palielinātu iedzīvotāju iesaisti nodarbinātībā, kā arī palielināt reģionu iespējas reaģēt uz pieaugošām darbaspēka vajadzībām un uzņemt nepieciešamos darbiniekus, īstenoti vairāki pasākumi darbaspēka iekšējās mobilitātes veicināšanai</w:t>
      </w:r>
      <w:r w:rsidR="002B2D9F">
        <w:rPr>
          <w:szCs w:val="20"/>
          <w:lang w:eastAsia="lv-LV"/>
        </w:rPr>
        <w:t>.</w:t>
      </w:r>
    </w:p>
    <w:p w14:paraId="6F0CB50E" w14:textId="197E2F1B" w:rsidR="003229C8" w:rsidRPr="002B2D9F" w:rsidRDefault="003229C8" w:rsidP="002B2D9F">
      <w:pPr>
        <w:spacing w:after="120" w:line="252" w:lineRule="auto"/>
        <w:jc w:val="both"/>
        <w:rPr>
          <w:rFonts w:eastAsia="Times New Roman"/>
          <w:szCs w:val="20"/>
          <w:lang w:eastAsia="lv-LV"/>
        </w:rPr>
      </w:pPr>
      <w:r w:rsidRPr="002B2D9F">
        <w:rPr>
          <w:rFonts w:eastAsia="Times New Roman"/>
          <w:b/>
          <w:bCs/>
          <w:szCs w:val="20"/>
          <w:lang w:eastAsia="lv-LV"/>
        </w:rPr>
        <w:t xml:space="preserve">Īres mājokļa pieejamības veicināšana reģionos. </w:t>
      </w:r>
      <w:r w:rsidRPr="002B2D9F">
        <w:rPr>
          <w:rFonts w:eastAsia="Times New Roman"/>
          <w:szCs w:val="20"/>
          <w:lang w:eastAsia="lv-LV"/>
        </w:rPr>
        <w:t xml:space="preserve">Darbaspēka pieejamību reģionos ar lielāku ekonomisko aktivitāti kavē kvalitatīvu un iedzīvotāju maksātspējai atbilstošu mājokļu trūkums. EM ir izstrādājusi vairākas atbalsta programmas un turpina darbu pie jauniem projektiem, lai risinātu jautājumu par kvalitatīvu mājokļu pieejamību Latvijā. Kopš 2022. gada novembra nekustamo īpašumu attīstītāji var sākt pieteikties </w:t>
      </w:r>
      <w:r w:rsidR="00F01887" w:rsidRPr="00F01887">
        <w:rPr>
          <w:rFonts w:eastAsia="Times New Roman"/>
          <w:szCs w:val="20"/>
          <w:lang w:eastAsia="lv-LV"/>
        </w:rPr>
        <w:t xml:space="preserve">AS </w:t>
      </w:r>
      <w:r w:rsidR="00F01887">
        <w:rPr>
          <w:rFonts w:eastAsia="Times New Roman"/>
          <w:szCs w:val="20"/>
          <w:lang w:eastAsia="lv-LV"/>
        </w:rPr>
        <w:t>“</w:t>
      </w:r>
      <w:r w:rsidR="00F01887" w:rsidRPr="00F01887">
        <w:rPr>
          <w:rFonts w:eastAsia="Times New Roman"/>
          <w:szCs w:val="20"/>
          <w:lang w:eastAsia="lv-LV"/>
        </w:rPr>
        <w:t>Attīstības finanšu institūcija ALTUM</w:t>
      </w:r>
      <w:r w:rsidR="00F01887">
        <w:rPr>
          <w:rFonts w:eastAsia="Times New Roman"/>
          <w:szCs w:val="20"/>
          <w:lang w:eastAsia="lv-LV"/>
        </w:rPr>
        <w:t>”</w:t>
      </w:r>
      <w:r w:rsidRPr="002B2D9F">
        <w:rPr>
          <w:rFonts w:eastAsia="Times New Roman"/>
          <w:szCs w:val="20"/>
          <w:lang w:eastAsia="lv-LV"/>
        </w:rPr>
        <w:t xml:space="preserve"> valsts atbalsta programmai zemu izmaksu īres namu būvniecībai Latvijas reģionos. Programmas finansējuma kopējais apjoms ir 42,9 milj. EUR, un tā tiek finansēta no ES Atveseļošanās fonda līdzekļiem. Ar šīs programmas atbalstu līdz 2026. gadam plānots sekmēt aptuveni 700 jaunu dzīvokļu būvniecību. Cenas ziņā pieejami mūsdienīgi mājokļi tiks izīrēti mājsaimniecībām, kas nespēj iegādāties dzīvokļus ar tirgus nosacījumiem. Ņemot vērā pastāvošās mājokļu pieejamības problēmas, jo īpaši reģionos, un OECD rekomendācijas, 2023. gadā viena no EM prioritātēm ir atbalsta programmas zemu izmaksu īres mājokļu būvniecībai.</w:t>
      </w:r>
    </w:p>
    <w:p w14:paraId="558AD664" w14:textId="77777777" w:rsidR="003229C8" w:rsidRPr="002B2D9F" w:rsidRDefault="003229C8" w:rsidP="002B2D9F">
      <w:pPr>
        <w:spacing w:after="120" w:line="252" w:lineRule="auto"/>
        <w:jc w:val="both"/>
        <w:rPr>
          <w:rFonts w:eastAsia="Times New Roman"/>
          <w:szCs w:val="20"/>
          <w:lang w:eastAsia="lv-LV"/>
        </w:rPr>
      </w:pPr>
      <w:r w:rsidRPr="002B2D9F">
        <w:rPr>
          <w:rFonts w:eastAsia="Times New Roman"/>
          <w:b/>
          <w:bCs/>
          <w:szCs w:val="20"/>
        </w:rPr>
        <w:t xml:space="preserve">Mājokļu atbalsta programmas īstenošana. </w:t>
      </w:r>
      <w:r w:rsidRPr="002B2D9F">
        <w:rPr>
          <w:rFonts w:eastAsia="Times New Roman"/>
          <w:szCs w:val="20"/>
        </w:rPr>
        <w:t xml:space="preserve">Mājokļu atbalsta programma, kas ģimenēm ar bērniem atvieglo iespēju nodrošināt pirmo iemaksu kredītam mājokļa iegādei vai būvniecībai, kopš 2015. gada palīdzējusi vairāk nekā 26 tūkst. ģimeņu ar 39 tūkst. bērnu tikt pie atbilstoša lieluma mājokļiem. Kopējā garantiju summa programmas darbības laikā ir vairāk nekā 214 milj. EUR. Kopš 2018. gada, kad programma tika paplašināta, garantiju pirmajai iemaksai kredītam mājokļa iegādei vai būvniecībai var saņemt arī personas vecumā līdz 35 gadiem ar augstāko vai profesionālo izglītību. Jaunajiem speciālistiem līdz 2024. gada pavasarim piešķirtas vairāk kā 6000 garantijas. 2020. gadā tika radīta papildu atbalsta programma “Balsts”, kas </w:t>
      </w:r>
      <w:proofErr w:type="spellStart"/>
      <w:r w:rsidRPr="002B2D9F">
        <w:rPr>
          <w:rFonts w:eastAsia="Times New Roman"/>
          <w:szCs w:val="20"/>
        </w:rPr>
        <w:t>daudzbērnu</w:t>
      </w:r>
      <w:proofErr w:type="spellEnd"/>
      <w:r w:rsidRPr="002B2D9F">
        <w:rPr>
          <w:rFonts w:eastAsia="Times New Roman"/>
          <w:szCs w:val="20"/>
        </w:rPr>
        <w:t xml:space="preserve"> ģimenēm sniedz iespēju saņemt neatmaksājamu valsts subsīdiju mājokļa iegādei vai būvniecībai. Subsīdijas apmērs atbilstoši bērnu skaitam ģimenē ir 8–12 tūkst. EUR. Subsīdija tika palielināta par 2 tūkst. EUR, ja mājoklis atbilst energoefektivitātes prasībām gandrīz nulles enerģijas ēkām. Kopš programmas stāšanās spēkā subsīdiju saņēmušas vairāk nekā 1140 ģimenes ar vairāk nekā 3500 bērniem. </w:t>
      </w:r>
      <w:r w:rsidRPr="002B2D9F">
        <w:rPr>
          <w:rFonts w:eastAsia="Times New Roman"/>
          <w:smallCaps/>
          <w:szCs w:val="20"/>
        </w:rPr>
        <w:t>K</w:t>
      </w:r>
      <w:r w:rsidRPr="002B2D9F">
        <w:rPr>
          <w:rFonts w:eastAsia="Times New Roman"/>
          <w:szCs w:val="20"/>
        </w:rPr>
        <w:t>opā subsīdijās ir izsniegti 9,6 milj. EUR.</w:t>
      </w:r>
    </w:p>
    <w:p w14:paraId="4A4FA15B" w14:textId="265365B9" w:rsidR="003229C8" w:rsidRPr="00BB1E54" w:rsidRDefault="003229C8" w:rsidP="002B2D9F">
      <w:pPr>
        <w:spacing w:after="120"/>
        <w:jc w:val="both"/>
      </w:pPr>
      <w:r w:rsidRPr="002B2D9F">
        <w:rPr>
          <w:b/>
        </w:rPr>
        <w:t>Mobilitātes atbalsts ADTP pasākumu ietvaros</w:t>
      </w:r>
      <w:r w:rsidRPr="002B2D9F">
        <w:t>.</w:t>
      </w:r>
      <w:r w:rsidRPr="00BB1E54">
        <w:t xml:space="preserve"> Lai veicinātu darba vai apmācību piedāvājuma pieņemšanu ārpus deklarētās dzīvesvietas, NVA īstenoto pasākumu ietvaros dalībniekiem pēc pieprasījuma tiek segti transporta un dzīvojamās telpas īres izdevumi uzsākot jaunās darba tiesiskās attiecības (pirmajos četros mēnešos) vai uzsākot mācībās (visā mācību īstenošanas periodā). Finanšu atlīdzību izmaksā par katru darba tiesisko attiecību mēnesi, </w:t>
      </w:r>
      <w:r w:rsidRPr="00BB1E54">
        <w:lastRenderedPageBreak/>
        <w:t>nepārsniedzot 200</w:t>
      </w:r>
      <w:r w:rsidR="002B2D9F">
        <w:rPr>
          <w:i/>
          <w:iCs/>
        </w:rPr>
        <w:t xml:space="preserve"> </w:t>
      </w:r>
      <w:r w:rsidR="002B2D9F" w:rsidRPr="002B2D9F">
        <w:t>EUR</w:t>
      </w:r>
      <w:r w:rsidRPr="00BB1E54">
        <w:t xml:space="preserve"> mēnesī dzīvojamās telpas īres izmaksu segšanai vai 10 </w:t>
      </w:r>
      <w:proofErr w:type="spellStart"/>
      <w:r w:rsidRPr="002B2D9F">
        <w:rPr>
          <w:i/>
          <w:iCs/>
        </w:rPr>
        <w:t>euro</w:t>
      </w:r>
      <w:proofErr w:type="spellEnd"/>
      <w:r w:rsidRPr="00BB1E54">
        <w:t xml:space="preserve"> dienā transporta izdevumu segšanai. 2023. gadā reģionālās mobilitātes atbalsts tika sniegts 1393 NVA klientiem (2022. gadā – 1628).</w:t>
      </w:r>
    </w:p>
    <w:p w14:paraId="4E76893F" w14:textId="26C50374" w:rsidR="00277003" w:rsidRPr="00277003" w:rsidRDefault="001133C1" w:rsidP="00277003">
      <w:pPr>
        <w:spacing w:after="120"/>
        <w:jc w:val="both"/>
        <w:rPr>
          <w:rFonts w:ascii="Aptos Narrow" w:hAnsi="Aptos Narrow"/>
          <w:b/>
          <w:color w:val="5F497A" w:themeColor="accent4" w:themeShade="BF"/>
          <w:sz w:val="28"/>
          <w:szCs w:val="28"/>
        </w:rPr>
      </w:pPr>
      <w:r w:rsidRPr="001133C1">
        <w:rPr>
          <w:rFonts w:ascii="Aptos Narrow" w:hAnsi="Aptos Narrow"/>
          <w:b/>
          <w:color w:val="5F497A" w:themeColor="accent4" w:themeShade="BF"/>
          <w:sz w:val="28"/>
          <w:szCs w:val="28"/>
        </w:rPr>
        <w:t>Bezdarbnieku un bezdarba riskam pakļauto personu mācības</w:t>
      </w:r>
    </w:p>
    <w:p w14:paraId="42B05BF4" w14:textId="5C8DFED8" w:rsidR="00277003" w:rsidRPr="006B634C" w:rsidRDefault="00277003" w:rsidP="00277003">
      <w:pPr>
        <w:spacing w:after="120"/>
        <w:jc w:val="both"/>
        <w:rPr>
          <w:rFonts w:ascii="Aptos Narrow" w:hAnsi="Aptos Narrow"/>
          <w:b/>
          <w:bCs/>
          <w:color w:val="5F497A" w:themeColor="accent4" w:themeShade="BF"/>
          <w:sz w:val="28"/>
          <w:szCs w:val="28"/>
        </w:rPr>
      </w:pPr>
      <w:r w:rsidRPr="006B634C">
        <w:rPr>
          <w:b/>
          <w:bCs/>
          <w:szCs w:val="20"/>
        </w:rPr>
        <w:t>Bezdarbnieku un bezdarba riskam pakļauto personu profesionālās mācības, pārkvalifikācijas un prasmju pilnveides pasākumu pilnveidošana</w:t>
      </w:r>
      <w:r w:rsidRPr="006B634C">
        <w:rPr>
          <w:szCs w:val="20"/>
        </w:rPr>
        <w:t xml:space="preserve">. </w:t>
      </w:r>
      <w:r w:rsidRPr="00BB1E54">
        <w:rPr>
          <w:szCs w:val="20"/>
        </w:rPr>
        <w:t xml:space="preserve">NVA īstenotajos apmācību pasākumos bezdarbniekiem, darba meklētājiem un bezdarba riskam pakļautām personām 2023. gadā kopumā bija iesaistīti 28,5 tūkst. cilvēku (dalību skaits), kas bija par 11,5 tūkst. vairāk nekā 2022. gadā. To var skaidrot gan ar NVA atbalsta intensificēšanu mācību jomu dažādošanai un klientu sasniegšanai, gan bezdarba riskam pakļauto personu mērķa grupas paplašināšanu iesaistei mācībās, īpaši iesaistot gados vecākas nodarbinātās personas, nodarbinātās personas ar invaliditāti, nodarbinātās personas ar zemu izglītības līmeni un tml. </w:t>
      </w:r>
    </w:p>
    <w:p w14:paraId="02C46CAC" w14:textId="77777777" w:rsidR="00277003" w:rsidRPr="00BB1E54" w:rsidRDefault="00277003" w:rsidP="00277003">
      <w:pPr>
        <w:autoSpaceDE w:val="0"/>
        <w:autoSpaceDN w:val="0"/>
        <w:adjustRightInd w:val="0"/>
        <w:spacing w:after="120"/>
        <w:jc w:val="both"/>
        <w:rPr>
          <w:szCs w:val="20"/>
        </w:rPr>
      </w:pPr>
      <w:r w:rsidRPr="00BB1E54">
        <w:rPr>
          <w:szCs w:val="20"/>
        </w:rPr>
        <w:t xml:space="preserve">Bezdarbnieku un darba meklētāju prasmju pilnveides un darbaspēka pieejamības veicināšanas nolūkos turpinās NVA un darba devēju sadarbība. Tiek sniegtas un popularizētas iespējas pašiem darba devējiem iesaistīties gan bezdarbnieku atlasē, piemeklējot piemērotus kandidātus jaunajām darba vietām, gan arī sekmētas bezdarbnieku mācības pēc tiešā darba devēja pieprasījuma un prasmju apguve darba vietā, iesaistoties tādos NVA pasākumos kā “Apmācība pie darba devēja” un “Apmācība pie darba devēja ar nozaru asociāciju iesaisti”, kas vērsts uz  bezdarbnieku un darba meklētāju atbalstu darbam IKT, inženierzinātņu un apstrādes rūpniecības, transporta un uzglabāšanas nozarēs. Minēto nozaru asociācijām ir iespēja saņemt dotāciju apmācību pasākumu koordinēšanai, vadīšanai, attiecīgo pasniedzēju piesaistei u.c. aktivitātēm. </w:t>
      </w:r>
      <w:r w:rsidRPr="00BB1E54">
        <w:t>NVA turpina mācību atbalsta paplašināšanu, tai skaitā</w:t>
      </w:r>
      <w:r>
        <w:t>,</w:t>
      </w:r>
      <w:r w:rsidRPr="00BB1E54">
        <w:t xml:space="preserve"> sniedzot atbalstu pieaugušajiem iesaistei mācībām atvērto tiešsaistes kursu platformās (piemēram, </w:t>
      </w:r>
      <w:r w:rsidRPr="00BB1E54">
        <w:rPr>
          <w:i/>
          <w:iCs/>
        </w:rPr>
        <w:t>coursera.com</w:t>
      </w:r>
      <w:r w:rsidRPr="00BB1E54">
        <w:t xml:space="preserve">) un </w:t>
      </w:r>
      <w:r w:rsidRPr="00BB1E54">
        <w:rPr>
          <w:color w:val="000000" w:themeColor="text1"/>
        </w:rPr>
        <w:t>bezmaksas “Google” programmās</w:t>
      </w:r>
      <w:r w:rsidRPr="00BB1E54">
        <w:t>. Papildus NVA turpina attīstīt tādu pakalpojumu pieejamību, kas saistīti ar digitālo prasmju testēšanu un konsultatīvu atbalstam personām, kas vēlas iesaistīties mācībās.</w:t>
      </w:r>
    </w:p>
    <w:p w14:paraId="4489AB78" w14:textId="77777777" w:rsidR="00277003" w:rsidRPr="00BB1E54" w:rsidRDefault="00277003" w:rsidP="00277003">
      <w:pPr>
        <w:autoSpaceDE w:val="0"/>
        <w:autoSpaceDN w:val="0"/>
        <w:adjustRightInd w:val="0"/>
        <w:spacing w:after="120"/>
        <w:jc w:val="both"/>
        <w:rPr>
          <w:szCs w:val="20"/>
        </w:rPr>
      </w:pPr>
      <w:r w:rsidRPr="00BB1E54">
        <w:rPr>
          <w:szCs w:val="20"/>
        </w:rPr>
        <w:t>2024. gadā, lai atbalstītu darba tirgus transformāciju un mazinātu prasmju nevienlīdzības iedzīvotāju vidū, piesaistot ANM finansējumu (</w:t>
      </w:r>
      <w:r w:rsidRPr="00BB1E54">
        <w:rPr>
          <w:color w:val="000000" w:themeColor="text1"/>
        </w:rPr>
        <w:t>projekts “Bezdarbnieku, darba meklētāju un bezdarba riskam pakļauto iedzīvotāju iesaiste darba tirgū”</w:t>
      </w:r>
      <w:r w:rsidRPr="00BB1E54">
        <w:rPr>
          <w:szCs w:val="20"/>
        </w:rPr>
        <w:t xml:space="preserve">), ar NVA starpniecību tiks veicināta vairāk nekā 17 tūkst. bezdarbnieku, darba meklētāju un bezdarba riskam pakļauto personu nepārtraukta zināšanu un prasmju pilnveidošana. </w:t>
      </w:r>
    </w:p>
    <w:p w14:paraId="70840225" w14:textId="77777777" w:rsidR="00277003" w:rsidRPr="00BB1E54" w:rsidRDefault="00277003" w:rsidP="00277003">
      <w:pPr>
        <w:autoSpaceDE w:val="0"/>
        <w:autoSpaceDN w:val="0"/>
        <w:adjustRightInd w:val="0"/>
        <w:spacing w:after="120"/>
        <w:jc w:val="both"/>
        <w:rPr>
          <w:szCs w:val="20"/>
        </w:rPr>
      </w:pPr>
      <w:r w:rsidRPr="00BB1E54">
        <w:rPr>
          <w:szCs w:val="20"/>
        </w:rPr>
        <w:t>Prasmju neatbilstību (</w:t>
      </w:r>
      <w:proofErr w:type="spellStart"/>
      <w:r w:rsidRPr="00BB1E54">
        <w:rPr>
          <w:i/>
          <w:szCs w:val="20"/>
        </w:rPr>
        <w:t>skills</w:t>
      </w:r>
      <w:proofErr w:type="spellEnd"/>
      <w:r w:rsidRPr="00BB1E54">
        <w:rPr>
          <w:i/>
          <w:szCs w:val="20"/>
        </w:rPr>
        <w:t xml:space="preserve"> </w:t>
      </w:r>
      <w:proofErr w:type="spellStart"/>
      <w:r w:rsidRPr="00BB1E54">
        <w:rPr>
          <w:i/>
          <w:szCs w:val="20"/>
        </w:rPr>
        <w:t>mismatches</w:t>
      </w:r>
      <w:proofErr w:type="spellEnd"/>
      <w:r w:rsidRPr="00BB1E54">
        <w:rPr>
          <w:szCs w:val="20"/>
        </w:rPr>
        <w:t>) mazināšanai un pieaugušo izglītības veicināšanai bezdarbniekiem, tai skaitā tiem, kas nav pabeiguši profesionālās izglītības programmas, taču ieguvuši nozīmīgu darba pieredzi vai attīstījuši prasmes ārpus formālās izglītības sistēmas, tiek piedāvāta iespēja iegūt valsts atzītu kvalifikāciju apliecinošu dokumentu, veicot ārpus formālās izglītības iegūto kompetenču novērtēšanu un atzīšanu. Līdzīgi tiesiskajā regulējumā paredzētas modulārās profesionālās izglītības programmas bezdarbniekiem un citiem NVA reģistrētajiem klientiem</w:t>
      </w:r>
      <w:r>
        <w:rPr>
          <w:szCs w:val="20"/>
        </w:rPr>
        <w:t>.</w:t>
      </w:r>
      <w:r w:rsidRPr="00BB1E54">
        <w:rPr>
          <w:szCs w:val="20"/>
        </w:rPr>
        <w:t xml:space="preserve"> Īstenojot šīs mācību programmas tiek pievērsta uzmanība arī kvalitātes aspektiem, izvirzot papildu prasības izglītības iestādēm attiecībā uz materiāltehniskās bāzes nodrošināšanu, vides pieejamības prasību ievērošanu, noteiktajiem sekmības rādītājiem apmācību procesā u.c. Informētākai mācību programmu izvēlei NVA klientiem ir pieejamas karjeras konsultācijas un NVA mājaslapā publiski pieejami IKT rīki (darba tirgus prognozēšanas rīks, izglītības iestāžu meklētājs u.c.), kā arī jaunizstrādātie NVA prasmju novērtēšanas E-karjeras testi.</w:t>
      </w:r>
    </w:p>
    <w:p w14:paraId="13533756" w14:textId="77777777" w:rsidR="00277003" w:rsidRPr="00BB1E54" w:rsidRDefault="00277003" w:rsidP="00277003">
      <w:pPr>
        <w:spacing w:after="120"/>
        <w:jc w:val="both"/>
      </w:pPr>
      <w:r w:rsidRPr="00BB1E54">
        <w:rPr>
          <w:color w:val="000000" w:themeColor="text1"/>
        </w:rPr>
        <w:t xml:space="preserve">2022. gadā </w:t>
      </w:r>
      <w:r w:rsidRPr="00BB1E54">
        <w:t xml:space="preserve">Finanšu ministrijas pasūtītā </w:t>
      </w:r>
      <w:proofErr w:type="spellStart"/>
      <w:r w:rsidRPr="00BB1E54">
        <w:t>izvērtējuma</w:t>
      </w:r>
      <w:proofErr w:type="spellEnd"/>
      <w:r w:rsidRPr="00BB1E54">
        <w:t xml:space="preserve"> “ES fondu ieguldījumu ilgtspējīgas un kvalitatīvas nodarbinātībā un darbaspēka mobilitātē 2014. – 2020. gada plānošanas periodā lietderības, efektivitātes un ietekmes 2022.gada </w:t>
      </w:r>
      <w:proofErr w:type="spellStart"/>
      <w:r w:rsidRPr="00BB1E54">
        <w:t>izvērtējums</w:t>
      </w:r>
      <w:proofErr w:type="spellEnd"/>
      <w:r w:rsidRPr="00BB1E54">
        <w:t>”</w:t>
      </w:r>
      <w:r w:rsidRPr="00BB1E54">
        <w:rPr>
          <w:rStyle w:val="FootnoteReference"/>
        </w:rPr>
        <w:footnoteReference w:id="22"/>
      </w:r>
      <w:r w:rsidRPr="00BB1E54">
        <w:t xml:space="preserve"> ietvaros ar </w:t>
      </w:r>
      <w:proofErr w:type="spellStart"/>
      <w:r w:rsidRPr="00BB1E54">
        <w:t>kontrafaktuālo</w:t>
      </w:r>
      <w:proofErr w:type="spellEnd"/>
      <w:r w:rsidRPr="00BB1E54">
        <w:t xml:space="preserve"> </w:t>
      </w:r>
      <w:proofErr w:type="spellStart"/>
      <w:r w:rsidRPr="00BB1E54">
        <w:t>izvērtējuma</w:t>
      </w:r>
      <w:proofErr w:type="spellEnd"/>
      <w:r w:rsidRPr="00BB1E54">
        <w:t xml:space="preserve"> metodēm tika vērtēta NVA īstenoto mācību pasākumu ieguldījumu lietderība un efektivitāte nodarbinātības veicināšanā. </w:t>
      </w:r>
      <w:proofErr w:type="spellStart"/>
      <w:r w:rsidRPr="00BB1E54">
        <w:t>Izvērtējums</w:t>
      </w:r>
      <w:proofErr w:type="spellEnd"/>
      <w:r w:rsidRPr="00BB1E54">
        <w:t xml:space="preserve"> rāda, ka mācību pasākumiem ir labvēlīga un pozitīva ietekme uz dalībnieku spējām kļūt nodarbinātiem pēc noteikta laika perioda (dalībnieku nodarbinātības situācija tika salīdzināta ar kontroles grupu 6, 12 un 18 mēnešu periodā). Tāpat 2022.gada periodā tika uzrādīts </w:t>
      </w:r>
      <w:proofErr w:type="spellStart"/>
      <w:r w:rsidRPr="00BB1E54">
        <w:t>rekordaugsts</w:t>
      </w:r>
      <w:proofErr w:type="spellEnd"/>
      <w:r w:rsidRPr="00BB1E54">
        <w:t xml:space="preserve"> darbā iekārtošanās rādītājs pēc mācību beigām. Sešu mēnešu laikā pēc dalības profesionālajās mācībās darbā iekārtojas – 48,2% mācības pabeigušās personas, </w:t>
      </w:r>
      <w:r w:rsidRPr="00BB1E54">
        <w:rPr>
          <w:szCs w:val="20"/>
        </w:rPr>
        <w:t xml:space="preserve">kas uzskatāms kā augsts ietekmes novērtējuma rādītājs arī ES dalībvalstu vidū. Vēl labāki rezultāti, atbilstoši Finanšu ministrijas </w:t>
      </w:r>
      <w:proofErr w:type="spellStart"/>
      <w:r w:rsidRPr="00BB1E54">
        <w:rPr>
          <w:szCs w:val="20"/>
        </w:rPr>
        <w:t>izvērtējumam</w:t>
      </w:r>
      <w:proofErr w:type="spellEnd"/>
      <w:r w:rsidRPr="00BB1E54">
        <w:rPr>
          <w:szCs w:val="20"/>
        </w:rPr>
        <w:t xml:space="preserve">, tika novēroti pasākumam “Apmācība pie darba devēja”, kurā pēc dalības pabeigšanas 6 mēnešu laikā darbu atrada līdz 70% pasākuma dalībnieku. </w:t>
      </w:r>
      <w:r w:rsidRPr="00BB1E54">
        <w:t>Plānots, ka arī turpmāk NVA sniegs nepieciešamo mācību atbalstu iedzīvotājiem, tajā skaitā, veicinot mērķētu iesaisti mācībās personām ar zemu kvalifikāciju, kurām trūkst darba tirgum nepieciešamās zināšanas un prasmes, pastiprināti uzraugot mācību programmu kvalitāti, piemērojot papildus kritērijus, piemēram, atbalstu dalībai mācībām sniedzot personām ar zemiem ienākumiem.</w:t>
      </w:r>
    </w:p>
    <w:p w14:paraId="6BEDF087" w14:textId="77777777" w:rsidR="003229C8" w:rsidRPr="00BB1E54" w:rsidRDefault="003229C8" w:rsidP="003229C8">
      <w:pPr>
        <w:spacing w:after="120"/>
        <w:jc w:val="both"/>
      </w:pPr>
    </w:p>
    <w:p w14:paraId="3D5B2E6D" w14:textId="5CA8F6D4" w:rsidR="00CD15F5" w:rsidRDefault="00CD15F5">
      <w:pPr>
        <w:spacing w:after="0"/>
      </w:pPr>
    </w:p>
    <w:p w14:paraId="22316E65" w14:textId="5C09C7BE" w:rsidR="003229C8" w:rsidRPr="00080A71" w:rsidRDefault="003229C8" w:rsidP="00080A71">
      <w:pPr>
        <w:pStyle w:val="Heading2"/>
      </w:pPr>
      <w:bookmarkStart w:id="99" w:name="_Toc183620115"/>
      <w:r w:rsidRPr="00080A71">
        <w:lastRenderedPageBreak/>
        <w:t>4.</w:t>
      </w:r>
      <w:r w:rsidR="00D34C86">
        <w:t>3</w:t>
      </w:r>
      <w:r w:rsidRPr="00080A71">
        <w:t>. darbaspēka migrācijas pasākumi</w:t>
      </w:r>
      <w:bookmarkEnd w:id="99"/>
      <w:r w:rsidRPr="00080A71">
        <w:t xml:space="preserve"> </w:t>
      </w:r>
    </w:p>
    <w:p w14:paraId="5D64DC33" w14:textId="6E10E669" w:rsidR="003229C8" w:rsidRPr="00BB1E54" w:rsidRDefault="003229C8" w:rsidP="003A549D">
      <w:pPr>
        <w:shd w:val="clear" w:color="auto" w:fill="FFFFFF"/>
        <w:spacing w:after="120"/>
        <w:jc w:val="both"/>
        <w:textAlignment w:val="baseline"/>
      </w:pPr>
      <w:r w:rsidRPr="00BB1E54">
        <w:rPr>
          <w:rFonts w:eastAsia="Times New Roman"/>
          <w:szCs w:val="20"/>
        </w:rPr>
        <w:t>Darbaspēka migrācijas sistēma Latvijā ir vērsta uz augstāk kvalificēta darbaspēka piesaisti (galvenokārt pasākumiem administratīvo šķēršļu mazināšanai trešo valstu darbaspēka piesaistei), kā arī uz vietējā darba tirgus aizsardzību, tādējādi veicinot produktivitātes attīstību un ieguldījumus cilvēkresursos.</w:t>
      </w:r>
    </w:p>
    <w:p w14:paraId="0160839F" w14:textId="4F42DB33" w:rsidR="003229C8" w:rsidRPr="00BB1E54" w:rsidRDefault="003229C8" w:rsidP="003A549D">
      <w:pPr>
        <w:shd w:val="clear" w:color="auto" w:fill="FFFFFF"/>
        <w:spacing w:after="120"/>
        <w:jc w:val="both"/>
        <w:textAlignment w:val="baseline"/>
        <w:rPr>
          <w:rFonts w:eastAsia="Times New Roman"/>
          <w:szCs w:val="20"/>
        </w:rPr>
      </w:pPr>
      <w:r w:rsidRPr="00BB1E54">
        <w:rPr>
          <w:rFonts w:eastAsia="Times New Roman"/>
          <w:b/>
          <w:bCs/>
          <w:szCs w:val="20"/>
        </w:rPr>
        <w:t>Kvalificētā darbaspēka piesaistes</w:t>
      </w:r>
      <w:r w:rsidRPr="00BB1E54">
        <w:rPr>
          <w:rFonts w:eastAsia="Times New Roman"/>
          <w:szCs w:val="20"/>
        </w:rPr>
        <w:t xml:space="preserve"> veicināšanai Latvijā pēdējos gados ir veikti vairāki grozījumi tiesību aktos.  2024. </w:t>
      </w:r>
      <w:r w:rsidR="001F23B3">
        <w:rPr>
          <w:rFonts w:eastAsia="Times New Roman"/>
          <w:szCs w:val="20"/>
        </w:rPr>
        <w:t> </w:t>
      </w:r>
      <w:r w:rsidRPr="00BB1E54">
        <w:rPr>
          <w:rFonts w:eastAsia="Times New Roman"/>
          <w:szCs w:val="20"/>
        </w:rPr>
        <w:t>gada janvārī stājās spēkā grozījumi MK noteikumos par ārzemniekam nepieciešamo finanšu līdzekļu apmēru un finanšu līdzekļu esīb</w:t>
      </w:r>
      <w:r w:rsidR="001F23B3">
        <w:rPr>
          <w:rFonts w:eastAsia="Times New Roman"/>
          <w:szCs w:val="20"/>
        </w:rPr>
        <w:t>as</w:t>
      </w:r>
      <w:r w:rsidRPr="00BB1E54">
        <w:rPr>
          <w:rFonts w:eastAsia="Times New Roman"/>
          <w:szCs w:val="20"/>
        </w:rPr>
        <w:t xml:space="preserve"> konstatēšanu, kas nosaka, ka ārzemniekam, lai saņemtu vīzu un tiesības uz nodarbinātību, darba algai, ko izmaksā darba devējs, jābūt ne mazākai par Latvijas Republikā strādājošo mēneša vidējo bruto darba samaksu nozarē (saskaņā ar CSP pēdējo publicēto informāciju) vai par nozares </w:t>
      </w:r>
      <w:proofErr w:type="spellStart"/>
      <w:r w:rsidRPr="00BB1E54">
        <w:rPr>
          <w:rFonts w:eastAsia="Times New Roman"/>
          <w:szCs w:val="20"/>
        </w:rPr>
        <w:t>ģenerālvienošanos</w:t>
      </w:r>
      <w:proofErr w:type="spellEnd"/>
      <w:r w:rsidRPr="00BB1E54">
        <w:rPr>
          <w:rFonts w:eastAsia="Times New Roman"/>
          <w:szCs w:val="20"/>
        </w:rPr>
        <w:t xml:space="preserve"> noteikto minimālo algu. </w:t>
      </w:r>
      <w:r w:rsidR="00DA0F82" w:rsidRPr="00DA0F82">
        <w:rPr>
          <w:rFonts w:eastAsia="Times New Roman"/>
          <w:szCs w:val="20"/>
        </w:rPr>
        <w:t>Ja ārzemnieka paredzamās nodarbinātības nozares vidējā alga ir augstāka par Latvijas Republikā strādājošo mēneša vidējo bruto darba samaksu iepriekšējā gadā, tad ārzemniekam nepieciešamajam finanšu līdzekļu apmēram (darba algai) ir jābūt ne mazākam par Latvijas Republikā strādājošo mēneša vidējo bruto darba samaksu iepriekšējā gadā (2023.gadā – 1537 EUR).</w:t>
      </w:r>
      <w:r w:rsidR="00DA0F82">
        <w:rPr>
          <w:rFonts w:eastAsia="Times New Roman"/>
          <w:szCs w:val="20"/>
        </w:rPr>
        <w:t xml:space="preserve"> </w:t>
      </w:r>
      <w:r w:rsidRPr="00BB1E54">
        <w:t xml:space="preserve">Ir arī  nolemts arī </w:t>
      </w:r>
      <w:r w:rsidRPr="00BB1E54">
        <w:rPr>
          <w:rFonts w:eastAsia="Times New Roman"/>
          <w:szCs w:val="20"/>
        </w:rPr>
        <w:t>atteikties no prasības iesniegt ārvalstnieka izglītību/pieredzi apliecinoša dokumenta kopiju gadījumos, ja profesija Latvijā nav reglamentēta. Vienlaicīgi paredzēts saglabāt uzaicinātājam (darba devējam) pienākumu pārliecināties par uzaicināto darbinieku kvalifikāciju un piemērotību darba veikšanai.</w:t>
      </w:r>
    </w:p>
    <w:p w14:paraId="6EA61E3C" w14:textId="6FEFA105" w:rsidR="003229C8" w:rsidRPr="00BB1E54" w:rsidRDefault="003229C8" w:rsidP="003A549D">
      <w:pPr>
        <w:shd w:val="clear" w:color="auto" w:fill="FFFFFF"/>
        <w:spacing w:after="120"/>
        <w:jc w:val="both"/>
        <w:textAlignment w:val="baseline"/>
        <w:rPr>
          <w:rFonts w:eastAsia="Times New Roman"/>
          <w:szCs w:val="20"/>
        </w:rPr>
      </w:pPr>
      <w:r w:rsidRPr="00BB1E54">
        <w:rPr>
          <w:rFonts w:eastAsia="Times New Roman"/>
          <w:szCs w:val="20"/>
        </w:rPr>
        <w:t>2024. gada 9. janvārī stājās spēkā grozījumi Imigrācijas likumā, kuru mērķis ir</w:t>
      </w:r>
      <w:r w:rsidRPr="00BB1E54">
        <w:t xml:space="preserve"> </w:t>
      </w:r>
      <w:r w:rsidRPr="00BB1E54">
        <w:rPr>
          <w:rFonts w:eastAsia="Times New Roman"/>
          <w:szCs w:val="20"/>
        </w:rPr>
        <w:t>ierobežot negodprātīgus darba devējus – ārvalstu darbaspēka uzaicinātājus, paredzot tiesības</w:t>
      </w:r>
      <w:r w:rsidR="00F01887">
        <w:rPr>
          <w:rFonts w:eastAsia="Times New Roman"/>
          <w:szCs w:val="20"/>
        </w:rPr>
        <w:t xml:space="preserve"> Pilsonības un migrācijas lietu pārvaldei (</w:t>
      </w:r>
      <w:r w:rsidRPr="00BB1E54">
        <w:rPr>
          <w:rFonts w:eastAsia="Times New Roman"/>
          <w:szCs w:val="20"/>
        </w:rPr>
        <w:t>PMLP</w:t>
      </w:r>
      <w:r w:rsidR="00F01887">
        <w:rPr>
          <w:rFonts w:eastAsia="Times New Roman"/>
          <w:szCs w:val="20"/>
        </w:rPr>
        <w:t xml:space="preserve">) </w:t>
      </w:r>
      <w:r w:rsidRPr="00BB1E54">
        <w:rPr>
          <w:rFonts w:eastAsia="Times New Roman"/>
          <w:szCs w:val="20"/>
        </w:rPr>
        <w:t>pieņemt lēmumu par aizliegumu uz laiku līdz 1 gadam fiziskai vai juridiskai personai uzaicināt ārvalstnieku. Līdz ar to paredzams, ka tiks samazināts negodprātīgo vīzu un uzturēšanās atļauju pieprasītāju skaits, kas neievēro ar ārvalstnieku nodarbināšanu saistīto normatīvo aktu prasības, tādējādi mazinot arī Latvijas reputācijas apdraudējuma riskus.</w:t>
      </w:r>
    </w:p>
    <w:p w14:paraId="72E108D2" w14:textId="7010EAF4" w:rsidR="003A549D" w:rsidRPr="00BB1E54" w:rsidRDefault="003229C8" w:rsidP="003A549D">
      <w:pPr>
        <w:shd w:val="clear" w:color="auto" w:fill="FFFFFF"/>
        <w:spacing w:after="120"/>
        <w:jc w:val="both"/>
        <w:textAlignment w:val="baseline"/>
        <w:rPr>
          <w:rFonts w:eastAsia="Times New Roman"/>
          <w:szCs w:val="20"/>
        </w:rPr>
      </w:pPr>
      <w:r w:rsidRPr="00BB1E54">
        <w:rPr>
          <w:rFonts w:eastAsia="Times New Roman"/>
          <w:szCs w:val="20"/>
        </w:rPr>
        <w:t>2024. gadā EM sadarbībā ar LM turpina izstrādāt vienkāršotas darbaspēka piesaistes procedūras ārvalstu darbaspēka piesaistei investīciju un eksportējošiem uzņēmumiem, tostarp paredzot darba devējiem sadarbības pienākumu ar NVA un atbalstot Latvijas darba tirgum nepieciešamā darbaspēka piesaisti. Tāpat EM notiek darbs pie vienas pieturas aģentūras izveides, lai sadarbībā ar PMLP, Ārlietu ministriju, LM, NVA piesaistītu augsti kvalificētu ārvalstu talantus.</w:t>
      </w:r>
    </w:p>
    <w:p w14:paraId="1B185F4F" w14:textId="4C31C879" w:rsidR="003229C8" w:rsidRPr="00587A66" w:rsidRDefault="003229C8" w:rsidP="00587A66">
      <w:pPr>
        <w:spacing w:after="120"/>
        <w:jc w:val="both"/>
        <w:rPr>
          <w:rFonts w:ascii="Aptos Narrow" w:hAnsi="Aptos Narrow"/>
          <w:b/>
          <w:bCs/>
          <w:color w:val="5F497A" w:themeColor="accent4" w:themeShade="BF"/>
          <w:sz w:val="28"/>
          <w:szCs w:val="28"/>
        </w:rPr>
      </w:pPr>
      <w:proofErr w:type="spellStart"/>
      <w:r w:rsidRPr="00587A66">
        <w:rPr>
          <w:rFonts w:eastAsia="Times New Roman"/>
          <w:b/>
          <w:bCs/>
          <w:szCs w:val="20"/>
        </w:rPr>
        <w:t>Reemigrācija</w:t>
      </w:r>
      <w:proofErr w:type="spellEnd"/>
      <w:r w:rsidR="00587A66" w:rsidRPr="00587A66">
        <w:rPr>
          <w:rFonts w:eastAsia="Times New Roman"/>
          <w:szCs w:val="20"/>
        </w:rPr>
        <w:t>.</w:t>
      </w:r>
      <w:r w:rsidR="00587A66" w:rsidRPr="00587A66">
        <w:rPr>
          <w:rFonts w:ascii="Aptos Narrow" w:hAnsi="Aptos Narrow"/>
          <w:color w:val="5F497A" w:themeColor="accent4" w:themeShade="BF"/>
          <w:sz w:val="28"/>
          <w:szCs w:val="28"/>
        </w:rPr>
        <w:t xml:space="preserve"> </w:t>
      </w:r>
      <w:r w:rsidRPr="00BB1E54">
        <w:rPr>
          <w:rFonts w:eastAsia="Times New Roman"/>
          <w:szCs w:val="20"/>
        </w:rPr>
        <w:t xml:space="preserve">Mērķtiecīgs </w:t>
      </w:r>
      <w:proofErr w:type="spellStart"/>
      <w:r w:rsidRPr="00BB1E54">
        <w:rPr>
          <w:rFonts w:eastAsia="Times New Roman"/>
          <w:szCs w:val="20"/>
        </w:rPr>
        <w:t>remigrācijas</w:t>
      </w:r>
      <w:proofErr w:type="spellEnd"/>
      <w:r w:rsidRPr="00BB1E54">
        <w:rPr>
          <w:rFonts w:eastAsia="Times New Roman"/>
          <w:szCs w:val="20"/>
        </w:rPr>
        <w:t xml:space="preserve"> atbalsta pasākums ir </w:t>
      </w:r>
      <w:r w:rsidR="002706BD">
        <w:rPr>
          <w:rFonts w:eastAsia="Times New Roman"/>
          <w:szCs w:val="20"/>
        </w:rPr>
        <w:t xml:space="preserve">Viedās administrācijas un reģionālās attīstības ministrijas (agrāk - </w:t>
      </w:r>
      <w:r w:rsidR="00F01887">
        <w:rPr>
          <w:rFonts w:eastAsia="Times New Roman"/>
          <w:szCs w:val="20"/>
        </w:rPr>
        <w:t>Vides aizsardzības un reģionālās attīstības ministrijas (VARAM</w:t>
      </w:r>
      <w:r w:rsidR="002706BD">
        <w:rPr>
          <w:rFonts w:eastAsia="Times New Roman"/>
          <w:szCs w:val="20"/>
        </w:rPr>
        <w:t>)</w:t>
      </w:r>
      <w:r w:rsidR="00F01887">
        <w:rPr>
          <w:rFonts w:eastAsia="Times New Roman"/>
          <w:szCs w:val="20"/>
        </w:rPr>
        <w:t>)</w:t>
      </w:r>
      <w:r w:rsidRPr="00BB1E54">
        <w:rPr>
          <w:rFonts w:eastAsia="Times New Roman"/>
          <w:szCs w:val="20"/>
        </w:rPr>
        <w:t xml:space="preserve"> izveidotais piecu reģionālo </w:t>
      </w:r>
      <w:proofErr w:type="spellStart"/>
      <w:r w:rsidRPr="00BB1E54">
        <w:rPr>
          <w:rFonts w:eastAsia="Times New Roman"/>
          <w:szCs w:val="20"/>
        </w:rPr>
        <w:t>remigrācijas</w:t>
      </w:r>
      <w:proofErr w:type="spellEnd"/>
      <w:r w:rsidRPr="00BB1E54">
        <w:rPr>
          <w:rFonts w:eastAsia="Times New Roman"/>
          <w:szCs w:val="20"/>
        </w:rPr>
        <w:t xml:space="preserve"> koordinatoru tīkls, kas nodrošina vienu reģionālo koordinatoru katrā plānošanas reģionā. Potenciālajiem </w:t>
      </w:r>
      <w:proofErr w:type="spellStart"/>
      <w:r w:rsidRPr="00BB1E54">
        <w:rPr>
          <w:rFonts w:eastAsia="Times New Roman"/>
          <w:szCs w:val="20"/>
        </w:rPr>
        <w:t>remigrantiem</w:t>
      </w:r>
      <w:proofErr w:type="spellEnd"/>
      <w:r w:rsidRPr="00BB1E54">
        <w:rPr>
          <w:rFonts w:eastAsia="Times New Roman"/>
          <w:szCs w:val="20"/>
        </w:rPr>
        <w:t xml:space="preserve"> ir iespēja bez maksas saņemt reģionālā koordinatora konsultāciju un atbalstu, risinot sev aktuālus jautājumus, kas saistīti ar atgriešanos Latvijā konkrētā reģionā. Kopš tīkla izveides,2018. gadā ir izveidota un nostiprināta sistēma, kā tiek sniegta palīdzība cilvēkiem, kuri atgriežas Latvijā. Ar koordinatoru atbalstu no laika posmā no 2018. līdz 2023. gada beigām ar </w:t>
      </w:r>
      <w:proofErr w:type="spellStart"/>
      <w:r w:rsidRPr="00BB1E54">
        <w:rPr>
          <w:rFonts w:eastAsia="Times New Roman"/>
          <w:szCs w:val="20"/>
        </w:rPr>
        <w:t>remigrācijas</w:t>
      </w:r>
      <w:proofErr w:type="spellEnd"/>
      <w:r w:rsidRPr="00BB1E54">
        <w:rPr>
          <w:rFonts w:eastAsia="Times New Roman"/>
          <w:szCs w:val="20"/>
        </w:rPr>
        <w:t xml:space="preserve"> koordinatoru atbalstu Latvijā atgriezušās 4534 personas.</w:t>
      </w:r>
      <w:r w:rsidRPr="00BB1E54">
        <w:t xml:space="preserve"> </w:t>
      </w:r>
      <w:r w:rsidRPr="00BB1E54">
        <w:rPr>
          <w:rFonts w:eastAsia="Times New Roman"/>
          <w:szCs w:val="20"/>
        </w:rPr>
        <w:t xml:space="preserve">VARAM kopā ar plānošanas reģioniem un pašvaldībām īsteno arī atbalsta pasākumu </w:t>
      </w:r>
      <w:proofErr w:type="spellStart"/>
      <w:r w:rsidRPr="00BB1E54">
        <w:rPr>
          <w:rFonts w:eastAsia="Times New Roman"/>
          <w:szCs w:val="20"/>
        </w:rPr>
        <w:t>remigrantiem</w:t>
      </w:r>
      <w:proofErr w:type="spellEnd"/>
      <w:r w:rsidRPr="00BB1E54">
        <w:rPr>
          <w:rFonts w:eastAsia="Times New Roman"/>
          <w:szCs w:val="20"/>
        </w:rPr>
        <w:t xml:space="preserve"> uzņēmējdarbības veicināšanai. Kopējais valsts finansējums šim mērķim paredzēts 1,2 miljoni EUR periodam no 2024. līdz 2026. gadam.</w:t>
      </w:r>
    </w:p>
    <w:p w14:paraId="5FC3098F" w14:textId="12DE2A7E" w:rsidR="003A549D" w:rsidRPr="00BB1E54" w:rsidRDefault="003229C8" w:rsidP="003A549D">
      <w:pPr>
        <w:shd w:val="clear" w:color="auto" w:fill="FFFFFF"/>
        <w:spacing w:after="120"/>
        <w:jc w:val="both"/>
        <w:textAlignment w:val="baseline"/>
        <w:rPr>
          <w:rFonts w:eastAsia="Times New Roman"/>
          <w:szCs w:val="20"/>
        </w:rPr>
      </w:pPr>
      <w:r w:rsidRPr="00BB1E54">
        <w:rPr>
          <w:rFonts w:eastAsia="Times New Roman"/>
          <w:szCs w:val="20"/>
        </w:rPr>
        <w:t xml:space="preserve">Arī NVA, tai skaitā sadarbojoties ar diasporas organizācijām, Latvijas vēstniecībām ārvalstīs, Latvijas darba devējiem u.c., turpina īstenot </w:t>
      </w:r>
      <w:proofErr w:type="spellStart"/>
      <w:r w:rsidRPr="00BB1E54">
        <w:rPr>
          <w:rFonts w:eastAsia="Times New Roman"/>
          <w:szCs w:val="20"/>
        </w:rPr>
        <w:t>remigrāciju</w:t>
      </w:r>
      <w:proofErr w:type="spellEnd"/>
      <w:r w:rsidRPr="00BB1E54">
        <w:rPr>
          <w:rFonts w:eastAsia="Times New Roman"/>
          <w:szCs w:val="20"/>
        </w:rPr>
        <w:t xml:space="preserve"> veicinošās aktivitātes, tostarp nodrošina informācijas pieejamību diasporai par darba un uzņēmējdarbības iespējām Latvijā. ES dzīvojošajiem ir iespēja attālināti izmantot vairākus NVA pakalpojumus, tostarp NVA CV un vakanču portālu. 2021.-2023.gadā NVA EURES konsultanti, piesaistot arī dažādu jomu ekspertus, uzņēma raidījumu sēriju "Esi informēts, atgriežoties Latvijā", lai sniegtu </w:t>
      </w:r>
      <w:proofErr w:type="spellStart"/>
      <w:r w:rsidRPr="00BB1E54">
        <w:rPr>
          <w:rFonts w:eastAsia="Times New Roman"/>
          <w:szCs w:val="20"/>
        </w:rPr>
        <w:t>remigrantiem</w:t>
      </w:r>
      <w:proofErr w:type="spellEnd"/>
      <w:r w:rsidRPr="00BB1E54">
        <w:rPr>
          <w:rFonts w:eastAsia="Times New Roman"/>
          <w:szCs w:val="20"/>
        </w:rPr>
        <w:t xml:space="preserve"> aktuālāko informācija par darba iespējām un dzīves apstākļiem Latvijā, valsts un pašvaldību institūciju pakalpojumiem un atbalstu un nepieciešamajiem dokumentiem gan ārvalstīs pirms izceļošanas, gan atgriežoties Latvijā. Raidījumu skatījumu skaits tīmeklī sasniedza 9 tūkstošus.</w:t>
      </w:r>
    </w:p>
    <w:p w14:paraId="1023F0F1" w14:textId="1294DA35" w:rsidR="00512F91" w:rsidRPr="00B73A48" w:rsidRDefault="003229C8" w:rsidP="003A27E5">
      <w:pPr>
        <w:shd w:val="clear" w:color="auto" w:fill="FFFFFF"/>
        <w:spacing w:after="120"/>
        <w:jc w:val="both"/>
        <w:textAlignment w:val="baseline"/>
        <w:rPr>
          <w:bCs/>
          <w:sz w:val="2"/>
          <w:szCs w:val="2"/>
          <w:highlight w:val="yellow"/>
        </w:rPr>
      </w:pPr>
      <w:r w:rsidRPr="00BB1E54">
        <w:rPr>
          <w:rFonts w:eastAsia="Times New Roman"/>
          <w:b/>
          <w:bCs/>
          <w:szCs w:val="20"/>
        </w:rPr>
        <w:t>Ukrainas civiliedzīvotāju (kara bēgļu) nodarbinātības veicināšanai</w:t>
      </w:r>
      <w:r w:rsidRPr="00BB1E54">
        <w:rPr>
          <w:rFonts w:eastAsia="Times New Roman"/>
          <w:szCs w:val="20"/>
        </w:rPr>
        <w:t xml:space="preserve"> Latvijā kopš 2022.</w:t>
      </w:r>
      <w:r w:rsidR="005E5E57">
        <w:rPr>
          <w:rFonts w:eastAsia="Times New Roman"/>
          <w:szCs w:val="20"/>
        </w:rPr>
        <w:t> </w:t>
      </w:r>
      <w:r w:rsidRPr="00BB1E54">
        <w:rPr>
          <w:rFonts w:eastAsia="Times New Roman"/>
          <w:szCs w:val="20"/>
        </w:rPr>
        <w:t xml:space="preserve">gada marta tiek īstenoti vairāki pasākumi, galvenokārt ar NVA starpniecību. Lai nodarbinātu Ukrainas iedzīvotāju, darba devējam nav jāreģistrē vakance NVA, tāpat nav jānodrošina darba samaksa vismaz vidējās Latvijas darba algas apmērā, kā tas ir, ja tiek nodarbināti citu trešo valstu pilsoņi. Bēgļiem no Ukrainas ir arī atvieglotas prasības pēc valsts valodas zināšanām – iespējams strādāt bez latviešu valodas zināšanām, ja tas netraucē darba pienākumu izpildē. Uzsākot nodarbinātību, Ukrainas civiliedzīvotājiem ir pieejams vienreizējs nodarbinātības un </w:t>
      </w:r>
      <w:proofErr w:type="spellStart"/>
      <w:r w:rsidRPr="00BB1E54">
        <w:rPr>
          <w:rFonts w:eastAsia="Times New Roman"/>
          <w:szCs w:val="20"/>
        </w:rPr>
        <w:t>pašnodarbinātības</w:t>
      </w:r>
      <w:proofErr w:type="spellEnd"/>
      <w:r w:rsidRPr="00BB1E54">
        <w:rPr>
          <w:rFonts w:eastAsia="Times New Roman"/>
          <w:szCs w:val="20"/>
        </w:rPr>
        <w:t xml:space="preserve"> uzsākšanas pabalsts </w:t>
      </w:r>
      <w:r w:rsidR="005E5E57">
        <w:rPr>
          <w:rFonts w:eastAsia="Times New Roman"/>
          <w:szCs w:val="20"/>
        </w:rPr>
        <w:t>–</w:t>
      </w:r>
      <w:r w:rsidRPr="00BB1E54">
        <w:rPr>
          <w:rFonts w:eastAsia="Times New Roman"/>
          <w:szCs w:val="20"/>
        </w:rPr>
        <w:t xml:space="preserve"> abi pabalsta veidi ir Latvijas minimālās mēneša algas apmērā (2022.</w:t>
      </w:r>
      <w:r w:rsidR="005E5E57">
        <w:rPr>
          <w:rFonts w:eastAsia="Times New Roman"/>
          <w:szCs w:val="20"/>
        </w:rPr>
        <w:t> </w:t>
      </w:r>
      <w:r w:rsidRPr="00BB1E54">
        <w:rPr>
          <w:rFonts w:eastAsia="Times New Roman"/>
          <w:szCs w:val="20"/>
        </w:rPr>
        <w:t xml:space="preserve">gadā </w:t>
      </w:r>
      <w:r w:rsidR="005E5E57">
        <w:rPr>
          <w:rFonts w:eastAsia="Times New Roman"/>
          <w:szCs w:val="20"/>
        </w:rPr>
        <w:t>–</w:t>
      </w:r>
      <w:r w:rsidRPr="00BB1E54">
        <w:rPr>
          <w:rFonts w:eastAsia="Times New Roman"/>
          <w:szCs w:val="20"/>
        </w:rPr>
        <w:t xml:space="preserve"> 500 EUR, 2023.</w:t>
      </w:r>
      <w:r w:rsidR="005E5E57">
        <w:rPr>
          <w:rFonts w:eastAsia="Times New Roman"/>
          <w:szCs w:val="20"/>
        </w:rPr>
        <w:t> </w:t>
      </w:r>
      <w:r w:rsidRPr="00BB1E54">
        <w:rPr>
          <w:rFonts w:eastAsia="Times New Roman"/>
          <w:szCs w:val="20"/>
        </w:rPr>
        <w:t xml:space="preserve">gadā </w:t>
      </w:r>
      <w:r w:rsidR="005E5E57">
        <w:rPr>
          <w:rFonts w:eastAsia="Times New Roman"/>
          <w:szCs w:val="20"/>
        </w:rPr>
        <w:t>–</w:t>
      </w:r>
      <w:r w:rsidRPr="00BB1E54">
        <w:rPr>
          <w:rFonts w:eastAsia="Times New Roman"/>
          <w:szCs w:val="20"/>
        </w:rPr>
        <w:t xml:space="preserve"> 620 EUR, 2024.</w:t>
      </w:r>
      <w:r w:rsidR="005E5E57">
        <w:rPr>
          <w:rFonts w:eastAsia="Times New Roman"/>
          <w:szCs w:val="20"/>
        </w:rPr>
        <w:t> </w:t>
      </w:r>
      <w:r w:rsidRPr="00BB1E54">
        <w:rPr>
          <w:rFonts w:eastAsia="Times New Roman"/>
          <w:szCs w:val="20"/>
        </w:rPr>
        <w:t xml:space="preserve">gadā </w:t>
      </w:r>
      <w:r w:rsidR="005E5E57">
        <w:rPr>
          <w:rFonts w:eastAsia="Times New Roman"/>
          <w:szCs w:val="20"/>
        </w:rPr>
        <w:t>–</w:t>
      </w:r>
      <w:r w:rsidRPr="00BB1E54">
        <w:rPr>
          <w:rFonts w:eastAsia="Times New Roman"/>
          <w:szCs w:val="20"/>
        </w:rPr>
        <w:t xml:space="preserve"> 700 EUR). </w:t>
      </w:r>
      <w:bookmarkEnd w:id="84"/>
      <w:bookmarkEnd w:id="85"/>
      <w:r w:rsidR="00512F91" w:rsidRPr="00B73A48">
        <w:rPr>
          <w:bCs/>
          <w:sz w:val="2"/>
          <w:szCs w:val="2"/>
          <w:highlight w:val="yellow"/>
        </w:rPr>
        <w:br w:type="page"/>
      </w:r>
    </w:p>
    <w:p w14:paraId="64133008" w14:textId="6CBF5237" w:rsidR="0077767D" w:rsidRDefault="0077767D" w:rsidP="0077767D">
      <w:pPr>
        <w:pStyle w:val="BodyTextIndent2"/>
        <w:spacing w:line="240" w:lineRule="auto"/>
        <w:ind w:left="0"/>
        <w:jc w:val="both"/>
        <w:rPr>
          <w:sz w:val="20"/>
          <w:szCs w:val="20"/>
        </w:rPr>
      </w:pPr>
      <w:bookmarkStart w:id="100" w:name="_Toc106366814"/>
      <w:r>
        <w:rPr>
          <w:noProof/>
          <w:sz w:val="20"/>
          <w:szCs w:val="20"/>
        </w:rPr>
        <w:lastRenderedPageBreak/>
        <w:drawing>
          <wp:anchor distT="0" distB="0" distL="114300" distR="114300" simplePos="0" relativeHeight="251822295" behindDoc="1" locked="0" layoutInCell="1" allowOverlap="1" wp14:anchorId="02C1EE90" wp14:editId="1DB66DA4">
            <wp:simplePos x="0" y="0"/>
            <wp:positionH relativeFrom="page">
              <wp:posOffset>0</wp:posOffset>
            </wp:positionH>
            <wp:positionV relativeFrom="page">
              <wp:posOffset>0</wp:posOffset>
            </wp:positionV>
            <wp:extent cx="7560000" cy="4680000"/>
            <wp:effectExtent l="0" t="0" r="3175" b="6350"/>
            <wp:wrapNone/>
            <wp:docPr id="1404" name="Picture 1404" descr="A wall covered with sticky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Picture 1404" descr="A wall covered with sticky notes."/>
                    <pic:cNvPicPr/>
                  </pic:nvPicPr>
                  <pic:blipFill>
                    <a:blip r:embed="rId2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60000" cy="4680000"/>
                    </a:xfrm>
                    <a:prstGeom prst="rect">
                      <a:avLst/>
                    </a:prstGeom>
                  </pic:spPr>
                </pic:pic>
              </a:graphicData>
            </a:graphic>
            <wp14:sizeRelH relativeFrom="page">
              <wp14:pctWidth>0</wp14:pctWidth>
            </wp14:sizeRelH>
            <wp14:sizeRelV relativeFrom="page">
              <wp14:pctHeight>0</wp14:pctHeight>
            </wp14:sizeRelV>
          </wp:anchor>
        </w:drawing>
      </w:r>
    </w:p>
    <w:p w14:paraId="4F268A28" w14:textId="77777777" w:rsidR="0077767D" w:rsidRDefault="0077767D" w:rsidP="0077767D">
      <w:pPr>
        <w:pStyle w:val="BodyTextIndent2"/>
        <w:spacing w:line="240" w:lineRule="auto"/>
        <w:ind w:left="0"/>
        <w:jc w:val="both"/>
        <w:rPr>
          <w:sz w:val="20"/>
          <w:szCs w:val="20"/>
        </w:rPr>
      </w:pPr>
    </w:p>
    <w:p w14:paraId="148F05EA" w14:textId="77777777" w:rsidR="0077767D" w:rsidRDefault="0077767D" w:rsidP="0077767D">
      <w:pPr>
        <w:pStyle w:val="BodyTextIndent2"/>
        <w:spacing w:line="240" w:lineRule="auto"/>
        <w:ind w:left="0"/>
        <w:jc w:val="both"/>
        <w:rPr>
          <w:sz w:val="20"/>
          <w:szCs w:val="20"/>
        </w:rPr>
      </w:pPr>
    </w:p>
    <w:p w14:paraId="4DE28C44" w14:textId="77777777" w:rsidR="0077767D" w:rsidRDefault="0077767D" w:rsidP="0077767D">
      <w:pPr>
        <w:pStyle w:val="BodyTextIndent2"/>
        <w:spacing w:line="240" w:lineRule="auto"/>
        <w:ind w:left="0"/>
        <w:jc w:val="both"/>
        <w:rPr>
          <w:sz w:val="20"/>
          <w:szCs w:val="20"/>
        </w:rPr>
      </w:pPr>
    </w:p>
    <w:p w14:paraId="072BF7A1" w14:textId="77777777" w:rsidR="0077767D" w:rsidRDefault="0077767D" w:rsidP="0077767D">
      <w:pPr>
        <w:pStyle w:val="BodyTextIndent2"/>
        <w:spacing w:line="240" w:lineRule="auto"/>
        <w:ind w:left="0"/>
        <w:jc w:val="both"/>
        <w:rPr>
          <w:sz w:val="20"/>
          <w:szCs w:val="20"/>
        </w:rPr>
      </w:pPr>
    </w:p>
    <w:p w14:paraId="3CC796AF" w14:textId="77777777" w:rsidR="0077767D" w:rsidRDefault="0077767D" w:rsidP="0077767D">
      <w:pPr>
        <w:pStyle w:val="BodyTextIndent2"/>
        <w:spacing w:line="240" w:lineRule="auto"/>
        <w:ind w:left="0"/>
        <w:jc w:val="both"/>
        <w:rPr>
          <w:sz w:val="20"/>
          <w:szCs w:val="20"/>
        </w:rPr>
      </w:pPr>
    </w:p>
    <w:p w14:paraId="4FEC7E15" w14:textId="77777777" w:rsidR="0077767D" w:rsidRDefault="0077767D" w:rsidP="0077767D">
      <w:pPr>
        <w:pStyle w:val="BodyTextIndent2"/>
        <w:spacing w:line="240" w:lineRule="auto"/>
        <w:ind w:left="0"/>
        <w:jc w:val="both"/>
        <w:rPr>
          <w:sz w:val="20"/>
          <w:szCs w:val="20"/>
        </w:rPr>
      </w:pPr>
    </w:p>
    <w:p w14:paraId="3EADC28C" w14:textId="77777777" w:rsidR="0077767D" w:rsidRDefault="0077767D" w:rsidP="0077767D">
      <w:pPr>
        <w:pStyle w:val="BodyTextIndent2"/>
        <w:spacing w:line="240" w:lineRule="auto"/>
        <w:ind w:left="0"/>
        <w:jc w:val="both"/>
        <w:rPr>
          <w:sz w:val="20"/>
          <w:szCs w:val="20"/>
        </w:rPr>
      </w:pPr>
    </w:p>
    <w:p w14:paraId="2B0D4350" w14:textId="77777777" w:rsidR="0077767D" w:rsidRDefault="0077767D" w:rsidP="0077767D">
      <w:pPr>
        <w:pStyle w:val="BodyTextIndent2"/>
        <w:spacing w:line="240" w:lineRule="auto"/>
        <w:ind w:left="0"/>
        <w:jc w:val="both"/>
        <w:rPr>
          <w:sz w:val="20"/>
          <w:szCs w:val="20"/>
        </w:rPr>
      </w:pPr>
    </w:p>
    <w:p w14:paraId="36DC0E5C" w14:textId="77777777" w:rsidR="0077767D" w:rsidRDefault="0077767D" w:rsidP="0077767D">
      <w:pPr>
        <w:pStyle w:val="BodyTextIndent2"/>
        <w:spacing w:line="240" w:lineRule="auto"/>
        <w:ind w:left="0"/>
        <w:jc w:val="both"/>
        <w:rPr>
          <w:sz w:val="20"/>
          <w:szCs w:val="20"/>
        </w:rPr>
      </w:pPr>
    </w:p>
    <w:p w14:paraId="331F9F0A" w14:textId="77777777" w:rsidR="0077767D" w:rsidRDefault="0077767D" w:rsidP="0077767D">
      <w:pPr>
        <w:pStyle w:val="BodyTextIndent2"/>
        <w:spacing w:line="240" w:lineRule="auto"/>
        <w:ind w:left="0"/>
        <w:jc w:val="both"/>
        <w:rPr>
          <w:sz w:val="20"/>
          <w:szCs w:val="20"/>
        </w:rPr>
      </w:pPr>
    </w:p>
    <w:p w14:paraId="5F24FE46" w14:textId="77777777" w:rsidR="0077767D" w:rsidRDefault="0077767D" w:rsidP="0077767D">
      <w:pPr>
        <w:pStyle w:val="BodyTextIndent2"/>
        <w:spacing w:line="240" w:lineRule="auto"/>
        <w:ind w:left="0"/>
        <w:jc w:val="both"/>
        <w:rPr>
          <w:sz w:val="20"/>
          <w:szCs w:val="20"/>
        </w:rPr>
      </w:pPr>
    </w:p>
    <w:p w14:paraId="293BB3C0" w14:textId="77777777" w:rsidR="0077767D" w:rsidRDefault="0077767D" w:rsidP="0077767D">
      <w:pPr>
        <w:pStyle w:val="BodyTextIndent2"/>
        <w:spacing w:line="240" w:lineRule="auto"/>
        <w:ind w:left="0"/>
        <w:jc w:val="both"/>
        <w:rPr>
          <w:sz w:val="20"/>
          <w:szCs w:val="20"/>
        </w:rPr>
      </w:pPr>
    </w:p>
    <w:p w14:paraId="726B8AF0" w14:textId="77777777" w:rsidR="0077767D" w:rsidRDefault="0077767D" w:rsidP="0077767D">
      <w:pPr>
        <w:pStyle w:val="BodyTextIndent2"/>
        <w:spacing w:line="240" w:lineRule="auto"/>
        <w:ind w:left="0"/>
        <w:jc w:val="both"/>
        <w:rPr>
          <w:sz w:val="20"/>
          <w:szCs w:val="20"/>
        </w:rPr>
      </w:pPr>
    </w:p>
    <w:p w14:paraId="22BE1040" w14:textId="77777777" w:rsidR="0077767D" w:rsidRDefault="0077767D" w:rsidP="0077767D">
      <w:pPr>
        <w:pStyle w:val="BodyTextIndent2"/>
        <w:spacing w:line="240" w:lineRule="auto"/>
        <w:ind w:left="0"/>
        <w:jc w:val="both"/>
        <w:rPr>
          <w:sz w:val="20"/>
          <w:szCs w:val="20"/>
        </w:rPr>
      </w:pPr>
    </w:p>
    <w:p w14:paraId="708232DA" w14:textId="77777777" w:rsidR="0077767D" w:rsidRDefault="0077767D" w:rsidP="0077767D">
      <w:pPr>
        <w:pStyle w:val="BodyTextIndent2"/>
        <w:spacing w:line="240" w:lineRule="auto"/>
        <w:ind w:left="0"/>
        <w:jc w:val="both"/>
        <w:rPr>
          <w:sz w:val="20"/>
          <w:szCs w:val="20"/>
        </w:rPr>
      </w:pPr>
    </w:p>
    <w:p w14:paraId="4DE5B999" w14:textId="77777777" w:rsidR="0077767D" w:rsidRDefault="0077767D" w:rsidP="0077767D">
      <w:pPr>
        <w:pStyle w:val="BodyTextIndent2"/>
        <w:spacing w:line="240" w:lineRule="auto"/>
        <w:ind w:left="0"/>
        <w:jc w:val="both"/>
        <w:rPr>
          <w:sz w:val="20"/>
          <w:szCs w:val="20"/>
        </w:rPr>
      </w:pPr>
    </w:p>
    <w:p w14:paraId="010E0BB6" w14:textId="77777777" w:rsidR="0077767D" w:rsidRDefault="0077767D" w:rsidP="0077767D">
      <w:pPr>
        <w:pStyle w:val="BodyTextIndent2"/>
        <w:spacing w:line="240" w:lineRule="auto"/>
        <w:ind w:left="0"/>
        <w:jc w:val="both"/>
        <w:rPr>
          <w:sz w:val="20"/>
          <w:szCs w:val="20"/>
        </w:rPr>
      </w:pPr>
    </w:p>
    <w:p w14:paraId="12E3F287" w14:textId="77777777" w:rsidR="0077767D" w:rsidRDefault="0077767D" w:rsidP="0077767D">
      <w:pPr>
        <w:pStyle w:val="BodyTextIndent2"/>
        <w:spacing w:line="240" w:lineRule="auto"/>
        <w:ind w:left="0"/>
        <w:jc w:val="both"/>
        <w:rPr>
          <w:sz w:val="20"/>
          <w:szCs w:val="20"/>
        </w:rPr>
      </w:pPr>
    </w:p>
    <w:p w14:paraId="620B5935" w14:textId="77777777" w:rsidR="000344EA" w:rsidRDefault="000344EA" w:rsidP="0077767D">
      <w:pPr>
        <w:pStyle w:val="BodyTextIndent2"/>
        <w:spacing w:line="240" w:lineRule="auto"/>
        <w:ind w:left="0"/>
        <w:jc w:val="both"/>
        <w:rPr>
          <w:sz w:val="20"/>
          <w:szCs w:val="20"/>
        </w:rPr>
      </w:pPr>
    </w:p>
    <w:p w14:paraId="4BCDF9D6" w14:textId="77777777" w:rsidR="000344EA" w:rsidRDefault="000344EA" w:rsidP="0077767D">
      <w:pPr>
        <w:pStyle w:val="BodyTextIndent2"/>
        <w:spacing w:line="240" w:lineRule="auto"/>
        <w:ind w:left="0"/>
        <w:jc w:val="both"/>
        <w:rPr>
          <w:sz w:val="20"/>
          <w:szCs w:val="20"/>
        </w:rPr>
      </w:pPr>
    </w:p>
    <w:p w14:paraId="0342B607" w14:textId="77777777" w:rsidR="000344EA" w:rsidRDefault="000344EA" w:rsidP="0077767D">
      <w:pPr>
        <w:pStyle w:val="BodyTextIndent2"/>
        <w:spacing w:line="240" w:lineRule="auto"/>
        <w:ind w:left="0"/>
        <w:jc w:val="both"/>
        <w:rPr>
          <w:sz w:val="20"/>
          <w:szCs w:val="20"/>
        </w:rPr>
      </w:pPr>
    </w:p>
    <w:p w14:paraId="129EBF41" w14:textId="77777777" w:rsidR="000344EA" w:rsidRDefault="000344EA" w:rsidP="0077767D">
      <w:pPr>
        <w:pStyle w:val="BodyTextIndent2"/>
        <w:spacing w:line="240" w:lineRule="auto"/>
        <w:ind w:left="0"/>
        <w:jc w:val="both"/>
        <w:rPr>
          <w:sz w:val="20"/>
          <w:szCs w:val="20"/>
        </w:rPr>
      </w:pPr>
    </w:p>
    <w:p w14:paraId="19D525D5" w14:textId="77777777" w:rsidR="000344EA" w:rsidRDefault="000344EA" w:rsidP="0077767D">
      <w:pPr>
        <w:pStyle w:val="BodyTextIndent2"/>
        <w:spacing w:line="240" w:lineRule="auto"/>
        <w:ind w:left="0"/>
        <w:jc w:val="both"/>
        <w:rPr>
          <w:sz w:val="20"/>
          <w:szCs w:val="20"/>
        </w:rPr>
      </w:pPr>
    </w:p>
    <w:p w14:paraId="5A738B5E" w14:textId="77777777" w:rsidR="000344EA" w:rsidRPr="00CD313C" w:rsidRDefault="000344EA" w:rsidP="0077767D">
      <w:pPr>
        <w:pStyle w:val="BodyTextIndent2"/>
        <w:spacing w:line="240" w:lineRule="auto"/>
        <w:ind w:left="0"/>
        <w:jc w:val="both"/>
        <w:rPr>
          <w:sz w:val="20"/>
          <w:szCs w:val="20"/>
        </w:rPr>
      </w:pPr>
    </w:p>
    <w:p w14:paraId="3952D7EA" w14:textId="683949D1" w:rsidR="00F94B79" w:rsidRPr="00080A71" w:rsidRDefault="00F94B79" w:rsidP="00080A71">
      <w:pPr>
        <w:pStyle w:val="Heading1"/>
      </w:pPr>
      <w:bookmarkStart w:id="101" w:name="_Toc183620116"/>
      <w:r w:rsidRPr="00080A71">
        <w:t>5. KOPSAVILKUMS UN PRIEKŠLIKUMI</w:t>
      </w:r>
      <w:bookmarkEnd w:id="100"/>
      <w:bookmarkEnd w:id="101"/>
    </w:p>
    <w:p w14:paraId="75F68E2A" w14:textId="77777777" w:rsidR="0077767D" w:rsidRDefault="0077767D">
      <w:pPr>
        <w:spacing w:after="0"/>
        <w:rPr>
          <w:szCs w:val="28"/>
        </w:rPr>
      </w:pPr>
      <w:r>
        <w:rPr>
          <w:szCs w:val="28"/>
        </w:rPr>
        <w:br w:type="page"/>
      </w:r>
    </w:p>
    <w:p w14:paraId="3A320DB7" w14:textId="40C3CB49" w:rsidR="00F94B79" w:rsidRPr="00861CE2" w:rsidRDefault="00C355AE" w:rsidP="005E5E57">
      <w:pPr>
        <w:pStyle w:val="EnvelopeReturn"/>
        <w:spacing w:after="120"/>
        <w:jc w:val="both"/>
        <w:rPr>
          <w:rFonts w:ascii="Calibri Light" w:eastAsia="Calibri" w:hAnsi="Calibri Light"/>
          <w:szCs w:val="28"/>
          <w:lang w:eastAsia="en-US"/>
        </w:rPr>
      </w:pPr>
      <w:r>
        <w:rPr>
          <w:rFonts w:ascii="Calibri Light" w:eastAsia="Calibri" w:hAnsi="Calibri Light"/>
          <w:szCs w:val="28"/>
          <w:lang w:eastAsia="en-US"/>
        </w:rPr>
        <w:lastRenderedPageBreak/>
        <w:t>EM</w:t>
      </w:r>
      <w:r w:rsidR="00F94B79" w:rsidRPr="00861CE2">
        <w:rPr>
          <w:rFonts w:ascii="Calibri Light" w:eastAsia="Calibri" w:hAnsi="Calibri Light"/>
          <w:szCs w:val="28"/>
          <w:lang w:eastAsia="en-US"/>
        </w:rPr>
        <w:t xml:space="preserve"> ir aktualizējusi vidēja un ilgtermiņa darba tirgus prognozes, aptverot nozaru nodarbinātības vajadzības profesiju un izglītības griezumā līdz 2040. gadam. Prognozes izstrādātas, balstoties uz tautsaimniecības izaugsmes mērķa scenāriju un tam atbilstošām demogrāfijas prognozēm. Darba tirgus prognozēs ņemti vērā aktuālie globālās ekonomikas attīstības procesi, arī ģeopolitiskie izaicinājumi un </w:t>
      </w:r>
      <w:r w:rsidR="00605184">
        <w:rPr>
          <w:rFonts w:ascii="Calibri Light" w:eastAsia="Calibri" w:hAnsi="Calibri Light"/>
          <w:szCs w:val="28"/>
          <w:lang w:eastAsia="en-US"/>
        </w:rPr>
        <w:t>MI</w:t>
      </w:r>
      <w:r w:rsidR="00F94B79" w:rsidRPr="00861CE2">
        <w:rPr>
          <w:rFonts w:ascii="Calibri Light" w:eastAsia="Calibri" w:hAnsi="Calibri Light"/>
          <w:szCs w:val="28"/>
          <w:lang w:eastAsia="en-US"/>
        </w:rPr>
        <w:t xml:space="preserve"> attīstības tendences.</w:t>
      </w:r>
    </w:p>
    <w:p w14:paraId="2D44F9ED" w14:textId="77777777" w:rsidR="00F94B79" w:rsidRPr="00861CE2" w:rsidRDefault="00F94B79" w:rsidP="005E5E57">
      <w:pPr>
        <w:pStyle w:val="EnvelopeReturn"/>
        <w:spacing w:after="120"/>
        <w:jc w:val="both"/>
        <w:rPr>
          <w:rFonts w:ascii="Calibri Light" w:eastAsia="Calibri" w:hAnsi="Calibri Light"/>
          <w:szCs w:val="28"/>
          <w:lang w:eastAsia="en-US"/>
        </w:rPr>
      </w:pPr>
      <w:r w:rsidRPr="00861CE2">
        <w:rPr>
          <w:rFonts w:ascii="Calibri Light" w:eastAsia="Calibri" w:hAnsi="Calibri Light"/>
          <w:szCs w:val="28"/>
          <w:lang w:eastAsia="en-US"/>
        </w:rPr>
        <w:t>EM Darba tirgus prognozes ir kvantitatīvā bāze tālākām diskusijām starp nodarbinātības, izglītības, struktūrpolitikas veidotājiem, sociālajiem partneriem, zinātniekiem u.c. iesaistītām pusēm, lai izkristalizētos rīcības virzieni, kas sekmētu sabalansētu darba tirgus attīstību.</w:t>
      </w:r>
    </w:p>
    <w:p w14:paraId="54FCA18A" w14:textId="77777777" w:rsidR="005E5E57" w:rsidRPr="00861CE2" w:rsidRDefault="005E5E57" w:rsidP="005E5E57">
      <w:pPr>
        <w:pStyle w:val="EnvelopeReturn"/>
        <w:spacing w:after="120"/>
        <w:jc w:val="both"/>
        <w:rPr>
          <w:rFonts w:ascii="Calibri Light" w:eastAsia="Calibri" w:hAnsi="Calibri Light"/>
          <w:szCs w:val="28"/>
          <w:lang w:eastAsia="en-US"/>
        </w:rPr>
      </w:pPr>
    </w:p>
    <w:p w14:paraId="65E0C620" w14:textId="33735131" w:rsidR="00F94B79" w:rsidRPr="005E5E57" w:rsidRDefault="005E5E57" w:rsidP="005E5E57">
      <w:pPr>
        <w:spacing w:after="120"/>
        <w:ind w:left="567" w:hanging="567"/>
        <w:jc w:val="both"/>
        <w:rPr>
          <w:rFonts w:ascii="Aptos Narrow" w:hAnsi="Aptos Narrow"/>
          <w:b/>
          <w:bCs/>
          <w:color w:val="5F497A" w:themeColor="accent4" w:themeShade="BF"/>
          <w:sz w:val="28"/>
          <w:szCs w:val="28"/>
        </w:rPr>
      </w:pPr>
      <w:r w:rsidRPr="005E5E57">
        <w:rPr>
          <w:rFonts w:ascii="Aptos Narrow" w:hAnsi="Aptos Narrow"/>
          <w:b/>
          <w:bCs/>
          <w:color w:val="5F497A" w:themeColor="accent4" w:themeShade="BF"/>
          <w:sz w:val="28"/>
          <w:szCs w:val="28"/>
        </w:rPr>
        <w:t>I</w:t>
      </w:r>
      <w:r w:rsidRPr="005E5E57">
        <w:rPr>
          <w:rFonts w:ascii="Aptos Narrow" w:hAnsi="Aptos Narrow"/>
          <w:b/>
          <w:bCs/>
          <w:color w:val="5F497A" w:themeColor="accent4" w:themeShade="BF"/>
          <w:sz w:val="28"/>
          <w:szCs w:val="28"/>
        </w:rPr>
        <w:tab/>
      </w:r>
      <w:r w:rsidR="00F94B79" w:rsidRPr="005E5E57">
        <w:rPr>
          <w:rFonts w:ascii="Aptos Narrow" w:hAnsi="Aptos Narrow"/>
          <w:b/>
          <w:bCs/>
          <w:color w:val="5F497A" w:themeColor="accent4" w:themeShade="BF"/>
          <w:sz w:val="28"/>
          <w:szCs w:val="28"/>
        </w:rPr>
        <w:t>PROGNOŽU MAKROEKONOMISKAIS IETVARS UN PIEŅĒMUMI</w:t>
      </w:r>
    </w:p>
    <w:p w14:paraId="7B1DB999" w14:textId="77777777" w:rsidR="00F94B79" w:rsidRPr="00861CE2" w:rsidRDefault="00F94B79" w:rsidP="005E5E57">
      <w:pPr>
        <w:pStyle w:val="EnvelopeReturn"/>
        <w:spacing w:after="120"/>
        <w:jc w:val="both"/>
        <w:rPr>
          <w:rFonts w:ascii="Calibri Light" w:eastAsia="Calibri" w:hAnsi="Calibri Light"/>
          <w:lang w:eastAsia="en-US"/>
        </w:rPr>
      </w:pPr>
      <w:r w:rsidRPr="00861CE2">
        <w:rPr>
          <w:rFonts w:ascii="Calibri Light" w:eastAsia="Calibri" w:hAnsi="Calibri Light"/>
          <w:lang w:eastAsia="en-US"/>
        </w:rPr>
        <w:t xml:space="preserve">Darba tirgus prognozes balstās uz EM izstrādāto tautsaimniecības izaugsmes Mērķa scenāriju un tam atbilstošo makroekonomisko prognozi. Lai arī ģeopolitiskā situācija reģionā negatīvi ietekmē ekonomiku, tomēr tautsaimniecības attīstības ilgtermiņa mērķi, kas jau ir noteikti politikas plānošanas dokumentos, kā nepieciešamība palielināt Latvijas preču un pakalpojumu eksportu un produktivitāti, nemainās. Tāpat joprojām aktuālas ir arī ES uzsāktās iniciatīvas kā, piemēram, zaļais kurss un </w:t>
      </w:r>
      <w:proofErr w:type="spellStart"/>
      <w:r w:rsidRPr="00861CE2">
        <w:rPr>
          <w:rFonts w:ascii="Calibri Light" w:eastAsia="Calibri" w:hAnsi="Calibri Light"/>
          <w:lang w:eastAsia="en-US"/>
        </w:rPr>
        <w:t>digitalizācija</w:t>
      </w:r>
      <w:proofErr w:type="spellEnd"/>
      <w:r w:rsidRPr="00861CE2">
        <w:rPr>
          <w:rFonts w:ascii="Calibri Light" w:eastAsia="Calibri" w:hAnsi="Calibri Light"/>
          <w:lang w:eastAsia="en-US"/>
        </w:rPr>
        <w:t>.</w:t>
      </w:r>
    </w:p>
    <w:p w14:paraId="3E662C13" w14:textId="77777777" w:rsidR="00F94B79" w:rsidRPr="00861CE2" w:rsidRDefault="00F94B79" w:rsidP="005E5E57">
      <w:pPr>
        <w:pStyle w:val="EnvelopeReturn"/>
        <w:spacing w:after="120"/>
        <w:jc w:val="both"/>
        <w:rPr>
          <w:rFonts w:ascii="Calibri Light" w:eastAsia="Calibri" w:hAnsi="Calibri Light"/>
          <w:lang w:eastAsia="en-US"/>
        </w:rPr>
      </w:pPr>
      <w:r w:rsidRPr="00861CE2">
        <w:rPr>
          <w:rFonts w:ascii="Calibri Light" w:eastAsia="Calibri" w:hAnsi="Calibri Light"/>
          <w:b/>
          <w:lang w:eastAsia="en-US"/>
        </w:rPr>
        <w:t>Mērķa scenārijs izstrādāts atbilstoši EM Informatīvajā ziņojumā par Latvijas ekonomikas attīstību izvirzītam mērķim–- līdz 2035.gadam panākt, lai Latvijas IKP apjomi dubultotos</w:t>
      </w:r>
      <w:r w:rsidRPr="00861CE2">
        <w:rPr>
          <w:rFonts w:ascii="Calibri Light" w:eastAsia="Calibri" w:hAnsi="Calibri Light"/>
          <w:lang w:eastAsia="en-US"/>
        </w:rPr>
        <w:t xml:space="preserve"> </w:t>
      </w:r>
      <w:r w:rsidRPr="00861CE2">
        <w:rPr>
          <w:rFonts w:ascii="Calibri Light" w:eastAsia="Calibri" w:hAnsi="Calibri Light"/>
          <w:b/>
          <w:lang w:eastAsia="en-US"/>
        </w:rPr>
        <w:t>(sasniedz 83 mljrd. EUR faktiskajās cenās</w:t>
      </w:r>
      <w:r w:rsidRPr="00861CE2">
        <w:rPr>
          <w:rFonts w:ascii="Calibri Light" w:eastAsia="Calibri" w:hAnsi="Calibri Light"/>
          <w:lang w:eastAsia="en-US"/>
        </w:rPr>
        <w:t>), salīdzinājumā ar šodienas situāciju. Tāpat  mērķa scenārijā ņemti vērā esošie struktūrpolitikas uzstādījumiem, kas noteikti politikas dokumentos – Latvijas ilgtspējīgas attīstības stratēģija „Latvija 2030”, Latvijas Nacionālajā attīstības plānā 2027.gadam , Nacionālās industriālās politikas pamatnostādnēs 2027.gadam .</w:t>
      </w:r>
    </w:p>
    <w:p w14:paraId="70B5BABA" w14:textId="77777777" w:rsidR="00F94B79" w:rsidRPr="00861CE2" w:rsidRDefault="00F94B79" w:rsidP="005E5E57">
      <w:pPr>
        <w:pStyle w:val="EnvelopeReturn"/>
        <w:spacing w:after="120"/>
        <w:jc w:val="both"/>
        <w:rPr>
          <w:rFonts w:ascii="Calibri Light" w:eastAsia="Calibri" w:hAnsi="Calibri Light"/>
          <w:lang w:eastAsia="en-US"/>
        </w:rPr>
      </w:pPr>
      <w:r w:rsidRPr="00861CE2">
        <w:rPr>
          <w:rFonts w:ascii="Calibri Light" w:eastAsia="Calibri" w:hAnsi="Calibri Light"/>
          <w:lang w:eastAsia="en-US"/>
        </w:rPr>
        <w:t xml:space="preserve">Perioda no 2024. līdz 2030. gadam scenārijs paredz ekonomikas izaugsmi par vidēji 4,1% gadā, bet periodā no 2031. Līdz 2040.gadam ikgadējie izaugsmes tempi būs vidēji 3,7% gadā. Priekšnosacījumi izaugsmei gan vidējā, gan ilgtermiņā ir ekonomikas konkurētspējas priekšrocību balstīšana uz tehnoloģiskiem faktoriem, ražošanas efektivitāti, inovācijām, kā arī spējai pielāgoties un izmantot globālo pārmaiņu radītās iespējas. </w:t>
      </w:r>
    </w:p>
    <w:p w14:paraId="06C96C02" w14:textId="77777777" w:rsidR="00F94B79" w:rsidRPr="00861CE2" w:rsidRDefault="00F94B79" w:rsidP="005E5E57">
      <w:pPr>
        <w:spacing w:after="120"/>
        <w:jc w:val="both"/>
      </w:pPr>
      <w:r w:rsidRPr="00861CE2">
        <w:rPr>
          <w:b/>
        </w:rPr>
        <w:t xml:space="preserve">Vidējā termiņa ekonomikas izaugsmi turpinās ierobežot saspringtā ģeopolitiskā situācija, tomēr to kompensēs izaugsmes potenciāla palielināšanās ilgtermiņā.  </w:t>
      </w:r>
      <w:r w:rsidRPr="00861CE2">
        <w:t>Līdz ar Krievijas iebrukumu Ukrainā būtiski ir mainījusies ģeopolitiskā situācija reģionā. Ņemot vērā Latvijas vēsturisko ekonomisko saišu sašaurināšanos ar Krieviju un Baltkrieviju, kā arī izaugsmes palēnināšanos galvenajos Latvijas eksporta tirgos, kopumā Latvijas ekonomika ir augusi lēnāk nekā iepriekš prognozēts. Jāņem vērā, ka saspringtā ģeopolitiskā situācija arī tuvākajos gados turpinās ierobežot Latvijas ekonomikas izaugsmi, tomēr ilgtermiņā, jauni un diversificēti izejmateriālu piegādes tirgi, valsts enerģētiskās neatkarības stiprināšana un pārorientēšanas no Krievijas uz maksātspējīgākiem Rietumvalstu tirgiem, kopumā palielinās Latvijas ekonomikas izaugsmes potenciālu. Jāatzīmē, ka Latvijas ekonomika pēdējos 2 gados ir apliecinājusi stingru noturību pret ārējiem šokiem un kopumā ekonomisko saišu sašaurināšanās tiešā ietekme ir bijusi ierobežota. Tāpat Latvija ir spējusi pielāgoties mainīgiem apstākļiem ātrāk nekā iepriekš vērtēts, kas parāda mazas valsts priekšrocības labāk pielāgoties un izmantot jaunas ekonomikās iespējas.</w:t>
      </w:r>
    </w:p>
    <w:p w14:paraId="784134B5" w14:textId="77777777" w:rsidR="00F94B79" w:rsidRPr="00861CE2" w:rsidRDefault="00F94B79" w:rsidP="005E5E57">
      <w:pPr>
        <w:spacing w:after="120"/>
        <w:jc w:val="both"/>
        <w:rPr>
          <w:szCs w:val="20"/>
        </w:rPr>
      </w:pPr>
      <w:r w:rsidRPr="00861CE2">
        <w:rPr>
          <w:b/>
          <w:szCs w:val="20"/>
        </w:rPr>
        <w:t>Straujākas ekonomiskās izaugsmes noteicošais priekšnosacījums ir produktivitātes līmeņa paaugstināšana.</w:t>
      </w:r>
      <w:r w:rsidRPr="00861CE2">
        <w:rPr>
          <w:szCs w:val="20"/>
        </w:rPr>
        <w:t xml:space="preserve"> Sagaidāmo demogrāfijas tendenču dēļ ekonomiskās izaugsmes noteicošais priekšnosacījums ir produktivitātes līmeņa paaugstināšana. Viens no galvenajiem izaicinājumiem ir jauno konkurētspējas priekšrocību veidošana, kas ir saistīts ar investīcijām </w:t>
      </w:r>
      <w:proofErr w:type="spellStart"/>
      <w:r w:rsidRPr="00861CE2">
        <w:rPr>
          <w:szCs w:val="20"/>
        </w:rPr>
        <w:t>cilvēkkapitālā</w:t>
      </w:r>
      <w:proofErr w:type="spellEnd"/>
      <w:r w:rsidRPr="00861CE2">
        <w:rPr>
          <w:szCs w:val="20"/>
        </w:rPr>
        <w:t xml:space="preserve">, tehnoloģijās, inovācijā, pētniecībā, </w:t>
      </w:r>
      <w:proofErr w:type="spellStart"/>
      <w:r w:rsidRPr="00861CE2">
        <w:rPr>
          <w:szCs w:val="20"/>
        </w:rPr>
        <w:t>digitalizācijā</w:t>
      </w:r>
      <w:proofErr w:type="spellEnd"/>
      <w:r w:rsidRPr="00861CE2">
        <w:rPr>
          <w:szCs w:val="20"/>
        </w:rPr>
        <w:t xml:space="preserve">. Jaunu konkurētspējas priekšrocību veidošana ir svarīgs nosacījums eksporta noietu tirgus paplašināšanai un eksporta apjomu pieaugumam, kam ir jākļūst par galveno izaugsmes dzinuli. Latvijas konkurētspēju ārējos un iekšējos tirgos noteiks spēja mazināt produktivitātes plaisu ar tehnoloģiski attīstītajām valstīm. Produktivitātes paaugstināšanas pamatā ir ne tikai tehnoloģiskās novitātes, ražošanas procesa vadības pilnveidošana, bet arī esošo resursu pārdale augstākās pievienotās vērtības produktu ražošanai. Vidējā un ilgtermiņā straujāka attīstība ir sagaidāma nozarēs, kas spēs palielināt produktivitāti, ko ietekmē tehnoloģiskās atpalicības pārvarēšana, ražošanas modernizēšana un investīcijas, ieguldījumi </w:t>
      </w:r>
      <w:proofErr w:type="spellStart"/>
      <w:r w:rsidRPr="00861CE2">
        <w:rPr>
          <w:szCs w:val="20"/>
        </w:rPr>
        <w:t>cilvēkkapitālā</w:t>
      </w:r>
      <w:proofErr w:type="spellEnd"/>
      <w:r w:rsidRPr="00861CE2">
        <w:rPr>
          <w:szCs w:val="20"/>
        </w:rPr>
        <w:t xml:space="preserve">, pētniecībā un inovācijā. </w:t>
      </w:r>
      <w:r w:rsidRPr="00861CE2">
        <w:t>Darbaspēka produktivitātes pieaugums periodā no 2024. līdz 2030.gadam varētu veidot vidēji aptuveni 3,7% gadā, kas ir aptuveni 90% no ekonomikas izaugsmes atbilstošā periodā, bet no 2031. līdz 2040.gadam ekonomikas izaugsme varētu būt pilnā apmērā balstīta uz produktivitātes pieaugumu.</w:t>
      </w:r>
    </w:p>
    <w:p w14:paraId="788FF57E" w14:textId="77777777" w:rsidR="00F94B79" w:rsidRPr="00861CE2" w:rsidRDefault="00F94B79" w:rsidP="005E5E57">
      <w:pPr>
        <w:spacing w:after="120"/>
        <w:jc w:val="both"/>
        <w:rPr>
          <w:szCs w:val="20"/>
        </w:rPr>
      </w:pPr>
      <w:r w:rsidRPr="00861CE2">
        <w:rPr>
          <w:b/>
          <w:szCs w:val="20"/>
        </w:rPr>
        <w:t>Ukrainas kara bēgļu pieplūde kopumā ir uzlabojusi Latvijas nākotnes demogrāfijas perspektīvas</w:t>
      </w:r>
      <w:r w:rsidRPr="00861CE2">
        <w:rPr>
          <w:szCs w:val="20"/>
        </w:rPr>
        <w:t xml:space="preserve">. Lai gan iedzīvotājus skaits Latvijā arī nākamajos gados turpinās sarukt, tomēr Ukrainas kara bēgļu ienākšana Latvijā kopumā ir palēninājusi iedzīvotāju skaita lejupslīdes tempus, kas kopumā ir uzlabojis arī Latvijas nākotnes demogrāfijas perspektīvas. Jāatzīmē, ka 2022. gadā pirmo reizi kopš Latvijas neatkarības atgūšanas bija vērojams pozitīvs migrācijas saldo demogrāfijas bilancē - imigrējušo skaits par vairāk nekā 22 tūkst. pārsniedza no Latvijas emigrējušo skaitu. Mazākā apmērā, bet pozitīvs migrācijas saldo saglabājās arī 2023. gadā. Lai arī daļa no Ukrainas </w:t>
      </w:r>
      <w:r w:rsidRPr="00861CE2">
        <w:rPr>
          <w:szCs w:val="20"/>
        </w:rPr>
        <w:lastRenderedPageBreak/>
        <w:t>kara bēgļiem nākamajos gados atgriezīsies mājās, tomēr tie, kuri ir spējuši veiksmīgi integrēties Latvijas sabiedrībā, varētu arī pastāvīgi palikt Latvijā vai nākotnē atgriezties, tādejādi kopumā dodot pozitīvu ietekmi uz Latvijas demogrāfijas situāciju ilgtermiņā.</w:t>
      </w:r>
    </w:p>
    <w:p w14:paraId="45C9D8C9" w14:textId="77777777" w:rsidR="00F94B79" w:rsidRPr="00861CE2" w:rsidRDefault="00F94B79" w:rsidP="005E5E57">
      <w:pPr>
        <w:spacing w:after="120"/>
        <w:jc w:val="both"/>
        <w:rPr>
          <w:szCs w:val="20"/>
        </w:rPr>
      </w:pPr>
      <w:r w:rsidRPr="00861CE2">
        <w:rPr>
          <w:b/>
          <w:szCs w:val="20"/>
        </w:rPr>
        <w:t>Neskatoties uz iedzīvotāju skaita lejupslīdes palēnināšanos, ilgtermiņā turpināsies sabiedrības novecošanās un samazināsies darbspējīgo iedzīvotāju skaits.</w:t>
      </w:r>
      <w:r w:rsidRPr="00861CE2">
        <w:rPr>
          <w:szCs w:val="20"/>
        </w:rPr>
        <w:t xml:space="preserve"> </w:t>
      </w:r>
      <w:r w:rsidRPr="00861CE2">
        <w:t xml:space="preserve">Sagaidāms, ka kopējais iedzīvotāju skaits Latvijā līdz 2040.gadam turpinās samazināties, vienlaikus iedzīvotāju skaita negatīvā dinamika palēnināsies, ko ietekmēs uzlabojumi gan iedzīvotāju starptautiskās migrācijas plūsmās, gan dabiskā pieauguma bilancē. Galvenais iedzīvotāju skaita samazināšanās iemesls gan vidējā, gan ilgtermiņā būs sabiedrības novecošanās tendences, līdz ar to negatīvā plaisa starp dzimstības un mirstības rādītājiem saglabāsies līdz pat 2040.gadam. Būtiskākais iedzīvotāju skaita samazinājums prognozējams starp iedzīvotājiem darbaspējas vecumā, līdz ar to demogrāfiskie procesi atstās jūtamu ietekmi uz darba tirgu. </w:t>
      </w:r>
      <w:r w:rsidRPr="00861CE2">
        <w:rPr>
          <w:szCs w:val="20"/>
        </w:rPr>
        <w:t>Saskaņā ar EM demogrāfijas prognozēm kopumā iedzīvotāju skaits Latvijā līdz 2040. gadam samazināsies līdz aptuveni 1,76 milj. jeb par gandrīz 125 tūkst., salīdzinot ar 2023. gada sākumu. Vecuma grupā no 15 līdz 64 gadiem iedzīvotāju skaita samazinājums sagaidāms par gandrīz 126,2 tūkst. jeb aptuveni 11%. Tikmēr turpinās palielināties gados vecāku iedzīvotāju īpatsvars - iedzīvotāju skaits virs 64 gadiem līdz 2040. gadam palielināsies par gandrīz 67 tūkst. jeb aptuveni 17 procentiem.</w:t>
      </w:r>
    </w:p>
    <w:p w14:paraId="4D11B116" w14:textId="77777777" w:rsidR="005E5E57" w:rsidRPr="00861CE2" w:rsidRDefault="005E5E57" w:rsidP="005E5E57">
      <w:pPr>
        <w:spacing w:after="120"/>
        <w:jc w:val="both"/>
        <w:rPr>
          <w:szCs w:val="28"/>
        </w:rPr>
      </w:pPr>
    </w:p>
    <w:p w14:paraId="530AF3E7" w14:textId="5D8AB618" w:rsidR="00F94B79" w:rsidRPr="005E5E57" w:rsidRDefault="005E5E57" w:rsidP="005E5E57">
      <w:pPr>
        <w:tabs>
          <w:tab w:val="left" w:pos="567"/>
        </w:tabs>
        <w:spacing w:after="120"/>
        <w:jc w:val="both"/>
        <w:rPr>
          <w:rFonts w:ascii="Aptos Narrow" w:hAnsi="Aptos Narrow"/>
          <w:b/>
          <w:bCs/>
          <w:color w:val="5F497A" w:themeColor="accent4" w:themeShade="BF"/>
          <w:sz w:val="28"/>
          <w:szCs w:val="28"/>
        </w:rPr>
      </w:pPr>
      <w:r>
        <w:rPr>
          <w:rFonts w:ascii="Aptos Narrow" w:hAnsi="Aptos Narrow"/>
          <w:b/>
          <w:bCs/>
          <w:color w:val="5F497A" w:themeColor="accent4" w:themeShade="BF"/>
          <w:sz w:val="28"/>
          <w:szCs w:val="28"/>
        </w:rPr>
        <w:t>II</w:t>
      </w:r>
      <w:r>
        <w:rPr>
          <w:rFonts w:ascii="Aptos Narrow" w:hAnsi="Aptos Narrow"/>
          <w:b/>
          <w:bCs/>
          <w:color w:val="5F497A" w:themeColor="accent4" w:themeShade="BF"/>
          <w:sz w:val="28"/>
          <w:szCs w:val="28"/>
        </w:rPr>
        <w:tab/>
      </w:r>
      <w:r w:rsidR="00F94B79" w:rsidRPr="005E5E57">
        <w:rPr>
          <w:rFonts w:ascii="Aptos Narrow" w:hAnsi="Aptos Narrow"/>
          <w:b/>
          <w:bCs/>
          <w:color w:val="5F497A" w:themeColor="accent4" w:themeShade="BF"/>
          <w:sz w:val="28"/>
          <w:szCs w:val="28"/>
        </w:rPr>
        <w:t>VIDĒJA UN ILGTERMIŅA DARBA TIRGUS TENDENCES</w:t>
      </w:r>
    </w:p>
    <w:p w14:paraId="663BC8F2" w14:textId="77777777" w:rsidR="00F94B79" w:rsidRPr="00861CE2" w:rsidRDefault="00F94B79" w:rsidP="005E5E57">
      <w:pPr>
        <w:spacing w:after="120"/>
        <w:jc w:val="both"/>
        <w:rPr>
          <w:b/>
          <w:szCs w:val="28"/>
        </w:rPr>
      </w:pPr>
      <w:r w:rsidRPr="00861CE2">
        <w:rPr>
          <w:b/>
          <w:szCs w:val="28"/>
        </w:rPr>
        <w:t xml:space="preserve">Ilgtermiņā darba tirgus saglabāsies saspringts un bezdarbs būs tuvu dabiskam līmenim. </w:t>
      </w:r>
      <w:r w:rsidRPr="00861CE2">
        <w:rPr>
          <w:szCs w:val="28"/>
        </w:rPr>
        <w:t xml:space="preserve">Ilgtermiņa demogrāfiskās tendences sašaurina darbaspēka kvantitatīvo piedāvājumu, savukārt sabiedrības prasmju polarizācija, reģionālās disproporcijas un prasmju novecošanās saasina strukturālās neatbilstības un darbaspēka iztrūkuma riskus. Kopumā bezdarbs gan vidējā, gan ilgtermiņā turpinās sarukt. Sagaidāms, ka bezdarba līmenis jau 2026. gadā varētu samazināties zem 6%. Gan vidējā, gan arī ilgtermiņā bezdarbs būs tuvu tā dabiskam līmenim (5-6% robežās) un to pamatā veidos </w:t>
      </w:r>
      <w:proofErr w:type="spellStart"/>
      <w:r w:rsidRPr="00861CE2">
        <w:rPr>
          <w:szCs w:val="28"/>
        </w:rPr>
        <w:t>frikcionālais</w:t>
      </w:r>
      <w:proofErr w:type="spellEnd"/>
      <w:r w:rsidRPr="00861CE2">
        <w:rPr>
          <w:szCs w:val="28"/>
        </w:rPr>
        <w:t xml:space="preserve"> un strukturālais bezdarbs. Augstākie bezdarba riski sagaidāmi iedzīvotājiem ar zemu izglītības līmeni un bez profesionālām prasmēm/profesionālās kvalifikācijas, kā arī no ekonomiskās aktivitātes centriem attālākos reģionos. Vienlaikus Latvijas ekonomikas noturība pret ārējiem šokiem iepriekšējos gados ir pierādījusi sevi, apliecinot sankciju un eksporta tirgus sašaurināšanās ierobežoto tiešo ietekmi uz Latvijas darba tirgu, tādejādi neatkarīgi no ģeopolitiskās situācijas un ekonomiskiem satricinājumiem, arī turpmāk darba devēju manevru iespējas darba tirgū būs ierobežotas.</w:t>
      </w:r>
    </w:p>
    <w:p w14:paraId="1E98D890" w14:textId="77777777" w:rsidR="00F94B79" w:rsidRPr="00861CE2" w:rsidRDefault="00F94B79" w:rsidP="005E5E57">
      <w:pPr>
        <w:pStyle w:val="EnvelopeReturn"/>
        <w:spacing w:after="120"/>
        <w:jc w:val="both"/>
        <w:rPr>
          <w:rFonts w:ascii="Calibri Light" w:eastAsia="Calibri" w:hAnsi="Calibri Light"/>
          <w:lang w:eastAsia="en-US"/>
        </w:rPr>
      </w:pPr>
      <w:r w:rsidRPr="00861CE2">
        <w:rPr>
          <w:rFonts w:ascii="Calibri Light" w:eastAsia="Calibri" w:hAnsi="Calibri Light"/>
          <w:b/>
          <w:lang w:eastAsia="en-US"/>
        </w:rPr>
        <w:t xml:space="preserve">Vidējā termiņā ekonomikas izaugsme palielinās darbaspēka vajadzības, ilgtermiņā izaugsmi balstīs produktivitātes pieaugums un nodarbināto skaits varētu sarukt. </w:t>
      </w:r>
      <w:r w:rsidRPr="00861CE2">
        <w:rPr>
          <w:rFonts w:ascii="Calibri Light" w:eastAsia="Calibri" w:hAnsi="Calibri Light"/>
          <w:lang w:eastAsia="en-US"/>
        </w:rPr>
        <w:t xml:space="preserve">Gan vidējā termiņā, gan arī ilgtermiņā darbaspēka pieprasījuma un nodarbinātības dinamikas bāzes tendences joprojām lielā mērā noteiks darbaspēka produktivitātes pieaugums, kas ir būtisks priekšnosacījums Latvijas globālās konkurētspējas saglabāšanai, līdz ar to nodarbināto skaits nākamajos gados kopumā varētu augt lēni. Vienlaikus, līdz ar divkārši straujāku ekonomikas izaugsmi (salīdzinot ar iepriekšējo dekādi), kopumā arī darbaspēka pieprasījuma pieaugums līdz 2030. gadam varētu būtu vidēji straujāks nekā iepriekšējos gados. Vienlaikus, ņemot vērā gan produktivitātes pieaugumu, gan demogrāfijas tendences (ierobežotos darba resursus), ilgtermiņā nodarbināto skaita dinamikā varētu atgriezties lejupvērsta tendence. Ņemot vērā to, nodarbināto iedzīvotāju skaits līdz 2030.gadam varētu kopumā augt par aptuveni 23,6 tūkst. jeb 2,7%, salīdzinot ar 2023.gadu, bet pēc 2030. gada periodā līdz 2040.gadam tas varētu samazināties par aptuveni 18 tūkst. (2%). Augstākais darbaspēka pieprasījuma līmenis varētu tikt sasniegts 2030. gadā, kad nodarbināto skaits būtu tuvu 908 tūkst. </w:t>
      </w:r>
    </w:p>
    <w:p w14:paraId="68B8CE52" w14:textId="77777777" w:rsidR="00F94B79" w:rsidRPr="00861CE2" w:rsidRDefault="00F94B79" w:rsidP="005E5E57">
      <w:pPr>
        <w:pStyle w:val="EnvelopeReturn"/>
        <w:spacing w:after="120"/>
        <w:jc w:val="both"/>
        <w:rPr>
          <w:rFonts w:ascii="Calibri Light" w:eastAsia="Calibri" w:hAnsi="Calibri Light"/>
          <w:lang w:eastAsia="en-US"/>
        </w:rPr>
      </w:pPr>
      <w:r w:rsidRPr="00861CE2">
        <w:rPr>
          <w:rFonts w:ascii="Calibri Light" w:eastAsia="Calibri" w:hAnsi="Calibri Light"/>
          <w:b/>
          <w:lang w:eastAsia="en-US"/>
        </w:rPr>
        <w:t xml:space="preserve">Būtiskākais jauno darbavietu pieaugums vidējā termiņā sagaidāms būvniecībā, profesionālos, zinātniskos un tehniskos pakalpojumos, kā arī informācijas un komunikācijas pakalpojumos. </w:t>
      </w:r>
      <w:r w:rsidRPr="00861CE2">
        <w:rPr>
          <w:rFonts w:ascii="Calibri Light" w:eastAsia="Calibri" w:hAnsi="Calibri Light"/>
          <w:lang w:eastAsia="en-US"/>
        </w:rPr>
        <w:t>Kopumā augstāk minētās nozares līdz 2030.gadam radīs aptuveni 29 tūkst. jaunu darbavietu, kas kopējā darbaspēka pieprasījumā kompensēs nodarbināto skaita samazinājumu citās nozarēs, piemēram, tirdzniecības nozarē, kur atbilstošā periodā sagaidāms nodarbināto skaita samazinājums par gandrīz 14 tūkst. Vienlaikus ilgtermiņā (periodā līdz 2040. gadam) nozīmīgākais jaunu darbavietu pienesums varētu būt komercpakalpojumu sektoram, jo īpaši informācijas un komunikācijas pakalpojumos, kā arī profesionālos, zinātniskos un tehniskos pakalpojumos.</w:t>
      </w:r>
    </w:p>
    <w:p w14:paraId="14D020F8" w14:textId="77777777" w:rsidR="00F94B79" w:rsidRPr="00861CE2" w:rsidRDefault="00F94B79" w:rsidP="005E5E57">
      <w:pPr>
        <w:spacing w:after="120"/>
        <w:jc w:val="both"/>
        <w:rPr>
          <w:szCs w:val="20"/>
        </w:rPr>
      </w:pPr>
      <w:r w:rsidRPr="00861CE2">
        <w:rPr>
          <w:b/>
          <w:szCs w:val="20"/>
        </w:rPr>
        <w:t xml:space="preserve">Situāciju darba tirgū turpinās noteikt piedāvājuma puses faktori. </w:t>
      </w:r>
      <w:r w:rsidRPr="00861CE2">
        <w:rPr>
          <w:szCs w:val="20"/>
        </w:rPr>
        <w:t xml:space="preserve">Iedzīvotāju skaita lejupslīde laika periodā līdz 2040. gadam kļūs lēnāka, tomēr turpināsies sabiedrības novecošanās un samazināsies darbspējīgo iedzīvotāju skaits, kas ietekmēs arī kopējo darbaspēka piedāvājumu nākotnē. Vienlaikus demogrāfijas tendenču negatīvo ietekmi uz darbaspēka piedāvājumu periodā turpinās kompensēt iedzīvotāju līdzdalības pieaugums darba tirgū. Tāpat pozitīvu ietekmi uz darbaspējīgo iedzīvotāju skaitu ir atstājusi Ukrainas kara bēgļu ieplūde Latvijā, kas ir palielinājis arī potenciālo darbaspēka piedāvājumu darba tirgū. Tomēr šāds efekts ilgtermiņā ir ierobežots, jo daļa no kara bēgļiem pakāpeniski atgriežas mājās. Vidējā termiņā ekonomiskā izaugsme, kā arī pieaugošā darbaspēka nepietiekamība sekmēs iedzīvotāju līdzdalības palielināšanos darba tirgū, līdz ar to paverot plašākas darba iespējas </w:t>
      </w:r>
      <w:r w:rsidRPr="00861CE2">
        <w:rPr>
          <w:szCs w:val="20"/>
        </w:rPr>
        <w:lastRenderedPageBreak/>
        <w:t>virknei neaktīvo iedzīvotāju grupu (mājsaimniecēm, studentiem, pensijas vecuma iedzīvotājiem u.c.). Tāpat būtiska loma iedzīvotāju līdzdalības veicināšanā būs atalgojuma pieaugumam. Vienlaikus ilgtermiņā (periodā pēc 2030. gada) iedzīvotāju ekonomiskās aktivitātes pieauguma kompensējošā ietekme uz darbaspēka piedāvājumu varētu pamazām izsīkt un demogrāfijas procesi ņems virsroku, tādejādi no 2030. līdz 2040. gadam kopumā sagaidāma darbaspēka piedāvājuma krītoša tendence. Jāņem vērā, ka iedzīvotāju ekonomiskā aktivitāte ir tuvu savam potenciālam, līdz ar to ilgtermiņā iedzīvotāju līdzdalības pieaugums darba tirgū būs ierobežots un jaunas darbaspēka rezerves galvenokārt nodrošinās ārējā darbaspēka piesaiste.</w:t>
      </w:r>
    </w:p>
    <w:p w14:paraId="0F8D8344" w14:textId="77777777" w:rsidR="00F94B79" w:rsidRPr="00861CE2" w:rsidRDefault="00F94B79" w:rsidP="005E5E57">
      <w:pPr>
        <w:spacing w:after="120"/>
        <w:jc w:val="both"/>
      </w:pPr>
      <w:r w:rsidRPr="00861CE2">
        <w:t>Kopumā līdz 2030. gadam darbaspēka piedāvājums varētu palielināties līdz 960 tūkst. (par 14,5 tūkst. jeb 1,5% augstāks rādītājs nekā 2023. gadā), savukārt pēc 2030. gada darbaspēka piedāvājumu arvien vairāk ietekmēs demogrāfiskie procesi un tas varētu atkal sarukt – līdz 936 tūkst (par aptuveni 9  tūkst. jeb 1% mazāk nekā 2023. gadā).</w:t>
      </w:r>
    </w:p>
    <w:p w14:paraId="42F191E2" w14:textId="77777777" w:rsidR="00F94B79" w:rsidRPr="00861CE2" w:rsidRDefault="00F94B79" w:rsidP="005E5E57">
      <w:pPr>
        <w:pStyle w:val="EnvelopeReturn"/>
        <w:spacing w:after="120"/>
        <w:jc w:val="both"/>
        <w:rPr>
          <w:rFonts w:ascii="Calibri Light" w:eastAsia="Calibri" w:hAnsi="Calibri Light"/>
          <w:lang w:eastAsia="en-US"/>
        </w:rPr>
      </w:pPr>
      <w:r w:rsidRPr="00861CE2">
        <w:rPr>
          <w:rFonts w:ascii="Calibri Light" w:eastAsia="Calibri" w:hAnsi="Calibri Light"/>
          <w:b/>
          <w:lang w:eastAsia="en-US"/>
        </w:rPr>
        <w:t>Darbaspēka novecošanās tendences, gan arī zemais atražošanās līmenis vidējā un ilgtermiņā visvairāk ietekmēs vidējās kvalifikācijas darbaspēka pieejamību</w:t>
      </w:r>
      <w:r w:rsidRPr="00861CE2">
        <w:rPr>
          <w:rFonts w:ascii="Calibri Light" w:eastAsia="Calibri" w:hAnsi="Calibri Light"/>
          <w:lang w:eastAsia="en-US"/>
        </w:rPr>
        <w:t xml:space="preserve">. Ekonomiski aktīvo iedzīvotāju skaits ar profesionālo vidējo izglītību līdz 2040.gadam varētu samazināties par vairāk nekā 1/3 jeb gandrīz 94 tūkst., bet atbilstošas kvalifikācijas darbaspēka iztrūkums varētu pieaugt līdz 105 tūkst. darbinieku. Visvairāk vidējās kvalifikācijas darbaspēka nepietiekamību varēs izjust tādas nozares kā transporta pakalpojumos un uzglabāšanā, būvniecībā, apstrādes rūpniecībā, kā arī lauksaimniecībā un tirdzniecības nozarēs, kur vidējās kvalifikācijas darbavietu īpatsvars veido aptuveni 50% un vairāk, kā arī ir augsts </w:t>
      </w:r>
      <w:proofErr w:type="spellStart"/>
      <w:r w:rsidRPr="00861CE2">
        <w:rPr>
          <w:rFonts w:ascii="Calibri Light" w:eastAsia="Calibri" w:hAnsi="Calibri Light"/>
          <w:lang w:eastAsia="en-US"/>
        </w:rPr>
        <w:t>pirmspensijas</w:t>
      </w:r>
      <w:proofErr w:type="spellEnd"/>
      <w:r w:rsidRPr="00861CE2">
        <w:rPr>
          <w:rFonts w:ascii="Calibri Light" w:eastAsia="Calibri" w:hAnsi="Calibri Light"/>
          <w:lang w:eastAsia="en-US"/>
        </w:rPr>
        <w:t xml:space="preserve"> nodarbināto īpatsvars.</w:t>
      </w:r>
    </w:p>
    <w:p w14:paraId="48765E32" w14:textId="77777777" w:rsidR="00F94B79" w:rsidRPr="00861CE2" w:rsidRDefault="00F94B79" w:rsidP="005E5E57">
      <w:pPr>
        <w:pStyle w:val="EnvelopeReturn"/>
        <w:spacing w:after="120"/>
        <w:jc w:val="both"/>
        <w:rPr>
          <w:rFonts w:ascii="Calibri Light" w:eastAsia="Calibri" w:hAnsi="Calibri Light"/>
          <w:b/>
          <w:lang w:eastAsia="en-US"/>
        </w:rPr>
      </w:pPr>
      <w:r w:rsidRPr="00861CE2">
        <w:rPr>
          <w:rFonts w:ascii="Calibri Light" w:eastAsia="Calibri" w:hAnsi="Calibri Light"/>
          <w:b/>
          <w:lang w:eastAsia="en-US"/>
        </w:rPr>
        <w:t xml:space="preserve">Tautsaimniecības struktūras maiņa palielinās pieprasījumu pēc augstas kvalifikācijas darbaspēka, bet samazinās zemas un vidējās kvalifikācijas darbavietu skaitu. </w:t>
      </w:r>
      <w:r w:rsidRPr="00861CE2">
        <w:rPr>
          <w:rFonts w:ascii="Calibri Light" w:eastAsia="Calibri" w:hAnsi="Calibri Light"/>
          <w:lang w:eastAsia="en-US"/>
        </w:rPr>
        <w:t xml:space="preserve">Produktivitātes līmeņa pieaugumu lielā mērā nodrošinās tautsaimniecības pārstrukturizācija no zemu un vidēji zemu tehnoloģiju nozarēm uz vidēji augstu un augstu tehnoloģiju nozarēm, līdz ar to ietekmējot ne tikai kopējo darbaspēka pieprasījumu, bet arī tā struktūru – palielinot augstas kvalifikācijas darbavietu īpatsvaru no vienas puses, bet samazinot zemas un vidēji zemas kvalifikācijas darbavietu īpatsvaru no otras puses. Kopumā līdz 2040. gadam augstākās kvalifikācijas darbavietu īpatsvars varētu palielināties par aptuveni 7,2 procentpunktiem kopējajā darbaspēka pieprasījumā, bet vidējās un zemas kvalifikācijas profesiju īpatsvars sarukt, attiecīgi, par 3,1 procentpunktiem un 4,1 procentpunktiem, salīdzinot ar 2023. gadu. Proporcionāli visbūtiskāk tautsaimniecības struktūras maiņa varētu ietekmēt vienkāršās profesijas. Darbaspēka pieprasījums vienkāršajās profesijās līdz 2040. gadam varētu samazināties par gandrīz 33% jeb 35,8 tūkst. darbavietu, savukārt vidējās kvalifikācijas darbavietas -  par gandrīz 26 tūkst. jeb 6,8%. Periodā līdz 2040. gadam augstākās kvalifikācijas darbavietu skaits varētu pieaugt par vairāk nekā 65 tūkst., veidojot 454 tūkst. darbavietu jeb aptuveni pusi (gandrīz 51%) no kopējā darbavietu skaita tautsaimniecībā. Augstākās kvalifikācijas darbavietu pieaugums kopumā palielinās pieprasījumu pēc darbaspēka ar augstāko izglītību. Sagaidāms, ka līdz 2040. gadam darbaspēka pieprasījums ar augstāko izglītību varētu palielināties par 46,7 tūkst. Vienlaikus jāņem vērā, ka gandrīz 26% no augstākās kvalifikācijas profesijām pašlaik ir nodarbināti darbinieki ar vidējo (25%) vai zemāku (1%) izglītību, tomēr šādi darbinieki nākamos gados pakāpeniski tiks aizvietoti. </w:t>
      </w:r>
    </w:p>
    <w:p w14:paraId="00088EDE" w14:textId="3171345F" w:rsidR="00F94B79" w:rsidRPr="009D2225" w:rsidRDefault="00F94B79" w:rsidP="005E5E57">
      <w:pPr>
        <w:spacing w:after="120"/>
        <w:jc w:val="both"/>
        <w:rPr>
          <w:b/>
          <w:szCs w:val="28"/>
        </w:rPr>
      </w:pPr>
      <w:r w:rsidRPr="00861CE2">
        <w:rPr>
          <w:b/>
          <w:szCs w:val="28"/>
        </w:rPr>
        <w:t xml:space="preserve">Darbaspēka produktivitāti turpinās balstīt darbavietu automatizācija, ko paātrinās plašāka </w:t>
      </w:r>
      <w:r w:rsidR="009D2225">
        <w:rPr>
          <w:b/>
          <w:szCs w:val="28"/>
        </w:rPr>
        <w:t xml:space="preserve">MI </w:t>
      </w:r>
      <w:r w:rsidRPr="00861CE2">
        <w:rPr>
          <w:b/>
          <w:szCs w:val="28"/>
        </w:rPr>
        <w:t>izmantošana.</w:t>
      </w:r>
      <w:r w:rsidRPr="00861CE2">
        <w:rPr>
          <w:szCs w:val="28"/>
        </w:rPr>
        <w:t xml:space="preserve"> Ja iepriekšējās dekādēs viens no būtiskākajiem produktivitātes dzinuļiem ir bijis dažādu pakalpojumu un ražošanas procesu robotizācija un </w:t>
      </w:r>
      <w:proofErr w:type="spellStart"/>
      <w:r w:rsidRPr="00861CE2">
        <w:rPr>
          <w:szCs w:val="28"/>
        </w:rPr>
        <w:t>digitalizācija</w:t>
      </w:r>
      <w:proofErr w:type="spellEnd"/>
      <w:r w:rsidRPr="00861CE2">
        <w:rPr>
          <w:szCs w:val="28"/>
        </w:rPr>
        <w:t xml:space="preserve">, tad līdz ar plašāku lielo valodu modeļu un citu MI balstītu produktu un pakalpojumu attīstību, ir aizsācies jauns tehnoloģiskais cikls. Līdzšinējās darbavietu automatizācijas tendences galvenokārt skāra vienkāršākus, manuāli veicamus un atkārtojamus darbus, kas pamatā aptvēra vidējās kvalifikācijas profesijas un darbaspēku, tomēr MI attīstība paver daudz plašākas automatizācijas iespējas, sākot ar uzlabojumiem darba organizācijā un klientu apkalpošanā līdz pat jaunu produktu un pakalpojumu radīšanai, līdz ar to skarot gandrīz visus darba tirgus segmentus. Lai arī MI attīstība ļauj turpināt </w:t>
      </w:r>
      <w:proofErr w:type="spellStart"/>
      <w:r w:rsidRPr="00861CE2">
        <w:rPr>
          <w:szCs w:val="28"/>
        </w:rPr>
        <w:t>efektivizēt</w:t>
      </w:r>
      <w:proofErr w:type="spellEnd"/>
      <w:r w:rsidRPr="00861CE2">
        <w:rPr>
          <w:szCs w:val="28"/>
        </w:rPr>
        <w:t xml:space="preserve"> arī manuāli veicamo darbu izpildi, tomēr atšķirībā no iepriekšējiem automatizācijas cikliem lielāka ietekme sagaidāma uz augstākās kvalifikācijas profesijām un dažādu jomu pakalpojumu darbiniekiem. Starp darbavietām ar augstu MI pielietojuma varbūtību ir reģistratūras darbinieki un klientu apkalpošanas speciālisti, grāmatveži, tirdzniecības jomas darbinieki, pētnieki un datu analītiķi, dizaineri, IT jomas speciālisti. Vienlaikus MI mazāk ietekmēs vadītāju, veselības aprūpes, izglītības, juristu, aktieru u.c. profesijas, kur būtiska loma ir cilvēka līdzdalībai. Lai gan MI ietekmē plašu darba tirgus daļu, tomēr līdz 2040. gadam nav sagaidāma būtiskā MI ietekme uz kopējo darbavietu skaitu. Tāpat jāņem vērā, ka MI attīstība rada arī jaunas darbavietas, kas, piemēram, nodrošina MI pakalpojumus un procesu uzraudzību, līdz ar to pieaugs pieprasījums pēc speciālistiem ar prasmēm strādāt un pielietot MI ikdienas darbā. </w:t>
      </w:r>
    </w:p>
    <w:p w14:paraId="635D80EF" w14:textId="77777777" w:rsidR="00F94B79" w:rsidRPr="00861CE2" w:rsidRDefault="00F94B79" w:rsidP="005E5E57">
      <w:pPr>
        <w:pStyle w:val="EnvelopeReturn"/>
        <w:spacing w:after="120"/>
        <w:jc w:val="both"/>
        <w:rPr>
          <w:rFonts w:ascii="Calibri Light" w:eastAsia="Calibri" w:hAnsi="Calibri Light"/>
          <w:lang w:eastAsia="en-US"/>
        </w:rPr>
      </w:pPr>
      <w:r w:rsidRPr="00861CE2">
        <w:rPr>
          <w:rFonts w:ascii="Calibri Light" w:eastAsia="Calibri" w:hAnsi="Calibri Light"/>
          <w:b/>
          <w:lang w:eastAsia="en-US"/>
        </w:rPr>
        <w:t xml:space="preserve">Galvenās darba iespējas radīs aizvietojošais pieprasījums. </w:t>
      </w:r>
      <w:r w:rsidRPr="00861CE2">
        <w:rPr>
          <w:rFonts w:ascii="Calibri Light" w:eastAsia="Calibri" w:hAnsi="Calibri Light"/>
          <w:lang w:eastAsia="en-US"/>
        </w:rPr>
        <w:t xml:space="preserve">Līdz 2040. gadam dēļ darbaspēka novecošanās un iziešanas no darba tirgus var atbrīvoties aptuveni 278 tūkst. darbavietu, no kurām 118 tūkst. vakanču veidosies augstākās kvalifikācijas profesijās, 123 tūkst. vidējās kvalifikācijas profesijās, bet 37 tūkst. vienkāršajās profesijās. Būtiskākais aizvietojošais darbaspēka pieprasījums sagaidāms vecāko speciālistu profesijās – aptuveni 30% no pašlaik nodarbinātajiem atbilstošajās profesijās līdz 2040. gadam varētu iziet no darba tirgus. Kopumā aizvietojošais pieprasījums līdz 2040. gadam varētu veidot gandrīz 70% no kopējā vakanču skaita darba tirgū. </w:t>
      </w:r>
      <w:r w:rsidRPr="00861CE2">
        <w:rPr>
          <w:rFonts w:ascii="Calibri Light" w:eastAsia="Calibri" w:hAnsi="Calibri Light"/>
          <w:lang w:eastAsia="en-US"/>
        </w:rPr>
        <w:lastRenderedPageBreak/>
        <w:t>Būtiskākais aizvietojošā darbaspēka pieprasījuma pieaugums augstākās kvalifikācijas profesijās sagaidāms vecāko speciālistu profesijās – gandrīz 1/3 no pašlaik nodarbinātajiem atbilstošajās profesijās līdz 2040. gadam varētu ieziet no darba tirgus. Nozīmīgākais aizvietojošais darbaspēka pieprasījums vecāko speciālistu profesijās  sagaidāms izglītības un veselības aprūpes jomas vecāko speciālistu profesiju apakšgrupās. Vienlaikus vidējās kvalifikācijas profesijās būtiskākais aizvietojošā darbaspēka pieprasījuma pieaugums var veidoties mašīnu un iekārtu vadītāju un celšanas iekārtu un mašīnu operatoru profesijās, individuālās aprūpes darbinieku profesijās, rūpniecisko iekārtu operatoru profesijās, pārtikas produktu pārstrādes un kokapstrādes strādnieku profesijās, lauksaimniecības, kā arī apsardzes pakalpojumu jomas darbinieku profesijās. Kopumā aizvietojošais pieprasījums līdz 2040. gadam varētu veidot gandrīz 70% no kopējā vakanču skaita darba tirgū.</w:t>
      </w:r>
    </w:p>
    <w:p w14:paraId="51218F93" w14:textId="180282A3" w:rsidR="00F94B79" w:rsidRDefault="00F94B79" w:rsidP="005E5E57">
      <w:pPr>
        <w:pStyle w:val="EnvelopeReturn"/>
        <w:spacing w:after="120"/>
        <w:jc w:val="both"/>
        <w:rPr>
          <w:rFonts w:ascii="Calibri Light" w:eastAsia="Calibri" w:hAnsi="Calibri Light"/>
          <w:color w:val="262626" w:themeColor="text1" w:themeTint="D9"/>
          <w:szCs w:val="28"/>
          <w:lang w:eastAsia="en-US"/>
        </w:rPr>
      </w:pPr>
    </w:p>
    <w:p w14:paraId="0F8DD931" w14:textId="26DC4D24" w:rsidR="00F94B79" w:rsidRPr="005E5E57" w:rsidRDefault="005E5E57" w:rsidP="005E5E57">
      <w:pPr>
        <w:tabs>
          <w:tab w:val="left" w:pos="567"/>
        </w:tabs>
        <w:spacing w:after="120"/>
        <w:jc w:val="both"/>
        <w:rPr>
          <w:rFonts w:ascii="Aptos Narrow" w:hAnsi="Aptos Narrow"/>
          <w:b/>
          <w:bCs/>
          <w:color w:val="5F497A" w:themeColor="accent4" w:themeShade="BF"/>
          <w:sz w:val="28"/>
          <w:szCs w:val="28"/>
        </w:rPr>
      </w:pPr>
      <w:r>
        <w:rPr>
          <w:rFonts w:ascii="Aptos Narrow" w:hAnsi="Aptos Narrow"/>
          <w:b/>
          <w:bCs/>
          <w:color w:val="5F497A" w:themeColor="accent4" w:themeShade="BF"/>
          <w:sz w:val="28"/>
          <w:szCs w:val="28"/>
        </w:rPr>
        <w:t>I</w:t>
      </w:r>
      <w:r w:rsidR="007A7F6C">
        <w:rPr>
          <w:rFonts w:ascii="Aptos Narrow" w:hAnsi="Aptos Narrow"/>
          <w:b/>
          <w:bCs/>
          <w:color w:val="5F497A" w:themeColor="accent4" w:themeShade="BF"/>
          <w:sz w:val="28"/>
          <w:szCs w:val="28"/>
        </w:rPr>
        <w:t>II</w:t>
      </w:r>
      <w:r>
        <w:rPr>
          <w:rFonts w:ascii="Aptos Narrow" w:hAnsi="Aptos Narrow"/>
          <w:b/>
          <w:bCs/>
          <w:color w:val="5F497A" w:themeColor="accent4" w:themeShade="BF"/>
          <w:sz w:val="28"/>
          <w:szCs w:val="28"/>
        </w:rPr>
        <w:tab/>
      </w:r>
      <w:r w:rsidR="00F94B79" w:rsidRPr="005E5E57">
        <w:rPr>
          <w:rFonts w:ascii="Aptos Narrow" w:hAnsi="Aptos Narrow"/>
          <w:b/>
          <w:bCs/>
          <w:color w:val="5F497A" w:themeColor="accent4" w:themeShade="BF"/>
          <w:sz w:val="28"/>
          <w:szCs w:val="28"/>
        </w:rPr>
        <w:t>REKOMENDĀCIJAS DARBA TIRGUS NEATBILSTĪBU MAZINĀŠANAI</w:t>
      </w:r>
    </w:p>
    <w:p w14:paraId="39083AE1" w14:textId="77777777" w:rsidR="00653B38" w:rsidRDefault="00653B38" w:rsidP="00653B38">
      <w:pPr>
        <w:spacing w:after="120"/>
        <w:jc w:val="both"/>
        <w:rPr>
          <w:rFonts w:eastAsia="Times New Roman"/>
          <w:szCs w:val="20"/>
          <w:lang w:eastAsia="lv-LV"/>
        </w:rPr>
      </w:pPr>
      <w:r w:rsidRPr="00956A37">
        <w:rPr>
          <w:rFonts w:eastAsia="Times New Roman"/>
          <w:szCs w:val="20"/>
          <w:lang w:eastAsia="lv-LV"/>
        </w:rPr>
        <w:t>Iepriekšējos gados īstenotie nodarbinātības veicināšanas un prasmju attīstības pasākumi kopumā ir devuši labvēlīgu ietekmi gan uz iedzīvotāju nodarbinātību, gan uz darbaspēka pietiekamību un prasmju atbilstību. Vienlaikus, neskatoties uz uzlabojumiem, joprojām daudzas strukturālās problēmas saglabājas aktuālas – nepietiekama STEM speciālistu sagatavošana, liels jauniešu īpatsvars, kas neturpina mācības vidējā vai augstākajā izglītības līmenī, vai pamet izglītības sistēmu priekšlaicīgi, nepietiekams izglītojamo skaits profesionālās izglītības virzienos</w:t>
      </w:r>
      <w:r>
        <w:rPr>
          <w:rFonts w:eastAsia="Times New Roman"/>
          <w:szCs w:val="20"/>
          <w:lang w:eastAsia="lv-LV"/>
        </w:rPr>
        <w:t>, liels mazkvalificēto iedzīvotāju īpatsvars,</w:t>
      </w:r>
      <w:r w:rsidRPr="00956A37">
        <w:rPr>
          <w:rFonts w:eastAsia="Times New Roman"/>
          <w:szCs w:val="20"/>
          <w:lang w:eastAsia="lv-LV"/>
        </w:rPr>
        <w:t xml:space="preserve"> u.c. problēmas. Tāpat izglītības pasākumu ietekme bieži vien ir lēna un ietekmes mērogs nepietiekams, savukārt pieaugušo izglītības sniegtās iespējas netiek pietiekami izmantotas un </w:t>
      </w:r>
      <w:r>
        <w:rPr>
          <w:rFonts w:eastAsia="Times New Roman"/>
          <w:szCs w:val="20"/>
          <w:lang w:eastAsia="lv-LV"/>
        </w:rPr>
        <w:t>vajadzīgajā apjomā nesasniedzot</w:t>
      </w:r>
      <w:r w:rsidRPr="00956A37">
        <w:rPr>
          <w:rFonts w:eastAsia="Times New Roman"/>
          <w:szCs w:val="20"/>
          <w:lang w:eastAsia="lv-LV"/>
        </w:rPr>
        <w:t xml:space="preserve"> galvenās mērķa grupas – iedzīvotāj</w:t>
      </w:r>
      <w:r>
        <w:rPr>
          <w:rFonts w:eastAsia="Times New Roman"/>
          <w:szCs w:val="20"/>
          <w:lang w:eastAsia="lv-LV"/>
        </w:rPr>
        <w:t>us</w:t>
      </w:r>
      <w:r w:rsidRPr="00956A37">
        <w:rPr>
          <w:rFonts w:eastAsia="Times New Roman"/>
          <w:szCs w:val="20"/>
          <w:lang w:eastAsia="lv-LV"/>
        </w:rPr>
        <w:t xml:space="preserve"> ar zemu izglītības līmeni un bez kvalifikācijas. </w:t>
      </w:r>
    </w:p>
    <w:p w14:paraId="4FD1D7A9" w14:textId="42430D5B" w:rsidR="00F94B79" w:rsidRPr="00861CE2" w:rsidRDefault="00F94B79" w:rsidP="005E5E57">
      <w:pPr>
        <w:spacing w:after="120"/>
        <w:jc w:val="both"/>
        <w:rPr>
          <w:color w:val="262626"/>
        </w:rPr>
      </w:pPr>
      <w:r w:rsidRPr="00861CE2">
        <w:rPr>
          <w:color w:val="262626" w:themeColor="text1" w:themeTint="D9"/>
        </w:rPr>
        <w:t xml:space="preserve">Lai nākotnē mazinātu iespējamās darba tirgus disproporcijas, </w:t>
      </w:r>
      <w:r w:rsidR="004570F0" w:rsidRPr="00861CE2">
        <w:rPr>
          <w:color w:val="262626" w:themeColor="text1" w:themeTint="D9"/>
        </w:rPr>
        <w:t>jautājumi</w:t>
      </w:r>
      <w:r w:rsidRPr="00861CE2">
        <w:rPr>
          <w:color w:val="262626" w:themeColor="text1" w:themeTint="D9"/>
        </w:rPr>
        <w:t xml:space="preserve"> ir jārisina kompleksi. Piemēram, ir grūti palielināt studējošo skaitu dabas zinātnēs un inženierzinātnēs, ja jau pamatizglītībā un vidējā izglītībā skolēniem ir vājas zināšanas un maza interese par eksaktajiem mācību priekšmetiem. Tāpat jāņem vērā, ka iespējamie risinājumi augstākā izglītībā, vidējā, vidējā profesionālā izglītībā un pamatizglītībā jūtamu ietekmi dos tikai ilgtermiņā. Izmaiņas formālā izglītībā atstāj relatīvi mazu ietekmi uz vidēja termiņa problēmām. Tāpēc profesionālās kvalitātes uzlabošanai un darba tirgus disproporciju mazināšanai nozīmīga loma ir efektīvām pieaugušo apmācībām un tālākizglītībai. Būtiski ir palielināt iedzīvotāju ar pamatizglītību un vispārējo vidējo izglītību iesaisti pieaugušo izglītības pasākumos. Šādi iedzīvotāji bieži vien ir ekonomiski neaktīvi – bez darba vietas, kā arī nav reģistrējušies kā darba meklētāji. Kvalitatīva tālākizglītības piedāvājuma nodrošināšanā pieaugušajiem nozīmīga loma ir gan augstākās izglītības iestādēm, gan profesionālās izglītības iestādēm, gan arī darba devējiem.</w:t>
      </w:r>
    </w:p>
    <w:p w14:paraId="404B4456" w14:textId="59262037" w:rsidR="00F94B79" w:rsidRDefault="00F94B79" w:rsidP="005E5E57">
      <w:pPr>
        <w:spacing w:after="120"/>
        <w:jc w:val="both"/>
        <w:rPr>
          <w:szCs w:val="28"/>
        </w:rPr>
      </w:pPr>
      <w:r w:rsidRPr="00861CE2">
        <w:rPr>
          <w:szCs w:val="28"/>
        </w:rPr>
        <w:t>Jāatzīmē, ka liela daļa no pasākumiem, kas vērsti uz darba tirgus piedāvājuma sabalansēšanu jau pašlaik tiek īstenoti, tomēr bieži vien tie nav savstarpēji saskaņoti un strukturēti atbilstoši mērķim. Lai mazinātu nākotnē sagaidāmās neatbilstības darba tirgū, ir nepieciešams pievērst pastiprinātu uzmanību šādās jomās:</w:t>
      </w:r>
    </w:p>
    <w:p w14:paraId="26AEB92C" w14:textId="77777777" w:rsidR="007A7F6C" w:rsidRPr="00861CE2" w:rsidRDefault="007A7F6C" w:rsidP="005E5E57">
      <w:pPr>
        <w:spacing w:after="120"/>
        <w:jc w:val="both"/>
        <w:rPr>
          <w:szCs w:val="28"/>
        </w:rPr>
      </w:pPr>
    </w:p>
    <w:p w14:paraId="7B3A2AF6" w14:textId="77777777" w:rsidR="00750CFB" w:rsidRPr="00861CE2" w:rsidRDefault="00750CFB" w:rsidP="005E5E57">
      <w:pPr>
        <w:numPr>
          <w:ilvl w:val="0"/>
          <w:numId w:val="8"/>
        </w:numPr>
        <w:spacing w:after="120" w:line="259" w:lineRule="auto"/>
        <w:jc w:val="both"/>
      </w:pPr>
      <w:r w:rsidRPr="00861CE2">
        <w:rPr>
          <w:b/>
        </w:rPr>
        <w:t>Augstākās kvalifikācijas darbaspēka ar STEM izglītību, jo īpaši IKT virzienos iztrūkuma mazināšana :</w:t>
      </w:r>
      <w:r w:rsidRPr="00861CE2">
        <w:t> </w:t>
      </w:r>
    </w:p>
    <w:p w14:paraId="018F11A3" w14:textId="7CDA1DA9" w:rsidR="00750CFB" w:rsidRPr="00861CE2" w:rsidRDefault="00750CFB" w:rsidP="005E5E57">
      <w:pPr>
        <w:numPr>
          <w:ilvl w:val="0"/>
          <w:numId w:val="9"/>
        </w:numPr>
        <w:spacing w:after="120" w:line="259" w:lineRule="auto"/>
        <w:jc w:val="both"/>
      </w:pPr>
      <w:r w:rsidRPr="00861CE2">
        <w:t>pieaugušo izglītības piedāvājuma STEM jomā un jo īpaši IKT virzienos paplašināšana augstākās izglītības iestādēs – zināšanu atjaunošana un padziļināšana iegūtajā specialitātē, pārkvalifikācijas iespējas cilvēkiem ar augstāko izglītību</w:t>
      </w:r>
      <w:r w:rsidR="007749BA">
        <w:t xml:space="preserve"> uz</w:t>
      </w:r>
      <w:r w:rsidR="007A679C">
        <w:t xml:space="preserve"> citā</w:t>
      </w:r>
      <w:r w:rsidR="007749BA">
        <w:t>m</w:t>
      </w:r>
      <w:r w:rsidR="007A679C">
        <w:t xml:space="preserve"> jomā</w:t>
      </w:r>
      <w:r w:rsidR="007749BA">
        <w:t>m</w:t>
      </w:r>
      <w:r w:rsidRPr="00861CE2">
        <w:t>; </w:t>
      </w:r>
    </w:p>
    <w:p w14:paraId="68A44DD7" w14:textId="377AFB21" w:rsidR="00750CFB" w:rsidRPr="00861CE2" w:rsidRDefault="00750CFB" w:rsidP="005E5E57">
      <w:pPr>
        <w:numPr>
          <w:ilvl w:val="0"/>
          <w:numId w:val="10"/>
        </w:numPr>
        <w:spacing w:after="120" w:line="259" w:lineRule="auto"/>
        <w:jc w:val="both"/>
      </w:pPr>
      <w:r w:rsidRPr="00861CE2">
        <w:t>studējošo atbiruma mazināšana – matemātikas un dabaszinātņu, kā arī IKT mācību jomas apguves kvalitātes stiprināšana vispārējā un profesionālā izglītībā preventīvai studentu atbiruma mazināšanai augstskolās</w:t>
      </w:r>
      <w:r w:rsidR="00A9008C">
        <w:t>,</w:t>
      </w:r>
      <w:r w:rsidRPr="00861CE2">
        <w:t xml:space="preserve"> uzņemamo studentu atlases sistēmas pilnveide; </w:t>
      </w:r>
    </w:p>
    <w:p w14:paraId="024B10B8" w14:textId="77777777" w:rsidR="00750CFB" w:rsidRPr="00861CE2" w:rsidRDefault="00750CFB" w:rsidP="005E5E57">
      <w:pPr>
        <w:numPr>
          <w:ilvl w:val="0"/>
          <w:numId w:val="11"/>
        </w:numPr>
        <w:spacing w:after="120" w:line="259" w:lineRule="auto"/>
        <w:jc w:val="both"/>
      </w:pPr>
      <w:r w:rsidRPr="00861CE2">
        <w:t>karjeras atbalsta sistēmas stiprināšana jauniešiem, motivējot tos studijām STEM jomās, t.sk. informatīvo kampaņu veidošana un metodisko materiālu izstrāde karjeras konsultantiem; </w:t>
      </w:r>
    </w:p>
    <w:p w14:paraId="14CD1918" w14:textId="62B38B0E" w:rsidR="00750CFB" w:rsidRPr="00861CE2" w:rsidRDefault="00750CFB" w:rsidP="005E5E57">
      <w:pPr>
        <w:numPr>
          <w:ilvl w:val="0"/>
          <w:numId w:val="12"/>
        </w:numPr>
        <w:spacing w:after="120" w:line="259" w:lineRule="auto"/>
        <w:jc w:val="both"/>
      </w:pPr>
      <w:r w:rsidRPr="00861CE2">
        <w:t>STEM izglītības kvalitātes stiprināšana –</w:t>
      </w:r>
      <w:r w:rsidR="007749BA">
        <w:t xml:space="preserve"> </w:t>
      </w:r>
      <w:r w:rsidRPr="00861CE2">
        <w:t>studiju vietu nodrošinājuma palielināšana, modulāru programmu piedāvājuma ieviešana</w:t>
      </w:r>
      <w:r w:rsidR="007A679C">
        <w:t xml:space="preserve"> un </w:t>
      </w:r>
      <w:proofErr w:type="spellStart"/>
      <w:r w:rsidR="007A679C">
        <w:t>mikrokvalifikāciju</w:t>
      </w:r>
      <w:proofErr w:type="spellEnd"/>
      <w:r w:rsidR="007A679C">
        <w:t xml:space="preserve"> attīstība;</w:t>
      </w:r>
      <w:r w:rsidRPr="00861CE2">
        <w:t>  </w:t>
      </w:r>
    </w:p>
    <w:p w14:paraId="1B4874AE" w14:textId="367797CA" w:rsidR="00750CFB" w:rsidRPr="00861CE2" w:rsidRDefault="00750CFB" w:rsidP="005E5E57">
      <w:pPr>
        <w:numPr>
          <w:ilvl w:val="0"/>
          <w:numId w:val="13"/>
        </w:numPr>
        <w:spacing w:after="120" w:line="259" w:lineRule="auto"/>
        <w:jc w:val="both"/>
      </w:pPr>
      <w:r w:rsidRPr="00861CE2">
        <w:t xml:space="preserve">akadēmiskā personāla atjaunotne un kompetenču stiprināšana STEM, t.sk. IKT virzienos – akadēmiskā personāla kvalifikācijas kritēriju paaugstināšana, t.sk. izstrādājot kritērijus akadēmiskā amata pretendentu un akadēmiskā personāla kompetenču novērtēšanai, akadēmiskā personāla nodarbinātības un atalgojuma nosacījumu pilnveide, nepārtraukta akadēmiskā personāla profesionālās pilnveides nodrošināšana, stiprinot digitālo kompetenci, doktorantu plašāka iesaiste akadēmiskā un pētnieciskā </w:t>
      </w:r>
      <w:r w:rsidRPr="00861CE2">
        <w:lastRenderedPageBreak/>
        <w:t>darbā, kā arī doktora grāda iegūšana optimālā laikā (trīs līdz četru gadu laikā), vienlaikus samazinot doktorantu atbirumu; </w:t>
      </w:r>
    </w:p>
    <w:p w14:paraId="45B10237" w14:textId="77777777" w:rsidR="00750CFB" w:rsidRPr="00861CE2" w:rsidRDefault="00750CFB" w:rsidP="005E5E57">
      <w:pPr>
        <w:numPr>
          <w:ilvl w:val="0"/>
          <w:numId w:val="14"/>
        </w:numPr>
        <w:spacing w:after="120" w:line="259" w:lineRule="auto"/>
        <w:jc w:val="both"/>
      </w:pPr>
      <w:r w:rsidRPr="00861CE2">
        <w:t xml:space="preserve">caurviju kompetenču attīstīšana un stiprināšana STEM un IKT jomās, īpaši uzņēmējdarbības, </w:t>
      </w:r>
      <w:proofErr w:type="spellStart"/>
      <w:r w:rsidRPr="00861CE2">
        <w:t>inovētspējas</w:t>
      </w:r>
      <w:proofErr w:type="spellEnd"/>
      <w:r w:rsidRPr="00861CE2">
        <w:t>, sociālo un komunikāciju kompetenču attīstīšana studiju procesā; </w:t>
      </w:r>
    </w:p>
    <w:p w14:paraId="32AECB01" w14:textId="77777777" w:rsidR="00750CFB" w:rsidRPr="00861CE2" w:rsidRDefault="00750CFB" w:rsidP="005E5E57">
      <w:pPr>
        <w:numPr>
          <w:ilvl w:val="0"/>
          <w:numId w:val="15"/>
        </w:numPr>
        <w:spacing w:after="120" w:line="259" w:lineRule="auto"/>
        <w:jc w:val="both"/>
      </w:pPr>
      <w:r w:rsidRPr="00861CE2">
        <w:t>STEM, t.sk. IKT studiju programmu piedāvājuma aktualizēšana atbilstoši nozares attīstības vajadzībām, kā arī DVB mācību ieviešana studiju procesā, veicināt darba devēju iesaisti resursu efektīvā izmantošanā augstākajā izglītībā, studiju programmu fragmentācijas mazināšanā un nodrošināt augstskolas stratēģiskai specializācijai atbilstošu spēcīgu un pētniecībā balstītu studiju programmu attīstību un eksportspēju; </w:t>
      </w:r>
    </w:p>
    <w:p w14:paraId="76AEA2BA" w14:textId="64C56DAF" w:rsidR="00750CFB" w:rsidRPr="00861CE2" w:rsidRDefault="00750CFB" w:rsidP="005E5E57">
      <w:pPr>
        <w:numPr>
          <w:ilvl w:val="0"/>
          <w:numId w:val="16"/>
        </w:numPr>
        <w:spacing w:after="120" w:line="259" w:lineRule="auto"/>
        <w:jc w:val="both"/>
      </w:pPr>
      <w:r w:rsidRPr="00861CE2">
        <w:t>augstskolu tehniskā nodrošinājuma un aprīkojuma uzlabošana STEM, t.sk. IKT virzienos, jo īpaši digitālās veiktspējas stiprināšanai; </w:t>
      </w:r>
    </w:p>
    <w:p w14:paraId="24A5B0B5" w14:textId="77777777" w:rsidR="00750CFB" w:rsidRPr="00861CE2" w:rsidRDefault="00750CFB" w:rsidP="005E5E57">
      <w:pPr>
        <w:numPr>
          <w:ilvl w:val="0"/>
          <w:numId w:val="17"/>
        </w:numPr>
        <w:spacing w:after="120" w:line="259" w:lineRule="auto"/>
        <w:jc w:val="both"/>
      </w:pPr>
      <w:r w:rsidRPr="00861CE2">
        <w:t>stipendiju sistēmas pilnveide, tai skaitā paredzot atbalstu atsevišķām sociālā riska grupām (piemēram, atbalsts studējošiem vecākiem, studējošiem no trūcīgām un sociāli mazāk aizsargātām ģimenēm); </w:t>
      </w:r>
    </w:p>
    <w:p w14:paraId="0378E267" w14:textId="2C524D5D" w:rsidR="00750CFB" w:rsidRPr="00861CE2" w:rsidRDefault="00750CFB" w:rsidP="005E5E57">
      <w:pPr>
        <w:numPr>
          <w:ilvl w:val="0"/>
          <w:numId w:val="18"/>
        </w:numPr>
        <w:spacing w:after="120" w:line="259" w:lineRule="auto"/>
        <w:jc w:val="both"/>
      </w:pPr>
      <w:r w:rsidRPr="00861CE2">
        <w:t>studējošo kredītu pieejamības paplašināšana</w:t>
      </w:r>
      <w:r w:rsidR="007A679C">
        <w:t>, t.sk.</w:t>
      </w:r>
      <w:r w:rsidRPr="00861CE2">
        <w:t xml:space="preserve"> </w:t>
      </w:r>
      <w:proofErr w:type="spellStart"/>
      <w:r w:rsidRPr="00861CE2">
        <w:t>STEM</w:t>
      </w:r>
      <w:r w:rsidR="007A679C">
        <w:t>un</w:t>
      </w:r>
      <w:proofErr w:type="spellEnd"/>
      <w:r w:rsidR="007A679C">
        <w:t xml:space="preserve"> </w:t>
      </w:r>
      <w:r w:rsidRPr="00861CE2">
        <w:t>IKT virzienos; </w:t>
      </w:r>
    </w:p>
    <w:p w14:paraId="4F924A4E" w14:textId="1E570BDC" w:rsidR="00750CFB" w:rsidRPr="00861CE2" w:rsidRDefault="00750CFB" w:rsidP="005E5E57">
      <w:pPr>
        <w:numPr>
          <w:ilvl w:val="0"/>
          <w:numId w:val="19"/>
        </w:numPr>
        <w:spacing w:after="120" w:line="259" w:lineRule="auto"/>
        <w:jc w:val="both"/>
      </w:pPr>
      <w:r w:rsidRPr="00861CE2">
        <w:t>atbalsta programmas STEM, t.sk. IKT virzienos izglītības pieejamības nodrošināšana cilvēkiem ar invaliditāti. </w:t>
      </w:r>
    </w:p>
    <w:p w14:paraId="3A3977B7" w14:textId="77777777" w:rsidR="00750CFB" w:rsidRDefault="00750CFB" w:rsidP="005E5E57">
      <w:pPr>
        <w:spacing w:after="120"/>
        <w:jc w:val="both"/>
      </w:pPr>
      <w:r w:rsidRPr="00861CE2">
        <w:t> </w:t>
      </w:r>
    </w:p>
    <w:p w14:paraId="49B2781A" w14:textId="77777777" w:rsidR="00750CFB" w:rsidRPr="00861CE2" w:rsidRDefault="00750CFB" w:rsidP="005E5E57">
      <w:pPr>
        <w:numPr>
          <w:ilvl w:val="0"/>
          <w:numId w:val="20"/>
        </w:numPr>
        <w:spacing w:after="120" w:line="259" w:lineRule="auto"/>
        <w:jc w:val="both"/>
      </w:pPr>
      <w:r w:rsidRPr="00861CE2">
        <w:rPr>
          <w:b/>
        </w:rPr>
        <w:t>Vidējās kvalifikācijas darbaspēka iztrūkuma mazināšana:</w:t>
      </w:r>
      <w:r w:rsidRPr="00861CE2">
        <w:t> </w:t>
      </w:r>
    </w:p>
    <w:p w14:paraId="5EB6685E" w14:textId="38FCB7BF" w:rsidR="00750CFB" w:rsidRPr="00861CE2" w:rsidRDefault="00B022B8" w:rsidP="005E5E57">
      <w:pPr>
        <w:numPr>
          <w:ilvl w:val="0"/>
          <w:numId w:val="21"/>
        </w:numPr>
        <w:spacing w:after="120" w:line="259" w:lineRule="auto"/>
        <w:jc w:val="both"/>
      </w:pPr>
      <w:r>
        <w:t>Izglītojamo skaita palielināšana profesionālās izglītības programmās</w:t>
      </w:r>
      <w:r w:rsidR="00750CFB" w:rsidRPr="00861CE2">
        <w:t>, it īpaši</w:t>
      </w:r>
      <w:r>
        <w:t xml:space="preserve"> tajās profesionālās izglītības programmās, kas atbilst</w:t>
      </w:r>
      <w:r w:rsidR="00750CFB" w:rsidRPr="00861CE2">
        <w:t xml:space="preserve"> būvniecības, mehānikas un metālapstrādes, mašīnbūves, kokapstrādes un poligrāfijas izstrādājumu izgatavošanas, kā arī transporta pakalpojumu </w:t>
      </w:r>
      <w:r>
        <w:t>nozarēm</w:t>
      </w:r>
      <w:r w:rsidR="00750CFB" w:rsidRPr="00861CE2">
        <w:t>;  </w:t>
      </w:r>
    </w:p>
    <w:p w14:paraId="16CEBFB5" w14:textId="768BAED5" w:rsidR="00750CFB" w:rsidRPr="00861CE2" w:rsidRDefault="00750CFB" w:rsidP="005E5E57">
      <w:pPr>
        <w:numPr>
          <w:ilvl w:val="0"/>
          <w:numId w:val="22"/>
        </w:numPr>
        <w:spacing w:after="120" w:line="259" w:lineRule="auto"/>
        <w:jc w:val="both"/>
      </w:pPr>
      <w:r w:rsidRPr="00861CE2">
        <w:t>turpināt darbu pie modulārās pieejas izglītības programmu īstenošanas</w:t>
      </w:r>
      <w:r w:rsidR="003D731C">
        <w:t>;</w:t>
      </w:r>
    </w:p>
    <w:p w14:paraId="149D4944" w14:textId="729C59FB" w:rsidR="00750CFB" w:rsidRPr="00861CE2" w:rsidRDefault="0030224A" w:rsidP="005E5E57">
      <w:pPr>
        <w:numPr>
          <w:ilvl w:val="0"/>
          <w:numId w:val="23"/>
        </w:numPr>
        <w:spacing w:after="120" w:line="259" w:lineRule="auto"/>
        <w:jc w:val="both"/>
      </w:pPr>
      <w:r>
        <w:t>p</w:t>
      </w:r>
      <w:r w:rsidR="008975C7">
        <w:t>aaugstināt izglītojamo skaitu, kas prasmes un kompetences apgūst DVB mācībās;</w:t>
      </w:r>
    </w:p>
    <w:p w14:paraId="71106641" w14:textId="70143E4C" w:rsidR="00750CFB" w:rsidRPr="00861CE2" w:rsidRDefault="00750CFB" w:rsidP="005E5E57">
      <w:pPr>
        <w:numPr>
          <w:ilvl w:val="0"/>
          <w:numId w:val="24"/>
        </w:numPr>
        <w:spacing w:after="120" w:line="259" w:lineRule="auto"/>
        <w:jc w:val="both"/>
      </w:pPr>
      <w:r w:rsidRPr="00861CE2">
        <w:t xml:space="preserve">profesionālo izglītības iestāžu absolventu tālāku studiju vecināšana augstākajā izglītībā – jāstiprina sinerģija starp profesionālās vidējās izglītības programmām un </w:t>
      </w:r>
      <w:r w:rsidR="00E95632">
        <w:t>pirmā cikla</w:t>
      </w:r>
      <w:r w:rsidRPr="00861CE2">
        <w:t xml:space="preserve"> profesionālās augstākās izglītības studiju programmām koledžās, kā arī starp koledžu studiju programmām un atbilstošām bakalaura studiju programmām augstskolās; </w:t>
      </w:r>
    </w:p>
    <w:p w14:paraId="1D2FC06E" w14:textId="77777777" w:rsidR="00750CFB" w:rsidRPr="00861CE2" w:rsidRDefault="00750CFB" w:rsidP="005E5E57">
      <w:pPr>
        <w:numPr>
          <w:ilvl w:val="0"/>
          <w:numId w:val="25"/>
        </w:numPr>
        <w:spacing w:after="120" w:line="259" w:lineRule="auto"/>
        <w:jc w:val="both"/>
      </w:pPr>
      <w:r w:rsidRPr="00861CE2">
        <w:t>pieaugušo izglītības piedāvājuma paplašināšana profesionālajā izglītībā, koncentrējoties uz pieaugušo izglītības piedāvājuma paplašināšanu iedzīvotājiem ar vispārējo vidējo izglītību un pamatizglītību, nodrošinot tiem profesionālās kvalifikācijas iegūšanu; </w:t>
      </w:r>
    </w:p>
    <w:p w14:paraId="4BF5F654" w14:textId="77777777" w:rsidR="00750CFB" w:rsidRPr="00861CE2" w:rsidRDefault="00750CFB" w:rsidP="005E5E57">
      <w:pPr>
        <w:numPr>
          <w:ilvl w:val="0"/>
          <w:numId w:val="26"/>
        </w:numPr>
        <w:spacing w:after="120" w:line="259" w:lineRule="auto"/>
        <w:jc w:val="both"/>
      </w:pPr>
      <w:r w:rsidRPr="00861CE2">
        <w:t>NEP kapacitātes stiprināšana, tostarp sastāva un funkciju pārskatīšana, t.sk. izveidot līdzfinansēšanas instrumentu vidēja termiņa nozares ekspertu padomju finansēšanai; </w:t>
      </w:r>
    </w:p>
    <w:p w14:paraId="35F7E176" w14:textId="77777777" w:rsidR="00750CFB" w:rsidRPr="00861CE2" w:rsidRDefault="00750CFB" w:rsidP="005E5E57">
      <w:pPr>
        <w:numPr>
          <w:ilvl w:val="0"/>
          <w:numId w:val="27"/>
        </w:numPr>
        <w:spacing w:after="120" w:line="259" w:lineRule="auto"/>
        <w:jc w:val="both"/>
      </w:pPr>
      <w:r w:rsidRPr="00861CE2">
        <w:t>profesionālās izglītības iestāžu konventu paplašināšana – reģionālā līmeņa pārstāvības nodrošināšana. </w:t>
      </w:r>
    </w:p>
    <w:p w14:paraId="019149C2" w14:textId="77777777" w:rsidR="00750CFB" w:rsidRPr="00861CE2" w:rsidRDefault="00750CFB" w:rsidP="005E5E57">
      <w:pPr>
        <w:spacing w:after="120"/>
        <w:jc w:val="both"/>
      </w:pPr>
      <w:r w:rsidRPr="00861CE2">
        <w:t> </w:t>
      </w:r>
    </w:p>
    <w:p w14:paraId="3DC73B71" w14:textId="79560BD4" w:rsidR="00750CFB" w:rsidRPr="00861CE2" w:rsidRDefault="00750CFB" w:rsidP="005E5E57">
      <w:pPr>
        <w:numPr>
          <w:ilvl w:val="0"/>
          <w:numId w:val="28"/>
        </w:numPr>
        <w:spacing w:after="120" w:line="259" w:lineRule="auto"/>
        <w:jc w:val="both"/>
      </w:pPr>
      <w:r w:rsidRPr="00861CE2">
        <w:rPr>
          <w:b/>
        </w:rPr>
        <w:t xml:space="preserve">Darbaspēka ar zemu </w:t>
      </w:r>
      <w:r w:rsidR="002F0F6C" w:rsidRPr="00861CE2">
        <w:rPr>
          <w:b/>
        </w:rPr>
        <w:t>izglītīb</w:t>
      </w:r>
      <w:r w:rsidR="002F0F6C">
        <w:rPr>
          <w:b/>
        </w:rPr>
        <w:t>as līmeni</w:t>
      </w:r>
      <w:r w:rsidR="002F0F6C" w:rsidRPr="00861CE2">
        <w:rPr>
          <w:b/>
        </w:rPr>
        <w:t xml:space="preserve"> </w:t>
      </w:r>
      <w:r w:rsidRPr="00861CE2">
        <w:rPr>
          <w:b/>
        </w:rPr>
        <w:t>īpatsvara mazināšana:</w:t>
      </w:r>
      <w:r w:rsidRPr="00861CE2">
        <w:t> </w:t>
      </w:r>
    </w:p>
    <w:p w14:paraId="1F403F16" w14:textId="2D82359C" w:rsidR="00750CFB" w:rsidRPr="00861CE2" w:rsidRDefault="00750CFB" w:rsidP="005E5E57">
      <w:pPr>
        <w:numPr>
          <w:ilvl w:val="0"/>
          <w:numId w:val="29"/>
        </w:numPr>
        <w:spacing w:after="120" w:line="259" w:lineRule="auto"/>
        <w:jc w:val="both"/>
      </w:pPr>
      <w:r w:rsidRPr="00861CE2">
        <w:t xml:space="preserve">jauniešu, kas nonāk darba tirgū bez konkrētas </w:t>
      </w:r>
      <w:r w:rsidR="00E95632">
        <w:t>profesionālās kvalifikācijas</w:t>
      </w:r>
      <w:r w:rsidR="00E95632" w:rsidRPr="00861CE2">
        <w:t xml:space="preserve"> </w:t>
      </w:r>
      <w:r w:rsidRPr="00861CE2">
        <w:t>un prasmēm</w:t>
      </w:r>
      <w:r w:rsidR="005C4726" w:rsidRPr="00861CE2">
        <w:t>,</w:t>
      </w:r>
      <w:r w:rsidR="008E31E2" w:rsidRPr="00861CE2">
        <w:t xml:space="preserve"> </w:t>
      </w:r>
      <w:r w:rsidR="00A7132E" w:rsidRPr="00861CE2">
        <w:t>skaita</w:t>
      </w:r>
      <w:r w:rsidR="005C4726" w:rsidRPr="00861CE2">
        <w:t xml:space="preserve"> samazināšana</w:t>
      </w:r>
      <w:r w:rsidR="005935A2">
        <w:t xml:space="preserve">, </w:t>
      </w:r>
      <w:r w:rsidR="002F0F6C">
        <w:t>tostarp</w:t>
      </w:r>
      <w:r w:rsidR="005935A2">
        <w:t xml:space="preserve"> </w:t>
      </w:r>
      <w:r w:rsidRPr="00861CE2">
        <w:t xml:space="preserve"> izglītojamo</w:t>
      </w:r>
      <w:r w:rsidR="008E31E2" w:rsidRPr="00861CE2">
        <w:t xml:space="preserve">, </w:t>
      </w:r>
      <w:r w:rsidRPr="00861CE2">
        <w:t xml:space="preserve">kas priekšlaicīgi pārtrauc </w:t>
      </w:r>
      <w:r w:rsidR="005935A2">
        <w:t xml:space="preserve">mācības visos izglītības posmos </w:t>
      </w:r>
      <w:r w:rsidRPr="00861CE2">
        <w:t>vai neturpina mācības pēc pamatizglītības un vispārējās vidējās izglītības</w:t>
      </w:r>
      <w:r w:rsidR="005935A2">
        <w:t xml:space="preserve"> iegūšanas</w:t>
      </w:r>
      <w:r w:rsidR="005E5D04">
        <w:t xml:space="preserve"> skaita samazināšana</w:t>
      </w:r>
      <w:r w:rsidRPr="00861CE2">
        <w:t>; </w:t>
      </w:r>
    </w:p>
    <w:p w14:paraId="7EC0F68C" w14:textId="77777777" w:rsidR="00750CFB" w:rsidRPr="00861CE2" w:rsidRDefault="00750CFB" w:rsidP="005E5E57">
      <w:pPr>
        <w:numPr>
          <w:ilvl w:val="0"/>
          <w:numId w:val="30"/>
        </w:numPr>
        <w:spacing w:after="120" w:line="259" w:lineRule="auto"/>
        <w:jc w:val="both"/>
      </w:pPr>
      <w:r w:rsidRPr="00861CE2">
        <w:t>mērķēti pieaugušo izglītības pasākumi iedzīvotājiem ar vispārējo vidējo izglītību, pamatizglītību un izglītību zemāku par pamatizglītību, neatkarīgi no to ekonomiskās aktivitātes statusa; </w:t>
      </w:r>
    </w:p>
    <w:p w14:paraId="4BBF449B" w14:textId="227AE4F4" w:rsidR="00750CFB" w:rsidRDefault="00750CFB" w:rsidP="005E5E57">
      <w:pPr>
        <w:numPr>
          <w:ilvl w:val="0"/>
          <w:numId w:val="31"/>
        </w:numPr>
        <w:spacing w:after="120" w:line="259" w:lineRule="auto"/>
        <w:jc w:val="both"/>
      </w:pPr>
      <w:r w:rsidRPr="00861CE2">
        <w:t xml:space="preserve">motivācijas paaugstināšanas pasākumi </w:t>
      </w:r>
      <w:r w:rsidR="000B23D7" w:rsidRPr="00861CE2">
        <w:t xml:space="preserve">cilvēkiem </w:t>
      </w:r>
      <w:r w:rsidRPr="00861CE2">
        <w:t>ar zemu izglītību darbaspēka iesaistes palielināšanai izglītības procesā, dalības šķēršļu mazināšana – saglabāt un paplašināt esošo atbalstu mazkvalificēto dalībai izglītībā, piemēram, stipendijas, mobilitātes pabalsti, apgādībā esošu ģimenes locekļu pieskatīšanas pakalpojumi; </w:t>
      </w:r>
    </w:p>
    <w:p w14:paraId="0D28DB55" w14:textId="7302C78C" w:rsidR="00F7372B" w:rsidRDefault="00750CFB" w:rsidP="005E5E57">
      <w:pPr>
        <w:numPr>
          <w:ilvl w:val="0"/>
          <w:numId w:val="32"/>
        </w:numPr>
        <w:spacing w:after="120" w:line="259" w:lineRule="auto"/>
        <w:jc w:val="both"/>
      </w:pPr>
      <w:r w:rsidRPr="00861CE2">
        <w:lastRenderedPageBreak/>
        <w:t>nodarbinātības konsultāciju pieejamības paplašināšana iedzīvotājiem ar vidējo vispārējo izglītību, pamatizglītību un izglītību zemāku par pamatizglītību, t.sk. mērķa grupu uzrunāšana, kas nav reģistrējušies NVA</w:t>
      </w:r>
      <w:r w:rsidR="0075524A">
        <w:t>;</w:t>
      </w:r>
    </w:p>
    <w:p w14:paraId="03B7CFF2" w14:textId="6C882DF3" w:rsidR="00750CFB" w:rsidRDefault="00F7372B" w:rsidP="005E5E57">
      <w:pPr>
        <w:numPr>
          <w:ilvl w:val="0"/>
          <w:numId w:val="32"/>
        </w:numPr>
        <w:spacing w:after="120" w:line="259" w:lineRule="auto"/>
        <w:jc w:val="both"/>
      </w:pPr>
      <w:r>
        <w:t xml:space="preserve">darba devēju/nozaru </w:t>
      </w:r>
      <w:r w:rsidR="003D5D26">
        <w:t xml:space="preserve">plašāka </w:t>
      </w:r>
      <w:r>
        <w:t xml:space="preserve">iesaiste nodarbināto kvalifikācijas paaugstināšanas </w:t>
      </w:r>
      <w:r w:rsidR="003D5D26">
        <w:t>pasākumos, piemēram, plašāka mācību atbalsta instrumentu uzņēmumos, atbalsts mācībām darba laikā u.c.</w:t>
      </w:r>
    </w:p>
    <w:p w14:paraId="3F57B53E" w14:textId="22D0F001" w:rsidR="007A7F6C" w:rsidRDefault="007A7F6C" w:rsidP="007A7F6C">
      <w:pPr>
        <w:spacing w:after="120" w:line="259" w:lineRule="auto"/>
        <w:ind w:left="720"/>
        <w:jc w:val="both"/>
      </w:pPr>
    </w:p>
    <w:p w14:paraId="3DB11E07" w14:textId="77777777" w:rsidR="00750CFB" w:rsidRPr="00861CE2" w:rsidRDefault="00750CFB" w:rsidP="005E5E57">
      <w:pPr>
        <w:numPr>
          <w:ilvl w:val="0"/>
          <w:numId w:val="33"/>
        </w:numPr>
        <w:spacing w:after="120" w:line="259" w:lineRule="auto"/>
        <w:jc w:val="both"/>
      </w:pPr>
      <w:r w:rsidRPr="00861CE2">
        <w:rPr>
          <w:b/>
        </w:rPr>
        <w:t>Horizontālie pasākumi darbaspēka iztrūkuma mazināšanai</w:t>
      </w:r>
      <w:r w:rsidRPr="00861CE2">
        <w:t> </w:t>
      </w:r>
    </w:p>
    <w:p w14:paraId="4ED9C557" w14:textId="774F5B70" w:rsidR="00750CFB" w:rsidRPr="00861CE2" w:rsidRDefault="00750CFB" w:rsidP="005E5E57">
      <w:pPr>
        <w:numPr>
          <w:ilvl w:val="0"/>
          <w:numId w:val="34"/>
        </w:numPr>
        <w:spacing w:after="120" w:line="259" w:lineRule="auto"/>
        <w:jc w:val="both"/>
      </w:pPr>
      <w:r w:rsidRPr="00861CE2">
        <w:rPr>
          <w:b/>
          <w:i/>
        </w:rPr>
        <w:t>Izglītības sistēmas kapacitātes stiprināšana</w:t>
      </w:r>
      <w:r w:rsidRPr="00861CE2">
        <w:t> </w:t>
      </w:r>
    </w:p>
    <w:p w14:paraId="1374696F" w14:textId="5C169ACD" w:rsidR="00750CFB" w:rsidRPr="00861CE2" w:rsidRDefault="008E31E2" w:rsidP="005E5E57">
      <w:pPr>
        <w:numPr>
          <w:ilvl w:val="0"/>
          <w:numId w:val="35"/>
        </w:numPr>
        <w:spacing w:after="120" w:line="259" w:lineRule="auto"/>
        <w:jc w:val="both"/>
      </w:pPr>
      <w:r w:rsidRPr="00861CE2">
        <w:t>turpināt pedagogu atalgojuma sistēm</w:t>
      </w:r>
      <w:r w:rsidR="00BB1B9E" w:rsidRPr="00861CE2">
        <w:t>as attīstību</w:t>
      </w:r>
      <w:r w:rsidRPr="00861CE2">
        <w:t>,</w:t>
      </w:r>
      <w:r w:rsidR="00BB1B9E" w:rsidRPr="00861CE2">
        <w:t xml:space="preserve"> lai nodrošinātu atalgojuma konkurētspēju un profesijas prestižu darba tirgū</w:t>
      </w:r>
      <w:r w:rsidRPr="00861CE2">
        <w:t>; </w:t>
      </w:r>
    </w:p>
    <w:p w14:paraId="73FD7E18" w14:textId="77777777" w:rsidR="00750CFB" w:rsidRPr="00861CE2" w:rsidRDefault="00750CFB" w:rsidP="005E5E57">
      <w:pPr>
        <w:numPr>
          <w:ilvl w:val="0"/>
          <w:numId w:val="36"/>
        </w:numPr>
        <w:spacing w:after="120" w:line="259" w:lineRule="auto"/>
        <w:jc w:val="both"/>
      </w:pPr>
      <w:r w:rsidRPr="00861CE2">
        <w:t>nodrošinot pilnvērtīgu finansējumu izglītības iestāžu atbalsta personālam (karjeras konsultantiem, skolas psihologiem u.c.); </w:t>
      </w:r>
    </w:p>
    <w:p w14:paraId="5EDB5674" w14:textId="5F6A5FD5" w:rsidR="00750CFB" w:rsidRPr="00861CE2" w:rsidRDefault="00750CFB" w:rsidP="005E5E57">
      <w:pPr>
        <w:numPr>
          <w:ilvl w:val="0"/>
          <w:numId w:val="37"/>
        </w:numPr>
        <w:spacing w:after="120" w:line="259" w:lineRule="auto"/>
        <w:jc w:val="both"/>
      </w:pPr>
      <w:r w:rsidRPr="00861CE2">
        <w:t xml:space="preserve">turpināt nostiprināt izglītības kvalitāti visos izglītības sistēmas posmos, t.sk. mazinot izglītības kvalitātes plaisu starp reģioniem un </w:t>
      </w:r>
      <w:proofErr w:type="spellStart"/>
      <w:r w:rsidR="00BB1B9E" w:rsidRPr="00861CE2">
        <w:t>valstspilsētām</w:t>
      </w:r>
      <w:proofErr w:type="spellEnd"/>
      <w:r w:rsidR="009D77C7">
        <w:rPr>
          <w:rStyle w:val="FootnoteReference"/>
        </w:rPr>
        <w:footnoteReference w:id="23"/>
      </w:r>
      <w:r w:rsidRPr="00861CE2">
        <w:t>;</w:t>
      </w:r>
    </w:p>
    <w:p w14:paraId="062B5245" w14:textId="21051780" w:rsidR="00750CFB" w:rsidRDefault="00750CFB" w:rsidP="005E5E57">
      <w:pPr>
        <w:numPr>
          <w:ilvl w:val="0"/>
          <w:numId w:val="37"/>
        </w:numPr>
        <w:spacing w:after="120" w:line="259" w:lineRule="auto"/>
        <w:jc w:val="both"/>
      </w:pPr>
      <w:r w:rsidRPr="00861CE2">
        <w:t xml:space="preserve">salāgot maksimāli uzņemamo audzēkņu skaitu profesionālās izglītības iestādēs ar vietām dienesta viesnīcās, nepieciešamības gadījumā </w:t>
      </w:r>
      <w:r w:rsidR="006F3773" w:rsidRPr="00861CE2">
        <w:t>izskatot alternatīvus atbalstus izmitināšanas pakalpojumiem vai</w:t>
      </w:r>
      <w:r w:rsidRPr="00861CE2">
        <w:t xml:space="preserve"> nodrošinot </w:t>
      </w:r>
      <w:r w:rsidR="006F3773" w:rsidRPr="00861CE2">
        <w:t xml:space="preserve">papildus </w:t>
      </w:r>
      <w:r w:rsidRPr="00861CE2">
        <w:t>vietas dienesta viesnīcās.</w:t>
      </w:r>
    </w:p>
    <w:p w14:paraId="488DD665" w14:textId="37E7E6D1" w:rsidR="00B566DE" w:rsidRPr="00861CE2" w:rsidRDefault="005D0464" w:rsidP="007A7F6C">
      <w:pPr>
        <w:numPr>
          <w:ilvl w:val="0"/>
          <w:numId w:val="37"/>
        </w:numPr>
        <w:spacing w:after="120" w:line="259" w:lineRule="auto"/>
        <w:jc w:val="both"/>
      </w:pPr>
      <w:r>
        <w:t>n</w:t>
      </w:r>
      <w:r w:rsidR="00331F30">
        <w:t>odrošināt atbilstošu finansējumu saskaņā ar aktuālajiem izdevumiem</w:t>
      </w:r>
      <w:r w:rsidR="00331F30" w:rsidRPr="00A10567">
        <w:t xml:space="preserve"> </w:t>
      </w:r>
      <w:r w:rsidR="00331F30">
        <w:t>profesionālās izglītības programmu īstenošanai un valsts finansēto vietu skaita palielināšanai mērķa 50:50 proporcijas sasniegšanai</w:t>
      </w:r>
      <w:r w:rsidR="00A10567">
        <w:t>.</w:t>
      </w:r>
    </w:p>
    <w:p w14:paraId="46FFE314" w14:textId="77777777" w:rsidR="00750CFB" w:rsidRPr="00861CE2" w:rsidRDefault="00750CFB" w:rsidP="005E5E57">
      <w:pPr>
        <w:numPr>
          <w:ilvl w:val="0"/>
          <w:numId w:val="38"/>
        </w:numPr>
        <w:spacing w:after="120" w:line="259" w:lineRule="auto"/>
        <w:jc w:val="both"/>
      </w:pPr>
      <w:r w:rsidRPr="00861CE2">
        <w:rPr>
          <w:b/>
          <w:i/>
        </w:rPr>
        <w:t>Demogrāfijas tendenču negatīvās ietekmes mazināšana uz darbaspēka piedāvājumu</w:t>
      </w:r>
      <w:r w:rsidRPr="00861CE2">
        <w:t> </w:t>
      </w:r>
    </w:p>
    <w:p w14:paraId="61B75114" w14:textId="6CFF0876" w:rsidR="00750CFB" w:rsidRPr="00861CE2" w:rsidRDefault="00750CFB" w:rsidP="005E5E57">
      <w:pPr>
        <w:numPr>
          <w:ilvl w:val="0"/>
          <w:numId w:val="39"/>
        </w:numPr>
        <w:spacing w:after="120" w:line="259" w:lineRule="auto"/>
        <w:jc w:val="both"/>
      </w:pPr>
      <w:r w:rsidRPr="00861CE2">
        <w:t>iedzīvotāju ataudzes veicināšana – valsts atbalsts 2 un vairāk bērnu ģimenēm (ģimenes valsts pabalsta palielināšana, atbalsts publisko pakalpojumu pieejamībai); </w:t>
      </w:r>
    </w:p>
    <w:p w14:paraId="50AE4BCC" w14:textId="77777777" w:rsidR="00750CFB" w:rsidRPr="00861CE2" w:rsidRDefault="00750CFB" w:rsidP="005E5E57">
      <w:pPr>
        <w:numPr>
          <w:ilvl w:val="0"/>
          <w:numId w:val="40"/>
        </w:numPr>
        <w:spacing w:after="120" w:line="259" w:lineRule="auto"/>
        <w:jc w:val="both"/>
      </w:pPr>
      <w:proofErr w:type="spellStart"/>
      <w:r w:rsidRPr="00861CE2">
        <w:t>remigrācijas</w:t>
      </w:r>
      <w:proofErr w:type="spellEnd"/>
      <w:r w:rsidRPr="00861CE2">
        <w:t xml:space="preserve"> atbalsta pasākumi – uzturēt reģionālo </w:t>
      </w:r>
      <w:proofErr w:type="spellStart"/>
      <w:r w:rsidRPr="00861CE2">
        <w:t>remigrācijas</w:t>
      </w:r>
      <w:proofErr w:type="spellEnd"/>
      <w:r w:rsidRPr="00861CE2">
        <w:t xml:space="preserve"> koordinatoru tīklu, kas sniedz informāciju un palīdz atgriezties Latvijā emigrējušajām ģimenēm; </w:t>
      </w:r>
    </w:p>
    <w:p w14:paraId="499EC1A7" w14:textId="77777777" w:rsidR="00750CFB" w:rsidRPr="00861CE2" w:rsidRDefault="00750CFB" w:rsidP="005E5E57">
      <w:pPr>
        <w:numPr>
          <w:ilvl w:val="0"/>
          <w:numId w:val="41"/>
        </w:numPr>
        <w:spacing w:after="120" w:line="259" w:lineRule="auto"/>
        <w:jc w:val="both"/>
      </w:pPr>
      <w:r w:rsidRPr="00861CE2">
        <w:t>pasākumi iedzīvotāju ekonomiskās aktivitātes celšanai – atbalsts iedzīvotājiem ar vispārējo vidējo izglītību, pamatizglītību vai zemāku izglītības līmeni, kas nav reģistrēti NVA, bezdarbnieku apmācības pie darba devēja, reģionālas mobilitātes atbalsts; </w:t>
      </w:r>
    </w:p>
    <w:p w14:paraId="6A77F6C3" w14:textId="77777777" w:rsidR="00750CFB" w:rsidRPr="00861CE2" w:rsidRDefault="00750CFB" w:rsidP="005E5E57">
      <w:pPr>
        <w:numPr>
          <w:ilvl w:val="0"/>
          <w:numId w:val="42"/>
        </w:numPr>
        <w:spacing w:after="120" w:line="259" w:lineRule="auto"/>
        <w:jc w:val="both"/>
      </w:pPr>
      <w:r w:rsidRPr="00861CE2">
        <w:t>mērķēti pasākumi ātrai bēgļu integrācijai Latvijas darba tirgū un iesaistei nodarbinātībā – vienas pieturas kontaktpunkta noteikšana; </w:t>
      </w:r>
    </w:p>
    <w:p w14:paraId="1742818A" w14:textId="77777777" w:rsidR="00750CFB" w:rsidRPr="00861CE2" w:rsidRDefault="00750CFB" w:rsidP="005E5E57">
      <w:pPr>
        <w:numPr>
          <w:ilvl w:val="0"/>
          <w:numId w:val="42"/>
        </w:numPr>
        <w:spacing w:after="120" w:line="259" w:lineRule="auto"/>
        <w:jc w:val="both"/>
      </w:pPr>
      <w:r w:rsidRPr="00861CE2">
        <w:t>stimulējošu atbalsta mehānismu izstrāde senioru (pensijas vecumā) iekļaušanās darba tirgū atbalstam;</w:t>
      </w:r>
    </w:p>
    <w:p w14:paraId="6D7057C8" w14:textId="77777777" w:rsidR="00750CFB" w:rsidRPr="00861CE2" w:rsidRDefault="00750CFB" w:rsidP="005E5E57">
      <w:pPr>
        <w:numPr>
          <w:ilvl w:val="0"/>
          <w:numId w:val="42"/>
        </w:numPr>
        <w:spacing w:after="120" w:line="259" w:lineRule="auto"/>
        <w:jc w:val="both"/>
      </w:pPr>
      <w:r w:rsidRPr="00861CE2">
        <w:t>izdienas pensiju sistēmas pārskatīšana, tostarp izvērtējot izdienas pensiju kategorijas un pamatotību, izlīdzsvarojot aktīvās darba dzīves periodu ar iespējām palikt darba tirgū ilgāk;</w:t>
      </w:r>
    </w:p>
    <w:p w14:paraId="09E48CE5" w14:textId="56C98552" w:rsidR="00750CFB" w:rsidRPr="00861CE2" w:rsidRDefault="00750CFB" w:rsidP="005E5E57">
      <w:pPr>
        <w:numPr>
          <w:ilvl w:val="0"/>
          <w:numId w:val="42"/>
        </w:numPr>
        <w:spacing w:after="120" w:line="259" w:lineRule="auto"/>
        <w:jc w:val="both"/>
      </w:pPr>
      <w:r w:rsidRPr="00861CE2">
        <w:t>vienkāršotas darbaspēka piesaistes procedūras investīciju un eksportējošiem uzņēmumiem ārvalstu darbaspēka piesaistei izstrāde – samazinot administratīvo slogu un paātrinot administratīvos saskaņošanas procesus. Tomēr norādām, ka ārvalstu darbaspēka piesaiste ir tikai īstermiņa risinājums tiem komersantiem, kuri Latvijā nerod savām vajadzībām atbilstošu darbaspēku;</w:t>
      </w:r>
    </w:p>
    <w:p w14:paraId="1FFDDCC6" w14:textId="77777777" w:rsidR="00750CFB" w:rsidRPr="00861CE2" w:rsidRDefault="00750CFB" w:rsidP="005E5E57">
      <w:pPr>
        <w:numPr>
          <w:ilvl w:val="0"/>
          <w:numId w:val="42"/>
        </w:numPr>
        <w:spacing w:after="120" w:line="259" w:lineRule="auto"/>
        <w:jc w:val="both"/>
      </w:pPr>
      <w:r w:rsidRPr="00861CE2">
        <w:t xml:space="preserve">mērķēti pasākumi personu ar </w:t>
      </w:r>
      <w:proofErr w:type="spellStart"/>
      <w:r w:rsidRPr="00861CE2">
        <w:t>kredītparādu</w:t>
      </w:r>
      <w:proofErr w:type="spellEnd"/>
      <w:r w:rsidRPr="00861CE2">
        <w:t xml:space="preserve"> saistībām iesaistei legālajā nodarbinātībā, tādējādi veicinot šo personu oficiālu nodarbinātību;</w:t>
      </w:r>
    </w:p>
    <w:p w14:paraId="690B5884" w14:textId="122167C2" w:rsidR="00750CFB" w:rsidRPr="00861CE2" w:rsidRDefault="00750CFB" w:rsidP="005E5E57">
      <w:pPr>
        <w:numPr>
          <w:ilvl w:val="0"/>
          <w:numId w:val="42"/>
        </w:numPr>
        <w:spacing w:after="120" w:line="259" w:lineRule="auto"/>
        <w:jc w:val="both"/>
      </w:pPr>
      <w:r w:rsidRPr="00861CE2">
        <w:t>mērķēti pasākumi, lai veicinātu Latvijā studējošu ārvalstu studentu oficiālu nodarbinātību un ilgtspējīgu integrāciju darba tirgū</w:t>
      </w:r>
      <w:r w:rsidR="00881C7C" w:rsidRPr="00861CE2">
        <w:t>, atbilstoši studiju jomai</w:t>
      </w:r>
      <w:r w:rsidRPr="00861CE2">
        <w:t>;</w:t>
      </w:r>
    </w:p>
    <w:p w14:paraId="67CD1E88" w14:textId="0D8B99B5" w:rsidR="007A7F6C" w:rsidRPr="00861CE2" w:rsidRDefault="00750CFB" w:rsidP="007A7F6C">
      <w:pPr>
        <w:numPr>
          <w:ilvl w:val="0"/>
          <w:numId w:val="43"/>
        </w:numPr>
        <w:spacing w:after="120" w:line="259" w:lineRule="auto"/>
        <w:jc w:val="both"/>
      </w:pPr>
      <w:r w:rsidRPr="00861CE2">
        <w:lastRenderedPageBreak/>
        <w:t>viedā darbaspēka migrācija – atvieglota augsti kvalificētu speciālistu piesaiste jomās, kur vērojams vietējā darbaspēka un atbilstošo prasmju iztrūkums. </w:t>
      </w:r>
    </w:p>
    <w:p w14:paraId="5318EC65" w14:textId="77777777" w:rsidR="00750CFB" w:rsidRPr="00861CE2" w:rsidRDefault="00750CFB" w:rsidP="005E5E57">
      <w:pPr>
        <w:numPr>
          <w:ilvl w:val="0"/>
          <w:numId w:val="44"/>
        </w:numPr>
        <w:spacing w:after="120" w:line="259" w:lineRule="auto"/>
        <w:jc w:val="both"/>
      </w:pPr>
      <w:r w:rsidRPr="00861CE2">
        <w:rPr>
          <w:b/>
          <w:i/>
        </w:rPr>
        <w:t>Darba tirgus reģionālo atšķirību mazināšana</w:t>
      </w:r>
      <w:r w:rsidRPr="00861CE2">
        <w:t> </w:t>
      </w:r>
    </w:p>
    <w:p w14:paraId="7E31C81D" w14:textId="77777777" w:rsidR="00750CFB" w:rsidRPr="00861CE2" w:rsidRDefault="00750CFB" w:rsidP="005E5E57">
      <w:pPr>
        <w:numPr>
          <w:ilvl w:val="0"/>
          <w:numId w:val="45"/>
        </w:numPr>
        <w:spacing w:after="120" w:line="259" w:lineRule="auto"/>
        <w:jc w:val="both"/>
      </w:pPr>
      <w:r w:rsidRPr="00861CE2">
        <w:t>mobilitātes atbalsts aktīvo nodarbinātības pasākumu ietvaros – transporta un īres kompensācijas bezdarbnieku mobilitātes veicināšanai; </w:t>
      </w:r>
    </w:p>
    <w:p w14:paraId="56D6F02D" w14:textId="022E3F93" w:rsidR="00750CFB" w:rsidRPr="00861CE2" w:rsidRDefault="00750CFB" w:rsidP="005E5E57">
      <w:pPr>
        <w:numPr>
          <w:ilvl w:val="0"/>
          <w:numId w:val="46"/>
        </w:numPr>
        <w:spacing w:after="120" w:line="259" w:lineRule="auto"/>
        <w:jc w:val="both"/>
      </w:pPr>
      <w:r w:rsidRPr="00861CE2">
        <w:t xml:space="preserve">investīciju un kohēzijas politikas </w:t>
      </w:r>
      <w:r w:rsidR="00881C7C" w:rsidRPr="00861CE2">
        <w:t>aktīvāka izmantošana</w:t>
      </w:r>
      <w:r w:rsidRPr="00861CE2">
        <w:t xml:space="preserve"> vājāk </w:t>
      </w:r>
      <w:r w:rsidR="008E31E2" w:rsidRPr="00861CE2">
        <w:t>attīstīt</w:t>
      </w:r>
      <w:r w:rsidR="00881C7C" w:rsidRPr="00861CE2">
        <w:t>ajos</w:t>
      </w:r>
      <w:r w:rsidR="008E31E2" w:rsidRPr="00861CE2">
        <w:t xml:space="preserve"> reģion</w:t>
      </w:r>
      <w:r w:rsidR="00881C7C" w:rsidRPr="00861CE2">
        <w:t>os</w:t>
      </w:r>
      <w:r w:rsidRPr="00861CE2">
        <w:t>, tādejādi veicinot darbavietu un nodarbinātības iespēju veidošanos teritorijās ar augstāku bezdarbu; </w:t>
      </w:r>
    </w:p>
    <w:p w14:paraId="0EC8E111" w14:textId="4B213A9F" w:rsidR="00750CFB" w:rsidRPr="00861CE2" w:rsidRDefault="00750CFB" w:rsidP="005E5E57">
      <w:pPr>
        <w:numPr>
          <w:ilvl w:val="0"/>
          <w:numId w:val="47"/>
        </w:numPr>
        <w:spacing w:after="120" w:line="259" w:lineRule="auto"/>
        <w:jc w:val="both"/>
      </w:pPr>
      <w:r w:rsidRPr="00861CE2">
        <w:t xml:space="preserve">darbaspēka pieejamības nodrošināšana teritorijās ar pieaugošu nodarbinātību – mājokļu garantiju programmas pilnveide, </w:t>
      </w:r>
      <w:r w:rsidR="00850657" w:rsidRPr="00861CE2">
        <w:t>a</w:t>
      </w:r>
      <w:r w:rsidR="008E31E2" w:rsidRPr="00861CE2">
        <w:t>tbalsta</w:t>
      </w:r>
      <w:r w:rsidRPr="00861CE2">
        <w:t xml:space="preserve"> programma īres namu būvniecībai </w:t>
      </w:r>
      <w:r w:rsidR="00850657" w:rsidRPr="00861CE2">
        <w:t>ekonomiskās aktivitātes centros</w:t>
      </w:r>
      <w:r w:rsidRPr="00861CE2">
        <w:t>. </w:t>
      </w:r>
    </w:p>
    <w:p w14:paraId="4B6F002C" w14:textId="77777777" w:rsidR="00750CFB" w:rsidRPr="00861CE2" w:rsidRDefault="00750CFB" w:rsidP="005E5E57">
      <w:pPr>
        <w:numPr>
          <w:ilvl w:val="0"/>
          <w:numId w:val="48"/>
        </w:numPr>
        <w:spacing w:after="120" w:line="259" w:lineRule="auto"/>
        <w:jc w:val="both"/>
      </w:pPr>
      <w:r w:rsidRPr="00861CE2">
        <w:rPr>
          <w:b/>
          <w:i/>
        </w:rPr>
        <w:t>Pieaugušo izglītības attīstība:</w:t>
      </w:r>
      <w:r w:rsidRPr="00861CE2">
        <w:t> </w:t>
      </w:r>
    </w:p>
    <w:p w14:paraId="7C667E42" w14:textId="77777777" w:rsidR="00750CFB" w:rsidRPr="00861CE2" w:rsidRDefault="00750CFB" w:rsidP="005E5E57">
      <w:pPr>
        <w:numPr>
          <w:ilvl w:val="0"/>
          <w:numId w:val="49"/>
        </w:numPr>
        <w:spacing w:after="120" w:line="259" w:lineRule="auto"/>
        <w:jc w:val="both"/>
      </w:pPr>
      <w:r w:rsidRPr="00861CE2">
        <w:t xml:space="preserve">elastīgas un uz indivīda un darba tirgus vajadzībām balstītas pieaugušo izglītības sistēmas izveide – nodrošināts atbalsts dažādām mērķa grupām, katras sasniegšanai un motivēšanai izmantojot atbilstošāku pieeju (individuālajās vajadzībās balstīta pieaugušo izglītība, karjeras atbalsta konsultācijas/ </w:t>
      </w:r>
      <w:proofErr w:type="spellStart"/>
      <w:r w:rsidRPr="00861CE2">
        <w:t>mentorings</w:t>
      </w:r>
      <w:proofErr w:type="spellEnd"/>
      <w:r w:rsidRPr="00861CE2">
        <w:t>, mācības pēc darba devēju un nozaru pieprasījuma); </w:t>
      </w:r>
    </w:p>
    <w:p w14:paraId="0306A7DC" w14:textId="1343B521" w:rsidR="00750CFB" w:rsidRPr="00861CE2" w:rsidRDefault="00975D1C" w:rsidP="005E5E57">
      <w:pPr>
        <w:numPr>
          <w:ilvl w:val="0"/>
          <w:numId w:val="50"/>
        </w:numPr>
        <w:spacing w:after="120" w:line="259" w:lineRule="auto"/>
        <w:jc w:val="both"/>
      </w:pPr>
      <w:r w:rsidRPr="00861CE2">
        <w:t xml:space="preserve">izskatīt iespēju </w:t>
      </w:r>
      <w:r w:rsidR="00750CFB" w:rsidRPr="00861CE2">
        <w:t xml:space="preserve">ilgtspējīga pieaugušo izglītības finansēšanas modeļa </w:t>
      </w:r>
      <w:r w:rsidR="008E31E2" w:rsidRPr="00861CE2">
        <w:t>izveide</w:t>
      </w:r>
      <w:r w:rsidRPr="00861CE2">
        <w:t>i</w:t>
      </w:r>
      <w:r w:rsidR="00750CFB" w:rsidRPr="00861CE2">
        <w:t>, t.sk. prasmju fonda izveide – pilotprojekta veidā izskatīt iespēju nozaru vajadzībām izveidot mācību fondu, kurā veic iemaksas arī darba devēji un, kas tālāk kalpotu trūkstošo speciālistu sagatavošanai; </w:t>
      </w:r>
    </w:p>
    <w:p w14:paraId="31625C65" w14:textId="793D3B7C" w:rsidR="00750CFB" w:rsidRPr="00861CE2" w:rsidRDefault="00750CFB" w:rsidP="005E5E57">
      <w:pPr>
        <w:numPr>
          <w:ilvl w:val="0"/>
          <w:numId w:val="51"/>
        </w:numPr>
        <w:spacing w:after="120" w:line="259" w:lineRule="auto"/>
        <w:jc w:val="both"/>
      </w:pPr>
      <w:r w:rsidRPr="00861CE2">
        <w:t>turpināt ieviest nepārtrauktu izglītošanās kultūru sabiedrībā</w:t>
      </w:r>
      <w:r w:rsidR="00F7372B">
        <w:t>, t.sk. uzņēmumos</w:t>
      </w:r>
      <w:r w:rsidRPr="00861CE2">
        <w:t xml:space="preserve">, tādejādi nodrošinot iedzīvotāju prasmju atjaunošanos, </w:t>
      </w:r>
      <w:proofErr w:type="spellStart"/>
      <w:r w:rsidRPr="00861CE2">
        <w:t>pārkvalifikāciju</w:t>
      </w:r>
      <w:proofErr w:type="spellEnd"/>
      <w:r w:rsidRPr="00861CE2">
        <w:t xml:space="preserve"> un attīstību atbilstoši aktuālajām darba tirgus vajadzībām;</w:t>
      </w:r>
    </w:p>
    <w:p w14:paraId="257F4E62" w14:textId="3A73D99D" w:rsidR="00750CFB" w:rsidRPr="00861CE2" w:rsidRDefault="00750CFB" w:rsidP="005E5E57">
      <w:pPr>
        <w:numPr>
          <w:ilvl w:val="0"/>
          <w:numId w:val="51"/>
        </w:numPr>
        <w:spacing w:after="120" w:line="259" w:lineRule="auto"/>
        <w:jc w:val="both"/>
      </w:pPr>
      <w:r w:rsidRPr="00861CE2">
        <w:t xml:space="preserve">nodrošināt iedzīvotājiem digitālo prasmju pilnveidošanu, kā arī iespēju uzņēmumiem saņemt atbalstu digitālo prasmju mācību veikšanai, jo īpaši par </w:t>
      </w:r>
      <w:proofErr w:type="spellStart"/>
      <w:r w:rsidRPr="00861CE2">
        <w:t>digitalizācijas</w:t>
      </w:r>
      <w:proofErr w:type="spellEnd"/>
      <w:r w:rsidRPr="00861CE2">
        <w:t xml:space="preserve"> un </w:t>
      </w:r>
      <w:r w:rsidR="00605184">
        <w:t>MI</w:t>
      </w:r>
      <w:r w:rsidRPr="00861CE2">
        <w:t xml:space="preserve"> risinājumiem</w:t>
      </w:r>
      <w:r w:rsidR="00975D1C" w:rsidRPr="00861CE2">
        <w:t>.</w:t>
      </w:r>
    </w:p>
    <w:p w14:paraId="78FCAAD7" w14:textId="6A5F7EC8" w:rsidR="00750CFB" w:rsidRPr="0030224A" w:rsidRDefault="00750CFB" w:rsidP="0064770E">
      <w:pPr>
        <w:spacing w:after="0"/>
        <w:rPr>
          <w:b/>
          <w:bCs/>
        </w:rPr>
      </w:pPr>
      <w:r w:rsidRPr="0030224A">
        <w:rPr>
          <w:b/>
          <w:bCs/>
        </w:rPr>
        <w:t>Vienlaikus, lai nodrošinātu ātrāku darbaspēka piedāvājuma pielāgošanos nākotnes darba tirgus vajadzībām, bez pasākumiem darbaspēka piedāvājuma uzlabošanai, būtiski ir stiprināt ražotāju konkurētspēju un veicināt tautsaimniecības pārstrukturizāciju no zemas uz vidēju un augstu tehnoloģiju nozarēm, kā arī veicināt ārvalstu investīciju piesaisti</w:t>
      </w:r>
      <w:r w:rsidR="0030224A" w:rsidRPr="0030224A">
        <w:rPr>
          <w:b/>
          <w:bCs/>
        </w:rPr>
        <w:t>.</w:t>
      </w:r>
    </w:p>
    <w:p w14:paraId="12C71030" w14:textId="77777777" w:rsidR="00F94B79" w:rsidRPr="00861CE2" w:rsidRDefault="00F94B79" w:rsidP="009D51A5">
      <w:pPr>
        <w:tabs>
          <w:tab w:val="right" w:pos="14742"/>
        </w:tabs>
        <w:spacing w:after="120"/>
        <w:rPr>
          <w:szCs w:val="24"/>
        </w:rPr>
      </w:pPr>
    </w:p>
    <w:p w14:paraId="79C4AADF" w14:textId="77777777" w:rsidR="00F94B79" w:rsidRPr="00861CE2" w:rsidRDefault="00F94B79" w:rsidP="009D51A5">
      <w:pPr>
        <w:tabs>
          <w:tab w:val="right" w:pos="14742"/>
        </w:tabs>
        <w:spacing w:after="120"/>
        <w:rPr>
          <w:szCs w:val="24"/>
        </w:rPr>
      </w:pPr>
    </w:p>
    <w:p w14:paraId="08DC1803" w14:textId="4E06A52B" w:rsidR="00F94B79" w:rsidRDefault="00F94B79" w:rsidP="009D51A5">
      <w:pPr>
        <w:tabs>
          <w:tab w:val="right" w:pos="14742"/>
        </w:tabs>
        <w:spacing w:after="120"/>
        <w:rPr>
          <w:szCs w:val="24"/>
        </w:rPr>
      </w:pPr>
      <w:r w:rsidRPr="001A053F">
        <w:rPr>
          <w:szCs w:val="24"/>
        </w:rPr>
        <w:t>Ekonomikas ministrs</w:t>
      </w:r>
      <w:r w:rsidRPr="001A053F">
        <w:rPr>
          <w:szCs w:val="24"/>
        </w:rPr>
        <w:tab/>
      </w:r>
      <w:proofErr w:type="spellStart"/>
      <w:r w:rsidR="007E2089" w:rsidRPr="001A053F">
        <w:rPr>
          <w:szCs w:val="24"/>
        </w:rPr>
        <w:t>V.Valainis</w:t>
      </w:r>
      <w:proofErr w:type="spellEnd"/>
    </w:p>
    <w:p w14:paraId="711E305B" w14:textId="77777777" w:rsidR="0064770E" w:rsidRDefault="0064770E" w:rsidP="009D51A5">
      <w:pPr>
        <w:tabs>
          <w:tab w:val="right" w:pos="14742"/>
        </w:tabs>
        <w:spacing w:after="120"/>
        <w:rPr>
          <w:szCs w:val="24"/>
        </w:rPr>
      </w:pPr>
    </w:p>
    <w:p w14:paraId="7E91ED3F" w14:textId="77777777" w:rsidR="00F94B79" w:rsidRDefault="00F94B79" w:rsidP="009D51A5">
      <w:pPr>
        <w:tabs>
          <w:tab w:val="right" w:pos="14742"/>
        </w:tabs>
        <w:spacing w:after="120"/>
        <w:rPr>
          <w:szCs w:val="24"/>
        </w:rPr>
      </w:pPr>
    </w:p>
    <w:p w14:paraId="51A72290" w14:textId="77777777" w:rsidR="0064770E" w:rsidRDefault="0064770E" w:rsidP="009D51A5">
      <w:pPr>
        <w:tabs>
          <w:tab w:val="right" w:pos="14742"/>
        </w:tabs>
        <w:spacing w:after="120"/>
        <w:rPr>
          <w:szCs w:val="24"/>
        </w:rPr>
      </w:pPr>
    </w:p>
    <w:p w14:paraId="73EE32CC" w14:textId="77777777" w:rsidR="0064770E" w:rsidRDefault="0064770E" w:rsidP="009D51A5">
      <w:pPr>
        <w:tabs>
          <w:tab w:val="right" w:pos="14742"/>
        </w:tabs>
        <w:spacing w:after="120"/>
        <w:rPr>
          <w:szCs w:val="24"/>
        </w:rPr>
      </w:pPr>
    </w:p>
    <w:p w14:paraId="21B8CD1A" w14:textId="77777777" w:rsidR="0064770E" w:rsidRDefault="0064770E" w:rsidP="009D51A5">
      <w:pPr>
        <w:tabs>
          <w:tab w:val="right" w:pos="14742"/>
        </w:tabs>
        <w:spacing w:after="120"/>
        <w:rPr>
          <w:szCs w:val="24"/>
        </w:rPr>
      </w:pPr>
    </w:p>
    <w:p w14:paraId="1C609685" w14:textId="77777777" w:rsidR="0064770E" w:rsidRDefault="0064770E" w:rsidP="009D51A5">
      <w:pPr>
        <w:tabs>
          <w:tab w:val="right" w:pos="14742"/>
        </w:tabs>
        <w:spacing w:after="120"/>
        <w:rPr>
          <w:szCs w:val="24"/>
        </w:rPr>
      </w:pPr>
    </w:p>
    <w:sectPr w:rsidR="0064770E" w:rsidSect="00044A89">
      <w:footerReference w:type="default" r:id="rId211"/>
      <w:footerReference w:type="first" r:id="rId212"/>
      <w:footnotePr>
        <w:numRestart w:val="eachPage"/>
      </w:footnotePr>
      <w:pgSz w:w="11906" w:h="16838" w:code="9"/>
      <w:pgMar w:top="1134" w:right="1134" w:bottom="1134" w:left="1701" w:header="567" w:footer="68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FF924" w14:textId="77777777" w:rsidR="00B83D7D" w:rsidRDefault="00B83D7D"/>
  </w:endnote>
  <w:endnote w:type="continuationSeparator" w:id="0">
    <w:p w14:paraId="0FAEC86F" w14:textId="77777777" w:rsidR="00B83D7D" w:rsidRDefault="00B83D7D" w:rsidP="00826C45">
      <w:pPr>
        <w:spacing w:after="0"/>
      </w:pPr>
      <w:r>
        <w:continuationSeparator/>
      </w:r>
    </w:p>
    <w:p w14:paraId="3F4BF70F" w14:textId="77777777" w:rsidR="00B83D7D" w:rsidRDefault="00B83D7D"/>
  </w:endnote>
  <w:endnote w:type="continuationNotice" w:id="1">
    <w:p w14:paraId="3B10F1AC" w14:textId="77777777" w:rsidR="00B83D7D" w:rsidRDefault="00B83D7D">
      <w:pPr>
        <w:spacing w:after="0"/>
      </w:pPr>
    </w:p>
  </w:endnote>
  <w:endnote w:id="2">
    <w:p w14:paraId="445C307C" w14:textId="6C8FB0C5" w:rsidR="00B83D7D" w:rsidRPr="0064770E" w:rsidRDefault="00B83D7D" w:rsidP="0064770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Narrow">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PF Square Sans Pro">
    <w:altName w:val="Arial"/>
    <w:panose1 w:val="00000000000000000000"/>
    <w:charset w:val="00"/>
    <w:family w:val="swiss"/>
    <w:notTrueType/>
    <w:pitch w:val="default"/>
    <w:sig w:usb0="00000003" w:usb1="00000000" w:usb2="00000000" w:usb3="00000000" w:csb0="00000001" w:csb1="00000000"/>
  </w:font>
  <w:font w:name="Segoe UI Light">
    <w:panose1 w:val="020B0502040204020203"/>
    <w:charset w:val="BA"/>
    <w:family w:val="swiss"/>
    <w:pitch w:val="variable"/>
    <w:sig w:usb0="E4002EFF" w:usb1="C000E47F" w:usb2="00000009" w:usb3="00000000" w:csb0="0000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Pro Cond Light">
    <w:charset w:val="00"/>
    <w:family w:val="swiss"/>
    <w:pitch w:val="variable"/>
    <w:sig w:usb0="80000287" w:usb1="0000004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Arial"/>
    <w:panose1 w:val="00000000000000000000"/>
    <w:charset w:val="00"/>
    <w:family w:val="roman"/>
    <w:notTrueType/>
    <w:pitch w:val="default"/>
  </w:font>
  <w:font w:name="Segoe UI Semibold">
    <w:panose1 w:val="020B07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Nova Cond">
    <w:charset w:val="00"/>
    <w:family w:val="swiss"/>
    <w:pitch w:val="variable"/>
    <w:sig w:usb0="0000028F" w:usb1="00000002"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Microsoft GothicNeo Light">
    <w:charset w:val="81"/>
    <w:family w:val="swiss"/>
    <w:pitch w:val="variable"/>
    <w:sig w:usb0="800002BF" w:usb1="29D7A47B" w:usb2="00000010" w:usb3="00000000" w:csb0="0029009F" w:csb1="00000000"/>
  </w:font>
  <w:font w:name="SimSun">
    <w:altName w:val="宋体"/>
    <w:panose1 w:val="02010600030101010101"/>
    <w:charset w:val="86"/>
    <w:family w:val="auto"/>
    <w:pitch w:val="variable"/>
    <w:sig w:usb0="00000203" w:usb1="288F0000" w:usb2="00000016" w:usb3="00000000" w:csb0="0004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973731"/>
      <w:docPartObj>
        <w:docPartGallery w:val="Page Numbers (Bottom of Page)"/>
        <w:docPartUnique/>
      </w:docPartObj>
    </w:sdtPr>
    <w:sdtEndPr>
      <w:rPr>
        <w:noProof/>
      </w:rPr>
    </w:sdtEndPr>
    <w:sdtContent>
      <w:p w14:paraId="231DFEE9" w14:textId="490EE677" w:rsidR="00B83D7D" w:rsidRPr="003505A6" w:rsidRDefault="00B83D7D">
        <w:pPr>
          <w:pStyle w:val="Footer"/>
          <w:jc w:val="right"/>
        </w:pPr>
        <w:r w:rsidRPr="003505A6">
          <w:fldChar w:fldCharType="begin"/>
        </w:r>
        <w:r w:rsidRPr="003505A6">
          <w:instrText xml:space="preserve"> PAGE   \* MERGEFORMAT </w:instrText>
        </w:r>
        <w:r w:rsidRPr="003505A6">
          <w:fldChar w:fldCharType="separate"/>
        </w:r>
        <w:r w:rsidRPr="003505A6">
          <w:rPr>
            <w:noProof/>
          </w:rPr>
          <w:t>2</w:t>
        </w:r>
        <w:r w:rsidRPr="003505A6">
          <w:rPr>
            <w:noProof/>
          </w:rPr>
          <w:fldChar w:fldCharType="end"/>
        </w:r>
      </w:p>
    </w:sdtContent>
  </w:sdt>
  <w:p w14:paraId="18D13A5D" w14:textId="2B97E552" w:rsidR="00B83D7D" w:rsidRDefault="00B83D7D">
    <w:pPr>
      <w:pStyle w:val="Footer"/>
    </w:pPr>
    <w:r>
      <w:rPr>
        <w:rFonts w:ascii="Segoe UI Light" w:hAnsi="Segoe UI Light"/>
        <w:sz w:val="16"/>
        <w:szCs w:val="16"/>
      </w:rPr>
      <w:t>EMZino_2</w:t>
    </w:r>
    <w:r w:rsidR="00E55626">
      <w:rPr>
        <w:rFonts w:ascii="Segoe UI Light" w:hAnsi="Segoe UI Light"/>
        <w:sz w:val="16"/>
        <w:szCs w:val="16"/>
      </w:rPr>
      <w:t>711</w:t>
    </w:r>
    <w:r>
      <w:rPr>
        <w:rFonts w:ascii="Segoe UI Light" w:hAnsi="Segoe UI Light"/>
        <w:sz w:val="16"/>
        <w:szCs w:val="16"/>
      </w:rPr>
      <w:t>2024; Informatīvais ziņojums par darba tirgus vidēja un ilgtermiņa prognozēm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FE9FE" w14:textId="6716AA38" w:rsidR="00B83D7D" w:rsidRDefault="00B83D7D">
    <w:pPr>
      <w:pStyle w:val="Footer"/>
      <w:jc w:val="right"/>
    </w:pPr>
  </w:p>
  <w:p w14:paraId="64AE075A" w14:textId="77777777" w:rsidR="00B83D7D" w:rsidRDefault="00B83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C0AAE" w14:textId="77777777" w:rsidR="00B83D7D" w:rsidRDefault="00B83D7D" w:rsidP="00C20CFD">
      <w:pPr>
        <w:spacing w:after="0"/>
      </w:pPr>
      <w:r>
        <w:separator/>
      </w:r>
    </w:p>
  </w:footnote>
  <w:footnote w:type="continuationSeparator" w:id="0">
    <w:p w14:paraId="740AB561" w14:textId="77777777" w:rsidR="00B83D7D" w:rsidRDefault="00B83D7D" w:rsidP="00826C45">
      <w:pPr>
        <w:spacing w:after="0"/>
      </w:pPr>
      <w:r>
        <w:continuationSeparator/>
      </w:r>
    </w:p>
    <w:p w14:paraId="59DD4053" w14:textId="77777777" w:rsidR="00B83D7D" w:rsidRDefault="00B83D7D"/>
  </w:footnote>
  <w:footnote w:type="continuationNotice" w:id="1">
    <w:p w14:paraId="5CB6955B" w14:textId="77777777" w:rsidR="00B83D7D" w:rsidRDefault="00B83D7D">
      <w:pPr>
        <w:spacing w:after="0"/>
      </w:pPr>
    </w:p>
  </w:footnote>
  <w:footnote w:id="2">
    <w:p w14:paraId="331B745E" w14:textId="32D86F6F" w:rsidR="00B83D7D" w:rsidRPr="00B72FF7" w:rsidRDefault="00B83D7D" w:rsidP="00A607A6">
      <w:pPr>
        <w:pStyle w:val="FootnoteText"/>
        <w:rPr>
          <w:sz w:val="12"/>
          <w:szCs w:val="12"/>
        </w:rPr>
      </w:pPr>
      <w:r w:rsidRPr="00B72FF7">
        <w:rPr>
          <w:rStyle w:val="FootnoteReference"/>
          <w:sz w:val="12"/>
          <w:szCs w:val="12"/>
        </w:rPr>
        <w:footnoteRef/>
      </w:r>
      <w:r w:rsidRPr="00B72FF7">
        <w:rPr>
          <w:sz w:val="12"/>
          <w:szCs w:val="12"/>
        </w:rPr>
        <w:t xml:space="preserve"> </w:t>
      </w:r>
      <w:r>
        <w:rPr>
          <w:sz w:val="12"/>
          <w:szCs w:val="12"/>
        </w:rPr>
        <w:t xml:space="preserve">CSP </w:t>
      </w:r>
      <w:r w:rsidRPr="00B72FF7">
        <w:rPr>
          <w:sz w:val="12"/>
          <w:szCs w:val="12"/>
          <w:lang w:val="lv-LV"/>
        </w:rPr>
        <w:t>definīcija</w:t>
      </w:r>
      <w:r>
        <w:rPr>
          <w:sz w:val="12"/>
          <w:szCs w:val="12"/>
        </w:rPr>
        <w:t xml:space="preserve">: </w:t>
      </w:r>
      <w:hyperlink r:id="rId1" w:history="1">
        <w:r w:rsidRPr="00DE5045">
          <w:rPr>
            <w:rStyle w:val="Hyperlink"/>
            <w:sz w:val="12"/>
            <w:szCs w:val="12"/>
          </w:rPr>
          <w:t>https://stat.gov.lv/lv/metadati/2878-aiznemtas-un-brivas-darbvietas</w:t>
        </w:r>
      </w:hyperlink>
      <w:r>
        <w:rPr>
          <w:sz w:val="12"/>
          <w:szCs w:val="12"/>
        </w:rPr>
        <w:t xml:space="preserve"> </w:t>
      </w:r>
    </w:p>
  </w:footnote>
  <w:footnote w:id="3">
    <w:p w14:paraId="30CF10B3" w14:textId="71DF5A76" w:rsidR="00B83D7D" w:rsidRPr="00DA1677" w:rsidRDefault="00B83D7D" w:rsidP="003F161B">
      <w:pPr>
        <w:pStyle w:val="FootnoteText"/>
        <w:ind w:left="142" w:hanging="142"/>
        <w:jc w:val="both"/>
        <w:rPr>
          <w:rFonts w:cs="Calibri Light"/>
          <w:sz w:val="12"/>
          <w:szCs w:val="12"/>
          <w:lang w:val="lv-LV"/>
        </w:rPr>
      </w:pPr>
      <w:r w:rsidRPr="00DA1677">
        <w:rPr>
          <w:rStyle w:val="FootnoteReference"/>
          <w:rFonts w:cs="Calibri Light"/>
          <w:sz w:val="12"/>
          <w:szCs w:val="12"/>
        </w:rPr>
        <w:footnoteRef/>
      </w:r>
      <w:r w:rsidRPr="00DA1677">
        <w:rPr>
          <w:rFonts w:cs="Calibri Light"/>
          <w:sz w:val="12"/>
          <w:szCs w:val="12"/>
          <w:lang w:val="lv-LV"/>
        </w:rPr>
        <w:tab/>
        <w:t>Izglītības attīstības pamatnostādnes 2014.-2020. </w:t>
      </w:r>
      <w:r>
        <w:rPr>
          <w:rFonts w:cs="Calibri Light"/>
          <w:sz w:val="12"/>
          <w:szCs w:val="12"/>
          <w:lang w:val="lv-LV"/>
        </w:rPr>
        <w:t>gad</w:t>
      </w:r>
      <w:r w:rsidRPr="00DA1677">
        <w:rPr>
          <w:rFonts w:cs="Calibri Light"/>
          <w:sz w:val="12"/>
          <w:szCs w:val="12"/>
          <w:lang w:val="lv-LV"/>
        </w:rPr>
        <w:t xml:space="preserve">am pieejamas: </w:t>
      </w:r>
      <w:hyperlink r:id="rId2" w:history="1">
        <w:r w:rsidRPr="00DA1677">
          <w:rPr>
            <w:rStyle w:val="Hyperlink"/>
            <w:rFonts w:eastAsia="Calibri" w:cs="Calibri Light"/>
            <w:sz w:val="12"/>
            <w:szCs w:val="12"/>
            <w:lang w:val="lv-LV"/>
          </w:rPr>
          <w:t>https://likumi.lv/ta/id/266406-par-izglitibas-attistibas-pamatnostadnu-20142020gadam-apstiprinasanu</w:t>
        </w:r>
      </w:hyperlink>
      <w:r w:rsidRPr="00DA1677">
        <w:rPr>
          <w:rFonts w:cs="Calibri Light"/>
          <w:sz w:val="12"/>
          <w:szCs w:val="12"/>
          <w:lang w:val="lv-LV"/>
        </w:rPr>
        <w:t xml:space="preserve"> </w:t>
      </w:r>
    </w:p>
  </w:footnote>
  <w:footnote w:id="4">
    <w:p w14:paraId="316E916F" w14:textId="2C9FE5A8" w:rsidR="00B83D7D" w:rsidRPr="000A4643" w:rsidRDefault="00B83D7D">
      <w:pPr>
        <w:pStyle w:val="FootnoteText"/>
        <w:rPr>
          <w:sz w:val="12"/>
          <w:szCs w:val="12"/>
          <w:lang w:val="lv-LV"/>
        </w:rPr>
      </w:pPr>
      <w:r w:rsidRPr="000A4643">
        <w:rPr>
          <w:rStyle w:val="FootnoteReference"/>
          <w:sz w:val="12"/>
          <w:szCs w:val="12"/>
        </w:rPr>
        <w:footnoteRef/>
      </w:r>
      <w:r w:rsidRPr="000A4643">
        <w:rPr>
          <w:sz w:val="12"/>
          <w:szCs w:val="12"/>
          <w:lang w:val="lv-LV"/>
        </w:rPr>
        <w:t xml:space="preserve"> CSP apsekojums “</w:t>
      </w:r>
      <w:hyperlink r:id="rId3" w:tgtFrame="_blank" w:history="1">
        <w:r w:rsidRPr="000A4643">
          <w:rPr>
            <w:sz w:val="12"/>
            <w:szCs w:val="12"/>
            <w:lang w:val="lv-LV"/>
          </w:rPr>
          <w:t>Arodizglītība uzņēmumos” - 2020.gada apsekojuma dati</w:t>
        </w:r>
      </w:hyperlink>
    </w:p>
  </w:footnote>
  <w:footnote w:id="5">
    <w:p w14:paraId="215443D9" w14:textId="21C27766" w:rsidR="00B83D7D" w:rsidRPr="00BC3098" w:rsidRDefault="00B83D7D">
      <w:pPr>
        <w:pStyle w:val="FootnoteText"/>
        <w:rPr>
          <w:lang w:val="lv-LV"/>
        </w:rPr>
      </w:pPr>
      <w:r>
        <w:rPr>
          <w:rStyle w:val="FootnoteReference"/>
        </w:rPr>
        <w:footnoteRef/>
      </w:r>
      <w:r w:rsidRPr="00BC3098">
        <w:rPr>
          <w:lang w:val="lv-LV"/>
        </w:rPr>
        <w:t xml:space="preserve"> </w:t>
      </w:r>
      <w:r w:rsidRPr="00BC3098">
        <w:rPr>
          <w:rFonts w:eastAsia="Batang" w:cs="Calibri Light"/>
          <w:color w:val="000000"/>
          <w:sz w:val="12"/>
          <w:szCs w:val="12"/>
          <w:lang w:val="lv-LV"/>
        </w:rPr>
        <w:t>Supporting employers in promoting skills development in Latvia</w:t>
      </w:r>
      <w:r>
        <w:rPr>
          <w:rFonts w:eastAsia="Batang" w:cs="Calibri Light"/>
          <w:color w:val="000000"/>
          <w:sz w:val="12"/>
          <w:szCs w:val="12"/>
          <w:lang w:val="lv-LV"/>
        </w:rPr>
        <w:t>, OECD, 2022:</w:t>
      </w:r>
      <w:r w:rsidRPr="00BC3098">
        <w:rPr>
          <w:lang w:val="lv-LV"/>
        </w:rPr>
        <w:t xml:space="preserve"> </w:t>
      </w:r>
      <w:hyperlink r:id="rId4" w:history="1">
        <w:r w:rsidRPr="00BC3098">
          <w:rPr>
            <w:rStyle w:val="Hyperlink"/>
            <w:rFonts w:eastAsia="Batang" w:cs="Calibri Light"/>
            <w:sz w:val="12"/>
            <w:szCs w:val="12"/>
            <w:lang w:val="lv-LV"/>
          </w:rPr>
          <w:t>https://www.oecd.org/content/dam/oecd/en/about/programmes/dg-reform/latvia/latvia-employers-report-2022.pdf</w:t>
        </w:r>
      </w:hyperlink>
      <w:r>
        <w:rPr>
          <w:lang w:val="lv-LV"/>
        </w:rPr>
        <w:t xml:space="preserve"> </w:t>
      </w:r>
    </w:p>
  </w:footnote>
  <w:footnote w:id="6">
    <w:p w14:paraId="32F28CF8" w14:textId="77777777" w:rsidR="00B83D7D" w:rsidRPr="000855C2" w:rsidRDefault="00B83D7D" w:rsidP="004C23D5">
      <w:pPr>
        <w:spacing w:after="0"/>
        <w:ind w:left="142" w:hanging="142"/>
        <w:rPr>
          <w:rFonts w:eastAsia="Batang" w:cs="Calibri Light"/>
          <w:color w:val="000000"/>
          <w:sz w:val="12"/>
          <w:szCs w:val="12"/>
        </w:rPr>
      </w:pPr>
      <w:r w:rsidRPr="000855C2">
        <w:rPr>
          <w:rFonts w:eastAsia="Batang" w:cs="Calibri Light"/>
          <w:color w:val="000000"/>
          <w:sz w:val="12"/>
          <w:szCs w:val="12"/>
          <w:vertAlign w:val="superscript"/>
        </w:rPr>
        <w:footnoteRef/>
      </w:r>
      <w:r w:rsidRPr="000855C2">
        <w:rPr>
          <w:rFonts w:eastAsia="Batang" w:cs="Calibri Light"/>
          <w:color w:val="000000"/>
          <w:sz w:val="12"/>
          <w:szCs w:val="12"/>
          <w:vertAlign w:val="superscript"/>
        </w:rPr>
        <w:tab/>
      </w:r>
      <w:r w:rsidRPr="000855C2">
        <w:rPr>
          <w:rFonts w:eastAsia="Batang" w:cs="Calibri Light"/>
          <w:color w:val="000000"/>
          <w:sz w:val="12"/>
          <w:szCs w:val="12"/>
        </w:rPr>
        <w:t xml:space="preserve">Darba tirgus pieprasījuma ilgtermiņa prognozēšanas sistēmas izpēte un pilnveidošanas iespēju analīze. LR LM: Rīga, 2007, </w:t>
      </w:r>
      <w:hyperlink r:id="rId5" w:history="1">
        <w:r w:rsidRPr="003A70B1">
          <w:rPr>
            <w:rStyle w:val="Hyperlink"/>
            <w:rFonts w:cs="Calibri Light"/>
            <w:sz w:val="12"/>
            <w:szCs w:val="12"/>
          </w:rPr>
          <w:t>http://www.lm.gov.lv/upload/darba_tirgus/darba_tirgus/petijumi/ilgtermina_prognozesana.pdf</w:t>
        </w:r>
      </w:hyperlink>
    </w:p>
  </w:footnote>
  <w:footnote w:id="7">
    <w:p w14:paraId="1E16E541" w14:textId="77777777" w:rsidR="00B83D7D" w:rsidRPr="000855C2" w:rsidRDefault="00B83D7D" w:rsidP="004C23D5">
      <w:pPr>
        <w:spacing w:after="0"/>
        <w:ind w:left="142" w:hanging="142"/>
        <w:rPr>
          <w:rFonts w:eastAsia="Batang" w:cs="Calibri Light"/>
          <w:color w:val="000000"/>
          <w:sz w:val="12"/>
          <w:szCs w:val="12"/>
        </w:rPr>
      </w:pPr>
      <w:r w:rsidRPr="000855C2">
        <w:rPr>
          <w:rFonts w:eastAsia="Batang" w:cs="Calibri Light"/>
          <w:color w:val="000000"/>
          <w:sz w:val="12"/>
          <w:szCs w:val="12"/>
          <w:vertAlign w:val="superscript"/>
        </w:rPr>
        <w:footnoteRef/>
      </w:r>
      <w:r w:rsidRPr="000855C2">
        <w:rPr>
          <w:rFonts w:eastAsia="Batang" w:cs="Calibri Light"/>
          <w:color w:val="000000"/>
          <w:sz w:val="12"/>
          <w:szCs w:val="12"/>
          <w:vertAlign w:val="superscript"/>
        </w:rPr>
        <w:tab/>
      </w:r>
      <w:r w:rsidRPr="000855C2">
        <w:rPr>
          <w:rFonts w:eastAsia="Batang" w:cs="Calibri Light"/>
          <w:color w:val="000000"/>
          <w:sz w:val="12"/>
          <w:szCs w:val="12"/>
        </w:rPr>
        <w:t xml:space="preserve">Plašāk ar darba tirgus prognozēšanas modeli var iepazīties Latvijas darba tirgus vidēja un ilgtermiņa prognozēšanas un politikas analīzes modeļa tehniskajā dokumentācijā. </w:t>
      </w:r>
      <w:hyperlink r:id="rId6" w:history="1">
        <w:r w:rsidRPr="003A70B1">
          <w:rPr>
            <w:rStyle w:val="Hyperlink"/>
            <w:rFonts w:cs="Calibri Light"/>
            <w:sz w:val="12"/>
            <w:szCs w:val="12"/>
          </w:rPr>
          <w:t>https://www.em.gov.lv/files/tautsaimniecibas_attistiba/Dokumentacija_Lat.pdf</w:t>
        </w:r>
      </w:hyperlink>
    </w:p>
  </w:footnote>
  <w:footnote w:id="8">
    <w:p w14:paraId="6F65BC50" w14:textId="77777777" w:rsidR="00B83D7D" w:rsidRPr="003A70B1" w:rsidRDefault="00B83D7D" w:rsidP="004C23D5">
      <w:pPr>
        <w:pStyle w:val="FootnoteText"/>
        <w:ind w:left="142" w:hanging="142"/>
        <w:rPr>
          <w:rFonts w:cs="Calibri Light"/>
          <w:sz w:val="12"/>
          <w:szCs w:val="12"/>
          <w:lang w:val="lv-LV"/>
        </w:rPr>
      </w:pPr>
      <w:r w:rsidRPr="003A70B1">
        <w:rPr>
          <w:rStyle w:val="FootnoteReference"/>
          <w:rFonts w:cs="Calibri Light"/>
          <w:sz w:val="12"/>
          <w:szCs w:val="12"/>
          <w:lang w:val="lv-LV"/>
        </w:rPr>
        <w:footnoteRef/>
      </w:r>
      <w:r w:rsidRPr="003A70B1">
        <w:rPr>
          <w:rFonts w:cs="Calibri Light"/>
          <w:sz w:val="12"/>
          <w:szCs w:val="12"/>
          <w:lang w:val="lv-LV"/>
        </w:rPr>
        <w:tab/>
      </w:r>
      <w:r w:rsidRPr="000855C2">
        <w:rPr>
          <w:rFonts w:eastAsia="Batang" w:cs="Calibri Light"/>
          <w:color w:val="000000"/>
          <w:sz w:val="12"/>
          <w:szCs w:val="12"/>
          <w:lang w:val="lv-LV"/>
        </w:rPr>
        <w:t xml:space="preserve">Pētījuma </w:t>
      </w:r>
      <w:r w:rsidRPr="003A70B1">
        <w:rPr>
          <w:rFonts w:cs="Calibri Light"/>
          <w:iCs/>
          <w:sz w:val="12"/>
          <w:szCs w:val="12"/>
          <w:lang w:val="lv-LV"/>
        </w:rPr>
        <w:t>„</w:t>
      </w:r>
      <w:r w:rsidRPr="000855C2">
        <w:rPr>
          <w:rFonts w:eastAsia="Batang" w:cs="Calibri Light"/>
          <w:color w:val="000000"/>
          <w:sz w:val="12"/>
          <w:szCs w:val="12"/>
          <w:lang w:val="lv-LV"/>
        </w:rPr>
        <w:t xml:space="preserve">Darba tirgus apsteidzošo pārkārtojumu sistēmas izveides iespējas un vidēja un ilgtermiņa darba tirgus prognožu sasaiste ar rīcībpolitiku” gala ziņojums: </w:t>
      </w:r>
      <w:hyperlink r:id="rId7" w:history="1">
        <w:r w:rsidRPr="003A70B1">
          <w:rPr>
            <w:rStyle w:val="Hyperlink"/>
            <w:rFonts w:eastAsia="Batang" w:cs="Calibri Light"/>
            <w:sz w:val="12"/>
            <w:szCs w:val="12"/>
            <w:lang w:val="lv-LV"/>
          </w:rPr>
          <w:t>https://em.gov.lv/files/attachments/DarbaTirgus_Gala%20zinojums.pdf</w:t>
        </w:r>
      </w:hyperlink>
    </w:p>
  </w:footnote>
  <w:footnote w:id="9">
    <w:p w14:paraId="26CBA41D" w14:textId="36C63587" w:rsidR="00B83D7D" w:rsidRPr="00917473" w:rsidRDefault="00B83D7D" w:rsidP="00EE120B">
      <w:pPr>
        <w:pStyle w:val="FootnoteText"/>
        <w:rPr>
          <w:rFonts w:cs="Calibri Light"/>
          <w:color w:val="0000FF" w:themeColor="hyperlink"/>
          <w:sz w:val="12"/>
          <w:szCs w:val="12"/>
          <w:u w:val="single"/>
          <w:lang w:val="lv-LV"/>
        </w:rPr>
      </w:pPr>
      <w:r w:rsidRPr="00917473">
        <w:rPr>
          <w:rStyle w:val="FootnoteReference"/>
          <w:rFonts w:cs="Calibri Light"/>
          <w:sz w:val="12"/>
          <w:szCs w:val="12"/>
        </w:rPr>
        <w:footnoteRef/>
      </w:r>
      <w:r w:rsidRPr="00C37B45">
        <w:rPr>
          <w:rStyle w:val="FootnoteReference"/>
          <w:lang w:val="lv-LV"/>
        </w:rPr>
        <w:t xml:space="preserve"> </w:t>
      </w:r>
      <w:r>
        <w:rPr>
          <w:lang w:val="lv-LV"/>
        </w:rPr>
        <w:t xml:space="preserve">  </w:t>
      </w:r>
      <w:r w:rsidRPr="00917473">
        <w:rPr>
          <w:rStyle w:val="Hyperlink"/>
          <w:rFonts w:cs="Calibri Light"/>
          <w:sz w:val="12"/>
          <w:szCs w:val="12"/>
          <w:lang w:val="lv-LV"/>
        </w:rPr>
        <w:t>https://tapportals.mk.gov.lv/legal_acts/3ee763e4-6022-41f5-a3d9-3055fdf261cb</w:t>
      </w:r>
    </w:p>
  </w:footnote>
  <w:footnote w:id="10">
    <w:p w14:paraId="5EF21314" w14:textId="5700B54E" w:rsidR="00B83D7D" w:rsidRPr="00C67918" w:rsidRDefault="00B83D7D" w:rsidP="007749BA">
      <w:pPr>
        <w:pStyle w:val="FootnoteText"/>
        <w:ind w:left="142" w:hanging="142"/>
        <w:rPr>
          <w:rFonts w:cs="Calibri Light"/>
          <w:sz w:val="12"/>
          <w:szCs w:val="12"/>
          <w:lang w:val="lv-LV"/>
        </w:rPr>
      </w:pPr>
      <w:r w:rsidRPr="00C67918">
        <w:rPr>
          <w:rStyle w:val="FootnoteReference"/>
          <w:rFonts w:cs="Calibri Light"/>
          <w:sz w:val="12"/>
          <w:szCs w:val="12"/>
        </w:rPr>
        <w:footnoteRef/>
      </w:r>
      <w:r>
        <w:rPr>
          <w:rFonts w:cs="Calibri Light"/>
          <w:sz w:val="12"/>
          <w:szCs w:val="12"/>
          <w:lang w:val="lv-LV"/>
        </w:rPr>
        <w:tab/>
      </w:r>
      <w:hyperlink r:id="rId8" w:history="1">
        <w:r w:rsidRPr="007749BA">
          <w:rPr>
            <w:rStyle w:val="Hyperlink"/>
            <w:rFonts w:cs="Calibri Light"/>
            <w:sz w:val="12"/>
            <w:szCs w:val="12"/>
            <w:lang w:val="lv-LV"/>
          </w:rPr>
          <w:t>https://pkc.gov.lv/lv/valsts-attistibas-planosana/latvijas-ilgtspejigas-attistibas-strategija</w:t>
        </w:r>
      </w:hyperlink>
    </w:p>
  </w:footnote>
  <w:footnote w:id="11">
    <w:p w14:paraId="26D26D27" w14:textId="248D63BC" w:rsidR="00B83D7D" w:rsidRPr="00C67918" w:rsidRDefault="00B83D7D" w:rsidP="00EE120B">
      <w:pPr>
        <w:pStyle w:val="FootnoteText"/>
        <w:ind w:left="142" w:hanging="142"/>
        <w:rPr>
          <w:rFonts w:cs="Calibri Light"/>
          <w:sz w:val="12"/>
          <w:szCs w:val="12"/>
          <w:lang w:val="lv-LV"/>
        </w:rPr>
      </w:pPr>
      <w:r w:rsidRPr="00C67918">
        <w:rPr>
          <w:rStyle w:val="FootnoteReference"/>
          <w:rFonts w:cs="Calibri Light"/>
          <w:sz w:val="12"/>
          <w:szCs w:val="12"/>
        </w:rPr>
        <w:footnoteRef/>
      </w:r>
      <w:r w:rsidRPr="00B8019D">
        <w:rPr>
          <w:rFonts w:cs="Calibri Light"/>
          <w:sz w:val="12"/>
          <w:szCs w:val="12"/>
          <w:lang w:val="lv-LV"/>
        </w:rPr>
        <w:t xml:space="preserve"> </w:t>
      </w:r>
      <w:r>
        <w:rPr>
          <w:rFonts w:cs="Calibri Light"/>
          <w:sz w:val="12"/>
          <w:szCs w:val="12"/>
          <w:lang w:val="lv-LV"/>
        </w:rPr>
        <w:tab/>
      </w:r>
      <w:hyperlink r:id="rId9" w:history="1">
        <w:r w:rsidRPr="007749BA">
          <w:rPr>
            <w:rStyle w:val="Hyperlink"/>
            <w:rFonts w:cs="Calibri Light"/>
            <w:sz w:val="12"/>
            <w:szCs w:val="12"/>
            <w:lang w:val="lv-LV"/>
          </w:rPr>
          <w:t>https://pkc.gov.lv/lv/nap2027</w:t>
        </w:r>
      </w:hyperlink>
    </w:p>
  </w:footnote>
  <w:footnote w:id="12">
    <w:p w14:paraId="71B24336" w14:textId="0880C4F7" w:rsidR="00B83D7D" w:rsidRPr="00C67918" w:rsidRDefault="00B83D7D" w:rsidP="00B8019D">
      <w:pPr>
        <w:pStyle w:val="FootnoteText"/>
        <w:rPr>
          <w:rFonts w:cs="Calibri Light"/>
          <w:sz w:val="12"/>
          <w:szCs w:val="12"/>
          <w:lang w:val="lv-LV"/>
        </w:rPr>
      </w:pPr>
      <w:r w:rsidRPr="00C67918">
        <w:rPr>
          <w:rStyle w:val="FootnoteReference"/>
          <w:rFonts w:cs="Calibri Light"/>
          <w:sz w:val="12"/>
          <w:szCs w:val="12"/>
        </w:rPr>
        <w:footnoteRef/>
      </w:r>
      <w:r>
        <w:rPr>
          <w:rFonts w:cs="Calibri Light"/>
          <w:sz w:val="12"/>
          <w:szCs w:val="12"/>
          <w:lang w:val="lv-LV"/>
        </w:rPr>
        <w:t xml:space="preserve">   </w:t>
      </w:r>
      <w:hyperlink r:id="rId10" w:history="1">
        <w:r w:rsidRPr="00C67918">
          <w:rPr>
            <w:rStyle w:val="Hyperlink"/>
            <w:rFonts w:cs="Calibri Light"/>
            <w:sz w:val="12"/>
            <w:szCs w:val="12"/>
            <w:lang w:val="lv-LV"/>
          </w:rPr>
          <w:t>https://www.em.gov.lv/lv/industriala-politika</w:t>
        </w:r>
      </w:hyperlink>
      <w:r w:rsidRPr="00C67918">
        <w:rPr>
          <w:rFonts w:cs="Calibri Light"/>
          <w:sz w:val="12"/>
          <w:szCs w:val="12"/>
          <w:lang w:val="lv-LV"/>
        </w:rPr>
        <w:t xml:space="preserve"> </w:t>
      </w:r>
    </w:p>
  </w:footnote>
  <w:footnote w:id="13">
    <w:p w14:paraId="1767C99B" w14:textId="77255ED9" w:rsidR="00B83D7D" w:rsidRPr="00E13B96" w:rsidRDefault="00B83D7D">
      <w:pPr>
        <w:pStyle w:val="FootnoteText"/>
        <w:rPr>
          <w:sz w:val="12"/>
          <w:szCs w:val="12"/>
          <w:lang w:val="lv-LV"/>
        </w:rPr>
      </w:pPr>
      <w:r w:rsidRPr="00E13B96">
        <w:rPr>
          <w:rStyle w:val="FootnoteReference"/>
          <w:sz w:val="12"/>
          <w:szCs w:val="12"/>
        </w:rPr>
        <w:footnoteRef/>
      </w:r>
      <w:r w:rsidRPr="00E13B96">
        <w:rPr>
          <w:sz w:val="12"/>
          <w:szCs w:val="12"/>
          <w:lang w:val="lv-LV"/>
        </w:rPr>
        <w:t xml:space="preserve"> </w:t>
      </w:r>
      <w:hyperlink r:id="rId11" w:history="1">
        <w:r w:rsidRPr="00E13B96">
          <w:rPr>
            <w:rStyle w:val="Hyperlink"/>
            <w:sz w:val="12"/>
            <w:szCs w:val="12"/>
            <w:lang w:val="lv-LV"/>
          </w:rPr>
          <w:t>https://www.researchgate.net/publication/273515631_The_Grand_Challenges_in_Smart_Materials_Researc</w:t>
        </w:r>
      </w:hyperlink>
    </w:p>
    <w:p w14:paraId="5F2E9C37" w14:textId="77777777" w:rsidR="00B83D7D" w:rsidRPr="00E13B96" w:rsidRDefault="00B83D7D">
      <w:pPr>
        <w:pStyle w:val="FootnoteText"/>
        <w:rPr>
          <w:lang w:val="lv-LV"/>
        </w:rPr>
      </w:pPr>
    </w:p>
  </w:footnote>
  <w:footnote w:id="14">
    <w:p w14:paraId="3FFE35A4" w14:textId="06A9255D" w:rsidR="00B83D7D" w:rsidRPr="00E13B96" w:rsidRDefault="00B83D7D">
      <w:pPr>
        <w:pStyle w:val="FootnoteText"/>
        <w:rPr>
          <w:sz w:val="16"/>
          <w:szCs w:val="16"/>
          <w:lang w:val="lv-LV"/>
        </w:rPr>
      </w:pPr>
      <w:r w:rsidRPr="00E13B96">
        <w:rPr>
          <w:rStyle w:val="FootnoteReference"/>
          <w:sz w:val="12"/>
          <w:szCs w:val="12"/>
        </w:rPr>
        <w:footnoteRef/>
      </w:r>
      <w:r>
        <w:rPr>
          <w:sz w:val="12"/>
          <w:szCs w:val="12"/>
          <w:lang w:val="lv-LV"/>
        </w:rPr>
        <w:t xml:space="preserve">   </w:t>
      </w:r>
      <w:r w:rsidRPr="00E13B96">
        <w:rPr>
          <w:sz w:val="12"/>
          <w:szCs w:val="12"/>
          <w:lang w:val="lv-LV"/>
        </w:rPr>
        <w:t xml:space="preserve"> </w:t>
      </w:r>
      <w:hyperlink r:id="rId12" w:history="1">
        <w:r w:rsidRPr="00E13B96">
          <w:rPr>
            <w:rStyle w:val="Hyperlink"/>
            <w:sz w:val="12"/>
            <w:szCs w:val="12"/>
            <w:lang w:val="lv-LV"/>
          </w:rPr>
          <w:t>http://www.jscholaronline.org/full-text/JNSM/e101/Smart-materials-from-nanotechnology-for-global-challenges.php</w:t>
        </w:r>
      </w:hyperlink>
    </w:p>
  </w:footnote>
  <w:footnote w:id="15">
    <w:p w14:paraId="5E7BF7B2" w14:textId="77777777" w:rsidR="00B83D7D" w:rsidRPr="00C67918" w:rsidRDefault="00B83D7D" w:rsidP="005372F2">
      <w:pPr>
        <w:pStyle w:val="FootnoteText"/>
        <w:ind w:left="142" w:hanging="142"/>
        <w:rPr>
          <w:rFonts w:cs="Calibri Light"/>
          <w:sz w:val="12"/>
          <w:szCs w:val="12"/>
          <w:lang w:val="lv-LV"/>
        </w:rPr>
      </w:pPr>
      <w:r w:rsidRPr="00C67918">
        <w:rPr>
          <w:rStyle w:val="FootnoteReference"/>
          <w:rFonts w:cs="Calibri Light"/>
          <w:sz w:val="12"/>
          <w:szCs w:val="12"/>
        </w:rPr>
        <w:footnoteRef/>
      </w:r>
      <w:r w:rsidRPr="00C67918">
        <w:rPr>
          <w:rFonts w:cs="Calibri Light"/>
          <w:sz w:val="12"/>
          <w:szCs w:val="12"/>
          <w:lang w:val="lv-LV"/>
        </w:rPr>
        <w:tab/>
      </w:r>
      <w:hyperlink r:id="rId13" w:history="1">
        <w:r w:rsidRPr="00C67918">
          <w:rPr>
            <w:rStyle w:val="Hyperlink"/>
            <w:rFonts w:cs="Calibri Light"/>
            <w:sz w:val="12"/>
            <w:szCs w:val="12"/>
            <w:lang w:val="lv-LV"/>
          </w:rPr>
          <w:t>https://ec.europa.eu/info/strategy/priorities-2019-2024/european-green-deal_lv</w:t>
        </w:r>
      </w:hyperlink>
      <w:r w:rsidRPr="00C67918">
        <w:rPr>
          <w:rFonts w:cs="Calibri Light"/>
          <w:sz w:val="12"/>
          <w:szCs w:val="12"/>
          <w:lang w:val="lv-LV"/>
        </w:rPr>
        <w:t xml:space="preserve"> </w:t>
      </w:r>
    </w:p>
  </w:footnote>
  <w:footnote w:id="16">
    <w:p w14:paraId="54DA4373" w14:textId="14CE6A66" w:rsidR="00B83D7D" w:rsidRPr="00C67918" w:rsidRDefault="00B83D7D" w:rsidP="005372F2">
      <w:pPr>
        <w:pStyle w:val="FootnoteText"/>
        <w:ind w:left="142" w:hanging="142"/>
        <w:rPr>
          <w:rFonts w:cs="Calibri Light"/>
          <w:sz w:val="12"/>
          <w:szCs w:val="12"/>
        </w:rPr>
      </w:pPr>
      <w:r w:rsidRPr="00C67918">
        <w:rPr>
          <w:rStyle w:val="FootnoteReference"/>
          <w:rFonts w:cs="Calibri Light"/>
          <w:sz w:val="12"/>
          <w:szCs w:val="12"/>
        </w:rPr>
        <w:footnoteRef/>
      </w:r>
      <w:r w:rsidRPr="00223002">
        <w:rPr>
          <w:rFonts w:cs="Calibri Light"/>
          <w:sz w:val="12"/>
          <w:szCs w:val="12"/>
          <w:lang w:val="lv-LV"/>
        </w:rPr>
        <w:t xml:space="preserve"> </w:t>
      </w:r>
      <w:r w:rsidRPr="00223002">
        <w:rPr>
          <w:rFonts w:cs="Calibri Light"/>
          <w:sz w:val="12"/>
          <w:szCs w:val="12"/>
          <w:lang w:val="lv-LV"/>
        </w:rPr>
        <w:tab/>
        <w:t xml:space="preserve">EK paziņojums. Eiropas zaļais kurss. </w:t>
      </w:r>
      <w:r w:rsidRPr="00C67918">
        <w:rPr>
          <w:rFonts w:cs="Calibri Light"/>
          <w:sz w:val="12"/>
          <w:szCs w:val="12"/>
        </w:rPr>
        <w:t xml:space="preserve">COM(2019) 640 final. Briselē, 11.12.2019 </w:t>
      </w:r>
      <w:hyperlink r:id="rId14" w:history="1">
        <w:r w:rsidRPr="00537DB2">
          <w:rPr>
            <w:rStyle w:val="Hyperlink"/>
            <w:rFonts w:cs="Calibri Light"/>
            <w:sz w:val="12"/>
            <w:szCs w:val="12"/>
          </w:rPr>
          <w:t>https://eur-lex.europa.eu/legal-content/LV/TXT/?qid=1588580774040&amp;uri=CELEX:52019DC0640</w:t>
        </w:r>
      </w:hyperlink>
    </w:p>
  </w:footnote>
  <w:footnote w:id="17">
    <w:p w14:paraId="5225C75A" w14:textId="6CB1F291" w:rsidR="00B83D7D" w:rsidRPr="00C67918" w:rsidRDefault="00B83D7D" w:rsidP="00361642">
      <w:pPr>
        <w:pStyle w:val="FootnoteText"/>
        <w:ind w:left="142" w:hanging="142"/>
        <w:rPr>
          <w:rFonts w:cs="Calibri Light"/>
          <w:sz w:val="12"/>
          <w:szCs w:val="12"/>
          <w:lang w:val="lv-LV"/>
        </w:rPr>
      </w:pPr>
      <w:r w:rsidRPr="00C67918">
        <w:rPr>
          <w:rStyle w:val="FootnoteReference"/>
          <w:rFonts w:cs="Calibri Light"/>
          <w:sz w:val="12"/>
          <w:szCs w:val="12"/>
          <w:lang w:val="lv-LV"/>
        </w:rPr>
        <w:footnoteRef/>
      </w:r>
      <w:r w:rsidRPr="00C67918">
        <w:rPr>
          <w:rFonts w:cs="Calibri Light"/>
          <w:sz w:val="12"/>
          <w:szCs w:val="12"/>
          <w:lang w:val="lv-LV"/>
        </w:rPr>
        <w:tab/>
        <w:t>202</w:t>
      </w:r>
      <w:r>
        <w:rPr>
          <w:rFonts w:cs="Calibri Light"/>
          <w:sz w:val="12"/>
          <w:szCs w:val="12"/>
          <w:lang w:val="lv-LV"/>
        </w:rPr>
        <w:t>2</w:t>
      </w:r>
      <w:r w:rsidRPr="00C67918">
        <w:rPr>
          <w:rFonts w:cs="Calibri Light"/>
          <w:sz w:val="12"/>
          <w:szCs w:val="12"/>
          <w:lang w:val="lv-LV"/>
        </w:rPr>
        <w:t xml:space="preserve">. gada EM Informatīvais ziņojums par vidēja un ilgtermiņa darba tirgus prognozēm: </w:t>
      </w:r>
      <w:hyperlink r:id="rId15" w:history="1">
        <w:r w:rsidRPr="0072630F">
          <w:rPr>
            <w:rStyle w:val="Hyperlink"/>
            <w:rFonts w:cs="Calibri Light"/>
            <w:sz w:val="12"/>
            <w:szCs w:val="12"/>
            <w:lang w:val="lv-LV"/>
          </w:rPr>
          <w:t>https://www.em.gov.lv/lv/media/14720/download?attachment</w:t>
        </w:r>
      </w:hyperlink>
      <w:r>
        <w:rPr>
          <w:rFonts w:cs="Calibri Light"/>
          <w:sz w:val="12"/>
          <w:szCs w:val="12"/>
          <w:lang w:val="lv-LV"/>
        </w:rPr>
        <w:t xml:space="preserve"> </w:t>
      </w:r>
    </w:p>
  </w:footnote>
  <w:footnote w:id="18">
    <w:p w14:paraId="7498C7F9" w14:textId="1C31A1A9" w:rsidR="00B83D7D" w:rsidRPr="002113DA" w:rsidRDefault="00B83D7D">
      <w:pPr>
        <w:pStyle w:val="FootnoteText"/>
        <w:rPr>
          <w:lang w:val="lv-LV"/>
        </w:rPr>
      </w:pPr>
      <w:r w:rsidRPr="002113DA">
        <w:rPr>
          <w:rStyle w:val="FootnoteReference"/>
          <w:sz w:val="16"/>
          <w:szCs w:val="16"/>
        </w:rPr>
        <w:footnoteRef/>
      </w:r>
      <w:r w:rsidRPr="002113DA">
        <w:rPr>
          <w:sz w:val="16"/>
          <w:szCs w:val="16"/>
          <w:lang w:val="lv-LV"/>
        </w:rPr>
        <w:t xml:space="preserve"> </w:t>
      </w:r>
      <w:hyperlink r:id="rId16" w:history="1">
        <w:r w:rsidRPr="002113DA">
          <w:rPr>
            <w:rStyle w:val="Hyperlink"/>
            <w:sz w:val="16"/>
            <w:szCs w:val="16"/>
            <w:lang w:val="lv-LV"/>
          </w:rPr>
          <w:t>https://likumi.lv/ta/id/324332-par-izglitibas-attistibas-pamatnostadnem-20212027-gadam</w:t>
        </w:r>
      </w:hyperlink>
      <w:r>
        <w:rPr>
          <w:lang w:val="lv-LV"/>
        </w:rPr>
        <w:t xml:space="preserve"> </w:t>
      </w:r>
    </w:p>
  </w:footnote>
  <w:footnote w:id="19">
    <w:p w14:paraId="5FB6C08F" w14:textId="77777777" w:rsidR="00B83D7D" w:rsidRPr="00B566DE" w:rsidRDefault="00B83D7D" w:rsidP="003229C8">
      <w:pPr>
        <w:pStyle w:val="FootnoteText"/>
        <w:jc w:val="both"/>
        <w:rPr>
          <w:sz w:val="12"/>
          <w:szCs w:val="12"/>
          <w:lang w:val="lv-LV"/>
        </w:rPr>
      </w:pPr>
      <w:r w:rsidRPr="00B566DE">
        <w:rPr>
          <w:rStyle w:val="FootnoteReference"/>
          <w:sz w:val="12"/>
          <w:szCs w:val="12"/>
        </w:rPr>
        <w:footnoteRef/>
      </w:r>
      <w:r w:rsidRPr="00B566DE">
        <w:rPr>
          <w:sz w:val="12"/>
          <w:szCs w:val="12"/>
          <w:lang w:val="lv-LV"/>
        </w:rPr>
        <w:t xml:space="preserve"> Valsts nozīmes interešu izglītības iestādes statusu piešķir interešu izglītības iestādēm, kas īsteno interešu izglītības programmas, tai skaitā STEM jomās, un papildus veic interešu izglītības metodiskā atbalsta un pedagogu profesionālās kompetences pilnveides nodrošinājuma funkcijas. Plānots, ka katrā plānošanas reģionā (Kurzeme, Latgale, Vidzeme, Zemgale) darbojas ne vairāk kā divas valsts nozīmes interešu izglītības iestādes, bet Rīgā – ne vairāk, kā trīs valsts nozīmes interešu izglītības iestādes.</w:t>
      </w:r>
    </w:p>
  </w:footnote>
  <w:footnote w:id="20">
    <w:p w14:paraId="0106144E" w14:textId="77777777" w:rsidR="00B83D7D" w:rsidRPr="00B566DE" w:rsidRDefault="00B83D7D" w:rsidP="003229C8">
      <w:pPr>
        <w:pStyle w:val="FootnoteText"/>
        <w:jc w:val="both"/>
        <w:rPr>
          <w:sz w:val="12"/>
          <w:szCs w:val="12"/>
          <w:lang w:val="lv-LV"/>
        </w:rPr>
      </w:pPr>
      <w:r w:rsidRPr="00B566DE">
        <w:rPr>
          <w:rStyle w:val="FootnoteReference"/>
          <w:sz w:val="12"/>
          <w:szCs w:val="12"/>
        </w:rPr>
        <w:footnoteRef/>
      </w:r>
      <w:r w:rsidRPr="00B566DE">
        <w:rPr>
          <w:sz w:val="12"/>
          <w:szCs w:val="12"/>
          <w:lang w:val="lv-LV"/>
        </w:rPr>
        <w:t xml:space="preserve"> IZM informatīvais ziņojums "Par nepieciešamo finansējumu mācību priekšmetu olimpiāžu un skolēnu zinātniski pētnieciskā darba nodrošināšanai 2024. gadā".</w:t>
      </w:r>
    </w:p>
  </w:footnote>
  <w:footnote w:id="21">
    <w:p w14:paraId="48F5E038" w14:textId="77777777" w:rsidR="00B83D7D" w:rsidRDefault="00B83D7D" w:rsidP="003229C8">
      <w:pPr>
        <w:pStyle w:val="FootnoteText"/>
        <w:rPr>
          <w:rFonts w:cs="Calibri Light"/>
          <w:sz w:val="12"/>
          <w:szCs w:val="12"/>
          <w:lang w:val="lv-LV"/>
        </w:rPr>
      </w:pPr>
      <w:r>
        <w:rPr>
          <w:rStyle w:val="FootnoteReference"/>
          <w:rFonts w:cs="Calibri Light"/>
          <w:sz w:val="12"/>
          <w:szCs w:val="12"/>
        </w:rPr>
        <w:footnoteRef/>
      </w:r>
      <w:r>
        <w:rPr>
          <w:rFonts w:cs="Calibri Light"/>
          <w:sz w:val="12"/>
          <w:szCs w:val="12"/>
          <w:lang w:val="lv-LV"/>
        </w:rPr>
        <w:t xml:space="preserve"> </w:t>
      </w:r>
      <w:hyperlink r:id="rId17" w:history="1">
        <w:r>
          <w:rPr>
            <w:rStyle w:val="Hyperlink"/>
            <w:rFonts w:eastAsia="Calibri" w:cs="Calibri Light"/>
            <w:sz w:val="12"/>
            <w:szCs w:val="12"/>
            <w:lang w:val="lv-LV"/>
          </w:rPr>
          <w:t>https://likumi.lv/ta/id/325828-par-socialas-aizsardzibas-un-darba-tirgus-politikas-pamatnostadnem-2021-2027-gadam</w:t>
        </w:r>
      </w:hyperlink>
      <w:r>
        <w:rPr>
          <w:rFonts w:cs="Calibri Light"/>
          <w:sz w:val="12"/>
          <w:szCs w:val="12"/>
          <w:lang w:val="lv-LV"/>
        </w:rPr>
        <w:t xml:space="preserve"> </w:t>
      </w:r>
    </w:p>
  </w:footnote>
  <w:footnote w:id="22">
    <w:p w14:paraId="65330B4E" w14:textId="77777777" w:rsidR="00B83D7D" w:rsidRPr="007A1727" w:rsidRDefault="00B83D7D" w:rsidP="00277003">
      <w:pPr>
        <w:pStyle w:val="FootnoteText"/>
        <w:rPr>
          <w:sz w:val="16"/>
          <w:szCs w:val="16"/>
        </w:rPr>
      </w:pPr>
      <w:r>
        <w:rPr>
          <w:rStyle w:val="FootnoteReference"/>
          <w:sz w:val="16"/>
          <w:szCs w:val="16"/>
        </w:rPr>
        <w:footnoteRef/>
      </w:r>
      <w:r>
        <w:rPr>
          <w:sz w:val="16"/>
          <w:szCs w:val="16"/>
        </w:rPr>
        <w:t xml:space="preserve"> Pētījums pieejams: </w:t>
      </w:r>
      <w:hyperlink r:id="rId18" w:history="1">
        <w:r w:rsidRPr="00B06AF7">
          <w:rPr>
            <w:rStyle w:val="Hyperlink"/>
            <w:sz w:val="16"/>
            <w:szCs w:val="16"/>
          </w:rPr>
          <w:t>https://petijumi.mk.gov.lv/node/3417</w:t>
        </w:r>
      </w:hyperlink>
    </w:p>
  </w:footnote>
  <w:footnote w:id="23">
    <w:p w14:paraId="0EEB6299" w14:textId="39B3789B" w:rsidR="00B83D7D" w:rsidRPr="009D77C7" w:rsidRDefault="00B83D7D">
      <w:pPr>
        <w:pStyle w:val="FootnoteText"/>
        <w:rPr>
          <w:lang w:val="lv-LV"/>
        </w:rPr>
      </w:pPr>
      <w:r>
        <w:rPr>
          <w:rStyle w:val="FootnoteReference"/>
        </w:rPr>
        <w:footnoteRef/>
      </w:r>
      <w:r w:rsidRPr="005D0464">
        <w:t xml:space="preserve"> </w:t>
      </w:r>
      <w:r>
        <w:rPr>
          <w:sz w:val="16"/>
          <w:szCs w:val="16"/>
        </w:rPr>
        <w:t>I</w:t>
      </w:r>
      <w:r w:rsidRPr="005D0464">
        <w:rPr>
          <w:sz w:val="16"/>
          <w:szCs w:val="16"/>
        </w:rPr>
        <w:t xml:space="preserve">zglītības iestāžu obligāto centralizēto eksāmenu indeksa augstākās un zemākās vērtības atšķirības 2021./2022.m.g veidoja 32 procentpunktus: </w:t>
      </w:r>
      <w:hyperlink r:id="rId19" w:history="1">
        <w:r w:rsidRPr="005D0464">
          <w:rPr>
            <w:rStyle w:val="Hyperlink"/>
            <w:sz w:val="16"/>
            <w:szCs w:val="16"/>
          </w:rPr>
          <w:t>https://www.viis.gov.lv/dati/oce-rezultatu-indekss</w:t>
        </w:r>
      </w:hyperlink>
      <w:r w:rsidRPr="005D046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FF3"/>
    <w:multiLevelType w:val="multilevel"/>
    <w:tmpl w:val="D47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C3EAD"/>
    <w:multiLevelType w:val="multilevel"/>
    <w:tmpl w:val="649E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091096"/>
    <w:multiLevelType w:val="multilevel"/>
    <w:tmpl w:val="EB66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E1360C"/>
    <w:multiLevelType w:val="hybridMultilevel"/>
    <w:tmpl w:val="3432C896"/>
    <w:lvl w:ilvl="0" w:tplc="CDEEDB60">
      <w:start w:val="1"/>
      <w:numFmt w:val="bullet"/>
      <w:lvlRestart w:val="0"/>
      <w:lvlText w:val=""/>
      <w:lvlJc w:val="left"/>
      <w:pPr>
        <w:ind w:left="0" w:firstLine="705"/>
      </w:pPr>
      <w:rPr>
        <w:u w:val="none"/>
      </w:rPr>
    </w:lvl>
    <w:lvl w:ilvl="1" w:tplc="A240186E">
      <w:start w:val="1"/>
      <w:numFmt w:val="bullet"/>
      <w:lvlRestart w:val="0"/>
      <w:lvlText w:val=""/>
      <w:lvlJc w:val="left"/>
      <w:pPr>
        <w:ind w:left="0" w:firstLine="705"/>
      </w:pPr>
      <w:rPr>
        <w:u w:val="none"/>
      </w:rPr>
    </w:lvl>
    <w:lvl w:ilvl="2" w:tplc="AE70A946">
      <w:start w:val="1"/>
      <w:numFmt w:val="bullet"/>
      <w:lvlRestart w:val="1"/>
      <w:lvlText w:val=""/>
      <w:lvlJc w:val="left"/>
      <w:pPr>
        <w:ind w:left="0" w:firstLine="705"/>
      </w:pPr>
      <w:rPr>
        <w:u w:val="none"/>
      </w:rPr>
    </w:lvl>
    <w:lvl w:ilvl="3" w:tplc="751411B8">
      <w:numFmt w:val="decimal"/>
      <w:lvlText w:val=""/>
      <w:lvlJc w:val="left"/>
    </w:lvl>
    <w:lvl w:ilvl="4" w:tplc="0C5EF86C">
      <w:numFmt w:val="decimal"/>
      <w:lvlText w:val=""/>
      <w:lvlJc w:val="left"/>
    </w:lvl>
    <w:lvl w:ilvl="5" w:tplc="098EC61A">
      <w:numFmt w:val="decimal"/>
      <w:lvlText w:val=""/>
      <w:lvlJc w:val="left"/>
    </w:lvl>
    <w:lvl w:ilvl="6" w:tplc="8F924A6C">
      <w:numFmt w:val="decimal"/>
      <w:lvlText w:val=""/>
      <w:lvlJc w:val="left"/>
    </w:lvl>
    <w:lvl w:ilvl="7" w:tplc="87F07EE0">
      <w:numFmt w:val="decimal"/>
      <w:lvlText w:val=""/>
      <w:lvlJc w:val="left"/>
    </w:lvl>
    <w:lvl w:ilvl="8" w:tplc="BEEE3D74">
      <w:numFmt w:val="decimal"/>
      <w:lvlText w:val=""/>
      <w:lvlJc w:val="left"/>
    </w:lvl>
  </w:abstractNum>
  <w:abstractNum w:abstractNumId="4" w15:restartNumberingAfterBreak="0">
    <w:nsid w:val="08A1286A"/>
    <w:multiLevelType w:val="multilevel"/>
    <w:tmpl w:val="3DB2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BF4012"/>
    <w:multiLevelType w:val="multilevel"/>
    <w:tmpl w:val="60EA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753C95"/>
    <w:multiLevelType w:val="multilevel"/>
    <w:tmpl w:val="C044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E457CE"/>
    <w:multiLevelType w:val="multilevel"/>
    <w:tmpl w:val="65D0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773453"/>
    <w:multiLevelType w:val="multilevel"/>
    <w:tmpl w:val="30B8558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1B17386"/>
    <w:multiLevelType w:val="multilevel"/>
    <w:tmpl w:val="3A5E7F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29F23FC"/>
    <w:multiLevelType w:val="multilevel"/>
    <w:tmpl w:val="5D0E71A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18440BF9"/>
    <w:multiLevelType w:val="multilevel"/>
    <w:tmpl w:val="E29A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53646D"/>
    <w:multiLevelType w:val="multilevel"/>
    <w:tmpl w:val="EFCA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527CEF"/>
    <w:multiLevelType w:val="multilevel"/>
    <w:tmpl w:val="84E4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C95F1D"/>
    <w:multiLevelType w:val="multilevel"/>
    <w:tmpl w:val="29E0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BE1B55"/>
    <w:multiLevelType w:val="multilevel"/>
    <w:tmpl w:val="6796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E02B53"/>
    <w:multiLevelType w:val="multilevel"/>
    <w:tmpl w:val="ABAC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1D5FE2"/>
    <w:multiLevelType w:val="multilevel"/>
    <w:tmpl w:val="752A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823AD2"/>
    <w:multiLevelType w:val="multilevel"/>
    <w:tmpl w:val="8802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061BF1"/>
    <w:multiLevelType w:val="multilevel"/>
    <w:tmpl w:val="48A0A1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3AD2DBC"/>
    <w:multiLevelType w:val="multilevel"/>
    <w:tmpl w:val="8B4E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AF6B54"/>
    <w:multiLevelType w:val="multilevel"/>
    <w:tmpl w:val="A5F6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3269F7"/>
    <w:multiLevelType w:val="multilevel"/>
    <w:tmpl w:val="03E6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8E1182"/>
    <w:multiLevelType w:val="multilevel"/>
    <w:tmpl w:val="A4A2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78E0299"/>
    <w:multiLevelType w:val="multilevel"/>
    <w:tmpl w:val="CE50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0F362E"/>
    <w:multiLevelType w:val="hybridMultilevel"/>
    <w:tmpl w:val="772AF340"/>
    <w:lvl w:ilvl="0" w:tplc="1D9C310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A73179D"/>
    <w:multiLevelType w:val="multilevel"/>
    <w:tmpl w:val="38D4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AA5757"/>
    <w:multiLevelType w:val="multilevel"/>
    <w:tmpl w:val="DDA4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E239EB"/>
    <w:multiLevelType w:val="multilevel"/>
    <w:tmpl w:val="422E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474E3A"/>
    <w:multiLevelType w:val="multilevel"/>
    <w:tmpl w:val="B722346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3FD9399D"/>
    <w:multiLevelType w:val="multilevel"/>
    <w:tmpl w:val="F5BC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2F122E"/>
    <w:multiLevelType w:val="multilevel"/>
    <w:tmpl w:val="25DE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175645D"/>
    <w:multiLevelType w:val="multilevel"/>
    <w:tmpl w:val="FFAA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4C20549"/>
    <w:multiLevelType w:val="hybridMultilevel"/>
    <w:tmpl w:val="CFE87760"/>
    <w:lvl w:ilvl="0" w:tplc="2C0A0684">
      <w:start w:val="1"/>
      <w:numFmt w:val="bullet"/>
      <w:lvlText w:val=""/>
      <w:lvlJc w:val="left"/>
      <w:pPr>
        <w:ind w:left="720" w:hanging="360"/>
      </w:pPr>
      <w:rPr>
        <w:rFonts w:ascii="Symbol" w:hAnsi="Symbol"/>
      </w:rPr>
    </w:lvl>
    <w:lvl w:ilvl="1" w:tplc="6862F12C">
      <w:start w:val="1"/>
      <w:numFmt w:val="bullet"/>
      <w:lvlText w:val=""/>
      <w:lvlJc w:val="left"/>
      <w:pPr>
        <w:ind w:left="720" w:hanging="360"/>
      </w:pPr>
      <w:rPr>
        <w:rFonts w:ascii="Symbol" w:hAnsi="Symbol"/>
      </w:rPr>
    </w:lvl>
    <w:lvl w:ilvl="2" w:tplc="B7DA994E">
      <w:start w:val="1"/>
      <w:numFmt w:val="bullet"/>
      <w:lvlText w:val=""/>
      <w:lvlJc w:val="left"/>
      <w:pPr>
        <w:ind w:left="720" w:hanging="360"/>
      </w:pPr>
      <w:rPr>
        <w:rFonts w:ascii="Symbol" w:hAnsi="Symbol"/>
      </w:rPr>
    </w:lvl>
    <w:lvl w:ilvl="3" w:tplc="E6A61016">
      <w:start w:val="1"/>
      <w:numFmt w:val="bullet"/>
      <w:lvlText w:val=""/>
      <w:lvlJc w:val="left"/>
      <w:pPr>
        <w:ind w:left="720" w:hanging="360"/>
      </w:pPr>
      <w:rPr>
        <w:rFonts w:ascii="Symbol" w:hAnsi="Symbol"/>
      </w:rPr>
    </w:lvl>
    <w:lvl w:ilvl="4" w:tplc="770EBB24">
      <w:start w:val="1"/>
      <w:numFmt w:val="bullet"/>
      <w:lvlText w:val=""/>
      <w:lvlJc w:val="left"/>
      <w:pPr>
        <w:ind w:left="720" w:hanging="360"/>
      </w:pPr>
      <w:rPr>
        <w:rFonts w:ascii="Symbol" w:hAnsi="Symbol"/>
      </w:rPr>
    </w:lvl>
    <w:lvl w:ilvl="5" w:tplc="0338BF20">
      <w:start w:val="1"/>
      <w:numFmt w:val="bullet"/>
      <w:lvlText w:val=""/>
      <w:lvlJc w:val="left"/>
      <w:pPr>
        <w:ind w:left="720" w:hanging="360"/>
      </w:pPr>
      <w:rPr>
        <w:rFonts w:ascii="Symbol" w:hAnsi="Symbol"/>
      </w:rPr>
    </w:lvl>
    <w:lvl w:ilvl="6" w:tplc="AE58DE58">
      <w:start w:val="1"/>
      <w:numFmt w:val="bullet"/>
      <w:lvlText w:val=""/>
      <w:lvlJc w:val="left"/>
      <w:pPr>
        <w:ind w:left="720" w:hanging="360"/>
      </w:pPr>
      <w:rPr>
        <w:rFonts w:ascii="Symbol" w:hAnsi="Symbol"/>
      </w:rPr>
    </w:lvl>
    <w:lvl w:ilvl="7" w:tplc="749E7256">
      <w:start w:val="1"/>
      <w:numFmt w:val="bullet"/>
      <w:lvlText w:val=""/>
      <w:lvlJc w:val="left"/>
      <w:pPr>
        <w:ind w:left="720" w:hanging="360"/>
      </w:pPr>
      <w:rPr>
        <w:rFonts w:ascii="Symbol" w:hAnsi="Symbol"/>
      </w:rPr>
    </w:lvl>
    <w:lvl w:ilvl="8" w:tplc="E83ABDAA">
      <w:start w:val="1"/>
      <w:numFmt w:val="bullet"/>
      <w:lvlText w:val=""/>
      <w:lvlJc w:val="left"/>
      <w:pPr>
        <w:ind w:left="720" w:hanging="360"/>
      </w:pPr>
      <w:rPr>
        <w:rFonts w:ascii="Symbol" w:hAnsi="Symbol"/>
      </w:rPr>
    </w:lvl>
  </w:abstractNum>
  <w:abstractNum w:abstractNumId="34" w15:restartNumberingAfterBreak="0">
    <w:nsid w:val="44FB11AF"/>
    <w:multiLevelType w:val="multilevel"/>
    <w:tmpl w:val="38BE27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55F0246"/>
    <w:multiLevelType w:val="hybridMultilevel"/>
    <w:tmpl w:val="F27AC7C4"/>
    <w:lvl w:ilvl="0" w:tplc="1D9C310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479C7CEF"/>
    <w:multiLevelType w:val="hybridMultilevel"/>
    <w:tmpl w:val="64C43F08"/>
    <w:lvl w:ilvl="0" w:tplc="1D9C310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4C0F204E"/>
    <w:multiLevelType w:val="multilevel"/>
    <w:tmpl w:val="2244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E962264"/>
    <w:multiLevelType w:val="multilevel"/>
    <w:tmpl w:val="1AC4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F0F3EFE"/>
    <w:multiLevelType w:val="hybridMultilevel"/>
    <w:tmpl w:val="5DE0D7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F8C6B46"/>
    <w:multiLevelType w:val="hybridMultilevel"/>
    <w:tmpl w:val="5718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BC0EE3"/>
    <w:multiLevelType w:val="multilevel"/>
    <w:tmpl w:val="BC16518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52392A76"/>
    <w:multiLevelType w:val="hybridMultilevel"/>
    <w:tmpl w:val="7782489E"/>
    <w:lvl w:ilvl="0" w:tplc="3B4C5D7A">
      <w:start w:val="1"/>
      <w:numFmt w:val="bullet"/>
      <w:lvlText w:val=""/>
      <w:lvlJc w:val="left"/>
      <w:pPr>
        <w:ind w:left="720" w:hanging="360"/>
      </w:pPr>
      <w:rPr>
        <w:rFonts w:ascii="Symbol" w:hAnsi="Symbol"/>
      </w:rPr>
    </w:lvl>
    <w:lvl w:ilvl="1" w:tplc="694C2290">
      <w:start w:val="1"/>
      <w:numFmt w:val="bullet"/>
      <w:lvlText w:val=""/>
      <w:lvlJc w:val="left"/>
      <w:pPr>
        <w:ind w:left="720" w:hanging="360"/>
      </w:pPr>
      <w:rPr>
        <w:rFonts w:ascii="Symbol" w:hAnsi="Symbol"/>
      </w:rPr>
    </w:lvl>
    <w:lvl w:ilvl="2" w:tplc="5098541E">
      <w:start w:val="1"/>
      <w:numFmt w:val="bullet"/>
      <w:lvlText w:val=""/>
      <w:lvlJc w:val="left"/>
      <w:pPr>
        <w:ind w:left="720" w:hanging="360"/>
      </w:pPr>
      <w:rPr>
        <w:rFonts w:ascii="Symbol" w:hAnsi="Symbol"/>
      </w:rPr>
    </w:lvl>
    <w:lvl w:ilvl="3" w:tplc="570CE7AA">
      <w:start w:val="1"/>
      <w:numFmt w:val="bullet"/>
      <w:lvlText w:val=""/>
      <w:lvlJc w:val="left"/>
      <w:pPr>
        <w:ind w:left="720" w:hanging="360"/>
      </w:pPr>
      <w:rPr>
        <w:rFonts w:ascii="Symbol" w:hAnsi="Symbol"/>
      </w:rPr>
    </w:lvl>
    <w:lvl w:ilvl="4" w:tplc="058AD87A">
      <w:start w:val="1"/>
      <w:numFmt w:val="bullet"/>
      <w:lvlText w:val=""/>
      <w:lvlJc w:val="left"/>
      <w:pPr>
        <w:ind w:left="720" w:hanging="360"/>
      </w:pPr>
      <w:rPr>
        <w:rFonts w:ascii="Symbol" w:hAnsi="Symbol"/>
      </w:rPr>
    </w:lvl>
    <w:lvl w:ilvl="5" w:tplc="7B0E5782">
      <w:start w:val="1"/>
      <w:numFmt w:val="bullet"/>
      <w:lvlText w:val=""/>
      <w:lvlJc w:val="left"/>
      <w:pPr>
        <w:ind w:left="720" w:hanging="360"/>
      </w:pPr>
      <w:rPr>
        <w:rFonts w:ascii="Symbol" w:hAnsi="Symbol"/>
      </w:rPr>
    </w:lvl>
    <w:lvl w:ilvl="6" w:tplc="7A103CE4">
      <w:start w:val="1"/>
      <w:numFmt w:val="bullet"/>
      <w:lvlText w:val=""/>
      <w:lvlJc w:val="left"/>
      <w:pPr>
        <w:ind w:left="720" w:hanging="360"/>
      </w:pPr>
      <w:rPr>
        <w:rFonts w:ascii="Symbol" w:hAnsi="Symbol"/>
      </w:rPr>
    </w:lvl>
    <w:lvl w:ilvl="7" w:tplc="8BA48D62">
      <w:start w:val="1"/>
      <w:numFmt w:val="bullet"/>
      <w:lvlText w:val=""/>
      <w:lvlJc w:val="left"/>
      <w:pPr>
        <w:ind w:left="720" w:hanging="360"/>
      </w:pPr>
      <w:rPr>
        <w:rFonts w:ascii="Symbol" w:hAnsi="Symbol"/>
      </w:rPr>
    </w:lvl>
    <w:lvl w:ilvl="8" w:tplc="67AA59AA">
      <w:start w:val="1"/>
      <w:numFmt w:val="bullet"/>
      <w:lvlText w:val=""/>
      <w:lvlJc w:val="left"/>
      <w:pPr>
        <w:ind w:left="720" w:hanging="360"/>
      </w:pPr>
      <w:rPr>
        <w:rFonts w:ascii="Symbol" w:hAnsi="Symbol"/>
      </w:rPr>
    </w:lvl>
  </w:abstractNum>
  <w:abstractNum w:abstractNumId="43" w15:restartNumberingAfterBreak="0">
    <w:nsid w:val="5C7839A4"/>
    <w:multiLevelType w:val="multilevel"/>
    <w:tmpl w:val="EB92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2145E43"/>
    <w:multiLevelType w:val="multilevel"/>
    <w:tmpl w:val="DE92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3113FC0"/>
    <w:multiLevelType w:val="hybridMultilevel"/>
    <w:tmpl w:val="D124076E"/>
    <w:lvl w:ilvl="0" w:tplc="0426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4AF637B"/>
    <w:multiLevelType w:val="hybridMultilevel"/>
    <w:tmpl w:val="6F2C4D16"/>
    <w:lvl w:ilvl="0" w:tplc="F104DE5C">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5792EAE"/>
    <w:multiLevelType w:val="multilevel"/>
    <w:tmpl w:val="07F8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8985BC7"/>
    <w:multiLevelType w:val="multilevel"/>
    <w:tmpl w:val="5442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BD04E44"/>
    <w:multiLevelType w:val="multilevel"/>
    <w:tmpl w:val="7936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CF41CE2"/>
    <w:multiLevelType w:val="multilevel"/>
    <w:tmpl w:val="7B1C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D0120AF"/>
    <w:multiLevelType w:val="multilevel"/>
    <w:tmpl w:val="1C1C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004085D"/>
    <w:multiLevelType w:val="hybridMultilevel"/>
    <w:tmpl w:val="F05CAB10"/>
    <w:lvl w:ilvl="0" w:tplc="1D9C310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3" w15:restartNumberingAfterBreak="0">
    <w:nsid w:val="70C172D5"/>
    <w:multiLevelType w:val="hybridMultilevel"/>
    <w:tmpl w:val="3BF234A0"/>
    <w:lvl w:ilvl="0" w:tplc="63760DAA">
      <w:start w:val="1"/>
      <w:numFmt w:val="bullet"/>
      <w:lvlText w:val=""/>
      <w:lvlJc w:val="left"/>
      <w:pPr>
        <w:ind w:left="720" w:hanging="360"/>
      </w:pPr>
      <w:rPr>
        <w:rFonts w:ascii="Symbol" w:hAnsi="Symbol"/>
      </w:rPr>
    </w:lvl>
    <w:lvl w:ilvl="1" w:tplc="6EA419F0">
      <w:start w:val="1"/>
      <w:numFmt w:val="bullet"/>
      <w:lvlText w:val=""/>
      <w:lvlJc w:val="left"/>
      <w:pPr>
        <w:ind w:left="720" w:hanging="360"/>
      </w:pPr>
      <w:rPr>
        <w:rFonts w:ascii="Symbol" w:hAnsi="Symbol"/>
      </w:rPr>
    </w:lvl>
    <w:lvl w:ilvl="2" w:tplc="79961472">
      <w:start w:val="1"/>
      <w:numFmt w:val="bullet"/>
      <w:lvlText w:val=""/>
      <w:lvlJc w:val="left"/>
      <w:pPr>
        <w:ind w:left="720" w:hanging="360"/>
      </w:pPr>
      <w:rPr>
        <w:rFonts w:ascii="Symbol" w:hAnsi="Symbol"/>
      </w:rPr>
    </w:lvl>
    <w:lvl w:ilvl="3" w:tplc="C152173E">
      <w:start w:val="1"/>
      <w:numFmt w:val="bullet"/>
      <w:lvlText w:val=""/>
      <w:lvlJc w:val="left"/>
      <w:pPr>
        <w:ind w:left="720" w:hanging="360"/>
      </w:pPr>
      <w:rPr>
        <w:rFonts w:ascii="Symbol" w:hAnsi="Symbol"/>
      </w:rPr>
    </w:lvl>
    <w:lvl w:ilvl="4" w:tplc="03289182">
      <w:start w:val="1"/>
      <w:numFmt w:val="bullet"/>
      <w:lvlText w:val=""/>
      <w:lvlJc w:val="left"/>
      <w:pPr>
        <w:ind w:left="720" w:hanging="360"/>
      </w:pPr>
      <w:rPr>
        <w:rFonts w:ascii="Symbol" w:hAnsi="Symbol"/>
      </w:rPr>
    </w:lvl>
    <w:lvl w:ilvl="5" w:tplc="B4FCB2E6">
      <w:start w:val="1"/>
      <w:numFmt w:val="bullet"/>
      <w:lvlText w:val=""/>
      <w:lvlJc w:val="left"/>
      <w:pPr>
        <w:ind w:left="720" w:hanging="360"/>
      </w:pPr>
      <w:rPr>
        <w:rFonts w:ascii="Symbol" w:hAnsi="Symbol"/>
      </w:rPr>
    </w:lvl>
    <w:lvl w:ilvl="6" w:tplc="C11E4940">
      <w:start w:val="1"/>
      <w:numFmt w:val="bullet"/>
      <w:lvlText w:val=""/>
      <w:lvlJc w:val="left"/>
      <w:pPr>
        <w:ind w:left="720" w:hanging="360"/>
      </w:pPr>
      <w:rPr>
        <w:rFonts w:ascii="Symbol" w:hAnsi="Symbol"/>
      </w:rPr>
    </w:lvl>
    <w:lvl w:ilvl="7" w:tplc="AFE69082">
      <w:start w:val="1"/>
      <w:numFmt w:val="bullet"/>
      <w:lvlText w:val=""/>
      <w:lvlJc w:val="left"/>
      <w:pPr>
        <w:ind w:left="720" w:hanging="360"/>
      </w:pPr>
      <w:rPr>
        <w:rFonts w:ascii="Symbol" w:hAnsi="Symbol"/>
      </w:rPr>
    </w:lvl>
    <w:lvl w:ilvl="8" w:tplc="4DF04264">
      <w:start w:val="1"/>
      <w:numFmt w:val="bullet"/>
      <w:lvlText w:val=""/>
      <w:lvlJc w:val="left"/>
      <w:pPr>
        <w:ind w:left="720" w:hanging="360"/>
      </w:pPr>
      <w:rPr>
        <w:rFonts w:ascii="Symbol" w:hAnsi="Symbol"/>
      </w:rPr>
    </w:lvl>
  </w:abstractNum>
  <w:abstractNum w:abstractNumId="54" w15:restartNumberingAfterBreak="0">
    <w:nsid w:val="73973678"/>
    <w:multiLevelType w:val="multilevel"/>
    <w:tmpl w:val="C64CF1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7426E0D"/>
    <w:multiLevelType w:val="multilevel"/>
    <w:tmpl w:val="5A2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742751E"/>
    <w:multiLevelType w:val="multilevel"/>
    <w:tmpl w:val="AA8A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5"/>
  </w:num>
  <w:num w:numId="2">
    <w:abstractNumId w:val="45"/>
  </w:num>
  <w:num w:numId="3">
    <w:abstractNumId w:val="40"/>
  </w:num>
  <w:num w:numId="4">
    <w:abstractNumId w:val="25"/>
  </w:num>
  <w:num w:numId="5">
    <w:abstractNumId w:val="36"/>
  </w:num>
  <w:num w:numId="6">
    <w:abstractNumId w:val="52"/>
  </w:num>
  <w:num w:numId="7">
    <w:abstractNumId w:val="39"/>
  </w:num>
  <w:num w:numId="8">
    <w:abstractNumId w:val="8"/>
  </w:num>
  <w:num w:numId="9">
    <w:abstractNumId w:val="11"/>
  </w:num>
  <w:num w:numId="10">
    <w:abstractNumId w:val="55"/>
  </w:num>
  <w:num w:numId="11">
    <w:abstractNumId w:val="15"/>
  </w:num>
  <w:num w:numId="12">
    <w:abstractNumId w:val="0"/>
  </w:num>
  <w:num w:numId="13">
    <w:abstractNumId w:val="1"/>
  </w:num>
  <w:num w:numId="14">
    <w:abstractNumId w:val="17"/>
  </w:num>
  <w:num w:numId="15">
    <w:abstractNumId w:val="37"/>
  </w:num>
  <w:num w:numId="16">
    <w:abstractNumId w:val="2"/>
  </w:num>
  <w:num w:numId="17">
    <w:abstractNumId w:val="12"/>
  </w:num>
  <w:num w:numId="18">
    <w:abstractNumId w:val="38"/>
  </w:num>
  <w:num w:numId="19">
    <w:abstractNumId w:val="4"/>
  </w:num>
  <w:num w:numId="20">
    <w:abstractNumId w:val="41"/>
  </w:num>
  <w:num w:numId="21">
    <w:abstractNumId w:val="49"/>
  </w:num>
  <w:num w:numId="22">
    <w:abstractNumId w:val="43"/>
  </w:num>
  <w:num w:numId="23">
    <w:abstractNumId w:val="6"/>
  </w:num>
  <w:num w:numId="24">
    <w:abstractNumId w:val="27"/>
  </w:num>
  <w:num w:numId="25">
    <w:abstractNumId w:val="7"/>
  </w:num>
  <w:num w:numId="26">
    <w:abstractNumId w:val="23"/>
  </w:num>
  <w:num w:numId="27">
    <w:abstractNumId w:val="14"/>
  </w:num>
  <w:num w:numId="28">
    <w:abstractNumId w:val="10"/>
  </w:num>
  <w:num w:numId="29">
    <w:abstractNumId w:val="20"/>
  </w:num>
  <w:num w:numId="30">
    <w:abstractNumId w:val="31"/>
  </w:num>
  <w:num w:numId="31">
    <w:abstractNumId w:val="18"/>
  </w:num>
  <w:num w:numId="32">
    <w:abstractNumId w:val="47"/>
  </w:num>
  <w:num w:numId="33">
    <w:abstractNumId w:val="29"/>
  </w:num>
  <w:num w:numId="34">
    <w:abstractNumId w:val="9"/>
  </w:num>
  <w:num w:numId="35">
    <w:abstractNumId w:val="21"/>
  </w:num>
  <w:num w:numId="36">
    <w:abstractNumId w:val="48"/>
  </w:num>
  <w:num w:numId="37">
    <w:abstractNumId w:val="30"/>
  </w:num>
  <w:num w:numId="38">
    <w:abstractNumId w:val="54"/>
  </w:num>
  <w:num w:numId="39">
    <w:abstractNumId w:val="26"/>
  </w:num>
  <w:num w:numId="40">
    <w:abstractNumId w:val="32"/>
  </w:num>
  <w:num w:numId="41">
    <w:abstractNumId w:val="56"/>
  </w:num>
  <w:num w:numId="42">
    <w:abstractNumId w:val="50"/>
  </w:num>
  <w:num w:numId="43">
    <w:abstractNumId w:val="28"/>
  </w:num>
  <w:num w:numId="44">
    <w:abstractNumId w:val="19"/>
  </w:num>
  <w:num w:numId="45">
    <w:abstractNumId w:val="51"/>
  </w:num>
  <w:num w:numId="46">
    <w:abstractNumId w:val="44"/>
  </w:num>
  <w:num w:numId="47">
    <w:abstractNumId w:val="5"/>
  </w:num>
  <w:num w:numId="48">
    <w:abstractNumId w:val="34"/>
  </w:num>
  <w:num w:numId="49">
    <w:abstractNumId w:val="22"/>
  </w:num>
  <w:num w:numId="50">
    <w:abstractNumId w:val="13"/>
  </w:num>
  <w:num w:numId="51">
    <w:abstractNumId w:val="16"/>
  </w:num>
  <w:num w:numId="52">
    <w:abstractNumId w:val="24"/>
  </w:num>
  <w:num w:numId="53">
    <w:abstractNumId w:val="46"/>
  </w:num>
  <w:num w:numId="54">
    <w:abstractNumId w:val="3"/>
  </w:num>
  <w:num w:numId="55">
    <w:abstractNumId w:val="33"/>
  </w:num>
  <w:num w:numId="56">
    <w:abstractNumId w:val="42"/>
  </w:num>
  <w:num w:numId="57">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drawingGridHorizontalSpacing w:val="140"/>
  <w:drawingGridVerticalSpacing w:val="381"/>
  <w:displayHorizontalDrawingGridEvery w:val="2"/>
  <w:characterSpacingControl w:val="doNotCompress"/>
  <w:hdrShapeDefaults>
    <o:shapedefaults v:ext="edit" spidmax="2096"/>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C45"/>
    <w:rsid w:val="00002745"/>
    <w:rsid w:val="00002F07"/>
    <w:rsid w:val="00002F72"/>
    <w:rsid w:val="00003021"/>
    <w:rsid w:val="000032AF"/>
    <w:rsid w:val="0000371C"/>
    <w:rsid w:val="000039AA"/>
    <w:rsid w:val="00005963"/>
    <w:rsid w:val="00005BF8"/>
    <w:rsid w:val="0000626E"/>
    <w:rsid w:val="0000696C"/>
    <w:rsid w:val="000069DF"/>
    <w:rsid w:val="00006A50"/>
    <w:rsid w:val="000076D3"/>
    <w:rsid w:val="000107EE"/>
    <w:rsid w:val="00010811"/>
    <w:rsid w:val="00011358"/>
    <w:rsid w:val="000115DB"/>
    <w:rsid w:val="000118EB"/>
    <w:rsid w:val="00011BA6"/>
    <w:rsid w:val="00012594"/>
    <w:rsid w:val="00012B12"/>
    <w:rsid w:val="00012BB6"/>
    <w:rsid w:val="00013AAF"/>
    <w:rsid w:val="00013E96"/>
    <w:rsid w:val="00015B25"/>
    <w:rsid w:val="00015DCA"/>
    <w:rsid w:val="0001630A"/>
    <w:rsid w:val="00017529"/>
    <w:rsid w:val="00017922"/>
    <w:rsid w:val="000206F9"/>
    <w:rsid w:val="00020EC7"/>
    <w:rsid w:val="00021B0C"/>
    <w:rsid w:val="00021B95"/>
    <w:rsid w:val="00022428"/>
    <w:rsid w:val="0002262C"/>
    <w:rsid w:val="00022F92"/>
    <w:rsid w:val="00023223"/>
    <w:rsid w:val="00023CA9"/>
    <w:rsid w:val="00023F9B"/>
    <w:rsid w:val="0002400D"/>
    <w:rsid w:val="00024417"/>
    <w:rsid w:val="00024B8C"/>
    <w:rsid w:val="00025317"/>
    <w:rsid w:val="000258B9"/>
    <w:rsid w:val="00025FE4"/>
    <w:rsid w:val="00026013"/>
    <w:rsid w:val="0002608F"/>
    <w:rsid w:val="0002649D"/>
    <w:rsid w:val="0002694C"/>
    <w:rsid w:val="00026AE9"/>
    <w:rsid w:val="00027C28"/>
    <w:rsid w:val="00027D54"/>
    <w:rsid w:val="00030E97"/>
    <w:rsid w:val="000310A9"/>
    <w:rsid w:val="000311FB"/>
    <w:rsid w:val="000315E3"/>
    <w:rsid w:val="00031708"/>
    <w:rsid w:val="00032404"/>
    <w:rsid w:val="0003261A"/>
    <w:rsid w:val="00032C52"/>
    <w:rsid w:val="000331B2"/>
    <w:rsid w:val="00033629"/>
    <w:rsid w:val="00033C5C"/>
    <w:rsid w:val="00033ECE"/>
    <w:rsid w:val="000344D0"/>
    <w:rsid w:val="000344EA"/>
    <w:rsid w:val="000345B8"/>
    <w:rsid w:val="00034CD6"/>
    <w:rsid w:val="00035C7F"/>
    <w:rsid w:val="00035D4C"/>
    <w:rsid w:val="00035D66"/>
    <w:rsid w:val="000360BC"/>
    <w:rsid w:val="000363EB"/>
    <w:rsid w:val="00036825"/>
    <w:rsid w:val="00036F02"/>
    <w:rsid w:val="000402EB"/>
    <w:rsid w:val="000402FB"/>
    <w:rsid w:val="0004077B"/>
    <w:rsid w:val="00041716"/>
    <w:rsid w:val="0004197D"/>
    <w:rsid w:val="00042F11"/>
    <w:rsid w:val="00043271"/>
    <w:rsid w:val="00043935"/>
    <w:rsid w:val="00043A2E"/>
    <w:rsid w:val="00043D23"/>
    <w:rsid w:val="0004417C"/>
    <w:rsid w:val="00044A89"/>
    <w:rsid w:val="00045524"/>
    <w:rsid w:val="00045A17"/>
    <w:rsid w:val="00045A9E"/>
    <w:rsid w:val="000460BA"/>
    <w:rsid w:val="00046B8B"/>
    <w:rsid w:val="0004799B"/>
    <w:rsid w:val="00047DB9"/>
    <w:rsid w:val="0005082E"/>
    <w:rsid w:val="00051CF7"/>
    <w:rsid w:val="00051F55"/>
    <w:rsid w:val="00051FFE"/>
    <w:rsid w:val="0005200E"/>
    <w:rsid w:val="00052052"/>
    <w:rsid w:val="0005216F"/>
    <w:rsid w:val="00052EA8"/>
    <w:rsid w:val="00053192"/>
    <w:rsid w:val="00053604"/>
    <w:rsid w:val="00053BFB"/>
    <w:rsid w:val="00053D89"/>
    <w:rsid w:val="00053E51"/>
    <w:rsid w:val="00054442"/>
    <w:rsid w:val="000545D7"/>
    <w:rsid w:val="00055177"/>
    <w:rsid w:val="00055A00"/>
    <w:rsid w:val="00055A16"/>
    <w:rsid w:val="00055F5F"/>
    <w:rsid w:val="000562A8"/>
    <w:rsid w:val="000565D8"/>
    <w:rsid w:val="00056CE4"/>
    <w:rsid w:val="000573C9"/>
    <w:rsid w:val="0005763C"/>
    <w:rsid w:val="00057ABE"/>
    <w:rsid w:val="00057FEE"/>
    <w:rsid w:val="000602CB"/>
    <w:rsid w:val="00060DDC"/>
    <w:rsid w:val="00060F8B"/>
    <w:rsid w:val="00061874"/>
    <w:rsid w:val="00061B83"/>
    <w:rsid w:val="00061C54"/>
    <w:rsid w:val="000629C8"/>
    <w:rsid w:val="00063374"/>
    <w:rsid w:val="000634D0"/>
    <w:rsid w:val="0006364C"/>
    <w:rsid w:val="00063A4B"/>
    <w:rsid w:val="00064046"/>
    <w:rsid w:val="00065E94"/>
    <w:rsid w:val="0006672E"/>
    <w:rsid w:val="00067F83"/>
    <w:rsid w:val="000700B8"/>
    <w:rsid w:val="00070EBB"/>
    <w:rsid w:val="00070FFF"/>
    <w:rsid w:val="00071E83"/>
    <w:rsid w:val="00071E95"/>
    <w:rsid w:val="00072430"/>
    <w:rsid w:val="00072D8C"/>
    <w:rsid w:val="0007309C"/>
    <w:rsid w:val="0007342C"/>
    <w:rsid w:val="000738BC"/>
    <w:rsid w:val="00073A4F"/>
    <w:rsid w:val="00073AA3"/>
    <w:rsid w:val="000747BE"/>
    <w:rsid w:val="00074B0F"/>
    <w:rsid w:val="00075310"/>
    <w:rsid w:val="0007539E"/>
    <w:rsid w:val="0007571F"/>
    <w:rsid w:val="00076F9B"/>
    <w:rsid w:val="0007717B"/>
    <w:rsid w:val="0007747D"/>
    <w:rsid w:val="00077742"/>
    <w:rsid w:val="000777C2"/>
    <w:rsid w:val="000800F5"/>
    <w:rsid w:val="00080283"/>
    <w:rsid w:val="00080599"/>
    <w:rsid w:val="00080A71"/>
    <w:rsid w:val="00080ED4"/>
    <w:rsid w:val="00080FDA"/>
    <w:rsid w:val="000816FF"/>
    <w:rsid w:val="00081838"/>
    <w:rsid w:val="00082164"/>
    <w:rsid w:val="00082291"/>
    <w:rsid w:val="00082FD2"/>
    <w:rsid w:val="00083097"/>
    <w:rsid w:val="00083F4C"/>
    <w:rsid w:val="00085214"/>
    <w:rsid w:val="000861BC"/>
    <w:rsid w:val="00086BB0"/>
    <w:rsid w:val="00086FA3"/>
    <w:rsid w:val="000873F1"/>
    <w:rsid w:val="00087636"/>
    <w:rsid w:val="000901DB"/>
    <w:rsid w:val="000907EB"/>
    <w:rsid w:val="0009094A"/>
    <w:rsid w:val="000916AA"/>
    <w:rsid w:val="000918C0"/>
    <w:rsid w:val="00091958"/>
    <w:rsid w:val="000925F2"/>
    <w:rsid w:val="00092986"/>
    <w:rsid w:val="00093692"/>
    <w:rsid w:val="00093698"/>
    <w:rsid w:val="000947D1"/>
    <w:rsid w:val="00094D86"/>
    <w:rsid w:val="00094EA1"/>
    <w:rsid w:val="000951DB"/>
    <w:rsid w:val="000953E4"/>
    <w:rsid w:val="00095FE7"/>
    <w:rsid w:val="000970A1"/>
    <w:rsid w:val="0009793F"/>
    <w:rsid w:val="00097A08"/>
    <w:rsid w:val="000A0737"/>
    <w:rsid w:val="000A0CD7"/>
    <w:rsid w:val="000A1010"/>
    <w:rsid w:val="000A16F4"/>
    <w:rsid w:val="000A1F99"/>
    <w:rsid w:val="000A24D8"/>
    <w:rsid w:val="000A297A"/>
    <w:rsid w:val="000A2A6B"/>
    <w:rsid w:val="000A2D0F"/>
    <w:rsid w:val="000A4326"/>
    <w:rsid w:val="000A4643"/>
    <w:rsid w:val="000A4700"/>
    <w:rsid w:val="000A4704"/>
    <w:rsid w:val="000A4C4E"/>
    <w:rsid w:val="000A51AB"/>
    <w:rsid w:val="000A5226"/>
    <w:rsid w:val="000A5553"/>
    <w:rsid w:val="000A57EB"/>
    <w:rsid w:val="000A67CE"/>
    <w:rsid w:val="000A6F5F"/>
    <w:rsid w:val="000A7773"/>
    <w:rsid w:val="000A7A55"/>
    <w:rsid w:val="000A7AA4"/>
    <w:rsid w:val="000A7DCD"/>
    <w:rsid w:val="000A7F24"/>
    <w:rsid w:val="000B0A51"/>
    <w:rsid w:val="000B119E"/>
    <w:rsid w:val="000B11B0"/>
    <w:rsid w:val="000B1570"/>
    <w:rsid w:val="000B22FA"/>
    <w:rsid w:val="000B23D7"/>
    <w:rsid w:val="000B2803"/>
    <w:rsid w:val="000B305D"/>
    <w:rsid w:val="000B388A"/>
    <w:rsid w:val="000B3C76"/>
    <w:rsid w:val="000B3F02"/>
    <w:rsid w:val="000B45D7"/>
    <w:rsid w:val="000B4943"/>
    <w:rsid w:val="000B4B97"/>
    <w:rsid w:val="000B6AA5"/>
    <w:rsid w:val="000B6B77"/>
    <w:rsid w:val="000B6C1C"/>
    <w:rsid w:val="000B71F1"/>
    <w:rsid w:val="000C0021"/>
    <w:rsid w:val="000C1272"/>
    <w:rsid w:val="000C12CB"/>
    <w:rsid w:val="000C13A7"/>
    <w:rsid w:val="000C2A3D"/>
    <w:rsid w:val="000C2FB9"/>
    <w:rsid w:val="000C3B60"/>
    <w:rsid w:val="000C3B83"/>
    <w:rsid w:val="000C4D0D"/>
    <w:rsid w:val="000C4FB2"/>
    <w:rsid w:val="000C5669"/>
    <w:rsid w:val="000C591A"/>
    <w:rsid w:val="000C64D3"/>
    <w:rsid w:val="000C656C"/>
    <w:rsid w:val="000C6D02"/>
    <w:rsid w:val="000C7BBD"/>
    <w:rsid w:val="000D0995"/>
    <w:rsid w:val="000D0B43"/>
    <w:rsid w:val="000D1E0A"/>
    <w:rsid w:val="000D1E7B"/>
    <w:rsid w:val="000D2159"/>
    <w:rsid w:val="000D2332"/>
    <w:rsid w:val="000D266A"/>
    <w:rsid w:val="000D2C4C"/>
    <w:rsid w:val="000D3F34"/>
    <w:rsid w:val="000D4496"/>
    <w:rsid w:val="000D4904"/>
    <w:rsid w:val="000D4E7D"/>
    <w:rsid w:val="000D6B8B"/>
    <w:rsid w:val="000D6C1A"/>
    <w:rsid w:val="000D7BC9"/>
    <w:rsid w:val="000E04B4"/>
    <w:rsid w:val="000E0A60"/>
    <w:rsid w:val="000E0E12"/>
    <w:rsid w:val="000E1403"/>
    <w:rsid w:val="000E184A"/>
    <w:rsid w:val="000E1E1A"/>
    <w:rsid w:val="000E2B79"/>
    <w:rsid w:val="000E4346"/>
    <w:rsid w:val="000E47EB"/>
    <w:rsid w:val="000E4F1B"/>
    <w:rsid w:val="000E509C"/>
    <w:rsid w:val="000E5484"/>
    <w:rsid w:val="000E58D4"/>
    <w:rsid w:val="000E5937"/>
    <w:rsid w:val="000E6A07"/>
    <w:rsid w:val="000E6AE4"/>
    <w:rsid w:val="000E6FC8"/>
    <w:rsid w:val="000E76F4"/>
    <w:rsid w:val="000E7B5E"/>
    <w:rsid w:val="000F006F"/>
    <w:rsid w:val="000F00B6"/>
    <w:rsid w:val="000F0179"/>
    <w:rsid w:val="000F10CC"/>
    <w:rsid w:val="000F15D1"/>
    <w:rsid w:val="000F1B37"/>
    <w:rsid w:val="000F1C0B"/>
    <w:rsid w:val="000F1F91"/>
    <w:rsid w:val="000F2DF0"/>
    <w:rsid w:val="000F2E1A"/>
    <w:rsid w:val="000F31FA"/>
    <w:rsid w:val="000F36F1"/>
    <w:rsid w:val="000F4691"/>
    <w:rsid w:val="000F473B"/>
    <w:rsid w:val="000F4966"/>
    <w:rsid w:val="000F4D41"/>
    <w:rsid w:val="000F4E0F"/>
    <w:rsid w:val="000F4F82"/>
    <w:rsid w:val="000F5508"/>
    <w:rsid w:val="000F58CE"/>
    <w:rsid w:val="000F5A3D"/>
    <w:rsid w:val="000F5FB0"/>
    <w:rsid w:val="000F6060"/>
    <w:rsid w:val="000F612B"/>
    <w:rsid w:val="000F6BD3"/>
    <w:rsid w:val="000F6EFE"/>
    <w:rsid w:val="000F71A3"/>
    <w:rsid w:val="000F7D66"/>
    <w:rsid w:val="001014E6"/>
    <w:rsid w:val="00101EA1"/>
    <w:rsid w:val="00101F8F"/>
    <w:rsid w:val="00101FAA"/>
    <w:rsid w:val="00102234"/>
    <w:rsid w:val="0010278C"/>
    <w:rsid w:val="00103B84"/>
    <w:rsid w:val="00103CD6"/>
    <w:rsid w:val="00104197"/>
    <w:rsid w:val="0010420D"/>
    <w:rsid w:val="00104610"/>
    <w:rsid w:val="00104703"/>
    <w:rsid w:val="00104961"/>
    <w:rsid w:val="00104DB7"/>
    <w:rsid w:val="001055F3"/>
    <w:rsid w:val="00105791"/>
    <w:rsid w:val="00105B2A"/>
    <w:rsid w:val="00105EF4"/>
    <w:rsid w:val="00106238"/>
    <w:rsid w:val="00106DA0"/>
    <w:rsid w:val="00106F5F"/>
    <w:rsid w:val="001074D7"/>
    <w:rsid w:val="00107614"/>
    <w:rsid w:val="00107728"/>
    <w:rsid w:val="00107781"/>
    <w:rsid w:val="00107863"/>
    <w:rsid w:val="00110A3F"/>
    <w:rsid w:val="00111436"/>
    <w:rsid w:val="0011148F"/>
    <w:rsid w:val="00111A39"/>
    <w:rsid w:val="001125B2"/>
    <w:rsid w:val="0011266B"/>
    <w:rsid w:val="00112683"/>
    <w:rsid w:val="00112844"/>
    <w:rsid w:val="001133C1"/>
    <w:rsid w:val="001136AE"/>
    <w:rsid w:val="00113AE4"/>
    <w:rsid w:val="00114E5A"/>
    <w:rsid w:val="00115532"/>
    <w:rsid w:val="00115BA1"/>
    <w:rsid w:val="0011634C"/>
    <w:rsid w:val="00116E76"/>
    <w:rsid w:val="0011719C"/>
    <w:rsid w:val="001179C2"/>
    <w:rsid w:val="00117AEA"/>
    <w:rsid w:val="00117BEB"/>
    <w:rsid w:val="00117C85"/>
    <w:rsid w:val="00117F04"/>
    <w:rsid w:val="0012066C"/>
    <w:rsid w:val="0012148D"/>
    <w:rsid w:val="0012202B"/>
    <w:rsid w:val="0012245D"/>
    <w:rsid w:val="00122568"/>
    <w:rsid w:val="00122DE3"/>
    <w:rsid w:val="001231A9"/>
    <w:rsid w:val="001237C9"/>
    <w:rsid w:val="00123D5B"/>
    <w:rsid w:val="001243DC"/>
    <w:rsid w:val="00124ECC"/>
    <w:rsid w:val="00124FBF"/>
    <w:rsid w:val="0012518D"/>
    <w:rsid w:val="00125280"/>
    <w:rsid w:val="001268D6"/>
    <w:rsid w:val="00127E70"/>
    <w:rsid w:val="001306C1"/>
    <w:rsid w:val="001306EC"/>
    <w:rsid w:val="00130938"/>
    <w:rsid w:val="00130A19"/>
    <w:rsid w:val="00132769"/>
    <w:rsid w:val="00132A6A"/>
    <w:rsid w:val="0013312A"/>
    <w:rsid w:val="00133C86"/>
    <w:rsid w:val="0013499C"/>
    <w:rsid w:val="00135095"/>
    <w:rsid w:val="001352F0"/>
    <w:rsid w:val="00135432"/>
    <w:rsid w:val="00135BC2"/>
    <w:rsid w:val="00135C09"/>
    <w:rsid w:val="00135FF2"/>
    <w:rsid w:val="00136038"/>
    <w:rsid w:val="0013604B"/>
    <w:rsid w:val="001361AF"/>
    <w:rsid w:val="00136632"/>
    <w:rsid w:val="001366B0"/>
    <w:rsid w:val="00136719"/>
    <w:rsid w:val="00136884"/>
    <w:rsid w:val="00137191"/>
    <w:rsid w:val="00140778"/>
    <w:rsid w:val="00140879"/>
    <w:rsid w:val="00141AC0"/>
    <w:rsid w:val="00142420"/>
    <w:rsid w:val="001429D1"/>
    <w:rsid w:val="00142F8A"/>
    <w:rsid w:val="00143658"/>
    <w:rsid w:val="00143CE5"/>
    <w:rsid w:val="00143DCE"/>
    <w:rsid w:val="00144A2F"/>
    <w:rsid w:val="00144BE3"/>
    <w:rsid w:val="0014587B"/>
    <w:rsid w:val="00145CFB"/>
    <w:rsid w:val="00147910"/>
    <w:rsid w:val="00147A79"/>
    <w:rsid w:val="001503E4"/>
    <w:rsid w:val="00151099"/>
    <w:rsid w:val="0015142E"/>
    <w:rsid w:val="00151504"/>
    <w:rsid w:val="00151549"/>
    <w:rsid w:val="00152B5F"/>
    <w:rsid w:val="001535D5"/>
    <w:rsid w:val="0015455B"/>
    <w:rsid w:val="001548CD"/>
    <w:rsid w:val="0015494F"/>
    <w:rsid w:val="00155137"/>
    <w:rsid w:val="0015531A"/>
    <w:rsid w:val="00156EE6"/>
    <w:rsid w:val="00156FDA"/>
    <w:rsid w:val="00157303"/>
    <w:rsid w:val="0016098F"/>
    <w:rsid w:val="00160C8C"/>
    <w:rsid w:val="00160DF5"/>
    <w:rsid w:val="001616E7"/>
    <w:rsid w:val="001619AE"/>
    <w:rsid w:val="0016224B"/>
    <w:rsid w:val="00162D70"/>
    <w:rsid w:val="001637D2"/>
    <w:rsid w:val="00164033"/>
    <w:rsid w:val="001641BB"/>
    <w:rsid w:val="0016457F"/>
    <w:rsid w:val="00164773"/>
    <w:rsid w:val="0016501B"/>
    <w:rsid w:val="00165110"/>
    <w:rsid w:val="001651D5"/>
    <w:rsid w:val="00165F98"/>
    <w:rsid w:val="0016645F"/>
    <w:rsid w:val="00166D26"/>
    <w:rsid w:val="00166DE1"/>
    <w:rsid w:val="00167118"/>
    <w:rsid w:val="001674A5"/>
    <w:rsid w:val="00167EB6"/>
    <w:rsid w:val="0017057F"/>
    <w:rsid w:val="0017182B"/>
    <w:rsid w:val="00171841"/>
    <w:rsid w:val="00172504"/>
    <w:rsid w:val="00172594"/>
    <w:rsid w:val="0017292A"/>
    <w:rsid w:val="00172A34"/>
    <w:rsid w:val="00172C2A"/>
    <w:rsid w:val="00172C5E"/>
    <w:rsid w:val="00172E16"/>
    <w:rsid w:val="00172FCC"/>
    <w:rsid w:val="001737F4"/>
    <w:rsid w:val="0017450F"/>
    <w:rsid w:val="001751C8"/>
    <w:rsid w:val="00175DAA"/>
    <w:rsid w:val="00175EF2"/>
    <w:rsid w:val="00176803"/>
    <w:rsid w:val="00176879"/>
    <w:rsid w:val="00176BD4"/>
    <w:rsid w:val="00176ECD"/>
    <w:rsid w:val="00177098"/>
    <w:rsid w:val="00177246"/>
    <w:rsid w:val="001774CB"/>
    <w:rsid w:val="00177A58"/>
    <w:rsid w:val="00177C1C"/>
    <w:rsid w:val="00177E9D"/>
    <w:rsid w:val="00180228"/>
    <w:rsid w:val="00180283"/>
    <w:rsid w:val="00180563"/>
    <w:rsid w:val="00180B0D"/>
    <w:rsid w:val="00181D93"/>
    <w:rsid w:val="00181E1E"/>
    <w:rsid w:val="00181F4C"/>
    <w:rsid w:val="00182D83"/>
    <w:rsid w:val="001837B3"/>
    <w:rsid w:val="0018412F"/>
    <w:rsid w:val="00184384"/>
    <w:rsid w:val="00184436"/>
    <w:rsid w:val="00184476"/>
    <w:rsid w:val="00184A1D"/>
    <w:rsid w:val="00184BD8"/>
    <w:rsid w:val="00185EAB"/>
    <w:rsid w:val="001867C7"/>
    <w:rsid w:val="00186C0C"/>
    <w:rsid w:val="001878C1"/>
    <w:rsid w:val="00187F64"/>
    <w:rsid w:val="00190A50"/>
    <w:rsid w:val="00190BB3"/>
    <w:rsid w:val="001919A8"/>
    <w:rsid w:val="00192265"/>
    <w:rsid w:val="00192948"/>
    <w:rsid w:val="00192E77"/>
    <w:rsid w:val="00192ECB"/>
    <w:rsid w:val="00193F26"/>
    <w:rsid w:val="0019423A"/>
    <w:rsid w:val="001943D3"/>
    <w:rsid w:val="00194B05"/>
    <w:rsid w:val="00194E10"/>
    <w:rsid w:val="00194FF5"/>
    <w:rsid w:val="0019532E"/>
    <w:rsid w:val="00195544"/>
    <w:rsid w:val="00195708"/>
    <w:rsid w:val="00195AE2"/>
    <w:rsid w:val="00195CF3"/>
    <w:rsid w:val="00195DE6"/>
    <w:rsid w:val="00195E20"/>
    <w:rsid w:val="00195E79"/>
    <w:rsid w:val="001962CD"/>
    <w:rsid w:val="00196518"/>
    <w:rsid w:val="00197880"/>
    <w:rsid w:val="00197A45"/>
    <w:rsid w:val="00197D61"/>
    <w:rsid w:val="001A053F"/>
    <w:rsid w:val="001A0825"/>
    <w:rsid w:val="001A0FBE"/>
    <w:rsid w:val="001A1379"/>
    <w:rsid w:val="001A17E8"/>
    <w:rsid w:val="001A1C1B"/>
    <w:rsid w:val="001A1E08"/>
    <w:rsid w:val="001A1E17"/>
    <w:rsid w:val="001A21B0"/>
    <w:rsid w:val="001A2441"/>
    <w:rsid w:val="001A24E7"/>
    <w:rsid w:val="001A262A"/>
    <w:rsid w:val="001A26CF"/>
    <w:rsid w:val="001A2752"/>
    <w:rsid w:val="001A2E1A"/>
    <w:rsid w:val="001A3146"/>
    <w:rsid w:val="001A4046"/>
    <w:rsid w:val="001A4A62"/>
    <w:rsid w:val="001A4C45"/>
    <w:rsid w:val="001A534A"/>
    <w:rsid w:val="001A5BF9"/>
    <w:rsid w:val="001A67D5"/>
    <w:rsid w:val="001A6863"/>
    <w:rsid w:val="001A7499"/>
    <w:rsid w:val="001A759B"/>
    <w:rsid w:val="001B0467"/>
    <w:rsid w:val="001B067F"/>
    <w:rsid w:val="001B0D58"/>
    <w:rsid w:val="001B1B53"/>
    <w:rsid w:val="001B27D2"/>
    <w:rsid w:val="001B2F7C"/>
    <w:rsid w:val="001B3400"/>
    <w:rsid w:val="001B3D2C"/>
    <w:rsid w:val="001B5411"/>
    <w:rsid w:val="001B5618"/>
    <w:rsid w:val="001B5F36"/>
    <w:rsid w:val="001B6139"/>
    <w:rsid w:val="001B68CD"/>
    <w:rsid w:val="001B6ACE"/>
    <w:rsid w:val="001B6B78"/>
    <w:rsid w:val="001B6DDD"/>
    <w:rsid w:val="001B7234"/>
    <w:rsid w:val="001B7AAE"/>
    <w:rsid w:val="001B7B72"/>
    <w:rsid w:val="001C0BD9"/>
    <w:rsid w:val="001C0CE1"/>
    <w:rsid w:val="001C1E8D"/>
    <w:rsid w:val="001C2393"/>
    <w:rsid w:val="001C2552"/>
    <w:rsid w:val="001C28BC"/>
    <w:rsid w:val="001C2B23"/>
    <w:rsid w:val="001C2D82"/>
    <w:rsid w:val="001C2F4D"/>
    <w:rsid w:val="001C353E"/>
    <w:rsid w:val="001C4920"/>
    <w:rsid w:val="001C4987"/>
    <w:rsid w:val="001C5161"/>
    <w:rsid w:val="001C57F7"/>
    <w:rsid w:val="001C5E8F"/>
    <w:rsid w:val="001C78B7"/>
    <w:rsid w:val="001C7B5B"/>
    <w:rsid w:val="001C7B6A"/>
    <w:rsid w:val="001C7DF1"/>
    <w:rsid w:val="001D008C"/>
    <w:rsid w:val="001D1694"/>
    <w:rsid w:val="001D182E"/>
    <w:rsid w:val="001D18AA"/>
    <w:rsid w:val="001D1B0C"/>
    <w:rsid w:val="001D26D8"/>
    <w:rsid w:val="001D2FD5"/>
    <w:rsid w:val="001D39F1"/>
    <w:rsid w:val="001D3E88"/>
    <w:rsid w:val="001D490D"/>
    <w:rsid w:val="001D5372"/>
    <w:rsid w:val="001D5473"/>
    <w:rsid w:val="001D5EF9"/>
    <w:rsid w:val="001D60B9"/>
    <w:rsid w:val="001D6552"/>
    <w:rsid w:val="001D6AAD"/>
    <w:rsid w:val="001D6B17"/>
    <w:rsid w:val="001D74CF"/>
    <w:rsid w:val="001D7A78"/>
    <w:rsid w:val="001E0A91"/>
    <w:rsid w:val="001E176A"/>
    <w:rsid w:val="001E20F4"/>
    <w:rsid w:val="001E32B5"/>
    <w:rsid w:val="001E37A5"/>
    <w:rsid w:val="001E3B90"/>
    <w:rsid w:val="001E40D2"/>
    <w:rsid w:val="001E4103"/>
    <w:rsid w:val="001E414B"/>
    <w:rsid w:val="001E45A9"/>
    <w:rsid w:val="001E47B3"/>
    <w:rsid w:val="001E4A07"/>
    <w:rsid w:val="001E4BA5"/>
    <w:rsid w:val="001E5180"/>
    <w:rsid w:val="001E549D"/>
    <w:rsid w:val="001E6C61"/>
    <w:rsid w:val="001E6CE8"/>
    <w:rsid w:val="001E731B"/>
    <w:rsid w:val="001E7347"/>
    <w:rsid w:val="001E736C"/>
    <w:rsid w:val="001E7925"/>
    <w:rsid w:val="001E7C07"/>
    <w:rsid w:val="001E7CB3"/>
    <w:rsid w:val="001E7EC2"/>
    <w:rsid w:val="001E8666"/>
    <w:rsid w:val="001F0F46"/>
    <w:rsid w:val="001F1451"/>
    <w:rsid w:val="001F19B7"/>
    <w:rsid w:val="001F19F2"/>
    <w:rsid w:val="001F1B53"/>
    <w:rsid w:val="001F1E31"/>
    <w:rsid w:val="001F1FF2"/>
    <w:rsid w:val="001F23B3"/>
    <w:rsid w:val="001F2668"/>
    <w:rsid w:val="001F2749"/>
    <w:rsid w:val="001F27E8"/>
    <w:rsid w:val="001F28C8"/>
    <w:rsid w:val="001F292A"/>
    <w:rsid w:val="001F35AD"/>
    <w:rsid w:val="001F3BCE"/>
    <w:rsid w:val="001F3F51"/>
    <w:rsid w:val="001F4062"/>
    <w:rsid w:val="001F4651"/>
    <w:rsid w:val="001F581E"/>
    <w:rsid w:val="001F5CB9"/>
    <w:rsid w:val="001F5FE0"/>
    <w:rsid w:val="001F69BA"/>
    <w:rsid w:val="001F76FB"/>
    <w:rsid w:val="002003F0"/>
    <w:rsid w:val="002006DF"/>
    <w:rsid w:val="002006E2"/>
    <w:rsid w:val="002010D7"/>
    <w:rsid w:val="0020150C"/>
    <w:rsid w:val="00201C68"/>
    <w:rsid w:val="0020243F"/>
    <w:rsid w:val="00202473"/>
    <w:rsid w:val="00202D5E"/>
    <w:rsid w:val="0020348D"/>
    <w:rsid w:val="00203909"/>
    <w:rsid w:val="00204552"/>
    <w:rsid w:val="00204B09"/>
    <w:rsid w:val="00205112"/>
    <w:rsid w:val="002053CA"/>
    <w:rsid w:val="00205BC7"/>
    <w:rsid w:val="002061DE"/>
    <w:rsid w:val="002063DD"/>
    <w:rsid w:val="00206763"/>
    <w:rsid w:val="002069FB"/>
    <w:rsid w:val="00207386"/>
    <w:rsid w:val="002076A6"/>
    <w:rsid w:val="00207F27"/>
    <w:rsid w:val="002103AC"/>
    <w:rsid w:val="0021064C"/>
    <w:rsid w:val="00210951"/>
    <w:rsid w:val="00210DCF"/>
    <w:rsid w:val="00211221"/>
    <w:rsid w:val="002113DA"/>
    <w:rsid w:val="002126F3"/>
    <w:rsid w:val="00213349"/>
    <w:rsid w:val="00213968"/>
    <w:rsid w:val="00214798"/>
    <w:rsid w:val="00214D84"/>
    <w:rsid w:val="00214F33"/>
    <w:rsid w:val="00215C06"/>
    <w:rsid w:val="00215C10"/>
    <w:rsid w:val="00216915"/>
    <w:rsid w:val="00216C3F"/>
    <w:rsid w:val="00216E18"/>
    <w:rsid w:val="002178C4"/>
    <w:rsid w:val="00217926"/>
    <w:rsid w:val="00217F33"/>
    <w:rsid w:val="0022074E"/>
    <w:rsid w:val="0022122A"/>
    <w:rsid w:val="00221825"/>
    <w:rsid w:val="00221DA6"/>
    <w:rsid w:val="002227C1"/>
    <w:rsid w:val="00222C02"/>
    <w:rsid w:val="00223002"/>
    <w:rsid w:val="00223488"/>
    <w:rsid w:val="002236A3"/>
    <w:rsid w:val="00224E0A"/>
    <w:rsid w:val="00225331"/>
    <w:rsid w:val="00225A60"/>
    <w:rsid w:val="00226038"/>
    <w:rsid w:val="0022644F"/>
    <w:rsid w:val="0022683C"/>
    <w:rsid w:val="0022686B"/>
    <w:rsid w:val="00226B6A"/>
    <w:rsid w:val="00227230"/>
    <w:rsid w:val="00227F66"/>
    <w:rsid w:val="00227F9B"/>
    <w:rsid w:val="00230458"/>
    <w:rsid w:val="00230914"/>
    <w:rsid w:val="002323B7"/>
    <w:rsid w:val="00232506"/>
    <w:rsid w:val="00232700"/>
    <w:rsid w:val="00232E26"/>
    <w:rsid w:val="002335A3"/>
    <w:rsid w:val="002335B2"/>
    <w:rsid w:val="002338E7"/>
    <w:rsid w:val="00233C77"/>
    <w:rsid w:val="002343F2"/>
    <w:rsid w:val="002347DC"/>
    <w:rsid w:val="002348EC"/>
    <w:rsid w:val="00235B82"/>
    <w:rsid w:val="00236763"/>
    <w:rsid w:val="00240656"/>
    <w:rsid w:val="00240C32"/>
    <w:rsid w:val="0024101F"/>
    <w:rsid w:val="0024145B"/>
    <w:rsid w:val="00241911"/>
    <w:rsid w:val="002421C1"/>
    <w:rsid w:val="00242EBF"/>
    <w:rsid w:val="0024313D"/>
    <w:rsid w:val="002432EC"/>
    <w:rsid w:val="00243CF8"/>
    <w:rsid w:val="002443B9"/>
    <w:rsid w:val="002448D1"/>
    <w:rsid w:val="00244A1D"/>
    <w:rsid w:val="00244BEE"/>
    <w:rsid w:val="00245576"/>
    <w:rsid w:val="0024678C"/>
    <w:rsid w:val="00246EBC"/>
    <w:rsid w:val="002471B3"/>
    <w:rsid w:val="002471E9"/>
    <w:rsid w:val="00247ECD"/>
    <w:rsid w:val="0025067A"/>
    <w:rsid w:val="0025081D"/>
    <w:rsid w:val="002509B8"/>
    <w:rsid w:val="0025272E"/>
    <w:rsid w:val="00253701"/>
    <w:rsid w:val="002538D4"/>
    <w:rsid w:val="002539FC"/>
    <w:rsid w:val="0025492C"/>
    <w:rsid w:val="00254B9D"/>
    <w:rsid w:val="00255231"/>
    <w:rsid w:val="00255B39"/>
    <w:rsid w:val="00256336"/>
    <w:rsid w:val="00256CEA"/>
    <w:rsid w:val="0025756B"/>
    <w:rsid w:val="00260B9E"/>
    <w:rsid w:val="00260D29"/>
    <w:rsid w:val="00260FAD"/>
    <w:rsid w:val="002610E8"/>
    <w:rsid w:val="00261168"/>
    <w:rsid w:val="00261191"/>
    <w:rsid w:val="002612A6"/>
    <w:rsid w:val="0026189F"/>
    <w:rsid w:val="0026217E"/>
    <w:rsid w:val="002623E2"/>
    <w:rsid w:val="00262BCB"/>
    <w:rsid w:val="00262E9A"/>
    <w:rsid w:val="00262FD6"/>
    <w:rsid w:val="002634F1"/>
    <w:rsid w:val="00263F80"/>
    <w:rsid w:val="0026459F"/>
    <w:rsid w:val="00264CAF"/>
    <w:rsid w:val="00266252"/>
    <w:rsid w:val="00267AA4"/>
    <w:rsid w:val="002706BD"/>
    <w:rsid w:val="00270AF1"/>
    <w:rsid w:val="00270B40"/>
    <w:rsid w:val="00270DAE"/>
    <w:rsid w:val="00270FA7"/>
    <w:rsid w:val="0027157B"/>
    <w:rsid w:val="002716B4"/>
    <w:rsid w:val="00271814"/>
    <w:rsid w:val="002720E5"/>
    <w:rsid w:val="00272687"/>
    <w:rsid w:val="0027292C"/>
    <w:rsid w:val="002733AF"/>
    <w:rsid w:val="00273483"/>
    <w:rsid w:val="00273598"/>
    <w:rsid w:val="002736F2"/>
    <w:rsid w:val="00273D3B"/>
    <w:rsid w:val="0027408E"/>
    <w:rsid w:val="00274131"/>
    <w:rsid w:val="002747DA"/>
    <w:rsid w:val="00274CFB"/>
    <w:rsid w:val="00274E21"/>
    <w:rsid w:val="002752E5"/>
    <w:rsid w:val="00275F13"/>
    <w:rsid w:val="0027600F"/>
    <w:rsid w:val="002761C6"/>
    <w:rsid w:val="002761D5"/>
    <w:rsid w:val="00276311"/>
    <w:rsid w:val="00277003"/>
    <w:rsid w:val="00277A08"/>
    <w:rsid w:val="00280222"/>
    <w:rsid w:val="0028038E"/>
    <w:rsid w:val="00280642"/>
    <w:rsid w:val="002806DF"/>
    <w:rsid w:val="00280B79"/>
    <w:rsid w:val="00280D52"/>
    <w:rsid w:val="00281845"/>
    <w:rsid w:val="00281F90"/>
    <w:rsid w:val="002834CE"/>
    <w:rsid w:val="002837E4"/>
    <w:rsid w:val="0028383C"/>
    <w:rsid w:val="0028397C"/>
    <w:rsid w:val="00284019"/>
    <w:rsid w:val="00284607"/>
    <w:rsid w:val="00284787"/>
    <w:rsid w:val="00284A83"/>
    <w:rsid w:val="00284BEA"/>
    <w:rsid w:val="00284C9D"/>
    <w:rsid w:val="00286064"/>
    <w:rsid w:val="00286224"/>
    <w:rsid w:val="002869D6"/>
    <w:rsid w:val="00287703"/>
    <w:rsid w:val="002879D2"/>
    <w:rsid w:val="00287B64"/>
    <w:rsid w:val="00290873"/>
    <w:rsid w:val="00290965"/>
    <w:rsid w:val="002909F0"/>
    <w:rsid w:val="00290BB7"/>
    <w:rsid w:val="002912AE"/>
    <w:rsid w:val="002913FA"/>
    <w:rsid w:val="0029145A"/>
    <w:rsid w:val="00291716"/>
    <w:rsid w:val="002919AF"/>
    <w:rsid w:val="00291E55"/>
    <w:rsid w:val="00292345"/>
    <w:rsid w:val="00292578"/>
    <w:rsid w:val="0029275E"/>
    <w:rsid w:val="00292CC9"/>
    <w:rsid w:val="00292D3D"/>
    <w:rsid w:val="00292DC0"/>
    <w:rsid w:val="002930D1"/>
    <w:rsid w:val="00293103"/>
    <w:rsid w:val="002941B1"/>
    <w:rsid w:val="00294A12"/>
    <w:rsid w:val="00294E37"/>
    <w:rsid w:val="00295827"/>
    <w:rsid w:val="002958F9"/>
    <w:rsid w:val="00295D7D"/>
    <w:rsid w:val="00295F43"/>
    <w:rsid w:val="002963A9"/>
    <w:rsid w:val="00296D35"/>
    <w:rsid w:val="00297453"/>
    <w:rsid w:val="002975C4"/>
    <w:rsid w:val="002A16D8"/>
    <w:rsid w:val="002A29F8"/>
    <w:rsid w:val="002A3677"/>
    <w:rsid w:val="002A3982"/>
    <w:rsid w:val="002A5115"/>
    <w:rsid w:val="002A552A"/>
    <w:rsid w:val="002A57BC"/>
    <w:rsid w:val="002A6218"/>
    <w:rsid w:val="002A6283"/>
    <w:rsid w:val="002A62E3"/>
    <w:rsid w:val="002A6D13"/>
    <w:rsid w:val="002A6FC2"/>
    <w:rsid w:val="002A717D"/>
    <w:rsid w:val="002A7264"/>
    <w:rsid w:val="002A741F"/>
    <w:rsid w:val="002A75B2"/>
    <w:rsid w:val="002B0591"/>
    <w:rsid w:val="002B1461"/>
    <w:rsid w:val="002B16CE"/>
    <w:rsid w:val="002B1888"/>
    <w:rsid w:val="002B23A6"/>
    <w:rsid w:val="002B2C2D"/>
    <w:rsid w:val="002B2D9F"/>
    <w:rsid w:val="002B2EA5"/>
    <w:rsid w:val="002B3523"/>
    <w:rsid w:val="002B3845"/>
    <w:rsid w:val="002B3871"/>
    <w:rsid w:val="002B3B43"/>
    <w:rsid w:val="002B3BF9"/>
    <w:rsid w:val="002B3D30"/>
    <w:rsid w:val="002B42AA"/>
    <w:rsid w:val="002B49BA"/>
    <w:rsid w:val="002B4DCF"/>
    <w:rsid w:val="002B5C49"/>
    <w:rsid w:val="002B5F1D"/>
    <w:rsid w:val="002B69E7"/>
    <w:rsid w:val="002B6BAB"/>
    <w:rsid w:val="002B6CD4"/>
    <w:rsid w:val="002B72F8"/>
    <w:rsid w:val="002B73DD"/>
    <w:rsid w:val="002C015C"/>
    <w:rsid w:val="002C0F1C"/>
    <w:rsid w:val="002C156F"/>
    <w:rsid w:val="002C1B51"/>
    <w:rsid w:val="002C1B96"/>
    <w:rsid w:val="002C1C3E"/>
    <w:rsid w:val="002C278B"/>
    <w:rsid w:val="002C295D"/>
    <w:rsid w:val="002C2AC9"/>
    <w:rsid w:val="002C301D"/>
    <w:rsid w:val="002C30CC"/>
    <w:rsid w:val="002C352D"/>
    <w:rsid w:val="002C3711"/>
    <w:rsid w:val="002C3A78"/>
    <w:rsid w:val="002C40DE"/>
    <w:rsid w:val="002C524D"/>
    <w:rsid w:val="002C571B"/>
    <w:rsid w:val="002C5A40"/>
    <w:rsid w:val="002C65BA"/>
    <w:rsid w:val="002C6B26"/>
    <w:rsid w:val="002C6ED6"/>
    <w:rsid w:val="002C71C9"/>
    <w:rsid w:val="002C7338"/>
    <w:rsid w:val="002C74F9"/>
    <w:rsid w:val="002C7710"/>
    <w:rsid w:val="002C77C1"/>
    <w:rsid w:val="002D07D2"/>
    <w:rsid w:val="002D09AD"/>
    <w:rsid w:val="002D0C54"/>
    <w:rsid w:val="002D19AF"/>
    <w:rsid w:val="002D20AF"/>
    <w:rsid w:val="002D314C"/>
    <w:rsid w:val="002D36B9"/>
    <w:rsid w:val="002D43EA"/>
    <w:rsid w:val="002D6079"/>
    <w:rsid w:val="002D613C"/>
    <w:rsid w:val="002D71AB"/>
    <w:rsid w:val="002D73F4"/>
    <w:rsid w:val="002D7709"/>
    <w:rsid w:val="002D79D6"/>
    <w:rsid w:val="002E009D"/>
    <w:rsid w:val="002E0577"/>
    <w:rsid w:val="002E1279"/>
    <w:rsid w:val="002E1294"/>
    <w:rsid w:val="002E1D28"/>
    <w:rsid w:val="002E234A"/>
    <w:rsid w:val="002E2B90"/>
    <w:rsid w:val="002E3971"/>
    <w:rsid w:val="002E3A05"/>
    <w:rsid w:val="002E3C14"/>
    <w:rsid w:val="002E4C1B"/>
    <w:rsid w:val="002E4EB4"/>
    <w:rsid w:val="002E60AF"/>
    <w:rsid w:val="002E7AA6"/>
    <w:rsid w:val="002E7DAA"/>
    <w:rsid w:val="002E7FAC"/>
    <w:rsid w:val="002F0393"/>
    <w:rsid w:val="002F08DD"/>
    <w:rsid w:val="002F0F6C"/>
    <w:rsid w:val="002F0FD6"/>
    <w:rsid w:val="002F14C3"/>
    <w:rsid w:val="002F18E9"/>
    <w:rsid w:val="002F1C05"/>
    <w:rsid w:val="002F1E00"/>
    <w:rsid w:val="002F1F40"/>
    <w:rsid w:val="002F2BB9"/>
    <w:rsid w:val="002F38E4"/>
    <w:rsid w:val="002F3D07"/>
    <w:rsid w:val="002F3D11"/>
    <w:rsid w:val="002F4134"/>
    <w:rsid w:val="002F4D4E"/>
    <w:rsid w:val="002F5350"/>
    <w:rsid w:val="002F5362"/>
    <w:rsid w:val="002F57BF"/>
    <w:rsid w:val="002F5807"/>
    <w:rsid w:val="002F5BD0"/>
    <w:rsid w:val="002F5BD9"/>
    <w:rsid w:val="002F61CA"/>
    <w:rsid w:val="002F65A3"/>
    <w:rsid w:val="002F6F95"/>
    <w:rsid w:val="002F7426"/>
    <w:rsid w:val="002F7436"/>
    <w:rsid w:val="002F7633"/>
    <w:rsid w:val="002F7921"/>
    <w:rsid w:val="002F7AFA"/>
    <w:rsid w:val="002F7B1F"/>
    <w:rsid w:val="002F7D00"/>
    <w:rsid w:val="002F7EAC"/>
    <w:rsid w:val="003000D9"/>
    <w:rsid w:val="00301C3A"/>
    <w:rsid w:val="0030224A"/>
    <w:rsid w:val="00302A4C"/>
    <w:rsid w:val="003033EF"/>
    <w:rsid w:val="0030377C"/>
    <w:rsid w:val="00303A95"/>
    <w:rsid w:val="00303AA1"/>
    <w:rsid w:val="00303C86"/>
    <w:rsid w:val="00303CB8"/>
    <w:rsid w:val="00303CEA"/>
    <w:rsid w:val="00304302"/>
    <w:rsid w:val="003044FD"/>
    <w:rsid w:val="0030474F"/>
    <w:rsid w:val="00306217"/>
    <w:rsid w:val="003065E5"/>
    <w:rsid w:val="00306A7C"/>
    <w:rsid w:val="0030723C"/>
    <w:rsid w:val="00307269"/>
    <w:rsid w:val="00307D8D"/>
    <w:rsid w:val="00307E26"/>
    <w:rsid w:val="00310CDF"/>
    <w:rsid w:val="003114EE"/>
    <w:rsid w:val="00311610"/>
    <w:rsid w:val="0031183D"/>
    <w:rsid w:val="00311F15"/>
    <w:rsid w:val="0031240B"/>
    <w:rsid w:val="003126E7"/>
    <w:rsid w:val="003127A7"/>
    <w:rsid w:val="00312857"/>
    <w:rsid w:val="00312A49"/>
    <w:rsid w:val="00312DF0"/>
    <w:rsid w:val="00314208"/>
    <w:rsid w:val="00314CE1"/>
    <w:rsid w:val="00315AE0"/>
    <w:rsid w:val="00316270"/>
    <w:rsid w:val="003163B8"/>
    <w:rsid w:val="0031702E"/>
    <w:rsid w:val="00317B96"/>
    <w:rsid w:val="003205AC"/>
    <w:rsid w:val="0032076D"/>
    <w:rsid w:val="003217B4"/>
    <w:rsid w:val="00321CAB"/>
    <w:rsid w:val="00322639"/>
    <w:rsid w:val="003229C8"/>
    <w:rsid w:val="00322C71"/>
    <w:rsid w:val="003231B3"/>
    <w:rsid w:val="00323206"/>
    <w:rsid w:val="00323258"/>
    <w:rsid w:val="003235F1"/>
    <w:rsid w:val="00323BF0"/>
    <w:rsid w:val="00324480"/>
    <w:rsid w:val="003253C2"/>
    <w:rsid w:val="003263AD"/>
    <w:rsid w:val="00327085"/>
    <w:rsid w:val="00327345"/>
    <w:rsid w:val="00327AFF"/>
    <w:rsid w:val="00327EBB"/>
    <w:rsid w:val="00330024"/>
    <w:rsid w:val="003302AA"/>
    <w:rsid w:val="00330671"/>
    <w:rsid w:val="003307F6"/>
    <w:rsid w:val="003308E8"/>
    <w:rsid w:val="003315A4"/>
    <w:rsid w:val="003316CE"/>
    <w:rsid w:val="00331A07"/>
    <w:rsid w:val="00331DF0"/>
    <w:rsid w:val="00331F30"/>
    <w:rsid w:val="00332076"/>
    <w:rsid w:val="003326D3"/>
    <w:rsid w:val="00332888"/>
    <w:rsid w:val="00332E9C"/>
    <w:rsid w:val="0033331A"/>
    <w:rsid w:val="00333356"/>
    <w:rsid w:val="0033481B"/>
    <w:rsid w:val="00334969"/>
    <w:rsid w:val="00334DA4"/>
    <w:rsid w:val="00334F00"/>
    <w:rsid w:val="00335031"/>
    <w:rsid w:val="00336375"/>
    <w:rsid w:val="003364C4"/>
    <w:rsid w:val="0033675C"/>
    <w:rsid w:val="003367C3"/>
    <w:rsid w:val="00336F32"/>
    <w:rsid w:val="00337437"/>
    <w:rsid w:val="00337BCF"/>
    <w:rsid w:val="0034003F"/>
    <w:rsid w:val="003408DE"/>
    <w:rsid w:val="00340915"/>
    <w:rsid w:val="00340CA7"/>
    <w:rsid w:val="00340EEE"/>
    <w:rsid w:val="0034180C"/>
    <w:rsid w:val="00343987"/>
    <w:rsid w:val="00343BAC"/>
    <w:rsid w:val="00343C57"/>
    <w:rsid w:val="00343F74"/>
    <w:rsid w:val="0034545F"/>
    <w:rsid w:val="00345EA7"/>
    <w:rsid w:val="0034618E"/>
    <w:rsid w:val="003466E8"/>
    <w:rsid w:val="00347340"/>
    <w:rsid w:val="003500DB"/>
    <w:rsid w:val="003505A6"/>
    <w:rsid w:val="003509D0"/>
    <w:rsid w:val="00351475"/>
    <w:rsid w:val="00351BC6"/>
    <w:rsid w:val="0035226E"/>
    <w:rsid w:val="00352776"/>
    <w:rsid w:val="003527CD"/>
    <w:rsid w:val="00352AB7"/>
    <w:rsid w:val="00352F03"/>
    <w:rsid w:val="00354784"/>
    <w:rsid w:val="003547FD"/>
    <w:rsid w:val="003553F1"/>
    <w:rsid w:val="003554E0"/>
    <w:rsid w:val="003559F3"/>
    <w:rsid w:val="00355B9B"/>
    <w:rsid w:val="003562FE"/>
    <w:rsid w:val="0035632A"/>
    <w:rsid w:val="00356772"/>
    <w:rsid w:val="00357982"/>
    <w:rsid w:val="003608ED"/>
    <w:rsid w:val="003614BF"/>
    <w:rsid w:val="00361520"/>
    <w:rsid w:val="00361642"/>
    <w:rsid w:val="003616AB"/>
    <w:rsid w:val="00361731"/>
    <w:rsid w:val="003621B0"/>
    <w:rsid w:val="0036244F"/>
    <w:rsid w:val="00362B5E"/>
    <w:rsid w:val="00362BEC"/>
    <w:rsid w:val="00363201"/>
    <w:rsid w:val="0036387C"/>
    <w:rsid w:val="0036431D"/>
    <w:rsid w:val="00364413"/>
    <w:rsid w:val="00364695"/>
    <w:rsid w:val="00364C17"/>
    <w:rsid w:val="00364D64"/>
    <w:rsid w:val="003654C0"/>
    <w:rsid w:val="0036601F"/>
    <w:rsid w:val="00366078"/>
    <w:rsid w:val="00366716"/>
    <w:rsid w:val="00366BBB"/>
    <w:rsid w:val="00366CA5"/>
    <w:rsid w:val="003677B6"/>
    <w:rsid w:val="003679EA"/>
    <w:rsid w:val="00367C3A"/>
    <w:rsid w:val="00367D12"/>
    <w:rsid w:val="00367E78"/>
    <w:rsid w:val="00367E9D"/>
    <w:rsid w:val="00370CA5"/>
    <w:rsid w:val="003712BE"/>
    <w:rsid w:val="00371939"/>
    <w:rsid w:val="00371F28"/>
    <w:rsid w:val="00371F34"/>
    <w:rsid w:val="0037311D"/>
    <w:rsid w:val="003743A3"/>
    <w:rsid w:val="00374E61"/>
    <w:rsid w:val="003751AF"/>
    <w:rsid w:val="003754DD"/>
    <w:rsid w:val="00375B53"/>
    <w:rsid w:val="0037656E"/>
    <w:rsid w:val="003768BC"/>
    <w:rsid w:val="00376A4E"/>
    <w:rsid w:val="00376C32"/>
    <w:rsid w:val="003773C9"/>
    <w:rsid w:val="003775C0"/>
    <w:rsid w:val="00381424"/>
    <w:rsid w:val="003817CC"/>
    <w:rsid w:val="00381B79"/>
    <w:rsid w:val="00381C89"/>
    <w:rsid w:val="00381C96"/>
    <w:rsid w:val="0038284F"/>
    <w:rsid w:val="00382ABA"/>
    <w:rsid w:val="0038356B"/>
    <w:rsid w:val="0038408F"/>
    <w:rsid w:val="003840E6"/>
    <w:rsid w:val="0038474F"/>
    <w:rsid w:val="00384C94"/>
    <w:rsid w:val="00384DC1"/>
    <w:rsid w:val="00384FC8"/>
    <w:rsid w:val="003854AF"/>
    <w:rsid w:val="00385781"/>
    <w:rsid w:val="00385805"/>
    <w:rsid w:val="003859BB"/>
    <w:rsid w:val="00386170"/>
    <w:rsid w:val="003862C8"/>
    <w:rsid w:val="00386574"/>
    <w:rsid w:val="0038666F"/>
    <w:rsid w:val="0038672F"/>
    <w:rsid w:val="00386A43"/>
    <w:rsid w:val="00386E59"/>
    <w:rsid w:val="00387672"/>
    <w:rsid w:val="00390C02"/>
    <w:rsid w:val="003916D8"/>
    <w:rsid w:val="00391F39"/>
    <w:rsid w:val="00391F58"/>
    <w:rsid w:val="00392854"/>
    <w:rsid w:val="003934B9"/>
    <w:rsid w:val="003941E6"/>
    <w:rsid w:val="00394C44"/>
    <w:rsid w:val="00395D60"/>
    <w:rsid w:val="0039617D"/>
    <w:rsid w:val="0039648E"/>
    <w:rsid w:val="00396A50"/>
    <w:rsid w:val="00396F08"/>
    <w:rsid w:val="00397407"/>
    <w:rsid w:val="003978B0"/>
    <w:rsid w:val="00397A4E"/>
    <w:rsid w:val="003A082C"/>
    <w:rsid w:val="003A0BB5"/>
    <w:rsid w:val="003A129A"/>
    <w:rsid w:val="003A1A0C"/>
    <w:rsid w:val="003A1AD9"/>
    <w:rsid w:val="003A2548"/>
    <w:rsid w:val="003A27E5"/>
    <w:rsid w:val="003A2911"/>
    <w:rsid w:val="003A2914"/>
    <w:rsid w:val="003A2C66"/>
    <w:rsid w:val="003A3276"/>
    <w:rsid w:val="003A4081"/>
    <w:rsid w:val="003A5287"/>
    <w:rsid w:val="003A549D"/>
    <w:rsid w:val="003A5C07"/>
    <w:rsid w:val="003A5D9F"/>
    <w:rsid w:val="003A6151"/>
    <w:rsid w:val="003A6537"/>
    <w:rsid w:val="003A70B1"/>
    <w:rsid w:val="003A70B8"/>
    <w:rsid w:val="003A7C0E"/>
    <w:rsid w:val="003A7DA1"/>
    <w:rsid w:val="003B0302"/>
    <w:rsid w:val="003B0306"/>
    <w:rsid w:val="003B04DA"/>
    <w:rsid w:val="003B0807"/>
    <w:rsid w:val="003B118E"/>
    <w:rsid w:val="003B12C8"/>
    <w:rsid w:val="003B199D"/>
    <w:rsid w:val="003B3191"/>
    <w:rsid w:val="003B3500"/>
    <w:rsid w:val="003B35AE"/>
    <w:rsid w:val="003B389F"/>
    <w:rsid w:val="003B3A93"/>
    <w:rsid w:val="003B4262"/>
    <w:rsid w:val="003B4CDA"/>
    <w:rsid w:val="003B566F"/>
    <w:rsid w:val="003B5BAA"/>
    <w:rsid w:val="003B5E33"/>
    <w:rsid w:val="003B62E4"/>
    <w:rsid w:val="003B683F"/>
    <w:rsid w:val="003B6DAE"/>
    <w:rsid w:val="003C015F"/>
    <w:rsid w:val="003C1506"/>
    <w:rsid w:val="003C1B15"/>
    <w:rsid w:val="003C2033"/>
    <w:rsid w:val="003C280E"/>
    <w:rsid w:val="003C29E2"/>
    <w:rsid w:val="003C2E31"/>
    <w:rsid w:val="003C36CF"/>
    <w:rsid w:val="003C36D8"/>
    <w:rsid w:val="003C38AC"/>
    <w:rsid w:val="003C3A45"/>
    <w:rsid w:val="003C3E1E"/>
    <w:rsid w:val="003C40CB"/>
    <w:rsid w:val="003C45F4"/>
    <w:rsid w:val="003C4F22"/>
    <w:rsid w:val="003C4F6D"/>
    <w:rsid w:val="003C610E"/>
    <w:rsid w:val="003C6E10"/>
    <w:rsid w:val="003C78B2"/>
    <w:rsid w:val="003C7DE6"/>
    <w:rsid w:val="003C7EFD"/>
    <w:rsid w:val="003D01DC"/>
    <w:rsid w:val="003D0590"/>
    <w:rsid w:val="003D05BF"/>
    <w:rsid w:val="003D06CC"/>
    <w:rsid w:val="003D114D"/>
    <w:rsid w:val="003D14D8"/>
    <w:rsid w:val="003D1528"/>
    <w:rsid w:val="003D153F"/>
    <w:rsid w:val="003D26C6"/>
    <w:rsid w:val="003D26DE"/>
    <w:rsid w:val="003D2910"/>
    <w:rsid w:val="003D47A2"/>
    <w:rsid w:val="003D5066"/>
    <w:rsid w:val="003D5A2E"/>
    <w:rsid w:val="003D5A56"/>
    <w:rsid w:val="003D5D26"/>
    <w:rsid w:val="003D6BC0"/>
    <w:rsid w:val="003D6FB3"/>
    <w:rsid w:val="003D731C"/>
    <w:rsid w:val="003D7B03"/>
    <w:rsid w:val="003E02FB"/>
    <w:rsid w:val="003E084B"/>
    <w:rsid w:val="003E09C8"/>
    <w:rsid w:val="003E0AA3"/>
    <w:rsid w:val="003E3A92"/>
    <w:rsid w:val="003E3D86"/>
    <w:rsid w:val="003E3DDB"/>
    <w:rsid w:val="003E404B"/>
    <w:rsid w:val="003E4D0B"/>
    <w:rsid w:val="003E4E91"/>
    <w:rsid w:val="003E5012"/>
    <w:rsid w:val="003E51A2"/>
    <w:rsid w:val="003E6BDF"/>
    <w:rsid w:val="003E6DAB"/>
    <w:rsid w:val="003E717F"/>
    <w:rsid w:val="003E7370"/>
    <w:rsid w:val="003E77DD"/>
    <w:rsid w:val="003E7C79"/>
    <w:rsid w:val="003F0185"/>
    <w:rsid w:val="003F01D4"/>
    <w:rsid w:val="003F0750"/>
    <w:rsid w:val="003F1489"/>
    <w:rsid w:val="003F161B"/>
    <w:rsid w:val="003F162C"/>
    <w:rsid w:val="003F2C47"/>
    <w:rsid w:val="003F2EBC"/>
    <w:rsid w:val="003F3433"/>
    <w:rsid w:val="003F3679"/>
    <w:rsid w:val="003F3D93"/>
    <w:rsid w:val="003F46D8"/>
    <w:rsid w:val="003F4C34"/>
    <w:rsid w:val="003F5633"/>
    <w:rsid w:val="003F56B6"/>
    <w:rsid w:val="003F6076"/>
    <w:rsid w:val="003F631E"/>
    <w:rsid w:val="003F6DA1"/>
    <w:rsid w:val="003F7526"/>
    <w:rsid w:val="003F75A7"/>
    <w:rsid w:val="004001EB"/>
    <w:rsid w:val="004002BE"/>
    <w:rsid w:val="00400720"/>
    <w:rsid w:val="00400A67"/>
    <w:rsid w:val="00400CC9"/>
    <w:rsid w:val="00401E90"/>
    <w:rsid w:val="00402274"/>
    <w:rsid w:val="004028D3"/>
    <w:rsid w:val="00402ED5"/>
    <w:rsid w:val="00403483"/>
    <w:rsid w:val="00403E80"/>
    <w:rsid w:val="00405230"/>
    <w:rsid w:val="00405EFC"/>
    <w:rsid w:val="0040650D"/>
    <w:rsid w:val="00406F06"/>
    <w:rsid w:val="004075CB"/>
    <w:rsid w:val="0040786A"/>
    <w:rsid w:val="00407AA2"/>
    <w:rsid w:val="00407AFD"/>
    <w:rsid w:val="00407B21"/>
    <w:rsid w:val="00407FBD"/>
    <w:rsid w:val="00410763"/>
    <w:rsid w:val="004109D8"/>
    <w:rsid w:val="00410BB3"/>
    <w:rsid w:val="00412880"/>
    <w:rsid w:val="00412B92"/>
    <w:rsid w:val="00412CA5"/>
    <w:rsid w:val="00412D12"/>
    <w:rsid w:val="00413322"/>
    <w:rsid w:val="0041333B"/>
    <w:rsid w:val="00413D37"/>
    <w:rsid w:val="00413E20"/>
    <w:rsid w:val="00413EB5"/>
    <w:rsid w:val="00414D57"/>
    <w:rsid w:val="00414DFF"/>
    <w:rsid w:val="00415C6E"/>
    <w:rsid w:val="00415CA0"/>
    <w:rsid w:val="0041657F"/>
    <w:rsid w:val="00416CF5"/>
    <w:rsid w:val="00417159"/>
    <w:rsid w:val="004172F8"/>
    <w:rsid w:val="0041793B"/>
    <w:rsid w:val="0041794C"/>
    <w:rsid w:val="00417C2E"/>
    <w:rsid w:val="00420337"/>
    <w:rsid w:val="004205C0"/>
    <w:rsid w:val="0042173A"/>
    <w:rsid w:val="00421C5D"/>
    <w:rsid w:val="00421E05"/>
    <w:rsid w:val="00421F46"/>
    <w:rsid w:val="00423F39"/>
    <w:rsid w:val="00424991"/>
    <w:rsid w:val="00424E15"/>
    <w:rsid w:val="004250C2"/>
    <w:rsid w:val="00426984"/>
    <w:rsid w:val="00426E28"/>
    <w:rsid w:val="00426F73"/>
    <w:rsid w:val="004272DD"/>
    <w:rsid w:val="0042791A"/>
    <w:rsid w:val="00427EB6"/>
    <w:rsid w:val="00427FF6"/>
    <w:rsid w:val="00430577"/>
    <w:rsid w:val="004309A4"/>
    <w:rsid w:val="0043104C"/>
    <w:rsid w:val="0043203F"/>
    <w:rsid w:val="004325EC"/>
    <w:rsid w:val="00432FCE"/>
    <w:rsid w:val="004336A1"/>
    <w:rsid w:val="00433F82"/>
    <w:rsid w:val="004349A0"/>
    <w:rsid w:val="00434E05"/>
    <w:rsid w:val="0043502C"/>
    <w:rsid w:val="00435040"/>
    <w:rsid w:val="004361EE"/>
    <w:rsid w:val="00436988"/>
    <w:rsid w:val="00436C91"/>
    <w:rsid w:val="00437E33"/>
    <w:rsid w:val="00440617"/>
    <w:rsid w:val="0044199E"/>
    <w:rsid w:val="00441FEE"/>
    <w:rsid w:val="0044218A"/>
    <w:rsid w:val="00442444"/>
    <w:rsid w:val="00442DF7"/>
    <w:rsid w:val="00443207"/>
    <w:rsid w:val="00443E30"/>
    <w:rsid w:val="00444545"/>
    <w:rsid w:val="00444789"/>
    <w:rsid w:val="00444B4C"/>
    <w:rsid w:val="004453A7"/>
    <w:rsid w:val="004453D8"/>
    <w:rsid w:val="00445A47"/>
    <w:rsid w:val="00445B6D"/>
    <w:rsid w:val="004466B7"/>
    <w:rsid w:val="00446BE1"/>
    <w:rsid w:val="00447F25"/>
    <w:rsid w:val="00450186"/>
    <w:rsid w:val="00450583"/>
    <w:rsid w:val="00451CDF"/>
    <w:rsid w:val="00452CB0"/>
    <w:rsid w:val="00452E7C"/>
    <w:rsid w:val="00453996"/>
    <w:rsid w:val="00453C10"/>
    <w:rsid w:val="00454112"/>
    <w:rsid w:val="00454316"/>
    <w:rsid w:val="00454563"/>
    <w:rsid w:val="00454927"/>
    <w:rsid w:val="0045493A"/>
    <w:rsid w:val="00455236"/>
    <w:rsid w:val="00455B60"/>
    <w:rsid w:val="00456313"/>
    <w:rsid w:val="00456619"/>
    <w:rsid w:val="004570F0"/>
    <w:rsid w:val="00457196"/>
    <w:rsid w:val="004571E5"/>
    <w:rsid w:val="00460276"/>
    <w:rsid w:val="004607A8"/>
    <w:rsid w:val="0046100D"/>
    <w:rsid w:val="004615C4"/>
    <w:rsid w:val="00462324"/>
    <w:rsid w:val="00463978"/>
    <w:rsid w:val="0046397F"/>
    <w:rsid w:val="00463EDB"/>
    <w:rsid w:val="00464248"/>
    <w:rsid w:val="0046539C"/>
    <w:rsid w:val="00465507"/>
    <w:rsid w:val="0046603E"/>
    <w:rsid w:val="004661BD"/>
    <w:rsid w:val="00466545"/>
    <w:rsid w:val="0046679D"/>
    <w:rsid w:val="00466DBE"/>
    <w:rsid w:val="00466E7D"/>
    <w:rsid w:val="004671F6"/>
    <w:rsid w:val="004678B8"/>
    <w:rsid w:val="0047012E"/>
    <w:rsid w:val="004702E1"/>
    <w:rsid w:val="00470754"/>
    <w:rsid w:val="004713D6"/>
    <w:rsid w:val="00471FB6"/>
    <w:rsid w:val="004721BC"/>
    <w:rsid w:val="00472236"/>
    <w:rsid w:val="00472849"/>
    <w:rsid w:val="00472F50"/>
    <w:rsid w:val="00474622"/>
    <w:rsid w:val="00474ED2"/>
    <w:rsid w:val="0047509D"/>
    <w:rsid w:val="00475189"/>
    <w:rsid w:val="00475A0F"/>
    <w:rsid w:val="0047601F"/>
    <w:rsid w:val="00476196"/>
    <w:rsid w:val="00476266"/>
    <w:rsid w:val="00476DF3"/>
    <w:rsid w:val="00477036"/>
    <w:rsid w:val="004777CD"/>
    <w:rsid w:val="00477BCC"/>
    <w:rsid w:val="00480541"/>
    <w:rsid w:val="004807FA"/>
    <w:rsid w:val="004808A6"/>
    <w:rsid w:val="00480C0C"/>
    <w:rsid w:val="00480E12"/>
    <w:rsid w:val="004810DC"/>
    <w:rsid w:val="004813D1"/>
    <w:rsid w:val="00481620"/>
    <w:rsid w:val="004817F0"/>
    <w:rsid w:val="00481D11"/>
    <w:rsid w:val="00481EA3"/>
    <w:rsid w:val="00484785"/>
    <w:rsid w:val="004847DB"/>
    <w:rsid w:val="00484B86"/>
    <w:rsid w:val="00484C53"/>
    <w:rsid w:val="00485451"/>
    <w:rsid w:val="004855F0"/>
    <w:rsid w:val="00485C8F"/>
    <w:rsid w:val="00485D83"/>
    <w:rsid w:val="00486092"/>
    <w:rsid w:val="00486204"/>
    <w:rsid w:val="004870C2"/>
    <w:rsid w:val="00490216"/>
    <w:rsid w:val="00490A8C"/>
    <w:rsid w:val="00490B57"/>
    <w:rsid w:val="00490EFD"/>
    <w:rsid w:val="00492517"/>
    <w:rsid w:val="0049270D"/>
    <w:rsid w:val="00492DBA"/>
    <w:rsid w:val="004932C5"/>
    <w:rsid w:val="00493409"/>
    <w:rsid w:val="004934B2"/>
    <w:rsid w:val="00493A3B"/>
    <w:rsid w:val="00494343"/>
    <w:rsid w:val="00494B29"/>
    <w:rsid w:val="00495086"/>
    <w:rsid w:val="004953CE"/>
    <w:rsid w:val="0049695E"/>
    <w:rsid w:val="00496ED0"/>
    <w:rsid w:val="004970E9"/>
    <w:rsid w:val="00497D9E"/>
    <w:rsid w:val="004A02CB"/>
    <w:rsid w:val="004A03DD"/>
    <w:rsid w:val="004A051F"/>
    <w:rsid w:val="004A293C"/>
    <w:rsid w:val="004A2C74"/>
    <w:rsid w:val="004A3438"/>
    <w:rsid w:val="004A3CB3"/>
    <w:rsid w:val="004A3E39"/>
    <w:rsid w:val="004A3E75"/>
    <w:rsid w:val="004A4BC6"/>
    <w:rsid w:val="004A4F00"/>
    <w:rsid w:val="004A546E"/>
    <w:rsid w:val="004A62C0"/>
    <w:rsid w:val="004A7152"/>
    <w:rsid w:val="004A7955"/>
    <w:rsid w:val="004A7956"/>
    <w:rsid w:val="004B034B"/>
    <w:rsid w:val="004B0E82"/>
    <w:rsid w:val="004B2399"/>
    <w:rsid w:val="004B247B"/>
    <w:rsid w:val="004B26F0"/>
    <w:rsid w:val="004B2B41"/>
    <w:rsid w:val="004B2BC4"/>
    <w:rsid w:val="004B3690"/>
    <w:rsid w:val="004B38BE"/>
    <w:rsid w:val="004B3E9E"/>
    <w:rsid w:val="004B3F4B"/>
    <w:rsid w:val="004B4263"/>
    <w:rsid w:val="004B442F"/>
    <w:rsid w:val="004B52EB"/>
    <w:rsid w:val="004B5E18"/>
    <w:rsid w:val="004B5E23"/>
    <w:rsid w:val="004B6A29"/>
    <w:rsid w:val="004B7729"/>
    <w:rsid w:val="004B7CE9"/>
    <w:rsid w:val="004B7E67"/>
    <w:rsid w:val="004C071D"/>
    <w:rsid w:val="004C0B80"/>
    <w:rsid w:val="004C0BF3"/>
    <w:rsid w:val="004C0E74"/>
    <w:rsid w:val="004C0F43"/>
    <w:rsid w:val="004C0F76"/>
    <w:rsid w:val="004C108E"/>
    <w:rsid w:val="004C1512"/>
    <w:rsid w:val="004C1CDE"/>
    <w:rsid w:val="004C205E"/>
    <w:rsid w:val="004C23D5"/>
    <w:rsid w:val="004C23FF"/>
    <w:rsid w:val="004C2BB3"/>
    <w:rsid w:val="004C3480"/>
    <w:rsid w:val="004C34A0"/>
    <w:rsid w:val="004C3FDE"/>
    <w:rsid w:val="004C405B"/>
    <w:rsid w:val="004C45B3"/>
    <w:rsid w:val="004C6254"/>
    <w:rsid w:val="004C62CE"/>
    <w:rsid w:val="004C72E0"/>
    <w:rsid w:val="004C7EE2"/>
    <w:rsid w:val="004D0317"/>
    <w:rsid w:val="004D054B"/>
    <w:rsid w:val="004D0943"/>
    <w:rsid w:val="004D0D84"/>
    <w:rsid w:val="004D0F92"/>
    <w:rsid w:val="004D13B5"/>
    <w:rsid w:val="004D1FAE"/>
    <w:rsid w:val="004D29AC"/>
    <w:rsid w:val="004D2A5D"/>
    <w:rsid w:val="004D2A9A"/>
    <w:rsid w:val="004D2B27"/>
    <w:rsid w:val="004D2C49"/>
    <w:rsid w:val="004D3925"/>
    <w:rsid w:val="004D3CC8"/>
    <w:rsid w:val="004D5596"/>
    <w:rsid w:val="004D5693"/>
    <w:rsid w:val="004D60EC"/>
    <w:rsid w:val="004D6A5D"/>
    <w:rsid w:val="004D7333"/>
    <w:rsid w:val="004D7AB0"/>
    <w:rsid w:val="004D7EDA"/>
    <w:rsid w:val="004D7FA3"/>
    <w:rsid w:val="004E06A2"/>
    <w:rsid w:val="004E073C"/>
    <w:rsid w:val="004E0D2A"/>
    <w:rsid w:val="004E1BF8"/>
    <w:rsid w:val="004E33DC"/>
    <w:rsid w:val="004E3B0F"/>
    <w:rsid w:val="004E3B20"/>
    <w:rsid w:val="004E4870"/>
    <w:rsid w:val="004E5504"/>
    <w:rsid w:val="004E57E4"/>
    <w:rsid w:val="004E5D54"/>
    <w:rsid w:val="004E65CC"/>
    <w:rsid w:val="004E6731"/>
    <w:rsid w:val="004E6BBE"/>
    <w:rsid w:val="004F0161"/>
    <w:rsid w:val="004F04FF"/>
    <w:rsid w:val="004F05CC"/>
    <w:rsid w:val="004F072D"/>
    <w:rsid w:val="004F1A77"/>
    <w:rsid w:val="004F2EDE"/>
    <w:rsid w:val="004F3A1F"/>
    <w:rsid w:val="004F4643"/>
    <w:rsid w:val="004F4689"/>
    <w:rsid w:val="004F4968"/>
    <w:rsid w:val="004F4F84"/>
    <w:rsid w:val="004F4FAC"/>
    <w:rsid w:val="004F5864"/>
    <w:rsid w:val="004F5AF9"/>
    <w:rsid w:val="004F632F"/>
    <w:rsid w:val="004F7B7D"/>
    <w:rsid w:val="00500063"/>
    <w:rsid w:val="0050064C"/>
    <w:rsid w:val="00500828"/>
    <w:rsid w:val="005009A7"/>
    <w:rsid w:val="00501088"/>
    <w:rsid w:val="00501389"/>
    <w:rsid w:val="005023A2"/>
    <w:rsid w:val="00502450"/>
    <w:rsid w:val="00502BC0"/>
    <w:rsid w:val="00502D56"/>
    <w:rsid w:val="00503427"/>
    <w:rsid w:val="00503D44"/>
    <w:rsid w:val="00503D71"/>
    <w:rsid w:val="00503F39"/>
    <w:rsid w:val="0050446C"/>
    <w:rsid w:val="00504470"/>
    <w:rsid w:val="00504BF2"/>
    <w:rsid w:val="0050531D"/>
    <w:rsid w:val="0050573E"/>
    <w:rsid w:val="00505A36"/>
    <w:rsid w:val="00506D4B"/>
    <w:rsid w:val="00507073"/>
    <w:rsid w:val="00507438"/>
    <w:rsid w:val="0050756F"/>
    <w:rsid w:val="005077A6"/>
    <w:rsid w:val="0050790D"/>
    <w:rsid w:val="00507BE2"/>
    <w:rsid w:val="00510480"/>
    <w:rsid w:val="00510DDD"/>
    <w:rsid w:val="00510EC8"/>
    <w:rsid w:val="0051118B"/>
    <w:rsid w:val="0051123B"/>
    <w:rsid w:val="0051132E"/>
    <w:rsid w:val="005116F8"/>
    <w:rsid w:val="00511E8B"/>
    <w:rsid w:val="00512341"/>
    <w:rsid w:val="005126C6"/>
    <w:rsid w:val="005129C4"/>
    <w:rsid w:val="00512F91"/>
    <w:rsid w:val="0051358C"/>
    <w:rsid w:val="00513891"/>
    <w:rsid w:val="00513D84"/>
    <w:rsid w:val="00514380"/>
    <w:rsid w:val="00514672"/>
    <w:rsid w:val="00514FE4"/>
    <w:rsid w:val="00516051"/>
    <w:rsid w:val="00516342"/>
    <w:rsid w:val="00517100"/>
    <w:rsid w:val="0051781E"/>
    <w:rsid w:val="00517CA6"/>
    <w:rsid w:val="00520543"/>
    <w:rsid w:val="005208C4"/>
    <w:rsid w:val="00520DF0"/>
    <w:rsid w:val="00521971"/>
    <w:rsid w:val="005221FF"/>
    <w:rsid w:val="00522940"/>
    <w:rsid w:val="00522A3A"/>
    <w:rsid w:val="00523441"/>
    <w:rsid w:val="00524464"/>
    <w:rsid w:val="00526257"/>
    <w:rsid w:val="00526321"/>
    <w:rsid w:val="005266A1"/>
    <w:rsid w:val="00527A05"/>
    <w:rsid w:val="00527B61"/>
    <w:rsid w:val="00527F5A"/>
    <w:rsid w:val="0053017C"/>
    <w:rsid w:val="00530245"/>
    <w:rsid w:val="00530492"/>
    <w:rsid w:val="00530E15"/>
    <w:rsid w:val="00531008"/>
    <w:rsid w:val="00532398"/>
    <w:rsid w:val="00532C3C"/>
    <w:rsid w:val="0053328F"/>
    <w:rsid w:val="00533636"/>
    <w:rsid w:val="00533867"/>
    <w:rsid w:val="00533B1B"/>
    <w:rsid w:val="00533F1D"/>
    <w:rsid w:val="0053409C"/>
    <w:rsid w:val="0053441D"/>
    <w:rsid w:val="0053484D"/>
    <w:rsid w:val="005349C0"/>
    <w:rsid w:val="00534E0B"/>
    <w:rsid w:val="00535DE1"/>
    <w:rsid w:val="00535FF9"/>
    <w:rsid w:val="00536556"/>
    <w:rsid w:val="0053655F"/>
    <w:rsid w:val="005372F2"/>
    <w:rsid w:val="00537397"/>
    <w:rsid w:val="00540064"/>
    <w:rsid w:val="00540276"/>
    <w:rsid w:val="005402B2"/>
    <w:rsid w:val="0054047B"/>
    <w:rsid w:val="005404B3"/>
    <w:rsid w:val="00540847"/>
    <w:rsid w:val="00541BE4"/>
    <w:rsid w:val="00541CD6"/>
    <w:rsid w:val="00541DF5"/>
    <w:rsid w:val="00541E7D"/>
    <w:rsid w:val="0054259D"/>
    <w:rsid w:val="00542D37"/>
    <w:rsid w:val="00542E89"/>
    <w:rsid w:val="00543293"/>
    <w:rsid w:val="005433C6"/>
    <w:rsid w:val="00543B3F"/>
    <w:rsid w:val="0054419B"/>
    <w:rsid w:val="005441D6"/>
    <w:rsid w:val="00544342"/>
    <w:rsid w:val="005444E6"/>
    <w:rsid w:val="0054493D"/>
    <w:rsid w:val="005450B2"/>
    <w:rsid w:val="0054545F"/>
    <w:rsid w:val="00545937"/>
    <w:rsid w:val="00546C64"/>
    <w:rsid w:val="005470BD"/>
    <w:rsid w:val="00547C04"/>
    <w:rsid w:val="00547E18"/>
    <w:rsid w:val="00550026"/>
    <w:rsid w:val="00551405"/>
    <w:rsid w:val="00551A34"/>
    <w:rsid w:val="00551FB5"/>
    <w:rsid w:val="00552069"/>
    <w:rsid w:val="00552DE8"/>
    <w:rsid w:val="00552F65"/>
    <w:rsid w:val="00552FAA"/>
    <w:rsid w:val="005532A8"/>
    <w:rsid w:val="00553D94"/>
    <w:rsid w:val="005546B4"/>
    <w:rsid w:val="00554C0E"/>
    <w:rsid w:val="00555000"/>
    <w:rsid w:val="00555CC9"/>
    <w:rsid w:val="00556322"/>
    <w:rsid w:val="00556D00"/>
    <w:rsid w:val="00557839"/>
    <w:rsid w:val="00557962"/>
    <w:rsid w:val="00557A4E"/>
    <w:rsid w:val="0056002E"/>
    <w:rsid w:val="00560342"/>
    <w:rsid w:val="0056058D"/>
    <w:rsid w:val="005607AE"/>
    <w:rsid w:val="00561385"/>
    <w:rsid w:val="005613FB"/>
    <w:rsid w:val="005617E3"/>
    <w:rsid w:val="00561A40"/>
    <w:rsid w:val="00561AC1"/>
    <w:rsid w:val="00562295"/>
    <w:rsid w:val="00562BCD"/>
    <w:rsid w:val="00562EF2"/>
    <w:rsid w:val="005633BC"/>
    <w:rsid w:val="0056370F"/>
    <w:rsid w:val="00563AC8"/>
    <w:rsid w:val="00563DE7"/>
    <w:rsid w:val="0056462F"/>
    <w:rsid w:val="00564CD8"/>
    <w:rsid w:val="00564FBB"/>
    <w:rsid w:val="005650EA"/>
    <w:rsid w:val="00565127"/>
    <w:rsid w:val="00565FD2"/>
    <w:rsid w:val="005664E2"/>
    <w:rsid w:val="00566752"/>
    <w:rsid w:val="005667F3"/>
    <w:rsid w:val="00566890"/>
    <w:rsid w:val="00567130"/>
    <w:rsid w:val="00567931"/>
    <w:rsid w:val="00567AAA"/>
    <w:rsid w:val="00567C87"/>
    <w:rsid w:val="00567D86"/>
    <w:rsid w:val="005719EF"/>
    <w:rsid w:val="0057261C"/>
    <w:rsid w:val="0057272F"/>
    <w:rsid w:val="00573004"/>
    <w:rsid w:val="00573A44"/>
    <w:rsid w:val="00573C4D"/>
    <w:rsid w:val="00573D34"/>
    <w:rsid w:val="005740E3"/>
    <w:rsid w:val="00574306"/>
    <w:rsid w:val="00574AF4"/>
    <w:rsid w:val="00574B41"/>
    <w:rsid w:val="005751CA"/>
    <w:rsid w:val="00575F01"/>
    <w:rsid w:val="00576194"/>
    <w:rsid w:val="00576730"/>
    <w:rsid w:val="0057676C"/>
    <w:rsid w:val="005777D9"/>
    <w:rsid w:val="005778C4"/>
    <w:rsid w:val="00577F67"/>
    <w:rsid w:val="005802BF"/>
    <w:rsid w:val="00580563"/>
    <w:rsid w:val="0058076B"/>
    <w:rsid w:val="00580A38"/>
    <w:rsid w:val="00580F07"/>
    <w:rsid w:val="00580F44"/>
    <w:rsid w:val="005811C4"/>
    <w:rsid w:val="005812FA"/>
    <w:rsid w:val="0058160C"/>
    <w:rsid w:val="00581867"/>
    <w:rsid w:val="0058487E"/>
    <w:rsid w:val="00584B6F"/>
    <w:rsid w:val="00584D20"/>
    <w:rsid w:val="00584D78"/>
    <w:rsid w:val="00584E4C"/>
    <w:rsid w:val="00586067"/>
    <w:rsid w:val="005864F3"/>
    <w:rsid w:val="00587711"/>
    <w:rsid w:val="00587A66"/>
    <w:rsid w:val="00587AC1"/>
    <w:rsid w:val="005900FC"/>
    <w:rsid w:val="00590200"/>
    <w:rsid w:val="0059022B"/>
    <w:rsid w:val="00590699"/>
    <w:rsid w:val="005913D6"/>
    <w:rsid w:val="005915C8"/>
    <w:rsid w:val="005918F9"/>
    <w:rsid w:val="00591B9B"/>
    <w:rsid w:val="00591BC7"/>
    <w:rsid w:val="005929AD"/>
    <w:rsid w:val="00592DA6"/>
    <w:rsid w:val="0059305D"/>
    <w:rsid w:val="005935A2"/>
    <w:rsid w:val="00593A0E"/>
    <w:rsid w:val="00593A5A"/>
    <w:rsid w:val="00593A5E"/>
    <w:rsid w:val="00593B54"/>
    <w:rsid w:val="005943A4"/>
    <w:rsid w:val="00594BF4"/>
    <w:rsid w:val="00594E12"/>
    <w:rsid w:val="00594F25"/>
    <w:rsid w:val="00594F78"/>
    <w:rsid w:val="00595445"/>
    <w:rsid w:val="00595AFE"/>
    <w:rsid w:val="00595DBD"/>
    <w:rsid w:val="00595E92"/>
    <w:rsid w:val="00596ECF"/>
    <w:rsid w:val="0059742D"/>
    <w:rsid w:val="005A0B23"/>
    <w:rsid w:val="005A1566"/>
    <w:rsid w:val="005A28CF"/>
    <w:rsid w:val="005A324F"/>
    <w:rsid w:val="005A43F8"/>
    <w:rsid w:val="005A4BC0"/>
    <w:rsid w:val="005A4F63"/>
    <w:rsid w:val="005A57DA"/>
    <w:rsid w:val="005A5A6D"/>
    <w:rsid w:val="005A5BFE"/>
    <w:rsid w:val="005A6841"/>
    <w:rsid w:val="005A6FF6"/>
    <w:rsid w:val="005A716C"/>
    <w:rsid w:val="005A7479"/>
    <w:rsid w:val="005A7A16"/>
    <w:rsid w:val="005A7CF3"/>
    <w:rsid w:val="005B088E"/>
    <w:rsid w:val="005B11BA"/>
    <w:rsid w:val="005B1720"/>
    <w:rsid w:val="005B1805"/>
    <w:rsid w:val="005B1D82"/>
    <w:rsid w:val="005B2931"/>
    <w:rsid w:val="005B2A3E"/>
    <w:rsid w:val="005B2AD2"/>
    <w:rsid w:val="005B2B0F"/>
    <w:rsid w:val="005B344C"/>
    <w:rsid w:val="005B4016"/>
    <w:rsid w:val="005B40D4"/>
    <w:rsid w:val="005B4277"/>
    <w:rsid w:val="005B4A66"/>
    <w:rsid w:val="005B570B"/>
    <w:rsid w:val="005B7082"/>
    <w:rsid w:val="005C10E6"/>
    <w:rsid w:val="005C16E9"/>
    <w:rsid w:val="005C236B"/>
    <w:rsid w:val="005C262E"/>
    <w:rsid w:val="005C26C5"/>
    <w:rsid w:val="005C34B9"/>
    <w:rsid w:val="005C37DC"/>
    <w:rsid w:val="005C387D"/>
    <w:rsid w:val="005C4189"/>
    <w:rsid w:val="005C462D"/>
    <w:rsid w:val="005C4726"/>
    <w:rsid w:val="005C4794"/>
    <w:rsid w:val="005C4EEC"/>
    <w:rsid w:val="005C50FB"/>
    <w:rsid w:val="005C51E4"/>
    <w:rsid w:val="005C54F6"/>
    <w:rsid w:val="005C593D"/>
    <w:rsid w:val="005C6F40"/>
    <w:rsid w:val="005C71A0"/>
    <w:rsid w:val="005C7A48"/>
    <w:rsid w:val="005C7F0F"/>
    <w:rsid w:val="005D0438"/>
    <w:rsid w:val="005D0464"/>
    <w:rsid w:val="005D06E1"/>
    <w:rsid w:val="005D0E2E"/>
    <w:rsid w:val="005D1015"/>
    <w:rsid w:val="005D103E"/>
    <w:rsid w:val="005D10A5"/>
    <w:rsid w:val="005D125C"/>
    <w:rsid w:val="005D1272"/>
    <w:rsid w:val="005D12B1"/>
    <w:rsid w:val="005D1933"/>
    <w:rsid w:val="005D2398"/>
    <w:rsid w:val="005D23A0"/>
    <w:rsid w:val="005D2CE8"/>
    <w:rsid w:val="005D2D6F"/>
    <w:rsid w:val="005D2EB9"/>
    <w:rsid w:val="005D3DD2"/>
    <w:rsid w:val="005D4232"/>
    <w:rsid w:val="005D423A"/>
    <w:rsid w:val="005D4700"/>
    <w:rsid w:val="005D5426"/>
    <w:rsid w:val="005D6F9E"/>
    <w:rsid w:val="005D7005"/>
    <w:rsid w:val="005D7337"/>
    <w:rsid w:val="005D7579"/>
    <w:rsid w:val="005D7A15"/>
    <w:rsid w:val="005D7E70"/>
    <w:rsid w:val="005E00F3"/>
    <w:rsid w:val="005E0599"/>
    <w:rsid w:val="005E175A"/>
    <w:rsid w:val="005E2297"/>
    <w:rsid w:val="005E31F3"/>
    <w:rsid w:val="005E3527"/>
    <w:rsid w:val="005E3C15"/>
    <w:rsid w:val="005E3C1D"/>
    <w:rsid w:val="005E3EFB"/>
    <w:rsid w:val="005E41A5"/>
    <w:rsid w:val="005E4C64"/>
    <w:rsid w:val="005E4D37"/>
    <w:rsid w:val="005E4E76"/>
    <w:rsid w:val="005E4F39"/>
    <w:rsid w:val="005E4F46"/>
    <w:rsid w:val="005E569F"/>
    <w:rsid w:val="005E5884"/>
    <w:rsid w:val="005E5D04"/>
    <w:rsid w:val="005E5E57"/>
    <w:rsid w:val="005E60FA"/>
    <w:rsid w:val="005E6502"/>
    <w:rsid w:val="005E653E"/>
    <w:rsid w:val="005E71FE"/>
    <w:rsid w:val="005E77F5"/>
    <w:rsid w:val="005E78D6"/>
    <w:rsid w:val="005E79FA"/>
    <w:rsid w:val="005E7AF7"/>
    <w:rsid w:val="005E7B80"/>
    <w:rsid w:val="005E7EDB"/>
    <w:rsid w:val="005F00ED"/>
    <w:rsid w:val="005F0600"/>
    <w:rsid w:val="005F0D4B"/>
    <w:rsid w:val="005F17C0"/>
    <w:rsid w:val="005F199D"/>
    <w:rsid w:val="005F1C94"/>
    <w:rsid w:val="005F2142"/>
    <w:rsid w:val="005F2B6A"/>
    <w:rsid w:val="005F2D1B"/>
    <w:rsid w:val="005F2DA9"/>
    <w:rsid w:val="005F2F40"/>
    <w:rsid w:val="005F2F4C"/>
    <w:rsid w:val="005F4242"/>
    <w:rsid w:val="005F47F0"/>
    <w:rsid w:val="005F4D5F"/>
    <w:rsid w:val="005F5363"/>
    <w:rsid w:val="005F5E25"/>
    <w:rsid w:val="0060085F"/>
    <w:rsid w:val="00600EA3"/>
    <w:rsid w:val="00601366"/>
    <w:rsid w:val="00601BFF"/>
    <w:rsid w:val="0060223F"/>
    <w:rsid w:val="0060319C"/>
    <w:rsid w:val="006035A7"/>
    <w:rsid w:val="0060380B"/>
    <w:rsid w:val="00603A49"/>
    <w:rsid w:val="00604341"/>
    <w:rsid w:val="006046E5"/>
    <w:rsid w:val="00604746"/>
    <w:rsid w:val="00604970"/>
    <w:rsid w:val="0060500A"/>
    <w:rsid w:val="00605184"/>
    <w:rsid w:val="006054BC"/>
    <w:rsid w:val="006054ED"/>
    <w:rsid w:val="00606052"/>
    <w:rsid w:val="00607315"/>
    <w:rsid w:val="006076D4"/>
    <w:rsid w:val="00607AE6"/>
    <w:rsid w:val="00607D55"/>
    <w:rsid w:val="00607D97"/>
    <w:rsid w:val="006100D5"/>
    <w:rsid w:val="00610D2D"/>
    <w:rsid w:val="00611058"/>
    <w:rsid w:val="006110CF"/>
    <w:rsid w:val="006115BE"/>
    <w:rsid w:val="00611811"/>
    <w:rsid w:val="00611C46"/>
    <w:rsid w:val="006127ED"/>
    <w:rsid w:val="00612950"/>
    <w:rsid w:val="00612AB4"/>
    <w:rsid w:val="00613CCF"/>
    <w:rsid w:val="00614431"/>
    <w:rsid w:val="006146D3"/>
    <w:rsid w:val="0061471E"/>
    <w:rsid w:val="00614F8D"/>
    <w:rsid w:val="00615189"/>
    <w:rsid w:val="0061518E"/>
    <w:rsid w:val="00615226"/>
    <w:rsid w:val="00615E19"/>
    <w:rsid w:val="00616623"/>
    <w:rsid w:val="006169E7"/>
    <w:rsid w:val="00616E58"/>
    <w:rsid w:val="0061774C"/>
    <w:rsid w:val="00620421"/>
    <w:rsid w:val="006206CE"/>
    <w:rsid w:val="00620993"/>
    <w:rsid w:val="00620BFA"/>
    <w:rsid w:val="00620D09"/>
    <w:rsid w:val="0062119B"/>
    <w:rsid w:val="00622E14"/>
    <w:rsid w:val="00622F54"/>
    <w:rsid w:val="00623481"/>
    <w:rsid w:val="006235F1"/>
    <w:rsid w:val="0062372E"/>
    <w:rsid w:val="006238D6"/>
    <w:rsid w:val="0062422B"/>
    <w:rsid w:val="00624B10"/>
    <w:rsid w:val="00624D23"/>
    <w:rsid w:val="006252E4"/>
    <w:rsid w:val="006256CF"/>
    <w:rsid w:val="0062624E"/>
    <w:rsid w:val="006264C2"/>
    <w:rsid w:val="00626C76"/>
    <w:rsid w:val="00627025"/>
    <w:rsid w:val="00627CA8"/>
    <w:rsid w:val="00627DE5"/>
    <w:rsid w:val="00630D23"/>
    <w:rsid w:val="006315FD"/>
    <w:rsid w:val="0063258F"/>
    <w:rsid w:val="00632625"/>
    <w:rsid w:val="0063284E"/>
    <w:rsid w:val="00632BAF"/>
    <w:rsid w:val="00633098"/>
    <w:rsid w:val="0063321D"/>
    <w:rsid w:val="006332D0"/>
    <w:rsid w:val="006338D7"/>
    <w:rsid w:val="00633C6C"/>
    <w:rsid w:val="006344C1"/>
    <w:rsid w:val="0063488C"/>
    <w:rsid w:val="006348E9"/>
    <w:rsid w:val="00635460"/>
    <w:rsid w:val="00636EB9"/>
    <w:rsid w:val="00637ACB"/>
    <w:rsid w:val="006403AB"/>
    <w:rsid w:val="00640487"/>
    <w:rsid w:val="006408B1"/>
    <w:rsid w:val="006418B9"/>
    <w:rsid w:val="00641FBE"/>
    <w:rsid w:val="0064207D"/>
    <w:rsid w:val="00642BD4"/>
    <w:rsid w:val="0064341F"/>
    <w:rsid w:val="00643757"/>
    <w:rsid w:val="00643AC6"/>
    <w:rsid w:val="00643AE9"/>
    <w:rsid w:val="00643E8F"/>
    <w:rsid w:val="006450B1"/>
    <w:rsid w:val="006452DB"/>
    <w:rsid w:val="006458F3"/>
    <w:rsid w:val="0064633F"/>
    <w:rsid w:val="0064675D"/>
    <w:rsid w:val="0064757F"/>
    <w:rsid w:val="0064770E"/>
    <w:rsid w:val="006478DC"/>
    <w:rsid w:val="00650CD3"/>
    <w:rsid w:val="006510A9"/>
    <w:rsid w:val="00651EDD"/>
    <w:rsid w:val="006522A0"/>
    <w:rsid w:val="006522FF"/>
    <w:rsid w:val="006536E3"/>
    <w:rsid w:val="00653B38"/>
    <w:rsid w:val="00653C42"/>
    <w:rsid w:val="00653D09"/>
    <w:rsid w:val="00654620"/>
    <w:rsid w:val="00654DBD"/>
    <w:rsid w:val="00655174"/>
    <w:rsid w:val="00655E97"/>
    <w:rsid w:val="006562E0"/>
    <w:rsid w:val="0065671B"/>
    <w:rsid w:val="006574D2"/>
    <w:rsid w:val="00657679"/>
    <w:rsid w:val="0065785E"/>
    <w:rsid w:val="00657A21"/>
    <w:rsid w:val="00657A92"/>
    <w:rsid w:val="00657E93"/>
    <w:rsid w:val="00660525"/>
    <w:rsid w:val="006607DB"/>
    <w:rsid w:val="00660C48"/>
    <w:rsid w:val="00660E02"/>
    <w:rsid w:val="00660F06"/>
    <w:rsid w:val="00661A06"/>
    <w:rsid w:val="00661A99"/>
    <w:rsid w:val="00661B23"/>
    <w:rsid w:val="00661E1B"/>
    <w:rsid w:val="0066279C"/>
    <w:rsid w:val="00664155"/>
    <w:rsid w:val="00664A34"/>
    <w:rsid w:val="00664EF0"/>
    <w:rsid w:val="00665551"/>
    <w:rsid w:val="006656AF"/>
    <w:rsid w:val="006656B8"/>
    <w:rsid w:val="00665F95"/>
    <w:rsid w:val="00666453"/>
    <w:rsid w:val="006664E8"/>
    <w:rsid w:val="00666B29"/>
    <w:rsid w:val="00667476"/>
    <w:rsid w:val="0066775F"/>
    <w:rsid w:val="006678D2"/>
    <w:rsid w:val="00667A1F"/>
    <w:rsid w:val="00667B5B"/>
    <w:rsid w:val="00667DB8"/>
    <w:rsid w:val="00670033"/>
    <w:rsid w:val="00670B5B"/>
    <w:rsid w:val="0067135E"/>
    <w:rsid w:val="00671702"/>
    <w:rsid w:val="0067185B"/>
    <w:rsid w:val="00671AAC"/>
    <w:rsid w:val="00672ECF"/>
    <w:rsid w:val="006734E4"/>
    <w:rsid w:val="00673AA3"/>
    <w:rsid w:val="0067465D"/>
    <w:rsid w:val="0067476B"/>
    <w:rsid w:val="00674D64"/>
    <w:rsid w:val="00675561"/>
    <w:rsid w:val="00675880"/>
    <w:rsid w:val="00676377"/>
    <w:rsid w:val="00676A9F"/>
    <w:rsid w:val="00676AF9"/>
    <w:rsid w:val="00680011"/>
    <w:rsid w:val="006801BE"/>
    <w:rsid w:val="006802AF"/>
    <w:rsid w:val="0068047F"/>
    <w:rsid w:val="00680C6D"/>
    <w:rsid w:val="0068164B"/>
    <w:rsid w:val="00681B77"/>
    <w:rsid w:val="00681D19"/>
    <w:rsid w:val="0068245D"/>
    <w:rsid w:val="006825E3"/>
    <w:rsid w:val="0068287E"/>
    <w:rsid w:val="00682B1E"/>
    <w:rsid w:val="006832AA"/>
    <w:rsid w:val="006836DC"/>
    <w:rsid w:val="0068384C"/>
    <w:rsid w:val="00683A96"/>
    <w:rsid w:val="00683D65"/>
    <w:rsid w:val="00684B44"/>
    <w:rsid w:val="00684CDB"/>
    <w:rsid w:val="00685DB4"/>
    <w:rsid w:val="00686CC3"/>
    <w:rsid w:val="0068776A"/>
    <w:rsid w:val="00687CB9"/>
    <w:rsid w:val="00690375"/>
    <w:rsid w:val="006903F4"/>
    <w:rsid w:val="0069075A"/>
    <w:rsid w:val="0069076E"/>
    <w:rsid w:val="00690848"/>
    <w:rsid w:val="00692D05"/>
    <w:rsid w:val="00693299"/>
    <w:rsid w:val="00693FD0"/>
    <w:rsid w:val="00694023"/>
    <w:rsid w:val="006940CD"/>
    <w:rsid w:val="006948F7"/>
    <w:rsid w:val="00694ACE"/>
    <w:rsid w:val="00694B6A"/>
    <w:rsid w:val="00695BBF"/>
    <w:rsid w:val="0069661D"/>
    <w:rsid w:val="006966A6"/>
    <w:rsid w:val="00696958"/>
    <w:rsid w:val="00696960"/>
    <w:rsid w:val="00696E35"/>
    <w:rsid w:val="0069753F"/>
    <w:rsid w:val="00697B39"/>
    <w:rsid w:val="00697CB9"/>
    <w:rsid w:val="006A07E5"/>
    <w:rsid w:val="006A12F5"/>
    <w:rsid w:val="006A1CA0"/>
    <w:rsid w:val="006A31E7"/>
    <w:rsid w:val="006A3425"/>
    <w:rsid w:val="006A344F"/>
    <w:rsid w:val="006A3666"/>
    <w:rsid w:val="006A4F11"/>
    <w:rsid w:val="006A5134"/>
    <w:rsid w:val="006A62D5"/>
    <w:rsid w:val="006A6FF7"/>
    <w:rsid w:val="006A72E2"/>
    <w:rsid w:val="006B0021"/>
    <w:rsid w:val="006B01E8"/>
    <w:rsid w:val="006B08EC"/>
    <w:rsid w:val="006B0B56"/>
    <w:rsid w:val="006B14D1"/>
    <w:rsid w:val="006B14EA"/>
    <w:rsid w:val="006B1D90"/>
    <w:rsid w:val="006B1EA0"/>
    <w:rsid w:val="006B2054"/>
    <w:rsid w:val="006B2087"/>
    <w:rsid w:val="006B232B"/>
    <w:rsid w:val="006B23B6"/>
    <w:rsid w:val="006B26A1"/>
    <w:rsid w:val="006B2AC7"/>
    <w:rsid w:val="006B2DBD"/>
    <w:rsid w:val="006B4036"/>
    <w:rsid w:val="006B44A9"/>
    <w:rsid w:val="006B4CC0"/>
    <w:rsid w:val="006B4F51"/>
    <w:rsid w:val="006B530E"/>
    <w:rsid w:val="006B552E"/>
    <w:rsid w:val="006B5634"/>
    <w:rsid w:val="006B599E"/>
    <w:rsid w:val="006B5F6F"/>
    <w:rsid w:val="006B634C"/>
    <w:rsid w:val="006B695A"/>
    <w:rsid w:val="006B6CE9"/>
    <w:rsid w:val="006B6D66"/>
    <w:rsid w:val="006B6E4A"/>
    <w:rsid w:val="006B7356"/>
    <w:rsid w:val="006B73AD"/>
    <w:rsid w:val="006C0532"/>
    <w:rsid w:val="006C1F6A"/>
    <w:rsid w:val="006C20B1"/>
    <w:rsid w:val="006C27C0"/>
    <w:rsid w:val="006C2BAB"/>
    <w:rsid w:val="006C2BB0"/>
    <w:rsid w:val="006C2D66"/>
    <w:rsid w:val="006C327C"/>
    <w:rsid w:val="006C32E4"/>
    <w:rsid w:val="006C337F"/>
    <w:rsid w:val="006C33FF"/>
    <w:rsid w:val="006C34C0"/>
    <w:rsid w:val="006C43C7"/>
    <w:rsid w:val="006C446C"/>
    <w:rsid w:val="006C4B9A"/>
    <w:rsid w:val="006C4E1F"/>
    <w:rsid w:val="006C4F6C"/>
    <w:rsid w:val="006C5DD8"/>
    <w:rsid w:val="006C67D6"/>
    <w:rsid w:val="006C68DB"/>
    <w:rsid w:val="006C75B8"/>
    <w:rsid w:val="006C7CAA"/>
    <w:rsid w:val="006D030A"/>
    <w:rsid w:val="006D0679"/>
    <w:rsid w:val="006D0811"/>
    <w:rsid w:val="006D1116"/>
    <w:rsid w:val="006D1A5C"/>
    <w:rsid w:val="006D1C5F"/>
    <w:rsid w:val="006D1E1D"/>
    <w:rsid w:val="006D2588"/>
    <w:rsid w:val="006D2655"/>
    <w:rsid w:val="006D35C4"/>
    <w:rsid w:val="006D3B80"/>
    <w:rsid w:val="006D4054"/>
    <w:rsid w:val="006D42BC"/>
    <w:rsid w:val="006D445D"/>
    <w:rsid w:val="006D47B9"/>
    <w:rsid w:val="006D525D"/>
    <w:rsid w:val="006D66D3"/>
    <w:rsid w:val="006E09F5"/>
    <w:rsid w:val="006E0FB7"/>
    <w:rsid w:val="006E1108"/>
    <w:rsid w:val="006E15CC"/>
    <w:rsid w:val="006E1605"/>
    <w:rsid w:val="006E23DD"/>
    <w:rsid w:val="006E2CA1"/>
    <w:rsid w:val="006E37E4"/>
    <w:rsid w:val="006E4124"/>
    <w:rsid w:val="006E42D5"/>
    <w:rsid w:val="006E476F"/>
    <w:rsid w:val="006E4A55"/>
    <w:rsid w:val="006E4F00"/>
    <w:rsid w:val="006E501F"/>
    <w:rsid w:val="006E51D0"/>
    <w:rsid w:val="006E5640"/>
    <w:rsid w:val="006E6766"/>
    <w:rsid w:val="006E725D"/>
    <w:rsid w:val="006E773B"/>
    <w:rsid w:val="006F09A4"/>
    <w:rsid w:val="006F0F88"/>
    <w:rsid w:val="006F1065"/>
    <w:rsid w:val="006F12DC"/>
    <w:rsid w:val="006F1351"/>
    <w:rsid w:val="006F1A52"/>
    <w:rsid w:val="006F1FCF"/>
    <w:rsid w:val="006F203D"/>
    <w:rsid w:val="006F2406"/>
    <w:rsid w:val="006F3773"/>
    <w:rsid w:val="006F3C39"/>
    <w:rsid w:val="006F3E8B"/>
    <w:rsid w:val="006F4931"/>
    <w:rsid w:val="006F49BD"/>
    <w:rsid w:val="006F4E18"/>
    <w:rsid w:val="006F5414"/>
    <w:rsid w:val="006F5A0B"/>
    <w:rsid w:val="006F69A6"/>
    <w:rsid w:val="006F6A2E"/>
    <w:rsid w:val="006F763D"/>
    <w:rsid w:val="007000EF"/>
    <w:rsid w:val="00700647"/>
    <w:rsid w:val="00700F11"/>
    <w:rsid w:val="007010A8"/>
    <w:rsid w:val="007013F9"/>
    <w:rsid w:val="0070228E"/>
    <w:rsid w:val="00702616"/>
    <w:rsid w:val="00702E9C"/>
    <w:rsid w:val="00702F0E"/>
    <w:rsid w:val="0070337E"/>
    <w:rsid w:val="007034FB"/>
    <w:rsid w:val="007035D5"/>
    <w:rsid w:val="007038D5"/>
    <w:rsid w:val="00703A7C"/>
    <w:rsid w:val="00703B71"/>
    <w:rsid w:val="00703BF5"/>
    <w:rsid w:val="00703D26"/>
    <w:rsid w:val="00704442"/>
    <w:rsid w:val="00704BBE"/>
    <w:rsid w:val="007053B3"/>
    <w:rsid w:val="00706406"/>
    <w:rsid w:val="0070672E"/>
    <w:rsid w:val="00706E36"/>
    <w:rsid w:val="0070734E"/>
    <w:rsid w:val="007074AA"/>
    <w:rsid w:val="007077BB"/>
    <w:rsid w:val="00707905"/>
    <w:rsid w:val="00711AF1"/>
    <w:rsid w:val="007120F6"/>
    <w:rsid w:val="00712295"/>
    <w:rsid w:val="007122F7"/>
    <w:rsid w:val="0071325C"/>
    <w:rsid w:val="00713AE9"/>
    <w:rsid w:val="00713C61"/>
    <w:rsid w:val="00713EB6"/>
    <w:rsid w:val="0071444E"/>
    <w:rsid w:val="007144F2"/>
    <w:rsid w:val="0071482A"/>
    <w:rsid w:val="00714CB3"/>
    <w:rsid w:val="00715242"/>
    <w:rsid w:val="007155EF"/>
    <w:rsid w:val="00715E72"/>
    <w:rsid w:val="00715F4B"/>
    <w:rsid w:val="007162DA"/>
    <w:rsid w:val="00716748"/>
    <w:rsid w:val="00716835"/>
    <w:rsid w:val="007170B6"/>
    <w:rsid w:val="00720D95"/>
    <w:rsid w:val="007213F4"/>
    <w:rsid w:val="00722335"/>
    <w:rsid w:val="00722340"/>
    <w:rsid w:val="007226B6"/>
    <w:rsid w:val="00722D6F"/>
    <w:rsid w:val="00722FB2"/>
    <w:rsid w:val="00722FE4"/>
    <w:rsid w:val="00723285"/>
    <w:rsid w:val="007237F8"/>
    <w:rsid w:val="00723AA1"/>
    <w:rsid w:val="00724136"/>
    <w:rsid w:val="00724371"/>
    <w:rsid w:val="00724709"/>
    <w:rsid w:val="0072565E"/>
    <w:rsid w:val="007257EF"/>
    <w:rsid w:val="00725837"/>
    <w:rsid w:val="007259B3"/>
    <w:rsid w:val="00726C6B"/>
    <w:rsid w:val="00726D11"/>
    <w:rsid w:val="0073013C"/>
    <w:rsid w:val="00730653"/>
    <w:rsid w:val="00731165"/>
    <w:rsid w:val="00731ACC"/>
    <w:rsid w:val="00731EE8"/>
    <w:rsid w:val="00731F05"/>
    <w:rsid w:val="00731F97"/>
    <w:rsid w:val="00733841"/>
    <w:rsid w:val="007339A6"/>
    <w:rsid w:val="00733FDA"/>
    <w:rsid w:val="00733FE9"/>
    <w:rsid w:val="007346A1"/>
    <w:rsid w:val="0073534A"/>
    <w:rsid w:val="0073619A"/>
    <w:rsid w:val="00736523"/>
    <w:rsid w:val="007366A5"/>
    <w:rsid w:val="00736797"/>
    <w:rsid w:val="00736C90"/>
    <w:rsid w:val="00737146"/>
    <w:rsid w:val="007376F8"/>
    <w:rsid w:val="00737832"/>
    <w:rsid w:val="00737B41"/>
    <w:rsid w:val="00737C3D"/>
    <w:rsid w:val="00740434"/>
    <w:rsid w:val="00741E14"/>
    <w:rsid w:val="00742107"/>
    <w:rsid w:val="007421DD"/>
    <w:rsid w:val="00742393"/>
    <w:rsid w:val="00742968"/>
    <w:rsid w:val="00742D01"/>
    <w:rsid w:val="00743291"/>
    <w:rsid w:val="0074331D"/>
    <w:rsid w:val="00743675"/>
    <w:rsid w:val="00743688"/>
    <w:rsid w:val="0074392E"/>
    <w:rsid w:val="007448DF"/>
    <w:rsid w:val="00744B5C"/>
    <w:rsid w:val="007450B4"/>
    <w:rsid w:val="007451D4"/>
    <w:rsid w:val="00745274"/>
    <w:rsid w:val="007454AD"/>
    <w:rsid w:val="00745700"/>
    <w:rsid w:val="007465C3"/>
    <w:rsid w:val="00747806"/>
    <w:rsid w:val="00747FC1"/>
    <w:rsid w:val="007500B7"/>
    <w:rsid w:val="007500E5"/>
    <w:rsid w:val="0075051D"/>
    <w:rsid w:val="00750C15"/>
    <w:rsid w:val="00750CFB"/>
    <w:rsid w:val="00750E14"/>
    <w:rsid w:val="00751381"/>
    <w:rsid w:val="00751E5E"/>
    <w:rsid w:val="00751FFD"/>
    <w:rsid w:val="00752C80"/>
    <w:rsid w:val="0075368F"/>
    <w:rsid w:val="007537FF"/>
    <w:rsid w:val="00753C7B"/>
    <w:rsid w:val="0075441A"/>
    <w:rsid w:val="00754CBA"/>
    <w:rsid w:val="00754F9B"/>
    <w:rsid w:val="007551A9"/>
    <w:rsid w:val="0075524A"/>
    <w:rsid w:val="0075551B"/>
    <w:rsid w:val="0075598D"/>
    <w:rsid w:val="0075666D"/>
    <w:rsid w:val="007566EA"/>
    <w:rsid w:val="00756CA2"/>
    <w:rsid w:val="007571DF"/>
    <w:rsid w:val="007575C9"/>
    <w:rsid w:val="007600A7"/>
    <w:rsid w:val="00760217"/>
    <w:rsid w:val="00761764"/>
    <w:rsid w:val="007625E9"/>
    <w:rsid w:val="00763029"/>
    <w:rsid w:val="007631C0"/>
    <w:rsid w:val="00763ECD"/>
    <w:rsid w:val="00764041"/>
    <w:rsid w:val="00764C8D"/>
    <w:rsid w:val="007657AB"/>
    <w:rsid w:val="00765CC1"/>
    <w:rsid w:val="00765E25"/>
    <w:rsid w:val="00766214"/>
    <w:rsid w:val="007666DB"/>
    <w:rsid w:val="0077086F"/>
    <w:rsid w:val="00770D16"/>
    <w:rsid w:val="00771340"/>
    <w:rsid w:val="0077233B"/>
    <w:rsid w:val="00772443"/>
    <w:rsid w:val="0077272B"/>
    <w:rsid w:val="00772C80"/>
    <w:rsid w:val="00773920"/>
    <w:rsid w:val="0077399B"/>
    <w:rsid w:val="00773F18"/>
    <w:rsid w:val="0077452A"/>
    <w:rsid w:val="00774532"/>
    <w:rsid w:val="007749BA"/>
    <w:rsid w:val="00774B60"/>
    <w:rsid w:val="007757DE"/>
    <w:rsid w:val="00775B7A"/>
    <w:rsid w:val="007760F7"/>
    <w:rsid w:val="007767C4"/>
    <w:rsid w:val="00776ED0"/>
    <w:rsid w:val="007770E6"/>
    <w:rsid w:val="007775E4"/>
    <w:rsid w:val="0077767D"/>
    <w:rsid w:val="007778C2"/>
    <w:rsid w:val="00780F5D"/>
    <w:rsid w:val="007818B0"/>
    <w:rsid w:val="00781A0F"/>
    <w:rsid w:val="00782D2E"/>
    <w:rsid w:val="007831A7"/>
    <w:rsid w:val="00783951"/>
    <w:rsid w:val="00783AA9"/>
    <w:rsid w:val="0078478C"/>
    <w:rsid w:val="00784928"/>
    <w:rsid w:val="00785312"/>
    <w:rsid w:val="00785EE3"/>
    <w:rsid w:val="0078661E"/>
    <w:rsid w:val="00786B74"/>
    <w:rsid w:val="00786BA3"/>
    <w:rsid w:val="00786CF7"/>
    <w:rsid w:val="00786D07"/>
    <w:rsid w:val="00787943"/>
    <w:rsid w:val="00787EB6"/>
    <w:rsid w:val="007905A7"/>
    <w:rsid w:val="00790F8E"/>
    <w:rsid w:val="00791080"/>
    <w:rsid w:val="00791AF8"/>
    <w:rsid w:val="00792275"/>
    <w:rsid w:val="007922D7"/>
    <w:rsid w:val="0079272F"/>
    <w:rsid w:val="007933BF"/>
    <w:rsid w:val="0079348D"/>
    <w:rsid w:val="007941B2"/>
    <w:rsid w:val="007941B4"/>
    <w:rsid w:val="00794CE1"/>
    <w:rsid w:val="00794F75"/>
    <w:rsid w:val="00795457"/>
    <w:rsid w:val="007964AE"/>
    <w:rsid w:val="00796E1F"/>
    <w:rsid w:val="00797704"/>
    <w:rsid w:val="007A030E"/>
    <w:rsid w:val="007A08E0"/>
    <w:rsid w:val="007A0FBE"/>
    <w:rsid w:val="007A1868"/>
    <w:rsid w:val="007A1912"/>
    <w:rsid w:val="007A1A12"/>
    <w:rsid w:val="007A1C6B"/>
    <w:rsid w:val="007A2060"/>
    <w:rsid w:val="007A2DFF"/>
    <w:rsid w:val="007A3633"/>
    <w:rsid w:val="007A3992"/>
    <w:rsid w:val="007A3D7E"/>
    <w:rsid w:val="007A4BEA"/>
    <w:rsid w:val="007A542E"/>
    <w:rsid w:val="007A55DF"/>
    <w:rsid w:val="007A5910"/>
    <w:rsid w:val="007A674C"/>
    <w:rsid w:val="007A679C"/>
    <w:rsid w:val="007A68A9"/>
    <w:rsid w:val="007A697B"/>
    <w:rsid w:val="007A6D6D"/>
    <w:rsid w:val="007A70E4"/>
    <w:rsid w:val="007A71B4"/>
    <w:rsid w:val="007A787D"/>
    <w:rsid w:val="007A7EAF"/>
    <w:rsid w:val="007A7F6C"/>
    <w:rsid w:val="007B06AA"/>
    <w:rsid w:val="007B1682"/>
    <w:rsid w:val="007B1A46"/>
    <w:rsid w:val="007B1CC2"/>
    <w:rsid w:val="007B1E00"/>
    <w:rsid w:val="007B22EA"/>
    <w:rsid w:val="007B235E"/>
    <w:rsid w:val="007B3448"/>
    <w:rsid w:val="007B3F48"/>
    <w:rsid w:val="007B440A"/>
    <w:rsid w:val="007B49F6"/>
    <w:rsid w:val="007B503F"/>
    <w:rsid w:val="007B5C66"/>
    <w:rsid w:val="007B5DFB"/>
    <w:rsid w:val="007B7897"/>
    <w:rsid w:val="007B7D75"/>
    <w:rsid w:val="007C00BA"/>
    <w:rsid w:val="007C010B"/>
    <w:rsid w:val="007C0599"/>
    <w:rsid w:val="007C0701"/>
    <w:rsid w:val="007C0F7A"/>
    <w:rsid w:val="007C11E6"/>
    <w:rsid w:val="007C1865"/>
    <w:rsid w:val="007C2BAB"/>
    <w:rsid w:val="007C325C"/>
    <w:rsid w:val="007C3307"/>
    <w:rsid w:val="007C39A4"/>
    <w:rsid w:val="007C4267"/>
    <w:rsid w:val="007C457F"/>
    <w:rsid w:val="007C5D90"/>
    <w:rsid w:val="007C6512"/>
    <w:rsid w:val="007C6A6F"/>
    <w:rsid w:val="007C6EAE"/>
    <w:rsid w:val="007C72AB"/>
    <w:rsid w:val="007C7BDA"/>
    <w:rsid w:val="007D0326"/>
    <w:rsid w:val="007D07A9"/>
    <w:rsid w:val="007D09BC"/>
    <w:rsid w:val="007D0A06"/>
    <w:rsid w:val="007D0D13"/>
    <w:rsid w:val="007D11EF"/>
    <w:rsid w:val="007D14BF"/>
    <w:rsid w:val="007D1EB0"/>
    <w:rsid w:val="007D1F25"/>
    <w:rsid w:val="007D1F8A"/>
    <w:rsid w:val="007D2AB1"/>
    <w:rsid w:val="007D2C60"/>
    <w:rsid w:val="007D2CD0"/>
    <w:rsid w:val="007D3F64"/>
    <w:rsid w:val="007D4731"/>
    <w:rsid w:val="007D489B"/>
    <w:rsid w:val="007D6405"/>
    <w:rsid w:val="007D653C"/>
    <w:rsid w:val="007D6F3B"/>
    <w:rsid w:val="007D710B"/>
    <w:rsid w:val="007D74ED"/>
    <w:rsid w:val="007D77A6"/>
    <w:rsid w:val="007D78A2"/>
    <w:rsid w:val="007D7977"/>
    <w:rsid w:val="007D7AEE"/>
    <w:rsid w:val="007E05C5"/>
    <w:rsid w:val="007E085B"/>
    <w:rsid w:val="007E1278"/>
    <w:rsid w:val="007E17AB"/>
    <w:rsid w:val="007E2089"/>
    <w:rsid w:val="007E215C"/>
    <w:rsid w:val="007E2299"/>
    <w:rsid w:val="007E2538"/>
    <w:rsid w:val="007E2677"/>
    <w:rsid w:val="007E29BB"/>
    <w:rsid w:val="007E2B7E"/>
    <w:rsid w:val="007E32A7"/>
    <w:rsid w:val="007E34D7"/>
    <w:rsid w:val="007E3CC5"/>
    <w:rsid w:val="007E4495"/>
    <w:rsid w:val="007E4CA6"/>
    <w:rsid w:val="007E5659"/>
    <w:rsid w:val="007E5716"/>
    <w:rsid w:val="007E66BA"/>
    <w:rsid w:val="007E6716"/>
    <w:rsid w:val="007E6DB4"/>
    <w:rsid w:val="007E721F"/>
    <w:rsid w:val="007E732D"/>
    <w:rsid w:val="007E7CD6"/>
    <w:rsid w:val="007F0A78"/>
    <w:rsid w:val="007F0C9E"/>
    <w:rsid w:val="007F1966"/>
    <w:rsid w:val="007F2239"/>
    <w:rsid w:val="007F2376"/>
    <w:rsid w:val="007F267B"/>
    <w:rsid w:val="007F271E"/>
    <w:rsid w:val="007F2F63"/>
    <w:rsid w:val="007F35D6"/>
    <w:rsid w:val="007F36A5"/>
    <w:rsid w:val="007F36A6"/>
    <w:rsid w:val="007F405C"/>
    <w:rsid w:val="007F40ED"/>
    <w:rsid w:val="007F42FC"/>
    <w:rsid w:val="007F4917"/>
    <w:rsid w:val="007F5479"/>
    <w:rsid w:val="007F58C5"/>
    <w:rsid w:val="007F5BC4"/>
    <w:rsid w:val="007F71A5"/>
    <w:rsid w:val="007F74FF"/>
    <w:rsid w:val="007F7C8A"/>
    <w:rsid w:val="007F7E54"/>
    <w:rsid w:val="00800513"/>
    <w:rsid w:val="008014F2"/>
    <w:rsid w:val="00801A63"/>
    <w:rsid w:val="00801E1C"/>
    <w:rsid w:val="00802077"/>
    <w:rsid w:val="008022C0"/>
    <w:rsid w:val="00802355"/>
    <w:rsid w:val="00803A75"/>
    <w:rsid w:val="008040B6"/>
    <w:rsid w:val="00804124"/>
    <w:rsid w:val="0080505E"/>
    <w:rsid w:val="008052F8"/>
    <w:rsid w:val="00805727"/>
    <w:rsid w:val="0080669C"/>
    <w:rsid w:val="00806D6B"/>
    <w:rsid w:val="00807D21"/>
    <w:rsid w:val="00810318"/>
    <w:rsid w:val="00810C30"/>
    <w:rsid w:val="00810D55"/>
    <w:rsid w:val="00811083"/>
    <w:rsid w:val="00811188"/>
    <w:rsid w:val="0081190B"/>
    <w:rsid w:val="00812260"/>
    <w:rsid w:val="00814506"/>
    <w:rsid w:val="00814F41"/>
    <w:rsid w:val="00815774"/>
    <w:rsid w:val="008159FA"/>
    <w:rsid w:val="00816E0E"/>
    <w:rsid w:val="00817AEA"/>
    <w:rsid w:val="00820296"/>
    <w:rsid w:val="00820498"/>
    <w:rsid w:val="00820CC3"/>
    <w:rsid w:val="00820D2E"/>
    <w:rsid w:val="00820FBF"/>
    <w:rsid w:val="0082178D"/>
    <w:rsid w:val="00821996"/>
    <w:rsid w:val="0082299A"/>
    <w:rsid w:val="0082320F"/>
    <w:rsid w:val="008232E7"/>
    <w:rsid w:val="008237C9"/>
    <w:rsid w:val="008239EE"/>
    <w:rsid w:val="008240D5"/>
    <w:rsid w:val="008240DD"/>
    <w:rsid w:val="00826210"/>
    <w:rsid w:val="00826C45"/>
    <w:rsid w:val="00826D5B"/>
    <w:rsid w:val="00827119"/>
    <w:rsid w:val="008272AA"/>
    <w:rsid w:val="008276E9"/>
    <w:rsid w:val="0082773F"/>
    <w:rsid w:val="00827CBD"/>
    <w:rsid w:val="0083024A"/>
    <w:rsid w:val="00830578"/>
    <w:rsid w:val="00831AEF"/>
    <w:rsid w:val="00831B21"/>
    <w:rsid w:val="0083240D"/>
    <w:rsid w:val="00832C95"/>
    <w:rsid w:val="0083323C"/>
    <w:rsid w:val="00834E74"/>
    <w:rsid w:val="00834EF4"/>
    <w:rsid w:val="0083559B"/>
    <w:rsid w:val="008358AD"/>
    <w:rsid w:val="00835BBA"/>
    <w:rsid w:val="008361D5"/>
    <w:rsid w:val="00836926"/>
    <w:rsid w:val="00836B47"/>
    <w:rsid w:val="008405B8"/>
    <w:rsid w:val="00840DC7"/>
    <w:rsid w:val="008412CF"/>
    <w:rsid w:val="00841493"/>
    <w:rsid w:val="00842A97"/>
    <w:rsid w:val="0084303C"/>
    <w:rsid w:val="00843143"/>
    <w:rsid w:val="008435A6"/>
    <w:rsid w:val="00843E62"/>
    <w:rsid w:val="00844849"/>
    <w:rsid w:val="008454ED"/>
    <w:rsid w:val="00845B99"/>
    <w:rsid w:val="00845FD2"/>
    <w:rsid w:val="00846B77"/>
    <w:rsid w:val="008471F7"/>
    <w:rsid w:val="0085002E"/>
    <w:rsid w:val="00850657"/>
    <w:rsid w:val="00850AA4"/>
    <w:rsid w:val="00850BFC"/>
    <w:rsid w:val="008512E6"/>
    <w:rsid w:val="0085157D"/>
    <w:rsid w:val="00852F9F"/>
    <w:rsid w:val="00853A9C"/>
    <w:rsid w:val="00853D75"/>
    <w:rsid w:val="00854905"/>
    <w:rsid w:val="00855215"/>
    <w:rsid w:val="00855567"/>
    <w:rsid w:val="00855DD4"/>
    <w:rsid w:val="0085618A"/>
    <w:rsid w:val="008563ED"/>
    <w:rsid w:val="00856699"/>
    <w:rsid w:val="00856E1A"/>
    <w:rsid w:val="00856E34"/>
    <w:rsid w:val="00856EDD"/>
    <w:rsid w:val="00856F96"/>
    <w:rsid w:val="00857328"/>
    <w:rsid w:val="008574A5"/>
    <w:rsid w:val="008574AB"/>
    <w:rsid w:val="00857879"/>
    <w:rsid w:val="00857CE1"/>
    <w:rsid w:val="00857D60"/>
    <w:rsid w:val="00860404"/>
    <w:rsid w:val="008606A1"/>
    <w:rsid w:val="00860CE7"/>
    <w:rsid w:val="0086181A"/>
    <w:rsid w:val="00861B12"/>
    <w:rsid w:val="00861CE2"/>
    <w:rsid w:val="00861DEE"/>
    <w:rsid w:val="0086254D"/>
    <w:rsid w:val="008626C6"/>
    <w:rsid w:val="0086305B"/>
    <w:rsid w:val="008631E9"/>
    <w:rsid w:val="008634D0"/>
    <w:rsid w:val="008636B9"/>
    <w:rsid w:val="00863B98"/>
    <w:rsid w:val="008647AF"/>
    <w:rsid w:val="00864B99"/>
    <w:rsid w:val="00864D3D"/>
    <w:rsid w:val="00865070"/>
    <w:rsid w:val="008652F2"/>
    <w:rsid w:val="008659DB"/>
    <w:rsid w:val="00866600"/>
    <w:rsid w:val="00866721"/>
    <w:rsid w:val="008668EF"/>
    <w:rsid w:val="00866F97"/>
    <w:rsid w:val="008673D6"/>
    <w:rsid w:val="00867A48"/>
    <w:rsid w:val="0087017A"/>
    <w:rsid w:val="00870222"/>
    <w:rsid w:val="00870CDD"/>
    <w:rsid w:val="00870D4D"/>
    <w:rsid w:val="00870D6B"/>
    <w:rsid w:val="00871124"/>
    <w:rsid w:val="00871132"/>
    <w:rsid w:val="00871266"/>
    <w:rsid w:val="00871CE9"/>
    <w:rsid w:val="00872629"/>
    <w:rsid w:val="0087269D"/>
    <w:rsid w:val="00872C6D"/>
    <w:rsid w:val="00872F0E"/>
    <w:rsid w:val="00872F8A"/>
    <w:rsid w:val="0087310B"/>
    <w:rsid w:val="008747C1"/>
    <w:rsid w:val="00875788"/>
    <w:rsid w:val="00875AF9"/>
    <w:rsid w:val="00876263"/>
    <w:rsid w:val="0087629E"/>
    <w:rsid w:val="0087659B"/>
    <w:rsid w:val="0087659F"/>
    <w:rsid w:val="00876B8F"/>
    <w:rsid w:val="00876F50"/>
    <w:rsid w:val="00877E21"/>
    <w:rsid w:val="00880965"/>
    <w:rsid w:val="008809C2"/>
    <w:rsid w:val="00880C0B"/>
    <w:rsid w:val="0088110C"/>
    <w:rsid w:val="008819A2"/>
    <w:rsid w:val="00881C7C"/>
    <w:rsid w:val="00882024"/>
    <w:rsid w:val="00882430"/>
    <w:rsid w:val="00882757"/>
    <w:rsid w:val="008832C3"/>
    <w:rsid w:val="008841C1"/>
    <w:rsid w:val="00884618"/>
    <w:rsid w:val="00885696"/>
    <w:rsid w:val="00885969"/>
    <w:rsid w:val="00885E39"/>
    <w:rsid w:val="00886BCC"/>
    <w:rsid w:val="00886C81"/>
    <w:rsid w:val="00890113"/>
    <w:rsid w:val="00890902"/>
    <w:rsid w:val="00890BA1"/>
    <w:rsid w:val="00890F9E"/>
    <w:rsid w:val="0089112C"/>
    <w:rsid w:val="00891C88"/>
    <w:rsid w:val="00892222"/>
    <w:rsid w:val="0089264A"/>
    <w:rsid w:val="00892FD8"/>
    <w:rsid w:val="0089324B"/>
    <w:rsid w:val="00894047"/>
    <w:rsid w:val="00894177"/>
    <w:rsid w:val="0089465B"/>
    <w:rsid w:val="00895051"/>
    <w:rsid w:val="0089543C"/>
    <w:rsid w:val="00895FF2"/>
    <w:rsid w:val="00896163"/>
    <w:rsid w:val="0089668D"/>
    <w:rsid w:val="008975C7"/>
    <w:rsid w:val="00897A7E"/>
    <w:rsid w:val="00897B72"/>
    <w:rsid w:val="008A18A5"/>
    <w:rsid w:val="008A1EDB"/>
    <w:rsid w:val="008A2493"/>
    <w:rsid w:val="008A31A2"/>
    <w:rsid w:val="008A3BF3"/>
    <w:rsid w:val="008A4C1B"/>
    <w:rsid w:val="008A4C3E"/>
    <w:rsid w:val="008A4CB2"/>
    <w:rsid w:val="008A5488"/>
    <w:rsid w:val="008A55E8"/>
    <w:rsid w:val="008A5766"/>
    <w:rsid w:val="008A59E1"/>
    <w:rsid w:val="008A61C3"/>
    <w:rsid w:val="008A6A4B"/>
    <w:rsid w:val="008A77DF"/>
    <w:rsid w:val="008A7BE8"/>
    <w:rsid w:val="008B006D"/>
    <w:rsid w:val="008B01CE"/>
    <w:rsid w:val="008B08F4"/>
    <w:rsid w:val="008B2057"/>
    <w:rsid w:val="008B25A1"/>
    <w:rsid w:val="008B29F1"/>
    <w:rsid w:val="008B2AC3"/>
    <w:rsid w:val="008B2DD1"/>
    <w:rsid w:val="008B2ED9"/>
    <w:rsid w:val="008B323E"/>
    <w:rsid w:val="008B3772"/>
    <w:rsid w:val="008B4A7A"/>
    <w:rsid w:val="008B4D9A"/>
    <w:rsid w:val="008B53E9"/>
    <w:rsid w:val="008B5808"/>
    <w:rsid w:val="008B5DD0"/>
    <w:rsid w:val="008B6145"/>
    <w:rsid w:val="008B6417"/>
    <w:rsid w:val="008B6C0C"/>
    <w:rsid w:val="008B738F"/>
    <w:rsid w:val="008B739D"/>
    <w:rsid w:val="008B7564"/>
    <w:rsid w:val="008B7824"/>
    <w:rsid w:val="008B79E9"/>
    <w:rsid w:val="008B7D28"/>
    <w:rsid w:val="008B7F6C"/>
    <w:rsid w:val="008C11D9"/>
    <w:rsid w:val="008C1446"/>
    <w:rsid w:val="008C1653"/>
    <w:rsid w:val="008C2320"/>
    <w:rsid w:val="008C2434"/>
    <w:rsid w:val="008C2D7B"/>
    <w:rsid w:val="008C3502"/>
    <w:rsid w:val="008C3B2A"/>
    <w:rsid w:val="008C5137"/>
    <w:rsid w:val="008C518F"/>
    <w:rsid w:val="008C5311"/>
    <w:rsid w:val="008C59AB"/>
    <w:rsid w:val="008C5F7D"/>
    <w:rsid w:val="008C5FDC"/>
    <w:rsid w:val="008C76A6"/>
    <w:rsid w:val="008D019C"/>
    <w:rsid w:val="008D0580"/>
    <w:rsid w:val="008D1263"/>
    <w:rsid w:val="008D1ACF"/>
    <w:rsid w:val="008D1DDD"/>
    <w:rsid w:val="008D257A"/>
    <w:rsid w:val="008D28D0"/>
    <w:rsid w:val="008D2964"/>
    <w:rsid w:val="008D3E2A"/>
    <w:rsid w:val="008D4BA6"/>
    <w:rsid w:val="008D51A8"/>
    <w:rsid w:val="008D527E"/>
    <w:rsid w:val="008D5449"/>
    <w:rsid w:val="008D5722"/>
    <w:rsid w:val="008D586E"/>
    <w:rsid w:val="008D5CCD"/>
    <w:rsid w:val="008D61D7"/>
    <w:rsid w:val="008D61EC"/>
    <w:rsid w:val="008D70A2"/>
    <w:rsid w:val="008E0698"/>
    <w:rsid w:val="008E07BD"/>
    <w:rsid w:val="008E0968"/>
    <w:rsid w:val="008E0ADA"/>
    <w:rsid w:val="008E0D2D"/>
    <w:rsid w:val="008E1B4D"/>
    <w:rsid w:val="008E1D30"/>
    <w:rsid w:val="008E2113"/>
    <w:rsid w:val="008E24F8"/>
    <w:rsid w:val="008E2575"/>
    <w:rsid w:val="008E2A16"/>
    <w:rsid w:val="008E2BA7"/>
    <w:rsid w:val="008E31E2"/>
    <w:rsid w:val="008E3C98"/>
    <w:rsid w:val="008E470B"/>
    <w:rsid w:val="008E6370"/>
    <w:rsid w:val="008E65F9"/>
    <w:rsid w:val="008E6714"/>
    <w:rsid w:val="008E76EF"/>
    <w:rsid w:val="008E79B3"/>
    <w:rsid w:val="008E7B1D"/>
    <w:rsid w:val="008E7C7C"/>
    <w:rsid w:val="008E7FFE"/>
    <w:rsid w:val="008F0BDF"/>
    <w:rsid w:val="008F0DB4"/>
    <w:rsid w:val="008F10C5"/>
    <w:rsid w:val="008F112F"/>
    <w:rsid w:val="008F13E8"/>
    <w:rsid w:val="008F1446"/>
    <w:rsid w:val="008F2754"/>
    <w:rsid w:val="008F2AA8"/>
    <w:rsid w:val="008F2C48"/>
    <w:rsid w:val="008F2D5F"/>
    <w:rsid w:val="008F2F6B"/>
    <w:rsid w:val="008F3220"/>
    <w:rsid w:val="008F4043"/>
    <w:rsid w:val="008F4340"/>
    <w:rsid w:val="008F47DE"/>
    <w:rsid w:val="008F5596"/>
    <w:rsid w:val="008F563C"/>
    <w:rsid w:val="008F5B16"/>
    <w:rsid w:val="008F6102"/>
    <w:rsid w:val="008F6589"/>
    <w:rsid w:val="008F6910"/>
    <w:rsid w:val="008F70F7"/>
    <w:rsid w:val="008F7187"/>
    <w:rsid w:val="008F7674"/>
    <w:rsid w:val="008F777F"/>
    <w:rsid w:val="008F781E"/>
    <w:rsid w:val="0090095B"/>
    <w:rsid w:val="0090109A"/>
    <w:rsid w:val="009016B4"/>
    <w:rsid w:val="00901FFB"/>
    <w:rsid w:val="00902D8E"/>
    <w:rsid w:val="00902F0B"/>
    <w:rsid w:val="00903061"/>
    <w:rsid w:val="00903BFF"/>
    <w:rsid w:val="00903EB0"/>
    <w:rsid w:val="009041DB"/>
    <w:rsid w:val="009044F8"/>
    <w:rsid w:val="0090489C"/>
    <w:rsid w:val="00904FCC"/>
    <w:rsid w:val="009053FE"/>
    <w:rsid w:val="00905677"/>
    <w:rsid w:val="009070B8"/>
    <w:rsid w:val="00907599"/>
    <w:rsid w:val="009075D2"/>
    <w:rsid w:val="00910324"/>
    <w:rsid w:val="00910461"/>
    <w:rsid w:val="00910E1A"/>
    <w:rsid w:val="009115FB"/>
    <w:rsid w:val="0091196C"/>
    <w:rsid w:val="00911BE0"/>
    <w:rsid w:val="0091212E"/>
    <w:rsid w:val="009124BB"/>
    <w:rsid w:val="00912683"/>
    <w:rsid w:val="00912E26"/>
    <w:rsid w:val="00913032"/>
    <w:rsid w:val="00913154"/>
    <w:rsid w:val="00913282"/>
    <w:rsid w:val="00913294"/>
    <w:rsid w:val="0091443F"/>
    <w:rsid w:val="00914892"/>
    <w:rsid w:val="00914939"/>
    <w:rsid w:val="00914FF1"/>
    <w:rsid w:val="00915470"/>
    <w:rsid w:val="0091592B"/>
    <w:rsid w:val="00915DCE"/>
    <w:rsid w:val="0091603C"/>
    <w:rsid w:val="0091610D"/>
    <w:rsid w:val="00916859"/>
    <w:rsid w:val="00916AF4"/>
    <w:rsid w:val="00917051"/>
    <w:rsid w:val="00917307"/>
    <w:rsid w:val="00917AC7"/>
    <w:rsid w:val="00917D68"/>
    <w:rsid w:val="00917F63"/>
    <w:rsid w:val="0092098D"/>
    <w:rsid w:val="00922CD9"/>
    <w:rsid w:val="00922FAC"/>
    <w:rsid w:val="00924325"/>
    <w:rsid w:val="00924D50"/>
    <w:rsid w:val="00926C83"/>
    <w:rsid w:val="00927285"/>
    <w:rsid w:val="00930801"/>
    <w:rsid w:val="0093225C"/>
    <w:rsid w:val="00932B58"/>
    <w:rsid w:val="00932F78"/>
    <w:rsid w:val="009332B7"/>
    <w:rsid w:val="0093334A"/>
    <w:rsid w:val="00933D26"/>
    <w:rsid w:val="0093406D"/>
    <w:rsid w:val="00934709"/>
    <w:rsid w:val="00934864"/>
    <w:rsid w:val="009354C3"/>
    <w:rsid w:val="00935B63"/>
    <w:rsid w:val="0093669A"/>
    <w:rsid w:val="00936E35"/>
    <w:rsid w:val="00936E5D"/>
    <w:rsid w:val="00937403"/>
    <w:rsid w:val="009374B8"/>
    <w:rsid w:val="009401B0"/>
    <w:rsid w:val="00941DB6"/>
    <w:rsid w:val="00942092"/>
    <w:rsid w:val="0094209E"/>
    <w:rsid w:val="00942F5A"/>
    <w:rsid w:val="00943BCD"/>
    <w:rsid w:val="00944304"/>
    <w:rsid w:val="00944672"/>
    <w:rsid w:val="0094498D"/>
    <w:rsid w:val="0094520B"/>
    <w:rsid w:val="0094520D"/>
    <w:rsid w:val="00945BC4"/>
    <w:rsid w:val="00946BA2"/>
    <w:rsid w:val="0094757B"/>
    <w:rsid w:val="0094760E"/>
    <w:rsid w:val="009479D4"/>
    <w:rsid w:val="0095097B"/>
    <w:rsid w:val="00950A33"/>
    <w:rsid w:val="0095131D"/>
    <w:rsid w:val="0095265B"/>
    <w:rsid w:val="00952F7E"/>
    <w:rsid w:val="00953D6A"/>
    <w:rsid w:val="009554F2"/>
    <w:rsid w:val="009563CC"/>
    <w:rsid w:val="0095646B"/>
    <w:rsid w:val="00956A37"/>
    <w:rsid w:val="009574F8"/>
    <w:rsid w:val="00957AA7"/>
    <w:rsid w:val="00957F8F"/>
    <w:rsid w:val="00960879"/>
    <w:rsid w:val="00960BC4"/>
    <w:rsid w:val="00960BF2"/>
    <w:rsid w:val="009619F5"/>
    <w:rsid w:val="00962003"/>
    <w:rsid w:val="00962EB6"/>
    <w:rsid w:val="00964014"/>
    <w:rsid w:val="00964182"/>
    <w:rsid w:val="00964E97"/>
    <w:rsid w:val="009651AB"/>
    <w:rsid w:val="00965625"/>
    <w:rsid w:val="0096563B"/>
    <w:rsid w:val="00965745"/>
    <w:rsid w:val="00965E49"/>
    <w:rsid w:val="00966316"/>
    <w:rsid w:val="00966319"/>
    <w:rsid w:val="00966423"/>
    <w:rsid w:val="00966D35"/>
    <w:rsid w:val="00966FC8"/>
    <w:rsid w:val="00967023"/>
    <w:rsid w:val="00967480"/>
    <w:rsid w:val="00967B77"/>
    <w:rsid w:val="00967BB2"/>
    <w:rsid w:val="00967EED"/>
    <w:rsid w:val="00970455"/>
    <w:rsid w:val="0097058A"/>
    <w:rsid w:val="00971218"/>
    <w:rsid w:val="00971243"/>
    <w:rsid w:val="00971ADA"/>
    <w:rsid w:val="00971C9D"/>
    <w:rsid w:val="00972191"/>
    <w:rsid w:val="00972585"/>
    <w:rsid w:val="00973511"/>
    <w:rsid w:val="00973B07"/>
    <w:rsid w:val="00973DA0"/>
    <w:rsid w:val="009740B7"/>
    <w:rsid w:val="00974416"/>
    <w:rsid w:val="009746E5"/>
    <w:rsid w:val="0097584E"/>
    <w:rsid w:val="009758FD"/>
    <w:rsid w:val="00975D1C"/>
    <w:rsid w:val="00977099"/>
    <w:rsid w:val="009778A1"/>
    <w:rsid w:val="00977EE2"/>
    <w:rsid w:val="009801AF"/>
    <w:rsid w:val="0098036D"/>
    <w:rsid w:val="00980FD1"/>
    <w:rsid w:val="0098249D"/>
    <w:rsid w:val="00982CE9"/>
    <w:rsid w:val="00982CF2"/>
    <w:rsid w:val="009838F9"/>
    <w:rsid w:val="00983A6A"/>
    <w:rsid w:val="009841C6"/>
    <w:rsid w:val="00984384"/>
    <w:rsid w:val="009849C9"/>
    <w:rsid w:val="0098556E"/>
    <w:rsid w:val="0098567A"/>
    <w:rsid w:val="00986064"/>
    <w:rsid w:val="009862FB"/>
    <w:rsid w:val="009863DE"/>
    <w:rsid w:val="00986B4D"/>
    <w:rsid w:val="00986B89"/>
    <w:rsid w:val="009872A6"/>
    <w:rsid w:val="009872ED"/>
    <w:rsid w:val="009874A1"/>
    <w:rsid w:val="009877FB"/>
    <w:rsid w:val="00987AF0"/>
    <w:rsid w:val="009900D2"/>
    <w:rsid w:val="009905FD"/>
    <w:rsid w:val="00990A27"/>
    <w:rsid w:val="00990FF9"/>
    <w:rsid w:val="00991122"/>
    <w:rsid w:val="00991257"/>
    <w:rsid w:val="0099152F"/>
    <w:rsid w:val="00991D82"/>
    <w:rsid w:val="00992424"/>
    <w:rsid w:val="00992AC0"/>
    <w:rsid w:val="00992C63"/>
    <w:rsid w:val="009934C1"/>
    <w:rsid w:val="00993E81"/>
    <w:rsid w:val="00994483"/>
    <w:rsid w:val="009957F6"/>
    <w:rsid w:val="00995A33"/>
    <w:rsid w:val="00995C52"/>
    <w:rsid w:val="00995CE1"/>
    <w:rsid w:val="009962A1"/>
    <w:rsid w:val="00996AB2"/>
    <w:rsid w:val="00996E55"/>
    <w:rsid w:val="0099733C"/>
    <w:rsid w:val="009976E3"/>
    <w:rsid w:val="00997A11"/>
    <w:rsid w:val="00997DF6"/>
    <w:rsid w:val="00997F11"/>
    <w:rsid w:val="009A0130"/>
    <w:rsid w:val="009A05F8"/>
    <w:rsid w:val="009A0F7A"/>
    <w:rsid w:val="009A10B9"/>
    <w:rsid w:val="009A1A69"/>
    <w:rsid w:val="009A2730"/>
    <w:rsid w:val="009A2DEB"/>
    <w:rsid w:val="009A353F"/>
    <w:rsid w:val="009A3EB5"/>
    <w:rsid w:val="009A3F19"/>
    <w:rsid w:val="009A3F7B"/>
    <w:rsid w:val="009A40BF"/>
    <w:rsid w:val="009A56E7"/>
    <w:rsid w:val="009A57D0"/>
    <w:rsid w:val="009A6063"/>
    <w:rsid w:val="009A6115"/>
    <w:rsid w:val="009A698A"/>
    <w:rsid w:val="009A6F74"/>
    <w:rsid w:val="009A7029"/>
    <w:rsid w:val="009A7263"/>
    <w:rsid w:val="009A7BDE"/>
    <w:rsid w:val="009B0242"/>
    <w:rsid w:val="009B049C"/>
    <w:rsid w:val="009B04BF"/>
    <w:rsid w:val="009B08CE"/>
    <w:rsid w:val="009B1031"/>
    <w:rsid w:val="009B11F5"/>
    <w:rsid w:val="009B1B77"/>
    <w:rsid w:val="009B2479"/>
    <w:rsid w:val="009B3B93"/>
    <w:rsid w:val="009B4557"/>
    <w:rsid w:val="009B5B0A"/>
    <w:rsid w:val="009B5C20"/>
    <w:rsid w:val="009B5CF6"/>
    <w:rsid w:val="009B5DE3"/>
    <w:rsid w:val="009B66CE"/>
    <w:rsid w:val="009B6AFD"/>
    <w:rsid w:val="009B6E30"/>
    <w:rsid w:val="009C00AC"/>
    <w:rsid w:val="009C03CA"/>
    <w:rsid w:val="009C0468"/>
    <w:rsid w:val="009C04D8"/>
    <w:rsid w:val="009C1575"/>
    <w:rsid w:val="009C1595"/>
    <w:rsid w:val="009C3742"/>
    <w:rsid w:val="009C3D1B"/>
    <w:rsid w:val="009C3DA6"/>
    <w:rsid w:val="009C3DD2"/>
    <w:rsid w:val="009C43DB"/>
    <w:rsid w:val="009C486E"/>
    <w:rsid w:val="009C4D2E"/>
    <w:rsid w:val="009C4E66"/>
    <w:rsid w:val="009C5883"/>
    <w:rsid w:val="009C5A1B"/>
    <w:rsid w:val="009C5DC5"/>
    <w:rsid w:val="009C692D"/>
    <w:rsid w:val="009C6B2C"/>
    <w:rsid w:val="009C6CF4"/>
    <w:rsid w:val="009C78FE"/>
    <w:rsid w:val="009C7DDE"/>
    <w:rsid w:val="009D0087"/>
    <w:rsid w:val="009D097F"/>
    <w:rsid w:val="009D0FA4"/>
    <w:rsid w:val="009D130F"/>
    <w:rsid w:val="009D1EF6"/>
    <w:rsid w:val="009D20D7"/>
    <w:rsid w:val="009D2225"/>
    <w:rsid w:val="009D2476"/>
    <w:rsid w:val="009D3377"/>
    <w:rsid w:val="009D3537"/>
    <w:rsid w:val="009D378B"/>
    <w:rsid w:val="009D3E8F"/>
    <w:rsid w:val="009D3F69"/>
    <w:rsid w:val="009D4F81"/>
    <w:rsid w:val="009D5029"/>
    <w:rsid w:val="009D51A5"/>
    <w:rsid w:val="009D5E7A"/>
    <w:rsid w:val="009D611E"/>
    <w:rsid w:val="009D65F0"/>
    <w:rsid w:val="009D6A29"/>
    <w:rsid w:val="009D75A6"/>
    <w:rsid w:val="009D77C7"/>
    <w:rsid w:val="009D7A56"/>
    <w:rsid w:val="009E060F"/>
    <w:rsid w:val="009E143C"/>
    <w:rsid w:val="009E1756"/>
    <w:rsid w:val="009E25AA"/>
    <w:rsid w:val="009E2728"/>
    <w:rsid w:val="009E2E90"/>
    <w:rsid w:val="009E4FE4"/>
    <w:rsid w:val="009E509C"/>
    <w:rsid w:val="009E5187"/>
    <w:rsid w:val="009E5268"/>
    <w:rsid w:val="009E52B5"/>
    <w:rsid w:val="009E545C"/>
    <w:rsid w:val="009E5A68"/>
    <w:rsid w:val="009E5BF0"/>
    <w:rsid w:val="009E5EDA"/>
    <w:rsid w:val="009E6DE1"/>
    <w:rsid w:val="009E7305"/>
    <w:rsid w:val="009E7516"/>
    <w:rsid w:val="009E7860"/>
    <w:rsid w:val="009E7FA9"/>
    <w:rsid w:val="009F011B"/>
    <w:rsid w:val="009F08BB"/>
    <w:rsid w:val="009F1045"/>
    <w:rsid w:val="009F164E"/>
    <w:rsid w:val="009F1BDC"/>
    <w:rsid w:val="009F1C30"/>
    <w:rsid w:val="009F2200"/>
    <w:rsid w:val="009F23A3"/>
    <w:rsid w:val="009F3115"/>
    <w:rsid w:val="009F3C1B"/>
    <w:rsid w:val="009F43B8"/>
    <w:rsid w:val="009F447B"/>
    <w:rsid w:val="009F484A"/>
    <w:rsid w:val="009F52A5"/>
    <w:rsid w:val="009F56A6"/>
    <w:rsid w:val="009F5D37"/>
    <w:rsid w:val="009F61BE"/>
    <w:rsid w:val="009F62B9"/>
    <w:rsid w:val="009F62E7"/>
    <w:rsid w:val="009F6569"/>
    <w:rsid w:val="009F664C"/>
    <w:rsid w:val="009F68B1"/>
    <w:rsid w:val="00A00886"/>
    <w:rsid w:val="00A00B0C"/>
    <w:rsid w:val="00A00B95"/>
    <w:rsid w:val="00A00BDB"/>
    <w:rsid w:val="00A00CD4"/>
    <w:rsid w:val="00A00D73"/>
    <w:rsid w:val="00A011EA"/>
    <w:rsid w:val="00A0147D"/>
    <w:rsid w:val="00A015A8"/>
    <w:rsid w:val="00A02D2C"/>
    <w:rsid w:val="00A02E66"/>
    <w:rsid w:val="00A02FB4"/>
    <w:rsid w:val="00A04A89"/>
    <w:rsid w:val="00A05240"/>
    <w:rsid w:val="00A05B86"/>
    <w:rsid w:val="00A05D7E"/>
    <w:rsid w:val="00A0707B"/>
    <w:rsid w:val="00A07C06"/>
    <w:rsid w:val="00A10567"/>
    <w:rsid w:val="00A11433"/>
    <w:rsid w:val="00A1171E"/>
    <w:rsid w:val="00A11C46"/>
    <w:rsid w:val="00A11D3F"/>
    <w:rsid w:val="00A1232D"/>
    <w:rsid w:val="00A12AB6"/>
    <w:rsid w:val="00A13B6A"/>
    <w:rsid w:val="00A13F4D"/>
    <w:rsid w:val="00A14219"/>
    <w:rsid w:val="00A14B4D"/>
    <w:rsid w:val="00A16076"/>
    <w:rsid w:val="00A16686"/>
    <w:rsid w:val="00A17651"/>
    <w:rsid w:val="00A17766"/>
    <w:rsid w:val="00A203F3"/>
    <w:rsid w:val="00A20581"/>
    <w:rsid w:val="00A20C6B"/>
    <w:rsid w:val="00A211DF"/>
    <w:rsid w:val="00A2131D"/>
    <w:rsid w:val="00A228C1"/>
    <w:rsid w:val="00A22903"/>
    <w:rsid w:val="00A22E29"/>
    <w:rsid w:val="00A23CCD"/>
    <w:rsid w:val="00A2445F"/>
    <w:rsid w:val="00A245D9"/>
    <w:rsid w:val="00A24784"/>
    <w:rsid w:val="00A24FB0"/>
    <w:rsid w:val="00A25185"/>
    <w:rsid w:val="00A26294"/>
    <w:rsid w:val="00A26720"/>
    <w:rsid w:val="00A26D0E"/>
    <w:rsid w:val="00A26E0B"/>
    <w:rsid w:val="00A27437"/>
    <w:rsid w:val="00A27C1E"/>
    <w:rsid w:val="00A27D6A"/>
    <w:rsid w:val="00A3093D"/>
    <w:rsid w:val="00A30A28"/>
    <w:rsid w:val="00A30B5E"/>
    <w:rsid w:val="00A30F4C"/>
    <w:rsid w:val="00A312BF"/>
    <w:rsid w:val="00A32A61"/>
    <w:rsid w:val="00A32CA7"/>
    <w:rsid w:val="00A33D54"/>
    <w:rsid w:val="00A34525"/>
    <w:rsid w:val="00A351ED"/>
    <w:rsid w:val="00A35725"/>
    <w:rsid w:val="00A364BF"/>
    <w:rsid w:val="00A36554"/>
    <w:rsid w:val="00A36BBF"/>
    <w:rsid w:val="00A37A3B"/>
    <w:rsid w:val="00A40058"/>
    <w:rsid w:val="00A401AB"/>
    <w:rsid w:val="00A408E7"/>
    <w:rsid w:val="00A40B7C"/>
    <w:rsid w:val="00A426EE"/>
    <w:rsid w:val="00A42863"/>
    <w:rsid w:val="00A42DA9"/>
    <w:rsid w:val="00A43101"/>
    <w:rsid w:val="00A435F0"/>
    <w:rsid w:val="00A43A95"/>
    <w:rsid w:val="00A43DA5"/>
    <w:rsid w:val="00A44636"/>
    <w:rsid w:val="00A44CD8"/>
    <w:rsid w:val="00A45579"/>
    <w:rsid w:val="00A45D50"/>
    <w:rsid w:val="00A464F8"/>
    <w:rsid w:val="00A46EFD"/>
    <w:rsid w:val="00A471C6"/>
    <w:rsid w:val="00A4737D"/>
    <w:rsid w:val="00A473E4"/>
    <w:rsid w:val="00A47408"/>
    <w:rsid w:val="00A474A9"/>
    <w:rsid w:val="00A47880"/>
    <w:rsid w:val="00A50F46"/>
    <w:rsid w:val="00A52269"/>
    <w:rsid w:val="00A52DCD"/>
    <w:rsid w:val="00A53B8D"/>
    <w:rsid w:val="00A53EED"/>
    <w:rsid w:val="00A53F4B"/>
    <w:rsid w:val="00A53FA8"/>
    <w:rsid w:val="00A5417D"/>
    <w:rsid w:val="00A544F6"/>
    <w:rsid w:val="00A5452A"/>
    <w:rsid w:val="00A54C71"/>
    <w:rsid w:val="00A54C81"/>
    <w:rsid w:val="00A552E1"/>
    <w:rsid w:val="00A5552B"/>
    <w:rsid w:val="00A5572C"/>
    <w:rsid w:val="00A55767"/>
    <w:rsid w:val="00A55892"/>
    <w:rsid w:val="00A55D07"/>
    <w:rsid w:val="00A55DD4"/>
    <w:rsid w:val="00A600F3"/>
    <w:rsid w:val="00A607A6"/>
    <w:rsid w:val="00A60B5D"/>
    <w:rsid w:val="00A60F00"/>
    <w:rsid w:val="00A61919"/>
    <w:rsid w:val="00A61F41"/>
    <w:rsid w:val="00A61F81"/>
    <w:rsid w:val="00A62095"/>
    <w:rsid w:val="00A624EB"/>
    <w:rsid w:val="00A626EE"/>
    <w:rsid w:val="00A629FE"/>
    <w:rsid w:val="00A633FA"/>
    <w:rsid w:val="00A641B6"/>
    <w:rsid w:val="00A647F0"/>
    <w:rsid w:val="00A64DA3"/>
    <w:rsid w:val="00A65B3B"/>
    <w:rsid w:val="00A66290"/>
    <w:rsid w:val="00A664E3"/>
    <w:rsid w:val="00A66B17"/>
    <w:rsid w:val="00A66CF4"/>
    <w:rsid w:val="00A66E88"/>
    <w:rsid w:val="00A67403"/>
    <w:rsid w:val="00A67406"/>
    <w:rsid w:val="00A67CF4"/>
    <w:rsid w:val="00A6ED40"/>
    <w:rsid w:val="00A70DBF"/>
    <w:rsid w:val="00A7132E"/>
    <w:rsid w:val="00A71C33"/>
    <w:rsid w:val="00A71C38"/>
    <w:rsid w:val="00A72299"/>
    <w:rsid w:val="00A722A5"/>
    <w:rsid w:val="00A72564"/>
    <w:rsid w:val="00A728DF"/>
    <w:rsid w:val="00A73235"/>
    <w:rsid w:val="00A73563"/>
    <w:rsid w:val="00A73F02"/>
    <w:rsid w:val="00A741FB"/>
    <w:rsid w:val="00A7447E"/>
    <w:rsid w:val="00A74632"/>
    <w:rsid w:val="00A7467E"/>
    <w:rsid w:val="00A74E06"/>
    <w:rsid w:val="00A74FD6"/>
    <w:rsid w:val="00A752E4"/>
    <w:rsid w:val="00A75E59"/>
    <w:rsid w:val="00A764AC"/>
    <w:rsid w:val="00A766B0"/>
    <w:rsid w:val="00A76774"/>
    <w:rsid w:val="00A7765D"/>
    <w:rsid w:val="00A77A85"/>
    <w:rsid w:val="00A801B5"/>
    <w:rsid w:val="00A8058C"/>
    <w:rsid w:val="00A805EF"/>
    <w:rsid w:val="00A80648"/>
    <w:rsid w:val="00A80D91"/>
    <w:rsid w:val="00A813B7"/>
    <w:rsid w:val="00A81E28"/>
    <w:rsid w:val="00A81EDE"/>
    <w:rsid w:val="00A8389B"/>
    <w:rsid w:val="00A83D69"/>
    <w:rsid w:val="00A84695"/>
    <w:rsid w:val="00A84956"/>
    <w:rsid w:val="00A84F0E"/>
    <w:rsid w:val="00A85607"/>
    <w:rsid w:val="00A86B28"/>
    <w:rsid w:val="00A86B62"/>
    <w:rsid w:val="00A8713D"/>
    <w:rsid w:val="00A8726F"/>
    <w:rsid w:val="00A87291"/>
    <w:rsid w:val="00A8767C"/>
    <w:rsid w:val="00A87DDE"/>
    <w:rsid w:val="00A90000"/>
    <w:rsid w:val="00A9008C"/>
    <w:rsid w:val="00A90175"/>
    <w:rsid w:val="00A9035C"/>
    <w:rsid w:val="00A908C3"/>
    <w:rsid w:val="00A91133"/>
    <w:rsid w:val="00A91391"/>
    <w:rsid w:val="00A91F9E"/>
    <w:rsid w:val="00A93A1F"/>
    <w:rsid w:val="00A94026"/>
    <w:rsid w:val="00A94648"/>
    <w:rsid w:val="00A94935"/>
    <w:rsid w:val="00A94D31"/>
    <w:rsid w:val="00A952A7"/>
    <w:rsid w:val="00A956F9"/>
    <w:rsid w:val="00A95724"/>
    <w:rsid w:val="00A95F42"/>
    <w:rsid w:val="00A9624C"/>
    <w:rsid w:val="00A964F5"/>
    <w:rsid w:val="00A9656E"/>
    <w:rsid w:val="00A96609"/>
    <w:rsid w:val="00A96B8E"/>
    <w:rsid w:val="00A96F32"/>
    <w:rsid w:val="00A96FF4"/>
    <w:rsid w:val="00A97517"/>
    <w:rsid w:val="00A979D5"/>
    <w:rsid w:val="00AA09BE"/>
    <w:rsid w:val="00AA09D3"/>
    <w:rsid w:val="00AA0CA3"/>
    <w:rsid w:val="00AA18CF"/>
    <w:rsid w:val="00AA1CDD"/>
    <w:rsid w:val="00AA24F7"/>
    <w:rsid w:val="00AA2947"/>
    <w:rsid w:val="00AA2A3E"/>
    <w:rsid w:val="00AA2E25"/>
    <w:rsid w:val="00AA37C4"/>
    <w:rsid w:val="00AA3D31"/>
    <w:rsid w:val="00AA550C"/>
    <w:rsid w:val="00AA55BF"/>
    <w:rsid w:val="00AA594B"/>
    <w:rsid w:val="00AA5EE6"/>
    <w:rsid w:val="00AA64F8"/>
    <w:rsid w:val="00AA6D92"/>
    <w:rsid w:val="00AB106D"/>
    <w:rsid w:val="00AB19FE"/>
    <w:rsid w:val="00AB1B9D"/>
    <w:rsid w:val="00AB2324"/>
    <w:rsid w:val="00AB24AE"/>
    <w:rsid w:val="00AB2ED5"/>
    <w:rsid w:val="00AB3514"/>
    <w:rsid w:val="00AB364F"/>
    <w:rsid w:val="00AB4227"/>
    <w:rsid w:val="00AB5074"/>
    <w:rsid w:val="00AB5722"/>
    <w:rsid w:val="00AB58DF"/>
    <w:rsid w:val="00AB6EA3"/>
    <w:rsid w:val="00AB6FC8"/>
    <w:rsid w:val="00AB747E"/>
    <w:rsid w:val="00AC2090"/>
    <w:rsid w:val="00AC291B"/>
    <w:rsid w:val="00AC3719"/>
    <w:rsid w:val="00AC3782"/>
    <w:rsid w:val="00AC3795"/>
    <w:rsid w:val="00AC43EC"/>
    <w:rsid w:val="00AC447D"/>
    <w:rsid w:val="00AC4EDF"/>
    <w:rsid w:val="00AC522B"/>
    <w:rsid w:val="00AC5716"/>
    <w:rsid w:val="00AC600C"/>
    <w:rsid w:val="00AC7C4E"/>
    <w:rsid w:val="00AD0265"/>
    <w:rsid w:val="00AD04BB"/>
    <w:rsid w:val="00AD0A6E"/>
    <w:rsid w:val="00AD0EA2"/>
    <w:rsid w:val="00AD10C6"/>
    <w:rsid w:val="00AD13D5"/>
    <w:rsid w:val="00AD141B"/>
    <w:rsid w:val="00AD1496"/>
    <w:rsid w:val="00AD1616"/>
    <w:rsid w:val="00AD1AF2"/>
    <w:rsid w:val="00AD1C1C"/>
    <w:rsid w:val="00AD233D"/>
    <w:rsid w:val="00AD282B"/>
    <w:rsid w:val="00AD2BDC"/>
    <w:rsid w:val="00AD301C"/>
    <w:rsid w:val="00AD3401"/>
    <w:rsid w:val="00AD35EC"/>
    <w:rsid w:val="00AD3812"/>
    <w:rsid w:val="00AD3913"/>
    <w:rsid w:val="00AD414F"/>
    <w:rsid w:val="00AD5337"/>
    <w:rsid w:val="00AD54BA"/>
    <w:rsid w:val="00AD630F"/>
    <w:rsid w:val="00AD68E7"/>
    <w:rsid w:val="00AD6D20"/>
    <w:rsid w:val="00AD6F97"/>
    <w:rsid w:val="00AD710A"/>
    <w:rsid w:val="00AD7386"/>
    <w:rsid w:val="00AD75B1"/>
    <w:rsid w:val="00AD79F7"/>
    <w:rsid w:val="00AD7C18"/>
    <w:rsid w:val="00AD7F85"/>
    <w:rsid w:val="00AE08CB"/>
    <w:rsid w:val="00AE08F2"/>
    <w:rsid w:val="00AE09C4"/>
    <w:rsid w:val="00AE1731"/>
    <w:rsid w:val="00AE1980"/>
    <w:rsid w:val="00AE1C18"/>
    <w:rsid w:val="00AE1D0A"/>
    <w:rsid w:val="00AE1E95"/>
    <w:rsid w:val="00AE22D7"/>
    <w:rsid w:val="00AE2306"/>
    <w:rsid w:val="00AE24BD"/>
    <w:rsid w:val="00AE28D7"/>
    <w:rsid w:val="00AE2925"/>
    <w:rsid w:val="00AE2CEE"/>
    <w:rsid w:val="00AE33B1"/>
    <w:rsid w:val="00AE34F4"/>
    <w:rsid w:val="00AE374F"/>
    <w:rsid w:val="00AE3968"/>
    <w:rsid w:val="00AE4143"/>
    <w:rsid w:val="00AE4666"/>
    <w:rsid w:val="00AE51E2"/>
    <w:rsid w:val="00AE5375"/>
    <w:rsid w:val="00AE5B57"/>
    <w:rsid w:val="00AE5CE8"/>
    <w:rsid w:val="00AE68E1"/>
    <w:rsid w:val="00AE74F0"/>
    <w:rsid w:val="00AF08D9"/>
    <w:rsid w:val="00AF09C2"/>
    <w:rsid w:val="00AF0D43"/>
    <w:rsid w:val="00AF0DEF"/>
    <w:rsid w:val="00AF18E9"/>
    <w:rsid w:val="00AF19B4"/>
    <w:rsid w:val="00AF24D5"/>
    <w:rsid w:val="00AF27F4"/>
    <w:rsid w:val="00AF3818"/>
    <w:rsid w:val="00AF3D79"/>
    <w:rsid w:val="00AF3F5B"/>
    <w:rsid w:val="00AF4A29"/>
    <w:rsid w:val="00AF4B26"/>
    <w:rsid w:val="00AF5156"/>
    <w:rsid w:val="00AF5352"/>
    <w:rsid w:val="00AF535E"/>
    <w:rsid w:val="00AF5961"/>
    <w:rsid w:val="00AF5E2E"/>
    <w:rsid w:val="00B00F2D"/>
    <w:rsid w:val="00B018CB"/>
    <w:rsid w:val="00B0201F"/>
    <w:rsid w:val="00B022B8"/>
    <w:rsid w:val="00B02838"/>
    <w:rsid w:val="00B02C04"/>
    <w:rsid w:val="00B03135"/>
    <w:rsid w:val="00B039D4"/>
    <w:rsid w:val="00B040B1"/>
    <w:rsid w:val="00B043AE"/>
    <w:rsid w:val="00B0487A"/>
    <w:rsid w:val="00B04951"/>
    <w:rsid w:val="00B04AF7"/>
    <w:rsid w:val="00B04D1B"/>
    <w:rsid w:val="00B05745"/>
    <w:rsid w:val="00B057F6"/>
    <w:rsid w:val="00B05A3C"/>
    <w:rsid w:val="00B05C61"/>
    <w:rsid w:val="00B06295"/>
    <w:rsid w:val="00B066AA"/>
    <w:rsid w:val="00B06BCF"/>
    <w:rsid w:val="00B06CED"/>
    <w:rsid w:val="00B06F3B"/>
    <w:rsid w:val="00B071C7"/>
    <w:rsid w:val="00B10835"/>
    <w:rsid w:val="00B10BB5"/>
    <w:rsid w:val="00B10BE8"/>
    <w:rsid w:val="00B10C49"/>
    <w:rsid w:val="00B10DB8"/>
    <w:rsid w:val="00B11C9A"/>
    <w:rsid w:val="00B127AE"/>
    <w:rsid w:val="00B129EB"/>
    <w:rsid w:val="00B12BBC"/>
    <w:rsid w:val="00B13056"/>
    <w:rsid w:val="00B13278"/>
    <w:rsid w:val="00B13458"/>
    <w:rsid w:val="00B1384D"/>
    <w:rsid w:val="00B13FB0"/>
    <w:rsid w:val="00B14085"/>
    <w:rsid w:val="00B14A2A"/>
    <w:rsid w:val="00B1610F"/>
    <w:rsid w:val="00B16879"/>
    <w:rsid w:val="00B1712F"/>
    <w:rsid w:val="00B1750E"/>
    <w:rsid w:val="00B177E3"/>
    <w:rsid w:val="00B17E31"/>
    <w:rsid w:val="00B201C9"/>
    <w:rsid w:val="00B20574"/>
    <w:rsid w:val="00B21940"/>
    <w:rsid w:val="00B21E1C"/>
    <w:rsid w:val="00B21FC8"/>
    <w:rsid w:val="00B22578"/>
    <w:rsid w:val="00B22AFD"/>
    <w:rsid w:val="00B22B85"/>
    <w:rsid w:val="00B2403D"/>
    <w:rsid w:val="00B24605"/>
    <w:rsid w:val="00B24EFF"/>
    <w:rsid w:val="00B25803"/>
    <w:rsid w:val="00B27133"/>
    <w:rsid w:val="00B27F55"/>
    <w:rsid w:val="00B3021E"/>
    <w:rsid w:val="00B30C77"/>
    <w:rsid w:val="00B30E66"/>
    <w:rsid w:val="00B32278"/>
    <w:rsid w:val="00B323B3"/>
    <w:rsid w:val="00B32F72"/>
    <w:rsid w:val="00B337E5"/>
    <w:rsid w:val="00B3479B"/>
    <w:rsid w:val="00B34F2B"/>
    <w:rsid w:val="00B3594C"/>
    <w:rsid w:val="00B3612E"/>
    <w:rsid w:val="00B3647F"/>
    <w:rsid w:val="00B365F8"/>
    <w:rsid w:val="00B40200"/>
    <w:rsid w:val="00B40358"/>
    <w:rsid w:val="00B40C2D"/>
    <w:rsid w:val="00B4195F"/>
    <w:rsid w:val="00B41AEE"/>
    <w:rsid w:val="00B4229F"/>
    <w:rsid w:val="00B4296B"/>
    <w:rsid w:val="00B42CC2"/>
    <w:rsid w:val="00B42CF1"/>
    <w:rsid w:val="00B43845"/>
    <w:rsid w:val="00B43B02"/>
    <w:rsid w:val="00B43B49"/>
    <w:rsid w:val="00B43C06"/>
    <w:rsid w:val="00B43E57"/>
    <w:rsid w:val="00B44167"/>
    <w:rsid w:val="00B44709"/>
    <w:rsid w:val="00B44CED"/>
    <w:rsid w:val="00B45C83"/>
    <w:rsid w:val="00B45F01"/>
    <w:rsid w:val="00B4607A"/>
    <w:rsid w:val="00B46707"/>
    <w:rsid w:val="00B46CBE"/>
    <w:rsid w:val="00B47795"/>
    <w:rsid w:val="00B47D96"/>
    <w:rsid w:val="00B501F2"/>
    <w:rsid w:val="00B50501"/>
    <w:rsid w:val="00B5073B"/>
    <w:rsid w:val="00B5187F"/>
    <w:rsid w:val="00B5216E"/>
    <w:rsid w:val="00B52B68"/>
    <w:rsid w:val="00B52E13"/>
    <w:rsid w:val="00B53A43"/>
    <w:rsid w:val="00B53AC8"/>
    <w:rsid w:val="00B53C2C"/>
    <w:rsid w:val="00B545F6"/>
    <w:rsid w:val="00B546E2"/>
    <w:rsid w:val="00B54C99"/>
    <w:rsid w:val="00B55CE9"/>
    <w:rsid w:val="00B55FD7"/>
    <w:rsid w:val="00B566DE"/>
    <w:rsid w:val="00B56830"/>
    <w:rsid w:val="00B56B59"/>
    <w:rsid w:val="00B572DC"/>
    <w:rsid w:val="00B57722"/>
    <w:rsid w:val="00B57C57"/>
    <w:rsid w:val="00B57E74"/>
    <w:rsid w:val="00B57F35"/>
    <w:rsid w:val="00B60A76"/>
    <w:rsid w:val="00B61392"/>
    <w:rsid w:val="00B6140C"/>
    <w:rsid w:val="00B61ABC"/>
    <w:rsid w:val="00B62206"/>
    <w:rsid w:val="00B6315F"/>
    <w:rsid w:val="00B63854"/>
    <w:rsid w:val="00B63CA0"/>
    <w:rsid w:val="00B64057"/>
    <w:rsid w:val="00B64364"/>
    <w:rsid w:val="00B6443C"/>
    <w:rsid w:val="00B644EF"/>
    <w:rsid w:val="00B645B3"/>
    <w:rsid w:val="00B6475B"/>
    <w:rsid w:val="00B64ABA"/>
    <w:rsid w:val="00B64C2D"/>
    <w:rsid w:val="00B64F11"/>
    <w:rsid w:val="00B6577B"/>
    <w:rsid w:val="00B65E1E"/>
    <w:rsid w:val="00B65ED7"/>
    <w:rsid w:val="00B65FED"/>
    <w:rsid w:val="00B664C6"/>
    <w:rsid w:val="00B70159"/>
    <w:rsid w:val="00B70500"/>
    <w:rsid w:val="00B70B4F"/>
    <w:rsid w:val="00B70CFD"/>
    <w:rsid w:val="00B71139"/>
    <w:rsid w:val="00B71423"/>
    <w:rsid w:val="00B7166B"/>
    <w:rsid w:val="00B727EF"/>
    <w:rsid w:val="00B72D85"/>
    <w:rsid w:val="00B72D98"/>
    <w:rsid w:val="00B72FF7"/>
    <w:rsid w:val="00B73590"/>
    <w:rsid w:val="00B73A48"/>
    <w:rsid w:val="00B749D8"/>
    <w:rsid w:val="00B750D1"/>
    <w:rsid w:val="00B7551A"/>
    <w:rsid w:val="00B75602"/>
    <w:rsid w:val="00B76339"/>
    <w:rsid w:val="00B769B2"/>
    <w:rsid w:val="00B77713"/>
    <w:rsid w:val="00B77E8D"/>
    <w:rsid w:val="00B8000E"/>
    <w:rsid w:val="00B8019D"/>
    <w:rsid w:val="00B804D7"/>
    <w:rsid w:val="00B80A18"/>
    <w:rsid w:val="00B810DE"/>
    <w:rsid w:val="00B8124D"/>
    <w:rsid w:val="00B814E7"/>
    <w:rsid w:val="00B81797"/>
    <w:rsid w:val="00B825FC"/>
    <w:rsid w:val="00B833CD"/>
    <w:rsid w:val="00B83D39"/>
    <w:rsid w:val="00B83D7D"/>
    <w:rsid w:val="00B843B5"/>
    <w:rsid w:val="00B84F35"/>
    <w:rsid w:val="00B8580A"/>
    <w:rsid w:val="00B85C7D"/>
    <w:rsid w:val="00B85ECE"/>
    <w:rsid w:val="00B861D9"/>
    <w:rsid w:val="00B869E2"/>
    <w:rsid w:val="00B86FBA"/>
    <w:rsid w:val="00B874E0"/>
    <w:rsid w:val="00B906A9"/>
    <w:rsid w:val="00B90EE6"/>
    <w:rsid w:val="00B9107E"/>
    <w:rsid w:val="00B913C2"/>
    <w:rsid w:val="00B9185E"/>
    <w:rsid w:val="00B91882"/>
    <w:rsid w:val="00B91C94"/>
    <w:rsid w:val="00B92903"/>
    <w:rsid w:val="00B93539"/>
    <w:rsid w:val="00B93C46"/>
    <w:rsid w:val="00B94C66"/>
    <w:rsid w:val="00B94CFE"/>
    <w:rsid w:val="00B95447"/>
    <w:rsid w:val="00B95DEF"/>
    <w:rsid w:val="00B95E94"/>
    <w:rsid w:val="00B96305"/>
    <w:rsid w:val="00B963E2"/>
    <w:rsid w:val="00B96DD0"/>
    <w:rsid w:val="00B96EFF"/>
    <w:rsid w:val="00BA0063"/>
    <w:rsid w:val="00BA0678"/>
    <w:rsid w:val="00BA0E5C"/>
    <w:rsid w:val="00BA11A5"/>
    <w:rsid w:val="00BA156E"/>
    <w:rsid w:val="00BA1604"/>
    <w:rsid w:val="00BA1794"/>
    <w:rsid w:val="00BA318A"/>
    <w:rsid w:val="00BA433F"/>
    <w:rsid w:val="00BA46D6"/>
    <w:rsid w:val="00BA4BA7"/>
    <w:rsid w:val="00BA5644"/>
    <w:rsid w:val="00BA567D"/>
    <w:rsid w:val="00BA5828"/>
    <w:rsid w:val="00BA65F0"/>
    <w:rsid w:val="00BA6DB4"/>
    <w:rsid w:val="00BA6DF0"/>
    <w:rsid w:val="00BA6FE3"/>
    <w:rsid w:val="00BA7528"/>
    <w:rsid w:val="00BA7DC6"/>
    <w:rsid w:val="00BB008E"/>
    <w:rsid w:val="00BB00D7"/>
    <w:rsid w:val="00BB09C4"/>
    <w:rsid w:val="00BB0D6E"/>
    <w:rsid w:val="00BB0DBF"/>
    <w:rsid w:val="00BB123E"/>
    <w:rsid w:val="00BB166F"/>
    <w:rsid w:val="00BB1685"/>
    <w:rsid w:val="00BB1B9E"/>
    <w:rsid w:val="00BB1BD6"/>
    <w:rsid w:val="00BB1D19"/>
    <w:rsid w:val="00BB1E54"/>
    <w:rsid w:val="00BB264A"/>
    <w:rsid w:val="00BB2BF4"/>
    <w:rsid w:val="00BB2CA3"/>
    <w:rsid w:val="00BB2FBF"/>
    <w:rsid w:val="00BB3FC7"/>
    <w:rsid w:val="00BB43E2"/>
    <w:rsid w:val="00BB4A53"/>
    <w:rsid w:val="00BB65C3"/>
    <w:rsid w:val="00BB6921"/>
    <w:rsid w:val="00BB6F16"/>
    <w:rsid w:val="00BB706B"/>
    <w:rsid w:val="00BB7878"/>
    <w:rsid w:val="00BB7B65"/>
    <w:rsid w:val="00BB7E92"/>
    <w:rsid w:val="00BC08AC"/>
    <w:rsid w:val="00BC0CBE"/>
    <w:rsid w:val="00BC1A44"/>
    <w:rsid w:val="00BC1B74"/>
    <w:rsid w:val="00BC2148"/>
    <w:rsid w:val="00BC2359"/>
    <w:rsid w:val="00BC2494"/>
    <w:rsid w:val="00BC3098"/>
    <w:rsid w:val="00BC36B5"/>
    <w:rsid w:val="00BC38FE"/>
    <w:rsid w:val="00BC4069"/>
    <w:rsid w:val="00BC41FA"/>
    <w:rsid w:val="00BC4694"/>
    <w:rsid w:val="00BC485A"/>
    <w:rsid w:val="00BC4E34"/>
    <w:rsid w:val="00BC560A"/>
    <w:rsid w:val="00BC5F90"/>
    <w:rsid w:val="00BC688A"/>
    <w:rsid w:val="00BC68BC"/>
    <w:rsid w:val="00BC6A1D"/>
    <w:rsid w:val="00BC7217"/>
    <w:rsid w:val="00BC763C"/>
    <w:rsid w:val="00BC774E"/>
    <w:rsid w:val="00BC798A"/>
    <w:rsid w:val="00BC7E36"/>
    <w:rsid w:val="00BD03DB"/>
    <w:rsid w:val="00BD0731"/>
    <w:rsid w:val="00BD08BF"/>
    <w:rsid w:val="00BD0B9F"/>
    <w:rsid w:val="00BD0CA9"/>
    <w:rsid w:val="00BD11C6"/>
    <w:rsid w:val="00BD3505"/>
    <w:rsid w:val="00BD369D"/>
    <w:rsid w:val="00BD3C47"/>
    <w:rsid w:val="00BD3D66"/>
    <w:rsid w:val="00BD54A9"/>
    <w:rsid w:val="00BD5C3B"/>
    <w:rsid w:val="00BD5EC9"/>
    <w:rsid w:val="00BD604F"/>
    <w:rsid w:val="00BD6F82"/>
    <w:rsid w:val="00BD6FB8"/>
    <w:rsid w:val="00BD71B4"/>
    <w:rsid w:val="00BD7783"/>
    <w:rsid w:val="00BD79DB"/>
    <w:rsid w:val="00BE0A64"/>
    <w:rsid w:val="00BE111C"/>
    <w:rsid w:val="00BE1591"/>
    <w:rsid w:val="00BE172B"/>
    <w:rsid w:val="00BE17A8"/>
    <w:rsid w:val="00BE19C5"/>
    <w:rsid w:val="00BE2713"/>
    <w:rsid w:val="00BE2781"/>
    <w:rsid w:val="00BE29A1"/>
    <w:rsid w:val="00BE444F"/>
    <w:rsid w:val="00BE53A5"/>
    <w:rsid w:val="00BE542E"/>
    <w:rsid w:val="00BE6A34"/>
    <w:rsid w:val="00BE6D84"/>
    <w:rsid w:val="00BE72BD"/>
    <w:rsid w:val="00BE730B"/>
    <w:rsid w:val="00BE7388"/>
    <w:rsid w:val="00BE7446"/>
    <w:rsid w:val="00BE7B96"/>
    <w:rsid w:val="00BE7D1F"/>
    <w:rsid w:val="00BE7FFA"/>
    <w:rsid w:val="00BF0121"/>
    <w:rsid w:val="00BF0685"/>
    <w:rsid w:val="00BF0D8B"/>
    <w:rsid w:val="00BF109B"/>
    <w:rsid w:val="00BF147E"/>
    <w:rsid w:val="00BF192F"/>
    <w:rsid w:val="00BF1BE0"/>
    <w:rsid w:val="00BF1D4C"/>
    <w:rsid w:val="00BF1F1F"/>
    <w:rsid w:val="00BF20BB"/>
    <w:rsid w:val="00BF2936"/>
    <w:rsid w:val="00BF2F89"/>
    <w:rsid w:val="00BF3194"/>
    <w:rsid w:val="00BF3291"/>
    <w:rsid w:val="00BF3320"/>
    <w:rsid w:val="00BF33AF"/>
    <w:rsid w:val="00BF38EF"/>
    <w:rsid w:val="00BF3B50"/>
    <w:rsid w:val="00BF44B9"/>
    <w:rsid w:val="00BF4547"/>
    <w:rsid w:val="00BF469D"/>
    <w:rsid w:val="00BF496A"/>
    <w:rsid w:val="00BF4B9D"/>
    <w:rsid w:val="00BF5348"/>
    <w:rsid w:val="00BF5633"/>
    <w:rsid w:val="00BF5D7D"/>
    <w:rsid w:val="00BF61E6"/>
    <w:rsid w:val="00BF6AC4"/>
    <w:rsid w:val="00BF6BD3"/>
    <w:rsid w:val="00BF7148"/>
    <w:rsid w:val="00C001DF"/>
    <w:rsid w:val="00C00282"/>
    <w:rsid w:val="00C002CF"/>
    <w:rsid w:val="00C01954"/>
    <w:rsid w:val="00C02801"/>
    <w:rsid w:val="00C02A12"/>
    <w:rsid w:val="00C02BAA"/>
    <w:rsid w:val="00C02F1A"/>
    <w:rsid w:val="00C0347B"/>
    <w:rsid w:val="00C03686"/>
    <w:rsid w:val="00C03B99"/>
    <w:rsid w:val="00C03C20"/>
    <w:rsid w:val="00C03C6B"/>
    <w:rsid w:val="00C03DAA"/>
    <w:rsid w:val="00C042BE"/>
    <w:rsid w:val="00C0498D"/>
    <w:rsid w:val="00C05C0D"/>
    <w:rsid w:val="00C06027"/>
    <w:rsid w:val="00C06137"/>
    <w:rsid w:val="00C06703"/>
    <w:rsid w:val="00C06D8A"/>
    <w:rsid w:val="00C06F66"/>
    <w:rsid w:val="00C0706F"/>
    <w:rsid w:val="00C075DC"/>
    <w:rsid w:val="00C07ABC"/>
    <w:rsid w:val="00C07DB1"/>
    <w:rsid w:val="00C07E61"/>
    <w:rsid w:val="00C10CC0"/>
    <w:rsid w:val="00C11703"/>
    <w:rsid w:val="00C11D96"/>
    <w:rsid w:val="00C11E79"/>
    <w:rsid w:val="00C12DD4"/>
    <w:rsid w:val="00C12EB7"/>
    <w:rsid w:val="00C13529"/>
    <w:rsid w:val="00C13737"/>
    <w:rsid w:val="00C13764"/>
    <w:rsid w:val="00C139B2"/>
    <w:rsid w:val="00C13E03"/>
    <w:rsid w:val="00C13FED"/>
    <w:rsid w:val="00C141C7"/>
    <w:rsid w:val="00C14E6A"/>
    <w:rsid w:val="00C14ECF"/>
    <w:rsid w:val="00C154FA"/>
    <w:rsid w:val="00C15907"/>
    <w:rsid w:val="00C15C07"/>
    <w:rsid w:val="00C15E65"/>
    <w:rsid w:val="00C17198"/>
    <w:rsid w:val="00C174C5"/>
    <w:rsid w:val="00C20169"/>
    <w:rsid w:val="00C20485"/>
    <w:rsid w:val="00C204DE"/>
    <w:rsid w:val="00C20CFD"/>
    <w:rsid w:val="00C21004"/>
    <w:rsid w:val="00C21779"/>
    <w:rsid w:val="00C21804"/>
    <w:rsid w:val="00C218DF"/>
    <w:rsid w:val="00C2194A"/>
    <w:rsid w:val="00C21DA9"/>
    <w:rsid w:val="00C2231E"/>
    <w:rsid w:val="00C22BA7"/>
    <w:rsid w:val="00C22CD6"/>
    <w:rsid w:val="00C22E3F"/>
    <w:rsid w:val="00C23482"/>
    <w:rsid w:val="00C23BFB"/>
    <w:rsid w:val="00C24301"/>
    <w:rsid w:val="00C24E26"/>
    <w:rsid w:val="00C24EFC"/>
    <w:rsid w:val="00C25275"/>
    <w:rsid w:val="00C2552B"/>
    <w:rsid w:val="00C25CC1"/>
    <w:rsid w:val="00C25D42"/>
    <w:rsid w:val="00C26475"/>
    <w:rsid w:val="00C26590"/>
    <w:rsid w:val="00C26672"/>
    <w:rsid w:val="00C2672F"/>
    <w:rsid w:val="00C26B09"/>
    <w:rsid w:val="00C26CAB"/>
    <w:rsid w:val="00C271CB"/>
    <w:rsid w:val="00C27269"/>
    <w:rsid w:val="00C27875"/>
    <w:rsid w:val="00C27954"/>
    <w:rsid w:val="00C27B5F"/>
    <w:rsid w:val="00C27D2B"/>
    <w:rsid w:val="00C27D82"/>
    <w:rsid w:val="00C3106D"/>
    <w:rsid w:val="00C319F2"/>
    <w:rsid w:val="00C321C6"/>
    <w:rsid w:val="00C329E7"/>
    <w:rsid w:val="00C32A6D"/>
    <w:rsid w:val="00C32C9B"/>
    <w:rsid w:val="00C3365F"/>
    <w:rsid w:val="00C33D86"/>
    <w:rsid w:val="00C342FC"/>
    <w:rsid w:val="00C3465E"/>
    <w:rsid w:val="00C355AE"/>
    <w:rsid w:val="00C35639"/>
    <w:rsid w:val="00C356C1"/>
    <w:rsid w:val="00C3580B"/>
    <w:rsid w:val="00C358A9"/>
    <w:rsid w:val="00C358BF"/>
    <w:rsid w:val="00C35E47"/>
    <w:rsid w:val="00C35F4D"/>
    <w:rsid w:val="00C36313"/>
    <w:rsid w:val="00C3638A"/>
    <w:rsid w:val="00C36FC6"/>
    <w:rsid w:val="00C370E0"/>
    <w:rsid w:val="00C37117"/>
    <w:rsid w:val="00C37417"/>
    <w:rsid w:val="00C37678"/>
    <w:rsid w:val="00C37986"/>
    <w:rsid w:val="00C37B31"/>
    <w:rsid w:val="00C37B45"/>
    <w:rsid w:val="00C409F0"/>
    <w:rsid w:val="00C41EA0"/>
    <w:rsid w:val="00C4249E"/>
    <w:rsid w:val="00C425E1"/>
    <w:rsid w:val="00C42B5D"/>
    <w:rsid w:val="00C43FF9"/>
    <w:rsid w:val="00C440ED"/>
    <w:rsid w:val="00C44577"/>
    <w:rsid w:val="00C44BDB"/>
    <w:rsid w:val="00C44C73"/>
    <w:rsid w:val="00C44C89"/>
    <w:rsid w:val="00C456D0"/>
    <w:rsid w:val="00C45C33"/>
    <w:rsid w:val="00C45FC7"/>
    <w:rsid w:val="00C465C2"/>
    <w:rsid w:val="00C466A2"/>
    <w:rsid w:val="00C46724"/>
    <w:rsid w:val="00C470DB"/>
    <w:rsid w:val="00C471AB"/>
    <w:rsid w:val="00C47630"/>
    <w:rsid w:val="00C476F7"/>
    <w:rsid w:val="00C47DBD"/>
    <w:rsid w:val="00C50E80"/>
    <w:rsid w:val="00C51040"/>
    <w:rsid w:val="00C51727"/>
    <w:rsid w:val="00C51D16"/>
    <w:rsid w:val="00C520DB"/>
    <w:rsid w:val="00C5287E"/>
    <w:rsid w:val="00C54996"/>
    <w:rsid w:val="00C553ED"/>
    <w:rsid w:val="00C55714"/>
    <w:rsid w:val="00C55A24"/>
    <w:rsid w:val="00C55C5E"/>
    <w:rsid w:val="00C56297"/>
    <w:rsid w:val="00C56C3B"/>
    <w:rsid w:val="00C56DF6"/>
    <w:rsid w:val="00C56F07"/>
    <w:rsid w:val="00C57532"/>
    <w:rsid w:val="00C577FC"/>
    <w:rsid w:val="00C57963"/>
    <w:rsid w:val="00C57EF9"/>
    <w:rsid w:val="00C602C0"/>
    <w:rsid w:val="00C60302"/>
    <w:rsid w:val="00C60D70"/>
    <w:rsid w:val="00C61ECF"/>
    <w:rsid w:val="00C63179"/>
    <w:rsid w:val="00C63390"/>
    <w:rsid w:val="00C635E4"/>
    <w:rsid w:val="00C63772"/>
    <w:rsid w:val="00C64185"/>
    <w:rsid w:val="00C644D4"/>
    <w:rsid w:val="00C67372"/>
    <w:rsid w:val="00C67661"/>
    <w:rsid w:val="00C678D8"/>
    <w:rsid w:val="00C67918"/>
    <w:rsid w:val="00C67AC2"/>
    <w:rsid w:val="00C67D50"/>
    <w:rsid w:val="00C7071D"/>
    <w:rsid w:val="00C71956"/>
    <w:rsid w:val="00C71BD5"/>
    <w:rsid w:val="00C71C5E"/>
    <w:rsid w:val="00C7205A"/>
    <w:rsid w:val="00C72413"/>
    <w:rsid w:val="00C733AE"/>
    <w:rsid w:val="00C7376A"/>
    <w:rsid w:val="00C74736"/>
    <w:rsid w:val="00C748E7"/>
    <w:rsid w:val="00C74986"/>
    <w:rsid w:val="00C750A5"/>
    <w:rsid w:val="00C754AC"/>
    <w:rsid w:val="00C75730"/>
    <w:rsid w:val="00C763C2"/>
    <w:rsid w:val="00C76589"/>
    <w:rsid w:val="00C76A01"/>
    <w:rsid w:val="00C76D15"/>
    <w:rsid w:val="00C773D0"/>
    <w:rsid w:val="00C779CA"/>
    <w:rsid w:val="00C77ACE"/>
    <w:rsid w:val="00C77FB7"/>
    <w:rsid w:val="00C808C9"/>
    <w:rsid w:val="00C81A2F"/>
    <w:rsid w:val="00C8235A"/>
    <w:rsid w:val="00C827A1"/>
    <w:rsid w:val="00C82949"/>
    <w:rsid w:val="00C82C49"/>
    <w:rsid w:val="00C82CFD"/>
    <w:rsid w:val="00C82F8C"/>
    <w:rsid w:val="00C831C7"/>
    <w:rsid w:val="00C84741"/>
    <w:rsid w:val="00C848DB"/>
    <w:rsid w:val="00C84E83"/>
    <w:rsid w:val="00C86F8C"/>
    <w:rsid w:val="00C8712F"/>
    <w:rsid w:val="00C87196"/>
    <w:rsid w:val="00C87EEC"/>
    <w:rsid w:val="00C87F3B"/>
    <w:rsid w:val="00C90341"/>
    <w:rsid w:val="00C903BE"/>
    <w:rsid w:val="00C90907"/>
    <w:rsid w:val="00C90F8B"/>
    <w:rsid w:val="00C92C50"/>
    <w:rsid w:val="00C945D4"/>
    <w:rsid w:val="00C945E1"/>
    <w:rsid w:val="00C94B6A"/>
    <w:rsid w:val="00C94C81"/>
    <w:rsid w:val="00C95401"/>
    <w:rsid w:val="00C9577F"/>
    <w:rsid w:val="00C95A78"/>
    <w:rsid w:val="00C95AA1"/>
    <w:rsid w:val="00C962ED"/>
    <w:rsid w:val="00C96814"/>
    <w:rsid w:val="00C96BAC"/>
    <w:rsid w:val="00C96C86"/>
    <w:rsid w:val="00C970B8"/>
    <w:rsid w:val="00C974E5"/>
    <w:rsid w:val="00C976C0"/>
    <w:rsid w:val="00C97AA0"/>
    <w:rsid w:val="00C97E73"/>
    <w:rsid w:val="00CA059F"/>
    <w:rsid w:val="00CA0BAE"/>
    <w:rsid w:val="00CA191B"/>
    <w:rsid w:val="00CA1A86"/>
    <w:rsid w:val="00CA23CA"/>
    <w:rsid w:val="00CA27F5"/>
    <w:rsid w:val="00CA2825"/>
    <w:rsid w:val="00CA2D01"/>
    <w:rsid w:val="00CA2D5A"/>
    <w:rsid w:val="00CA35B6"/>
    <w:rsid w:val="00CA3725"/>
    <w:rsid w:val="00CA37F1"/>
    <w:rsid w:val="00CA3E60"/>
    <w:rsid w:val="00CA45A0"/>
    <w:rsid w:val="00CA45DE"/>
    <w:rsid w:val="00CA4BF4"/>
    <w:rsid w:val="00CA5126"/>
    <w:rsid w:val="00CA59FA"/>
    <w:rsid w:val="00CA6062"/>
    <w:rsid w:val="00CA618E"/>
    <w:rsid w:val="00CA6537"/>
    <w:rsid w:val="00CA709A"/>
    <w:rsid w:val="00CA709F"/>
    <w:rsid w:val="00CA785C"/>
    <w:rsid w:val="00CA7B7D"/>
    <w:rsid w:val="00CA7E86"/>
    <w:rsid w:val="00CB0346"/>
    <w:rsid w:val="00CB0535"/>
    <w:rsid w:val="00CB08BB"/>
    <w:rsid w:val="00CB0929"/>
    <w:rsid w:val="00CB0FB2"/>
    <w:rsid w:val="00CB1B8E"/>
    <w:rsid w:val="00CB1BDB"/>
    <w:rsid w:val="00CB1D3D"/>
    <w:rsid w:val="00CB25EA"/>
    <w:rsid w:val="00CB3633"/>
    <w:rsid w:val="00CB3B05"/>
    <w:rsid w:val="00CB42E5"/>
    <w:rsid w:val="00CB4CAA"/>
    <w:rsid w:val="00CB50B8"/>
    <w:rsid w:val="00CB5B14"/>
    <w:rsid w:val="00CB6D1E"/>
    <w:rsid w:val="00CB70D4"/>
    <w:rsid w:val="00CB788E"/>
    <w:rsid w:val="00CC0159"/>
    <w:rsid w:val="00CC01CF"/>
    <w:rsid w:val="00CC15F3"/>
    <w:rsid w:val="00CC263F"/>
    <w:rsid w:val="00CC2945"/>
    <w:rsid w:val="00CC2F48"/>
    <w:rsid w:val="00CC4CB0"/>
    <w:rsid w:val="00CC4E2A"/>
    <w:rsid w:val="00CC4EB1"/>
    <w:rsid w:val="00CC4EE0"/>
    <w:rsid w:val="00CC51C5"/>
    <w:rsid w:val="00CC5594"/>
    <w:rsid w:val="00CC55AF"/>
    <w:rsid w:val="00CC67A2"/>
    <w:rsid w:val="00CC6905"/>
    <w:rsid w:val="00CC6D31"/>
    <w:rsid w:val="00CC716A"/>
    <w:rsid w:val="00CC7C3D"/>
    <w:rsid w:val="00CC7E82"/>
    <w:rsid w:val="00CD07BB"/>
    <w:rsid w:val="00CD15F5"/>
    <w:rsid w:val="00CD1868"/>
    <w:rsid w:val="00CD1A54"/>
    <w:rsid w:val="00CD1C41"/>
    <w:rsid w:val="00CD1E7C"/>
    <w:rsid w:val="00CD28AB"/>
    <w:rsid w:val="00CD313C"/>
    <w:rsid w:val="00CD3A3B"/>
    <w:rsid w:val="00CD51C2"/>
    <w:rsid w:val="00CD5970"/>
    <w:rsid w:val="00CD627B"/>
    <w:rsid w:val="00CD6882"/>
    <w:rsid w:val="00CD72D9"/>
    <w:rsid w:val="00CD772E"/>
    <w:rsid w:val="00CD7D11"/>
    <w:rsid w:val="00CE03D7"/>
    <w:rsid w:val="00CE0940"/>
    <w:rsid w:val="00CE0B2D"/>
    <w:rsid w:val="00CE25A1"/>
    <w:rsid w:val="00CE270C"/>
    <w:rsid w:val="00CE2B15"/>
    <w:rsid w:val="00CE2BA8"/>
    <w:rsid w:val="00CE2F50"/>
    <w:rsid w:val="00CE325A"/>
    <w:rsid w:val="00CE3D01"/>
    <w:rsid w:val="00CE3F1E"/>
    <w:rsid w:val="00CE4085"/>
    <w:rsid w:val="00CE4419"/>
    <w:rsid w:val="00CE4894"/>
    <w:rsid w:val="00CE4A92"/>
    <w:rsid w:val="00CE5718"/>
    <w:rsid w:val="00CE57FD"/>
    <w:rsid w:val="00CE65D7"/>
    <w:rsid w:val="00CE699D"/>
    <w:rsid w:val="00CE74CB"/>
    <w:rsid w:val="00CE79BB"/>
    <w:rsid w:val="00CE7F7F"/>
    <w:rsid w:val="00CF0655"/>
    <w:rsid w:val="00CF1E0F"/>
    <w:rsid w:val="00CF25E1"/>
    <w:rsid w:val="00CF2CE2"/>
    <w:rsid w:val="00CF304D"/>
    <w:rsid w:val="00CF343E"/>
    <w:rsid w:val="00CF4377"/>
    <w:rsid w:val="00CF4A78"/>
    <w:rsid w:val="00CF4C40"/>
    <w:rsid w:val="00CF4F29"/>
    <w:rsid w:val="00CF5296"/>
    <w:rsid w:val="00CF52A1"/>
    <w:rsid w:val="00CF56DE"/>
    <w:rsid w:val="00CF649D"/>
    <w:rsid w:val="00CF6829"/>
    <w:rsid w:val="00CF6CC3"/>
    <w:rsid w:val="00CF7B9C"/>
    <w:rsid w:val="00CF7CFB"/>
    <w:rsid w:val="00D0083D"/>
    <w:rsid w:val="00D009D3"/>
    <w:rsid w:val="00D00AC4"/>
    <w:rsid w:val="00D01379"/>
    <w:rsid w:val="00D01862"/>
    <w:rsid w:val="00D03044"/>
    <w:rsid w:val="00D03242"/>
    <w:rsid w:val="00D0338E"/>
    <w:rsid w:val="00D033BB"/>
    <w:rsid w:val="00D033D0"/>
    <w:rsid w:val="00D04244"/>
    <w:rsid w:val="00D047A3"/>
    <w:rsid w:val="00D050DE"/>
    <w:rsid w:val="00D05BE0"/>
    <w:rsid w:val="00D0609A"/>
    <w:rsid w:val="00D0609B"/>
    <w:rsid w:val="00D07269"/>
    <w:rsid w:val="00D07B4F"/>
    <w:rsid w:val="00D07FF5"/>
    <w:rsid w:val="00D11493"/>
    <w:rsid w:val="00D114C0"/>
    <w:rsid w:val="00D1186D"/>
    <w:rsid w:val="00D1193A"/>
    <w:rsid w:val="00D11DE6"/>
    <w:rsid w:val="00D124B7"/>
    <w:rsid w:val="00D128B3"/>
    <w:rsid w:val="00D131FF"/>
    <w:rsid w:val="00D13D0D"/>
    <w:rsid w:val="00D13FA6"/>
    <w:rsid w:val="00D140A1"/>
    <w:rsid w:val="00D1480A"/>
    <w:rsid w:val="00D148C7"/>
    <w:rsid w:val="00D1494D"/>
    <w:rsid w:val="00D15201"/>
    <w:rsid w:val="00D15430"/>
    <w:rsid w:val="00D154BD"/>
    <w:rsid w:val="00D162C3"/>
    <w:rsid w:val="00D162F2"/>
    <w:rsid w:val="00D1763D"/>
    <w:rsid w:val="00D17C8C"/>
    <w:rsid w:val="00D17EAF"/>
    <w:rsid w:val="00D20468"/>
    <w:rsid w:val="00D206E5"/>
    <w:rsid w:val="00D209BD"/>
    <w:rsid w:val="00D20D99"/>
    <w:rsid w:val="00D20F3A"/>
    <w:rsid w:val="00D22351"/>
    <w:rsid w:val="00D226D8"/>
    <w:rsid w:val="00D229B9"/>
    <w:rsid w:val="00D22EC0"/>
    <w:rsid w:val="00D232A0"/>
    <w:rsid w:val="00D23821"/>
    <w:rsid w:val="00D248CB"/>
    <w:rsid w:val="00D24943"/>
    <w:rsid w:val="00D24E29"/>
    <w:rsid w:val="00D25145"/>
    <w:rsid w:val="00D257D9"/>
    <w:rsid w:val="00D25BDB"/>
    <w:rsid w:val="00D25D4A"/>
    <w:rsid w:val="00D260F4"/>
    <w:rsid w:val="00D26443"/>
    <w:rsid w:val="00D26778"/>
    <w:rsid w:val="00D26C32"/>
    <w:rsid w:val="00D27987"/>
    <w:rsid w:val="00D27E8F"/>
    <w:rsid w:val="00D27FD7"/>
    <w:rsid w:val="00D30075"/>
    <w:rsid w:val="00D30195"/>
    <w:rsid w:val="00D30710"/>
    <w:rsid w:val="00D30CA3"/>
    <w:rsid w:val="00D30F7D"/>
    <w:rsid w:val="00D3193E"/>
    <w:rsid w:val="00D31D39"/>
    <w:rsid w:val="00D31FEF"/>
    <w:rsid w:val="00D323A4"/>
    <w:rsid w:val="00D32464"/>
    <w:rsid w:val="00D32E4F"/>
    <w:rsid w:val="00D331AA"/>
    <w:rsid w:val="00D33416"/>
    <w:rsid w:val="00D337B2"/>
    <w:rsid w:val="00D3382D"/>
    <w:rsid w:val="00D33F7F"/>
    <w:rsid w:val="00D34C86"/>
    <w:rsid w:val="00D352BA"/>
    <w:rsid w:val="00D35D87"/>
    <w:rsid w:val="00D362AD"/>
    <w:rsid w:val="00D362CC"/>
    <w:rsid w:val="00D363B2"/>
    <w:rsid w:val="00D364A9"/>
    <w:rsid w:val="00D36DC0"/>
    <w:rsid w:val="00D36FA5"/>
    <w:rsid w:val="00D3716A"/>
    <w:rsid w:val="00D37411"/>
    <w:rsid w:val="00D37794"/>
    <w:rsid w:val="00D3782D"/>
    <w:rsid w:val="00D4023A"/>
    <w:rsid w:val="00D4079C"/>
    <w:rsid w:val="00D41A9D"/>
    <w:rsid w:val="00D41D10"/>
    <w:rsid w:val="00D41F22"/>
    <w:rsid w:val="00D42EF4"/>
    <w:rsid w:val="00D4342F"/>
    <w:rsid w:val="00D43923"/>
    <w:rsid w:val="00D442B1"/>
    <w:rsid w:val="00D44384"/>
    <w:rsid w:val="00D448C4"/>
    <w:rsid w:val="00D45796"/>
    <w:rsid w:val="00D463A1"/>
    <w:rsid w:val="00D465E6"/>
    <w:rsid w:val="00D46C70"/>
    <w:rsid w:val="00D50227"/>
    <w:rsid w:val="00D505E5"/>
    <w:rsid w:val="00D5095E"/>
    <w:rsid w:val="00D50E6B"/>
    <w:rsid w:val="00D50F57"/>
    <w:rsid w:val="00D5185F"/>
    <w:rsid w:val="00D52805"/>
    <w:rsid w:val="00D53070"/>
    <w:rsid w:val="00D5334E"/>
    <w:rsid w:val="00D54896"/>
    <w:rsid w:val="00D549C2"/>
    <w:rsid w:val="00D54ECA"/>
    <w:rsid w:val="00D553D2"/>
    <w:rsid w:val="00D555FB"/>
    <w:rsid w:val="00D55669"/>
    <w:rsid w:val="00D557F3"/>
    <w:rsid w:val="00D55AE0"/>
    <w:rsid w:val="00D601C9"/>
    <w:rsid w:val="00D602CB"/>
    <w:rsid w:val="00D60AB1"/>
    <w:rsid w:val="00D60B5F"/>
    <w:rsid w:val="00D60FA1"/>
    <w:rsid w:val="00D61236"/>
    <w:rsid w:val="00D617DF"/>
    <w:rsid w:val="00D6199D"/>
    <w:rsid w:val="00D6247E"/>
    <w:rsid w:val="00D62CDD"/>
    <w:rsid w:val="00D64429"/>
    <w:rsid w:val="00D64443"/>
    <w:rsid w:val="00D6498D"/>
    <w:rsid w:val="00D64F13"/>
    <w:rsid w:val="00D6511B"/>
    <w:rsid w:val="00D65213"/>
    <w:rsid w:val="00D657AC"/>
    <w:rsid w:val="00D65A7C"/>
    <w:rsid w:val="00D66716"/>
    <w:rsid w:val="00D66911"/>
    <w:rsid w:val="00D669EB"/>
    <w:rsid w:val="00D66BB5"/>
    <w:rsid w:val="00D66FF8"/>
    <w:rsid w:val="00D672C2"/>
    <w:rsid w:val="00D70DCF"/>
    <w:rsid w:val="00D70F3A"/>
    <w:rsid w:val="00D710B4"/>
    <w:rsid w:val="00D712C9"/>
    <w:rsid w:val="00D715C5"/>
    <w:rsid w:val="00D723FA"/>
    <w:rsid w:val="00D72DE5"/>
    <w:rsid w:val="00D73090"/>
    <w:rsid w:val="00D73122"/>
    <w:rsid w:val="00D739D1"/>
    <w:rsid w:val="00D73D3C"/>
    <w:rsid w:val="00D73DA2"/>
    <w:rsid w:val="00D73E81"/>
    <w:rsid w:val="00D73FAC"/>
    <w:rsid w:val="00D74175"/>
    <w:rsid w:val="00D741BF"/>
    <w:rsid w:val="00D742BC"/>
    <w:rsid w:val="00D7493B"/>
    <w:rsid w:val="00D74B44"/>
    <w:rsid w:val="00D74C36"/>
    <w:rsid w:val="00D75641"/>
    <w:rsid w:val="00D75AFC"/>
    <w:rsid w:val="00D7628F"/>
    <w:rsid w:val="00D762F8"/>
    <w:rsid w:val="00D766D1"/>
    <w:rsid w:val="00D76B8C"/>
    <w:rsid w:val="00D76CDE"/>
    <w:rsid w:val="00D76D19"/>
    <w:rsid w:val="00D77E3B"/>
    <w:rsid w:val="00D77E53"/>
    <w:rsid w:val="00D80164"/>
    <w:rsid w:val="00D8031F"/>
    <w:rsid w:val="00D803B4"/>
    <w:rsid w:val="00D8044F"/>
    <w:rsid w:val="00D80592"/>
    <w:rsid w:val="00D80DEF"/>
    <w:rsid w:val="00D81341"/>
    <w:rsid w:val="00D813E4"/>
    <w:rsid w:val="00D81510"/>
    <w:rsid w:val="00D82433"/>
    <w:rsid w:val="00D82E72"/>
    <w:rsid w:val="00D83832"/>
    <w:rsid w:val="00D84386"/>
    <w:rsid w:val="00D846C2"/>
    <w:rsid w:val="00D84B7C"/>
    <w:rsid w:val="00D85483"/>
    <w:rsid w:val="00D85DC3"/>
    <w:rsid w:val="00D86AEA"/>
    <w:rsid w:val="00D87530"/>
    <w:rsid w:val="00D90219"/>
    <w:rsid w:val="00D90779"/>
    <w:rsid w:val="00D90E48"/>
    <w:rsid w:val="00D9132F"/>
    <w:rsid w:val="00D914F7"/>
    <w:rsid w:val="00D91518"/>
    <w:rsid w:val="00D91A0B"/>
    <w:rsid w:val="00D91C96"/>
    <w:rsid w:val="00D922BD"/>
    <w:rsid w:val="00D9248F"/>
    <w:rsid w:val="00D92DC3"/>
    <w:rsid w:val="00D93484"/>
    <w:rsid w:val="00D934D4"/>
    <w:rsid w:val="00D93A51"/>
    <w:rsid w:val="00D9424A"/>
    <w:rsid w:val="00D94B53"/>
    <w:rsid w:val="00D94EBC"/>
    <w:rsid w:val="00D94F9C"/>
    <w:rsid w:val="00D956FA"/>
    <w:rsid w:val="00D95736"/>
    <w:rsid w:val="00D963FB"/>
    <w:rsid w:val="00D9680A"/>
    <w:rsid w:val="00D9713A"/>
    <w:rsid w:val="00D974D2"/>
    <w:rsid w:val="00DA049C"/>
    <w:rsid w:val="00DA0A83"/>
    <w:rsid w:val="00DA0F82"/>
    <w:rsid w:val="00DA1677"/>
    <w:rsid w:val="00DA1AE0"/>
    <w:rsid w:val="00DA1FFA"/>
    <w:rsid w:val="00DA2587"/>
    <w:rsid w:val="00DA2E7D"/>
    <w:rsid w:val="00DA32A9"/>
    <w:rsid w:val="00DA4973"/>
    <w:rsid w:val="00DA4A50"/>
    <w:rsid w:val="00DA4E52"/>
    <w:rsid w:val="00DA4ED1"/>
    <w:rsid w:val="00DA5354"/>
    <w:rsid w:val="00DA5B3F"/>
    <w:rsid w:val="00DA6889"/>
    <w:rsid w:val="00DA725A"/>
    <w:rsid w:val="00DA7AAC"/>
    <w:rsid w:val="00DB01F1"/>
    <w:rsid w:val="00DB0A89"/>
    <w:rsid w:val="00DB0BF5"/>
    <w:rsid w:val="00DB177A"/>
    <w:rsid w:val="00DB1BE1"/>
    <w:rsid w:val="00DB210F"/>
    <w:rsid w:val="00DB26A1"/>
    <w:rsid w:val="00DB2CA4"/>
    <w:rsid w:val="00DB30DA"/>
    <w:rsid w:val="00DB362F"/>
    <w:rsid w:val="00DB3D1F"/>
    <w:rsid w:val="00DB441F"/>
    <w:rsid w:val="00DB4502"/>
    <w:rsid w:val="00DB5D24"/>
    <w:rsid w:val="00DB7B87"/>
    <w:rsid w:val="00DC0B0D"/>
    <w:rsid w:val="00DC117A"/>
    <w:rsid w:val="00DC12D9"/>
    <w:rsid w:val="00DC13E6"/>
    <w:rsid w:val="00DC2896"/>
    <w:rsid w:val="00DC29DB"/>
    <w:rsid w:val="00DC2A67"/>
    <w:rsid w:val="00DC320E"/>
    <w:rsid w:val="00DC35CF"/>
    <w:rsid w:val="00DC36A9"/>
    <w:rsid w:val="00DC4D12"/>
    <w:rsid w:val="00DC4D98"/>
    <w:rsid w:val="00DC60D5"/>
    <w:rsid w:val="00DC63FD"/>
    <w:rsid w:val="00DC6DD4"/>
    <w:rsid w:val="00DC7760"/>
    <w:rsid w:val="00DC7B4C"/>
    <w:rsid w:val="00DC7BF2"/>
    <w:rsid w:val="00DC7E25"/>
    <w:rsid w:val="00DC7FF1"/>
    <w:rsid w:val="00DD011E"/>
    <w:rsid w:val="00DD06B2"/>
    <w:rsid w:val="00DD07BE"/>
    <w:rsid w:val="00DD0D9A"/>
    <w:rsid w:val="00DD1AE0"/>
    <w:rsid w:val="00DD1F6C"/>
    <w:rsid w:val="00DD2314"/>
    <w:rsid w:val="00DD2569"/>
    <w:rsid w:val="00DD2805"/>
    <w:rsid w:val="00DD2EF5"/>
    <w:rsid w:val="00DD3288"/>
    <w:rsid w:val="00DD331A"/>
    <w:rsid w:val="00DD33E7"/>
    <w:rsid w:val="00DD35D6"/>
    <w:rsid w:val="00DD367B"/>
    <w:rsid w:val="00DD403D"/>
    <w:rsid w:val="00DD4CDD"/>
    <w:rsid w:val="00DD52B2"/>
    <w:rsid w:val="00DD5AE4"/>
    <w:rsid w:val="00DD5BDA"/>
    <w:rsid w:val="00DD6471"/>
    <w:rsid w:val="00DD6AF2"/>
    <w:rsid w:val="00DD6CAB"/>
    <w:rsid w:val="00DD7AE8"/>
    <w:rsid w:val="00DD7F7F"/>
    <w:rsid w:val="00DE0237"/>
    <w:rsid w:val="00DE26BA"/>
    <w:rsid w:val="00DE2903"/>
    <w:rsid w:val="00DE2D58"/>
    <w:rsid w:val="00DE3B64"/>
    <w:rsid w:val="00DE3E05"/>
    <w:rsid w:val="00DE43AB"/>
    <w:rsid w:val="00DE47EF"/>
    <w:rsid w:val="00DE5367"/>
    <w:rsid w:val="00DE55A9"/>
    <w:rsid w:val="00DE599E"/>
    <w:rsid w:val="00DE5EEA"/>
    <w:rsid w:val="00DE622D"/>
    <w:rsid w:val="00DE6439"/>
    <w:rsid w:val="00DE66A0"/>
    <w:rsid w:val="00DE6EA9"/>
    <w:rsid w:val="00DE72BB"/>
    <w:rsid w:val="00DE72E5"/>
    <w:rsid w:val="00DE7548"/>
    <w:rsid w:val="00DE7B28"/>
    <w:rsid w:val="00DF091F"/>
    <w:rsid w:val="00DF09A6"/>
    <w:rsid w:val="00DF0A04"/>
    <w:rsid w:val="00DF0EC3"/>
    <w:rsid w:val="00DF104D"/>
    <w:rsid w:val="00DF1362"/>
    <w:rsid w:val="00DF1421"/>
    <w:rsid w:val="00DF14E2"/>
    <w:rsid w:val="00DF2521"/>
    <w:rsid w:val="00DF2A5F"/>
    <w:rsid w:val="00DF301F"/>
    <w:rsid w:val="00DF3AAB"/>
    <w:rsid w:val="00DF4696"/>
    <w:rsid w:val="00DF4F29"/>
    <w:rsid w:val="00DF5613"/>
    <w:rsid w:val="00DF594C"/>
    <w:rsid w:val="00DF5A0E"/>
    <w:rsid w:val="00DF5A2E"/>
    <w:rsid w:val="00DF5C4C"/>
    <w:rsid w:val="00DF6378"/>
    <w:rsid w:val="00DF6636"/>
    <w:rsid w:val="00DF6F7E"/>
    <w:rsid w:val="00DF6FC9"/>
    <w:rsid w:val="00DF6FE9"/>
    <w:rsid w:val="00DF72F7"/>
    <w:rsid w:val="00E000CA"/>
    <w:rsid w:val="00E001FF"/>
    <w:rsid w:val="00E002CB"/>
    <w:rsid w:val="00E0048E"/>
    <w:rsid w:val="00E0113A"/>
    <w:rsid w:val="00E01AE6"/>
    <w:rsid w:val="00E01AF4"/>
    <w:rsid w:val="00E01CB6"/>
    <w:rsid w:val="00E01FF8"/>
    <w:rsid w:val="00E024FB"/>
    <w:rsid w:val="00E02587"/>
    <w:rsid w:val="00E029D7"/>
    <w:rsid w:val="00E02A17"/>
    <w:rsid w:val="00E02A95"/>
    <w:rsid w:val="00E02E56"/>
    <w:rsid w:val="00E03546"/>
    <w:rsid w:val="00E03EFD"/>
    <w:rsid w:val="00E04060"/>
    <w:rsid w:val="00E04C35"/>
    <w:rsid w:val="00E04F25"/>
    <w:rsid w:val="00E0529F"/>
    <w:rsid w:val="00E060F2"/>
    <w:rsid w:val="00E0673F"/>
    <w:rsid w:val="00E067F7"/>
    <w:rsid w:val="00E0685B"/>
    <w:rsid w:val="00E069C9"/>
    <w:rsid w:val="00E06D36"/>
    <w:rsid w:val="00E07167"/>
    <w:rsid w:val="00E107C6"/>
    <w:rsid w:val="00E11384"/>
    <w:rsid w:val="00E114B5"/>
    <w:rsid w:val="00E11CD4"/>
    <w:rsid w:val="00E11D0B"/>
    <w:rsid w:val="00E1229F"/>
    <w:rsid w:val="00E12827"/>
    <w:rsid w:val="00E1328C"/>
    <w:rsid w:val="00E13662"/>
    <w:rsid w:val="00E13B96"/>
    <w:rsid w:val="00E14C8C"/>
    <w:rsid w:val="00E15CA5"/>
    <w:rsid w:val="00E16178"/>
    <w:rsid w:val="00E162B9"/>
    <w:rsid w:val="00E168F3"/>
    <w:rsid w:val="00E16A35"/>
    <w:rsid w:val="00E16CEC"/>
    <w:rsid w:val="00E16D0E"/>
    <w:rsid w:val="00E1705A"/>
    <w:rsid w:val="00E1710F"/>
    <w:rsid w:val="00E17500"/>
    <w:rsid w:val="00E1795F"/>
    <w:rsid w:val="00E204DD"/>
    <w:rsid w:val="00E21370"/>
    <w:rsid w:val="00E21A00"/>
    <w:rsid w:val="00E21D84"/>
    <w:rsid w:val="00E2240D"/>
    <w:rsid w:val="00E22552"/>
    <w:rsid w:val="00E228A5"/>
    <w:rsid w:val="00E228C2"/>
    <w:rsid w:val="00E2329C"/>
    <w:rsid w:val="00E2396F"/>
    <w:rsid w:val="00E23A5F"/>
    <w:rsid w:val="00E240F6"/>
    <w:rsid w:val="00E2492F"/>
    <w:rsid w:val="00E24E01"/>
    <w:rsid w:val="00E253C5"/>
    <w:rsid w:val="00E255D2"/>
    <w:rsid w:val="00E25D90"/>
    <w:rsid w:val="00E25F45"/>
    <w:rsid w:val="00E26023"/>
    <w:rsid w:val="00E260F9"/>
    <w:rsid w:val="00E26A60"/>
    <w:rsid w:val="00E27242"/>
    <w:rsid w:val="00E2789B"/>
    <w:rsid w:val="00E30222"/>
    <w:rsid w:val="00E30413"/>
    <w:rsid w:val="00E310E1"/>
    <w:rsid w:val="00E3128D"/>
    <w:rsid w:val="00E32062"/>
    <w:rsid w:val="00E32236"/>
    <w:rsid w:val="00E32AA7"/>
    <w:rsid w:val="00E32BC4"/>
    <w:rsid w:val="00E32C9A"/>
    <w:rsid w:val="00E32F49"/>
    <w:rsid w:val="00E33E34"/>
    <w:rsid w:val="00E3411C"/>
    <w:rsid w:val="00E34EFD"/>
    <w:rsid w:val="00E354DC"/>
    <w:rsid w:val="00E359ED"/>
    <w:rsid w:val="00E366D7"/>
    <w:rsid w:val="00E36A40"/>
    <w:rsid w:val="00E37464"/>
    <w:rsid w:val="00E37A7F"/>
    <w:rsid w:val="00E37CF7"/>
    <w:rsid w:val="00E37FB2"/>
    <w:rsid w:val="00E408FC"/>
    <w:rsid w:val="00E40D26"/>
    <w:rsid w:val="00E40EF2"/>
    <w:rsid w:val="00E42ECB"/>
    <w:rsid w:val="00E43440"/>
    <w:rsid w:val="00E44273"/>
    <w:rsid w:val="00E44E13"/>
    <w:rsid w:val="00E4501B"/>
    <w:rsid w:val="00E4517A"/>
    <w:rsid w:val="00E45B7B"/>
    <w:rsid w:val="00E464D6"/>
    <w:rsid w:val="00E47479"/>
    <w:rsid w:val="00E4749D"/>
    <w:rsid w:val="00E4755F"/>
    <w:rsid w:val="00E47C69"/>
    <w:rsid w:val="00E47EEC"/>
    <w:rsid w:val="00E5028D"/>
    <w:rsid w:val="00E510D8"/>
    <w:rsid w:val="00E513C4"/>
    <w:rsid w:val="00E51805"/>
    <w:rsid w:val="00E51916"/>
    <w:rsid w:val="00E51C64"/>
    <w:rsid w:val="00E52871"/>
    <w:rsid w:val="00E52A21"/>
    <w:rsid w:val="00E54709"/>
    <w:rsid w:val="00E55626"/>
    <w:rsid w:val="00E55EED"/>
    <w:rsid w:val="00E560AD"/>
    <w:rsid w:val="00E563D1"/>
    <w:rsid w:val="00E5647B"/>
    <w:rsid w:val="00E56D5F"/>
    <w:rsid w:val="00E56F15"/>
    <w:rsid w:val="00E570A8"/>
    <w:rsid w:val="00E578BF"/>
    <w:rsid w:val="00E57A96"/>
    <w:rsid w:val="00E57CE0"/>
    <w:rsid w:val="00E6023F"/>
    <w:rsid w:val="00E6047A"/>
    <w:rsid w:val="00E6049C"/>
    <w:rsid w:val="00E605FC"/>
    <w:rsid w:val="00E60C66"/>
    <w:rsid w:val="00E60D15"/>
    <w:rsid w:val="00E61A2A"/>
    <w:rsid w:val="00E62695"/>
    <w:rsid w:val="00E6277F"/>
    <w:rsid w:val="00E62FCC"/>
    <w:rsid w:val="00E6340F"/>
    <w:rsid w:val="00E6371C"/>
    <w:rsid w:val="00E639E4"/>
    <w:rsid w:val="00E63FCF"/>
    <w:rsid w:val="00E64B17"/>
    <w:rsid w:val="00E64FBE"/>
    <w:rsid w:val="00E65AB9"/>
    <w:rsid w:val="00E65E6B"/>
    <w:rsid w:val="00E6619D"/>
    <w:rsid w:val="00E661DC"/>
    <w:rsid w:val="00E667BD"/>
    <w:rsid w:val="00E667CC"/>
    <w:rsid w:val="00E66A3A"/>
    <w:rsid w:val="00E70902"/>
    <w:rsid w:val="00E70B57"/>
    <w:rsid w:val="00E70CC2"/>
    <w:rsid w:val="00E71857"/>
    <w:rsid w:val="00E719E1"/>
    <w:rsid w:val="00E72068"/>
    <w:rsid w:val="00E72C6F"/>
    <w:rsid w:val="00E72E38"/>
    <w:rsid w:val="00E73B0E"/>
    <w:rsid w:val="00E73C1A"/>
    <w:rsid w:val="00E742FC"/>
    <w:rsid w:val="00E74348"/>
    <w:rsid w:val="00E74A6D"/>
    <w:rsid w:val="00E74D43"/>
    <w:rsid w:val="00E7532B"/>
    <w:rsid w:val="00E75D55"/>
    <w:rsid w:val="00E75E20"/>
    <w:rsid w:val="00E7636B"/>
    <w:rsid w:val="00E767F0"/>
    <w:rsid w:val="00E769FC"/>
    <w:rsid w:val="00E77A0C"/>
    <w:rsid w:val="00E80CB8"/>
    <w:rsid w:val="00E80E30"/>
    <w:rsid w:val="00E81611"/>
    <w:rsid w:val="00E8168E"/>
    <w:rsid w:val="00E83037"/>
    <w:rsid w:val="00E83B4E"/>
    <w:rsid w:val="00E84384"/>
    <w:rsid w:val="00E85130"/>
    <w:rsid w:val="00E85771"/>
    <w:rsid w:val="00E8578F"/>
    <w:rsid w:val="00E85F2F"/>
    <w:rsid w:val="00E86A70"/>
    <w:rsid w:val="00E87881"/>
    <w:rsid w:val="00E90024"/>
    <w:rsid w:val="00E90482"/>
    <w:rsid w:val="00E90D5B"/>
    <w:rsid w:val="00E90EB2"/>
    <w:rsid w:val="00E93A4C"/>
    <w:rsid w:val="00E9522A"/>
    <w:rsid w:val="00E95298"/>
    <w:rsid w:val="00E95632"/>
    <w:rsid w:val="00E95945"/>
    <w:rsid w:val="00E95C8C"/>
    <w:rsid w:val="00E9615A"/>
    <w:rsid w:val="00E96318"/>
    <w:rsid w:val="00E96B8A"/>
    <w:rsid w:val="00E97757"/>
    <w:rsid w:val="00E978D2"/>
    <w:rsid w:val="00E97C30"/>
    <w:rsid w:val="00EA0200"/>
    <w:rsid w:val="00EA05F6"/>
    <w:rsid w:val="00EA12A0"/>
    <w:rsid w:val="00EA231B"/>
    <w:rsid w:val="00EA247A"/>
    <w:rsid w:val="00EA3F11"/>
    <w:rsid w:val="00EA520F"/>
    <w:rsid w:val="00EA5533"/>
    <w:rsid w:val="00EA5F6D"/>
    <w:rsid w:val="00EA5FBC"/>
    <w:rsid w:val="00EA6037"/>
    <w:rsid w:val="00EA61AB"/>
    <w:rsid w:val="00EA6852"/>
    <w:rsid w:val="00EA6D77"/>
    <w:rsid w:val="00EA7221"/>
    <w:rsid w:val="00EA78E6"/>
    <w:rsid w:val="00EB1648"/>
    <w:rsid w:val="00EB1AAF"/>
    <w:rsid w:val="00EB302E"/>
    <w:rsid w:val="00EB30C9"/>
    <w:rsid w:val="00EB330D"/>
    <w:rsid w:val="00EB33F2"/>
    <w:rsid w:val="00EB3A9A"/>
    <w:rsid w:val="00EB3DD8"/>
    <w:rsid w:val="00EB3E7E"/>
    <w:rsid w:val="00EB48D8"/>
    <w:rsid w:val="00EB5592"/>
    <w:rsid w:val="00EB7842"/>
    <w:rsid w:val="00EC0849"/>
    <w:rsid w:val="00EC088B"/>
    <w:rsid w:val="00EC10E8"/>
    <w:rsid w:val="00EC186B"/>
    <w:rsid w:val="00EC198B"/>
    <w:rsid w:val="00EC1F32"/>
    <w:rsid w:val="00EC1F83"/>
    <w:rsid w:val="00EC3428"/>
    <w:rsid w:val="00EC3453"/>
    <w:rsid w:val="00EC3A2B"/>
    <w:rsid w:val="00EC4B3D"/>
    <w:rsid w:val="00EC568E"/>
    <w:rsid w:val="00EC5B63"/>
    <w:rsid w:val="00EC6507"/>
    <w:rsid w:val="00EC6559"/>
    <w:rsid w:val="00EC6EA5"/>
    <w:rsid w:val="00ED0624"/>
    <w:rsid w:val="00ED0674"/>
    <w:rsid w:val="00ED06BA"/>
    <w:rsid w:val="00ED118E"/>
    <w:rsid w:val="00ED1390"/>
    <w:rsid w:val="00ED18BC"/>
    <w:rsid w:val="00ED264F"/>
    <w:rsid w:val="00ED2B3D"/>
    <w:rsid w:val="00ED3638"/>
    <w:rsid w:val="00ED3B3D"/>
    <w:rsid w:val="00ED3C7A"/>
    <w:rsid w:val="00ED4022"/>
    <w:rsid w:val="00ED52C2"/>
    <w:rsid w:val="00ED5C30"/>
    <w:rsid w:val="00ED5EC2"/>
    <w:rsid w:val="00ED5FA6"/>
    <w:rsid w:val="00ED681D"/>
    <w:rsid w:val="00ED69B6"/>
    <w:rsid w:val="00ED6A36"/>
    <w:rsid w:val="00ED6D6E"/>
    <w:rsid w:val="00EE01D2"/>
    <w:rsid w:val="00EE034B"/>
    <w:rsid w:val="00EE120B"/>
    <w:rsid w:val="00EE1D6E"/>
    <w:rsid w:val="00EE1FF9"/>
    <w:rsid w:val="00EE322F"/>
    <w:rsid w:val="00EE3889"/>
    <w:rsid w:val="00EE5757"/>
    <w:rsid w:val="00EE5C50"/>
    <w:rsid w:val="00EE6BC9"/>
    <w:rsid w:val="00EE6BDB"/>
    <w:rsid w:val="00EE7142"/>
    <w:rsid w:val="00EE7173"/>
    <w:rsid w:val="00EF033E"/>
    <w:rsid w:val="00EF110F"/>
    <w:rsid w:val="00EF1C85"/>
    <w:rsid w:val="00EF1DFC"/>
    <w:rsid w:val="00EF293C"/>
    <w:rsid w:val="00EF34B0"/>
    <w:rsid w:val="00EF3624"/>
    <w:rsid w:val="00EF3A7C"/>
    <w:rsid w:val="00EF43AC"/>
    <w:rsid w:val="00EF450D"/>
    <w:rsid w:val="00EF4F50"/>
    <w:rsid w:val="00EF5A03"/>
    <w:rsid w:val="00EF69DA"/>
    <w:rsid w:val="00EF6D5B"/>
    <w:rsid w:val="00EF71D7"/>
    <w:rsid w:val="00EF71FD"/>
    <w:rsid w:val="00EF727B"/>
    <w:rsid w:val="00EF7767"/>
    <w:rsid w:val="00EF7815"/>
    <w:rsid w:val="00EF7861"/>
    <w:rsid w:val="00EF788E"/>
    <w:rsid w:val="00EF7D27"/>
    <w:rsid w:val="00F002E6"/>
    <w:rsid w:val="00F006EA"/>
    <w:rsid w:val="00F00847"/>
    <w:rsid w:val="00F01249"/>
    <w:rsid w:val="00F01887"/>
    <w:rsid w:val="00F01A10"/>
    <w:rsid w:val="00F01F72"/>
    <w:rsid w:val="00F020EC"/>
    <w:rsid w:val="00F0227C"/>
    <w:rsid w:val="00F02839"/>
    <w:rsid w:val="00F03F62"/>
    <w:rsid w:val="00F04091"/>
    <w:rsid w:val="00F045A0"/>
    <w:rsid w:val="00F04996"/>
    <w:rsid w:val="00F04BD2"/>
    <w:rsid w:val="00F05BB2"/>
    <w:rsid w:val="00F05C13"/>
    <w:rsid w:val="00F05D7A"/>
    <w:rsid w:val="00F05DCA"/>
    <w:rsid w:val="00F06C78"/>
    <w:rsid w:val="00F06D55"/>
    <w:rsid w:val="00F07436"/>
    <w:rsid w:val="00F104A2"/>
    <w:rsid w:val="00F10D47"/>
    <w:rsid w:val="00F11487"/>
    <w:rsid w:val="00F117D9"/>
    <w:rsid w:val="00F12A97"/>
    <w:rsid w:val="00F12DF8"/>
    <w:rsid w:val="00F13F2E"/>
    <w:rsid w:val="00F14345"/>
    <w:rsid w:val="00F14377"/>
    <w:rsid w:val="00F149B5"/>
    <w:rsid w:val="00F15658"/>
    <w:rsid w:val="00F16536"/>
    <w:rsid w:val="00F175FE"/>
    <w:rsid w:val="00F17E19"/>
    <w:rsid w:val="00F20898"/>
    <w:rsid w:val="00F21202"/>
    <w:rsid w:val="00F224C4"/>
    <w:rsid w:val="00F2342D"/>
    <w:rsid w:val="00F23826"/>
    <w:rsid w:val="00F24E6D"/>
    <w:rsid w:val="00F25334"/>
    <w:rsid w:val="00F2563E"/>
    <w:rsid w:val="00F25755"/>
    <w:rsid w:val="00F25893"/>
    <w:rsid w:val="00F25AD4"/>
    <w:rsid w:val="00F2634D"/>
    <w:rsid w:val="00F265BF"/>
    <w:rsid w:val="00F26ECE"/>
    <w:rsid w:val="00F275A5"/>
    <w:rsid w:val="00F275C2"/>
    <w:rsid w:val="00F27794"/>
    <w:rsid w:val="00F30660"/>
    <w:rsid w:val="00F30902"/>
    <w:rsid w:val="00F30A55"/>
    <w:rsid w:val="00F316EF"/>
    <w:rsid w:val="00F31B48"/>
    <w:rsid w:val="00F32036"/>
    <w:rsid w:val="00F32979"/>
    <w:rsid w:val="00F3399B"/>
    <w:rsid w:val="00F33BDE"/>
    <w:rsid w:val="00F34511"/>
    <w:rsid w:val="00F362C1"/>
    <w:rsid w:val="00F36480"/>
    <w:rsid w:val="00F36A44"/>
    <w:rsid w:val="00F402C3"/>
    <w:rsid w:val="00F40480"/>
    <w:rsid w:val="00F40680"/>
    <w:rsid w:val="00F40974"/>
    <w:rsid w:val="00F40A07"/>
    <w:rsid w:val="00F4110B"/>
    <w:rsid w:val="00F41A30"/>
    <w:rsid w:val="00F43253"/>
    <w:rsid w:val="00F441E5"/>
    <w:rsid w:val="00F44E1C"/>
    <w:rsid w:val="00F45F66"/>
    <w:rsid w:val="00F45FD0"/>
    <w:rsid w:val="00F47161"/>
    <w:rsid w:val="00F4732B"/>
    <w:rsid w:val="00F47EDA"/>
    <w:rsid w:val="00F47F44"/>
    <w:rsid w:val="00F503A5"/>
    <w:rsid w:val="00F50400"/>
    <w:rsid w:val="00F5076C"/>
    <w:rsid w:val="00F50B58"/>
    <w:rsid w:val="00F5170D"/>
    <w:rsid w:val="00F51F26"/>
    <w:rsid w:val="00F526F1"/>
    <w:rsid w:val="00F52BA8"/>
    <w:rsid w:val="00F5373D"/>
    <w:rsid w:val="00F537B5"/>
    <w:rsid w:val="00F53AEE"/>
    <w:rsid w:val="00F5412B"/>
    <w:rsid w:val="00F5418B"/>
    <w:rsid w:val="00F5420C"/>
    <w:rsid w:val="00F54222"/>
    <w:rsid w:val="00F54FF9"/>
    <w:rsid w:val="00F552DE"/>
    <w:rsid w:val="00F553A5"/>
    <w:rsid w:val="00F5555A"/>
    <w:rsid w:val="00F556F3"/>
    <w:rsid w:val="00F558E1"/>
    <w:rsid w:val="00F55903"/>
    <w:rsid w:val="00F55F68"/>
    <w:rsid w:val="00F5609C"/>
    <w:rsid w:val="00F5624A"/>
    <w:rsid w:val="00F56C32"/>
    <w:rsid w:val="00F572F5"/>
    <w:rsid w:val="00F5785D"/>
    <w:rsid w:val="00F60EC6"/>
    <w:rsid w:val="00F61207"/>
    <w:rsid w:val="00F6126C"/>
    <w:rsid w:val="00F6144C"/>
    <w:rsid w:val="00F62A21"/>
    <w:rsid w:val="00F633DC"/>
    <w:rsid w:val="00F64122"/>
    <w:rsid w:val="00F64A3C"/>
    <w:rsid w:val="00F64B6E"/>
    <w:rsid w:val="00F6567F"/>
    <w:rsid w:val="00F65F4A"/>
    <w:rsid w:val="00F6634C"/>
    <w:rsid w:val="00F66CFA"/>
    <w:rsid w:val="00F673A1"/>
    <w:rsid w:val="00F67472"/>
    <w:rsid w:val="00F70264"/>
    <w:rsid w:val="00F7090B"/>
    <w:rsid w:val="00F71890"/>
    <w:rsid w:val="00F720F0"/>
    <w:rsid w:val="00F720F1"/>
    <w:rsid w:val="00F726DC"/>
    <w:rsid w:val="00F7372B"/>
    <w:rsid w:val="00F73915"/>
    <w:rsid w:val="00F73D51"/>
    <w:rsid w:val="00F74A3E"/>
    <w:rsid w:val="00F750F0"/>
    <w:rsid w:val="00F756D8"/>
    <w:rsid w:val="00F75DD8"/>
    <w:rsid w:val="00F7604D"/>
    <w:rsid w:val="00F761EE"/>
    <w:rsid w:val="00F76296"/>
    <w:rsid w:val="00F764E0"/>
    <w:rsid w:val="00F765B2"/>
    <w:rsid w:val="00F76881"/>
    <w:rsid w:val="00F76A9A"/>
    <w:rsid w:val="00F770DC"/>
    <w:rsid w:val="00F80228"/>
    <w:rsid w:val="00F80327"/>
    <w:rsid w:val="00F807A4"/>
    <w:rsid w:val="00F8091B"/>
    <w:rsid w:val="00F81CF4"/>
    <w:rsid w:val="00F81D4B"/>
    <w:rsid w:val="00F82494"/>
    <w:rsid w:val="00F8286A"/>
    <w:rsid w:val="00F8286E"/>
    <w:rsid w:val="00F829B6"/>
    <w:rsid w:val="00F84B42"/>
    <w:rsid w:val="00F84BE6"/>
    <w:rsid w:val="00F8596E"/>
    <w:rsid w:val="00F8598D"/>
    <w:rsid w:val="00F85E1D"/>
    <w:rsid w:val="00F85EC5"/>
    <w:rsid w:val="00F86516"/>
    <w:rsid w:val="00F867F6"/>
    <w:rsid w:val="00F86A3F"/>
    <w:rsid w:val="00F86C99"/>
    <w:rsid w:val="00F86D80"/>
    <w:rsid w:val="00F86DAB"/>
    <w:rsid w:val="00F87399"/>
    <w:rsid w:val="00F87EC8"/>
    <w:rsid w:val="00F87FCF"/>
    <w:rsid w:val="00F900A8"/>
    <w:rsid w:val="00F90255"/>
    <w:rsid w:val="00F90EAC"/>
    <w:rsid w:val="00F915BD"/>
    <w:rsid w:val="00F91793"/>
    <w:rsid w:val="00F91FCD"/>
    <w:rsid w:val="00F92E70"/>
    <w:rsid w:val="00F92F30"/>
    <w:rsid w:val="00F930A3"/>
    <w:rsid w:val="00F93204"/>
    <w:rsid w:val="00F935A8"/>
    <w:rsid w:val="00F93873"/>
    <w:rsid w:val="00F93E2F"/>
    <w:rsid w:val="00F94374"/>
    <w:rsid w:val="00F94731"/>
    <w:rsid w:val="00F94B79"/>
    <w:rsid w:val="00F9557C"/>
    <w:rsid w:val="00F95F69"/>
    <w:rsid w:val="00F96977"/>
    <w:rsid w:val="00F97045"/>
    <w:rsid w:val="00F97331"/>
    <w:rsid w:val="00F974B9"/>
    <w:rsid w:val="00F97A84"/>
    <w:rsid w:val="00F97BD0"/>
    <w:rsid w:val="00F97C7E"/>
    <w:rsid w:val="00F97D09"/>
    <w:rsid w:val="00FA00E6"/>
    <w:rsid w:val="00FA06F4"/>
    <w:rsid w:val="00FA086F"/>
    <w:rsid w:val="00FA0AAA"/>
    <w:rsid w:val="00FA0EA8"/>
    <w:rsid w:val="00FA1D38"/>
    <w:rsid w:val="00FA1E53"/>
    <w:rsid w:val="00FA2A6A"/>
    <w:rsid w:val="00FA2A72"/>
    <w:rsid w:val="00FA2D46"/>
    <w:rsid w:val="00FA301C"/>
    <w:rsid w:val="00FA337D"/>
    <w:rsid w:val="00FA4F5A"/>
    <w:rsid w:val="00FA5831"/>
    <w:rsid w:val="00FA5C01"/>
    <w:rsid w:val="00FA69F9"/>
    <w:rsid w:val="00FA7B4D"/>
    <w:rsid w:val="00FB0837"/>
    <w:rsid w:val="00FB0A05"/>
    <w:rsid w:val="00FB0EBA"/>
    <w:rsid w:val="00FB17FF"/>
    <w:rsid w:val="00FB1B4C"/>
    <w:rsid w:val="00FB21F6"/>
    <w:rsid w:val="00FB2362"/>
    <w:rsid w:val="00FB26AB"/>
    <w:rsid w:val="00FB2DDC"/>
    <w:rsid w:val="00FB3C75"/>
    <w:rsid w:val="00FB3F52"/>
    <w:rsid w:val="00FB496D"/>
    <w:rsid w:val="00FB5301"/>
    <w:rsid w:val="00FB5B4B"/>
    <w:rsid w:val="00FB5B9B"/>
    <w:rsid w:val="00FB66CB"/>
    <w:rsid w:val="00FB673C"/>
    <w:rsid w:val="00FB6B78"/>
    <w:rsid w:val="00FB6BD6"/>
    <w:rsid w:val="00FB6E0D"/>
    <w:rsid w:val="00FB6EB8"/>
    <w:rsid w:val="00FB7700"/>
    <w:rsid w:val="00FB7C7C"/>
    <w:rsid w:val="00FC0511"/>
    <w:rsid w:val="00FC0669"/>
    <w:rsid w:val="00FC0E33"/>
    <w:rsid w:val="00FC0EC9"/>
    <w:rsid w:val="00FC1415"/>
    <w:rsid w:val="00FC1496"/>
    <w:rsid w:val="00FC1C1A"/>
    <w:rsid w:val="00FC2422"/>
    <w:rsid w:val="00FC271D"/>
    <w:rsid w:val="00FC2817"/>
    <w:rsid w:val="00FC2907"/>
    <w:rsid w:val="00FC292B"/>
    <w:rsid w:val="00FC3164"/>
    <w:rsid w:val="00FC3261"/>
    <w:rsid w:val="00FC34CF"/>
    <w:rsid w:val="00FC3B4D"/>
    <w:rsid w:val="00FC3B5E"/>
    <w:rsid w:val="00FC410F"/>
    <w:rsid w:val="00FC431F"/>
    <w:rsid w:val="00FC4A1C"/>
    <w:rsid w:val="00FC4E90"/>
    <w:rsid w:val="00FC4F6F"/>
    <w:rsid w:val="00FC63F0"/>
    <w:rsid w:val="00FC6635"/>
    <w:rsid w:val="00FC67BF"/>
    <w:rsid w:val="00FC6ECB"/>
    <w:rsid w:val="00FC7B62"/>
    <w:rsid w:val="00FD018C"/>
    <w:rsid w:val="00FD060C"/>
    <w:rsid w:val="00FD069B"/>
    <w:rsid w:val="00FD0861"/>
    <w:rsid w:val="00FD0C66"/>
    <w:rsid w:val="00FD0F8C"/>
    <w:rsid w:val="00FD1809"/>
    <w:rsid w:val="00FD288B"/>
    <w:rsid w:val="00FD2BB8"/>
    <w:rsid w:val="00FD3ACA"/>
    <w:rsid w:val="00FD3DE0"/>
    <w:rsid w:val="00FD4101"/>
    <w:rsid w:val="00FD4176"/>
    <w:rsid w:val="00FD434C"/>
    <w:rsid w:val="00FD44A4"/>
    <w:rsid w:val="00FD461C"/>
    <w:rsid w:val="00FD47D1"/>
    <w:rsid w:val="00FD483F"/>
    <w:rsid w:val="00FD4D0B"/>
    <w:rsid w:val="00FD5161"/>
    <w:rsid w:val="00FD6B95"/>
    <w:rsid w:val="00FD6F32"/>
    <w:rsid w:val="00FD79E4"/>
    <w:rsid w:val="00FD7C7B"/>
    <w:rsid w:val="00FE0531"/>
    <w:rsid w:val="00FE0CF5"/>
    <w:rsid w:val="00FE0E65"/>
    <w:rsid w:val="00FE1544"/>
    <w:rsid w:val="00FE1FC0"/>
    <w:rsid w:val="00FE218F"/>
    <w:rsid w:val="00FE223B"/>
    <w:rsid w:val="00FE26DE"/>
    <w:rsid w:val="00FE3337"/>
    <w:rsid w:val="00FE333B"/>
    <w:rsid w:val="00FE3804"/>
    <w:rsid w:val="00FE3AEF"/>
    <w:rsid w:val="00FE3B56"/>
    <w:rsid w:val="00FE3BE2"/>
    <w:rsid w:val="00FE4A63"/>
    <w:rsid w:val="00FE4ECE"/>
    <w:rsid w:val="00FE5010"/>
    <w:rsid w:val="00FE51FD"/>
    <w:rsid w:val="00FE5A3F"/>
    <w:rsid w:val="00FE5C60"/>
    <w:rsid w:val="00FE5E89"/>
    <w:rsid w:val="00FE5F7B"/>
    <w:rsid w:val="00FE691C"/>
    <w:rsid w:val="00FE6C95"/>
    <w:rsid w:val="00FE7201"/>
    <w:rsid w:val="00FE73A5"/>
    <w:rsid w:val="00FE75F6"/>
    <w:rsid w:val="00FE765E"/>
    <w:rsid w:val="00FF02D0"/>
    <w:rsid w:val="00FF0447"/>
    <w:rsid w:val="00FF05E8"/>
    <w:rsid w:val="00FF0746"/>
    <w:rsid w:val="00FF0817"/>
    <w:rsid w:val="00FF1A01"/>
    <w:rsid w:val="00FF218A"/>
    <w:rsid w:val="00FF24A4"/>
    <w:rsid w:val="00FF3A5C"/>
    <w:rsid w:val="00FF3C14"/>
    <w:rsid w:val="00FF3E79"/>
    <w:rsid w:val="00FF4B7B"/>
    <w:rsid w:val="00FF4E64"/>
    <w:rsid w:val="00FF51F0"/>
    <w:rsid w:val="00FF57EF"/>
    <w:rsid w:val="00FF5A21"/>
    <w:rsid w:val="00FF5D4C"/>
    <w:rsid w:val="00FF63B5"/>
    <w:rsid w:val="00FF65EA"/>
    <w:rsid w:val="00FF6A6A"/>
    <w:rsid w:val="00FF7168"/>
    <w:rsid w:val="00FF7435"/>
    <w:rsid w:val="00FF7C51"/>
    <w:rsid w:val="00FF7C7A"/>
    <w:rsid w:val="0101C353"/>
    <w:rsid w:val="010C6288"/>
    <w:rsid w:val="010CAA0D"/>
    <w:rsid w:val="016D74BF"/>
    <w:rsid w:val="016DCE0F"/>
    <w:rsid w:val="01B7985D"/>
    <w:rsid w:val="0203D65D"/>
    <w:rsid w:val="02685F86"/>
    <w:rsid w:val="026E5FFA"/>
    <w:rsid w:val="02972BC3"/>
    <w:rsid w:val="02A89118"/>
    <w:rsid w:val="02B606F8"/>
    <w:rsid w:val="037DBB92"/>
    <w:rsid w:val="038ADB1B"/>
    <w:rsid w:val="03DBAF0C"/>
    <w:rsid w:val="03F26A05"/>
    <w:rsid w:val="0457AC70"/>
    <w:rsid w:val="0481A6B6"/>
    <w:rsid w:val="0492CC37"/>
    <w:rsid w:val="04C06E4B"/>
    <w:rsid w:val="04F53144"/>
    <w:rsid w:val="04FC3B79"/>
    <w:rsid w:val="0517EC65"/>
    <w:rsid w:val="0522A12F"/>
    <w:rsid w:val="0533EE88"/>
    <w:rsid w:val="05855946"/>
    <w:rsid w:val="0596A139"/>
    <w:rsid w:val="05A086D7"/>
    <w:rsid w:val="061EF6CD"/>
    <w:rsid w:val="0665C32D"/>
    <w:rsid w:val="068F6A36"/>
    <w:rsid w:val="069AA060"/>
    <w:rsid w:val="06B90608"/>
    <w:rsid w:val="06CD91BC"/>
    <w:rsid w:val="06EFB5E3"/>
    <w:rsid w:val="0710EAEF"/>
    <w:rsid w:val="074A5628"/>
    <w:rsid w:val="0761F1B6"/>
    <w:rsid w:val="07894038"/>
    <w:rsid w:val="080B5541"/>
    <w:rsid w:val="085AC8CA"/>
    <w:rsid w:val="086009AC"/>
    <w:rsid w:val="08BD8863"/>
    <w:rsid w:val="093F2CED"/>
    <w:rsid w:val="094D5FF8"/>
    <w:rsid w:val="09706B45"/>
    <w:rsid w:val="097FA7D4"/>
    <w:rsid w:val="0994C57D"/>
    <w:rsid w:val="09B8B307"/>
    <w:rsid w:val="09C5AE3F"/>
    <w:rsid w:val="09D1CF44"/>
    <w:rsid w:val="09F936DA"/>
    <w:rsid w:val="0A3445F6"/>
    <w:rsid w:val="0A7D3AB3"/>
    <w:rsid w:val="0A8F7D3C"/>
    <w:rsid w:val="0ABACEEB"/>
    <w:rsid w:val="0AF88D48"/>
    <w:rsid w:val="0B1B864D"/>
    <w:rsid w:val="0B3B7FB3"/>
    <w:rsid w:val="0B4A05DE"/>
    <w:rsid w:val="0B9EB363"/>
    <w:rsid w:val="0BB081C0"/>
    <w:rsid w:val="0C364B01"/>
    <w:rsid w:val="0C88EF5D"/>
    <w:rsid w:val="0C922411"/>
    <w:rsid w:val="0C92970D"/>
    <w:rsid w:val="0C93FDC2"/>
    <w:rsid w:val="0CAE6F93"/>
    <w:rsid w:val="0CE31D32"/>
    <w:rsid w:val="0CE9912F"/>
    <w:rsid w:val="0D0361B2"/>
    <w:rsid w:val="0D429ED9"/>
    <w:rsid w:val="0DA446E7"/>
    <w:rsid w:val="0DFB220D"/>
    <w:rsid w:val="0E39D125"/>
    <w:rsid w:val="0E5A75A9"/>
    <w:rsid w:val="0EE27F40"/>
    <w:rsid w:val="0F2EDE89"/>
    <w:rsid w:val="0F69E235"/>
    <w:rsid w:val="0FFC8E47"/>
    <w:rsid w:val="1000A6CA"/>
    <w:rsid w:val="10245714"/>
    <w:rsid w:val="10CAB8E8"/>
    <w:rsid w:val="1133E4D3"/>
    <w:rsid w:val="11574BAC"/>
    <w:rsid w:val="116601C1"/>
    <w:rsid w:val="11763C96"/>
    <w:rsid w:val="11D3C550"/>
    <w:rsid w:val="11FB9AD0"/>
    <w:rsid w:val="1244E781"/>
    <w:rsid w:val="126EBF26"/>
    <w:rsid w:val="12ADE70D"/>
    <w:rsid w:val="12EA91E4"/>
    <w:rsid w:val="12F98CBE"/>
    <w:rsid w:val="132AE9C0"/>
    <w:rsid w:val="1333E895"/>
    <w:rsid w:val="13D4367E"/>
    <w:rsid w:val="140235EA"/>
    <w:rsid w:val="1415C8A3"/>
    <w:rsid w:val="145F534C"/>
    <w:rsid w:val="155B5364"/>
    <w:rsid w:val="157E0FF0"/>
    <w:rsid w:val="15C03451"/>
    <w:rsid w:val="15DE2B3E"/>
    <w:rsid w:val="15F03549"/>
    <w:rsid w:val="160205FE"/>
    <w:rsid w:val="160D25DF"/>
    <w:rsid w:val="168CA54C"/>
    <w:rsid w:val="16BDD37A"/>
    <w:rsid w:val="1718B2B3"/>
    <w:rsid w:val="174583F5"/>
    <w:rsid w:val="174A8A98"/>
    <w:rsid w:val="174F53D4"/>
    <w:rsid w:val="17580DCF"/>
    <w:rsid w:val="1760FC3B"/>
    <w:rsid w:val="1765FC69"/>
    <w:rsid w:val="17730BB9"/>
    <w:rsid w:val="17857C25"/>
    <w:rsid w:val="17EA8A89"/>
    <w:rsid w:val="17F6F9D0"/>
    <w:rsid w:val="182179BB"/>
    <w:rsid w:val="187D3C4B"/>
    <w:rsid w:val="18BAB84A"/>
    <w:rsid w:val="18D72479"/>
    <w:rsid w:val="18E37D50"/>
    <w:rsid w:val="1926D329"/>
    <w:rsid w:val="196140D0"/>
    <w:rsid w:val="19AAD0D0"/>
    <w:rsid w:val="19ABE807"/>
    <w:rsid w:val="19B25F36"/>
    <w:rsid w:val="19C417E3"/>
    <w:rsid w:val="19D66D90"/>
    <w:rsid w:val="19D6DAED"/>
    <w:rsid w:val="19DC24B3"/>
    <w:rsid w:val="19FFCCD9"/>
    <w:rsid w:val="1A22474C"/>
    <w:rsid w:val="1A2AEB29"/>
    <w:rsid w:val="1A68E308"/>
    <w:rsid w:val="1AB09CD5"/>
    <w:rsid w:val="1B050AC3"/>
    <w:rsid w:val="1B35C6EB"/>
    <w:rsid w:val="1B6EFD82"/>
    <w:rsid w:val="1B79726E"/>
    <w:rsid w:val="1B99E6CA"/>
    <w:rsid w:val="1BB8D0AB"/>
    <w:rsid w:val="1C7DF820"/>
    <w:rsid w:val="1C828D80"/>
    <w:rsid w:val="1C952EF8"/>
    <w:rsid w:val="1CB546EE"/>
    <w:rsid w:val="1CBF12F6"/>
    <w:rsid w:val="1CC00B69"/>
    <w:rsid w:val="1CCEC2A8"/>
    <w:rsid w:val="1CD3357B"/>
    <w:rsid w:val="1CE7FDB0"/>
    <w:rsid w:val="1D2012E3"/>
    <w:rsid w:val="1D8B144B"/>
    <w:rsid w:val="1DA64546"/>
    <w:rsid w:val="1DA8C227"/>
    <w:rsid w:val="1DF655DC"/>
    <w:rsid w:val="1E1AC41A"/>
    <w:rsid w:val="1E4AD583"/>
    <w:rsid w:val="1E837C77"/>
    <w:rsid w:val="1EA1CA03"/>
    <w:rsid w:val="1EB74D38"/>
    <w:rsid w:val="1EC290F0"/>
    <w:rsid w:val="1ECB0615"/>
    <w:rsid w:val="1F3533D5"/>
    <w:rsid w:val="1F6BB179"/>
    <w:rsid w:val="1FE03E4C"/>
    <w:rsid w:val="2011DCFE"/>
    <w:rsid w:val="205F6125"/>
    <w:rsid w:val="20641ADE"/>
    <w:rsid w:val="206F5780"/>
    <w:rsid w:val="20EFB44C"/>
    <w:rsid w:val="2107162F"/>
    <w:rsid w:val="210C9BF0"/>
    <w:rsid w:val="2153EF94"/>
    <w:rsid w:val="21659FC6"/>
    <w:rsid w:val="218C75DD"/>
    <w:rsid w:val="21AD78CF"/>
    <w:rsid w:val="21CBB0FD"/>
    <w:rsid w:val="21CFA06B"/>
    <w:rsid w:val="21D6EBFC"/>
    <w:rsid w:val="21DB77D1"/>
    <w:rsid w:val="220210BC"/>
    <w:rsid w:val="22049ACA"/>
    <w:rsid w:val="22444388"/>
    <w:rsid w:val="225F959D"/>
    <w:rsid w:val="22BD718B"/>
    <w:rsid w:val="22BD8D0C"/>
    <w:rsid w:val="22CFEB16"/>
    <w:rsid w:val="22E56E8C"/>
    <w:rsid w:val="22F2FA9A"/>
    <w:rsid w:val="22FEB9FC"/>
    <w:rsid w:val="23087D28"/>
    <w:rsid w:val="237D536D"/>
    <w:rsid w:val="23A7EF45"/>
    <w:rsid w:val="23C3D6A0"/>
    <w:rsid w:val="23EE7E46"/>
    <w:rsid w:val="242698D2"/>
    <w:rsid w:val="2493EC5F"/>
    <w:rsid w:val="24976C2A"/>
    <w:rsid w:val="24CD85BD"/>
    <w:rsid w:val="24CFBE27"/>
    <w:rsid w:val="24FF1852"/>
    <w:rsid w:val="255EA338"/>
    <w:rsid w:val="259169E5"/>
    <w:rsid w:val="25A26B37"/>
    <w:rsid w:val="25B476A8"/>
    <w:rsid w:val="25BC3595"/>
    <w:rsid w:val="25C6E4B6"/>
    <w:rsid w:val="25D85A6B"/>
    <w:rsid w:val="26581852"/>
    <w:rsid w:val="2686C90F"/>
    <w:rsid w:val="26DD2AC3"/>
    <w:rsid w:val="26E87D76"/>
    <w:rsid w:val="27616786"/>
    <w:rsid w:val="2827AC4A"/>
    <w:rsid w:val="285C026E"/>
    <w:rsid w:val="288CEFF8"/>
    <w:rsid w:val="28D806C5"/>
    <w:rsid w:val="28FAFFF4"/>
    <w:rsid w:val="2911C8C7"/>
    <w:rsid w:val="29185636"/>
    <w:rsid w:val="291C5B48"/>
    <w:rsid w:val="291E17B2"/>
    <w:rsid w:val="2A1D5B4F"/>
    <w:rsid w:val="2A2F93F2"/>
    <w:rsid w:val="2A36BD15"/>
    <w:rsid w:val="2A3D7F20"/>
    <w:rsid w:val="2A49F15F"/>
    <w:rsid w:val="2A5945C9"/>
    <w:rsid w:val="2A6BAE95"/>
    <w:rsid w:val="2A7D9C11"/>
    <w:rsid w:val="2A88FCF8"/>
    <w:rsid w:val="2AC49DA4"/>
    <w:rsid w:val="2AC5E376"/>
    <w:rsid w:val="2B9E43B9"/>
    <w:rsid w:val="2BA446D8"/>
    <w:rsid w:val="2BC83429"/>
    <w:rsid w:val="2BCDE4BC"/>
    <w:rsid w:val="2BF31081"/>
    <w:rsid w:val="2C2C0421"/>
    <w:rsid w:val="2C485298"/>
    <w:rsid w:val="2C678AC3"/>
    <w:rsid w:val="2C75B5BC"/>
    <w:rsid w:val="2C9B5AD2"/>
    <w:rsid w:val="2CBC398B"/>
    <w:rsid w:val="2CEBB25B"/>
    <w:rsid w:val="2CFD6076"/>
    <w:rsid w:val="2CFE0F08"/>
    <w:rsid w:val="2D0A2CA4"/>
    <w:rsid w:val="2D825248"/>
    <w:rsid w:val="2D9A1BF2"/>
    <w:rsid w:val="2DCC1EF4"/>
    <w:rsid w:val="2DD64786"/>
    <w:rsid w:val="2E19C0FA"/>
    <w:rsid w:val="2E43EE33"/>
    <w:rsid w:val="2E5D7810"/>
    <w:rsid w:val="2E99DF69"/>
    <w:rsid w:val="2EFCF4DC"/>
    <w:rsid w:val="2F083279"/>
    <w:rsid w:val="2F731059"/>
    <w:rsid w:val="2F89E3B6"/>
    <w:rsid w:val="2FB18EFB"/>
    <w:rsid w:val="2FC9C668"/>
    <w:rsid w:val="304A1890"/>
    <w:rsid w:val="3066154D"/>
    <w:rsid w:val="30858973"/>
    <w:rsid w:val="308AFC7A"/>
    <w:rsid w:val="30BE7A4B"/>
    <w:rsid w:val="30DE54B0"/>
    <w:rsid w:val="311F6C6D"/>
    <w:rsid w:val="312ECC54"/>
    <w:rsid w:val="313CA4F8"/>
    <w:rsid w:val="31603FAE"/>
    <w:rsid w:val="31D930DD"/>
    <w:rsid w:val="31ED8F3C"/>
    <w:rsid w:val="32163080"/>
    <w:rsid w:val="3251FA6A"/>
    <w:rsid w:val="32943AE9"/>
    <w:rsid w:val="331EA547"/>
    <w:rsid w:val="338C1E06"/>
    <w:rsid w:val="33D86734"/>
    <w:rsid w:val="33E84A23"/>
    <w:rsid w:val="33F32882"/>
    <w:rsid w:val="34039F78"/>
    <w:rsid w:val="3419774E"/>
    <w:rsid w:val="345634B8"/>
    <w:rsid w:val="3495AFF1"/>
    <w:rsid w:val="349E79B1"/>
    <w:rsid w:val="34AFBBA2"/>
    <w:rsid w:val="34C99A8F"/>
    <w:rsid w:val="34E7F41B"/>
    <w:rsid w:val="352D7299"/>
    <w:rsid w:val="35488DBC"/>
    <w:rsid w:val="356006A7"/>
    <w:rsid w:val="356E7EF7"/>
    <w:rsid w:val="357CF0D3"/>
    <w:rsid w:val="35838D0A"/>
    <w:rsid w:val="359BB79D"/>
    <w:rsid w:val="35B90772"/>
    <w:rsid w:val="35DF12A2"/>
    <w:rsid w:val="35E931ED"/>
    <w:rsid w:val="35EBF474"/>
    <w:rsid w:val="35F81A18"/>
    <w:rsid w:val="35FC23CC"/>
    <w:rsid w:val="35FE4343"/>
    <w:rsid w:val="36284A61"/>
    <w:rsid w:val="36416B20"/>
    <w:rsid w:val="36BDA883"/>
    <w:rsid w:val="36C31543"/>
    <w:rsid w:val="36DA3B0E"/>
    <w:rsid w:val="36EDCC62"/>
    <w:rsid w:val="3706DEAB"/>
    <w:rsid w:val="37098F0D"/>
    <w:rsid w:val="3713062C"/>
    <w:rsid w:val="378E84BD"/>
    <w:rsid w:val="3829F4D4"/>
    <w:rsid w:val="3882DCDB"/>
    <w:rsid w:val="38DB3B02"/>
    <w:rsid w:val="39135BD9"/>
    <w:rsid w:val="392B4FEB"/>
    <w:rsid w:val="39433A5B"/>
    <w:rsid w:val="39992A31"/>
    <w:rsid w:val="399D6B57"/>
    <w:rsid w:val="39DC670B"/>
    <w:rsid w:val="39F209B3"/>
    <w:rsid w:val="3A315BFE"/>
    <w:rsid w:val="3A3519AE"/>
    <w:rsid w:val="3A3AFFAE"/>
    <w:rsid w:val="3A4510F7"/>
    <w:rsid w:val="3A7E468A"/>
    <w:rsid w:val="3A8B537C"/>
    <w:rsid w:val="3A8BCE4E"/>
    <w:rsid w:val="3A9F1AF8"/>
    <w:rsid w:val="3AF5A105"/>
    <w:rsid w:val="3B697B84"/>
    <w:rsid w:val="3B903E85"/>
    <w:rsid w:val="3BA1AA82"/>
    <w:rsid w:val="3BF292BA"/>
    <w:rsid w:val="3C0ABA3F"/>
    <w:rsid w:val="3C53C722"/>
    <w:rsid w:val="3CF00AF8"/>
    <w:rsid w:val="3CFE9586"/>
    <w:rsid w:val="3D3C82CA"/>
    <w:rsid w:val="3D92A631"/>
    <w:rsid w:val="3DB10CFD"/>
    <w:rsid w:val="3DBE0B72"/>
    <w:rsid w:val="3E172F85"/>
    <w:rsid w:val="3E191024"/>
    <w:rsid w:val="3E453E81"/>
    <w:rsid w:val="3E51872E"/>
    <w:rsid w:val="3E51FE77"/>
    <w:rsid w:val="3E65C4E7"/>
    <w:rsid w:val="3E845E59"/>
    <w:rsid w:val="3EB08456"/>
    <w:rsid w:val="3ED422CE"/>
    <w:rsid w:val="3EEA6691"/>
    <w:rsid w:val="3EF44C55"/>
    <w:rsid w:val="3F06F09E"/>
    <w:rsid w:val="3FCF2CA7"/>
    <w:rsid w:val="403C3352"/>
    <w:rsid w:val="4049BBEB"/>
    <w:rsid w:val="40CDF068"/>
    <w:rsid w:val="40D415F1"/>
    <w:rsid w:val="40D8EB29"/>
    <w:rsid w:val="40DC53BC"/>
    <w:rsid w:val="41142C69"/>
    <w:rsid w:val="414E4C40"/>
    <w:rsid w:val="41577A13"/>
    <w:rsid w:val="415A8FE4"/>
    <w:rsid w:val="4182D18F"/>
    <w:rsid w:val="419645D8"/>
    <w:rsid w:val="41A5FB73"/>
    <w:rsid w:val="41C39852"/>
    <w:rsid w:val="4279D6AE"/>
    <w:rsid w:val="4295FE00"/>
    <w:rsid w:val="42DB5F40"/>
    <w:rsid w:val="43175629"/>
    <w:rsid w:val="4341983E"/>
    <w:rsid w:val="4398C881"/>
    <w:rsid w:val="43B81E46"/>
    <w:rsid w:val="43E0B4DC"/>
    <w:rsid w:val="43EF1A6B"/>
    <w:rsid w:val="43EFA80C"/>
    <w:rsid w:val="4409549C"/>
    <w:rsid w:val="44148F2B"/>
    <w:rsid w:val="441A5230"/>
    <w:rsid w:val="44736716"/>
    <w:rsid w:val="44BA7E4E"/>
    <w:rsid w:val="44DECC8A"/>
    <w:rsid w:val="45026FC8"/>
    <w:rsid w:val="4524404F"/>
    <w:rsid w:val="4527566A"/>
    <w:rsid w:val="454263DD"/>
    <w:rsid w:val="45ADA479"/>
    <w:rsid w:val="45E21C1B"/>
    <w:rsid w:val="461CA448"/>
    <w:rsid w:val="461D92E8"/>
    <w:rsid w:val="46396B65"/>
    <w:rsid w:val="466680D4"/>
    <w:rsid w:val="4666A525"/>
    <w:rsid w:val="4684273A"/>
    <w:rsid w:val="46A1BAE5"/>
    <w:rsid w:val="46BA2C4A"/>
    <w:rsid w:val="46EB102C"/>
    <w:rsid w:val="4701BC1A"/>
    <w:rsid w:val="47D58989"/>
    <w:rsid w:val="47E99FDB"/>
    <w:rsid w:val="481E068B"/>
    <w:rsid w:val="482B615E"/>
    <w:rsid w:val="48F66584"/>
    <w:rsid w:val="4905CC64"/>
    <w:rsid w:val="492F94AD"/>
    <w:rsid w:val="492F9B18"/>
    <w:rsid w:val="496193E9"/>
    <w:rsid w:val="49A9C92E"/>
    <w:rsid w:val="4A26A265"/>
    <w:rsid w:val="4A3569D0"/>
    <w:rsid w:val="4A3B551A"/>
    <w:rsid w:val="4A61CFDA"/>
    <w:rsid w:val="4A64895E"/>
    <w:rsid w:val="4A7FBD94"/>
    <w:rsid w:val="4AA1D24B"/>
    <w:rsid w:val="4ADE355A"/>
    <w:rsid w:val="4ADF9C2E"/>
    <w:rsid w:val="4B15CA11"/>
    <w:rsid w:val="4B478E35"/>
    <w:rsid w:val="4B689425"/>
    <w:rsid w:val="4C3F66F9"/>
    <w:rsid w:val="4C574131"/>
    <w:rsid w:val="4C809F42"/>
    <w:rsid w:val="4C9B30E2"/>
    <w:rsid w:val="4CB59D35"/>
    <w:rsid w:val="4CFA0016"/>
    <w:rsid w:val="4D796178"/>
    <w:rsid w:val="4D910483"/>
    <w:rsid w:val="4DBE5C14"/>
    <w:rsid w:val="4DBFCC8E"/>
    <w:rsid w:val="4E25C6F2"/>
    <w:rsid w:val="4E2DB37D"/>
    <w:rsid w:val="4E803E64"/>
    <w:rsid w:val="4E953595"/>
    <w:rsid w:val="4E9C59DE"/>
    <w:rsid w:val="4EBF7C90"/>
    <w:rsid w:val="4F00A9E5"/>
    <w:rsid w:val="4F620AFE"/>
    <w:rsid w:val="4F706B0D"/>
    <w:rsid w:val="4F770F6C"/>
    <w:rsid w:val="4FD53AA2"/>
    <w:rsid w:val="50693717"/>
    <w:rsid w:val="5081701E"/>
    <w:rsid w:val="50E899F7"/>
    <w:rsid w:val="513FD4E9"/>
    <w:rsid w:val="5149ACE8"/>
    <w:rsid w:val="51890E58"/>
    <w:rsid w:val="51B59F0A"/>
    <w:rsid w:val="51C4927B"/>
    <w:rsid w:val="51DE466E"/>
    <w:rsid w:val="52060C9A"/>
    <w:rsid w:val="5233FD38"/>
    <w:rsid w:val="5258EFF4"/>
    <w:rsid w:val="52CD615D"/>
    <w:rsid w:val="52EDE6F3"/>
    <w:rsid w:val="52F47F0F"/>
    <w:rsid w:val="5311D3EE"/>
    <w:rsid w:val="5350A363"/>
    <w:rsid w:val="53A65F80"/>
    <w:rsid w:val="53FB905C"/>
    <w:rsid w:val="53FDDBD0"/>
    <w:rsid w:val="545E2DCB"/>
    <w:rsid w:val="549BEFDF"/>
    <w:rsid w:val="54E0E539"/>
    <w:rsid w:val="54ED0328"/>
    <w:rsid w:val="5531B6E1"/>
    <w:rsid w:val="55522C7D"/>
    <w:rsid w:val="556312F3"/>
    <w:rsid w:val="558D085B"/>
    <w:rsid w:val="55A9473C"/>
    <w:rsid w:val="55EBB012"/>
    <w:rsid w:val="56061E4E"/>
    <w:rsid w:val="560CD087"/>
    <w:rsid w:val="569801D5"/>
    <w:rsid w:val="569A76B9"/>
    <w:rsid w:val="56BD30EC"/>
    <w:rsid w:val="56CA6CA3"/>
    <w:rsid w:val="5701604C"/>
    <w:rsid w:val="5713238A"/>
    <w:rsid w:val="571B0948"/>
    <w:rsid w:val="573BF746"/>
    <w:rsid w:val="57683C8B"/>
    <w:rsid w:val="577F76A3"/>
    <w:rsid w:val="57D82141"/>
    <w:rsid w:val="57F90B03"/>
    <w:rsid w:val="580748D0"/>
    <w:rsid w:val="5822888E"/>
    <w:rsid w:val="586EC83B"/>
    <w:rsid w:val="587351DE"/>
    <w:rsid w:val="59329422"/>
    <w:rsid w:val="596D0136"/>
    <w:rsid w:val="59BF5029"/>
    <w:rsid w:val="5A1402D5"/>
    <w:rsid w:val="5A44AA80"/>
    <w:rsid w:val="5A8227D5"/>
    <w:rsid w:val="5ACE256A"/>
    <w:rsid w:val="5B31C746"/>
    <w:rsid w:val="5B4047F0"/>
    <w:rsid w:val="5B641B60"/>
    <w:rsid w:val="5B8CA392"/>
    <w:rsid w:val="5BAC0F80"/>
    <w:rsid w:val="5BE0B97D"/>
    <w:rsid w:val="5C0FA573"/>
    <w:rsid w:val="5C5CAE00"/>
    <w:rsid w:val="5C659D01"/>
    <w:rsid w:val="5C829806"/>
    <w:rsid w:val="5D6CFB0C"/>
    <w:rsid w:val="5DDBB735"/>
    <w:rsid w:val="5DECBFE9"/>
    <w:rsid w:val="5DF1BF79"/>
    <w:rsid w:val="5E034BF1"/>
    <w:rsid w:val="5E41B91E"/>
    <w:rsid w:val="5E4543A0"/>
    <w:rsid w:val="5E7BFD82"/>
    <w:rsid w:val="5E8B87BA"/>
    <w:rsid w:val="5EDAE346"/>
    <w:rsid w:val="5EF532AA"/>
    <w:rsid w:val="5F040FA1"/>
    <w:rsid w:val="5F23502B"/>
    <w:rsid w:val="5F38C56C"/>
    <w:rsid w:val="5F56129F"/>
    <w:rsid w:val="5F635FC9"/>
    <w:rsid w:val="5FCB4841"/>
    <w:rsid w:val="5FEB2962"/>
    <w:rsid w:val="5FF9492C"/>
    <w:rsid w:val="6059F0A4"/>
    <w:rsid w:val="6072C5A6"/>
    <w:rsid w:val="6074704F"/>
    <w:rsid w:val="608CE2CF"/>
    <w:rsid w:val="60B57F35"/>
    <w:rsid w:val="60DE9739"/>
    <w:rsid w:val="60F9DEB6"/>
    <w:rsid w:val="6103F587"/>
    <w:rsid w:val="610F460F"/>
    <w:rsid w:val="6120554A"/>
    <w:rsid w:val="61834AA8"/>
    <w:rsid w:val="61956B49"/>
    <w:rsid w:val="619FBC7D"/>
    <w:rsid w:val="61AACC6F"/>
    <w:rsid w:val="61B55141"/>
    <w:rsid w:val="61EE3571"/>
    <w:rsid w:val="6214C99F"/>
    <w:rsid w:val="6244F12E"/>
    <w:rsid w:val="62E8CF3B"/>
    <w:rsid w:val="62F5B4EF"/>
    <w:rsid w:val="630BB74C"/>
    <w:rsid w:val="63118BA4"/>
    <w:rsid w:val="6341AC55"/>
    <w:rsid w:val="6387789A"/>
    <w:rsid w:val="63A61EB6"/>
    <w:rsid w:val="63DEA4C0"/>
    <w:rsid w:val="63E361AD"/>
    <w:rsid w:val="63F706CC"/>
    <w:rsid w:val="641D8AB0"/>
    <w:rsid w:val="642689FA"/>
    <w:rsid w:val="642B877B"/>
    <w:rsid w:val="644AC7F9"/>
    <w:rsid w:val="64EF7A05"/>
    <w:rsid w:val="652A7600"/>
    <w:rsid w:val="653D9389"/>
    <w:rsid w:val="658C59F1"/>
    <w:rsid w:val="65C7BD7E"/>
    <w:rsid w:val="65F65A81"/>
    <w:rsid w:val="6627D6F4"/>
    <w:rsid w:val="6627FD31"/>
    <w:rsid w:val="6638B96B"/>
    <w:rsid w:val="66518134"/>
    <w:rsid w:val="6659EE8C"/>
    <w:rsid w:val="665AE923"/>
    <w:rsid w:val="66995FBA"/>
    <w:rsid w:val="6706B6BF"/>
    <w:rsid w:val="67415B0E"/>
    <w:rsid w:val="6758D621"/>
    <w:rsid w:val="67736D35"/>
    <w:rsid w:val="67BD3B1A"/>
    <w:rsid w:val="680CEB04"/>
    <w:rsid w:val="68398016"/>
    <w:rsid w:val="68656380"/>
    <w:rsid w:val="68674324"/>
    <w:rsid w:val="68986D88"/>
    <w:rsid w:val="68C498FB"/>
    <w:rsid w:val="68CAB66C"/>
    <w:rsid w:val="68CC5D74"/>
    <w:rsid w:val="69294DD0"/>
    <w:rsid w:val="6991B42E"/>
    <w:rsid w:val="69BF2649"/>
    <w:rsid w:val="69D87CB5"/>
    <w:rsid w:val="69EB23FD"/>
    <w:rsid w:val="6A3A8B89"/>
    <w:rsid w:val="6A8A77CF"/>
    <w:rsid w:val="6A8CCC34"/>
    <w:rsid w:val="6A9CF9FA"/>
    <w:rsid w:val="6A9D29C6"/>
    <w:rsid w:val="6AB0A347"/>
    <w:rsid w:val="6AB97B3A"/>
    <w:rsid w:val="6ACC0C3F"/>
    <w:rsid w:val="6B18112D"/>
    <w:rsid w:val="6B66520D"/>
    <w:rsid w:val="6B7EF09C"/>
    <w:rsid w:val="6B8639C5"/>
    <w:rsid w:val="6B9053AC"/>
    <w:rsid w:val="6BA476A8"/>
    <w:rsid w:val="6BF58FCB"/>
    <w:rsid w:val="6C15245E"/>
    <w:rsid w:val="6C333DC5"/>
    <w:rsid w:val="6C62BB28"/>
    <w:rsid w:val="6CF32459"/>
    <w:rsid w:val="6D13E2A3"/>
    <w:rsid w:val="6D29F8FE"/>
    <w:rsid w:val="6D6FEABA"/>
    <w:rsid w:val="6DBAC873"/>
    <w:rsid w:val="6DE0C5AC"/>
    <w:rsid w:val="6E1431D1"/>
    <w:rsid w:val="6E18C45D"/>
    <w:rsid w:val="6E1BC80D"/>
    <w:rsid w:val="6E26A349"/>
    <w:rsid w:val="6E576258"/>
    <w:rsid w:val="6E818F8A"/>
    <w:rsid w:val="6E8AC2CC"/>
    <w:rsid w:val="6EC6AE1C"/>
    <w:rsid w:val="6F0BBC6D"/>
    <w:rsid w:val="6F4CC952"/>
    <w:rsid w:val="6F52CE1C"/>
    <w:rsid w:val="6F5752F9"/>
    <w:rsid w:val="6F5A3E16"/>
    <w:rsid w:val="6F622A66"/>
    <w:rsid w:val="6F9B4C80"/>
    <w:rsid w:val="6F9BEBC2"/>
    <w:rsid w:val="6FAD0244"/>
    <w:rsid w:val="6FCA2CCC"/>
    <w:rsid w:val="706BC944"/>
    <w:rsid w:val="709B2DC2"/>
    <w:rsid w:val="70FB6249"/>
    <w:rsid w:val="71371CE1"/>
    <w:rsid w:val="716844FA"/>
    <w:rsid w:val="7175C6D6"/>
    <w:rsid w:val="71F06E50"/>
    <w:rsid w:val="71F9FB14"/>
    <w:rsid w:val="72043DA3"/>
    <w:rsid w:val="7206601D"/>
    <w:rsid w:val="7230F216"/>
    <w:rsid w:val="728C7900"/>
    <w:rsid w:val="728C9A79"/>
    <w:rsid w:val="72A7378D"/>
    <w:rsid w:val="72A76928"/>
    <w:rsid w:val="72E7AAA5"/>
    <w:rsid w:val="731467BD"/>
    <w:rsid w:val="733FEB76"/>
    <w:rsid w:val="737A04EC"/>
    <w:rsid w:val="73CF690B"/>
    <w:rsid w:val="73E41C7A"/>
    <w:rsid w:val="73E98763"/>
    <w:rsid w:val="74129886"/>
    <w:rsid w:val="74182938"/>
    <w:rsid w:val="74677053"/>
    <w:rsid w:val="74DFF377"/>
    <w:rsid w:val="74F4006F"/>
    <w:rsid w:val="75078081"/>
    <w:rsid w:val="75A74C7E"/>
    <w:rsid w:val="75EA89EA"/>
    <w:rsid w:val="76370C1E"/>
    <w:rsid w:val="768F6727"/>
    <w:rsid w:val="76958596"/>
    <w:rsid w:val="7717ECF3"/>
    <w:rsid w:val="7721F407"/>
    <w:rsid w:val="7730708E"/>
    <w:rsid w:val="77C7F1CC"/>
    <w:rsid w:val="782F5F1C"/>
    <w:rsid w:val="78816DB5"/>
    <w:rsid w:val="788BBDF0"/>
    <w:rsid w:val="78963996"/>
    <w:rsid w:val="78D22A9C"/>
    <w:rsid w:val="78D81C5D"/>
    <w:rsid w:val="78DB78E8"/>
    <w:rsid w:val="790F7A69"/>
    <w:rsid w:val="7945B6A1"/>
    <w:rsid w:val="7956C8BB"/>
    <w:rsid w:val="79869BD2"/>
    <w:rsid w:val="79D04451"/>
    <w:rsid w:val="7A07982F"/>
    <w:rsid w:val="7A74AD50"/>
    <w:rsid w:val="7A78B4A7"/>
    <w:rsid w:val="7A7B3D32"/>
    <w:rsid w:val="7A7FBDF8"/>
    <w:rsid w:val="7AAE8FE4"/>
    <w:rsid w:val="7AE76494"/>
    <w:rsid w:val="7B1BF58D"/>
    <w:rsid w:val="7B24054F"/>
    <w:rsid w:val="7B476A9E"/>
    <w:rsid w:val="7B51122D"/>
    <w:rsid w:val="7B6EB516"/>
    <w:rsid w:val="7B7B8582"/>
    <w:rsid w:val="7B8D99D4"/>
    <w:rsid w:val="7B9173FB"/>
    <w:rsid w:val="7BE346A9"/>
    <w:rsid w:val="7BEFBC14"/>
    <w:rsid w:val="7BF1F4E6"/>
    <w:rsid w:val="7C11C53B"/>
    <w:rsid w:val="7C431A9A"/>
    <w:rsid w:val="7C567304"/>
    <w:rsid w:val="7C6775B4"/>
    <w:rsid w:val="7C7645B5"/>
    <w:rsid w:val="7C772345"/>
    <w:rsid w:val="7CB31910"/>
    <w:rsid w:val="7CF2E2BD"/>
    <w:rsid w:val="7D434774"/>
    <w:rsid w:val="7D46AAFF"/>
    <w:rsid w:val="7D6EA1B4"/>
    <w:rsid w:val="7DC8C7D9"/>
    <w:rsid w:val="7DF90DB8"/>
    <w:rsid w:val="7E402F5A"/>
    <w:rsid w:val="7E53964F"/>
    <w:rsid w:val="7E788588"/>
    <w:rsid w:val="7E8C4A31"/>
    <w:rsid w:val="7EDDD93A"/>
    <w:rsid w:val="7F14B6FB"/>
    <w:rsid w:val="7F1694E8"/>
    <w:rsid w:val="7F2CE698"/>
    <w:rsid w:val="7F376A12"/>
    <w:rsid w:val="7F69013A"/>
    <w:rsid w:val="7FC65AB6"/>
    <w:rsid w:val="7FE1B13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2"/>
    </o:shapelayout>
  </w:shapeDefaults>
  <w:decimalSymbol w:val=","/>
  <w:listSeparator w:val=";"/>
  <w14:docId w14:val="2A2DB3DE"/>
  <w15:docId w15:val="{F8612CE6-1C03-42CD-84D6-86769E5AF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B38"/>
    <w:pPr>
      <w:spacing w:after="240"/>
    </w:pPr>
    <w:rPr>
      <w:rFonts w:ascii="Calibri Light" w:eastAsia="Calibri" w:hAnsi="Calibri Light" w:cs="Times New Roman"/>
      <w:sz w:val="20"/>
    </w:rPr>
  </w:style>
  <w:style w:type="paragraph" w:styleId="Heading1">
    <w:name w:val="heading 1"/>
    <w:basedOn w:val="Normal"/>
    <w:next w:val="Normal"/>
    <w:link w:val="Heading1Char"/>
    <w:uiPriority w:val="9"/>
    <w:qFormat/>
    <w:rsid w:val="00CD313C"/>
    <w:pPr>
      <w:keepNext/>
      <w:outlineLvl w:val="0"/>
    </w:pPr>
    <w:rPr>
      <w:rFonts w:ascii="Aptos Narrow" w:hAnsi="Aptos Narrow"/>
      <w:b/>
      <w:caps/>
      <w:color w:val="5F497A" w:themeColor="accent4" w:themeShade="BF"/>
      <w:sz w:val="104"/>
    </w:rPr>
  </w:style>
  <w:style w:type="paragraph" w:styleId="Heading2">
    <w:name w:val="heading 2"/>
    <w:basedOn w:val="Normal"/>
    <w:next w:val="Normal"/>
    <w:link w:val="Heading2Char"/>
    <w:uiPriority w:val="9"/>
    <w:qFormat/>
    <w:rsid w:val="0080669C"/>
    <w:pPr>
      <w:keepNext/>
      <w:spacing w:after="360"/>
      <w:outlineLvl w:val="1"/>
    </w:pPr>
    <w:rPr>
      <w:rFonts w:ascii="Aptos Narrow" w:hAnsi="Aptos Narrow"/>
      <w:b/>
      <w:caps/>
      <w:color w:val="5F497A" w:themeColor="accent4" w:themeShade="BF"/>
      <w:sz w:val="28"/>
    </w:rPr>
  </w:style>
  <w:style w:type="paragraph" w:styleId="Heading3">
    <w:name w:val="heading 3"/>
    <w:basedOn w:val="Normal"/>
    <w:next w:val="Normal"/>
    <w:link w:val="Heading3Char"/>
    <w:uiPriority w:val="9"/>
    <w:unhideWhenUsed/>
    <w:qFormat/>
    <w:rsid w:val="00080A71"/>
    <w:pPr>
      <w:keepNext/>
      <w:keepLines/>
      <w:spacing w:after="280"/>
      <w:outlineLvl w:val="2"/>
    </w:pPr>
    <w:rPr>
      <w:rFonts w:ascii="Aptos Narrow" w:eastAsiaTheme="majorEastAsia" w:hAnsi="Aptos Narrow" w:cstheme="majorBidi"/>
      <w:b/>
      <w:bCs/>
      <w:smallCaps/>
      <w:color w:val="5F497A" w:themeColor="accent4" w:themeShade="BF"/>
      <w:sz w:val="28"/>
    </w:rPr>
  </w:style>
  <w:style w:type="paragraph" w:styleId="Heading4">
    <w:name w:val="heading 4"/>
    <w:basedOn w:val="Normal"/>
    <w:next w:val="Normal"/>
    <w:link w:val="Heading4Char"/>
    <w:uiPriority w:val="9"/>
    <w:semiHidden/>
    <w:unhideWhenUsed/>
    <w:qFormat/>
    <w:rsid w:val="00BE0A6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13C"/>
    <w:rPr>
      <w:rFonts w:ascii="Aptos Narrow" w:eastAsia="Calibri" w:hAnsi="Aptos Narrow" w:cs="Times New Roman"/>
      <w:b/>
      <w:caps/>
      <w:color w:val="5F497A" w:themeColor="accent4" w:themeShade="BF"/>
      <w:sz w:val="104"/>
    </w:rPr>
  </w:style>
  <w:style w:type="character" w:customStyle="1" w:styleId="Heading2Char">
    <w:name w:val="Heading 2 Char"/>
    <w:basedOn w:val="DefaultParagraphFont"/>
    <w:link w:val="Heading2"/>
    <w:uiPriority w:val="9"/>
    <w:rsid w:val="0080669C"/>
    <w:rPr>
      <w:rFonts w:ascii="Aptos Narrow" w:eastAsia="Calibri" w:hAnsi="Aptos Narrow" w:cs="Times New Roman"/>
      <w:b/>
      <w:caps/>
      <w:color w:val="5F497A" w:themeColor="accent4" w:themeShade="BF"/>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826C45"/>
    <w:pPr>
      <w:ind w:left="720"/>
      <w:contextualSpacing/>
    </w:pPr>
  </w:style>
  <w:style w:type="paragraph" w:styleId="BodyTextIndent3">
    <w:name w:val="Body Text Indent 3"/>
    <w:basedOn w:val="Normal"/>
    <w:link w:val="BodyTextIndent3Char"/>
    <w:rsid w:val="00826C45"/>
    <w:pPr>
      <w:spacing w:after="0"/>
      <w:ind w:firstLine="567"/>
      <w:jc w:val="both"/>
    </w:pPr>
    <w:rPr>
      <w:rFonts w:eastAsia="Times New Roman"/>
      <w:szCs w:val="24"/>
    </w:rPr>
  </w:style>
  <w:style w:type="character" w:customStyle="1" w:styleId="BodyTextIndent3Char">
    <w:name w:val="Body Text Indent 3 Char"/>
    <w:basedOn w:val="DefaultParagraphFont"/>
    <w:link w:val="BodyTextIndent3"/>
    <w:rsid w:val="00826C45"/>
    <w:rPr>
      <w:rFonts w:eastAsia="Times New Roman" w:cs="Times New Roman"/>
      <w:sz w:val="22"/>
      <w:szCs w:val="24"/>
    </w:rPr>
  </w:style>
  <w:style w:type="paragraph" w:styleId="BodyTextIndent2">
    <w:name w:val="Body Text Indent 2"/>
    <w:basedOn w:val="Normal"/>
    <w:link w:val="BodyTextIndent2Char"/>
    <w:unhideWhenUsed/>
    <w:rsid w:val="00826C45"/>
    <w:pPr>
      <w:spacing w:after="120" w:line="480" w:lineRule="auto"/>
      <w:ind w:left="283"/>
    </w:pPr>
    <w:rPr>
      <w:sz w:val="24"/>
      <w:szCs w:val="24"/>
    </w:rPr>
  </w:style>
  <w:style w:type="character" w:customStyle="1" w:styleId="BodyTextIndent2Char">
    <w:name w:val="Body Text Indent 2 Char"/>
    <w:basedOn w:val="DefaultParagraphFont"/>
    <w:link w:val="BodyTextIndent2"/>
    <w:rsid w:val="00826C45"/>
    <w:rPr>
      <w:rFonts w:eastAsia="Calibri" w:cs="Times New Roman"/>
      <w:sz w:val="24"/>
      <w:szCs w:val="24"/>
    </w:rPr>
  </w:style>
  <w:style w:type="paragraph" w:customStyle="1" w:styleId="Taksts11">
    <w:name w:val="Taksts_11"/>
    <w:basedOn w:val="Normal"/>
    <w:rsid w:val="00826C45"/>
    <w:pPr>
      <w:spacing w:after="0"/>
      <w:ind w:firstLine="567"/>
      <w:jc w:val="both"/>
    </w:pPr>
    <w:rPr>
      <w:rFonts w:eastAsia="Times New Roman"/>
      <w:sz w:val="24"/>
      <w:szCs w:val="20"/>
      <w:lang w:val="en-US"/>
    </w:rPr>
  </w:style>
  <w:style w:type="paragraph" w:styleId="BodyText2">
    <w:name w:val="Body Text 2"/>
    <w:basedOn w:val="Normal"/>
    <w:link w:val="BodyText2Char"/>
    <w:uiPriority w:val="99"/>
    <w:unhideWhenUsed/>
    <w:rsid w:val="00826C45"/>
    <w:pPr>
      <w:spacing w:after="120" w:line="480" w:lineRule="auto"/>
    </w:pPr>
    <w:rPr>
      <w:sz w:val="24"/>
      <w:szCs w:val="24"/>
    </w:rPr>
  </w:style>
  <w:style w:type="character" w:customStyle="1" w:styleId="BodyText2Char">
    <w:name w:val="Body Text 2 Char"/>
    <w:basedOn w:val="DefaultParagraphFont"/>
    <w:link w:val="BodyText2"/>
    <w:uiPriority w:val="99"/>
    <w:rsid w:val="00826C45"/>
    <w:rPr>
      <w:rFonts w:eastAsia="Calibri" w:cs="Times New Roman"/>
      <w:sz w:val="24"/>
      <w:szCs w:val="24"/>
    </w:rPr>
  </w:style>
  <w:style w:type="table" w:styleId="TableGrid">
    <w:name w:val="Table Grid"/>
    <w:basedOn w:val="TableNormal"/>
    <w:uiPriority w:val="39"/>
    <w:rsid w:val="00826C45"/>
    <w:rPr>
      <w:rFonts w:eastAsia="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pirmstab3">
    <w:name w:val="9_pirms_tab_3"/>
    <w:basedOn w:val="Normal"/>
    <w:rsid w:val="00826C45"/>
    <w:pPr>
      <w:tabs>
        <w:tab w:val="left" w:pos="3259"/>
        <w:tab w:val="left" w:pos="4200"/>
        <w:tab w:val="left" w:pos="5141"/>
        <w:tab w:val="left" w:pos="6082"/>
        <w:tab w:val="left" w:pos="7022"/>
        <w:tab w:val="left" w:pos="7963"/>
        <w:tab w:val="left" w:pos="8870"/>
        <w:tab w:val="left" w:pos="9794"/>
        <w:tab w:val="left" w:pos="10718"/>
        <w:tab w:val="left" w:pos="11659"/>
        <w:tab w:val="left" w:pos="13171"/>
      </w:tabs>
      <w:spacing w:after="60"/>
      <w:jc w:val="center"/>
    </w:pPr>
    <w:rPr>
      <w:rFonts w:eastAsia="Times New Roman"/>
      <w:color w:val="000000"/>
      <w:sz w:val="18"/>
      <w:szCs w:val="20"/>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ußn,f"/>
    <w:basedOn w:val="Normal"/>
    <w:link w:val="FootnoteTextChar"/>
    <w:uiPriority w:val="99"/>
    <w:qFormat/>
    <w:rsid w:val="00826C45"/>
    <w:pPr>
      <w:spacing w:after="0"/>
    </w:pPr>
    <w:rPr>
      <w:rFonts w:eastAsia="Times New Roman"/>
      <w:szCs w:val="20"/>
      <w:lang w:val="en-GB"/>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826C45"/>
    <w:rPr>
      <w:rFonts w:eastAsia="Times New Roman" w:cs="Times New Roman"/>
      <w:sz w:val="20"/>
      <w:szCs w:val="20"/>
      <w:lang w:val="en-GB"/>
    </w:rPr>
  </w:style>
  <w:style w:type="character" w:styleId="FootnoteReference">
    <w:name w:val="footnote reference"/>
    <w:aliases w:val="Footnote Reference Number,Footnote Reference Superscript,Footnote symbol,fr,SUPERS,ftref,Footnote Refernece,stylish,BVI fnr,Fußnotenzeichen_Raxen,callout,Footnote symbFootnote Refernece,Odwołanie przypisu,Footnotes refss,Ref,E,E FNZ"/>
    <w:basedOn w:val="DefaultParagraphFont"/>
    <w:link w:val="CharCharCharChar"/>
    <w:uiPriority w:val="99"/>
    <w:qFormat/>
    <w:rsid w:val="00826C45"/>
    <w:rPr>
      <w:vertAlign w:val="superscript"/>
    </w:rPr>
  </w:style>
  <w:style w:type="table" w:styleId="LightShading-Accent3">
    <w:name w:val="Light Shading Accent 3"/>
    <w:basedOn w:val="TableNormal"/>
    <w:uiPriority w:val="60"/>
    <w:rsid w:val="00826C45"/>
    <w:rPr>
      <w:rFonts w:eastAsia="Times New Roman" w:cs="Times New Roman"/>
      <w:color w:val="76923C" w:themeColor="accent3" w:themeShade="BF"/>
      <w:sz w:val="20"/>
      <w:szCs w:val="20"/>
      <w:lang w:eastAsia="lv-LV"/>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BalloonText">
    <w:name w:val="Balloon Text"/>
    <w:basedOn w:val="Normal"/>
    <w:link w:val="BalloonTextChar"/>
    <w:uiPriority w:val="99"/>
    <w:semiHidden/>
    <w:unhideWhenUsed/>
    <w:rsid w:val="00826C4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C45"/>
    <w:rPr>
      <w:rFonts w:ascii="Tahoma" w:eastAsia="Calibri" w:hAnsi="Tahoma" w:cs="Tahoma"/>
      <w:sz w:val="16"/>
      <w:szCs w:val="16"/>
    </w:rPr>
  </w:style>
  <w:style w:type="character" w:customStyle="1" w:styleId="hps">
    <w:name w:val="hps"/>
    <w:basedOn w:val="DefaultParagraphFont"/>
    <w:rsid w:val="00E8168E"/>
  </w:style>
  <w:style w:type="table" w:styleId="MediumList1-Accent4">
    <w:name w:val="Medium List 1 Accent 4"/>
    <w:basedOn w:val="TableNormal"/>
    <w:uiPriority w:val="65"/>
    <w:rsid w:val="00B066AA"/>
    <w:rPr>
      <w:rFonts w:cs="Times New Roman"/>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3">
    <w:name w:val="Medium List 1 Accent 3"/>
    <w:basedOn w:val="TableNormal"/>
    <w:uiPriority w:val="65"/>
    <w:rsid w:val="00B066A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ColorfulGrid-Accent4">
    <w:name w:val="Colorful Grid Accent 4"/>
    <w:basedOn w:val="TableNormal"/>
    <w:uiPriority w:val="73"/>
    <w:rsid w:val="00AE1980"/>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NoSpacing">
    <w:name w:val="No Spacing"/>
    <w:uiPriority w:val="1"/>
    <w:qFormat/>
    <w:rsid w:val="00885969"/>
    <w:rPr>
      <w:rFonts w:eastAsia="Calibri" w:cs="Times New Roman"/>
      <w:sz w:val="22"/>
    </w:rPr>
  </w:style>
  <w:style w:type="paragraph" w:styleId="BodyTextIndent">
    <w:name w:val="Body Text Indent"/>
    <w:basedOn w:val="Normal"/>
    <w:link w:val="BodyTextIndentChar"/>
    <w:uiPriority w:val="99"/>
    <w:unhideWhenUsed/>
    <w:rsid w:val="004B7CE9"/>
    <w:pPr>
      <w:spacing w:after="120"/>
      <w:ind w:left="283"/>
    </w:pPr>
  </w:style>
  <w:style w:type="character" w:customStyle="1" w:styleId="BodyTextIndentChar">
    <w:name w:val="Body Text Indent Char"/>
    <w:basedOn w:val="DefaultParagraphFont"/>
    <w:link w:val="BodyTextIndent"/>
    <w:uiPriority w:val="99"/>
    <w:rsid w:val="004B7CE9"/>
    <w:rPr>
      <w:rFonts w:eastAsia="Calibri" w:cs="Times New Roman"/>
      <w:sz w:val="22"/>
    </w:rPr>
  </w:style>
  <w:style w:type="character" w:styleId="Strong">
    <w:name w:val="Strong"/>
    <w:basedOn w:val="DefaultParagraphFont"/>
    <w:uiPriority w:val="22"/>
    <w:qFormat/>
    <w:rsid w:val="004B7CE9"/>
    <w:rPr>
      <w:b/>
      <w:bCs/>
    </w:rPr>
  </w:style>
  <w:style w:type="paragraph" w:styleId="Header">
    <w:name w:val="header"/>
    <w:basedOn w:val="Normal"/>
    <w:link w:val="HeaderChar"/>
    <w:uiPriority w:val="99"/>
    <w:unhideWhenUsed/>
    <w:rsid w:val="00450186"/>
    <w:pPr>
      <w:tabs>
        <w:tab w:val="center" w:pos="4153"/>
        <w:tab w:val="right" w:pos="8306"/>
      </w:tabs>
      <w:spacing w:after="0"/>
    </w:pPr>
  </w:style>
  <w:style w:type="character" w:customStyle="1" w:styleId="HeaderChar">
    <w:name w:val="Header Char"/>
    <w:basedOn w:val="DefaultParagraphFont"/>
    <w:link w:val="Header"/>
    <w:uiPriority w:val="99"/>
    <w:rsid w:val="00450186"/>
    <w:rPr>
      <w:rFonts w:eastAsia="Calibri" w:cs="Times New Roman"/>
      <w:sz w:val="22"/>
    </w:rPr>
  </w:style>
  <w:style w:type="paragraph" w:styleId="Footer">
    <w:name w:val="footer"/>
    <w:basedOn w:val="Normal"/>
    <w:link w:val="FooterChar"/>
    <w:unhideWhenUsed/>
    <w:rsid w:val="00450186"/>
    <w:pPr>
      <w:tabs>
        <w:tab w:val="center" w:pos="4153"/>
        <w:tab w:val="right" w:pos="8306"/>
      </w:tabs>
      <w:spacing w:after="0"/>
    </w:pPr>
  </w:style>
  <w:style w:type="character" w:customStyle="1" w:styleId="FooterChar">
    <w:name w:val="Footer Char"/>
    <w:basedOn w:val="DefaultParagraphFont"/>
    <w:link w:val="Footer"/>
    <w:rsid w:val="00450186"/>
    <w:rPr>
      <w:rFonts w:eastAsia="Calibri" w:cs="Times New Roman"/>
      <w:sz w:val="22"/>
    </w:rPr>
  </w:style>
  <w:style w:type="paragraph" w:styleId="TOC2">
    <w:name w:val="toc 2"/>
    <w:basedOn w:val="Normal"/>
    <w:next w:val="Normal"/>
    <w:autoRedefine/>
    <w:uiPriority w:val="39"/>
    <w:unhideWhenUsed/>
    <w:qFormat/>
    <w:rsid w:val="000A297A"/>
    <w:pPr>
      <w:tabs>
        <w:tab w:val="right" w:pos="9072"/>
      </w:tabs>
      <w:spacing w:before="120" w:after="120"/>
      <w:ind w:left="198"/>
    </w:pPr>
    <w:rPr>
      <w:rFonts w:ascii="Aptos Narrow" w:hAnsi="Aptos Narrow"/>
      <w:b/>
      <w:bCs/>
      <w:iCs/>
      <w:caps/>
      <w:noProof/>
      <w:sz w:val="22"/>
    </w:rPr>
  </w:style>
  <w:style w:type="paragraph" w:styleId="TOC1">
    <w:name w:val="toc 1"/>
    <w:basedOn w:val="Normal"/>
    <w:next w:val="Normal"/>
    <w:autoRedefine/>
    <w:uiPriority w:val="39"/>
    <w:unhideWhenUsed/>
    <w:rsid w:val="008D586E"/>
    <w:pPr>
      <w:tabs>
        <w:tab w:val="right" w:pos="9072"/>
      </w:tabs>
      <w:spacing w:before="360" w:after="120"/>
    </w:pPr>
    <w:rPr>
      <w:rFonts w:ascii="Aptos Narrow" w:hAnsi="Aptos Narrow"/>
      <w:b/>
      <w:bCs/>
      <w:caps/>
      <w:noProof/>
      <w:color w:val="000000" w:themeColor="text1"/>
      <w:sz w:val="24"/>
      <w:szCs w:val="24"/>
    </w:rPr>
  </w:style>
  <w:style w:type="character" w:styleId="Hyperlink">
    <w:name w:val="Hyperlink"/>
    <w:basedOn w:val="DefaultParagraphFont"/>
    <w:uiPriority w:val="99"/>
    <w:unhideWhenUsed/>
    <w:rsid w:val="005C10E6"/>
    <w:rPr>
      <w:color w:val="0000FF" w:themeColor="hyperlink"/>
      <w:sz w:val="22"/>
      <w:u w:val="single"/>
    </w:rPr>
  </w:style>
  <w:style w:type="table" w:styleId="LightShading-Accent2">
    <w:name w:val="Light Shading Accent 2"/>
    <w:basedOn w:val="TableNormal"/>
    <w:uiPriority w:val="60"/>
    <w:rsid w:val="0077399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List1-Accent2">
    <w:name w:val="Medium List 1 Accent 2"/>
    <w:basedOn w:val="TableNormal"/>
    <w:uiPriority w:val="65"/>
    <w:rsid w:val="0077399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Shading1-Accent4">
    <w:name w:val="Medium Shading 1 Accent 4"/>
    <w:basedOn w:val="TableNormal"/>
    <w:uiPriority w:val="63"/>
    <w:rsid w:val="00CA709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Shading-Accent4">
    <w:name w:val="Light Shading Accent 4"/>
    <w:basedOn w:val="TableNormal"/>
    <w:uiPriority w:val="60"/>
    <w:rsid w:val="00CA709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NormalWeb">
    <w:name w:val="Normal (Web)"/>
    <w:basedOn w:val="Normal"/>
    <w:uiPriority w:val="99"/>
    <w:unhideWhenUsed/>
    <w:rsid w:val="00C67AC2"/>
    <w:pPr>
      <w:spacing w:before="100" w:beforeAutospacing="1" w:after="100" w:afterAutospacing="1"/>
    </w:pPr>
    <w:rPr>
      <w:rFonts w:eastAsiaTheme="minorEastAsia"/>
      <w:sz w:val="24"/>
      <w:szCs w:val="24"/>
      <w:lang w:eastAsia="lv-LV"/>
    </w:rPr>
  </w:style>
  <w:style w:type="character" w:customStyle="1" w:styleId="Heading3Char">
    <w:name w:val="Heading 3 Char"/>
    <w:basedOn w:val="DefaultParagraphFont"/>
    <w:link w:val="Heading3"/>
    <w:uiPriority w:val="9"/>
    <w:rsid w:val="00080A71"/>
    <w:rPr>
      <w:rFonts w:ascii="Aptos Narrow" w:eastAsiaTheme="majorEastAsia" w:hAnsi="Aptos Narrow" w:cstheme="majorBidi"/>
      <w:b/>
      <w:bCs/>
      <w:smallCaps/>
      <w:color w:val="5F497A" w:themeColor="accent4" w:themeShade="BF"/>
    </w:rPr>
  </w:style>
  <w:style w:type="paragraph" w:styleId="TOC3">
    <w:name w:val="toc 3"/>
    <w:basedOn w:val="Normal"/>
    <w:next w:val="Normal"/>
    <w:autoRedefine/>
    <w:uiPriority w:val="39"/>
    <w:unhideWhenUsed/>
    <w:rsid w:val="00B3647F"/>
    <w:pPr>
      <w:tabs>
        <w:tab w:val="right" w:pos="9072"/>
      </w:tabs>
      <w:spacing w:after="120"/>
      <w:ind w:left="442"/>
    </w:pPr>
    <w:rPr>
      <w:rFonts w:ascii="Aptos Narrow" w:eastAsiaTheme="majorEastAsia" w:hAnsi="Aptos Narrow"/>
      <w:bCs/>
      <w:noProof/>
      <w:sz w:val="22"/>
    </w:rPr>
  </w:style>
  <w:style w:type="paragraph" w:styleId="EnvelopeReturn">
    <w:name w:val="envelope return"/>
    <w:basedOn w:val="Normal"/>
    <w:uiPriority w:val="99"/>
    <w:unhideWhenUsed/>
    <w:rsid w:val="00B40358"/>
    <w:pPr>
      <w:spacing w:after="0"/>
    </w:pPr>
    <w:rPr>
      <w:rFonts w:ascii="Cambria" w:eastAsia="Times New Roman" w:hAnsi="Cambria"/>
      <w:szCs w:val="20"/>
      <w:lang w:eastAsia="lv-LV"/>
    </w:rPr>
  </w:style>
  <w:style w:type="character" w:styleId="CommentReference">
    <w:name w:val="annotation reference"/>
    <w:basedOn w:val="DefaultParagraphFont"/>
    <w:uiPriority w:val="99"/>
    <w:semiHidden/>
    <w:unhideWhenUsed/>
    <w:rsid w:val="00340CA7"/>
    <w:rPr>
      <w:sz w:val="16"/>
      <w:szCs w:val="16"/>
    </w:rPr>
  </w:style>
  <w:style w:type="paragraph" w:styleId="CommentText">
    <w:name w:val="annotation text"/>
    <w:basedOn w:val="Normal"/>
    <w:link w:val="CommentTextChar"/>
    <w:uiPriority w:val="99"/>
    <w:unhideWhenUsed/>
    <w:rsid w:val="00340CA7"/>
    <w:pPr>
      <w:spacing w:after="0"/>
    </w:pPr>
    <w:rPr>
      <w:rFonts w:eastAsiaTheme="minorHAnsi" w:cstheme="minorBidi"/>
      <w:szCs w:val="20"/>
    </w:rPr>
  </w:style>
  <w:style w:type="character" w:customStyle="1" w:styleId="CommentTextChar">
    <w:name w:val="Comment Text Char"/>
    <w:basedOn w:val="DefaultParagraphFont"/>
    <w:link w:val="CommentText"/>
    <w:uiPriority w:val="99"/>
    <w:rsid w:val="00340CA7"/>
    <w:rPr>
      <w:sz w:val="20"/>
      <w:szCs w:val="20"/>
    </w:rPr>
  </w:style>
  <w:style w:type="paragraph" w:styleId="BodyText3">
    <w:name w:val="Body Text 3"/>
    <w:basedOn w:val="Normal"/>
    <w:link w:val="BodyText3Char"/>
    <w:uiPriority w:val="99"/>
    <w:semiHidden/>
    <w:unhideWhenUsed/>
    <w:rsid w:val="001E4BA5"/>
    <w:pPr>
      <w:spacing w:after="120"/>
    </w:pPr>
    <w:rPr>
      <w:sz w:val="16"/>
      <w:szCs w:val="16"/>
    </w:rPr>
  </w:style>
  <w:style w:type="character" w:customStyle="1" w:styleId="BodyText3Char">
    <w:name w:val="Body Text 3 Char"/>
    <w:basedOn w:val="DefaultParagraphFont"/>
    <w:link w:val="BodyText3"/>
    <w:uiPriority w:val="99"/>
    <w:semiHidden/>
    <w:rsid w:val="001E4BA5"/>
    <w:rPr>
      <w:rFonts w:eastAsia="Calibri" w:cs="Times New Roman"/>
      <w:sz w:val="16"/>
      <w:szCs w:val="16"/>
    </w:rPr>
  </w:style>
  <w:style w:type="table" w:styleId="MediumList1-Accent1">
    <w:name w:val="Medium List 1 Accent 1"/>
    <w:basedOn w:val="TableNormal"/>
    <w:uiPriority w:val="65"/>
    <w:rsid w:val="00F867F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Default">
    <w:name w:val="Default"/>
    <w:rsid w:val="00F867F6"/>
    <w:pPr>
      <w:autoSpaceDE w:val="0"/>
      <w:autoSpaceDN w:val="0"/>
      <w:adjustRightInd w:val="0"/>
    </w:pPr>
    <w:rPr>
      <w:rFonts w:ascii="PF Square Sans Pro" w:hAnsi="PF Square Sans Pro" w:cs="PF Square Sans Pro"/>
      <w:color w:val="000000"/>
      <w:sz w:val="24"/>
      <w:szCs w:val="24"/>
    </w:rPr>
  </w:style>
  <w:style w:type="table" w:styleId="ColorfulList-Accent2">
    <w:name w:val="Colorful List Accent 2"/>
    <w:basedOn w:val="TableNormal"/>
    <w:uiPriority w:val="72"/>
    <w:rsid w:val="004453D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ghtList-Accent2">
    <w:name w:val="Light List Accent 2"/>
    <w:basedOn w:val="TableNormal"/>
    <w:uiPriority w:val="61"/>
    <w:rsid w:val="002F74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FollowedHyperlink">
    <w:name w:val="FollowedHyperlink"/>
    <w:basedOn w:val="DefaultParagraphFont"/>
    <w:uiPriority w:val="99"/>
    <w:semiHidden/>
    <w:unhideWhenUsed/>
    <w:rsid w:val="00345EA7"/>
    <w:rPr>
      <w:color w:val="800080" w:themeColor="followedHyperlink"/>
      <w:u w:val="single"/>
    </w:rPr>
  </w:style>
  <w:style w:type="table" w:customStyle="1" w:styleId="GridTable5Dark-Accent31">
    <w:name w:val="Grid Table 5 Dark - Accent 31"/>
    <w:basedOn w:val="TableNormal"/>
    <w:uiPriority w:val="50"/>
    <w:rsid w:val="00A71C3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GridLight1">
    <w:name w:val="Table Grid Light1"/>
    <w:basedOn w:val="TableNormal"/>
    <w:uiPriority w:val="40"/>
    <w:rsid w:val="000F00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5Dark-Accent21">
    <w:name w:val="Grid Table 5 Dark - Accent 21"/>
    <w:basedOn w:val="TableNormal"/>
    <w:uiPriority w:val="50"/>
    <w:rsid w:val="004D60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TableGrid1">
    <w:name w:val="Table Grid1"/>
    <w:basedOn w:val="TableNormal"/>
    <w:next w:val="TableGrid"/>
    <w:uiPriority w:val="39"/>
    <w:rsid w:val="00BC774E"/>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43FF9"/>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43FF9"/>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810DE"/>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960BC4"/>
    <w:rPr>
      <w:rFonts w:eastAsia="Calibri" w:cs="Times New Roman"/>
      <w:sz w:val="22"/>
    </w:rPr>
  </w:style>
  <w:style w:type="paragraph" w:styleId="CommentSubject">
    <w:name w:val="annotation subject"/>
    <w:basedOn w:val="CommentText"/>
    <w:next w:val="CommentText"/>
    <w:link w:val="CommentSubjectChar"/>
    <w:uiPriority w:val="99"/>
    <w:semiHidden/>
    <w:unhideWhenUsed/>
    <w:rsid w:val="008C5137"/>
    <w:pPr>
      <w:spacing w:after="200"/>
    </w:pPr>
    <w:rPr>
      <w:rFonts w:eastAsia="Calibri" w:cs="Times New Roman"/>
      <w:b/>
      <w:bCs/>
    </w:rPr>
  </w:style>
  <w:style w:type="character" w:customStyle="1" w:styleId="CommentSubjectChar">
    <w:name w:val="Comment Subject Char"/>
    <w:basedOn w:val="CommentTextChar"/>
    <w:link w:val="CommentSubject"/>
    <w:uiPriority w:val="99"/>
    <w:semiHidden/>
    <w:rsid w:val="008C5137"/>
    <w:rPr>
      <w:rFonts w:eastAsia="Calibri" w:cs="Times New Roman"/>
      <w:b/>
      <w:bCs/>
      <w:sz w:val="20"/>
      <w:szCs w:val="20"/>
    </w:rPr>
  </w:style>
  <w:style w:type="character" w:styleId="Emphasis">
    <w:name w:val="Emphasis"/>
    <w:basedOn w:val="DefaultParagraphFont"/>
    <w:uiPriority w:val="20"/>
    <w:qFormat/>
    <w:rsid w:val="00334969"/>
    <w:rPr>
      <w:i/>
      <w:iCs/>
    </w:rPr>
  </w:style>
  <w:style w:type="character" w:customStyle="1" w:styleId="apple-converted-space">
    <w:name w:val="apple-converted-space"/>
    <w:basedOn w:val="DefaultParagraphFont"/>
    <w:rsid w:val="00334969"/>
  </w:style>
  <w:style w:type="paragraph" w:styleId="Revision">
    <w:name w:val="Revision"/>
    <w:hidden/>
    <w:uiPriority w:val="99"/>
    <w:semiHidden/>
    <w:rsid w:val="002E1294"/>
    <w:rPr>
      <w:rFonts w:eastAsia="Calibri" w:cs="Times New Roman"/>
      <w:sz w:val="22"/>
    </w:rPr>
  </w:style>
  <w:style w:type="table" w:customStyle="1" w:styleId="TableGrid5">
    <w:name w:val="Table Grid5"/>
    <w:basedOn w:val="TableNormal"/>
    <w:next w:val="TableGrid"/>
    <w:uiPriority w:val="39"/>
    <w:rsid w:val="00D46C70"/>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311">
    <w:name w:val="Grid Table 5 Dark - Accent 311"/>
    <w:basedOn w:val="TableNormal"/>
    <w:uiPriority w:val="50"/>
    <w:rsid w:val="00FA2A7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CharCharCharChar">
    <w:name w:val="Char Char Char Char"/>
    <w:aliases w:val="Char2"/>
    <w:basedOn w:val="Normal"/>
    <w:next w:val="Normal"/>
    <w:link w:val="FootnoteReference"/>
    <w:uiPriority w:val="99"/>
    <w:rsid w:val="00A26E0B"/>
    <w:pPr>
      <w:spacing w:after="160" w:line="240" w:lineRule="exact"/>
      <w:textAlignment w:val="baseline"/>
    </w:pPr>
    <w:rPr>
      <w:rFonts w:ascii="Times New Roman" w:eastAsiaTheme="minorHAnsi" w:hAnsi="Times New Roman" w:cstheme="minorBidi"/>
      <w:sz w:val="28"/>
      <w:vertAlign w:val="superscript"/>
    </w:rPr>
  </w:style>
  <w:style w:type="table" w:styleId="GridTable4-Accent1">
    <w:name w:val="Grid Table 4 Accent 1"/>
    <w:basedOn w:val="TableNormal"/>
    <w:uiPriority w:val="49"/>
    <w:rsid w:val="001B7B72"/>
    <w:rPr>
      <w:rFonts w:asciiTheme="minorHAnsi" w:hAnsiTheme="minorHAnsi"/>
      <w:sz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1B7B72"/>
    <w:rPr>
      <w:rFonts w:asciiTheme="minorHAnsi" w:hAnsiTheme="minorHAnsi"/>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11">
    <w:name w:val="Table Grid11"/>
    <w:basedOn w:val="TableNormal"/>
    <w:next w:val="TableGrid"/>
    <w:uiPriority w:val="59"/>
    <w:rsid w:val="00B06BCF"/>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06BCF"/>
    <w:rPr>
      <w:rFonts w:eastAsia="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85618A"/>
    <w:pPr>
      <w:spacing w:after="0"/>
    </w:pPr>
    <w:rPr>
      <w:szCs w:val="20"/>
    </w:rPr>
  </w:style>
  <w:style w:type="character" w:customStyle="1" w:styleId="EndnoteTextChar">
    <w:name w:val="Endnote Text Char"/>
    <w:basedOn w:val="DefaultParagraphFont"/>
    <w:link w:val="EndnoteText"/>
    <w:uiPriority w:val="99"/>
    <w:semiHidden/>
    <w:rsid w:val="0085618A"/>
    <w:rPr>
      <w:rFonts w:ascii="Calibri Light" w:eastAsia="Calibri" w:hAnsi="Calibri Light" w:cs="Times New Roman"/>
      <w:sz w:val="20"/>
      <w:szCs w:val="20"/>
    </w:rPr>
  </w:style>
  <w:style w:type="character" w:styleId="EndnoteReference">
    <w:name w:val="endnote reference"/>
    <w:basedOn w:val="DefaultParagraphFont"/>
    <w:unhideWhenUsed/>
    <w:rsid w:val="0085618A"/>
    <w:rPr>
      <w:vertAlign w:val="superscript"/>
    </w:rPr>
  </w:style>
  <w:style w:type="character" w:customStyle="1" w:styleId="UnresolvedMention1">
    <w:name w:val="Unresolved Mention1"/>
    <w:basedOn w:val="DefaultParagraphFont"/>
    <w:uiPriority w:val="99"/>
    <w:semiHidden/>
    <w:unhideWhenUsed/>
    <w:rsid w:val="0054545F"/>
    <w:rPr>
      <w:color w:val="605E5C"/>
      <w:shd w:val="clear" w:color="auto" w:fill="E1DFDD"/>
    </w:rPr>
  </w:style>
  <w:style w:type="paragraph" w:customStyle="1" w:styleId="p1">
    <w:name w:val="p1"/>
    <w:basedOn w:val="Normal"/>
    <w:rsid w:val="00C61ECF"/>
    <w:pPr>
      <w:spacing w:before="100" w:beforeAutospacing="1" w:after="100" w:afterAutospacing="1"/>
    </w:pPr>
    <w:rPr>
      <w:rFonts w:ascii="Times New Roman" w:eastAsia="Times New Roman" w:hAnsi="Times New Roman"/>
      <w:sz w:val="24"/>
      <w:szCs w:val="24"/>
      <w:lang w:eastAsia="lv-LV"/>
    </w:rPr>
  </w:style>
  <w:style w:type="character" w:customStyle="1" w:styleId="Hyperlink1">
    <w:name w:val="Hyperlink1"/>
    <w:basedOn w:val="DefaultParagraphFont"/>
    <w:uiPriority w:val="99"/>
    <w:rsid w:val="0057261C"/>
    <w:rPr>
      <w:color w:val="0000FF"/>
      <w:u w:val="single"/>
    </w:rPr>
  </w:style>
  <w:style w:type="character" w:customStyle="1" w:styleId="multiline">
    <w:name w:val="multiline"/>
    <w:basedOn w:val="DefaultParagraphFont"/>
    <w:rsid w:val="001A534A"/>
  </w:style>
  <w:style w:type="character" w:styleId="UnresolvedMention">
    <w:name w:val="Unresolved Mention"/>
    <w:basedOn w:val="DefaultParagraphFont"/>
    <w:uiPriority w:val="99"/>
    <w:semiHidden/>
    <w:unhideWhenUsed/>
    <w:rsid w:val="00E40D26"/>
    <w:rPr>
      <w:color w:val="605E5C"/>
      <w:shd w:val="clear" w:color="auto" w:fill="E1DFDD"/>
    </w:rPr>
  </w:style>
  <w:style w:type="character" w:customStyle="1" w:styleId="Heading4Char">
    <w:name w:val="Heading 4 Char"/>
    <w:basedOn w:val="DefaultParagraphFont"/>
    <w:link w:val="Heading4"/>
    <w:uiPriority w:val="9"/>
    <w:semiHidden/>
    <w:rsid w:val="00BE0A64"/>
    <w:rPr>
      <w:rFonts w:asciiTheme="majorHAnsi" w:eastAsiaTheme="majorEastAsia" w:hAnsiTheme="majorHAnsi" w:cstheme="majorBidi"/>
      <w:i/>
      <w:iCs/>
      <w:color w:val="365F91" w:themeColor="accent1" w:themeShade="BF"/>
      <w:sz w:val="20"/>
    </w:rPr>
  </w:style>
  <w:style w:type="table" w:customStyle="1" w:styleId="TableGrid7">
    <w:name w:val="Table Grid7"/>
    <w:basedOn w:val="TableNormal"/>
    <w:next w:val="TableGrid"/>
    <w:uiPriority w:val="39"/>
    <w:rsid w:val="001231A9"/>
    <w:rPr>
      <w:rFonts w:eastAsia="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312">
    <w:name w:val="Grid Table 5 Dark - Accent 312"/>
    <w:basedOn w:val="TableNormal"/>
    <w:uiPriority w:val="50"/>
    <w:rsid w:val="000629C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8">
    <w:name w:val="Table Grid8"/>
    <w:basedOn w:val="TableNormal"/>
    <w:next w:val="TableGrid"/>
    <w:uiPriority w:val="39"/>
    <w:rsid w:val="000629C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E74F0"/>
    <w:rPr>
      <w:rFonts w:asciiTheme="minorHAnsi" w:hAnsiTheme="minorHAnsi"/>
      <w:sz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AE74F0"/>
  </w:style>
  <w:style w:type="table" w:styleId="GridTable1Light-Accent5">
    <w:name w:val="Grid Table 1 Light Accent 5"/>
    <w:basedOn w:val="TableNormal"/>
    <w:uiPriority w:val="46"/>
    <w:rsid w:val="00AE74F0"/>
    <w:rPr>
      <w:rFonts w:asciiTheme="minorHAnsi" w:hAnsiTheme="minorHAnsi"/>
      <w:sz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FootnoteText1">
    <w:name w:val="Footnote Text1"/>
    <w:basedOn w:val="Normal"/>
    <w:next w:val="FootnoteText"/>
    <w:uiPriority w:val="99"/>
    <w:unhideWhenUsed/>
    <w:rsid w:val="00E029D7"/>
    <w:pPr>
      <w:spacing w:after="0"/>
    </w:pPr>
    <w:rPr>
      <w:rFonts w:ascii="Times New Roman" w:eastAsiaTheme="minorHAnsi" w:hAnsi="Times New Roman" w:cstheme="minorBidi"/>
      <w:szCs w:val="20"/>
    </w:rPr>
  </w:style>
  <w:style w:type="paragraph" w:customStyle="1" w:styleId="xmsonormal">
    <w:name w:val="x_msonormal"/>
    <w:basedOn w:val="Normal"/>
    <w:rsid w:val="00291E55"/>
    <w:pPr>
      <w:spacing w:before="100" w:beforeAutospacing="1" w:after="100" w:afterAutospacing="1"/>
    </w:pPr>
    <w:rPr>
      <w:rFonts w:ascii="Times New Roman" w:eastAsia="Times New Roman" w:hAnsi="Times New Roman"/>
      <w:sz w:val="24"/>
      <w:szCs w:val="24"/>
      <w:lang w:eastAsia="lv-LV"/>
    </w:rPr>
  </w:style>
  <w:style w:type="table" w:styleId="GridTable4-Accent4">
    <w:name w:val="Grid Table 4 Accent 4"/>
    <w:basedOn w:val="TableNormal"/>
    <w:uiPriority w:val="49"/>
    <w:rsid w:val="0066279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ui-provider">
    <w:name w:val="ui-provider"/>
    <w:basedOn w:val="DefaultParagraphFont"/>
    <w:rsid w:val="00A70DBF"/>
  </w:style>
  <w:style w:type="paragraph" w:styleId="TOCHeading">
    <w:name w:val="TOC Heading"/>
    <w:basedOn w:val="Heading1"/>
    <w:next w:val="Normal"/>
    <w:uiPriority w:val="39"/>
    <w:unhideWhenUsed/>
    <w:qFormat/>
    <w:rsid w:val="00137191"/>
    <w:pPr>
      <w:keepLines/>
      <w:spacing w:before="240" w:after="0" w:line="259" w:lineRule="auto"/>
      <w:outlineLvl w:val="9"/>
    </w:pPr>
    <w:rPr>
      <w:rFonts w:asciiTheme="majorHAnsi" w:eastAsiaTheme="majorEastAsia" w:hAnsiTheme="majorHAnsi" w:cstheme="majorBidi"/>
      <w:b w:val="0"/>
      <w:caps w:val="0"/>
      <w:color w:val="365F91" w:themeColor="accent1" w:themeShade="BF"/>
      <w:sz w:val="32"/>
      <w:szCs w:val="32"/>
      <w:lang w:val="en-US"/>
    </w:rPr>
  </w:style>
  <w:style w:type="paragraph" w:customStyle="1" w:styleId="tv213">
    <w:name w:val="tv213"/>
    <w:basedOn w:val="Normal"/>
    <w:uiPriority w:val="99"/>
    <w:rsid w:val="00B40C2D"/>
    <w:pPr>
      <w:spacing w:before="100" w:beforeAutospacing="1" w:after="100" w:afterAutospacing="1"/>
    </w:pPr>
    <w:rPr>
      <w:rFonts w:ascii="Times New Roman" w:eastAsia="Times New Roman" w:hAnsi="Times New Roman"/>
      <w:sz w:val="24"/>
      <w:szCs w:val="24"/>
      <w:lang w:eastAsia="lv-LV"/>
    </w:rPr>
  </w:style>
  <w:style w:type="paragraph" w:customStyle="1" w:styleId="paragraph">
    <w:name w:val="paragraph"/>
    <w:basedOn w:val="Normal"/>
    <w:rsid w:val="00B40C2D"/>
    <w:pPr>
      <w:spacing w:before="100" w:beforeAutospacing="1" w:after="100" w:afterAutospacing="1"/>
    </w:pPr>
    <w:rPr>
      <w:rFonts w:ascii="Times New Roman" w:eastAsia="Times New Roman" w:hAnsi="Times New Roman"/>
      <w:sz w:val="24"/>
      <w:szCs w:val="24"/>
      <w:lang w:val="en-GB" w:eastAsia="en-GB"/>
    </w:rPr>
  </w:style>
  <w:style w:type="paragraph" w:customStyle="1" w:styleId="Parasts">
    <w:name w:val="Parasts"/>
    <w:uiPriority w:val="99"/>
    <w:rsid w:val="00B40C2D"/>
    <w:pPr>
      <w:suppressAutoHyphens/>
      <w:autoSpaceDN w:val="0"/>
    </w:pPr>
    <w:rPr>
      <w:rFonts w:ascii="Calibri" w:eastAsia="Times New Roman" w:hAnsi="Calibri" w:cs="Calibri"/>
      <w:sz w:val="22"/>
      <w:lang w:eastAsia="lv-LV"/>
    </w:rPr>
  </w:style>
  <w:style w:type="character" w:customStyle="1" w:styleId="normaltextrun">
    <w:name w:val="normaltextrun"/>
    <w:basedOn w:val="DefaultParagraphFont"/>
    <w:rsid w:val="00B40C2D"/>
  </w:style>
  <w:style w:type="character" w:customStyle="1" w:styleId="eop">
    <w:name w:val="eop"/>
    <w:basedOn w:val="DefaultParagraphFont"/>
    <w:rsid w:val="00B40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714">
      <w:bodyDiv w:val="1"/>
      <w:marLeft w:val="0"/>
      <w:marRight w:val="0"/>
      <w:marTop w:val="0"/>
      <w:marBottom w:val="0"/>
      <w:divBdr>
        <w:top w:val="none" w:sz="0" w:space="0" w:color="auto"/>
        <w:left w:val="none" w:sz="0" w:space="0" w:color="auto"/>
        <w:bottom w:val="none" w:sz="0" w:space="0" w:color="auto"/>
        <w:right w:val="none" w:sz="0" w:space="0" w:color="auto"/>
      </w:divBdr>
    </w:div>
    <w:div w:id="5374248">
      <w:bodyDiv w:val="1"/>
      <w:marLeft w:val="0"/>
      <w:marRight w:val="0"/>
      <w:marTop w:val="0"/>
      <w:marBottom w:val="0"/>
      <w:divBdr>
        <w:top w:val="none" w:sz="0" w:space="0" w:color="auto"/>
        <w:left w:val="none" w:sz="0" w:space="0" w:color="auto"/>
        <w:bottom w:val="none" w:sz="0" w:space="0" w:color="auto"/>
        <w:right w:val="none" w:sz="0" w:space="0" w:color="auto"/>
      </w:divBdr>
    </w:div>
    <w:div w:id="8336412">
      <w:bodyDiv w:val="1"/>
      <w:marLeft w:val="0"/>
      <w:marRight w:val="0"/>
      <w:marTop w:val="0"/>
      <w:marBottom w:val="0"/>
      <w:divBdr>
        <w:top w:val="none" w:sz="0" w:space="0" w:color="auto"/>
        <w:left w:val="none" w:sz="0" w:space="0" w:color="auto"/>
        <w:bottom w:val="none" w:sz="0" w:space="0" w:color="auto"/>
        <w:right w:val="none" w:sz="0" w:space="0" w:color="auto"/>
      </w:divBdr>
    </w:div>
    <w:div w:id="20402872">
      <w:bodyDiv w:val="1"/>
      <w:marLeft w:val="0"/>
      <w:marRight w:val="0"/>
      <w:marTop w:val="0"/>
      <w:marBottom w:val="0"/>
      <w:divBdr>
        <w:top w:val="none" w:sz="0" w:space="0" w:color="auto"/>
        <w:left w:val="none" w:sz="0" w:space="0" w:color="auto"/>
        <w:bottom w:val="none" w:sz="0" w:space="0" w:color="auto"/>
        <w:right w:val="none" w:sz="0" w:space="0" w:color="auto"/>
      </w:divBdr>
    </w:div>
    <w:div w:id="22634547">
      <w:bodyDiv w:val="1"/>
      <w:marLeft w:val="0"/>
      <w:marRight w:val="0"/>
      <w:marTop w:val="0"/>
      <w:marBottom w:val="0"/>
      <w:divBdr>
        <w:top w:val="none" w:sz="0" w:space="0" w:color="auto"/>
        <w:left w:val="none" w:sz="0" w:space="0" w:color="auto"/>
        <w:bottom w:val="none" w:sz="0" w:space="0" w:color="auto"/>
        <w:right w:val="none" w:sz="0" w:space="0" w:color="auto"/>
      </w:divBdr>
    </w:div>
    <w:div w:id="26563655">
      <w:bodyDiv w:val="1"/>
      <w:marLeft w:val="0"/>
      <w:marRight w:val="0"/>
      <w:marTop w:val="0"/>
      <w:marBottom w:val="0"/>
      <w:divBdr>
        <w:top w:val="none" w:sz="0" w:space="0" w:color="auto"/>
        <w:left w:val="none" w:sz="0" w:space="0" w:color="auto"/>
        <w:bottom w:val="none" w:sz="0" w:space="0" w:color="auto"/>
        <w:right w:val="none" w:sz="0" w:space="0" w:color="auto"/>
      </w:divBdr>
    </w:div>
    <w:div w:id="40441132">
      <w:bodyDiv w:val="1"/>
      <w:marLeft w:val="0"/>
      <w:marRight w:val="0"/>
      <w:marTop w:val="0"/>
      <w:marBottom w:val="0"/>
      <w:divBdr>
        <w:top w:val="none" w:sz="0" w:space="0" w:color="auto"/>
        <w:left w:val="none" w:sz="0" w:space="0" w:color="auto"/>
        <w:bottom w:val="none" w:sz="0" w:space="0" w:color="auto"/>
        <w:right w:val="none" w:sz="0" w:space="0" w:color="auto"/>
      </w:divBdr>
    </w:div>
    <w:div w:id="135685899">
      <w:bodyDiv w:val="1"/>
      <w:marLeft w:val="0"/>
      <w:marRight w:val="0"/>
      <w:marTop w:val="0"/>
      <w:marBottom w:val="0"/>
      <w:divBdr>
        <w:top w:val="none" w:sz="0" w:space="0" w:color="auto"/>
        <w:left w:val="none" w:sz="0" w:space="0" w:color="auto"/>
        <w:bottom w:val="none" w:sz="0" w:space="0" w:color="auto"/>
        <w:right w:val="none" w:sz="0" w:space="0" w:color="auto"/>
      </w:divBdr>
    </w:div>
    <w:div w:id="146216261">
      <w:bodyDiv w:val="1"/>
      <w:marLeft w:val="0"/>
      <w:marRight w:val="0"/>
      <w:marTop w:val="0"/>
      <w:marBottom w:val="0"/>
      <w:divBdr>
        <w:top w:val="none" w:sz="0" w:space="0" w:color="auto"/>
        <w:left w:val="none" w:sz="0" w:space="0" w:color="auto"/>
        <w:bottom w:val="none" w:sz="0" w:space="0" w:color="auto"/>
        <w:right w:val="none" w:sz="0" w:space="0" w:color="auto"/>
      </w:divBdr>
    </w:div>
    <w:div w:id="188153965">
      <w:bodyDiv w:val="1"/>
      <w:marLeft w:val="0"/>
      <w:marRight w:val="0"/>
      <w:marTop w:val="0"/>
      <w:marBottom w:val="0"/>
      <w:divBdr>
        <w:top w:val="none" w:sz="0" w:space="0" w:color="auto"/>
        <w:left w:val="none" w:sz="0" w:space="0" w:color="auto"/>
        <w:bottom w:val="none" w:sz="0" w:space="0" w:color="auto"/>
        <w:right w:val="none" w:sz="0" w:space="0" w:color="auto"/>
      </w:divBdr>
    </w:div>
    <w:div w:id="251478940">
      <w:bodyDiv w:val="1"/>
      <w:marLeft w:val="0"/>
      <w:marRight w:val="0"/>
      <w:marTop w:val="0"/>
      <w:marBottom w:val="0"/>
      <w:divBdr>
        <w:top w:val="none" w:sz="0" w:space="0" w:color="auto"/>
        <w:left w:val="none" w:sz="0" w:space="0" w:color="auto"/>
        <w:bottom w:val="none" w:sz="0" w:space="0" w:color="auto"/>
        <w:right w:val="none" w:sz="0" w:space="0" w:color="auto"/>
      </w:divBdr>
    </w:div>
    <w:div w:id="273484736">
      <w:bodyDiv w:val="1"/>
      <w:marLeft w:val="0"/>
      <w:marRight w:val="0"/>
      <w:marTop w:val="0"/>
      <w:marBottom w:val="0"/>
      <w:divBdr>
        <w:top w:val="none" w:sz="0" w:space="0" w:color="auto"/>
        <w:left w:val="none" w:sz="0" w:space="0" w:color="auto"/>
        <w:bottom w:val="none" w:sz="0" w:space="0" w:color="auto"/>
        <w:right w:val="none" w:sz="0" w:space="0" w:color="auto"/>
      </w:divBdr>
    </w:div>
    <w:div w:id="313608373">
      <w:bodyDiv w:val="1"/>
      <w:marLeft w:val="0"/>
      <w:marRight w:val="0"/>
      <w:marTop w:val="0"/>
      <w:marBottom w:val="0"/>
      <w:divBdr>
        <w:top w:val="none" w:sz="0" w:space="0" w:color="auto"/>
        <w:left w:val="none" w:sz="0" w:space="0" w:color="auto"/>
        <w:bottom w:val="none" w:sz="0" w:space="0" w:color="auto"/>
        <w:right w:val="none" w:sz="0" w:space="0" w:color="auto"/>
      </w:divBdr>
    </w:div>
    <w:div w:id="316803860">
      <w:bodyDiv w:val="1"/>
      <w:marLeft w:val="0"/>
      <w:marRight w:val="0"/>
      <w:marTop w:val="0"/>
      <w:marBottom w:val="0"/>
      <w:divBdr>
        <w:top w:val="none" w:sz="0" w:space="0" w:color="auto"/>
        <w:left w:val="none" w:sz="0" w:space="0" w:color="auto"/>
        <w:bottom w:val="none" w:sz="0" w:space="0" w:color="auto"/>
        <w:right w:val="none" w:sz="0" w:space="0" w:color="auto"/>
      </w:divBdr>
    </w:div>
    <w:div w:id="345210301">
      <w:bodyDiv w:val="1"/>
      <w:marLeft w:val="0"/>
      <w:marRight w:val="0"/>
      <w:marTop w:val="0"/>
      <w:marBottom w:val="0"/>
      <w:divBdr>
        <w:top w:val="none" w:sz="0" w:space="0" w:color="auto"/>
        <w:left w:val="none" w:sz="0" w:space="0" w:color="auto"/>
        <w:bottom w:val="none" w:sz="0" w:space="0" w:color="auto"/>
        <w:right w:val="none" w:sz="0" w:space="0" w:color="auto"/>
      </w:divBdr>
    </w:div>
    <w:div w:id="363405851">
      <w:bodyDiv w:val="1"/>
      <w:marLeft w:val="0"/>
      <w:marRight w:val="0"/>
      <w:marTop w:val="0"/>
      <w:marBottom w:val="0"/>
      <w:divBdr>
        <w:top w:val="none" w:sz="0" w:space="0" w:color="auto"/>
        <w:left w:val="none" w:sz="0" w:space="0" w:color="auto"/>
        <w:bottom w:val="none" w:sz="0" w:space="0" w:color="auto"/>
        <w:right w:val="none" w:sz="0" w:space="0" w:color="auto"/>
      </w:divBdr>
    </w:div>
    <w:div w:id="376782415">
      <w:bodyDiv w:val="1"/>
      <w:marLeft w:val="0"/>
      <w:marRight w:val="0"/>
      <w:marTop w:val="0"/>
      <w:marBottom w:val="0"/>
      <w:divBdr>
        <w:top w:val="none" w:sz="0" w:space="0" w:color="auto"/>
        <w:left w:val="none" w:sz="0" w:space="0" w:color="auto"/>
        <w:bottom w:val="none" w:sz="0" w:space="0" w:color="auto"/>
        <w:right w:val="none" w:sz="0" w:space="0" w:color="auto"/>
      </w:divBdr>
    </w:div>
    <w:div w:id="379016514">
      <w:bodyDiv w:val="1"/>
      <w:marLeft w:val="0"/>
      <w:marRight w:val="0"/>
      <w:marTop w:val="0"/>
      <w:marBottom w:val="0"/>
      <w:divBdr>
        <w:top w:val="none" w:sz="0" w:space="0" w:color="auto"/>
        <w:left w:val="none" w:sz="0" w:space="0" w:color="auto"/>
        <w:bottom w:val="none" w:sz="0" w:space="0" w:color="auto"/>
        <w:right w:val="none" w:sz="0" w:space="0" w:color="auto"/>
      </w:divBdr>
      <w:divsChild>
        <w:div w:id="933901500">
          <w:marLeft w:val="0"/>
          <w:marRight w:val="0"/>
          <w:marTop w:val="0"/>
          <w:marBottom w:val="0"/>
          <w:divBdr>
            <w:top w:val="none" w:sz="0" w:space="0" w:color="auto"/>
            <w:left w:val="none" w:sz="0" w:space="0" w:color="auto"/>
            <w:bottom w:val="none" w:sz="0" w:space="0" w:color="auto"/>
            <w:right w:val="none" w:sz="0" w:space="0" w:color="auto"/>
          </w:divBdr>
          <w:divsChild>
            <w:div w:id="308637852">
              <w:marLeft w:val="0"/>
              <w:marRight w:val="0"/>
              <w:marTop w:val="0"/>
              <w:marBottom w:val="0"/>
              <w:divBdr>
                <w:top w:val="none" w:sz="0" w:space="0" w:color="auto"/>
                <w:left w:val="none" w:sz="0" w:space="0" w:color="auto"/>
                <w:bottom w:val="none" w:sz="0" w:space="0" w:color="auto"/>
                <w:right w:val="none" w:sz="0" w:space="0" w:color="auto"/>
              </w:divBdr>
              <w:divsChild>
                <w:div w:id="156190715">
                  <w:marLeft w:val="0"/>
                  <w:marRight w:val="0"/>
                  <w:marTop w:val="0"/>
                  <w:marBottom w:val="0"/>
                  <w:divBdr>
                    <w:top w:val="none" w:sz="0" w:space="0" w:color="auto"/>
                    <w:left w:val="none" w:sz="0" w:space="0" w:color="auto"/>
                    <w:bottom w:val="none" w:sz="0" w:space="0" w:color="auto"/>
                    <w:right w:val="none" w:sz="0" w:space="0" w:color="auto"/>
                  </w:divBdr>
                  <w:divsChild>
                    <w:div w:id="1328942705">
                      <w:marLeft w:val="0"/>
                      <w:marRight w:val="0"/>
                      <w:marTop w:val="0"/>
                      <w:marBottom w:val="0"/>
                      <w:divBdr>
                        <w:top w:val="none" w:sz="0" w:space="0" w:color="auto"/>
                        <w:left w:val="none" w:sz="0" w:space="0" w:color="auto"/>
                        <w:bottom w:val="none" w:sz="0" w:space="0" w:color="auto"/>
                        <w:right w:val="none" w:sz="0" w:space="0" w:color="auto"/>
                      </w:divBdr>
                      <w:divsChild>
                        <w:div w:id="1371490344">
                          <w:marLeft w:val="0"/>
                          <w:marRight w:val="0"/>
                          <w:marTop w:val="0"/>
                          <w:marBottom w:val="0"/>
                          <w:divBdr>
                            <w:top w:val="none" w:sz="0" w:space="0" w:color="auto"/>
                            <w:left w:val="none" w:sz="0" w:space="0" w:color="auto"/>
                            <w:bottom w:val="none" w:sz="0" w:space="0" w:color="auto"/>
                            <w:right w:val="none" w:sz="0" w:space="0" w:color="auto"/>
                          </w:divBdr>
                          <w:divsChild>
                            <w:div w:id="1494645711">
                              <w:marLeft w:val="0"/>
                              <w:marRight w:val="0"/>
                              <w:marTop w:val="0"/>
                              <w:marBottom w:val="0"/>
                              <w:divBdr>
                                <w:top w:val="single" w:sz="6" w:space="0" w:color="DDDDDD"/>
                                <w:left w:val="none" w:sz="0" w:space="0" w:color="auto"/>
                                <w:bottom w:val="none" w:sz="0" w:space="0" w:color="auto"/>
                                <w:right w:val="none" w:sz="0" w:space="0" w:color="auto"/>
                              </w:divBdr>
                              <w:divsChild>
                                <w:div w:id="627273258">
                                  <w:marLeft w:val="0"/>
                                  <w:marRight w:val="0"/>
                                  <w:marTop w:val="0"/>
                                  <w:marBottom w:val="0"/>
                                  <w:divBdr>
                                    <w:top w:val="none" w:sz="0" w:space="0" w:color="auto"/>
                                    <w:left w:val="none" w:sz="0" w:space="0" w:color="auto"/>
                                    <w:bottom w:val="single" w:sz="6" w:space="0" w:color="D1D1D1"/>
                                    <w:right w:val="none" w:sz="0" w:space="0" w:color="auto"/>
                                  </w:divBdr>
                                  <w:divsChild>
                                    <w:div w:id="1773353972">
                                      <w:marLeft w:val="0"/>
                                      <w:marRight w:val="0"/>
                                      <w:marTop w:val="0"/>
                                      <w:marBottom w:val="0"/>
                                      <w:divBdr>
                                        <w:top w:val="none" w:sz="0" w:space="0" w:color="auto"/>
                                        <w:left w:val="none" w:sz="0" w:space="0" w:color="auto"/>
                                        <w:bottom w:val="none" w:sz="0" w:space="0" w:color="auto"/>
                                        <w:right w:val="none" w:sz="0" w:space="0" w:color="auto"/>
                                      </w:divBdr>
                                      <w:divsChild>
                                        <w:div w:id="456490729">
                                          <w:marLeft w:val="0"/>
                                          <w:marRight w:val="0"/>
                                          <w:marTop w:val="0"/>
                                          <w:marBottom w:val="0"/>
                                          <w:divBdr>
                                            <w:top w:val="none" w:sz="0" w:space="0" w:color="auto"/>
                                            <w:left w:val="none" w:sz="0" w:space="0" w:color="auto"/>
                                            <w:bottom w:val="none" w:sz="0" w:space="0" w:color="auto"/>
                                            <w:right w:val="none" w:sz="0" w:space="0" w:color="auto"/>
                                          </w:divBdr>
                                        </w:div>
                                        <w:div w:id="9637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9251460">
      <w:bodyDiv w:val="1"/>
      <w:marLeft w:val="0"/>
      <w:marRight w:val="0"/>
      <w:marTop w:val="0"/>
      <w:marBottom w:val="0"/>
      <w:divBdr>
        <w:top w:val="none" w:sz="0" w:space="0" w:color="auto"/>
        <w:left w:val="none" w:sz="0" w:space="0" w:color="auto"/>
        <w:bottom w:val="none" w:sz="0" w:space="0" w:color="auto"/>
        <w:right w:val="none" w:sz="0" w:space="0" w:color="auto"/>
      </w:divBdr>
    </w:div>
    <w:div w:id="450056374">
      <w:bodyDiv w:val="1"/>
      <w:marLeft w:val="0"/>
      <w:marRight w:val="0"/>
      <w:marTop w:val="0"/>
      <w:marBottom w:val="0"/>
      <w:divBdr>
        <w:top w:val="none" w:sz="0" w:space="0" w:color="auto"/>
        <w:left w:val="none" w:sz="0" w:space="0" w:color="auto"/>
        <w:bottom w:val="none" w:sz="0" w:space="0" w:color="auto"/>
        <w:right w:val="none" w:sz="0" w:space="0" w:color="auto"/>
      </w:divBdr>
    </w:div>
    <w:div w:id="458914806">
      <w:bodyDiv w:val="1"/>
      <w:marLeft w:val="0"/>
      <w:marRight w:val="0"/>
      <w:marTop w:val="0"/>
      <w:marBottom w:val="0"/>
      <w:divBdr>
        <w:top w:val="none" w:sz="0" w:space="0" w:color="auto"/>
        <w:left w:val="none" w:sz="0" w:space="0" w:color="auto"/>
        <w:bottom w:val="none" w:sz="0" w:space="0" w:color="auto"/>
        <w:right w:val="none" w:sz="0" w:space="0" w:color="auto"/>
      </w:divBdr>
    </w:div>
    <w:div w:id="461267268">
      <w:bodyDiv w:val="1"/>
      <w:marLeft w:val="0"/>
      <w:marRight w:val="0"/>
      <w:marTop w:val="0"/>
      <w:marBottom w:val="0"/>
      <w:divBdr>
        <w:top w:val="none" w:sz="0" w:space="0" w:color="auto"/>
        <w:left w:val="none" w:sz="0" w:space="0" w:color="auto"/>
        <w:bottom w:val="none" w:sz="0" w:space="0" w:color="auto"/>
        <w:right w:val="none" w:sz="0" w:space="0" w:color="auto"/>
      </w:divBdr>
    </w:div>
    <w:div w:id="496847866">
      <w:bodyDiv w:val="1"/>
      <w:marLeft w:val="0"/>
      <w:marRight w:val="0"/>
      <w:marTop w:val="0"/>
      <w:marBottom w:val="0"/>
      <w:divBdr>
        <w:top w:val="none" w:sz="0" w:space="0" w:color="auto"/>
        <w:left w:val="none" w:sz="0" w:space="0" w:color="auto"/>
        <w:bottom w:val="none" w:sz="0" w:space="0" w:color="auto"/>
        <w:right w:val="none" w:sz="0" w:space="0" w:color="auto"/>
      </w:divBdr>
    </w:div>
    <w:div w:id="502748957">
      <w:bodyDiv w:val="1"/>
      <w:marLeft w:val="0"/>
      <w:marRight w:val="0"/>
      <w:marTop w:val="0"/>
      <w:marBottom w:val="0"/>
      <w:divBdr>
        <w:top w:val="none" w:sz="0" w:space="0" w:color="auto"/>
        <w:left w:val="none" w:sz="0" w:space="0" w:color="auto"/>
        <w:bottom w:val="none" w:sz="0" w:space="0" w:color="auto"/>
        <w:right w:val="none" w:sz="0" w:space="0" w:color="auto"/>
      </w:divBdr>
    </w:div>
    <w:div w:id="519901071">
      <w:bodyDiv w:val="1"/>
      <w:marLeft w:val="0"/>
      <w:marRight w:val="0"/>
      <w:marTop w:val="0"/>
      <w:marBottom w:val="0"/>
      <w:divBdr>
        <w:top w:val="none" w:sz="0" w:space="0" w:color="auto"/>
        <w:left w:val="none" w:sz="0" w:space="0" w:color="auto"/>
        <w:bottom w:val="none" w:sz="0" w:space="0" w:color="auto"/>
        <w:right w:val="none" w:sz="0" w:space="0" w:color="auto"/>
      </w:divBdr>
    </w:div>
    <w:div w:id="573274492">
      <w:bodyDiv w:val="1"/>
      <w:marLeft w:val="0"/>
      <w:marRight w:val="0"/>
      <w:marTop w:val="0"/>
      <w:marBottom w:val="0"/>
      <w:divBdr>
        <w:top w:val="none" w:sz="0" w:space="0" w:color="auto"/>
        <w:left w:val="none" w:sz="0" w:space="0" w:color="auto"/>
        <w:bottom w:val="none" w:sz="0" w:space="0" w:color="auto"/>
        <w:right w:val="none" w:sz="0" w:space="0" w:color="auto"/>
      </w:divBdr>
    </w:div>
    <w:div w:id="574970938">
      <w:bodyDiv w:val="1"/>
      <w:marLeft w:val="0"/>
      <w:marRight w:val="0"/>
      <w:marTop w:val="0"/>
      <w:marBottom w:val="0"/>
      <w:divBdr>
        <w:top w:val="none" w:sz="0" w:space="0" w:color="auto"/>
        <w:left w:val="none" w:sz="0" w:space="0" w:color="auto"/>
        <w:bottom w:val="none" w:sz="0" w:space="0" w:color="auto"/>
        <w:right w:val="none" w:sz="0" w:space="0" w:color="auto"/>
      </w:divBdr>
    </w:div>
    <w:div w:id="585651710">
      <w:bodyDiv w:val="1"/>
      <w:marLeft w:val="0"/>
      <w:marRight w:val="0"/>
      <w:marTop w:val="0"/>
      <w:marBottom w:val="0"/>
      <w:divBdr>
        <w:top w:val="none" w:sz="0" w:space="0" w:color="auto"/>
        <w:left w:val="none" w:sz="0" w:space="0" w:color="auto"/>
        <w:bottom w:val="none" w:sz="0" w:space="0" w:color="auto"/>
        <w:right w:val="none" w:sz="0" w:space="0" w:color="auto"/>
      </w:divBdr>
    </w:div>
    <w:div w:id="620456303">
      <w:bodyDiv w:val="1"/>
      <w:marLeft w:val="0"/>
      <w:marRight w:val="0"/>
      <w:marTop w:val="0"/>
      <w:marBottom w:val="0"/>
      <w:divBdr>
        <w:top w:val="none" w:sz="0" w:space="0" w:color="auto"/>
        <w:left w:val="none" w:sz="0" w:space="0" w:color="auto"/>
        <w:bottom w:val="none" w:sz="0" w:space="0" w:color="auto"/>
        <w:right w:val="none" w:sz="0" w:space="0" w:color="auto"/>
      </w:divBdr>
    </w:div>
    <w:div w:id="626737158">
      <w:bodyDiv w:val="1"/>
      <w:marLeft w:val="0"/>
      <w:marRight w:val="0"/>
      <w:marTop w:val="0"/>
      <w:marBottom w:val="0"/>
      <w:divBdr>
        <w:top w:val="none" w:sz="0" w:space="0" w:color="auto"/>
        <w:left w:val="none" w:sz="0" w:space="0" w:color="auto"/>
        <w:bottom w:val="none" w:sz="0" w:space="0" w:color="auto"/>
        <w:right w:val="none" w:sz="0" w:space="0" w:color="auto"/>
      </w:divBdr>
    </w:div>
    <w:div w:id="639723138">
      <w:bodyDiv w:val="1"/>
      <w:marLeft w:val="0"/>
      <w:marRight w:val="0"/>
      <w:marTop w:val="0"/>
      <w:marBottom w:val="0"/>
      <w:divBdr>
        <w:top w:val="none" w:sz="0" w:space="0" w:color="auto"/>
        <w:left w:val="none" w:sz="0" w:space="0" w:color="auto"/>
        <w:bottom w:val="none" w:sz="0" w:space="0" w:color="auto"/>
        <w:right w:val="none" w:sz="0" w:space="0" w:color="auto"/>
      </w:divBdr>
    </w:div>
    <w:div w:id="644507772">
      <w:bodyDiv w:val="1"/>
      <w:marLeft w:val="0"/>
      <w:marRight w:val="0"/>
      <w:marTop w:val="0"/>
      <w:marBottom w:val="0"/>
      <w:divBdr>
        <w:top w:val="none" w:sz="0" w:space="0" w:color="auto"/>
        <w:left w:val="none" w:sz="0" w:space="0" w:color="auto"/>
        <w:bottom w:val="none" w:sz="0" w:space="0" w:color="auto"/>
        <w:right w:val="none" w:sz="0" w:space="0" w:color="auto"/>
      </w:divBdr>
    </w:div>
    <w:div w:id="655380635">
      <w:bodyDiv w:val="1"/>
      <w:marLeft w:val="0"/>
      <w:marRight w:val="0"/>
      <w:marTop w:val="0"/>
      <w:marBottom w:val="0"/>
      <w:divBdr>
        <w:top w:val="none" w:sz="0" w:space="0" w:color="auto"/>
        <w:left w:val="none" w:sz="0" w:space="0" w:color="auto"/>
        <w:bottom w:val="none" w:sz="0" w:space="0" w:color="auto"/>
        <w:right w:val="none" w:sz="0" w:space="0" w:color="auto"/>
      </w:divBdr>
    </w:div>
    <w:div w:id="664163175">
      <w:bodyDiv w:val="1"/>
      <w:marLeft w:val="0"/>
      <w:marRight w:val="0"/>
      <w:marTop w:val="0"/>
      <w:marBottom w:val="0"/>
      <w:divBdr>
        <w:top w:val="none" w:sz="0" w:space="0" w:color="auto"/>
        <w:left w:val="none" w:sz="0" w:space="0" w:color="auto"/>
        <w:bottom w:val="none" w:sz="0" w:space="0" w:color="auto"/>
        <w:right w:val="none" w:sz="0" w:space="0" w:color="auto"/>
      </w:divBdr>
    </w:div>
    <w:div w:id="677074909">
      <w:bodyDiv w:val="1"/>
      <w:marLeft w:val="0"/>
      <w:marRight w:val="0"/>
      <w:marTop w:val="0"/>
      <w:marBottom w:val="0"/>
      <w:divBdr>
        <w:top w:val="none" w:sz="0" w:space="0" w:color="auto"/>
        <w:left w:val="none" w:sz="0" w:space="0" w:color="auto"/>
        <w:bottom w:val="none" w:sz="0" w:space="0" w:color="auto"/>
        <w:right w:val="none" w:sz="0" w:space="0" w:color="auto"/>
      </w:divBdr>
    </w:div>
    <w:div w:id="688797293">
      <w:bodyDiv w:val="1"/>
      <w:marLeft w:val="0"/>
      <w:marRight w:val="0"/>
      <w:marTop w:val="0"/>
      <w:marBottom w:val="0"/>
      <w:divBdr>
        <w:top w:val="none" w:sz="0" w:space="0" w:color="auto"/>
        <w:left w:val="none" w:sz="0" w:space="0" w:color="auto"/>
        <w:bottom w:val="none" w:sz="0" w:space="0" w:color="auto"/>
        <w:right w:val="none" w:sz="0" w:space="0" w:color="auto"/>
      </w:divBdr>
    </w:div>
    <w:div w:id="695473043">
      <w:bodyDiv w:val="1"/>
      <w:marLeft w:val="0"/>
      <w:marRight w:val="0"/>
      <w:marTop w:val="0"/>
      <w:marBottom w:val="0"/>
      <w:divBdr>
        <w:top w:val="none" w:sz="0" w:space="0" w:color="auto"/>
        <w:left w:val="none" w:sz="0" w:space="0" w:color="auto"/>
        <w:bottom w:val="none" w:sz="0" w:space="0" w:color="auto"/>
        <w:right w:val="none" w:sz="0" w:space="0" w:color="auto"/>
      </w:divBdr>
    </w:div>
    <w:div w:id="705065930">
      <w:bodyDiv w:val="1"/>
      <w:marLeft w:val="0"/>
      <w:marRight w:val="0"/>
      <w:marTop w:val="0"/>
      <w:marBottom w:val="0"/>
      <w:divBdr>
        <w:top w:val="none" w:sz="0" w:space="0" w:color="auto"/>
        <w:left w:val="none" w:sz="0" w:space="0" w:color="auto"/>
        <w:bottom w:val="none" w:sz="0" w:space="0" w:color="auto"/>
        <w:right w:val="none" w:sz="0" w:space="0" w:color="auto"/>
      </w:divBdr>
    </w:div>
    <w:div w:id="732897425">
      <w:bodyDiv w:val="1"/>
      <w:marLeft w:val="0"/>
      <w:marRight w:val="0"/>
      <w:marTop w:val="0"/>
      <w:marBottom w:val="0"/>
      <w:divBdr>
        <w:top w:val="none" w:sz="0" w:space="0" w:color="auto"/>
        <w:left w:val="none" w:sz="0" w:space="0" w:color="auto"/>
        <w:bottom w:val="none" w:sz="0" w:space="0" w:color="auto"/>
        <w:right w:val="none" w:sz="0" w:space="0" w:color="auto"/>
      </w:divBdr>
    </w:div>
    <w:div w:id="755132435">
      <w:bodyDiv w:val="1"/>
      <w:marLeft w:val="0"/>
      <w:marRight w:val="0"/>
      <w:marTop w:val="0"/>
      <w:marBottom w:val="0"/>
      <w:divBdr>
        <w:top w:val="none" w:sz="0" w:space="0" w:color="auto"/>
        <w:left w:val="none" w:sz="0" w:space="0" w:color="auto"/>
        <w:bottom w:val="none" w:sz="0" w:space="0" w:color="auto"/>
        <w:right w:val="none" w:sz="0" w:space="0" w:color="auto"/>
      </w:divBdr>
    </w:div>
    <w:div w:id="783646482">
      <w:bodyDiv w:val="1"/>
      <w:marLeft w:val="0"/>
      <w:marRight w:val="0"/>
      <w:marTop w:val="0"/>
      <w:marBottom w:val="0"/>
      <w:divBdr>
        <w:top w:val="none" w:sz="0" w:space="0" w:color="auto"/>
        <w:left w:val="none" w:sz="0" w:space="0" w:color="auto"/>
        <w:bottom w:val="none" w:sz="0" w:space="0" w:color="auto"/>
        <w:right w:val="none" w:sz="0" w:space="0" w:color="auto"/>
      </w:divBdr>
    </w:div>
    <w:div w:id="792402577">
      <w:bodyDiv w:val="1"/>
      <w:marLeft w:val="0"/>
      <w:marRight w:val="0"/>
      <w:marTop w:val="0"/>
      <w:marBottom w:val="0"/>
      <w:divBdr>
        <w:top w:val="none" w:sz="0" w:space="0" w:color="auto"/>
        <w:left w:val="none" w:sz="0" w:space="0" w:color="auto"/>
        <w:bottom w:val="none" w:sz="0" w:space="0" w:color="auto"/>
        <w:right w:val="none" w:sz="0" w:space="0" w:color="auto"/>
      </w:divBdr>
    </w:div>
    <w:div w:id="829826816">
      <w:bodyDiv w:val="1"/>
      <w:marLeft w:val="0"/>
      <w:marRight w:val="0"/>
      <w:marTop w:val="0"/>
      <w:marBottom w:val="0"/>
      <w:divBdr>
        <w:top w:val="none" w:sz="0" w:space="0" w:color="auto"/>
        <w:left w:val="none" w:sz="0" w:space="0" w:color="auto"/>
        <w:bottom w:val="none" w:sz="0" w:space="0" w:color="auto"/>
        <w:right w:val="none" w:sz="0" w:space="0" w:color="auto"/>
      </w:divBdr>
    </w:div>
    <w:div w:id="848178792">
      <w:bodyDiv w:val="1"/>
      <w:marLeft w:val="0"/>
      <w:marRight w:val="0"/>
      <w:marTop w:val="0"/>
      <w:marBottom w:val="0"/>
      <w:divBdr>
        <w:top w:val="none" w:sz="0" w:space="0" w:color="auto"/>
        <w:left w:val="none" w:sz="0" w:space="0" w:color="auto"/>
        <w:bottom w:val="none" w:sz="0" w:space="0" w:color="auto"/>
        <w:right w:val="none" w:sz="0" w:space="0" w:color="auto"/>
      </w:divBdr>
    </w:div>
    <w:div w:id="906109374">
      <w:bodyDiv w:val="1"/>
      <w:marLeft w:val="0"/>
      <w:marRight w:val="0"/>
      <w:marTop w:val="0"/>
      <w:marBottom w:val="0"/>
      <w:divBdr>
        <w:top w:val="none" w:sz="0" w:space="0" w:color="auto"/>
        <w:left w:val="none" w:sz="0" w:space="0" w:color="auto"/>
        <w:bottom w:val="none" w:sz="0" w:space="0" w:color="auto"/>
        <w:right w:val="none" w:sz="0" w:space="0" w:color="auto"/>
      </w:divBdr>
    </w:div>
    <w:div w:id="921329415">
      <w:bodyDiv w:val="1"/>
      <w:marLeft w:val="0"/>
      <w:marRight w:val="0"/>
      <w:marTop w:val="0"/>
      <w:marBottom w:val="0"/>
      <w:divBdr>
        <w:top w:val="none" w:sz="0" w:space="0" w:color="auto"/>
        <w:left w:val="none" w:sz="0" w:space="0" w:color="auto"/>
        <w:bottom w:val="none" w:sz="0" w:space="0" w:color="auto"/>
        <w:right w:val="none" w:sz="0" w:space="0" w:color="auto"/>
      </w:divBdr>
    </w:div>
    <w:div w:id="1055927440">
      <w:bodyDiv w:val="1"/>
      <w:marLeft w:val="0"/>
      <w:marRight w:val="0"/>
      <w:marTop w:val="0"/>
      <w:marBottom w:val="0"/>
      <w:divBdr>
        <w:top w:val="none" w:sz="0" w:space="0" w:color="auto"/>
        <w:left w:val="none" w:sz="0" w:space="0" w:color="auto"/>
        <w:bottom w:val="none" w:sz="0" w:space="0" w:color="auto"/>
        <w:right w:val="none" w:sz="0" w:space="0" w:color="auto"/>
      </w:divBdr>
    </w:div>
    <w:div w:id="1083142823">
      <w:bodyDiv w:val="1"/>
      <w:marLeft w:val="0"/>
      <w:marRight w:val="0"/>
      <w:marTop w:val="0"/>
      <w:marBottom w:val="0"/>
      <w:divBdr>
        <w:top w:val="none" w:sz="0" w:space="0" w:color="auto"/>
        <w:left w:val="none" w:sz="0" w:space="0" w:color="auto"/>
        <w:bottom w:val="none" w:sz="0" w:space="0" w:color="auto"/>
        <w:right w:val="none" w:sz="0" w:space="0" w:color="auto"/>
      </w:divBdr>
    </w:div>
    <w:div w:id="1114059075">
      <w:bodyDiv w:val="1"/>
      <w:marLeft w:val="0"/>
      <w:marRight w:val="0"/>
      <w:marTop w:val="0"/>
      <w:marBottom w:val="0"/>
      <w:divBdr>
        <w:top w:val="none" w:sz="0" w:space="0" w:color="auto"/>
        <w:left w:val="none" w:sz="0" w:space="0" w:color="auto"/>
        <w:bottom w:val="none" w:sz="0" w:space="0" w:color="auto"/>
        <w:right w:val="none" w:sz="0" w:space="0" w:color="auto"/>
      </w:divBdr>
    </w:div>
    <w:div w:id="1141650987">
      <w:bodyDiv w:val="1"/>
      <w:marLeft w:val="0"/>
      <w:marRight w:val="0"/>
      <w:marTop w:val="0"/>
      <w:marBottom w:val="0"/>
      <w:divBdr>
        <w:top w:val="none" w:sz="0" w:space="0" w:color="auto"/>
        <w:left w:val="none" w:sz="0" w:space="0" w:color="auto"/>
        <w:bottom w:val="none" w:sz="0" w:space="0" w:color="auto"/>
        <w:right w:val="none" w:sz="0" w:space="0" w:color="auto"/>
      </w:divBdr>
    </w:div>
    <w:div w:id="1159033523">
      <w:bodyDiv w:val="1"/>
      <w:marLeft w:val="0"/>
      <w:marRight w:val="0"/>
      <w:marTop w:val="0"/>
      <w:marBottom w:val="0"/>
      <w:divBdr>
        <w:top w:val="none" w:sz="0" w:space="0" w:color="auto"/>
        <w:left w:val="none" w:sz="0" w:space="0" w:color="auto"/>
        <w:bottom w:val="none" w:sz="0" w:space="0" w:color="auto"/>
        <w:right w:val="none" w:sz="0" w:space="0" w:color="auto"/>
      </w:divBdr>
    </w:div>
    <w:div w:id="1173960209">
      <w:bodyDiv w:val="1"/>
      <w:marLeft w:val="0"/>
      <w:marRight w:val="0"/>
      <w:marTop w:val="0"/>
      <w:marBottom w:val="0"/>
      <w:divBdr>
        <w:top w:val="none" w:sz="0" w:space="0" w:color="auto"/>
        <w:left w:val="none" w:sz="0" w:space="0" w:color="auto"/>
        <w:bottom w:val="none" w:sz="0" w:space="0" w:color="auto"/>
        <w:right w:val="none" w:sz="0" w:space="0" w:color="auto"/>
      </w:divBdr>
    </w:div>
    <w:div w:id="1204366888">
      <w:bodyDiv w:val="1"/>
      <w:marLeft w:val="0"/>
      <w:marRight w:val="0"/>
      <w:marTop w:val="0"/>
      <w:marBottom w:val="0"/>
      <w:divBdr>
        <w:top w:val="none" w:sz="0" w:space="0" w:color="auto"/>
        <w:left w:val="none" w:sz="0" w:space="0" w:color="auto"/>
        <w:bottom w:val="none" w:sz="0" w:space="0" w:color="auto"/>
        <w:right w:val="none" w:sz="0" w:space="0" w:color="auto"/>
      </w:divBdr>
    </w:div>
    <w:div w:id="1206869130">
      <w:bodyDiv w:val="1"/>
      <w:marLeft w:val="0"/>
      <w:marRight w:val="0"/>
      <w:marTop w:val="0"/>
      <w:marBottom w:val="0"/>
      <w:divBdr>
        <w:top w:val="none" w:sz="0" w:space="0" w:color="auto"/>
        <w:left w:val="none" w:sz="0" w:space="0" w:color="auto"/>
        <w:bottom w:val="none" w:sz="0" w:space="0" w:color="auto"/>
        <w:right w:val="none" w:sz="0" w:space="0" w:color="auto"/>
      </w:divBdr>
    </w:div>
    <w:div w:id="1274677738">
      <w:bodyDiv w:val="1"/>
      <w:marLeft w:val="0"/>
      <w:marRight w:val="0"/>
      <w:marTop w:val="0"/>
      <w:marBottom w:val="0"/>
      <w:divBdr>
        <w:top w:val="none" w:sz="0" w:space="0" w:color="auto"/>
        <w:left w:val="none" w:sz="0" w:space="0" w:color="auto"/>
        <w:bottom w:val="none" w:sz="0" w:space="0" w:color="auto"/>
        <w:right w:val="none" w:sz="0" w:space="0" w:color="auto"/>
      </w:divBdr>
    </w:div>
    <w:div w:id="1295675012">
      <w:bodyDiv w:val="1"/>
      <w:marLeft w:val="0"/>
      <w:marRight w:val="0"/>
      <w:marTop w:val="0"/>
      <w:marBottom w:val="0"/>
      <w:divBdr>
        <w:top w:val="none" w:sz="0" w:space="0" w:color="auto"/>
        <w:left w:val="none" w:sz="0" w:space="0" w:color="auto"/>
        <w:bottom w:val="none" w:sz="0" w:space="0" w:color="auto"/>
        <w:right w:val="none" w:sz="0" w:space="0" w:color="auto"/>
      </w:divBdr>
      <w:divsChild>
        <w:div w:id="875627969">
          <w:marLeft w:val="0"/>
          <w:marRight w:val="0"/>
          <w:marTop w:val="0"/>
          <w:marBottom w:val="0"/>
          <w:divBdr>
            <w:top w:val="none" w:sz="0" w:space="0" w:color="auto"/>
            <w:left w:val="none" w:sz="0" w:space="0" w:color="auto"/>
            <w:bottom w:val="none" w:sz="0" w:space="0" w:color="auto"/>
            <w:right w:val="none" w:sz="0" w:space="0" w:color="auto"/>
          </w:divBdr>
          <w:divsChild>
            <w:div w:id="43063488">
              <w:marLeft w:val="0"/>
              <w:marRight w:val="0"/>
              <w:marTop w:val="0"/>
              <w:marBottom w:val="0"/>
              <w:divBdr>
                <w:top w:val="none" w:sz="0" w:space="0" w:color="auto"/>
                <w:left w:val="none" w:sz="0" w:space="0" w:color="auto"/>
                <w:bottom w:val="none" w:sz="0" w:space="0" w:color="auto"/>
                <w:right w:val="none" w:sz="0" w:space="0" w:color="auto"/>
              </w:divBdr>
            </w:div>
            <w:div w:id="49152539">
              <w:marLeft w:val="0"/>
              <w:marRight w:val="0"/>
              <w:marTop w:val="0"/>
              <w:marBottom w:val="0"/>
              <w:divBdr>
                <w:top w:val="none" w:sz="0" w:space="0" w:color="auto"/>
                <w:left w:val="none" w:sz="0" w:space="0" w:color="auto"/>
                <w:bottom w:val="none" w:sz="0" w:space="0" w:color="auto"/>
                <w:right w:val="none" w:sz="0" w:space="0" w:color="auto"/>
              </w:divBdr>
            </w:div>
            <w:div w:id="120422126">
              <w:marLeft w:val="0"/>
              <w:marRight w:val="0"/>
              <w:marTop w:val="0"/>
              <w:marBottom w:val="0"/>
              <w:divBdr>
                <w:top w:val="none" w:sz="0" w:space="0" w:color="auto"/>
                <w:left w:val="none" w:sz="0" w:space="0" w:color="auto"/>
                <w:bottom w:val="none" w:sz="0" w:space="0" w:color="auto"/>
                <w:right w:val="none" w:sz="0" w:space="0" w:color="auto"/>
              </w:divBdr>
            </w:div>
            <w:div w:id="280916631">
              <w:marLeft w:val="0"/>
              <w:marRight w:val="0"/>
              <w:marTop w:val="0"/>
              <w:marBottom w:val="0"/>
              <w:divBdr>
                <w:top w:val="none" w:sz="0" w:space="0" w:color="auto"/>
                <w:left w:val="none" w:sz="0" w:space="0" w:color="auto"/>
                <w:bottom w:val="none" w:sz="0" w:space="0" w:color="auto"/>
                <w:right w:val="none" w:sz="0" w:space="0" w:color="auto"/>
              </w:divBdr>
            </w:div>
            <w:div w:id="298998113">
              <w:marLeft w:val="0"/>
              <w:marRight w:val="0"/>
              <w:marTop w:val="0"/>
              <w:marBottom w:val="0"/>
              <w:divBdr>
                <w:top w:val="none" w:sz="0" w:space="0" w:color="auto"/>
                <w:left w:val="none" w:sz="0" w:space="0" w:color="auto"/>
                <w:bottom w:val="none" w:sz="0" w:space="0" w:color="auto"/>
                <w:right w:val="none" w:sz="0" w:space="0" w:color="auto"/>
              </w:divBdr>
            </w:div>
            <w:div w:id="847601093">
              <w:marLeft w:val="0"/>
              <w:marRight w:val="0"/>
              <w:marTop w:val="0"/>
              <w:marBottom w:val="0"/>
              <w:divBdr>
                <w:top w:val="none" w:sz="0" w:space="0" w:color="auto"/>
                <w:left w:val="none" w:sz="0" w:space="0" w:color="auto"/>
                <w:bottom w:val="none" w:sz="0" w:space="0" w:color="auto"/>
                <w:right w:val="none" w:sz="0" w:space="0" w:color="auto"/>
              </w:divBdr>
            </w:div>
            <w:div w:id="863784527">
              <w:marLeft w:val="0"/>
              <w:marRight w:val="0"/>
              <w:marTop w:val="0"/>
              <w:marBottom w:val="0"/>
              <w:divBdr>
                <w:top w:val="none" w:sz="0" w:space="0" w:color="auto"/>
                <w:left w:val="none" w:sz="0" w:space="0" w:color="auto"/>
                <w:bottom w:val="none" w:sz="0" w:space="0" w:color="auto"/>
                <w:right w:val="none" w:sz="0" w:space="0" w:color="auto"/>
              </w:divBdr>
            </w:div>
            <w:div w:id="955453313">
              <w:marLeft w:val="0"/>
              <w:marRight w:val="0"/>
              <w:marTop w:val="0"/>
              <w:marBottom w:val="0"/>
              <w:divBdr>
                <w:top w:val="none" w:sz="0" w:space="0" w:color="auto"/>
                <w:left w:val="none" w:sz="0" w:space="0" w:color="auto"/>
                <w:bottom w:val="none" w:sz="0" w:space="0" w:color="auto"/>
                <w:right w:val="none" w:sz="0" w:space="0" w:color="auto"/>
              </w:divBdr>
            </w:div>
            <w:div w:id="962544177">
              <w:marLeft w:val="0"/>
              <w:marRight w:val="0"/>
              <w:marTop w:val="0"/>
              <w:marBottom w:val="0"/>
              <w:divBdr>
                <w:top w:val="none" w:sz="0" w:space="0" w:color="auto"/>
                <w:left w:val="none" w:sz="0" w:space="0" w:color="auto"/>
                <w:bottom w:val="none" w:sz="0" w:space="0" w:color="auto"/>
                <w:right w:val="none" w:sz="0" w:space="0" w:color="auto"/>
              </w:divBdr>
            </w:div>
            <w:div w:id="979071528">
              <w:marLeft w:val="0"/>
              <w:marRight w:val="0"/>
              <w:marTop w:val="0"/>
              <w:marBottom w:val="0"/>
              <w:divBdr>
                <w:top w:val="none" w:sz="0" w:space="0" w:color="auto"/>
                <w:left w:val="none" w:sz="0" w:space="0" w:color="auto"/>
                <w:bottom w:val="none" w:sz="0" w:space="0" w:color="auto"/>
                <w:right w:val="none" w:sz="0" w:space="0" w:color="auto"/>
              </w:divBdr>
            </w:div>
            <w:div w:id="1098212138">
              <w:marLeft w:val="0"/>
              <w:marRight w:val="0"/>
              <w:marTop w:val="0"/>
              <w:marBottom w:val="0"/>
              <w:divBdr>
                <w:top w:val="none" w:sz="0" w:space="0" w:color="auto"/>
                <w:left w:val="none" w:sz="0" w:space="0" w:color="auto"/>
                <w:bottom w:val="none" w:sz="0" w:space="0" w:color="auto"/>
                <w:right w:val="none" w:sz="0" w:space="0" w:color="auto"/>
              </w:divBdr>
            </w:div>
            <w:div w:id="1271664932">
              <w:marLeft w:val="0"/>
              <w:marRight w:val="0"/>
              <w:marTop w:val="0"/>
              <w:marBottom w:val="0"/>
              <w:divBdr>
                <w:top w:val="none" w:sz="0" w:space="0" w:color="auto"/>
                <w:left w:val="none" w:sz="0" w:space="0" w:color="auto"/>
                <w:bottom w:val="none" w:sz="0" w:space="0" w:color="auto"/>
                <w:right w:val="none" w:sz="0" w:space="0" w:color="auto"/>
              </w:divBdr>
            </w:div>
            <w:div w:id="1351251304">
              <w:marLeft w:val="0"/>
              <w:marRight w:val="0"/>
              <w:marTop w:val="0"/>
              <w:marBottom w:val="0"/>
              <w:divBdr>
                <w:top w:val="none" w:sz="0" w:space="0" w:color="auto"/>
                <w:left w:val="none" w:sz="0" w:space="0" w:color="auto"/>
                <w:bottom w:val="none" w:sz="0" w:space="0" w:color="auto"/>
                <w:right w:val="none" w:sz="0" w:space="0" w:color="auto"/>
              </w:divBdr>
            </w:div>
            <w:div w:id="1366754659">
              <w:marLeft w:val="0"/>
              <w:marRight w:val="0"/>
              <w:marTop w:val="0"/>
              <w:marBottom w:val="0"/>
              <w:divBdr>
                <w:top w:val="none" w:sz="0" w:space="0" w:color="auto"/>
                <w:left w:val="none" w:sz="0" w:space="0" w:color="auto"/>
                <w:bottom w:val="none" w:sz="0" w:space="0" w:color="auto"/>
                <w:right w:val="none" w:sz="0" w:space="0" w:color="auto"/>
              </w:divBdr>
            </w:div>
            <w:div w:id="1390763241">
              <w:marLeft w:val="0"/>
              <w:marRight w:val="0"/>
              <w:marTop w:val="0"/>
              <w:marBottom w:val="0"/>
              <w:divBdr>
                <w:top w:val="none" w:sz="0" w:space="0" w:color="auto"/>
                <w:left w:val="none" w:sz="0" w:space="0" w:color="auto"/>
                <w:bottom w:val="none" w:sz="0" w:space="0" w:color="auto"/>
                <w:right w:val="none" w:sz="0" w:space="0" w:color="auto"/>
              </w:divBdr>
            </w:div>
            <w:div w:id="1765689475">
              <w:marLeft w:val="0"/>
              <w:marRight w:val="0"/>
              <w:marTop w:val="0"/>
              <w:marBottom w:val="0"/>
              <w:divBdr>
                <w:top w:val="none" w:sz="0" w:space="0" w:color="auto"/>
                <w:left w:val="none" w:sz="0" w:space="0" w:color="auto"/>
                <w:bottom w:val="none" w:sz="0" w:space="0" w:color="auto"/>
                <w:right w:val="none" w:sz="0" w:space="0" w:color="auto"/>
              </w:divBdr>
            </w:div>
            <w:div w:id="1814714412">
              <w:marLeft w:val="0"/>
              <w:marRight w:val="0"/>
              <w:marTop w:val="0"/>
              <w:marBottom w:val="0"/>
              <w:divBdr>
                <w:top w:val="none" w:sz="0" w:space="0" w:color="auto"/>
                <w:left w:val="none" w:sz="0" w:space="0" w:color="auto"/>
                <w:bottom w:val="none" w:sz="0" w:space="0" w:color="auto"/>
                <w:right w:val="none" w:sz="0" w:space="0" w:color="auto"/>
              </w:divBdr>
            </w:div>
            <w:div w:id="2029289422">
              <w:marLeft w:val="0"/>
              <w:marRight w:val="0"/>
              <w:marTop w:val="0"/>
              <w:marBottom w:val="0"/>
              <w:divBdr>
                <w:top w:val="none" w:sz="0" w:space="0" w:color="auto"/>
                <w:left w:val="none" w:sz="0" w:space="0" w:color="auto"/>
                <w:bottom w:val="none" w:sz="0" w:space="0" w:color="auto"/>
                <w:right w:val="none" w:sz="0" w:space="0" w:color="auto"/>
              </w:divBdr>
            </w:div>
            <w:div w:id="2034455314">
              <w:marLeft w:val="0"/>
              <w:marRight w:val="0"/>
              <w:marTop w:val="0"/>
              <w:marBottom w:val="0"/>
              <w:divBdr>
                <w:top w:val="none" w:sz="0" w:space="0" w:color="auto"/>
                <w:left w:val="none" w:sz="0" w:space="0" w:color="auto"/>
                <w:bottom w:val="none" w:sz="0" w:space="0" w:color="auto"/>
                <w:right w:val="none" w:sz="0" w:space="0" w:color="auto"/>
              </w:divBdr>
            </w:div>
            <w:div w:id="2125804345">
              <w:marLeft w:val="0"/>
              <w:marRight w:val="0"/>
              <w:marTop w:val="0"/>
              <w:marBottom w:val="0"/>
              <w:divBdr>
                <w:top w:val="none" w:sz="0" w:space="0" w:color="auto"/>
                <w:left w:val="none" w:sz="0" w:space="0" w:color="auto"/>
                <w:bottom w:val="none" w:sz="0" w:space="0" w:color="auto"/>
                <w:right w:val="none" w:sz="0" w:space="0" w:color="auto"/>
              </w:divBdr>
            </w:div>
            <w:div w:id="2126844442">
              <w:marLeft w:val="0"/>
              <w:marRight w:val="0"/>
              <w:marTop w:val="0"/>
              <w:marBottom w:val="0"/>
              <w:divBdr>
                <w:top w:val="none" w:sz="0" w:space="0" w:color="auto"/>
                <w:left w:val="none" w:sz="0" w:space="0" w:color="auto"/>
                <w:bottom w:val="none" w:sz="0" w:space="0" w:color="auto"/>
                <w:right w:val="none" w:sz="0" w:space="0" w:color="auto"/>
              </w:divBdr>
            </w:div>
          </w:divsChild>
        </w:div>
        <w:div w:id="1009796943">
          <w:marLeft w:val="0"/>
          <w:marRight w:val="0"/>
          <w:marTop w:val="0"/>
          <w:marBottom w:val="0"/>
          <w:divBdr>
            <w:top w:val="none" w:sz="0" w:space="0" w:color="auto"/>
            <w:left w:val="none" w:sz="0" w:space="0" w:color="auto"/>
            <w:bottom w:val="none" w:sz="0" w:space="0" w:color="auto"/>
            <w:right w:val="none" w:sz="0" w:space="0" w:color="auto"/>
          </w:divBdr>
          <w:divsChild>
            <w:div w:id="240332405">
              <w:marLeft w:val="0"/>
              <w:marRight w:val="0"/>
              <w:marTop w:val="0"/>
              <w:marBottom w:val="0"/>
              <w:divBdr>
                <w:top w:val="none" w:sz="0" w:space="0" w:color="auto"/>
                <w:left w:val="none" w:sz="0" w:space="0" w:color="auto"/>
                <w:bottom w:val="none" w:sz="0" w:space="0" w:color="auto"/>
                <w:right w:val="none" w:sz="0" w:space="0" w:color="auto"/>
              </w:divBdr>
            </w:div>
            <w:div w:id="265425342">
              <w:marLeft w:val="0"/>
              <w:marRight w:val="0"/>
              <w:marTop w:val="0"/>
              <w:marBottom w:val="0"/>
              <w:divBdr>
                <w:top w:val="none" w:sz="0" w:space="0" w:color="auto"/>
                <w:left w:val="none" w:sz="0" w:space="0" w:color="auto"/>
                <w:bottom w:val="none" w:sz="0" w:space="0" w:color="auto"/>
                <w:right w:val="none" w:sz="0" w:space="0" w:color="auto"/>
              </w:divBdr>
            </w:div>
            <w:div w:id="443770852">
              <w:marLeft w:val="0"/>
              <w:marRight w:val="0"/>
              <w:marTop w:val="0"/>
              <w:marBottom w:val="0"/>
              <w:divBdr>
                <w:top w:val="none" w:sz="0" w:space="0" w:color="auto"/>
                <w:left w:val="none" w:sz="0" w:space="0" w:color="auto"/>
                <w:bottom w:val="none" w:sz="0" w:space="0" w:color="auto"/>
                <w:right w:val="none" w:sz="0" w:space="0" w:color="auto"/>
              </w:divBdr>
            </w:div>
            <w:div w:id="666708286">
              <w:marLeft w:val="0"/>
              <w:marRight w:val="0"/>
              <w:marTop w:val="0"/>
              <w:marBottom w:val="0"/>
              <w:divBdr>
                <w:top w:val="none" w:sz="0" w:space="0" w:color="auto"/>
                <w:left w:val="none" w:sz="0" w:space="0" w:color="auto"/>
                <w:bottom w:val="none" w:sz="0" w:space="0" w:color="auto"/>
                <w:right w:val="none" w:sz="0" w:space="0" w:color="auto"/>
              </w:divBdr>
            </w:div>
            <w:div w:id="1014303872">
              <w:marLeft w:val="0"/>
              <w:marRight w:val="0"/>
              <w:marTop w:val="0"/>
              <w:marBottom w:val="0"/>
              <w:divBdr>
                <w:top w:val="none" w:sz="0" w:space="0" w:color="auto"/>
                <w:left w:val="none" w:sz="0" w:space="0" w:color="auto"/>
                <w:bottom w:val="none" w:sz="0" w:space="0" w:color="auto"/>
                <w:right w:val="none" w:sz="0" w:space="0" w:color="auto"/>
              </w:divBdr>
            </w:div>
            <w:div w:id="1018653260">
              <w:marLeft w:val="0"/>
              <w:marRight w:val="0"/>
              <w:marTop w:val="0"/>
              <w:marBottom w:val="0"/>
              <w:divBdr>
                <w:top w:val="none" w:sz="0" w:space="0" w:color="auto"/>
                <w:left w:val="none" w:sz="0" w:space="0" w:color="auto"/>
                <w:bottom w:val="none" w:sz="0" w:space="0" w:color="auto"/>
                <w:right w:val="none" w:sz="0" w:space="0" w:color="auto"/>
              </w:divBdr>
            </w:div>
            <w:div w:id="1076783918">
              <w:marLeft w:val="0"/>
              <w:marRight w:val="0"/>
              <w:marTop w:val="0"/>
              <w:marBottom w:val="0"/>
              <w:divBdr>
                <w:top w:val="none" w:sz="0" w:space="0" w:color="auto"/>
                <w:left w:val="none" w:sz="0" w:space="0" w:color="auto"/>
                <w:bottom w:val="none" w:sz="0" w:space="0" w:color="auto"/>
                <w:right w:val="none" w:sz="0" w:space="0" w:color="auto"/>
              </w:divBdr>
            </w:div>
            <w:div w:id="1171726052">
              <w:marLeft w:val="0"/>
              <w:marRight w:val="0"/>
              <w:marTop w:val="0"/>
              <w:marBottom w:val="0"/>
              <w:divBdr>
                <w:top w:val="none" w:sz="0" w:space="0" w:color="auto"/>
                <w:left w:val="none" w:sz="0" w:space="0" w:color="auto"/>
                <w:bottom w:val="none" w:sz="0" w:space="0" w:color="auto"/>
                <w:right w:val="none" w:sz="0" w:space="0" w:color="auto"/>
              </w:divBdr>
            </w:div>
            <w:div w:id="1241332687">
              <w:marLeft w:val="0"/>
              <w:marRight w:val="0"/>
              <w:marTop w:val="0"/>
              <w:marBottom w:val="0"/>
              <w:divBdr>
                <w:top w:val="none" w:sz="0" w:space="0" w:color="auto"/>
                <w:left w:val="none" w:sz="0" w:space="0" w:color="auto"/>
                <w:bottom w:val="none" w:sz="0" w:space="0" w:color="auto"/>
                <w:right w:val="none" w:sz="0" w:space="0" w:color="auto"/>
              </w:divBdr>
            </w:div>
            <w:div w:id="1463301798">
              <w:marLeft w:val="0"/>
              <w:marRight w:val="0"/>
              <w:marTop w:val="0"/>
              <w:marBottom w:val="0"/>
              <w:divBdr>
                <w:top w:val="none" w:sz="0" w:space="0" w:color="auto"/>
                <w:left w:val="none" w:sz="0" w:space="0" w:color="auto"/>
                <w:bottom w:val="none" w:sz="0" w:space="0" w:color="auto"/>
                <w:right w:val="none" w:sz="0" w:space="0" w:color="auto"/>
              </w:divBdr>
            </w:div>
            <w:div w:id="1469474879">
              <w:marLeft w:val="0"/>
              <w:marRight w:val="0"/>
              <w:marTop w:val="0"/>
              <w:marBottom w:val="0"/>
              <w:divBdr>
                <w:top w:val="none" w:sz="0" w:space="0" w:color="auto"/>
                <w:left w:val="none" w:sz="0" w:space="0" w:color="auto"/>
                <w:bottom w:val="none" w:sz="0" w:space="0" w:color="auto"/>
                <w:right w:val="none" w:sz="0" w:space="0" w:color="auto"/>
              </w:divBdr>
            </w:div>
            <w:div w:id="1505197189">
              <w:marLeft w:val="0"/>
              <w:marRight w:val="0"/>
              <w:marTop w:val="0"/>
              <w:marBottom w:val="0"/>
              <w:divBdr>
                <w:top w:val="none" w:sz="0" w:space="0" w:color="auto"/>
                <w:left w:val="none" w:sz="0" w:space="0" w:color="auto"/>
                <w:bottom w:val="none" w:sz="0" w:space="0" w:color="auto"/>
                <w:right w:val="none" w:sz="0" w:space="0" w:color="auto"/>
              </w:divBdr>
            </w:div>
            <w:div w:id="1560167033">
              <w:marLeft w:val="0"/>
              <w:marRight w:val="0"/>
              <w:marTop w:val="0"/>
              <w:marBottom w:val="0"/>
              <w:divBdr>
                <w:top w:val="none" w:sz="0" w:space="0" w:color="auto"/>
                <w:left w:val="none" w:sz="0" w:space="0" w:color="auto"/>
                <w:bottom w:val="none" w:sz="0" w:space="0" w:color="auto"/>
                <w:right w:val="none" w:sz="0" w:space="0" w:color="auto"/>
              </w:divBdr>
            </w:div>
            <w:div w:id="1609849724">
              <w:marLeft w:val="0"/>
              <w:marRight w:val="0"/>
              <w:marTop w:val="0"/>
              <w:marBottom w:val="0"/>
              <w:divBdr>
                <w:top w:val="none" w:sz="0" w:space="0" w:color="auto"/>
                <w:left w:val="none" w:sz="0" w:space="0" w:color="auto"/>
                <w:bottom w:val="none" w:sz="0" w:space="0" w:color="auto"/>
                <w:right w:val="none" w:sz="0" w:space="0" w:color="auto"/>
              </w:divBdr>
            </w:div>
            <w:div w:id="1620330156">
              <w:marLeft w:val="0"/>
              <w:marRight w:val="0"/>
              <w:marTop w:val="0"/>
              <w:marBottom w:val="0"/>
              <w:divBdr>
                <w:top w:val="none" w:sz="0" w:space="0" w:color="auto"/>
                <w:left w:val="none" w:sz="0" w:space="0" w:color="auto"/>
                <w:bottom w:val="none" w:sz="0" w:space="0" w:color="auto"/>
                <w:right w:val="none" w:sz="0" w:space="0" w:color="auto"/>
              </w:divBdr>
            </w:div>
            <w:div w:id="1665089402">
              <w:marLeft w:val="0"/>
              <w:marRight w:val="0"/>
              <w:marTop w:val="0"/>
              <w:marBottom w:val="0"/>
              <w:divBdr>
                <w:top w:val="none" w:sz="0" w:space="0" w:color="auto"/>
                <w:left w:val="none" w:sz="0" w:space="0" w:color="auto"/>
                <w:bottom w:val="none" w:sz="0" w:space="0" w:color="auto"/>
                <w:right w:val="none" w:sz="0" w:space="0" w:color="auto"/>
              </w:divBdr>
            </w:div>
            <w:div w:id="1695108786">
              <w:marLeft w:val="0"/>
              <w:marRight w:val="0"/>
              <w:marTop w:val="0"/>
              <w:marBottom w:val="0"/>
              <w:divBdr>
                <w:top w:val="none" w:sz="0" w:space="0" w:color="auto"/>
                <w:left w:val="none" w:sz="0" w:space="0" w:color="auto"/>
                <w:bottom w:val="none" w:sz="0" w:space="0" w:color="auto"/>
                <w:right w:val="none" w:sz="0" w:space="0" w:color="auto"/>
              </w:divBdr>
            </w:div>
            <w:div w:id="1724672185">
              <w:marLeft w:val="0"/>
              <w:marRight w:val="0"/>
              <w:marTop w:val="0"/>
              <w:marBottom w:val="0"/>
              <w:divBdr>
                <w:top w:val="none" w:sz="0" w:space="0" w:color="auto"/>
                <w:left w:val="none" w:sz="0" w:space="0" w:color="auto"/>
                <w:bottom w:val="none" w:sz="0" w:space="0" w:color="auto"/>
                <w:right w:val="none" w:sz="0" w:space="0" w:color="auto"/>
              </w:divBdr>
            </w:div>
            <w:div w:id="1739589520">
              <w:marLeft w:val="0"/>
              <w:marRight w:val="0"/>
              <w:marTop w:val="0"/>
              <w:marBottom w:val="0"/>
              <w:divBdr>
                <w:top w:val="none" w:sz="0" w:space="0" w:color="auto"/>
                <w:left w:val="none" w:sz="0" w:space="0" w:color="auto"/>
                <w:bottom w:val="none" w:sz="0" w:space="0" w:color="auto"/>
                <w:right w:val="none" w:sz="0" w:space="0" w:color="auto"/>
              </w:divBdr>
            </w:div>
            <w:div w:id="2081050948">
              <w:marLeft w:val="0"/>
              <w:marRight w:val="0"/>
              <w:marTop w:val="0"/>
              <w:marBottom w:val="0"/>
              <w:divBdr>
                <w:top w:val="none" w:sz="0" w:space="0" w:color="auto"/>
                <w:left w:val="none" w:sz="0" w:space="0" w:color="auto"/>
                <w:bottom w:val="none" w:sz="0" w:space="0" w:color="auto"/>
                <w:right w:val="none" w:sz="0" w:space="0" w:color="auto"/>
              </w:divBdr>
            </w:div>
            <w:div w:id="2088381979">
              <w:marLeft w:val="0"/>
              <w:marRight w:val="0"/>
              <w:marTop w:val="0"/>
              <w:marBottom w:val="0"/>
              <w:divBdr>
                <w:top w:val="none" w:sz="0" w:space="0" w:color="auto"/>
                <w:left w:val="none" w:sz="0" w:space="0" w:color="auto"/>
                <w:bottom w:val="none" w:sz="0" w:space="0" w:color="auto"/>
                <w:right w:val="none" w:sz="0" w:space="0" w:color="auto"/>
              </w:divBdr>
            </w:div>
            <w:div w:id="2128810941">
              <w:marLeft w:val="0"/>
              <w:marRight w:val="0"/>
              <w:marTop w:val="0"/>
              <w:marBottom w:val="0"/>
              <w:divBdr>
                <w:top w:val="none" w:sz="0" w:space="0" w:color="auto"/>
                <w:left w:val="none" w:sz="0" w:space="0" w:color="auto"/>
                <w:bottom w:val="none" w:sz="0" w:space="0" w:color="auto"/>
                <w:right w:val="none" w:sz="0" w:space="0" w:color="auto"/>
              </w:divBdr>
            </w:div>
          </w:divsChild>
        </w:div>
        <w:div w:id="1684865060">
          <w:marLeft w:val="0"/>
          <w:marRight w:val="0"/>
          <w:marTop w:val="0"/>
          <w:marBottom w:val="0"/>
          <w:divBdr>
            <w:top w:val="none" w:sz="0" w:space="0" w:color="auto"/>
            <w:left w:val="none" w:sz="0" w:space="0" w:color="auto"/>
            <w:bottom w:val="none" w:sz="0" w:space="0" w:color="auto"/>
            <w:right w:val="none" w:sz="0" w:space="0" w:color="auto"/>
          </w:divBdr>
          <w:divsChild>
            <w:div w:id="94984494">
              <w:marLeft w:val="0"/>
              <w:marRight w:val="0"/>
              <w:marTop w:val="0"/>
              <w:marBottom w:val="0"/>
              <w:divBdr>
                <w:top w:val="none" w:sz="0" w:space="0" w:color="auto"/>
                <w:left w:val="none" w:sz="0" w:space="0" w:color="auto"/>
                <w:bottom w:val="none" w:sz="0" w:space="0" w:color="auto"/>
                <w:right w:val="none" w:sz="0" w:space="0" w:color="auto"/>
              </w:divBdr>
            </w:div>
            <w:div w:id="389421228">
              <w:marLeft w:val="0"/>
              <w:marRight w:val="0"/>
              <w:marTop w:val="0"/>
              <w:marBottom w:val="0"/>
              <w:divBdr>
                <w:top w:val="none" w:sz="0" w:space="0" w:color="auto"/>
                <w:left w:val="none" w:sz="0" w:space="0" w:color="auto"/>
                <w:bottom w:val="none" w:sz="0" w:space="0" w:color="auto"/>
                <w:right w:val="none" w:sz="0" w:space="0" w:color="auto"/>
              </w:divBdr>
            </w:div>
            <w:div w:id="577598306">
              <w:marLeft w:val="0"/>
              <w:marRight w:val="0"/>
              <w:marTop w:val="0"/>
              <w:marBottom w:val="0"/>
              <w:divBdr>
                <w:top w:val="none" w:sz="0" w:space="0" w:color="auto"/>
                <w:left w:val="none" w:sz="0" w:space="0" w:color="auto"/>
                <w:bottom w:val="none" w:sz="0" w:space="0" w:color="auto"/>
                <w:right w:val="none" w:sz="0" w:space="0" w:color="auto"/>
              </w:divBdr>
            </w:div>
            <w:div w:id="912813969">
              <w:marLeft w:val="0"/>
              <w:marRight w:val="0"/>
              <w:marTop w:val="0"/>
              <w:marBottom w:val="0"/>
              <w:divBdr>
                <w:top w:val="none" w:sz="0" w:space="0" w:color="auto"/>
                <w:left w:val="none" w:sz="0" w:space="0" w:color="auto"/>
                <w:bottom w:val="none" w:sz="0" w:space="0" w:color="auto"/>
                <w:right w:val="none" w:sz="0" w:space="0" w:color="auto"/>
              </w:divBdr>
            </w:div>
            <w:div w:id="1008866732">
              <w:marLeft w:val="0"/>
              <w:marRight w:val="0"/>
              <w:marTop w:val="0"/>
              <w:marBottom w:val="0"/>
              <w:divBdr>
                <w:top w:val="none" w:sz="0" w:space="0" w:color="auto"/>
                <w:left w:val="none" w:sz="0" w:space="0" w:color="auto"/>
                <w:bottom w:val="none" w:sz="0" w:space="0" w:color="auto"/>
                <w:right w:val="none" w:sz="0" w:space="0" w:color="auto"/>
              </w:divBdr>
            </w:div>
            <w:div w:id="1078936875">
              <w:marLeft w:val="0"/>
              <w:marRight w:val="0"/>
              <w:marTop w:val="0"/>
              <w:marBottom w:val="0"/>
              <w:divBdr>
                <w:top w:val="none" w:sz="0" w:space="0" w:color="auto"/>
                <w:left w:val="none" w:sz="0" w:space="0" w:color="auto"/>
                <w:bottom w:val="none" w:sz="0" w:space="0" w:color="auto"/>
                <w:right w:val="none" w:sz="0" w:space="0" w:color="auto"/>
              </w:divBdr>
            </w:div>
            <w:div w:id="1130855754">
              <w:marLeft w:val="0"/>
              <w:marRight w:val="0"/>
              <w:marTop w:val="0"/>
              <w:marBottom w:val="0"/>
              <w:divBdr>
                <w:top w:val="none" w:sz="0" w:space="0" w:color="auto"/>
                <w:left w:val="none" w:sz="0" w:space="0" w:color="auto"/>
                <w:bottom w:val="none" w:sz="0" w:space="0" w:color="auto"/>
                <w:right w:val="none" w:sz="0" w:space="0" w:color="auto"/>
              </w:divBdr>
            </w:div>
            <w:div w:id="1132595407">
              <w:marLeft w:val="0"/>
              <w:marRight w:val="0"/>
              <w:marTop w:val="0"/>
              <w:marBottom w:val="0"/>
              <w:divBdr>
                <w:top w:val="none" w:sz="0" w:space="0" w:color="auto"/>
                <w:left w:val="none" w:sz="0" w:space="0" w:color="auto"/>
                <w:bottom w:val="none" w:sz="0" w:space="0" w:color="auto"/>
                <w:right w:val="none" w:sz="0" w:space="0" w:color="auto"/>
              </w:divBdr>
            </w:div>
            <w:div w:id="1162161502">
              <w:marLeft w:val="0"/>
              <w:marRight w:val="0"/>
              <w:marTop w:val="0"/>
              <w:marBottom w:val="0"/>
              <w:divBdr>
                <w:top w:val="none" w:sz="0" w:space="0" w:color="auto"/>
                <w:left w:val="none" w:sz="0" w:space="0" w:color="auto"/>
                <w:bottom w:val="none" w:sz="0" w:space="0" w:color="auto"/>
                <w:right w:val="none" w:sz="0" w:space="0" w:color="auto"/>
              </w:divBdr>
            </w:div>
            <w:div w:id="1185363723">
              <w:marLeft w:val="0"/>
              <w:marRight w:val="0"/>
              <w:marTop w:val="0"/>
              <w:marBottom w:val="0"/>
              <w:divBdr>
                <w:top w:val="none" w:sz="0" w:space="0" w:color="auto"/>
                <w:left w:val="none" w:sz="0" w:space="0" w:color="auto"/>
                <w:bottom w:val="none" w:sz="0" w:space="0" w:color="auto"/>
                <w:right w:val="none" w:sz="0" w:space="0" w:color="auto"/>
              </w:divBdr>
            </w:div>
            <w:div w:id="1471440819">
              <w:marLeft w:val="0"/>
              <w:marRight w:val="0"/>
              <w:marTop w:val="0"/>
              <w:marBottom w:val="0"/>
              <w:divBdr>
                <w:top w:val="none" w:sz="0" w:space="0" w:color="auto"/>
                <w:left w:val="none" w:sz="0" w:space="0" w:color="auto"/>
                <w:bottom w:val="none" w:sz="0" w:space="0" w:color="auto"/>
                <w:right w:val="none" w:sz="0" w:space="0" w:color="auto"/>
              </w:divBdr>
            </w:div>
            <w:div w:id="1480880704">
              <w:marLeft w:val="0"/>
              <w:marRight w:val="0"/>
              <w:marTop w:val="0"/>
              <w:marBottom w:val="0"/>
              <w:divBdr>
                <w:top w:val="none" w:sz="0" w:space="0" w:color="auto"/>
                <w:left w:val="none" w:sz="0" w:space="0" w:color="auto"/>
                <w:bottom w:val="none" w:sz="0" w:space="0" w:color="auto"/>
                <w:right w:val="none" w:sz="0" w:space="0" w:color="auto"/>
              </w:divBdr>
            </w:div>
            <w:div w:id="1489440928">
              <w:marLeft w:val="0"/>
              <w:marRight w:val="0"/>
              <w:marTop w:val="0"/>
              <w:marBottom w:val="0"/>
              <w:divBdr>
                <w:top w:val="none" w:sz="0" w:space="0" w:color="auto"/>
                <w:left w:val="none" w:sz="0" w:space="0" w:color="auto"/>
                <w:bottom w:val="none" w:sz="0" w:space="0" w:color="auto"/>
                <w:right w:val="none" w:sz="0" w:space="0" w:color="auto"/>
              </w:divBdr>
            </w:div>
            <w:div w:id="1698383212">
              <w:marLeft w:val="0"/>
              <w:marRight w:val="0"/>
              <w:marTop w:val="0"/>
              <w:marBottom w:val="0"/>
              <w:divBdr>
                <w:top w:val="none" w:sz="0" w:space="0" w:color="auto"/>
                <w:left w:val="none" w:sz="0" w:space="0" w:color="auto"/>
                <w:bottom w:val="none" w:sz="0" w:space="0" w:color="auto"/>
                <w:right w:val="none" w:sz="0" w:space="0" w:color="auto"/>
              </w:divBdr>
            </w:div>
            <w:div w:id="1703239150">
              <w:marLeft w:val="0"/>
              <w:marRight w:val="0"/>
              <w:marTop w:val="0"/>
              <w:marBottom w:val="0"/>
              <w:divBdr>
                <w:top w:val="none" w:sz="0" w:space="0" w:color="auto"/>
                <w:left w:val="none" w:sz="0" w:space="0" w:color="auto"/>
                <w:bottom w:val="none" w:sz="0" w:space="0" w:color="auto"/>
                <w:right w:val="none" w:sz="0" w:space="0" w:color="auto"/>
              </w:divBdr>
            </w:div>
            <w:div w:id="20196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9010">
      <w:bodyDiv w:val="1"/>
      <w:marLeft w:val="0"/>
      <w:marRight w:val="0"/>
      <w:marTop w:val="0"/>
      <w:marBottom w:val="0"/>
      <w:divBdr>
        <w:top w:val="none" w:sz="0" w:space="0" w:color="auto"/>
        <w:left w:val="none" w:sz="0" w:space="0" w:color="auto"/>
        <w:bottom w:val="none" w:sz="0" w:space="0" w:color="auto"/>
        <w:right w:val="none" w:sz="0" w:space="0" w:color="auto"/>
      </w:divBdr>
    </w:div>
    <w:div w:id="1310986151">
      <w:bodyDiv w:val="1"/>
      <w:marLeft w:val="0"/>
      <w:marRight w:val="0"/>
      <w:marTop w:val="0"/>
      <w:marBottom w:val="0"/>
      <w:divBdr>
        <w:top w:val="none" w:sz="0" w:space="0" w:color="auto"/>
        <w:left w:val="none" w:sz="0" w:space="0" w:color="auto"/>
        <w:bottom w:val="none" w:sz="0" w:space="0" w:color="auto"/>
        <w:right w:val="none" w:sz="0" w:space="0" w:color="auto"/>
      </w:divBdr>
    </w:div>
    <w:div w:id="1316181951">
      <w:bodyDiv w:val="1"/>
      <w:marLeft w:val="0"/>
      <w:marRight w:val="0"/>
      <w:marTop w:val="0"/>
      <w:marBottom w:val="0"/>
      <w:divBdr>
        <w:top w:val="none" w:sz="0" w:space="0" w:color="auto"/>
        <w:left w:val="none" w:sz="0" w:space="0" w:color="auto"/>
        <w:bottom w:val="none" w:sz="0" w:space="0" w:color="auto"/>
        <w:right w:val="none" w:sz="0" w:space="0" w:color="auto"/>
      </w:divBdr>
    </w:div>
    <w:div w:id="1329752345">
      <w:bodyDiv w:val="1"/>
      <w:marLeft w:val="0"/>
      <w:marRight w:val="0"/>
      <w:marTop w:val="0"/>
      <w:marBottom w:val="0"/>
      <w:divBdr>
        <w:top w:val="none" w:sz="0" w:space="0" w:color="auto"/>
        <w:left w:val="none" w:sz="0" w:space="0" w:color="auto"/>
        <w:bottom w:val="none" w:sz="0" w:space="0" w:color="auto"/>
        <w:right w:val="none" w:sz="0" w:space="0" w:color="auto"/>
      </w:divBdr>
    </w:div>
    <w:div w:id="1355620069">
      <w:bodyDiv w:val="1"/>
      <w:marLeft w:val="0"/>
      <w:marRight w:val="0"/>
      <w:marTop w:val="0"/>
      <w:marBottom w:val="0"/>
      <w:divBdr>
        <w:top w:val="none" w:sz="0" w:space="0" w:color="auto"/>
        <w:left w:val="none" w:sz="0" w:space="0" w:color="auto"/>
        <w:bottom w:val="none" w:sz="0" w:space="0" w:color="auto"/>
        <w:right w:val="none" w:sz="0" w:space="0" w:color="auto"/>
      </w:divBdr>
    </w:div>
    <w:div w:id="1401949474">
      <w:bodyDiv w:val="1"/>
      <w:marLeft w:val="0"/>
      <w:marRight w:val="0"/>
      <w:marTop w:val="0"/>
      <w:marBottom w:val="0"/>
      <w:divBdr>
        <w:top w:val="none" w:sz="0" w:space="0" w:color="auto"/>
        <w:left w:val="none" w:sz="0" w:space="0" w:color="auto"/>
        <w:bottom w:val="none" w:sz="0" w:space="0" w:color="auto"/>
        <w:right w:val="none" w:sz="0" w:space="0" w:color="auto"/>
      </w:divBdr>
    </w:div>
    <w:div w:id="1417894713">
      <w:bodyDiv w:val="1"/>
      <w:marLeft w:val="0"/>
      <w:marRight w:val="0"/>
      <w:marTop w:val="0"/>
      <w:marBottom w:val="0"/>
      <w:divBdr>
        <w:top w:val="none" w:sz="0" w:space="0" w:color="auto"/>
        <w:left w:val="none" w:sz="0" w:space="0" w:color="auto"/>
        <w:bottom w:val="none" w:sz="0" w:space="0" w:color="auto"/>
        <w:right w:val="none" w:sz="0" w:space="0" w:color="auto"/>
      </w:divBdr>
    </w:div>
    <w:div w:id="1418357641">
      <w:bodyDiv w:val="1"/>
      <w:marLeft w:val="0"/>
      <w:marRight w:val="0"/>
      <w:marTop w:val="0"/>
      <w:marBottom w:val="0"/>
      <w:divBdr>
        <w:top w:val="none" w:sz="0" w:space="0" w:color="auto"/>
        <w:left w:val="none" w:sz="0" w:space="0" w:color="auto"/>
        <w:bottom w:val="none" w:sz="0" w:space="0" w:color="auto"/>
        <w:right w:val="none" w:sz="0" w:space="0" w:color="auto"/>
      </w:divBdr>
    </w:div>
    <w:div w:id="1420911758">
      <w:bodyDiv w:val="1"/>
      <w:marLeft w:val="0"/>
      <w:marRight w:val="0"/>
      <w:marTop w:val="0"/>
      <w:marBottom w:val="0"/>
      <w:divBdr>
        <w:top w:val="none" w:sz="0" w:space="0" w:color="auto"/>
        <w:left w:val="none" w:sz="0" w:space="0" w:color="auto"/>
        <w:bottom w:val="none" w:sz="0" w:space="0" w:color="auto"/>
        <w:right w:val="none" w:sz="0" w:space="0" w:color="auto"/>
      </w:divBdr>
    </w:div>
    <w:div w:id="1477990259">
      <w:bodyDiv w:val="1"/>
      <w:marLeft w:val="0"/>
      <w:marRight w:val="0"/>
      <w:marTop w:val="0"/>
      <w:marBottom w:val="0"/>
      <w:divBdr>
        <w:top w:val="none" w:sz="0" w:space="0" w:color="auto"/>
        <w:left w:val="none" w:sz="0" w:space="0" w:color="auto"/>
        <w:bottom w:val="none" w:sz="0" w:space="0" w:color="auto"/>
        <w:right w:val="none" w:sz="0" w:space="0" w:color="auto"/>
      </w:divBdr>
    </w:div>
    <w:div w:id="1489131364">
      <w:bodyDiv w:val="1"/>
      <w:marLeft w:val="0"/>
      <w:marRight w:val="0"/>
      <w:marTop w:val="0"/>
      <w:marBottom w:val="0"/>
      <w:divBdr>
        <w:top w:val="none" w:sz="0" w:space="0" w:color="auto"/>
        <w:left w:val="none" w:sz="0" w:space="0" w:color="auto"/>
        <w:bottom w:val="none" w:sz="0" w:space="0" w:color="auto"/>
        <w:right w:val="none" w:sz="0" w:space="0" w:color="auto"/>
      </w:divBdr>
    </w:div>
    <w:div w:id="1544320604">
      <w:bodyDiv w:val="1"/>
      <w:marLeft w:val="0"/>
      <w:marRight w:val="0"/>
      <w:marTop w:val="0"/>
      <w:marBottom w:val="0"/>
      <w:divBdr>
        <w:top w:val="none" w:sz="0" w:space="0" w:color="auto"/>
        <w:left w:val="none" w:sz="0" w:space="0" w:color="auto"/>
        <w:bottom w:val="none" w:sz="0" w:space="0" w:color="auto"/>
        <w:right w:val="none" w:sz="0" w:space="0" w:color="auto"/>
      </w:divBdr>
    </w:div>
    <w:div w:id="1561601289">
      <w:bodyDiv w:val="1"/>
      <w:marLeft w:val="0"/>
      <w:marRight w:val="0"/>
      <w:marTop w:val="0"/>
      <w:marBottom w:val="0"/>
      <w:divBdr>
        <w:top w:val="none" w:sz="0" w:space="0" w:color="auto"/>
        <w:left w:val="none" w:sz="0" w:space="0" w:color="auto"/>
        <w:bottom w:val="none" w:sz="0" w:space="0" w:color="auto"/>
        <w:right w:val="none" w:sz="0" w:space="0" w:color="auto"/>
      </w:divBdr>
    </w:div>
    <w:div w:id="1582830360">
      <w:bodyDiv w:val="1"/>
      <w:marLeft w:val="0"/>
      <w:marRight w:val="0"/>
      <w:marTop w:val="0"/>
      <w:marBottom w:val="0"/>
      <w:divBdr>
        <w:top w:val="none" w:sz="0" w:space="0" w:color="auto"/>
        <w:left w:val="none" w:sz="0" w:space="0" w:color="auto"/>
        <w:bottom w:val="none" w:sz="0" w:space="0" w:color="auto"/>
        <w:right w:val="none" w:sz="0" w:space="0" w:color="auto"/>
      </w:divBdr>
    </w:div>
    <w:div w:id="1628469955">
      <w:bodyDiv w:val="1"/>
      <w:marLeft w:val="0"/>
      <w:marRight w:val="0"/>
      <w:marTop w:val="0"/>
      <w:marBottom w:val="0"/>
      <w:divBdr>
        <w:top w:val="none" w:sz="0" w:space="0" w:color="auto"/>
        <w:left w:val="none" w:sz="0" w:space="0" w:color="auto"/>
        <w:bottom w:val="none" w:sz="0" w:space="0" w:color="auto"/>
        <w:right w:val="none" w:sz="0" w:space="0" w:color="auto"/>
      </w:divBdr>
    </w:div>
    <w:div w:id="1642803278">
      <w:bodyDiv w:val="1"/>
      <w:marLeft w:val="0"/>
      <w:marRight w:val="0"/>
      <w:marTop w:val="0"/>
      <w:marBottom w:val="0"/>
      <w:divBdr>
        <w:top w:val="none" w:sz="0" w:space="0" w:color="auto"/>
        <w:left w:val="none" w:sz="0" w:space="0" w:color="auto"/>
        <w:bottom w:val="none" w:sz="0" w:space="0" w:color="auto"/>
        <w:right w:val="none" w:sz="0" w:space="0" w:color="auto"/>
      </w:divBdr>
    </w:div>
    <w:div w:id="1646818809">
      <w:bodyDiv w:val="1"/>
      <w:marLeft w:val="0"/>
      <w:marRight w:val="0"/>
      <w:marTop w:val="0"/>
      <w:marBottom w:val="0"/>
      <w:divBdr>
        <w:top w:val="none" w:sz="0" w:space="0" w:color="auto"/>
        <w:left w:val="none" w:sz="0" w:space="0" w:color="auto"/>
        <w:bottom w:val="none" w:sz="0" w:space="0" w:color="auto"/>
        <w:right w:val="none" w:sz="0" w:space="0" w:color="auto"/>
      </w:divBdr>
    </w:div>
    <w:div w:id="1668747346">
      <w:bodyDiv w:val="1"/>
      <w:marLeft w:val="0"/>
      <w:marRight w:val="0"/>
      <w:marTop w:val="0"/>
      <w:marBottom w:val="0"/>
      <w:divBdr>
        <w:top w:val="none" w:sz="0" w:space="0" w:color="auto"/>
        <w:left w:val="none" w:sz="0" w:space="0" w:color="auto"/>
        <w:bottom w:val="none" w:sz="0" w:space="0" w:color="auto"/>
        <w:right w:val="none" w:sz="0" w:space="0" w:color="auto"/>
      </w:divBdr>
    </w:div>
    <w:div w:id="1683120931">
      <w:bodyDiv w:val="1"/>
      <w:marLeft w:val="0"/>
      <w:marRight w:val="0"/>
      <w:marTop w:val="0"/>
      <w:marBottom w:val="0"/>
      <w:divBdr>
        <w:top w:val="none" w:sz="0" w:space="0" w:color="auto"/>
        <w:left w:val="none" w:sz="0" w:space="0" w:color="auto"/>
        <w:bottom w:val="none" w:sz="0" w:space="0" w:color="auto"/>
        <w:right w:val="none" w:sz="0" w:space="0" w:color="auto"/>
      </w:divBdr>
    </w:div>
    <w:div w:id="1687517457">
      <w:bodyDiv w:val="1"/>
      <w:marLeft w:val="0"/>
      <w:marRight w:val="0"/>
      <w:marTop w:val="0"/>
      <w:marBottom w:val="0"/>
      <w:divBdr>
        <w:top w:val="none" w:sz="0" w:space="0" w:color="auto"/>
        <w:left w:val="none" w:sz="0" w:space="0" w:color="auto"/>
        <w:bottom w:val="none" w:sz="0" w:space="0" w:color="auto"/>
        <w:right w:val="none" w:sz="0" w:space="0" w:color="auto"/>
      </w:divBdr>
    </w:div>
    <w:div w:id="1702628986">
      <w:bodyDiv w:val="1"/>
      <w:marLeft w:val="0"/>
      <w:marRight w:val="0"/>
      <w:marTop w:val="0"/>
      <w:marBottom w:val="0"/>
      <w:divBdr>
        <w:top w:val="none" w:sz="0" w:space="0" w:color="auto"/>
        <w:left w:val="none" w:sz="0" w:space="0" w:color="auto"/>
        <w:bottom w:val="none" w:sz="0" w:space="0" w:color="auto"/>
        <w:right w:val="none" w:sz="0" w:space="0" w:color="auto"/>
      </w:divBdr>
    </w:div>
    <w:div w:id="1718698376">
      <w:bodyDiv w:val="1"/>
      <w:marLeft w:val="0"/>
      <w:marRight w:val="0"/>
      <w:marTop w:val="0"/>
      <w:marBottom w:val="0"/>
      <w:divBdr>
        <w:top w:val="none" w:sz="0" w:space="0" w:color="auto"/>
        <w:left w:val="none" w:sz="0" w:space="0" w:color="auto"/>
        <w:bottom w:val="none" w:sz="0" w:space="0" w:color="auto"/>
        <w:right w:val="none" w:sz="0" w:space="0" w:color="auto"/>
      </w:divBdr>
    </w:div>
    <w:div w:id="1720549246">
      <w:bodyDiv w:val="1"/>
      <w:marLeft w:val="0"/>
      <w:marRight w:val="0"/>
      <w:marTop w:val="0"/>
      <w:marBottom w:val="0"/>
      <w:divBdr>
        <w:top w:val="none" w:sz="0" w:space="0" w:color="auto"/>
        <w:left w:val="none" w:sz="0" w:space="0" w:color="auto"/>
        <w:bottom w:val="none" w:sz="0" w:space="0" w:color="auto"/>
        <w:right w:val="none" w:sz="0" w:space="0" w:color="auto"/>
      </w:divBdr>
    </w:div>
    <w:div w:id="1743332051">
      <w:bodyDiv w:val="1"/>
      <w:marLeft w:val="0"/>
      <w:marRight w:val="0"/>
      <w:marTop w:val="0"/>
      <w:marBottom w:val="0"/>
      <w:divBdr>
        <w:top w:val="none" w:sz="0" w:space="0" w:color="auto"/>
        <w:left w:val="none" w:sz="0" w:space="0" w:color="auto"/>
        <w:bottom w:val="none" w:sz="0" w:space="0" w:color="auto"/>
        <w:right w:val="none" w:sz="0" w:space="0" w:color="auto"/>
      </w:divBdr>
    </w:div>
    <w:div w:id="1748963248">
      <w:bodyDiv w:val="1"/>
      <w:marLeft w:val="0"/>
      <w:marRight w:val="0"/>
      <w:marTop w:val="0"/>
      <w:marBottom w:val="0"/>
      <w:divBdr>
        <w:top w:val="none" w:sz="0" w:space="0" w:color="auto"/>
        <w:left w:val="none" w:sz="0" w:space="0" w:color="auto"/>
        <w:bottom w:val="none" w:sz="0" w:space="0" w:color="auto"/>
        <w:right w:val="none" w:sz="0" w:space="0" w:color="auto"/>
      </w:divBdr>
    </w:div>
    <w:div w:id="1755780506">
      <w:bodyDiv w:val="1"/>
      <w:marLeft w:val="0"/>
      <w:marRight w:val="0"/>
      <w:marTop w:val="0"/>
      <w:marBottom w:val="0"/>
      <w:divBdr>
        <w:top w:val="none" w:sz="0" w:space="0" w:color="auto"/>
        <w:left w:val="none" w:sz="0" w:space="0" w:color="auto"/>
        <w:bottom w:val="none" w:sz="0" w:space="0" w:color="auto"/>
        <w:right w:val="none" w:sz="0" w:space="0" w:color="auto"/>
      </w:divBdr>
    </w:div>
    <w:div w:id="1760366127">
      <w:bodyDiv w:val="1"/>
      <w:marLeft w:val="0"/>
      <w:marRight w:val="0"/>
      <w:marTop w:val="0"/>
      <w:marBottom w:val="0"/>
      <w:divBdr>
        <w:top w:val="none" w:sz="0" w:space="0" w:color="auto"/>
        <w:left w:val="none" w:sz="0" w:space="0" w:color="auto"/>
        <w:bottom w:val="none" w:sz="0" w:space="0" w:color="auto"/>
        <w:right w:val="none" w:sz="0" w:space="0" w:color="auto"/>
      </w:divBdr>
    </w:div>
    <w:div w:id="1771271407">
      <w:bodyDiv w:val="1"/>
      <w:marLeft w:val="0"/>
      <w:marRight w:val="0"/>
      <w:marTop w:val="0"/>
      <w:marBottom w:val="0"/>
      <w:divBdr>
        <w:top w:val="none" w:sz="0" w:space="0" w:color="auto"/>
        <w:left w:val="none" w:sz="0" w:space="0" w:color="auto"/>
        <w:bottom w:val="none" w:sz="0" w:space="0" w:color="auto"/>
        <w:right w:val="none" w:sz="0" w:space="0" w:color="auto"/>
      </w:divBdr>
    </w:div>
    <w:div w:id="1773478604">
      <w:bodyDiv w:val="1"/>
      <w:marLeft w:val="0"/>
      <w:marRight w:val="0"/>
      <w:marTop w:val="0"/>
      <w:marBottom w:val="0"/>
      <w:divBdr>
        <w:top w:val="none" w:sz="0" w:space="0" w:color="auto"/>
        <w:left w:val="none" w:sz="0" w:space="0" w:color="auto"/>
        <w:bottom w:val="none" w:sz="0" w:space="0" w:color="auto"/>
        <w:right w:val="none" w:sz="0" w:space="0" w:color="auto"/>
      </w:divBdr>
    </w:div>
    <w:div w:id="1779182401">
      <w:bodyDiv w:val="1"/>
      <w:marLeft w:val="0"/>
      <w:marRight w:val="0"/>
      <w:marTop w:val="0"/>
      <w:marBottom w:val="0"/>
      <w:divBdr>
        <w:top w:val="none" w:sz="0" w:space="0" w:color="auto"/>
        <w:left w:val="none" w:sz="0" w:space="0" w:color="auto"/>
        <w:bottom w:val="none" w:sz="0" w:space="0" w:color="auto"/>
        <w:right w:val="none" w:sz="0" w:space="0" w:color="auto"/>
      </w:divBdr>
    </w:div>
    <w:div w:id="1860729644">
      <w:bodyDiv w:val="1"/>
      <w:marLeft w:val="0"/>
      <w:marRight w:val="0"/>
      <w:marTop w:val="0"/>
      <w:marBottom w:val="0"/>
      <w:divBdr>
        <w:top w:val="none" w:sz="0" w:space="0" w:color="auto"/>
        <w:left w:val="none" w:sz="0" w:space="0" w:color="auto"/>
        <w:bottom w:val="none" w:sz="0" w:space="0" w:color="auto"/>
        <w:right w:val="none" w:sz="0" w:space="0" w:color="auto"/>
      </w:divBdr>
    </w:div>
    <w:div w:id="1883319536">
      <w:bodyDiv w:val="1"/>
      <w:marLeft w:val="0"/>
      <w:marRight w:val="0"/>
      <w:marTop w:val="0"/>
      <w:marBottom w:val="0"/>
      <w:divBdr>
        <w:top w:val="none" w:sz="0" w:space="0" w:color="auto"/>
        <w:left w:val="none" w:sz="0" w:space="0" w:color="auto"/>
        <w:bottom w:val="none" w:sz="0" w:space="0" w:color="auto"/>
        <w:right w:val="none" w:sz="0" w:space="0" w:color="auto"/>
      </w:divBdr>
    </w:div>
    <w:div w:id="1889031383">
      <w:bodyDiv w:val="1"/>
      <w:marLeft w:val="0"/>
      <w:marRight w:val="0"/>
      <w:marTop w:val="0"/>
      <w:marBottom w:val="0"/>
      <w:divBdr>
        <w:top w:val="none" w:sz="0" w:space="0" w:color="auto"/>
        <w:left w:val="none" w:sz="0" w:space="0" w:color="auto"/>
        <w:bottom w:val="none" w:sz="0" w:space="0" w:color="auto"/>
        <w:right w:val="none" w:sz="0" w:space="0" w:color="auto"/>
      </w:divBdr>
    </w:div>
    <w:div w:id="1896164256">
      <w:bodyDiv w:val="1"/>
      <w:marLeft w:val="0"/>
      <w:marRight w:val="0"/>
      <w:marTop w:val="0"/>
      <w:marBottom w:val="0"/>
      <w:divBdr>
        <w:top w:val="none" w:sz="0" w:space="0" w:color="auto"/>
        <w:left w:val="none" w:sz="0" w:space="0" w:color="auto"/>
        <w:bottom w:val="none" w:sz="0" w:space="0" w:color="auto"/>
        <w:right w:val="none" w:sz="0" w:space="0" w:color="auto"/>
      </w:divBdr>
    </w:div>
    <w:div w:id="1931809702">
      <w:bodyDiv w:val="1"/>
      <w:marLeft w:val="0"/>
      <w:marRight w:val="0"/>
      <w:marTop w:val="0"/>
      <w:marBottom w:val="0"/>
      <w:divBdr>
        <w:top w:val="none" w:sz="0" w:space="0" w:color="auto"/>
        <w:left w:val="none" w:sz="0" w:space="0" w:color="auto"/>
        <w:bottom w:val="none" w:sz="0" w:space="0" w:color="auto"/>
        <w:right w:val="none" w:sz="0" w:space="0" w:color="auto"/>
      </w:divBdr>
    </w:div>
    <w:div w:id="1964268390">
      <w:bodyDiv w:val="1"/>
      <w:marLeft w:val="0"/>
      <w:marRight w:val="0"/>
      <w:marTop w:val="0"/>
      <w:marBottom w:val="0"/>
      <w:divBdr>
        <w:top w:val="none" w:sz="0" w:space="0" w:color="auto"/>
        <w:left w:val="none" w:sz="0" w:space="0" w:color="auto"/>
        <w:bottom w:val="none" w:sz="0" w:space="0" w:color="auto"/>
        <w:right w:val="none" w:sz="0" w:space="0" w:color="auto"/>
      </w:divBdr>
    </w:div>
    <w:div w:id="1986273202">
      <w:bodyDiv w:val="1"/>
      <w:marLeft w:val="0"/>
      <w:marRight w:val="0"/>
      <w:marTop w:val="0"/>
      <w:marBottom w:val="0"/>
      <w:divBdr>
        <w:top w:val="none" w:sz="0" w:space="0" w:color="auto"/>
        <w:left w:val="none" w:sz="0" w:space="0" w:color="auto"/>
        <w:bottom w:val="none" w:sz="0" w:space="0" w:color="auto"/>
        <w:right w:val="none" w:sz="0" w:space="0" w:color="auto"/>
      </w:divBdr>
    </w:div>
    <w:div w:id="2003661510">
      <w:bodyDiv w:val="1"/>
      <w:marLeft w:val="0"/>
      <w:marRight w:val="0"/>
      <w:marTop w:val="0"/>
      <w:marBottom w:val="0"/>
      <w:divBdr>
        <w:top w:val="none" w:sz="0" w:space="0" w:color="auto"/>
        <w:left w:val="none" w:sz="0" w:space="0" w:color="auto"/>
        <w:bottom w:val="none" w:sz="0" w:space="0" w:color="auto"/>
        <w:right w:val="none" w:sz="0" w:space="0" w:color="auto"/>
      </w:divBdr>
    </w:div>
    <w:div w:id="2016104024">
      <w:bodyDiv w:val="1"/>
      <w:marLeft w:val="0"/>
      <w:marRight w:val="0"/>
      <w:marTop w:val="0"/>
      <w:marBottom w:val="0"/>
      <w:divBdr>
        <w:top w:val="none" w:sz="0" w:space="0" w:color="auto"/>
        <w:left w:val="none" w:sz="0" w:space="0" w:color="auto"/>
        <w:bottom w:val="none" w:sz="0" w:space="0" w:color="auto"/>
        <w:right w:val="none" w:sz="0" w:space="0" w:color="auto"/>
      </w:divBdr>
    </w:div>
    <w:div w:id="2016416937">
      <w:bodyDiv w:val="1"/>
      <w:marLeft w:val="0"/>
      <w:marRight w:val="0"/>
      <w:marTop w:val="0"/>
      <w:marBottom w:val="0"/>
      <w:divBdr>
        <w:top w:val="none" w:sz="0" w:space="0" w:color="auto"/>
        <w:left w:val="none" w:sz="0" w:space="0" w:color="auto"/>
        <w:bottom w:val="none" w:sz="0" w:space="0" w:color="auto"/>
        <w:right w:val="none" w:sz="0" w:space="0" w:color="auto"/>
      </w:divBdr>
    </w:div>
    <w:div w:id="2024816612">
      <w:bodyDiv w:val="1"/>
      <w:marLeft w:val="0"/>
      <w:marRight w:val="0"/>
      <w:marTop w:val="0"/>
      <w:marBottom w:val="0"/>
      <w:divBdr>
        <w:top w:val="none" w:sz="0" w:space="0" w:color="auto"/>
        <w:left w:val="none" w:sz="0" w:space="0" w:color="auto"/>
        <w:bottom w:val="none" w:sz="0" w:space="0" w:color="auto"/>
        <w:right w:val="none" w:sz="0" w:space="0" w:color="auto"/>
      </w:divBdr>
    </w:div>
    <w:div w:id="2033798191">
      <w:bodyDiv w:val="1"/>
      <w:marLeft w:val="0"/>
      <w:marRight w:val="0"/>
      <w:marTop w:val="0"/>
      <w:marBottom w:val="0"/>
      <w:divBdr>
        <w:top w:val="none" w:sz="0" w:space="0" w:color="auto"/>
        <w:left w:val="none" w:sz="0" w:space="0" w:color="auto"/>
        <w:bottom w:val="none" w:sz="0" w:space="0" w:color="auto"/>
        <w:right w:val="none" w:sz="0" w:space="0" w:color="auto"/>
      </w:divBdr>
    </w:div>
    <w:div w:id="2046558422">
      <w:bodyDiv w:val="1"/>
      <w:marLeft w:val="0"/>
      <w:marRight w:val="0"/>
      <w:marTop w:val="0"/>
      <w:marBottom w:val="0"/>
      <w:divBdr>
        <w:top w:val="none" w:sz="0" w:space="0" w:color="auto"/>
        <w:left w:val="none" w:sz="0" w:space="0" w:color="auto"/>
        <w:bottom w:val="none" w:sz="0" w:space="0" w:color="auto"/>
        <w:right w:val="none" w:sz="0" w:space="0" w:color="auto"/>
      </w:divBdr>
    </w:div>
    <w:div w:id="2050914707">
      <w:bodyDiv w:val="1"/>
      <w:marLeft w:val="0"/>
      <w:marRight w:val="0"/>
      <w:marTop w:val="0"/>
      <w:marBottom w:val="0"/>
      <w:divBdr>
        <w:top w:val="none" w:sz="0" w:space="0" w:color="auto"/>
        <w:left w:val="none" w:sz="0" w:space="0" w:color="auto"/>
        <w:bottom w:val="none" w:sz="0" w:space="0" w:color="auto"/>
        <w:right w:val="none" w:sz="0" w:space="0" w:color="auto"/>
      </w:divBdr>
    </w:div>
    <w:div w:id="2056542608">
      <w:bodyDiv w:val="1"/>
      <w:marLeft w:val="0"/>
      <w:marRight w:val="0"/>
      <w:marTop w:val="0"/>
      <w:marBottom w:val="0"/>
      <w:divBdr>
        <w:top w:val="none" w:sz="0" w:space="0" w:color="auto"/>
        <w:left w:val="none" w:sz="0" w:space="0" w:color="auto"/>
        <w:bottom w:val="none" w:sz="0" w:space="0" w:color="auto"/>
        <w:right w:val="none" w:sz="0" w:space="0" w:color="auto"/>
      </w:divBdr>
    </w:div>
    <w:div w:id="2060737255">
      <w:bodyDiv w:val="1"/>
      <w:marLeft w:val="0"/>
      <w:marRight w:val="0"/>
      <w:marTop w:val="0"/>
      <w:marBottom w:val="0"/>
      <w:divBdr>
        <w:top w:val="none" w:sz="0" w:space="0" w:color="auto"/>
        <w:left w:val="none" w:sz="0" w:space="0" w:color="auto"/>
        <w:bottom w:val="none" w:sz="0" w:space="0" w:color="auto"/>
        <w:right w:val="none" w:sz="0" w:space="0" w:color="auto"/>
      </w:divBdr>
    </w:div>
    <w:div w:id="2098138582">
      <w:bodyDiv w:val="1"/>
      <w:marLeft w:val="0"/>
      <w:marRight w:val="0"/>
      <w:marTop w:val="0"/>
      <w:marBottom w:val="0"/>
      <w:divBdr>
        <w:top w:val="none" w:sz="0" w:space="0" w:color="auto"/>
        <w:left w:val="none" w:sz="0" w:space="0" w:color="auto"/>
        <w:bottom w:val="none" w:sz="0" w:space="0" w:color="auto"/>
        <w:right w:val="none" w:sz="0" w:space="0" w:color="auto"/>
      </w:divBdr>
    </w:div>
    <w:div w:id="2102792515">
      <w:bodyDiv w:val="1"/>
      <w:marLeft w:val="0"/>
      <w:marRight w:val="0"/>
      <w:marTop w:val="0"/>
      <w:marBottom w:val="0"/>
      <w:divBdr>
        <w:top w:val="none" w:sz="0" w:space="0" w:color="auto"/>
        <w:left w:val="none" w:sz="0" w:space="0" w:color="auto"/>
        <w:bottom w:val="none" w:sz="0" w:space="0" w:color="auto"/>
        <w:right w:val="none" w:sz="0" w:space="0" w:color="auto"/>
      </w:divBdr>
    </w:div>
    <w:div w:id="211945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2.jpeg"/><Relationship Id="rId21" Type="http://schemas.openxmlformats.org/officeDocument/2006/relationships/chart" Target="charts/chart10.xml"/><Relationship Id="rId42" Type="http://schemas.openxmlformats.org/officeDocument/2006/relationships/chart" Target="charts/chart31.xml"/><Relationship Id="rId63" Type="http://schemas.openxmlformats.org/officeDocument/2006/relationships/chart" Target="charts/chart48.xml"/><Relationship Id="rId84" Type="http://schemas.openxmlformats.org/officeDocument/2006/relationships/chart" Target="charts/chart68.xml"/><Relationship Id="rId138" Type="http://schemas.openxmlformats.org/officeDocument/2006/relationships/chart" Target="charts/chart103.xml"/><Relationship Id="rId159" Type="http://schemas.openxmlformats.org/officeDocument/2006/relationships/chart" Target="charts/chart123.xml"/><Relationship Id="rId170" Type="http://schemas.openxmlformats.org/officeDocument/2006/relationships/chart" Target="charts/chart134.xml"/><Relationship Id="rId191" Type="http://schemas.openxmlformats.org/officeDocument/2006/relationships/chart" Target="charts/chart155.xml"/><Relationship Id="rId205" Type="http://schemas.openxmlformats.org/officeDocument/2006/relationships/chart" Target="charts/chart169.xml"/><Relationship Id="rId16" Type="http://schemas.openxmlformats.org/officeDocument/2006/relationships/chart" Target="charts/chart5.xml"/><Relationship Id="rId107" Type="http://schemas.openxmlformats.org/officeDocument/2006/relationships/image" Target="media/image4.jpeg"/><Relationship Id="rId11" Type="http://schemas.openxmlformats.org/officeDocument/2006/relationships/chart" Target="charts/chart2.xml"/><Relationship Id="rId32" Type="http://schemas.openxmlformats.org/officeDocument/2006/relationships/chart" Target="charts/chart21.xml"/><Relationship Id="rId37" Type="http://schemas.openxmlformats.org/officeDocument/2006/relationships/chart" Target="charts/chart26.xml"/><Relationship Id="rId53" Type="http://schemas.openxmlformats.org/officeDocument/2006/relationships/chart" Target="charts/chart40.xml"/><Relationship Id="rId58" Type="http://schemas.openxmlformats.org/officeDocument/2006/relationships/chart" Target="charts/chart45.xml"/><Relationship Id="rId74" Type="http://schemas.openxmlformats.org/officeDocument/2006/relationships/chart" Target="charts/chart58.xml"/><Relationship Id="rId79" Type="http://schemas.openxmlformats.org/officeDocument/2006/relationships/chart" Target="charts/chart63.xml"/><Relationship Id="rId102" Type="http://schemas.openxmlformats.org/officeDocument/2006/relationships/image" Target="media/image6.png"/><Relationship Id="rId123" Type="http://schemas.openxmlformats.org/officeDocument/2006/relationships/chart" Target="charts/chart89.xml"/><Relationship Id="rId128" Type="http://schemas.openxmlformats.org/officeDocument/2006/relationships/chart" Target="charts/chart94.xml"/><Relationship Id="rId144" Type="http://schemas.openxmlformats.org/officeDocument/2006/relationships/chart" Target="charts/chart108.xml"/><Relationship Id="rId149" Type="http://schemas.openxmlformats.org/officeDocument/2006/relationships/chart" Target="charts/chart113.xml"/><Relationship Id="rId5" Type="http://schemas.openxmlformats.org/officeDocument/2006/relationships/webSettings" Target="webSettings.xml"/><Relationship Id="rId90" Type="http://schemas.openxmlformats.org/officeDocument/2006/relationships/chart" Target="charts/chart74.xml"/><Relationship Id="rId95" Type="http://schemas.openxmlformats.org/officeDocument/2006/relationships/chart" Target="charts/chart79.xml"/><Relationship Id="rId160" Type="http://schemas.openxmlformats.org/officeDocument/2006/relationships/chart" Target="charts/chart124.xml"/><Relationship Id="rId165" Type="http://schemas.openxmlformats.org/officeDocument/2006/relationships/chart" Target="charts/chart129.xml"/><Relationship Id="rId181" Type="http://schemas.openxmlformats.org/officeDocument/2006/relationships/chart" Target="charts/chart145.xml"/><Relationship Id="rId186" Type="http://schemas.openxmlformats.org/officeDocument/2006/relationships/chart" Target="charts/chart150.xml"/><Relationship Id="rId211" Type="http://schemas.openxmlformats.org/officeDocument/2006/relationships/footer" Target="footer1.xml"/><Relationship Id="rId22" Type="http://schemas.openxmlformats.org/officeDocument/2006/relationships/chart" Target="charts/chart11.xml"/><Relationship Id="rId27" Type="http://schemas.openxmlformats.org/officeDocument/2006/relationships/chart" Target="charts/chart16.xml"/><Relationship Id="rId43" Type="http://schemas.openxmlformats.org/officeDocument/2006/relationships/chart" Target="charts/chart32.xml"/><Relationship Id="rId48" Type="http://schemas.openxmlformats.org/officeDocument/2006/relationships/chart" Target="charts/chart36.xml"/><Relationship Id="rId64" Type="http://schemas.openxmlformats.org/officeDocument/2006/relationships/chart" Target="charts/chart49.xml"/><Relationship Id="rId69" Type="http://schemas.openxmlformats.org/officeDocument/2006/relationships/chart" Target="charts/chart53.xml"/><Relationship Id="rId113" Type="http://schemas.openxmlformats.org/officeDocument/2006/relationships/chart" Target="charts/chart86.xml"/><Relationship Id="rId118" Type="http://schemas.openxmlformats.org/officeDocument/2006/relationships/image" Target="media/image13.png"/><Relationship Id="rId134" Type="http://schemas.openxmlformats.org/officeDocument/2006/relationships/chart" Target="charts/chart100.xml"/><Relationship Id="rId139" Type="http://schemas.openxmlformats.org/officeDocument/2006/relationships/chart" Target="charts/chart104.xml"/><Relationship Id="rId80" Type="http://schemas.openxmlformats.org/officeDocument/2006/relationships/chart" Target="charts/chart64.xml"/><Relationship Id="rId85" Type="http://schemas.openxmlformats.org/officeDocument/2006/relationships/chart" Target="charts/chart69.xml"/><Relationship Id="rId150" Type="http://schemas.openxmlformats.org/officeDocument/2006/relationships/chart" Target="charts/chart114.xml"/><Relationship Id="rId155" Type="http://schemas.openxmlformats.org/officeDocument/2006/relationships/chart" Target="charts/chart119.xml"/><Relationship Id="rId171" Type="http://schemas.openxmlformats.org/officeDocument/2006/relationships/chart" Target="charts/chart135.xml"/><Relationship Id="rId176" Type="http://schemas.openxmlformats.org/officeDocument/2006/relationships/chart" Target="charts/chart140.xml"/><Relationship Id="rId192" Type="http://schemas.openxmlformats.org/officeDocument/2006/relationships/chart" Target="charts/chart156.xml"/><Relationship Id="rId197" Type="http://schemas.openxmlformats.org/officeDocument/2006/relationships/chart" Target="charts/chart161.xml"/><Relationship Id="rId206" Type="http://schemas.openxmlformats.org/officeDocument/2006/relationships/chart" Target="charts/chart170.xml"/><Relationship Id="rId201" Type="http://schemas.openxmlformats.org/officeDocument/2006/relationships/chart" Target="charts/chart165.xml"/><Relationship Id="rId12" Type="http://schemas.openxmlformats.org/officeDocument/2006/relationships/chart" Target="charts/chart3.xml"/><Relationship Id="rId17" Type="http://schemas.openxmlformats.org/officeDocument/2006/relationships/chart" Target="charts/chart6.xml"/><Relationship Id="rId33" Type="http://schemas.openxmlformats.org/officeDocument/2006/relationships/chart" Target="charts/chart22.xml"/><Relationship Id="rId38" Type="http://schemas.openxmlformats.org/officeDocument/2006/relationships/chart" Target="charts/chart27.xml"/><Relationship Id="rId59" Type="http://schemas.microsoft.com/office/2014/relationships/chartEx" Target="charts/chartEx2.xml"/><Relationship Id="rId103" Type="http://schemas.openxmlformats.org/officeDocument/2006/relationships/chart" Target="charts/chart81.xml"/><Relationship Id="rId108" Type="http://schemas.openxmlformats.org/officeDocument/2006/relationships/chart" Target="charts/chart85.xml"/><Relationship Id="rId124" Type="http://schemas.openxmlformats.org/officeDocument/2006/relationships/chart" Target="charts/chart90.xml"/><Relationship Id="rId129" Type="http://schemas.openxmlformats.org/officeDocument/2006/relationships/chart" Target="charts/chart95.xml"/><Relationship Id="rId54" Type="http://schemas.openxmlformats.org/officeDocument/2006/relationships/chart" Target="charts/chart41.xml"/><Relationship Id="rId70" Type="http://schemas.openxmlformats.org/officeDocument/2006/relationships/chart" Target="charts/chart54.xml"/><Relationship Id="rId75" Type="http://schemas.openxmlformats.org/officeDocument/2006/relationships/chart" Target="charts/chart59.xml"/><Relationship Id="rId91" Type="http://schemas.openxmlformats.org/officeDocument/2006/relationships/chart" Target="charts/chart75.xml"/><Relationship Id="rId96" Type="http://schemas.openxmlformats.org/officeDocument/2006/relationships/chart" Target="charts/chart80.xml"/><Relationship Id="rId140" Type="http://schemas.openxmlformats.org/officeDocument/2006/relationships/image" Target="media/image16.png"/><Relationship Id="rId145" Type="http://schemas.openxmlformats.org/officeDocument/2006/relationships/chart" Target="charts/chart109.xml"/><Relationship Id="rId161" Type="http://schemas.openxmlformats.org/officeDocument/2006/relationships/chart" Target="charts/chart125.xml"/><Relationship Id="rId166" Type="http://schemas.openxmlformats.org/officeDocument/2006/relationships/chart" Target="charts/chart130.xml"/><Relationship Id="rId182" Type="http://schemas.openxmlformats.org/officeDocument/2006/relationships/chart" Target="charts/chart146.xml"/><Relationship Id="rId187" Type="http://schemas.openxmlformats.org/officeDocument/2006/relationships/chart" Target="charts/chart151.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2.xml"/><Relationship Id="rId23" Type="http://schemas.openxmlformats.org/officeDocument/2006/relationships/chart" Target="charts/chart12.xml"/><Relationship Id="rId28" Type="http://schemas.openxmlformats.org/officeDocument/2006/relationships/chart" Target="charts/chart17.xml"/><Relationship Id="rId49" Type="http://schemas.openxmlformats.org/officeDocument/2006/relationships/chart" Target="charts/chart37.xml"/><Relationship Id="rId114" Type="http://schemas.openxmlformats.org/officeDocument/2006/relationships/image" Target="media/image9.png"/><Relationship Id="rId119" Type="http://schemas.openxmlformats.org/officeDocument/2006/relationships/image" Target="media/image14.jpeg"/><Relationship Id="rId44" Type="http://schemas.openxmlformats.org/officeDocument/2006/relationships/chart" Target="charts/chart33.xml"/><Relationship Id="rId60" Type="http://schemas.openxmlformats.org/officeDocument/2006/relationships/image" Target="media/image4.png"/><Relationship Id="rId65" Type="http://schemas.openxmlformats.org/officeDocument/2006/relationships/chart" Target="charts/chart50.xml"/><Relationship Id="rId81" Type="http://schemas.openxmlformats.org/officeDocument/2006/relationships/chart" Target="charts/chart65.xml"/><Relationship Id="rId86" Type="http://schemas.openxmlformats.org/officeDocument/2006/relationships/chart" Target="charts/chart70.xml"/><Relationship Id="rId130" Type="http://schemas.openxmlformats.org/officeDocument/2006/relationships/chart" Target="charts/chart96.xml"/><Relationship Id="rId135" Type="http://schemas.openxmlformats.org/officeDocument/2006/relationships/hyperlink" Target="https://www.cedefop.europa.eu/en/projects/digitalisation-and-future-work/automation-work-and-skills-2" TargetMode="External"/><Relationship Id="rId151" Type="http://schemas.openxmlformats.org/officeDocument/2006/relationships/chart" Target="charts/chart115.xml"/><Relationship Id="rId156" Type="http://schemas.openxmlformats.org/officeDocument/2006/relationships/chart" Target="charts/chart120.xml"/><Relationship Id="rId177" Type="http://schemas.openxmlformats.org/officeDocument/2006/relationships/chart" Target="charts/chart141.xml"/><Relationship Id="rId198" Type="http://schemas.openxmlformats.org/officeDocument/2006/relationships/chart" Target="charts/chart162.xml"/><Relationship Id="rId172" Type="http://schemas.openxmlformats.org/officeDocument/2006/relationships/chart" Target="charts/chart136.xml"/><Relationship Id="rId193" Type="http://schemas.openxmlformats.org/officeDocument/2006/relationships/chart" Target="charts/chart157.xml"/><Relationship Id="rId202" Type="http://schemas.openxmlformats.org/officeDocument/2006/relationships/chart" Target="charts/chart166.xml"/><Relationship Id="rId207" Type="http://schemas.openxmlformats.org/officeDocument/2006/relationships/chart" Target="charts/chart171.xml"/><Relationship Id="rId13" Type="http://schemas.openxmlformats.org/officeDocument/2006/relationships/chart" Target="charts/chart4.xml"/><Relationship Id="rId18" Type="http://schemas.openxmlformats.org/officeDocument/2006/relationships/chart" Target="charts/chart7.xml"/><Relationship Id="rId39" Type="http://schemas.openxmlformats.org/officeDocument/2006/relationships/chart" Target="charts/chart28.xml"/><Relationship Id="rId109" Type="http://schemas.openxmlformats.org/officeDocument/2006/relationships/image" Target="media/image5.png"/><Relationship Id="rId34" Type="http://schemas.openxmlformats.org/officeDocument/2006/relationships/chart" Target="charts/chart23.xml"/><Relationship Id="rId50" Type="http://schemas.openxmlformats.org/officeDocument/2006/relationships/chart" Target="charts/chart38.xml"/><Relationship Id="rId55" Type="http://schemas.openxmlformats.org/officeDocument/2006/relationships/chart" Target="charts/chart42.xml"/><Relationship Id="rId76" Type="http://schemas.openxmlformats.org/officeDocument/2006/relationships/chart" Target="charts/chart60.xml"/><Relationship Id="rId97" Type="http://schemas.microsoft.com/office/2014/relationships/chartEx" Target="charts/chartEx3.xml"/><Relationship Id="rId104" Type="http://schemas.openxmlformats.org/officeDocument/2006/relationships/chart" Target="charts/chart82.xml"/><Relationship Id="rId120" Type="http://schemas.openxmlformats.org/officeDocument/2006/relationships/image" Target="media/image15.jpg"/><Relationship Id="rId125" Type="http://schemas.openxmlformats.org/officeDocument/2006/relationships/chart" Target="charts/chart91.xml"/><Relationship Id="rId141" Type="http://schemas.openxmlformats.org/officeDocument/2006/relationships/chart" Target="charts/chart105.xml"/><Relationship Id="rId146" Type="http://schemas.openxmlformats.org/officeDocument/2006/relationships/chart" Target="charts/chart110.xml"/><Relationship Id="rId167" Type="http://schemas.openxmlformats.org/officeDocument/2006/relationships/chart" Target="charts/chart131.xml"/><Relationship Id="rId188" Type="http://schemas.openxmlformats.org/officeDocument/2006/relationships/chart" Target="charts/chart152.xml"/><Relationship Id="rId7" Type="http://schemas.openxmlformats.org/officeDocument/2006/relationships/endnotes" Target="endnotes.xml"/><Relationship Id="rId71" Type="http://schemas.openxmlformats.org/officeDocument/2006/relationships/chart" Target="charts/chart55.xml"/><Relationship Id="rId92" Type="http://schemas.openxmlformats.org/officeDocument/2006/relationships/chart" Target="charts/chart76.xml"/><Relationship Id="rId162" Type="http://schemas.openxmlformats.org/officeDocument/2006/relationships/chart" Target="charts/chart126.xml"/><Relationship Id="rId183" Type="http://schemas.openxmlformats.org/officeDocument/2006/relationships/chart" Target="charts/chart147.xm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chart" Target="charts/chart18.xml"/><Relationship Id="rId24" Type="http://schemas.openxmlformats.org/officeDocument/2006/relationships/chart" Target="charts/chart13.xml"/><Relationship Id="rId40" Type="http://schemas.openxmlformats.org/officeDocument/2006/relationships/chart" Target="charts/chart29.xml"/><Relationship Id="rId45" Type="http://schemas.openxmlformats.org/officeDocument/2006/relationships/chart" Target="charts/chart34.xml"/><Relationship Id="rId66" Type="http://schemas.openxmlformats.org/officeDocument/2006/relationships/chart" Target="charts/chart51.xml"/><Relationship Id="rId87" Type="http://schemas.openxmlformats.org/officeDocument/2006/relationships/chart" Target="charts/chart71.xml"/><Relationship Id="rId110" Type="http://schemas.openxmlformats.org/officeDocument/2006/relationships/image" Target="media/image6.jpeg"/><Relationship Id="rId115" Type="http://schemas.openxmlformats.org/officeDocument/2006/relationships/image" Target="media/image10.png"/><Relationship Id="rId131" Type="http://schemas.openxmlformats.org/officeDocument/2006/relationships/chart" Target="charts/chart97.xml"/><Relationship Id="rId136" Type="http://schemas.openxmlformats.org/officeDocument/2006/relationships/chart" Target="charts/chart101.xml"/><Relationship Id="rId157" Type="http://schemas.openxmlformats.org/officeDocument/2006/relationships/chart" Target="charts/chart121.xml"/><Relationship Id="rId178" Type="http://schemas.openxmlformats.org/officeDocument/2006/relationships/chart" Target="charts/chart142.xml"/><Relationship Id="rId61" Type="http://schemas.openxmlformats.org/officeDocument/2006/relationships/chart" Target="charts/chart46.xml"/><Relationship Id="rId82" Type="http://schemas.openxmlformats.org/officeDocument/2006/relationships/chart" Target="charts/chart66.xml"/><Relationship Id="rId152" Type="http://schemas.openxmlformats.org/officeDocument/2006/relationships/chart" Target="charts/chart116.xml"/><Relationship Id="rId173" Type="http://schemas.openxmlformats.org/officeDocument/2006/relationships/chart" Target="charts/chart137.xml"/><Relationship Id="rId194" Type="http://schemas.openxmlformats.org/officeDocument/2006/relationships/chart" Target="charts/chart158.xml"/><Relationship Id="rId199" Type="http://schemas.openxmlformats.org/officeDocument/2006/relationships/chart" Target="charts/chart163.xml"/><Relationship Id="rId203" Type="http://schemas.openxmlformats.org/officeDocument/2006/relationships/chart" Target="charts/chart167.xml"/><Relationship Id="rId208" Type="http://schemas.openxmlformats.org/officeDocument/2006/relationships/chart" Target="charts/chart172.xml"/><Relationship Id="rId19" Type="http://schemas.openxmlformats.org/officeDocument/2006/relationships/chart" Target="charts/chart8.xml"/><Relationship Id="rId14" Type="http://schemas.microsoft.com/office/2014/relationships/chartEx" Target="charts/chartEx1.xml"/><Relationship Id="rId30" Type="http://schemas.openxmlformats.org/officeDocument/2006/relationships/chart" Target="charts/chart19.xml"/><Relationship Id="rId35" Type="http://schemas.openxmlformats.org/officeDocument/2006/relationships/chart" Target="charts/chart24.xml"/><Relationship Id="rId56" Type="http://schemas.openxmlformats.org/officeDocument/2006/relationships/chart" Target="charts/chart43.xml"/><Relationship Id="rId77" Type="http://schemas.openxmlformats.org/officeDocument/2006/relationships/chart" Target="charts/chart61.xml"/><Relationship Id="rId105" Type="http://schemas.openxmlformats.org/officeDocument/2006/relationships/chart" Target="charts/chart83.xml"/><Relationship Id="rId126" Type="http://schemas.openxmlformats.org/officeDocument/2006/relationships/chart" Target="charts/chart92.xml"/><Relationship Id="rId147" Type="http://schemas.openxmlformats.org/officeDocument/2006/relationships/chart" Target="charts/chart111.xml"/><Relationship Id="rId168" Type="http://schemas.openxmlformats.org/officeDocument/2006/relationships/chart" Target="charts/chart132.xml"/><Relationship Id="rId8" Type="http://schemas.openxmlformats.org/officeDocument/2006/relationships/hyperlink" Target="https://prognozes.em.gov.lv" TargetMode="External"/><Relationship Id="rId51" Type="http://schemas.openxmlformats.org/officeDocument/2006/relationships/chart" Target="charts/chart39.xml"/><Relationship Id="rId72" Type="http://schemas.openxmlformats.org/officeDocument/2006/relationships/chart" Target="charts/chart56.xml"/><Relationship Id="rId93" Type="http://schemas.openxmlformats.org/officeDocument/2006/relationships/chart" Target="charts/chart77.xml"/><Relationship Id="rId121" Type="http://schemas.openxmlformats.org/officeDocument/2006/relationships/chart" Target="charts/chart87.xml"/><Relationship Id="rId142" Type="http://schemas.openxmlformats.org/officeDocument/2006/relationships/chart" Target="charts/chart106.xml"/><Relationship Id="rId163" Type="http://schemas.openxmlformats.org/officeDocument/2006/relationships/chart" Target="charts/chart127.xml"/><Relationship Id="rId184" Type="http://schemas.openxmlformats.org/officeDocument/2006/relationships/chart" Target="charts/chart148.xml"/><Relationship Id="rId189" Type="http://schemas.openxmlformats.org/officeDocument/2006/relationships/chart" Target="charts/chart153.xm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chart" Target="charts/chart14.xml"/><Relationship Id="rId46" Type="http://schemas.openxmlformats.org/officeDocument/2006/relationships/chart" Target="charts/chart35.xml"/><Relationship Id="rId67" Type="http://schemas.openxmlformats.org/officeDocument/2006/relationships/chart" Target="charts/chart52.xml"/><Relationship Id="rId116" Type="http://schemas.openxmlformats.org/officeDocument/2006/relationships/image" Target="media/image11.png"/><Relationship Id="rId137" Type="http://schemas.openxmlformats.org/officeDocument/2006/relationships/chart" Target="charts/chart102.xml"/><Relationship Id="rId158" Type="http://schemas.openxmlformats.org/officeDocument/2006/relationships/chart" Target="charts/chart122.xml"/><Relationship Id="rId20" Type="http://schemas.openxmlformats.org/officeDocument/2006/relationships/chart" Target="charts/chart9.xml"/><Relationship Id="rId41" Type="http://schemas.openxmlformats.org/officeDocument/2006/relationships/chart" Target="charts/chart30.xml"/><Relationship Id="rId62" Type="http://schemas.openxmlformats.org/officeDocument/2006/relationships/chart" Target="charts/chart47.xml"/><Relationship Id="rId83" Type="http://schemas.openxmlformats.org/officeDocument/2006/relationships/chart" Target="charts/chart67.xml"/><Relationship Id="rId88" Type="http://schemas.openxmlformats.org/officeDocument/2006/relationships/chart" Target="charts/chart72.xml"/><Relationship Id="rId111" Type="http://schemas.openxmlformats.org/officeDocument/2006/relationships/image" Target="media/image7.jpeg"/><Relationship Id="rId132" Type="http://schemas.openxmlformats.org/officeDocument/2006/relationships/chart" Target="charts/chart98.xml"/><Relationship Id="rId153" Type="http://schemas.openxmlformats.org/officeDocument/2006/relationships/chart" Target="charts/chart117.xml"/><Relationship Id="rId174" Type="http://schemas.openxmlformats.org/officeDocument/2006/relationships/chart" Target="charts/chart138.xml"/><Relationship Id="rId179" Type="http://schemas.openxmlformats.org/officeDocument/2006/relationships/chart" Target="charts/chart143.xml"/><Relationship Id="rId195" Type="http://schemas.openxmlformats.org/officeDocument/2006/relationships/chart" Target="charts/chart159.xml"/><Relationship Id="rId209" Type="http://schemas.openxmlformats.org/officeDocument/2006/relationships/image" Target="media/image17.jpeg"/><Relationship Id="rId190" Type="http://schemas.openxmlformats.org/officeDocument/2006/relationships/chart" Target="charts/chart154.xml"/><Relationship Id="rId204" Type="http://schemas.openxmlformats.org/officeDocument/2006/relationships/chart" Target="charts/chart168.xml"/><Relationship Id="rId15" Type="http://schemas.openxmlformats.org/officeDocument/2006/relationships/image" Target="media/image2.png"/><Relationship Id="rId36" Type="http://schemas.openxmlformats.org/officeDocument/2006/relationships/chart" Target="charts/chart25.xml"/><Relationship Id="rId57" Type="http://schemas.openxmlformats.org/officeDocument/2006/relationships/chart" Target="charts/chart44.xml"/><Relationship Id="rId106" Type="http://schemas.openxmlformats.org/officeDocument/2006/relationships/chart" Target="charts/chart84.xml"/><Relationship Id="rId127" Type="http://schemas.openxmlformats.org/officeDocument/2006/relationships/chart" Target="charts/chart93.xml"/><Relationship Id="rId10" Type="http://schemas.openxmlformats.org/officeDocument/2006/relationships/chart" Target="charts/chart1.xml"/><Relationship Id="rId31" Type="http://schemas.openxmlformats.org/officeDocument/2006/relationships/chart" Target="charts/chart20.xml"/><Relationship Id="rId52" Type="http://schemas.openxmlformats.org/officeDocument/2006/relationships/hyperlink" Target="https://skillspanorama.cedefop.europa.eu/en/skills-themes/future-jobs" TargetMode="External"/><Relationship Id="rId73" Type="http://schemas.openxmlformats.org/officeDocument/2006/relationships/chart" Target="charts/chart57.xml"/><Relationship Id="rId78" Type="http://schemas.openxmlformats.org/officeDocument/2006/relationships/chart" Target="charts/chart62.xml"/><Relationship Id="rId94" Type="http://schemas.openxmlformats.org/officeDocument/2006/relationships/chart" Target="charts/chart78.xml"/><Relationship Id="rId122" Type="http://schemas.openxmlformats.org/officeDocument/2006/relationships/chart" Target="charts/chart88.xml"/><Relationship Id="rId143" Type="http://schemas.openxmlformats.org/officeDocument/2006/relationships/chart" Target="charts/chart107.xml"/><Relationship Id="rId148" Type="http://schemas.openxmlformats.org/officeDocument/2006/relationships/chart" Target="charts/chart112.xml"/><Relationship Id="rId164" Type="http://schemas.openxmlformats.org/officeDocument/2006/relationships/chart" Target="charts/chart128.xml"/><Relationship Id="rId169" Type="http://schemas.openxmlformats.org/officeDocument/2006/relationships/chart" Target="charts/chart133.xml"/><Relationship Id="rId185" Type="http://schemas.openxmlformats.org/officeDocument/2006/relationships/chart" Target="charts/chart149.xml"/><Relationship Id="rId4" Type="http://schemas.openxmlformats.org/officeDocument/2006/relationships/settings" Target="settings.xml"/><Relationship Id="rId9" Type="http://schemas.openxmlformats.org/officeDocument/2006/relationships/image" Target="media/image1.jpg"/><Relationship Id="rId180" Type="http://schemas.openxmlformats.org/officeDocument/2006/relationships/chart" Target="charts/chart144.xml"/><Relationship Id="rId210" Type="http://schemas.openxmlformats.org/officeDocument/2006/relationships/image" Target="media/image18.jpeg"/><Relationship Id="rId26" Type="http://schemas.openxmlformats.org/officeDocument/2006/relationships/chart" Target="charts/chart15.xml"/><Relationship Id="rId47" Type="http://schemas.openxmlformats.org/officeDocument/2006/relationships/image" Target="media/image2.jpeg"/><Relationship Id="rId68" Type="http://schemas.openxmlformats.org/officeDocument/2006/relationships/image" Target="media/image3.png"/><Relationship Id="rId89" Type="http://schemas.openxmlformats.org/officeDocument/2006/relationships/chart" Target="charts/chart73.xml"/><Relationship Id="rId112" Type="http://schemas.openxmlformats.org/officeDocument/2006/relationships/image" Target="media/image8.png"/><Relationship Id="rId133" Type="http://schemas.openxmlformats.org/officeDocument/2006/relationships/chart" Target="charts/chart99.xml"/><Relationship Id="rId154" Type="http://schemas.openxmlformats.org/officeDocument/2006/relationships/chart" Target="charts/chart118.xml"/><Relationship Id="rId175" Type="http://schemas.openxmlformats.org/officeDocument/2006/relationships/chart" Target="charts/chart139.xml"/><Relationship Id="rId196" Type="http://schemas.openxmlformats.org/officeDocument/2006/relationships/chart" Target="charts/chart160.xml"/><Relationship Id="rId200" Type="http://schemas.openxmlformats.org/officeDocument/2006/relationships/chart" Target="charts/chart164.xml"/></Relationships>
</file>

<file path=word/_rels/footnotes.xml.rels><?xml version="1.0" encoding="UTF-8" standalone="yes"?>
<Relationships xmlns="http://schemas.openxmlformats.org/package/2006/relationships"><Relationship Id="rId8" Type="http://schemas.openxmlformats.org/officeDocument/2006/relationships/hyperlink" Target="https://pkc.gov.lv/lv/valsts-attistibas-planosana/latvijas-ilgtspejigas-attistibas-strategija" TargetMode="External"/><Relationship Id="rId13" Type="http://schemas.openxmlformats.org/officeDocument/2006/relationships/hyperlink" Target="https://ec.europa.eu/info/strategy/priorities-2019-2024/european-green-deal_lv" TargetMode="External"/><Relationship Id="rId18" Type="http://schemas.openxmlformats.org/officeDocument/2006/relationships/hyperlink" Target="https://petijumi.mk.gov.lv/node/3417" TargetMode="External"/><Relationship Id="rId3" Type="http://schemas.openxmlformats.org/officeDocument/2006/relationships/hyperlink" Target="https://data.stat.gov.lv/pxweb/lv/OSP_OD/OSP_OD__apsekojumi__arodizgl__2010_2015_2020/?tablelist=true" TargetMode="External"/><Relationship Id="rId7" Type="http://schemas.openxmlformats.org/officeDocument/2006/relationships/hyperlink" Target="https://em.gov.lv/files/attachments/DarbaTirgus_Gala%20zinojums.pdf" TargetMode="External"/><Relationship Id="rId12" Type="http://schemas.openxmlformats.org/officeDocument/2006/relationships/hyperlink" Target="http://www.jscholaronline.org/full-text/JNSM/e101/Smart-materials-from-nanotechnology-for-global-challenges.php" TargetMode="External"/><Relationship Id="rId17" Type="http://schemas.openxmlformats.org/officeDocument/2006/relationships/hyperlink" Target="https://likumi.lv/ta/id/325828-par-socialas-aizsardzibas-un-darba-tirgus-politikas-pamatnostadnem-2021-2027-gadam" TargetMode="External"/><Relationship Id="rId2" Type="http://schemas.openxmlformats.org/officeDocument/2006/relationships/hyperlink" Target="https://likumi.lv/ta/id/266406-par-izglitibas-attistibas-pamatnostadnu-20142020gadam-apstiprinasanu" TargetMode="External"/><Relationship Id="rId16" Type="http://schemas.openxmlformats.org/officeDocument/2006/relationships/hyperlink" Target="https://likumi.lv/ta/id/324332-par-izglitibas-attistibas-pamatnostadnem-20212027-gadam" TargetMode="External"/><Relationship Id="rId1" Type="http://schemas.openxmlformats.org/officeDocument/2006/relationships/hyperlink" Target="https://stat.gov.lv/lv/metadati/2878-aiznemtas-un-brivas-darbvietas" TargetMode="External"/><Relationship Id="rId6" Type="http://schemas.openxmlformats.org/officeDocument/2006/relationships/hyperlink" Target="https://www.em.gov.lv/files/tautsaimniecibas_attistiba/Dokumentacija_Lat.pdf" TargetMode="External"/><Relationship Id="rId11" Type="http://schemas.openxmlformats.org/officeDocument/2006/relationships/hyperlink" Target="https://www.researchgate.net/publication/273515631_The_Grand_Challenges_in_Smart_Materials_Researc" TargetMode="External"/><Relationship Id="rId5" Type="http://schemas.openxmlformats.org/officeDocument/2006/relationships/hyperlink" Target="http://www.lm.gov.lv/upload/darba_tirgus/darba_tirgus/petijumi/ilgtermina_prognozesana.pdf" TargetMode="External"/><Relationship Id="rId15" Type="http://schemas.openxmlformats.org/officeDocument/2006/relationships/hyperlink" Target="https://www.em.gov.lv/lv/media/14720/download?attachment" TargetMode="External"/><Relationship Id="rId10" Type="http://schemas.openxmlformats.org/officeDocument/2006/relationships/hyperlink" Target="https://www.em.gov.lv/lv/industriala-politika" TargetMode="External"/><Relationship Id="rId19" Type="http://schemas.openxmlformats.org/officeDocument/2006/relationships/hyperlink" Target="https://www.viis.gov.lv/dati/oce-rezultatu-indekss" TargetMode="External"/><Relationship Id="rId4" Type="http://schemas.openxmlformats.org/officeDocument/2006/relationships/hyperlink" Target="https://www.oecd.org/content/dam/oecd/en/about/programmes/dg-reform/latvia/latvia-employers-report-2022.pdf" TargetMode="External"/><Relationship Id="rId9" Type="http://schemas.openxmlformats.org/officeDocument/2006/relationships/hyperlink" Target="https://pkc.gov.lv/lv/nap2027" TargetMode="External"/><Relationship Id="rId14" Type="http://schemas.openxmlformats.org/officeDocument/2006/relationships/hyperlink" Target="https://eur-lex.europa.eu/legal-content/LV/TXT/?qid=1588580774040&amp;uri=CELEX:52019DC064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00.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100.xlsx"/></Relationships>
</file>

<file path=word/charts/_rels/chart101.xml.rels><?xml version="1.0" encoding="UTF-8" standalone="yes"?>
<Relationships xmlns="http://schemas.openxmlformats.org/package/2006/relationships"><Relationship Id="rId2" Type="http://schemas.openxmlformats.org/officeDocument/2006/relationships/package" Target="../embeddings/Microsoft_Excel_Worksheet101.xlsx"/><Relationship Id="rId1" Type="http://schemas.openxmlformats.org/officeDocument/2006/relationships/themeOverride" Target="../theme/themeOverride53.xml"/></Relationships>
</file>

<file path=word/charts/_rels/chart102.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102.xlsx"/></Relationships>
</file>

<file path=word/charts/_rels/chart10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55.xml"/></Relationships>
</file>

<file path=word/charts/_rels/chart104.xml.rels><?xml version="1.0" encoding="UTF-8" standalone="yes"?>
<Relationships xmlns="http://schemas.openxmlformats.org/package/2006/relationships"><Relationship Id="rId3" Type="http://schemas.openxmlformats.org/officeDocument/2006/relationships/package" Target="../embeddings/Microsoft_Excel_Worksheet103.xlsx"/><Relationship Id="rId2" Type="http://schemas.microsoft.com/office/2011/relationships/chartColorStyle" Target="colors45.xml"/><Relationship Id="rId1" Type="http://schemas.microsoft.com/office/2011/relationships/chartStyle" Target="style45.xml"/></Relationships>
</file>

<file path=word/charts/_rels/chart105.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104.xlsx"/></Relationships>
</file>

<file path=word/charts/_rels/chart106.xml.rels><?xml version="1.0" encoding="UTF-8" standalone="yes"?>
<Relationships xmlns="http://schemas.openxmlformats.org/package/2006/relationships"><Relationship Id="rId2" Type="http://schemas.openxmlformats.org/officeDocument/2006/relationships/package" Target="../embeddings/Microsoft_Excel_Worksheet105.xlsx"/><Relationship Id="rId1" Type="http://schemas.openxmlformats.org/officeDocument/2006/relationships/themeOverride" Target="../theme/themeOverride56.xml"/></Relationships>
</file>

<file path=word/charts/_rels/chart107.xml.rels><?xml version="1.0" encoding="UTF-8" standalone="yes"?>
<Relationships xmlns="http://schemas.openxmlformats.org/package/2006/relationships"><Relationship Id="rId2" Type="http://schemas.openxmlformats.org/officeDocument/2006/relationships/package" Target="../embeddings/Microsoft_Excel_Worksheet106.xlsx"/><Relationship Id="rId1" Type="http://schemas.openxmlformats.org/officeDocument/2006/relationships/themeOverride" Target="../theme/themeOverride57.xml"/></Relationships>
</file>

<file path=word/charts/_rels/chart108.xml.rels><?xml version="1.0" encoding="UTF-8" standalone="yes"?>
<Relationships xmlns="http://schemas.openxmlformats.org/package/2006/relationships"><Relationship Id="rId2" Type="http://schemas.openxmlformats.org/officeDocument/2006/relationships/package" Target="../embeddings/Microsoft_Excel_Worksheet107.xlsx"/><Relationship Id="rId1" Type="http://schemas.openxmlformats.org/officeDocument/2006/relationships/themeOverride" Target="../theme/themeOverride58.xml"/></Relationships>
</file>

<file path=word/charts/_rels/chart109.xml.rels><?xml version="1.0" encoding="UTF-8" standalone="yes"?>
<Relationships xmlns="http://schemas.openxmlformats.org/package/2006/relationships"><Relationship Id="rId2" Type="http://schemas.openxmlformats.org/officeDocument/2006/relationships/package" Target="../embeddings/Microsoft_Excel_Worksheet108.xlsx"/><Relationship Id="rId1" Type="http://schemas.openxmlformats.org/officeDocument/2006/relationships/themeOverride" Target="../theme/themeOverride59.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1.xlsx"/></Relationships>
</file>

<file path=word/charts/_rels/chart110.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Microsoft_Excel_Worksheet109.xlsx"/></Relationships>
</file>

<file path=word/charts/_rels/chart111.xml.rels><?xml version="1.0" encoding="UTF-8" standalone="yes"?>
<Relationships xmlns="http://schemas.openxmlformats.org/package/2006/relationships"><Relationship Id="rId2" Type="http://schemas.openxmlformats.org/officeDocument/2006/relationships/package" Target="../embeddings/Microsoft_Excel_Worksheet110.xlsx"/><Relationship Id="rId1" Type="http://schemas.openxmlformats.org/officeDocument/2006/relationships/themeOverride" Target="../theme/themeOverride60.xml"/></Relationships>
</file>

<file path=word/charts/_rels/chart112.xml.rels><?xml version="1.0" encoding="UTF-8" standalone="yes"?>
<Relationships xmlns="http://schemas.openxmlformats.org/package/2006/relationships"><Relationship Id="rId2" Type="http://schemas.openxmlformats.org/officeDocument/2006/relationships/package" Target="../embeddings/Microsoft_Excel_Worksheet111.xlsx"/><Relationship Id="rId1" Type="http://schemas.openxmlformats.org/officeDocument/2006/relationships/themeOverride" Target="../theme/themeOverride61.xml"/></Relationships>
</file>

<file path=word/charts/_rels/chart113.xml.rels><?xml version="1.0" encoding="UTF-8" standalone="yes"?>
<Relationships xmlns="http://schemas.openxmlformats.org/package/2006/relationships"><Relationship Id="rId2" Type="http://schemas.openxmlformats.org/officeDocument/2006/relationships/package" Target="../embeddings/Microsoft_Excel_Worksheet112.xlsx"/><Relationship Id="rId1" Type="http://schemas.openxmlformats.org/officeDocument/2006/relationships/themeOverride" Target="../theme/themeOverride62.xml"/></Relationships>
</file>

<file path=word/charts/_rels/chart114.xml.rels><?xml version="1.0" encoding="UTF-8" standalone="yes"?>
<Relationships xmlns="http://schemas.openxmlformats.org/package/2006/relationships"><Relationship Id="rId2" Type="http://schemas.openxmlformats.org/officeDocument/2006/relationships/package" Target="../embeddings/Microsoft_Excel_Worksheet113.xlsx"/><Relationship Id="rId1" Type="http://schemas.openxmlformats.org/officeDocument/2006/relationships/themeOverride" Target="../theme/themeOverride63.xml"/></Relationships>
</file>

<file path=word/charts/_rels/chart115.xml.rels><?xml version="1.0" encoding="UTF-8" standalone="yes"?>
<Relationships xmlns="http://schemas.openxmlformats.org/package/2006/relationships"><Relationship Id="rId2" Type="http://schemas.openxmlformats.org/officeDocument/2006/relationships/package" Target="../embeddings/Microsoft_Excel_Worksheet114.xlsx"/><Relationship Id="rId1" Type="http://schemas.openxmlformats.org/officeDocument/2006/relationships/themeOverride" Target="../theme/themeOverride64.xml"/></Relationships>
</file>

<file path=word/charts/_rels/chart116.xml.rels><?xml version="1.0" encoding="UTF-8" standalone="yes"?>
<Relationships xmlns="http://schemas.openxmlformats.org/package/2006/relationships"><Relationship Id="rId2" Type="http://schemas.openxmlformats.org/officeDocument/2006/relationships/package" Target="../embeddings/Microsoft_Excel_Worksheet115.xlsx"/><Relationship Id="rId1" Type="http://schemas.openxmlformats.org/officeDocument/2006/relationships/themeOverride" Target="../theme/themeOverride65.xml"/></Relationships>
</file>

<file path=word/charts/_rels/chart117.xml.rels><?xml version="1.0" encoding="UTF-8" standalone="yes"?>
<Relationships xmlns="http://schemas.openxmlformats.org/package/2006/relationships"><Relationship Id="rId2" Type="http://schemas.openxmlformats.org/officeDocument/2006/relationships/package" Target="../embeddings/Microsoft_Excel_Worksheet116.xlsx"/><Relationship Id="rId1" Type="http://schemas.openxmlformats.org/officeDocument/2006/relationships/themeOverride" Target="../theme/themeOverride66.xml"/></Relationships>
</file>

<file path=word/charts/_rels/chart118.xml.rels><?xml version="1.0" encoding="UTF-8" standalone="yes"?>
<Relationships xmlns="http://schemas.openxmlformats.org/package/2006/relationships"><Relationship Id="rId2" Type="http://schemas.openxmlformats.org/officeDocument/2006/relationships/package" Target="../embeddings/Microsoft_Excel_Worksheet117.xlsx"/><Relationship Id="rId1" Type="http://schemas.openxmlformats.org/officeDocument/2006/relationships/themeOverride" Target="../theme/themeOverride67.xml"/></Relationships>
</file>

<file path=word/charts/_rels/chart119.xml.rels><?xml version="1.0" encoding="UTF-8" standalone="yes"?>
<Relationships xmlns="http://schemas.openxmlformats.org/package/2006/relationships"><Relationship Id="rId2" Type="http://schemas.openxmlformats.org/officeDocument/2006/relationships/package" Target="../embeddings/Microsoft_Excel_Worksheet118.xlsx"/><Relationship Id="rId1" Type="http://schemas.openxmlformats.org/officeDocument/2006/relationships/themeOverride" Target="../theme/themeOverride68.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7.xml"/></Relationships>
</file>

<file path=word/charts/_rels/chart120.xml.rels><?xml version="1.0" encoding="UTF-8" standalone="yes"?>
<Relationships xmlns="http://schemas.openxmlformats.org/package/2006/relationships"><Relationship Id="rId2" Type="http://schemas.openxmlformats.org/officeDocument/2006/relationships/package" Target="../embeddings/Microsoft_Excel_Worksheet119.xlsx"/><Relationship Id="rId1" Type="http://schemas.openxmlformats.org/officeDocument/2006/relationships/themeOverride" Target="../theme/themeOverride69.xml"/></Relationships>
</file>

<file path=word/charts/_rels/chart121.xml.rels><?xml version="1.0" encoding="UTF-8" standalone="yes"?>
<Relationships xmlns="http://schemas.openxmlformats.org/package/2006/relationships"><Relationship Id="rId2" Type="http://schemas.openxmlformats.org/officeDocument/2006/relationships/package" Target="../embeddings/Microsoft_Excel_Worksheet120.xlsx"/><Relationship Id="rId1" Type="http://schemas.openxmlformats.org/officeDocument/2006/relationships/themeOverride" Target="../theme/themeOverride70.xml"/></Relationships>
</file>

<file path=word/charts/_rels/chart122.xml.rels><?xml version="1.0" encoding="UTF-8" standalone="yes"?>
<Relationships xmlns="http://schemas.openxmlformats.org/package/2006/relationships"><Relationship Id="rId2" Type="http://schemas.openxmlformats.org/officeDocument/2006/relationships/package" Target="../embeddings/Microsoft_Excel_Worksheet121.xlsx"/><Relationship Id="rId1" Type="http://schemas.openxmlformats.org/officeDocument/2006/relationships/themeOverride" Target="../theme/themeOverride71.xml"/></Relationships>
</file>

<file path=word/charts/_rels/chart123.xml.rels><?xml version="1.0" encoding="UTF-8" standalone="yes"?>
<Relationships xmlns="http://schemas.openxmlformats.org/package/2006/relationships"><Relationship Id="rId2" Type="http://schemas.openxmlformats.org/officeDocument/2006/relationships/package" Target="../embeddings/Microsoft_Excel_Worksheet122.xlsx"/><Relationship Id="rId1" Type="http://schemas.openxmlformats.org/officeDocument/2006/relationships/themeOverride" Target="../theme/themeOverride72.xml"/></Relationships>
</file>

<file path=word/charts/_rels/chart124.xml.rels><?xml version="1.0" encoding="UTF-8" standalone="yes"?>
<Relationships xmlns="http://schemas.openxmlformats.org/package/2006/relationships"><Relationship Id="rId2" Type="http://schemas.openxmlformats.org/officeDocument/2006/relationships/package" Target="../embeddings/Microsoft_Excel_Worksheet123.xlsx"/><Relationship Id="rId1" Type="http://schemas.openxmlformats.org/officeDocument/2006/relationships/themeOverride" Target="../theme/themeOverride73.xml"/></Relationships>
</file>

<file path=word/charts/_rels/chart125.xml.rels><?xml version="1.0" encoding="UTF-8" standalone="yes"?>
<Relationships xmlns="http://schemas.openxmlformats.org/package/2006/relationships"><Relationship Id="rId2" Type="http://schemas.openxmlformats.org/officeDocument/2006/relationships/package" Target="../embeddings/Microsoft_Excel_Worksheet124.xlsx"/><Relationship Id="rId1" Type="http://schemas.openxmlformats.org/officeDocument/2006/relationships/themeOverride" Target="../theme/themeOverride74.xml"/></Relationships>
</file>

<file path=word/charts/_rels/chart126.xml.rels><?xml version="1.0" encoding="UTF-8" standalone="yes"?>
<Relationships xmlns="http://schemas.openxmlformats.org/package/2006/relationships"><Relationship Id="rId2" Type="http://schemas.openxmlformats.org/officeDocument/2006/relationships/package" Target="../embeddings/Microsoft_Excel_Worksheet125.xlsx"/><Relationship Id="rId1" Type="http://schemas.openxmlformats.org/officeDocument/2006/relationships/themeOverride" Target="../theme/themeOverride75.xml"/></Relationships>
</file>

<file path=word/charts/_rels/chart127.xml.rels><?xml version="1.0" encoding="UTF-8" standalone="yes"?>
<Relationships xmlns="http://schemas.openxmlformats.org/package/2006/relationships"><Relationship Id="rId2" Type="http://schemas.openxmlformats.org/officeDocument/2006/relationships/package" Target="../embeddings/Microsoft_Excel_Worksheet126.xlsx"/><Relationship Id="rId1" Type="http://schemas.openxmlformats.org/officeDocument/2006/relationships/themeOverride" Target="../theme/themeOverride76.xml"/></Relationships>
</file>

<file path=word/charts/_rels/chart128.xml.rels><?xml version="1.0" encoding="UTF-8" standalone="yes"?>
<Relationships xmlns="http://schemas.openxmlformats.org/package/2006/relationships"><Relationship Id="rId2" Type="http://schemas.openxmlformats.org/officeDocument/2006/relationships/package" Target="../embeddings/Microsoft_Excel_Worksheet127.xlsx"/><Relationship Id="rId1" Type="http://schemas.openxmlformats.org/officeDocument/2006/relationships/themeOverride" Target="../theme/themeOverride77.xml"/></Relationships>
</file>

<file path=word/charts/_rels/chart129.xml.rels><?xml version="1.0" encoding="UTF-8" standalone="yes"?>
<Relationships xmlns="http://schemas.openxmlformats.org/package/2006/relationships"><Relationship Id="rId2" Type="http://schemas.openxmlformats.org/officeDocument/2006/relationships/package" Target="../embeddings/Microsoft_Excel_Worksheet128.xlsx"/><Relationship Id="rId1" Type="http://schemas.openxmlformats.org/officeDocument/2006/relationships/themeOverride" Target="../theme/themeOverride7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8.xml"/></Relationships>
</file>

<file path=word/charts/_rels/chart130.xml.rels><?xml version="1.0" encoding="UTF-8" standalone="yes"?>
<Relationships xmlns="http://schemas.openxmlformats.org/package/2006/relationships"><Relationship Id="rId2" Type="http://schemas.openxmlformats.org/officeDocument/2006/relationships/package" Target="../embeddings/Microsoft_Excel_Worksheet129.xlsx"/><Relationship Id="rId1" Type="http://schemas.openxmlformats.org/officeDocument/2006/relationships/themeOverride" Target="../theme/themeOverride79.xml"/></Relationships>
</file>

<file path=word/charts/_rels/chart131.xml.rels><?xml version="1.0" encoding="UTF-8" standalone="yes"?>
<Relationships xmlns="http://schemas.openxmlformats.org/package/2006/relationships"><Relationship Id="rId2" Type="http://schemas.openxmlformats.org/officeDocument/2006/relationships/package" Target="../embeddings/Microsoft_Excel_Worksheet130.xlsx"/><Relationship Id="rId1" Type="http://schemas.openxmlformats.org/officeDocument/2006/relationships/themeOverride" Target="../theme/themeOverride80.xml"/></Relationships>
</file>

<file path=word/charts/_rels/chart132.xml.rels><?xml version="1.0" encoding="UTF-8" standalone="yes"?>
<Relationships xmlns="http://schemas.openxmlformats.org/package/2006/relationships"><Relationship Id="rId2" Type="http://schemas.openxmlformats.org/officeDocument/2006/relationships/package" Target="../embeddings/Microsoft_Excel_Worksheet131.xlsx"/><Relationship Id="rId1" Type="http://schemas.openxmlformats.org/officeDocument/2006/relationships/themeOverride" Target="../theme/themeOverride81.xml"/></Relationships>
</file>

<file path=word/charts/_rels/chart133.xml.rels><?xml version="1.0" encoding="UTF-8" standalone="yes"?>
<Relationships xmlns="http://schemas.openxmlformats.org/package/2006/relationships"><Relationship Id="rId2" Type="http://schemas.openxmlformats.org/officeDocument/2006/relationships/package" Target="../embeddings/Microsoft_Excel_Worksheet132.xlsx"/><Relationship Id="rId1" Type="http://schemas.openxmlformats.org/officeDocument/2006/relationships/themeOverride" Target="../theme/themeOverride82.xml"/></Relationships>
</file>

<file path=word/charts/_rels/chart134.xml.rels><?xml version="1.0" encoding="UTF-8" standalone="yes"?>
<Relationships xmlns="http://schemas.openxmlformats.org/package/2006/relationships"><Relationship Id="rId2" Type="http://schemas.openxmlformats.org/officeDocument/2006/relationships/package" Target="../embeddings/Microsoft_Excel_Worksheet133.xlsx"/><Relationship Id="rId1" Type="http://schemas.openxmlformats.org/officeDocument/2006/relationships/themeOverride" Target="../theme/themeOverride83.xml"/></Relationships>
</file>

<file path=word/charts/_rels/chart135.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134.xlsx"/></Relationships>
</file>

<file path=word/charts/_rels/chart136.xml.rels><?xml version="1.0" encoding="UTF-8" standalone="yes"?>
<Relationships xmlns="http://schemas.openxmlformats.org/package/2006/relationships"><Relationship Id="rId2" Type="http://schemas.openxmlformats.org/officeDocument/2006/relationships/package" Target="../embeddings/Microsoft_Excel_Worksheet135.xlsx"/><Relationship Id="rId1" Type="http://schemas.openxmlformats.org/officeDocument/2006/relationships/themeOverride" Target="../theme/themeOverride84.xml"/></Relationships>
</file>

<file path=word/charts/_rels/chart137.xml.rels><?xml version="1.0" encoding="UTF-8" standalone="yes"?>
<Relationships xmlns="http://schemas.openxmlformats.org/package/2006/relationships"><Relationship Id="rId2" Type="http://schemas.openxmlformats.org/officeDocument/2006/relationships/package" Target="../embeddings/Microsoft_Excel_Worksheet136.xlsx"/><Relationship Id="rId1" Type="http://schemas.openxmlformats.org/officeDocument/2006/relationships/themeOverride" Target="../theme/themeOverride85.xml"/></Relationships>
</file>

<file path=word/charts/_rels/chart138.xml.rels><?xml version="1.0" encoding="UTF-8" standalone="yes"?>
<Relationships xmlns="http://schemas.openxmlformats.org/package/2006/relationships"><Relationship Id="rId2" Type="http://schemas.openxmlformats.org/officeDocument/2006/relationships/package" Target="../embeddings/Microsoft_Excel_Worksheet137.xlsx"/><Relationship Id="rId1" Type="http://schemas.openxmlformats.org/officeDocument/2006/relationships/themeOverride" Target="../theme/themeOverride86.xml"/></Relationships>
</file>

<file path=word/charts/_rels/chart139.xml.rels><?xml version="1.0" encoding="UTF-8" standalone="yes"?>
<Relationships xmlns="http://schemas.openxmlformats.org/package/2006/relationships"><Relationship Id="rId2" Type="http://schemas.openxmlformats.org/officeDocument/2006/relationships/package" Target="../embeddings/Microsoft_Excel_Worksheet138.xlsx"/><Relationship Id="rId1" Type="http://schemas.openxmlformats.org/officeDocument/2006/relationships/themeOverride" Target="../theme/themeOverride87.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40.xml.rels><?xml version="1.0" encoding="UTF-8" standalone="yes"?>
<Relationships xmlns="http://schemas.openxmlformats.org/package/2006/relationships"><Relationship Id="rId2" Type="http://schemas.openxmlformats.org/officeDocument/2006/relationships/package" Target="../embeddings/Microsoft_Excel_Worksheet139.xlsx"/><Relationship Id="rId1" Type="http://schemas.openxmlformats.org/officeDocument/2006/relationships/themeOverride" Target="../theme/themeOverride88.xml"/></Relationships>
</file>

<file path=word/charts/_rels/chart141.xml.rels><?xml version="1.0" encoding="UTF-8" standalone="yes"?>
<Relationships xmlns="http://schemas.openxmlformats.org/package/2006/relationships"><Relationship Id="rId2" Type="http://schemas.openxmlformats.org/officeDocument/2006/relationships/package" Target="../embeddings/Microsoft_Excel_Worksheet140.xlsx"/><Relationship Id="rId1" Type="http://schemas.openxmlformats.org/officeDocument/2006/relationships/themeOverride" Target="../theme/themeOverride89.xml"/></Relationships>
</file>

<file path=word/charts/_rels/chart142.xml.rels><?xml version="1.0" encoding="UTF-8" standalone="yes"?>
<Relationships xmlns="http://schemas.openxmlformats.org/package/2006/relationships"><Relationship Id="rId2" Type="http://schemas.openxmlformats.org/officeDocument/2006/relationships/package" Target="../embeddings/Microsoft_Excel_Worksheet141.xlsx"/><Relationship Id="rId1" Type="http://schemas.openxmlformats.org/officeDocument/2006/relationships/themeOverride" Target="../theme/themeOverride90.xml"/></Relationships>
</file>

<file path=word/charts/_rels/chart143.xml.rels><?xml version="1.0" encoding="UTF-8" standalone="yes"?>
<Relationships xmlns="http://schemas.openxmlformats.org/package/2006/relationships"><Relationship Id="rId2" Type="http://schemas.openxmlformats.org/officeDocument/2006/relationships/package" Target="../embeddings/Microsoft_Excel_Worksheet142.xlsx"/><Relationship Id="rId1" Type="http://schemas.openxmlformats.org/officeDocument/2006/relationships/themeOverride" Target="../theme/themeOverride91.xml"/></Relationships>
</file>

<file path=word/charts/_rels/chart144.xml.rels><?xml version="1.0" encoding="UTF-8" standalone="yes"?>
<Relationships xmlns="http://schemas.openxmlformats.org/package/2006/relationships"><Relationship Id="rId2" Type="http://schemas.openxmlformats.org/officeDocument/2006/relationships/package" Target="../embeddings/Microsoft_Excel_Worksheet143.xlsx"/><Relationship Id="rId1" Type="http://schemas.openxmlformats.org/officeDocument/2006/relationships/themeOverride" Target="../theme/themeOverride92.xml"/></Relationships>
</file>

<file path=word/charts/_rels/chart145.xml.rels><?xml version="1.0" encoding="UTF-8" standalone="yes"?>
<Relationships xmlns="http://schemas.openxmlformats.org/package/2006/relationships"><Relationship Id="rId2" Type="http://schemas.openxmlformats.org/officeDocument/2006/relationships/package" Target="../embeddings/Microsoft_Excel_Worksheet144.xlsx"/><Relationship Id="rId1" Type="http://schemas.openxmlformats.org/officeDocument/2006/relationships/themeOverride" Target="../theme/themeOverride93.xml"/></Relationships>
</file>

<file path=word/charts/_rels/chart146.xml.rels><?xml version="1.0" encoding="UTF-8" standalone="yes"?>
<Relationships xmlns="http://schemas.openxmlformats.org/package/2006/relationships"><Relationship Id="rId2" Type="http://schemas.openxmlformats.org/officeDocument/2006/relationships/package" Target="../embeddings/Microsoft_Excel_Worksheet145.xlsx"/><Relationship Id="rId1" Type="http://schemas.openxmlformats.org/officeDocument/2006/relationships/themeOverride" Target="../theme/themeOverride94.xml"/></Relationships>
</file>

<file path=word/charts/_rels/chart147.xml.rels><?xml version="1.0" encoding="UTF-8" standalone="yes"?>
<Relationships xmlns="http://schemas.openxmlformats.org/package/2006/relationships"><Relationship Id="rId2" Type="http://schemas.openxmlformats.org/officeDocument/2006/relationships/package" Target="../embeddings/Microsoft_Excel_Worksheet146.xlsx"/><Relationship Id="rId1" Type="http://schemas.openxmlformats.org/officeDocument/2006/relationships/themeOverride" Target="../theme/themeOverride95.xml"/></Relationships>
</file>

<file path=word/charts/_rels/chart148.xml.rels><?xml version="1.0" encoding="UTF-8" standalone="yes"?>
<Relationships xmlns="http://schemas.openxmlformats.org/package/2006/relationships"><Relationship Id="rId2" Type="http://schemas.openxmlformats.org/officeDocument/2006/relationships/package" Target="../embeddings/Microsoft_Excel_Worksheet147.xlsx"/><Relationship Id="rId1" Type="http://schemas.openxmlformats.org/officeDocument/2006/relationships/themeOverride" Target="../theme/themeOverride96.xml"/></Relationships>
</file>

<file path=word/charts/_rels/chart149.xml.rels><?xml version="1.0" encoding="UTF-8" standalone="yes"?>
<Relationships xmlns="http://schemas.openxmlformats.org/package/2006/relationships"><Relationship Id="rId2" Type="http://schemas.openxmlformats.org/officeDocument/2006/relationships/package" Target="../embeddings/Microsoft_Excel_Worksheet148.xlsx"/><Relationship Id="rId1" Type="http://schemas.openxmlformats.org/officeDocument/2006/relationships/themeOverride" Target="../theme/themeOverride97.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5.xlsx"/></Relationships>
</file>

<file path=word/charts/_rels/chart150.xml.rels><?xml version="1.0" encoding="UTF-8" standalone="yes"?>
<Relationships xmlns="http://schemas.openxmlformats.org/package/2006/relationships"><Relationship Id="rId2" Type="http://schemas.openxmlformats.org/officeDocument/2006/relationships/package" Target="../embeddings/Microsoft_Excel_Worksheet149.xlsx"/><Relationship Id="rId1" Type="http://schemas.openxmlformats.org/officeDocument/2006/relationships/themeOverride" Target="../theme/themeOverride98.xml"/></Relationships>
</file>

<file path=word/charts/_rels/chart151.xml.rels><?xml version="1.0" encoding="UTF-8" standalone="yes"?>
<Relationships xmlns="http://schemas.openxmlformats.org/package/2006/relationships"><Relationship Id="rId2" Type="http://schemas.openxmlformats.org/officeDocument/2006/relationships/package" Target="../embeddings/Microsoft_Excel_Worksheet150.xlsx"/><Relationship Id="rId1" Type="http://schemas.openxmlformats.org/officeDocument/2006/relationships/themeOverride" Target="../theme/themeOverride99.xml"/></Relationships>
</file>

<file path=word/charts/_rels/chart152.xml.rels><?xml version="1.0" encoding="UTF-8" standalone="yes"?>
<Relationships xmlns="http://schemas.openxmlformats.org/package/2006/relationships"><Relationship Id="rId2" Type="http://schemas.openxmlformats.org/officeDocument/2006/relationships/package" Target="../embeddings/Microsoft_Excel_Worksheet151.xlsx"/><Relationship Id="rId1" Type="http://schemas.openxmlformats.org/officeDocument/2006/relationships/themeOverride" Target="../theme/themeOverride100.xml"/></Relationships>
</file>

<file path=word/charts/_rels/chart153.xml.rels><?xml version="1.0" encoding="UTF-8" standalone="yes"?>
<Relationships xmlns="http://schemas.openxmlformats.org/package/2006/relationships"><Relationship Id="rId2" Type="http://schemas.openxmlformats.org/officeDocument/2006/relationships/package" Target="../embeddings/Microsoft_Excel_Worksheet152.xlsx"/><Relationship Id="rId1" Type="http://schemas.openxmlformats.org/officeDocument/2006/relationships/themeOverride" Target="../theme/themeOverride101.xml"/></Relationships>
</file>

<file path=word/charts/_rels/chart154.xml.rels><?xml version="1.0" encoding="UTF-8" standalone="yes"?>
<Relationships xmlns="http://schemas.openxmlformats.org/package/2006/relationships"><Relationship Id="rId2" Type="http://schemas.openxmlformats.org/officeDocument/2006/relationships/package" Target="../embeddings/Microsoft_Excel_Worksheet153.xlsx"/><Relationship Id="rId1" Type="http://schemas.openxmlformats.org/officeDocument/2006/relationships/themeOverride" Target="../theme/themeOverride102.xml"/></Relationships>
</file>

<file path=word/charts/_rels/chart155.xml.rels><?xml version="1.0" encoding="UTF-8" standalone="yes"?>
<Relationships xmlns="http://schemas.openxmlformats.org/package/2006/relationships"><Relationship Id="rId2" Type="http://schemas.openxmlformats.org/officeDocument/2006/relationships/package" Target="../embeddings/Microsoft_Excel_Worksheet154.xlsx"/><Relationship Id="rId1" Type="http://schemas.openxmlformats.org/officeDocument/2006/relationships/themeOverride" Target="../theme/themeOverride103.xml"/></Relationships>
</file>

<file path=word/charts/_rels/chart156.xml.rels><?xml version="1.0" encoding="UTF-8" standalone="yes"?>
<Relationships xmlns="http://schemas.openxmlformats.org/package/2006/relationships"><Relationship Id="rId2" Type="http://schemas.openxmlformats.org/officeDocument/2006/relationships/package" Target="../embeddings/Microsoft_Excel_Worksheet155.xlsx"/><Relationship Id="rId1" Type="http://schemas.openxmlformats.org/officeDocument/2006/relationships/themeOverride" Target="../theme/themeOverride104.xml"/></Relationships>
</file>

<file path=word/charts/_rels/chart157.xml.rels><?xml version="1.0" encoding="UTF-8" standalone="yes"?>
<Relationships xmlns="http://schemas.openxmlformats.org/package/2006/relationships"><Relationship Id="rId2" Type="http://schemas.openxmlformats.org/officeDocument/2006/relationships/package" Target="../embeddings/Microsoft_Excel_Worksheet156.xlsx"/><Relationship Id="rId1" Type="http://schemas.openxmlformats.org/officeDocument/2006/relationships/themeOverride" Target="../theme/themeOverride105.xml"/></Relationships>
</file>

<file path=word/charts/_rels/chart158.xml.rels><?xml version="1.0" encoding="UTF-8" standalone="yes"?>
<Relationships xmlns="http://schemas.openxmlformats.org/package/2006/relationships"><Relationship Id="rId2" Type="http://schemas.openxmlformats.org/officeDocument/2006/relationships/package" Target="../embeddings/Microsoft_Excel_Worksheet157.xlsx"/><Relationship Id="rId1" Type="http://schemas.openxmlformats.org/officeDocument/2006/relationships/themeOverride" Target="../theme/themeOverride106.xml"/></Relationships>
</file>

<file path=word/charts/_rels/chart159.xml.rels><?xml version="1.0" encoding="UTF-8" standalone="yes"?>
<Relationships xmlns="http://schemas.openxmlformats.org/package/2006/relationships"><Relationship Id="rId2" Type="http://schemas.openxmlformats.org/officeDocument/2006/relationships/package" Target="../embeddings/Microsoft_Excel_Worksheet158.xlsx"/><Relationship Id="rId1" Type="http://schemas.openxmlformats.org/officeDocument/2006/relationships/themeOverride" Target="../theme/themeOverride107.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6.xlsx"/></Relationships>
</file>

<file path=word/charts/_rels/chart160.xml.rels><?xml version="1.0" encoding="UTF-8" standalone="yes"?>
<Relationships xmlns="http://schemas.openxmlformats.org/package/2006/relationships"><Relationship Id="rId2" Type="http://schemas.openxmlformats.org/officeDocument/2006/relationships/package" Target="../embeddings/Microsoft_Excel_Worksheet159.xlsx"/><Relationship Id="rId1" Type="http://schemas.openxmlformats.org/officeDocument/2006/relationships/themeOverride" Target="../theme/themeOverride108.xml"/></Relationships>
</file>

<file path=word/charts/_rels/chart161.xml.rels><?xml version="1.0" encoding="UTF-8" standalone="yes"?>
<Relationships xmlns="http://schemas.openxmlformats.org/package/2006/relationships"><Relationship Id="rId2" Type="http://schemas.openxmlformats.org/officeDocument/2006/relationships/package" Target="../embeddings/Microsoft_Excel_Worksheet160.xlsx"/><Relationship Id="rId1" Type="http://schemas.openxmlformats.org/officeDocument/2006/relationships/themeOverride" Target="../theme/themeOverride109.xml"/></Relationships>
</file>

<file path=word/charts/_rels/chart162.xml.rels><?xml version="1.0" encoding="UTF-8" standalone="yes"?>
<Relationships xmlns="http://schemas.openxmlformats.org/package/2006/relationships"><Relationship Id="rId2" Type="http://schemas.openxmlformats.org/officeDocument/2006/relationships/package" Target="../embeddings/Microsoft_Excel_Worksheet161.xlsx"/><Relationship Id="rId1" Type="http://schemas.openxmlformats.org/officeDocument/2006/relationships/themeOverride" Target="../theme/themeOverride110.xml"/></Relationships>
</file>

<file path=word/charts/_rels/chart163.xml.rels><?xml version="1.0" encoding="UTF-8" standalone="yes"?>
<Relationships xmlns="http://schemas.openxmlformats.org/package/2006/relationships"><Relationship Id="rId2" Type="http://schemas.openxmlformats.org/officeDocument/2006/relationships/package" Target="../embeddings/Microsoft_Excel_Worksheet162.xlsx"/><Relationship Id="rId1" Type="http://schemas.openxmlformats.org/officeDocument/2006/relationships/themeOverride" Target="../theme/themeOverride111.xml"/></Relationships>
</file>

<file path=word/charts/_rels/chart164.xml.rels><?xml version="1.0" encoding="UTF-8" standalone="yes"?>
<Relationships xmlns="http://schemas.openxmlformats.org/package/2006/relationships"><Relationship Id="rId2" Type="http://schemas.openxmlformats.org/officeDocument/2006/relationships/package" Target="../embeddings/Microsoft_Excel_Worksheet163.xlsx"/><Relationship Id="rId1" Type="http://schemas.openxmlformats.org/officeDocument/2006/relationships/themeOverride" Target="../theme/themeOverride112.xml"/></Relationships>
</file>

<file path=word/charts/_rels/chart165.xml.rels><?xml version="1.0" encoding="UTF-8" standalone="yes"?>
<Relationships xmlns="http://schemas.openxmlformats.org/package/2006/relationships"><Relationship Id="rId2" Type="http://schemas.openxmlformats.org/officeDocument/2006/relationships/package" Target="../embeddings/Microsoft_Excel_Worksheet164.xlsx"/><Relationship Id="rId1" Type="http://schemas.openxmlformats.org/officeDocument/2006/relationships/themeOverride" Target="../theme/themeOverride113.xml"/></Relationships>
</file>

<file path=word/charts/_rels/chart166.xml.rels><?xml version="1.0" encoding="UTF-8" standalone="yes"?>
<Relationships xmlns="http://schemas.openxmlformats.org/package/2006/relationships"><Relationship Id="rId2" Type="http://schemas.openxmlformats.org/officeDocument/2006/relationships/package" Target="../embeddings/Microsoft_Excel_Worksheet165.xlsx"/><Relationship Id="rId1" Type="http://schemas.openxmlformats.org/officeDocument/2006/relationships/themeOverride" Target="../theme/themeOverride114.xml"/></Relationships>
</file>

<file path=word/charts/_rels/chart167.xml.rels><?xml version="1.0" encoding="UTF-8" standalone="yes"?>
<Relationships xmlns="http://schemas.openxmlformats.org/package/2006/relationships"><Relationship Id="rId2" Type="http://schemas.openxmlformats.org/officeDocument/2006/relationships/package" Target="../embeddings/Microsoft_Excel_Worksheet166.xlsx"/><Relationship Id="rId1" Type="http://schemas.openxmlformats.org/officeDocument/2006/relationships/themeOverride" Target="../theme/themeOverride115.xml"/></Relationships>
</file>

<file path=word/charts/_rels/chart168.xml.rels><?xml version="1.0" encoding="UTF-8" standalone="yes"?>
<Relationships xmlns="http://schemas.openxmlformats.org/package/2006/relationships"><Relationship Id="rId2" Type="http://schemas.openxmlformats.org/officeDocument/2006/relationships/package" Target="../embeddings/Microsoft_Excel_Worksheet167.xlsx"/><Relationship Id="rId1" Type="http://schemas.openxmlformats.org/officeDocument/2006/relationships/themeOverride" Target="../theme/themeOverride116.xml"/></Relationships>
</file>

<file path=word/charts/_rels/chart169.xml.rels><?xml version="1.0" encoding="UTF-8" standalone="yes"?>
<Relationships xmlns="http://schemas.openxmlformats.org/package/2006/relationships"><Relationship Id="rId3" Type="http://schemas.openxmlformats.org/officeDocument/2006/relationships/themeOverride" Target="../theme/themeOverride117.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168.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7.xlsx"/></Relationships>
</file>

<file path=word/charts/_rels/chart170.xml.rels><?xml version="1.0" encoding="UTF-8" standalone="yes"?>
<Relationships xmlns="http://schemas.openxmlformats.org/package/2006/relationships"><Relationship Id="rId3" Type="http://schemas.openxmlformats.org/officeDocument/2006/relationships/package" Target="../embeddings/Microsoft_Excel_Worksheet169.xlsx"/><Relationship Id="rId2" Type="http://schemas.microsoft.com/office/2011/relationships/chartColorStyle" Target="colors47.xml"/><Relationship Id="rId1" Type="http://schemas.microsoft.com/office/2011/relationships/chartStyle" Target="style47.xml"/></Relationships>
</file>

<file path=word/charts/_rels/chart171.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Microsoft_Excel_Worksheet170.xlsx"/></Relationships>
</file>

<file path=word/charts/_rels/chart172.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Microsoft_Excel_Worksheet171.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3.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9.xml"/><Relationship Id="rId1" Type="http://schemas.microsoft.com/office/2011/relationships/chartStyle" Target="style9.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5.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16.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18.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11.xml"/><Relationship Id="rId1" Type="http://schemas.microsoft.com/office/2011/relationships/chartStyle" Target="style11.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19.xm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14.xml"/><Relationship Id="rId1" Type="http://schemas.microsoft.com/office/2011/relationships/chartStyle" Target="style14.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2.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23.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24.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25.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26.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27.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15.xml"/><Relationship Id="rId1" Type="http://schemas.microsoft.com/office/2011/relationships/chartStyle" Target="style15.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16.xml"/><Relationship Id="rId1" Type="http://schemas.microsoft.com/office/2011/relationships/chartStyle" Target="style16.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17.xml"/><Relationship Id="rId1" Type="http://schemas.microsoft.com/office/2011/relationships/chartStyle" Target="style17.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18.xml"/><Relationship Id="rId1" Type="http://schemas.microsoft.com/office/2011/relationships/chartStyle" Target="style18.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28.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19.xml"/><Relationship Id="rId1" Type="http://schemas.microsoft.com/office/2011/relationships/chartStyle" Target="style19.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20.xml"/><Relationship Id="rId1" Type="http://schemas.microsoft.com/office/2011/relationships/chartStyle" Target="style20.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21.xml"/><Relationship Id="rId1" Type="http://schemas.microsoft.com/office/2011/relationships/chartStyle" Target="style21.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44.xlsx"/><Relationship Id="rId1" Type="http://schemas.openxmlformats.org/officeDocument/2006/relationships/themeOverride" Target="../theme/themeOverride29.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22.xml"/><Relationship Id="rId1" Type="http://schemas.microsoft.com/office/2011/relationships/chartStyle" Target="style22.xm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47.xlsx"/><Relationship Id="rId1" Type="http://schemas.openxmlformats.org/officeDocument/2006/relationships/themeOverride" Target="../theme/themeOverride30.xml"/></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48.xlsx"/><Relationship Id="rId1" Type="http://schemas.openxmlformats.org/officeDocument/2006/relationships/themeOverride" Target="../theme/themeOverride31.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49.xlsx"/><Relationship Id="rId1" Type="http://schemas.openxmlformats.org/officeDocument/2006/relationships/themeOverride" Target="../theme/themeOverride32.xm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50.xlsx"/><Relationship Id="rId1" Type="http://schemas.openxmlformats.org/officeDocument/2006/relationships/themeOverride" Target="../theme/themeOverride3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51.xlsx"/><Relationship Id="rId1" Type="http://schemas.openxmlformats.org/officeDocument/2006/relationships/themeOverride" Target="../theme/themeOverride34.xml"/></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53.xlsx"/><Relationship Id="rId1" Type="http://schemas.openxmlformats.org/officeDocument/2006/relationships/themeOverride" Target="../theme/themeOverride35.xml"/></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57.xlsx"/></Relationships>
</file>

<file path=word/charts/_rels/chart5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58.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3.xml"/><Relationship Id="rId1" Type="http://schemas.microsoft.com/office/2011/relationships/chartStyle" Target="style3.xm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61.xlsx"/></Relationships>
</file>

<file path=word/charts/_rels/chart61.xml.rels><?xml version="1.0" encoding="UTF-8" standalone="yes"?>
<Relationships xmlns="http://schemas.openxmlformats.org/package/2006/relationships"><Relationship Id="rId3" Type="http://schemas.openxmlformats.org/officeDocument/2006/relationships/package" Target="../embeddings/Microsoft_Excel_Worksheet62.xlsx"/><Relationship Id="rId2" Type="http://schemas.microsoft.com/office/2011/relationships/chartColorStyle" Target="colors25.xml"/><Relationship Id="rId1" Type="http://schemas.microsoft.com/office/2011/relationships/chartStyle" Target="style25.xm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63.xlsx"/></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64.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66.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68.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69.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Worksheet70.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2.xml"/></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71.xlsx"/></Relationships>
</file>

<file path=word/charts/_rels/chart71.xml.rels><?xml version="1.0" encoding="UTF-8" standalone="yes"?>
<Relationships xmlns="http://schemas.openxmlformats.org/package/2006/relationships"><Relationship Id="rId2" Type="http://schemas.openxmlformats.org/officeDocument/2006/relationships/package" Target="../embeddings/Microsoft_Excel_Worksheet72.xlsx"/><Relationship Id="rId1" Type="http://schemas.openxmlformats.org/officeDocument/2006/relationships/themeOverride" Target="../theme/themeOverride39.xml"/></Relationships>
</file>

<file path=word/charts/_rels/chart72.xml.rels><?xml version="1.0" encoding="UTF-8" standalone="yes"?>
<Relationships xmlns="http://schemas.openxmlformats.org/package/2006/relationships"><Relationship Id="rId2" Type="http://schemas.openxmlformats.org/officeDocument/2006/relationships/package" Target="../embeddings/Microsoft_Excel_Worksheet73.xlsx"/><Relationship Id="rId1" Type="http://schemas.openxmlformats.org/officeDocument/2006/relationships/themeOverride" Target="../theme/themeOverride40.xml"/></Relationships>
</file>

<file path=word/charts/_rels/chart73.xml.rels><?xml version="1.0" encoding="UTF-8" standalone="yes"?>
<Relationships xmlns="http://schemas.openxmlformats.org/package/2006/relationships"><Relationship Id="rId1" Type="http://schemas.openxmlformats.org/officeDocument/2006/relationships/package" Target="../embeddings/Microsoft_Excel_Worksheet74.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Microsoft_Excel_Worksheet75.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Microsoft_Excel_Worksheet76.xlsx"/></Relationships>
</file>

<file path=word/charts/_rels/chart76.xml.rels><?xml version="1.0" encoding="UTF-8" standalone="yes"?>
<Relationships xmlns="http://schemas.openxmlformats.org/package/2006/relationships"><Relationship Id="rId2" Type="http://schemas.openxmlformats.org/officeDocument/2006/relationships/package" Target="../embeddings/Microsoft_Excel_Worksheet77.xlsx"/><Relationship Id="rId1" Type="http://schemas.openxmlformats.org/officeDocument/2006/relationships/themeOverride" Target="../theme/themeOverride41.xml"/></Relationships>
</file>

<file path=word/charts/_rels/chart77.xml.rels><?xml version="1.0" encoding="UTF-8" standalone="yes"?>
<Relationships xmlns="http://schemas.openxmlformats.org/package/2006/relationships"><Relationship Id="rId3" Type="http://schemas.openxmlformats.org/officeDocument/2006/relationships/package" Target="../embeddings/Microsoft_Excel_Worksheet78.xlsx"/><Relationship Id="rId2" Type="http://schemas.microsoft.com/office/2011/relationships/chartColorStyle" Target="colors28.xml"/><Relationship Id="rId1" Type="http://schemas.microsoft.com/office/2011/relationships/chartStyle" Target="style28.xml"/></Relationships>
</file>

<file path=word/charts/_rels/chart78.xml.rels><?xml version="1.0" encoding="UTF-8" standalone="yes"?>
<Relationships xmlns="http://schemas.openxmlformats.org/package/2006/relationships"><Relationship Id="rId3" Type="http://schemas.openxmlformats.org/officeDocument/2006/relationships/package" Target="../embeddings/Microsoft_Excel_Worksheet79.xlsx"/><Relationship Id="rId2" Type="http://schemas.microsoft.com/office/2011/relationships/chartColorStyle" Target="colors29.xml"/><Relationship Id="rId1" Type="http://schemas.microsoft.com/office/2011/relationships/chartStyle" Target="style29.xml"/></Relationships>
</file>

<file path=word/charts/_rels/chart79.xml.rels><?xml version="1.0" encoding="UTF-8" standalone="yes"?>
<Relationships xmlns="http://schemas.openxmlformats.org/package/2006/relationships"><Relationship Id="rId3" Type="http://schemas.openxmlformats.org/officeDocument/2006/relationships/package" Target="../embeddings/Microsoft_Excel_Worksheet80.xlsx"/><Relationship Id="rId2" Type="http://schemas.microsoft.com/office/2011/relationships/chartColorStyle" Target="colors30.xml"/><Relationship Id="rId1" Type="http://schemas.microsoft.com/office/2011/relationships/chartStyle" Target="style30.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3.xml"/></Relationships>
</file>

<file path=word/charts/_rels/chart80.xml.rels><?xml version="1.0" encoding="UTF-8" standalone="yes"?>
<Relationships xmlns="http://schemas.openxmlformats.org/package/2006/relationships"><Relationship Id="rId3" Type="http://schemas.openxmlformats.org/officeDocument/2006/relationships/package" Target="../embeddings/Microsoft_Excel_Worksheet81.xlsx"/><Relationship Id="rId2" Type="http://schemas.microsoft.com/office/2011/relationships/chartColorStyle" Target="colors31.xml"/><Relationship Id="rId1" Type="http://schemas.microsoft.com/office/2011/relationships/chartStyle" Target="style31.xml"/></Relationships>
</file>

<file path=word/charts/_rels/chart81.xml.rels><?xml version="1.0" encoding="UTF-8" standalone="yes"?>
<Relationships xmlns="http://schemas.openxmlformats.org/package/2006/relationships"><Relationship Id="rId3" Type="http://schemas.openxmlformats.org/officeDocument/2006/relationships/package" Target="../embeddings/Microsoft_Excel_Worksheet83.xlsx"/><Relationship Id="rId2" Type="http://schemas.microsoft.com/office/2011/relationships/chartColorStyle" Target="colors33.xml"/><Relationship Id="rId1" Type="http://schemas.microsoft.com/office/2011/relationships/chartStyle" Target="style33.xml"/></Relationships>
</file>

<file path=word/charts/_rels/chart82.xml.rels><?xml version="1.0" encoding="UTF-8" standalone="yes"?>
<Relationships xmlns="http://schemas.openxmlformats.org/package/2006/relationships"><Relationship Id="rId1" Type="http://schemas.openxmlformats.org/officeDocument/2006/relationships/package" Target="../embeddings/Microsoft_Excel_Worksheet84.xlsx"/></Relationships>
</file>

<file path=word/charts/_rels/chart83.xml.rels><?xml version="1.0" encoding="UTF-8" standalone="yes"?>
<Relationships xmlns="http://schemas.openxmlformats.org/package/2006/relationships"><Relationship Id="rId3" Type="http://schemas.openxmlformats.org/officeDocument/2006/relationships/package" Target="../embeddings/Microsoft_Excel_Worksheet85.xlsx"/><Relationship Id="rId2" Type="http://schemas.microsoft.com/office/2011/relationships/chartColorStyle" Target="colors34.xml"/><Relationship Id="rId1" Type="http://schemas.microsoft.com/office/2011/relationships/chartStyle" Target="style34.xml"/></Relationships>
</file>

<file path=word/charts/_rels/chart84.xml.rels><?xml version="1.0" encoding="UTF-8" standalone="yes"?>
<Relationships xmlns="http://schemas.openxmlformats.org/package/2006/relationships"><Relationship Id="rId3" Type="http://schemas.openxmlformats.org/officeDocument/2006/relationships/package" Target="../embeddings/Microsoft_Excel_Worksheet86.xlsx"/><Relationship Id="rId2" Type="http://schemas.microsoft.com/office/2011/relationships/chartColorStyle" Target="colors35.xml"/><Relationship Id="rId1" Type="http://schemas.microsoft.com/office/2011/relationships/chartStyle" Target="style35.xml"/></Relationships>
</file>

<file path=word/charts/_rels/chart85.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87.xlsx"/></Relationships>
</file>

<file path=word/charts/_rels/chart8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88.xlsx"/></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89.xlsx"/></Relationships>
</file>

<file path=word/charts/_rels/chart88.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90.xlsx"/><Relationship Id="rId1" Type="http://schemas.openxmlformats.org/officeDocument/2006/relationships/themeOverride" Target="../theme/themeOverride44.xml"/></Relationships>
</file>

<file path=word/charts/_rels/chart89.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91.xlsx"/><Relationship Id="rId1" Type="http://schemas.openxmlformats.org/officeDocument/2006/relationships/themeOverride" Target="../theme/themeOverride4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90.xml.rels><?xml version="1.0" encoding="UTF-8" standalone="yes"?>
<Relationships xmlns="http://schemas.openxmlformats.org/package/2006/relationships"><Relationship Id="rId2" Type="http://schemas.openxmlformats.org/officeDocument/2006/relationships/package" Target="../embeddings/Microsoft_Excel_Worksheet92.xlsx"/><Relationship Id="rId1" Type="http://schemas.openxmlformats.org/officeDocument/2006/relationships/themeOverride" Target="../theme/themeOverride46.xml"/></Relationships>
</file>

<file path=word/charts/_rels/chart91.xml.rels><?xml version="1.0" encoding="UTF-8" standalone="yes"?>
<Relationships xmlns="http://schemas.openxmlformats.org/package/2006/relationships"><Relationship Id="rId2" Type="http://schemas.openxmlformats.org/officeDocument/2006/relationships/package" Target="../embeddings/Microsoft_Excel_Worksheet93.xlsx"/><Relationship Id="rId1" Type="http://schemas.openxmlformats.org/officeDocument/2006/relationships/themeOverride" Target="../theme/themeOverride47.xml"/></Relationships>
</file>

<file path=word/charts/_rels/chart92.xml.rels><?xml version="1.0" encoding="UTF-8" standalone="yes"?>
<Relationships xmlns="http://schemas.openxmlformats.org/package/2006/relationships"><Relationship Id="rId2" Type="http://schemas.openxmlformats.org/officeDocument/2006/relationships/package" Target="../embeddings/Microsoft_Excel_Worksheet94.xlsx"/><Relationship Id="rId1" Type="http://schemas.openxmlformats.org/officeDocument/2006/relationships/themeOverride" Target="../theme/themeOverride48.xml"/></Relationships>
</file>

<file path=word/charts/_rels/chart93.xml.rels><?xml version="1.0" encoding="UTF-8" standalone="yes"?>
<Relationships xmlns="http://schemas.openxmlformats.org/package/2006/relationships"><Relationship Id="rId2" Type="http://schemas.openxmlformats.org/officeDocument/2006/relationships/package" Target="../embeddings/Microsoft_Excel_Worksheet95.xlsx"/><Relationship Id="rId1" Type="http://schemas.openxmlformats.org/officeDocument/2006/relationships/themeOverride" Target="../theme/themeOverride49.xml"/></Relationships>
</file>

<file path=word/charts/_rels/chart94.xml.rels><?xml version="1.0" encoding="UTF-8" standalone="yes"?>
<Relationships xmlns="http://schemas.openxmlformats.org/package/2006/relationships"><Relationship Id="rId2" Type="http://schemas.openxmlformats.org/officeDocument/2006/relationships/package" Target="../embeddings/Microsoft_Excel_Worksheet96.xlsx"/><Relationship Id="rId1" Type="http://schemas.openxmlformats.org/officeDocument/2006/relationships/themeOverride" Target="../theme/themeOverride50.xml"/></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97.xlsx"/></Relationships>
</file>

<file path=word/charts/_rels/chart9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9.xml"/><Relationship Id="rId1" Type="http://schemas.microsoft.com/office/2011/relationships/chartStyle" Target="style39.xml"/></Relationships>
</file>

<file path=word/charts/_rels/chart97.xml.rels><?xml version="1.0" encoding="UTF-8" standalone="yes"?>
<Relationships xmlns="http://schemas.openxmlformats.org/package/2006/relationships"><Relationship Id="rId3" Type="http://schemas.openxmlformats.org/officeDocument/2006/relationships/package" Target="../embeddings/Microsoft_Excel_Worksheet98.xlsx"/><Relationship Id="rId2" Type="http://schemas.microsoft.com/office/2011/relationships/chartColorStyle" Target="colors40.xml"/><Relationship Id="rId1" Type="http://schemas.microsoft.com/office/2011/relationships/chartStyle" Target="style40.xml"/></Relationships>
</file>

<file path=word/charts/_rels/chart98.xml.rels><?xml version="1.0" encoding="UTF-8" standalone="yes"?>
<Relationships xmlns="http://schemas.openxmlformats.org/package/2006/relationships"><Relationship Id="rId3" Type="http://schemas.openxmlformats.org/officeDocument/2006/relationships/oleObject" Target="file:///C:\Users\OzolsN\AppData\Local\Microsoft\Windows\INetCache\Content.Outlook\MVZN3PYI\cedefop_grafiks.xlsx" TargetMode="External"/><Relationship Id="rId2" Type="http://schemas.microsoft.com/office/2011/relationships/chartColorStyle" Target="colors41.xml"/><Relationship Id="rId1" Type="http://schemas.microsoft.com/office/2011/relationships/chartStyle" Target="style41.xml"/></Relationships>
</file>

<file path=word/charts/_rels/chart99.xml.rels><?xml version="1.0" encoding="UTF-8" standalone="yes"?>
<Relationships xmlns="http://schemas.openxmlformats.org/package/2006/relationships"><Relationship Id="rId3" Type="http://schemas.openxmlformats.org/officeDocument/2006/relationships/package" Target="../embeddings/Microsoft_Excel_Worksheet99.xlsx"/><Relationship Id="rId2" Type="http://schemas.microsoft.com/office/2011/relationships/chartColorStyle" Target="colors42.xml"/><Relationship Id="rId1" Type="http://schemas.microsoft.com/office/2011/relationships/chartStyle" Target="style42.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4.xlsx"/><Relationship Id="rId4" Type="http://schemas.openxmlformats.org/officeDocument/2006/relationships/themeOverride" Target="../theme/themeOverride1.xml"/></Relationships>
</file>

<file path=word/charts/_rels/chartEx2.xml.rels><?xml version="1.0" encoding="UTF-8" standalone="yes"?>
<Relationships xmlns="http://schemas.openxmlformats.org/package/2006/relationships"><Relationship Id="rId3" Type="http://schemas.microsoft.com/office/2011/relationships/chartColorStyle" Target="colors23.xml"/><Relationship Id="rId2" Type="http://schemas.microsoft.com/office/2011/relationships/chartStyle" Target="style23.xml"/><Relationship Id="rId1" Type="http://schemas.openxmlformats.org/officeDocument/2006/relationships/package" Target="../embeddings/Microsoft_Excel_Worksheet46.xlsx"/></Relationships>
</file>

<file path=word/charts/_rels/chartEx3.xml.rels><?xml version="1.0" encoding="UTF-8" standalone="yes"?>
<Relationships xmlns="http://schemas.openxmlformats.org/package/2006/relationships"><Relationship Id="rId3" Type="http://schemas.microsoft.com/office/2011/relationships/chartColorStyle" Target="colors32.xml"/><Relationship Id="rId2" Type="http://schemas.microsoft.com/office/2011/relationships/chartStyle" Target="style32.xml"/><Relationship Id="rId1" Type="http://schemas.openxmlformats.org/officeDocument/2006/relationships/package" Target="../embeddings/Microsoft_Excel_Worksheet8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2019</c:v>
                </c:pt>
              </c:strCache>
            </c:strRef>
          </c:tx>
          <c:spPr>
            <a:solidFill>
              <a:schemeClr val="accent5">
                <a:lumMod val="75000"/>
              </a:schemeClr>
            </a:solidFill>
            <a:ln>
              <a:noFill/>
            </a:ln>
          </c:spPr>
          <c:invertIfNegative val="0"/>
          <c:dPt>
            <c:idx val="5"/>
            <c:invertIfNegative val="0"/>
            <c:bubble3D val="0"/>
            <c:extLst>
              <c:ext xmlns:c16="http://schemas.microsoft.com/office/drawing/2014/chart" uri="{C3380CC4-5D6E-409C-BE32-E72D297353CC}">
                <c16:uniqueId val="{00000000-A8A0-4333-97CE-D5D4A780DBB3}"/>
              </c:ext>
            </c:extLst>
          </c:dPt>
          <c:dPt>
            <c:idx val="7"/>
            <c:invertIfNegative val="0"/>
            <c:bubble3D val="0"/>
            <c:extLst>
              <c:ext xmlns:c16="http://schemas.microsoft.com/office/drawing/2014/chart" uri="{C3380CC4-5D6E-409C-BE32-E72D297353CC}">
                <c16:uniqueId val="{00000001-A8A0-4333-97CE-D5D4A780DBB3}"/>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A0-4333-97CE-D5D4A780DBB3}"/>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A0-4333-97CE-D5D4A780DBB3}"/>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A0-4333-97CE-D5D4A780DBB3}"/>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A0-4333-97CE-D5D4A780DBB3}"/>
                </c:ext>
              </c:extLst>
            </c:dLbl>
            <c:spPr>
              <a:noFill/>
              <a:ln>
                <a:noFill/>
              </a:ln>
              <a:effectLst/>
            </c:spPr>
            <c:txPr>
              <a:bodyPr wrap="square" lIns="38100" tIns="19050" rIns="38100" bIns="19050" anchor="ctr">
                <a:spAutoFit/>
              </a:bodyPr>
              <a:lstStyle/>
              <a:p>
                <a:pPr>
                  <a:defRPr sz="800"/>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6"/>
                <c:pt idx="0">
                  <c:v>2018</c:v>
                </c:pt>
                <c:pt idx="1">
                  <c:v>2019</c:v>
                </c:pt>
                <c:pt idx="2">
                  <c:v>2020</c:v>
                </c:pt>
                <c:pt idx="3">
                  <c:v>2021</c:v>
                </c:pt>
                <c:pt idx="4">
                  <c:v>2022</c:v>
                </c:pt>
                <c:pt idx="5">
                  <c:v>2023</c:v>
                </c:pt>
              </c:numCache>
            </c:numRef>
          </c:cat>
          <c:val>
            <c:numRef>
              <c:f>Sheet1!$B$2:$B$9</c:f>
              <c:numCache>
                <c:formatCode>0.0</c:formatCode>
                <c:ptCount val="6"/>
                <c:pt idx="0">
                  <c:v>4</c:v>
                </c:pt>
                <c:pt idx="1">
                  <c:v>0.6</c:v>
                </c:pt>
                <c:pt idx="2">
                  <c:v>-3.5</c:v>
                </c:pt>
                <c:pt idx="3">
                  <c:v>6.7</c:v>
                </c:pt>
                <c:pt idx="4">
                  <c:v>3</c:v>
                </c:pt>
                <c:pt idx="5">
                  <c:v>-0.3</c:v>
                </c:pt>
              </c:numCache>
            </c:numRef>
          </c:val>
          <c:extLst>
            <c:ext xmlns:c16="http://schemas.microsoft.com/office/drawing/2014/chart" uri="{C3380CC4-5D6E-409C-BE32-E72D297353CC}">
              <c16:uniqueId val="{00000005-A8A0-4333-97CE-D5D4A780DBB3}"/>
            </c:ext>
          </c:extLst>
        </c:ser>
        <c:dLbls>
          <c:dLblPos val="outEnd"/>
          <c:showLegendKey val="0"/>
          <c:showVal val="1"/>
          <c:showCatName val="0"/>
          <c:showSerName val="0"/>
          <c:showPercent val="0"/>
          <c:showBubbleSize val="0"/>
        </c:dLbls>
        <c:gapWidth val="30"/>
        <c:axId val="742129488"/>
        <c:axId val="742133800"/>
      </c:barChart>
      <c:catAx>
        <c:axId val="742129488"/>
        <c:scaling>
          <c:orientation val="minMax"/>
        </c:scaling>
        <c:delete val="0"/>
        <c:axPos val="b"/>
        <c:numFmt formatCode="General" sourceLinked="1"/>
        <c:majorTickMark val="out"/>
        <c:minorTickMark val="none"/>
        <c:tickLblPos val="low"/>
        <c:spPr>
          <a:ln w="6350"/>
        </c:spPr>
        <c:txPr>
          <a:bodyPr rot="-5400000" vert="horz"/>
          <a:lstStyle/>
          <a:p>
            <a:pPr>
              <a:defRPr/>
            </a:pPr>
            <a:endParaRPr lang="lv-LV"/>
          </a:p>
        </c:txPr>
        <c:crossAx val="742133800"/>
        <c:crosses val="autoZero"/>
        <c:auto val="1"/>
        <c:lblAlgn val="ctr"/>
        <c:lblOffset val="0"/>
        <c:noMultiLvlLbl val="0"/>
      </c:catAx>
      <c:valAx>
        <c:axId val="742133800"/>
        <c:scaling>
          <c:orientation val="minMax"/>
        </c:scaling>
        <c:delete val="1"/>
        <c:axPos val="l"/>
        <c:numFmt formatCode="0" sourceLinked="0"/>
        <c:majorTickMark val="out"/>
        <c:minorTickMark val="none"/>
        <c:tickLblPos val="nextTo"/>
        <c:crossAx val="742129488"/>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172624542285732E-2"/>
          <c:y val="6.63511782233802E-2"/>
          <c:w val="0.88246790332983815"/>
          <c:h val="0.80415209051529546"/>
        </c:manualLayout>
      </c:layout>
      <c:barChart>
        <c:barDir val="col"/>
        <c:grouping val="clustered"/>
        <c:varyColors val="0"/>
        <c:ser>
          <c:idx val="0"/>
          <c:order val="0"/>
          <c:tx>
            <c:strRef>
              <c:f>Sheet1!$A$3</c:f>
              <c:strCache>
                <c:ptCount val="1"/>
                <c:pt idx="0">
                  <c:v>Bezdarba līmenis</c:v>
                </c:pt>
              </c:strCache>
            </c:strRef>
          </c:tx>
          <c:spPr>
            <a:solidFill>
              <a:srgbClr val="228B9D"/>
            </a:solidFill>
          </c:spPr>
          <c:invertIfNegative val="0"/>
          <c:dPt>
            <c:idx val="7"/>
            <c:invertIfNegative val="0"/>
            <c:bubble3D val="0"/>
            <c:extLst>
              <c:ext xmlns:c16="http://schemas.microsoft.com/office/drawing/2014/chart" uri="{C3380CC4-5D6E-409C-BE32-E72D297353CC}">
                <c16:uniqueId val="{00000000-BEFC-4E98-B541-31C52405B1B3}"/>
              </c:ext>
            </c:extLst>
          </c:dPt>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Sheet1!$B$2:$O$2</c:f>
              <c:numCache>
                <c:formatCode>0</c:formatCode>
                <c:ptCount val="9"/>
                <c:pt idx="0">
                  <c:v>2010</c:v>
                </c:pt>
                <c:pt idx="1">
                  <c:v>2012</c:v>
                </c:pt>
                <c:pt idx="2">
                  <c:v>2014</c:v>
                </c:pt>
                <c:pt idx="3">
                  <c:v>2016</c:v>
                </c:pt>
                <c:pt idx="4" formatCode="General">
                  <c:v>2019</c:v>
                </c:pt>
                <c:pt idx="5" formatCode="General">
                  <c:v>2020</c:v>
                </c:pt>
                <c:pt idx="6" formatCode="General">
                  <c:v>2021</c:v>
                </c:pt>
                <c:pt idx="7" formatCode="General">
                  <c:v>2022</c:v>
                </c:pt>
                <c:pt idx="8" formatCode="General">
                  <c:v>2023</c:v>
                </c:pt>
              </c:numCache>
            </c:numRef>
          </c:cat>
          <c:val>
            <c:numRef>
              <c:f>Sheet1!$B$3:$O$3</c:f>
              <c:numCache>
                <c:formatCode>General</c:formatCode>
                <c:ptCount val="9"/>
                <c:pt idx="0">
                  <c:v>19.5</c:v>
                </c:pt>
                <c:pt idx="1">
                  <c:v>15</c:v>
                </c:pt>
                <c:pt idx="2" formatCode="0.0">
                  <c:v>10.8</c:v>
                </c:pt>
                <c:pt idx="3">
                  <c:v>9.6</c:v>
                </c:pt>
                <c:pt idx="4" formatCode="0.0">
                  <c:v>6.3</c:v>
                </c:pt>
                <c:pt idx="5" formatCode="0.0">
                  <c:v>8.1</c:v>
                </c:pt>
                <c:pt idx="6" formatCode="0.0">
                  <c:v>7.6</c:v>
                </c:pt>
                <c:pt idx="7" formatCode="0.0">
                  <c:v>6.9</c:v>
                </c:pt>
                <c:pt idx="8" formatCode="0.0">
                  <c:v>6.5</c:v>
                </c:pt>
              </c:numCache>
            </c:numRef>
          </c:val>
          <c:extLst>
            <c:ext xmlns:c16="http://schemas.microsoft.com/office/drawing/2014/chart" uri="{C3380CC4-5D6E-409C-BE32-E72D297353CC}">
              <c16:uniqueId val="{00000001-BEFC-4E98-B541-31C52405B1B3}"/>
            </c:ext>
          </c:extLst>
        </c:ser>
        <c:dLbls>
          <c:dLblPos val="outEnd"/>
          <c:showLegendKey val="0"/>
          <c:showVal val="1"/>
          <c:showCatName val="0"/>
          <c:showSerName val="0"/>
          <c:showPercent val="0"/>
          <c:showBubbleSize val="0"/>
        </c:dLbls>
        <c:gapWidth val="40"/>
        <c:axId val="742144384"/>
        <c:axId val="742151440"/>
      </c:barChart>
      <c:catAx>
        <c:axId val="742144384"/>
        <c:scaling>
          <c:orientation val="minMax"/>
        </c:scaling>
        <c:delete val="0"/>
        <c:axPos val="b"/>
        <c:numFmt formatCode="0" sourceLinked="0"/>
        <c:majorTickMark val="out"/>
        <c:minorTickMark val="none"/>
        <c:tickLblPos val="low"/>
        <c:txPr>
          <a:bodyPr rot="0" vert="horz"/>
          <a:lstStyle/>
          <a:p>
            <a:pPr>
              <a:defRPr/>
            </a:pPr>
            <a:endParaRPr lang="lv-LV"/>
          </a:p>
        </c:txPr>
        <c:crossAx val="742151440"/>
        <c:crosses val="autoZero"/>
        <c:auto val="1"/>
        <c:lblAlgn val="ctr"/>
        <c:lblOffset val="100"/>
        <c:noMultiLvlLbl val="0"/>
      </c:catAx>
      <c:valAx>
        <c:axId val="742151440"/>
        <c:scaling>
          <c:orientation val="minMax"/>
          <c:max val="20"/>
        </c:scaling>
        <c:delete val="0"/>
        <c:axPos val="l"/>
        <c:numFmt formatCode="0" sourceLinked="0"/>
        <c:majorTickMark val="out"/>
        <c:minorTickMark val="none"/>
        <c:tickLblPos val="nextTo"/>
        <c:spPr>
          <a:ln>
            <a:noFill/>
          </a:ln>
        </c:spPr>
        <c:crossAx val="742144384"/>
        <c:crosses val="autoZero"/>
        <c:crossBetween val="between"/>
        <c:majorUnit val="5"/>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2">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212806778425018E-2"/>
          <c:y val="0.12182663828983267"/>
          <c:w val="0.93314882497460694"/>
          <c:h val="0.68196589223100812"/>
        </c:manualLayout>
      </c:layout>
      <c:barChart>
        <c:barDir val="col"/>
        <c:grouping val="percentStacked"/>
        <c:varyColors val="0"/>
        <c:ser>
          <c:idx val="0"/>
          <c:order val="0"/>
          <c:tx>
            <c:strRef>
              <c:f>Sheet1!$A$9</c:f>
              <c:strCache>
                <c:ptCount val="1"/>
                <c:pt idx="0">
                  <c:v>automatizējami darbi</c:v>
                </c:pt>
              </c:strCache>
            </c:strRef>
          </c:tx>
          <c:spPr>
            <a:solidFill>
              <a:schemeClr val="accent1"/>
            </a:solidFill>
            <a:ln>
              <a:noFill/>
            </a:ln>
            <a:effectLst/>
          </c:spPr>
          <c:invertIfNegative val="0"/>
          <c:dPt>
            <c:idx val="3"/>
            <c:invertIfNegative val="0"/>
            <c:bubble3D val="0"/>
            <c:spPr>
              <a:solidFill>
                <a:srgbClr val="4F81BD">
                  <a:alpha val="90000"/>
                </a:srgbClr>
              </a:solidFill>
              <a:ln>
                <a:noFill/>
              </a:ln>
              <a:effectLst/>
            </c:spPr>
            <c:extLst>
              <c:ext xmlns:c16="http://schemas.microsoft.com/office/drawing/2014/chart" uri="{C3380CC4-5D6E-409C-BE32-E72D297353CC}">
                <c16:uniqueId val="{00000006-DCFA-4B29-ADC1-994E4B4B0B43}"/>
              </c:ext>
            </c:extLst>
          </c:dPt>
          <c:dPt>
            <c:idx val="4"/>
            <c:invertIfNegative val="0"/>
            <c:bubble3D val="0"/>
            <c:spPr>
              <a:solidFill>
                <a:srgbClr val="4F81BD">
                  <a:alpha val="90000"/>
                </a:srgbClr>
              </a:solidFill>
              <a:ln>
                <a:noFill/>
              </a:ln>
              <a:effectLst/>
            </c:spPr>
            <c:extLst>
              <c:ext xmlns:c16="http://schemas.microsoft.com/office/drawing/2014/chart" uri="{C3380CC4-5D6E-409C-BE32-E72D297353CC}">
                <c16:uniqueId val="{00000007-DCFA-4B29-ADC1-994E4B4B0B43}"/>
              </c:ext>
            </c:extLst>
          </c:dPt>
          <c:dPt>
            <c:idx val="5"/>
            <c:invertIfNegative val="0"/>
            <c:bubble3D val="0"/>
            <c:spPr>
              <a:solidFill>
                <a:srgbClr val="4F81BD">
                  <a:alpha val="90000"/>
                </a:srgbClr>
              </a:solidFill>
              <a:ln>
                <a:noFill/>
              </a:ln>
              <a:effectLst/>
            </c:spPr>
            <c:extLst>
              <c:ext xmlns:c16="http://schemas.microsoft.com/office/drawing/2014/chart" uri="{C3380CC4-5D6E-409C-BE32-E72D297353CC}">
                <c16:uniqueId val="{00000008-DCFA-4B29-ADC1-994E4B4B0B43}"/>
              </c:ext>
            </c:extLst>
          </c:dPt>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Sheet1!$B$7:$G$8</c:f>
              <c:multiLvlStrCache>
                <c:ptCount val="6"/>
                <c:lvl>
                  <c:pt idx="0">
                    <c:v>Augsta</c:v>
                  </c:pt>
                  <c:pt idx="1">
                    <c:v>Vidēja</c:v>
                  </c:pt>
                  <c:pt idx="2">
                    <c:v>Zema</c:v>
                  </c:pt>
                  <c:pt idx="3">
                    <c:v>Augsta</c:v>
                  </c:pt>
                  <c:pt idx="4">
                    <c:v>Vidēja</c:v>
                  </c:pt>
                  <c:pt idx="5">
                    <c:v>Zema</c:v>
                  </c:pt>
                </c:lvl>
                <c:lvl>
                  <c:pt idx="1">
                    <c:v>Paplašinošais pieprasījums</c:v>
                  </c:pt>
                  <c:pt idx="4">
                    <c:v>Aizvietojošais pieprasījums</c:v>
                  </c:pt>
                </c:lvl>
              </c:multiLvlStrCache>
            </c:multiLvlStrRef>
          </c:cat>
          <c:val>
            <c:numRef>
              <c:f>Sheet1!$B$9:$G$9</c:f>
              <c:numCache>
                <c:formatCode>General</c:formatCode>
                <c:ptCount val="6"/>
                <c:pt idx="0">
                  <c:v>38</c:v>
                </c:pt>
                <c:pt idx="1">
                  <c:v>71</c:v>
                </c:pt>
                <c:pt idx="2">
                  <c:v>77</c:v>
                </c:pt>
                <c:pt idx="3">
                  <c:v>30</c:v>
                </c:pt>
                <c:pt idx="4">
                  <c:v>65</c:v>
                </c:pt>
                <c:pt idx="5">
                  <c:v>75</c:v>
                </c:pt>
              </c:numCache>
            </c:numRef>
          </c:val>
          <c:extLst>
            <c:ext xmlns:c16="http://schemas.microsoft.com/office/drawing/2014/chart" uri="{C3380CC4-5D6E-409C-BE32-E72D297353CC}">
              <c16:uniqueId val="{00000000-DCFA-4B29-ADC1-994E4B4B0B43}"/>
            </c:ext>
          </c:extLst>
        </c:ser>
        <c:ser>
          <c:idx val="1"/>
          <c:order val="1"/>
          <c:tx>
            <c:strRef>
              <c:f>Sheet1!$A$10</c:f>
              <c:strCache>
                <c:ptCount val="1"/>
                <c:pt idx="0">
                  <c:v>neautomatizējami darbi</c:v>
                </c:pt>
              </c:strCache>
            </c:strRef>
          </c:tx>
          <c:spPr>
            <a:solidFill>
              <a:schemeClr val="accent2"/>
            </a:solidFill>
            <a:ln>
              <a:noFill/>
            </a:ln>
            <a:effectLst/>
          </c:spPr>
          <c:invertIfNegative val="0"/>
          <c:dPt>
            <c:idx val="3"/>
            <c:invertIfNegative val="0"/>
            <c:bubble3D val="0"/>
            <c:spPr>
              <a:solidFill>
                <a:srgbClr val="F79646">
                  <a:alpha val="90000"/>
                </a:srgbClr>
              </a:solidFill>
              <a:ln>
                <a:noFill/>
              </a:ln>
              <a:effectLst/>
            </c:spPr>
            <c:extLst>
              <c:ext xmlns:c16="http://schemas.microsoft.com/office/drawing/2014/chart" uri="{C3380CC4-5D6E-409C-BE32-E72D297353CC}">
                <c16:uniqueId val="{00000009-DCFA-4B29-ADC1-994E4B4B0B43}"/>
              </c:ext>
            </c:extLst>
          </c:dPt>
          <c:dPt>
            <c:idx val="4"/>
            <c:invertIfNegative val="0"/>
            <c:bubble3D val="0"/>
            <c:spPr>
              <a:solidFill>
                <a:srgbClr val="F79646">
                  <a:alpha val="90000"/>
                </a:srgbClr>
              </a:solidFill>
              <a:ln>
                <a:noFill/>
              </a:ln>
              <a:effectLst/>
            </c:spPr>
            <c:extLst>
              <c:ext xmlns:c16="http://schemas.microsoft.com/office/drawing/2014/chart" uri="{C3380CC4-5D6E-409C-BE32-E72D297353CC}">
                <c16:uniqueId val="{0000000A-DCFA-4B29-ADC1-994E4B4B0B43}"/>
              </c:ext>
            </c:extLst>
          </c:dPt>
          <c:dPt>
            <c:idx val="5"/>
            <c:invertIfNegative val="0"/>
            <c:bubble3D val="0"/>
            <c:spPr>
              <a:solidFill>
                <a:srgbClr val="F79646">
                  <a:alpha val="90000"/>
                </a:srgbClr>
              </a:solidFill>
              <a:ln>
                <a:noFill/>
              </a:ln>
              <a:effectLst/>
            </c:spPr>
            <c:extLst>
              <c:ext xmlns:c16="http://schemas.microsoft.com/office/drawing/2014/chart" uri="{C3380CC4-5D6E-409C-BE32-E72D297353CC}">
                <c16:uniqueId val="{0000000B-DCFA-4B29-ADC1-994E4B4B0B43}"/>
              </c:ext>
            </c:extLst>
          </c:dPt>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Sheet1!$B$7:$G$8</c:f>
              <c:multiLvlStrCache>
                <c:ptCount val="6"/>
                <c:lvl>
                  <c:pt idx="0">
                    <c:v>Augsta</c:v>
                  </c:pt>
                  <c:pt idx="1">
                    <c:v>Vidēja</c:v>
                  </c:pt>
                  <c:pt idx="2">
                    <c:v>Zema</c:v>
                  </c:pt>
                  <c:pt idx="3">
                    <c:v>Augsta</c:v>
                  </c:pt>
                  <c:pt idx="4">
                    <c:v>Vidēja</c:v>
                  </c:pt>
                  <c:pt idx="5">
                    <c:v>Zema</c:v>
                  </c:pt>
                </c:lvl>
                <c:lvl>
                  <c:pt idx="1">
                    <c:v>Paplašinošais pieprasījums</c:v>
                  </c:pt>
                  <c:pt idx="4">
                    <c:v>Aizvietojošais pieprasījums</c:v>
                  </c:pt>
                </c:lvl>
              </c:multiLvlStrCache>
            </c:multiLvlStrRef>
          </c:cat>
          <c:val>
            <c:numRef>
              <c:f>Sheet1!$B$10:$G$10</c:f>
              <c:numCache>
                <c:formatCode>General</c:formatCode>
                <c:ptCount val="6"/>
                <c:pt idx="0">
                  <c:v>62</c:v>
                </c:pt>
                <c:pt idx="1">
                  <c:v>29</c:v>
                </c:pt>
                <c:pt idx="2">
                  <c:v>23</c:v>
                </c:pt>
                <c:pt idx="3">
                  <c:v>62</c:v>
                </c:pt>
                <c:pt idx="4">
                  <c:v>35</c:v>
                </c:pt>
                <c:pt idx="5">
                  <c:v>25</c:v>
                </c:pt>
              </c:numCache>
            </c:numRef>
          </c:val>
          <c:extLst>
            <c:ext xmlns:c16="http://schemas.microsoft.com/office/drawing/2014/chart" uri="{C3380CC4-5D6E-409C-BE32-E72D297353CC}">
              <c16:uniqueId val="{00000001-DCFA-4B29-ADC1-994E4B4B0B43}"/>
            </c:ext>
          </c:extLst>
        </c:ser>
        <c:dLbls>
          <c:showLegendKey val="0"/>
          <c:showVal val="0"/>
          <c:showCatName val="0"/>
          <c:showSerName val="0"/>
          <c:showPercent val="0"/>
          <c:showBubbleSize val="0"/>
        </c:dLbls>
        <c:gapWidth val="50"/>
        <c:overlap val="100"/>
        <c:axId val="160494927"/>
        <c:axId val="160476207"/>
      </c:barChart>
      <c:catAx>
        <c:axId val="160494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60476207"/>
        <c:crosses val="autoZero"/>
        <c:auto val="1"/>
        <c:lblAlgn val="ctr"/>
        <c:lblOffset val="100"/>
        <c:tickLblSkip val="1"/>
        <c:noMultiLvlLbl val="1"/>
      </c:catAx>
      <c:valAx>
        <c:axId val="160476207"/>
        <c:scaling>
          <c:orientation val="minMax"/>
        </c:scaling>
        <c:delete val="1"/>
        <c:axPos val="l"/>
        <c:numFmt formatCode="0%" sourceLinked="1"/>
        <c:majorTickMark val="none"/>
        <c:minorTickMark val="none"/>
        <c:tickLblPos val="nextTo"/>
        <c:crossAx val="160494927"/>
        <c:crosses val="autoZero"/>
        <c:crossBetween val="between"/>
      </c:valAx>
      <c:spPr>
        <a:noFill/>
        <a:ln>
          <a:noFill/>
        </a:ln>
        <a:effectLst/>
      </c:spPr>
    </c:plotArea>
    <c:legend>
      <c:legendPos val="b"/>
      <c:layout>
        <c:manualLayout>
          <c:xMode val="edge"/>
          <c:yMode val="edge"/>
          <c:x val="0.15435501653803749"/>
          <c:y val="2.034296700915211E-2"/>
          <c:w val="0.78085407460781842"/>
          <c:h val="0.1073883495685128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87794841521326"/>
          <c:y val="3.5195299205652807E-2"/>
          <c:w val="0.8803017649254703"/>
          <c:h val="0.85877862595420063"/>
        </c:manualLayout>
      </c:layout>
      <c:barChart>
        <c:barDir val="col"/>
        <c:grouping val="clustered"/>
        <c:varyColors val="0"/>
        <c:ser>
          <c:idx val="2"/>
          <c:order val="0"/>
          <c:tx>
            <c:strRef>
              <c:f>Sheet1!$A$7</c:f>
              <c:strCache>
                <c:ptCount val="1"/>
              </c:strCache>
            </c:strRef>
          </c:tx>
          <c:spPr>
            <a:solidFill>
              <a:srgbClr val="C0504D"/>
            </a:solidFill>
            <a:ln w="3175">
              <a:noFill/>
              <a:prstDash val="solid"/>
            </a:ln>
          </c:spPr>
          <c:invertIfNegative val="0"/>
          <c:dPt>
            <c:idx val="0"/>
            <c:invertIfNegative val="0"/>
            <c:bubble3D val="0"/>
            <c:spPr>
              <a:solidFill>
                <a:srgbClr val="C0504D"/>
              </a:solidFill>
              <a:ln w="3175">
                <a:noFill/>
                <a:prstDash val="solid"/>
              </a:ln>
            </c:spPr>
            <c:extLst>
              <c:ext xmlns:c16="http://schemas.microsoft.com/office/drawing/2014/chart" uri="{C3380CC4-5D6E-409C-BE32-E72D297353CC}">
                <c16:uniqueId val="{00000001-DBE8-4B0F-B647-F3624AC91F9B}"/>
              </c:ext>
            </c:extLst>
          </c:dPt>
          <c:dPt>
            <c:idx val="1"/>
            <c:invertIfNegative val="0"/>
            <c:bubble3D val="0"/>
            <c:extLst>
              <c:ext xmlns:c16="http://schemas.microsoft.com/office/drawing/2014/chart" uri="{C3380CC4-5D6E-409C-BE32-E72D297353CC}">
                <c16:uniqueId val="{00000002-DBE8-4B0F-B647-F3624AC91F9B}"/>
              </c:ext>
            </c:extLst>
          </c:dPt>
          <c:dPt>
            <c:idx val="2"/>
            <c:invertIfNegative val="0"/>
            <c:bubble3D val="0"/>
            <c:extLst>
              <c:ext xmlns:c16="http://schemas.microsoft.com/office/drawing/2014/chart" uri="{C3380CC4-5D6E-409C-BE32-E72D297353CC}">
                <c16:uniqueId val="{00000003-DBE8-4B0F-B647-F3624AC91F9B}"/>
              </c:ext>
            </c:extLst>
          </c:dPt>
          <c:dPt>
            <c:idx val="3"/>
            <c:invertIfNegative val="0"/>
            <c:bubble3D val="0"/>
            <c:extLst>
              <c:ext xmlns:c16="http://schemas.microsoft.com/office/drawing/2014/chart" uri="{C3380CC4-5D6E-409C-BE32-E72D297353CC}">
                <c16:uniqueId val="{00000004-DBE8-4B0F-B647-F3624AC91F9B}"/>
              </c:ext>
            </c:extLst>
          </c:dPt>
          <c:dLbls>
            <c:dLbl>
              <c:idx val="3"/>
              <c:layout>
                <c:manualLayout>
                  <c:x val="3.0307824883775377E-3"/>
                  <c:y val="1.8150246886232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E8-4B0F-B647-F3624AC91F9B}"/>
                </c:ext>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Sheet1!$B$6:$E$6</c:f>
              <c:numCache>
                <c:formatCode>General</c:formatCode>
                <c:ptCount val="4"/>
                <c:pt idx="0">
                  <c:v>2023</c:v>
                </c:pt>
                <c:pt idx="1">
                  <c:v>2024</c:v>
                </c:pt>
                <c:pt idx="2">
                  <c:v>2030</c:v>
                </c:pt>
                <c:pt idx="3">
                  <c:v>2040</c:v>
                </c:pt>
              </c:numCache>
            </c:numRef>
          </c:cat>
          <c:val>
            <c:numRef>
              <c:f>Sheet1!$B$7:$E$7</c:f>
              <c:numCache>
                <c:formatCode>0</c:formatCode>
                <c:ptCount val="4"/>
                <c:pt idx="0">
                  <c:v>884.2</c:v>
                </c:pt>
                <c:pt idx="1">
                  <c:v>884.9</c:v>
                </c:pt>
                <c:pt idx="2">
                  <c:v>907.4</c:v>
                </c:pt>
                <c:pt idx="3">
                  <c:v>890</c:v>
                </c:pt>
              </c:numCache>
            </c:numRef>
          </c:val>
          <c:extLst>
            <c:ext xmlns:c16="http://schemas.microsoft.com/office/drawing/2014/chart" uri="{C3380CC4-5D6E-409C-BE32-E72D297353CC}">
              <c16:uniqueId val="{00000005-DBE8-4B0F-B647-F3624AC91F9B}"/>
            </c:ext>
          </c:extLst>
        </c:ser>
        <c:dLbls>
          <c:showLegendKey val="0"/>
          <c:showVal val="1"/>
          <c:showCatName val="0"/>
          <c:showSerName val="0"/>
          <c:showPercent val="0"/>
          <c:showBubbleSize val="0"/>
        </c:dLbls>
        <c:gapWidth val="80"/>
        <c:axId val="652745672"/>
        <c:axId val="652737832"/>
      </c:barChart>
      <c:catAx>
        <c:axId val="652745672"/>
        <c:scaling>
          <c:orientation val="minMax"/>
        </c:scaling>
        <c:delete val="0"/>
        <c:axPos val="b"/>
        <c:numFmt formatCode="General" sourceLinked="1"/>
        <c:majorTickMark val="out"/>
        <c:minorTickMark val="none"/>
        <c:tickLblPos val="nextTo"/>
        <c:spPr>
          <a:ln w="3175"/>
        </c:spPr>
        <c:txPr>
          <a:bodyPr rot="0" vert="horz"/>
          <a:lstStyle/>
          <a:p>
            <a:pPr>
              <a:defRPr/>
            </a:pPr>
            <a:endParaRPr lang="lv-LV"/>
          </a:p>
        </c:txPr>
        <c:crossAx val="652737832"/>
        <c:crosses val="autoZero"/>
        <c:auto val="1"/>
        <c:lblAlgn val="ctr"/>
        <c:lblOffset val="100"/>
        <c:tickLblSkip val="1"/>
        <c:tickMarkSkip val="1"/>
        <c:noMultiLvlLbl val="0"/>
      </c:catAx>
      <c:valAx>
        <c:axId val="652737832"/>
        <c:scaling>
          <c:orientation val="minMax"/>
          <c:max val="920"/>
          <c:min val="800"/>
        </c:scaling>
        <c:delete val="0"/>
        <c:axPos val="l"/>
        <c:numFmt formatCode="0" sourceLinked="0"/>
        <c:majorTickMark val="out"/>
        <c:minorTickMark val="none"/>
        <c:tickLblPos val="nextTo"/>
        <c:spPr>
          <a:ln>
            <a:noFill/>
          </a:ln>
        </c:spPr>
        <c:txPr>
          <a:bodyPr rot="0" vert="horz"/>
          <a:lstStyle/>
          <a:p>
            <a:pPr>
              <a:defRPr/>
            </a:pPr>
            <a:endParaRPr lang="lv-LV"/>
          </a:p>
        </c:txPr>
        <c:crossAx val="652745672"/>
        <c:crosses val="autoZero"/>
        <c:crossBetween val="between"/>
        <c:majorUnit val="30"/>
      </c:valAx>
      <c:spPr>
        <a:solidFill>
          <a:srgbClr val="FFFFFF"/>
        </a:solidFill>
        <a:ln w="12689">
          <a:noFill/>
          <a:prstDash val="solid"/>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4433129025005708"/>
          <c:y val="2.6645375621753568E-2"/>
          <c:w val="0.42398540993752698"/>
          <c:h val="0.87720243011581589"/>
        </c:manualLayout>
      </c:layout>
      <c:barChart>
        <c:barDir val="bar"/>
        <c:grouping val="stacked"/>
        <c:varyColors val="0"/>
        <c:ser>
          <c:idx val="0"/>
          <c:order val="0"/>
          <c:tx>
            <c:v>Paplašinošais pieprasījums</c:v>
          </c:tx>
          <c:spPr>
            <a:solidFill>
              <a:schemeClr val="tx2"/>
            </a:solidFill>
            <a:ln>
              <a:noFill/>
            </a:ln>
            <a:effectLst/>
          </c:spPr>
          <c:invertIfNegative val="0"/>
          <c:cat>
            <c:strRef>
              <c:f>Sheet2!$A$7:$A$15</c:f>
              <c:strCache>
                <c:ptCount val="9"/>
                <c:pt idx="0">
                  <c:v>Kalpotāji</c:v>
                </c:pt>
                <c:pt idx="1">
                  <c:v>Vienkāršās profesijas</c:v>
                </c:pt>
                <c:pt idx="2">
                  <c:v>Kvalificēti lauksaimniecības, mežsaimniecības un zivsaimniecības darbinieki</c:v>
                </c:pt>
                <c:pt idx="3">
                  <c:v>Pakalpojumu un tirdzniecības darbinieki</c:v>
                </c:pt>
                <c:pt idx="4">
                  <c:v>Iekārtu un mašīnu operatori un izstrādājumu montieri</c:v>
                </c:pt>
                <c:pt idx="5">
                  <c:v>Vadītāji</c:v>
                </c:pt>
                <c:pt idx="6">
                  <c:v>Kvalificēti strādnieki un amatnieki</c:v>
                </c:pt>
                <c:pt idx="7">
                  <c:v>Speciālisti</c:v>
                </c:pt>
                <c:pt idx="8">
                  <c:v>Vecākie speciālisti</c:v>
                </c:pt>
              </c:strCache>
            </c:strRef>
          </c:cat>
          <c:val>
            <c:numRef>
              <c:f>Sheet2!$B$7:$B$15</c:f>
              <c:numCache>
                <c:formatCode>###\ ###\ ###\ ##0;\-###\ ###\ ###\ ##0;\:</c:formatCode>
                <c:ptCount val="9"/>
                <c:pt idx="0">
                  <c:v>-19562.109500741179</c:v>
                </c:pt>
                <c:pt idx="1">
                  <c:v>-35857.983061485429</c:v>
                </c:pt>
                <c:pt idx="2">
                  <c:v>-3360.986418448249</c:v>
                </c:pt>
                <c:pt idx="3">
                  <c:v>-16963.159295965572</c:v>
                </c:pt>
                <c:pt idx="4">
                  <c:v>-2229.7311451353307</c:v>
                </c:pt>
                <c:pt idx="5">
                  <c:v>6426.0389807776028</c:v>
                </c:pt>
                <c:pt idx="6">
                  <c:v>16615.499432542958</c:v>
                </c:pt>
                <c:pt idx="7">
                  <c:v>34680.392021498657</c:v>
                </c:pt>
                <c:pt idx="8">
                  <c:v>24111.745645223356</c:v>
                </c:pt>
              </c:numCache>
            </c:numRef>
          </c:val>
          <c:extLst>
            <c:ext xmlns:c16="http://schemas.microsoft.com/office/drawing/2014/chart" uri="{C3380CC4-5D6E-409C-BE32-E72D297353CC}">
              <c16:uniqueId val="{00000000-9D93-4AFC-B39C-097F74C1F792}"/>
            </c:ext>
          </c:extLst>
        </c:ser>
        <c:ser>
          <c:idx val="1"/>
          <c:order val="1"/>
          <c:tx>
            <c:v>Aizvietojošais pieprasījums</c:v>
          </c:tx>
          <c:spPr>
            <a:solidFill>
              <a:schemeClr val="accent2"/>
            </a:solidFill>
            <a:ln>
              <a:noFill/>
            </a:ln>
            <a:effectLst/>
          </c:spPr>
          <c:invertIfNegative val="0"/>
          <c:cat>
            <c:strRef>
              <c:f>Sheet2!$A$7:$A$15</c:f>
              <c:strCache>
                <c:ptCount val="9"/>
                <c:pt idx="0">
                  <c:v>Kalpotāji</c:v>
                </c:pt>
                <c:pt idx="1">
                  <c:v>Vienkāršās profesijas</c:v>
                </c:pt>
                <c:pt idx="2">
                  <c:v>Kvalificēti lauksaimniecības, mežsaimniecības un zivsaimniecības darbinieki</c:v>
                </c:pt>
                <c:pt idx="3">
                  <c:v>Pakalpojumu un tirdzniecības darbinieki</c:v>
                </c:pt>
                <c:pt idx="4">
                  <c:v>Iekārtu un mašīnu operatori un izstrādājumu montieri</c:v>
                </c:pt>
                <c:pt idx="5">
                  <c:v>Vadītāji</c:v>
                </c:pt>
                <c:pt idx="6">
                  <c:v>Kvalificēti strādnieki un amatnieki</c:v>
                </c:pt>
                <c:pt idx="7">
                  <c:v>Speciālisti</c:v>
                </c:pt>
                <c:pt idx="8">
                  <c:v>Vecākie speciālisti</c:v>
                </c:pt>
              </c:strCache>
            </c:strRef>
          </c:cat>
          <c:val>
            <c:numRef>
              <c:f>Sheet2!$C$7:$C$15</c:f>
              <c:numCache>
                <c:formatCode>###\ ###\ ###\ ##0;\-###\ ###\ ###\ ##0;\:</c:formatCode>
                <c:ptCount val="9"/>
                <c:pt idx="0">
                  <c:v>9987.2138193008068</c:v>
                </c:pt>
                <c:pt idx="1">
                  <c:v>37041.221841416969</c:v>
                </c:pt>
                <c:pt idx="2">
                  <c:v>10024.198654076892</c:v>
                </c:pt>
                <c:pt idx="3">
                  <c:v>37731.300330577302</c:v>
                </c:pt>
                <c:pt idx="4">
                  <c:v>35840.247927681514</c:v>
                </c:pt>
                <c:pt idx="5">
                  <c:v>37601.926197127905</c:v>
                </c:pt>
                <c:pt idx="6">
                  <c:v>29076.46092724898</c:v>
                </c:pt>
                <c:pt idx="7">
                  <c:v>27212.48447226801</c:v>
                </c:pt>
                <c:pt idx="8">
                  <c:v>52879.346298232114</c:v>
                </c:pt>
              </c:numCache>
            </c:numRef>
          </c:val>
          <c:extLst>
            <c:ext xmlns:c16="http://schemas.microsoft.com/office/drawing/2014/chart" uri="{C3380CC4-5D6E-409C-BE32-E72D297353CC}">
              <c16:uniqueId val="{00000001-9D93-4AFC-B39C-097F74C1F792}"/>
            </c:ext>
          </c:extLst>
        </c:ser>
        <c:dLbls>
          <c:showLegendKey val="0"/>
          <c:showVal val="0"/>
          <c:showCatName val="0"/>
          <c:showSerName val="0"/>
          <c:showPercent val="0"/>
          <c:showBubbleSize val="0"/>
        </c:dLbls>
        <c:gapWidth val="67"/>
        <c:overlap val="100"/>
        <c:axId val="1508280447"/>
        <c:axId val="1508265055"/>
      </c:barChart>
      <c:catAx>
        <c:axId val="1508280447"/>
        <c:scaling>
          <c:orientation val="minMax"/>
        </c:scaling>
        <c:delete val="0"/>
        <c:axPos val="l"/>
        <c:numFmt formatCode="General" sourceLinked="1"/>
        <c:majorTickMark val="out"/>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508265055"/>
        <c:crosses val="autoZero"/>
        <c:auto val="1"/>
        <c:lblAlgn val="ctr"/>
        <c:lblOffset val="100"/>
        <c:noMultiLvlLbl val="0"/>
      </c:catAx>
      <c:valAx>
        <c:axId val="1508265055"/>
        <c:scaling>
          <c:orientation val="minMax"/>
          <c:max val="80000"/>
          <c:min val="-40000"/>
        </c:scaling>
        <c:delete val="0"/>
        <c:axPos val="b"/>
        <c:numFmt formatCode="0" sourceLinked="0"/>
        <c:majorTickMark val="out"/>
        <c:minorTickMark val="none"/>
        <c:tickLblPos val="nextTo"/>
        <c:spPr>
          <a:noFill/>
          <a:ln w="3175">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508280447"/>
        <c:crosses val="autoZero"/>
        <c:crossBetween val="between"/>
        <c:majorUnit val="20000"/>
        <c:dispUnits>
          <c:builtInUnit val="thousands"/>
        </c:dispUnits>
      </c:valAx>
      <c:spPr>
        <a:noFill/>
        <a:ln>
          <a:noFill/>
        </a:ln>
        <a:effectLst/>
      </c:spPr>
    </c:plotArea>
    <c:legend>
      <c:legendPos val="b"/>
      <c:layout>
        <c:manualLayout>
          <c:xMode val="edge"/>
          <c:yMode val="edge"/>
          <c:x val="0.80748235486108277"/>
          <c:y val="0.41963659724452856"/>
          <c:w val="0.16608504909215752"/>
          <c:h val="0.26327305558690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152376786235064E-2"/>
          <c:y val="2.9580162264000516E-2"/>
          <c:w val="0.91327573038421339"/>
          <c:h val="0.8536382938486401"/>
        </c:manualLayout>
      </c:layout>
      <c:lineChart>
        <c:grouping val="standard"/>
        <c:varyColors val="0"/>
        <c:ser>
          <c:idx val="0"/>
          <c:order val="0"/>
          <c:tx>
            <c:strRef>
              <c:f>Sheet1!$A$2</c:f>
              <c:strCache>
                <c:ptCount val="1"/>
                <c:pt idx="0">
                  <c:v>Iedzīvotāji</c:v>
                </c:pt>
              </c:strCache>
            </c:strRef>
          </c:tx>
          <c:cat>
            <c:numRef>
              <c:f>Sheet1!$B$1:$AL$1</c:f>
              <c:numCache>
                <c:formatCode>General</c:formatCode>
                <c:ptCount val="37"/>
                <c:pt idx="1">
                  <c:v>2005</c:v>
                </c:pt>
                <c:pt idx="6">
                  <c:v>2010</c:v>
                </c:pt>
                <c:pt idx="11">
                  <c:v>2015</c:v>
                </c:pt>
                <c:pt idx="16">
                  <c:v>2020</c:v>
                </c:pt>
                <c:pt idx="21">
                  <c:v>2025</c:v>
                </c:pt>
                <c:pt idx="26">
                  <c:v>2030</c:v>
                </c:pt>
                <c:pt idx="31">
                  <c:v>2035</c:v>
                </c:pt>
                <c:pt idx="36">
                  <c:v>2040</c:v>
                </c:pt>
              </c:numCache>
            </c:numRef>
          </c:cat>
          <c:val>
            <c:numRef>
              <c:f>Sheet1!$B$2:$AL$2</c:f>
            </c:numRef>
          </c:val>
          <c:smooth val="1"/>
          <c:extLst>
            <c:ext xmlns:c16="http://schemas.microsoft.com/office/drawing/2014/chart" uri="{C3380CC4-5D6E-409C-BE32-E72D297353CC}">
              <c16:uniqueId val="{00000000-30F4-446B-BA57-DF4929657EB4}"/>
            </c:ext>
          </c:extLst>
        </c:ser>
        <c:ser>
          <c:idx val="1"/>
          <c:order val="1"/>
          <c:tx>
            <c:strRef>
              <c:f>Sheet1!$A$3</c:f>
              <c:strCache>
                <c:ptCount val="1"/>
                <c:pt idx="0">
                  <c:v>Darbaspēka piedāvājums</c:v>
                </c:pt>
              </c:strCache>
            </c:strRef>
          </c:tx>
          <c:spPr>
            <a:ln>
              <a:solidFill>
                <a:srgbClr val="4BACC6">
                  <a:lumMod val="75000"/>
                </a:srgbClr>
              </a:solidFill>
              <a:prstDash val="solid"/>
            </a:ln>
          </c:spPr>
          <c:marker>
            <c:symbol val="none"/>
          </c:marker>
          <c:dPt>
            <c:idx val="16"/>
            <c:bubble3D val="0"/>
            <c:spPr>
              <a:ln>
                <a:solidFill>
                  <a:srgbClr val="4BACC6">
                    <a:lumMod val="75000"/>
                  </a:srgbClr>
                </a:solidFill>
                <a:prstDash val="solid"/>
              </a:ln>
            </c:spPr>
            <c:extLst>
              <c:ext xmlns:c16="http://schemas.microsoft.com/office/drawing/2014/chart" uri="{C3380CC4-5D6E-409C-BE32-E72D297353CC}">
                <c16:uniqueId val="{00000002-30F4-446B-BA57-DF4929657EB4}"/>
              </c:ext>
            </c:extLst>
          </c:dPt>
          <c:dPt>
            <c:idx val="17"/>
            <c:bubble3D val="0"/>
            <c:spPr>
              <a:ln>
                <a:solidFill>
                  <a:srgbClr val="4BACC6">
                    <a:lumMod val="75000"/>
                  </a:srgbClr>
                </a:solidFill>
                <a:prstDash val="solid"/>
              </a:ln>
            </c:spPr>
            <c:extLst>
              <c:ext xmlns:c16="http://schemas.microsoft.com/office/drawing/2014/chart" uri="{C3380CC4-5D6E-409C-BE32-E72D297353CC}">
                <c16:uniqueId val="{00000004-30F4-446B-BA57-DF4929657EB4}"/>
              </c:ext>
            </c:extLst>
          </c:dPt>
          <c:dPt>
            <c:idx val="18"/>
            <c:bubble3D val="0"/>
            <c:spPr>
              <a:ln>
                <a:solidFill>
                  <a:srgbClr val="4BACC6">
                    <a:lumMod val="75000"/>
                  </a:srgbClr>
                </a:solidFill>
                <a:prstDash val="solid"/>
              </a:ln>
            </c:spPr>
            <c:extLst>
              <c:ext xmlns:c16="http://schemas.microsoft.com/office/drawing/2014/chart" uri="{C3380CC4-5D6E-409C-BE32-E72D297353CC}">
                <c16:uniqueId val="{00000006-30F4-446B-BA57-DF4929657EB4}"/>
              </c:ext>
            </c:extLst>
          </c:dPt>
          <c:dPt>
            <c:idx val="19"/>
            <c:bubble3D val="0"/>
            <c:spPr>
              <a:ln>
                <a:solidFill>
                  <a:srgbClr val="4BACC6">
                    <a:lumMod val="75000"/>
                  </a:srgbClr>
                </a:solidFill>
                <a:prstDash val="solid"/>
              </a:ln>
            </c:spPr>
            <c:extLst>
              <c:ext xmlns:c16="http://schemas.microsoft.com/office/drawing/2014/chart" uri="{C3380CC4-5D6E-409C-BE32-E72D297353CC}">
                <c16:uniqueId val="{00000008-30F4-446B-BA57-DF4929657EB4}"/>
              </c:ext>
            </c:extLst>
          </c:dPt>
          <c:dPt>
            <c:idx val="20"/>
            <c:bubble3D val="0"/>
            <c:spPr>
              <a:ln>
                <a:solidFill>
                  <a:srgbClr val="4BACC6">
                    <a:lumMod val="75000"/>
                  </a:srgbClr>
                </a:solidFill>
                <a:prstDash val="solid"/>
              </a:ln>
            </c:spPr>
            <c:extLst>
              <c:ext xmlns:c16="http://schemas.microsoft.com/office/drawing/2014/chart" uri="{C3380CC4-5D6E-409C-BE32-E72D297353CC}">
                <c16:uniqueId val="{0000000A-30F4-446B-BA57-DF4929657EB4}"/>
              </c:ext>
            </c:extLst>
          </c:dPt>
          <c:dPt>
            <c:idx val="21"/>
            <c:bubble3D val="0"/>
            <c:spPr>
              <a:ln>
                <a:solidFill>
                  <a:srgbClr val="4BACC6">
                    <a:lumMod val="75000"/>
                  </a:srgbClr>
                </a:solidFill>
                <a:prstDash val="solid"/>
              </a:ln>
            </c:spPr>
            <c:extLst>
              <c:ext xmlns:c16="http://schemas.microsoft.com/office/drawing/2014/chart" uri="{C3380CC4-5D6E-409C-BE32-E72D297353CC}">
                <c16:uniqueId val="{0000000C-30F4-446B-BA57-DF4929657EB4}"/>
              </c:ext>
            </c:extLst>
          </c:dPt>
          <c:dPt>
            <c:idx val="22"/>
            <c:bubble3D val="0"/>
            <c:spPr>
              <a:ln>
                <a:solidFill>
                  <a:srgbClr val="4BACC6">
                    <a:lumMod val="75000"/>
                  </a:srgbClr>
                </a:solidFill>
                <a:prstDash val="solid"/>
              </a:ln>
            </c:spPr>
            <c:extLst>
              <c:ext xmlns:c16="http://schemas.microsoft.com/office/drawing/2014/chart" uri="{C3380CC4-5D6E-409C-BE32-E72D297353CC}">
                <c16:uniqueId val="{0000000E-30F4-446B-BA57-DF4929657EB4}"/>
              </c:ext>
            </c:extLst>
          </c:dPt>
          <c:dPt>
            <c:idx val="23"/>
            <c:bubble3D val="0"/>
            <c:spPr>
              <a:ln>
                <a:solidFill>
                  <a:srgbClr val="4BACC6">
                    <a:lumMod val="75000"/>
                  </a:srgbClr>
                </a:solidFill>
                <a:prstDash val="solid"/>
              </a:ln>
            </c:spPr>
            <c:extLst>
              <c:ext xmlns:c16="http://schemas.microsoft.com/office/drawing/2014/chart" uri="{C3380CC4-5D6E-409C-BE32-E72D297353CC}">
                <c16:uniqueId val="{00000010-30F4-446B-BA57-DF4929657EB4}"/>
              </c:ext>
            </c:extLst>
          </c:dPt>
          <c:dPt>
            <c:idx val="24"/>
            <c:bubble3D val="0"/>
            <c:spPr>
              <a:ln>
                <a:solidFill>
                  <a:srgbClr val="4BACC6">
                    <a:lumMod val="75000"/>
                  </a:srgbClr>
                </a:solidFill>
                <a:prstDash val="solid"/>
              </a:ln>
            </c:spPr>
            <c:extLst>
              <c:ext xmlns:c16="http://schemas.microsoft.com/office/drawing/2014/chart" uri="{C3380CC4-5D6E-409C-BE32-E72D297353CC}">
                <c16:uniqueId val="{00000012-30F4-446B-BA57-DF4929657EB4}"/>
              </c:ext>
            </c:extLst>
          </c:dPt>
          <c:dPt>
            <c:idx val="25"/>
            <c:bubble3D val="0"/>
            <c:spPr>
              <a:ln>
                <a:solidFill>
                  <a:srgbClr val="4BACC6">
                    <a:lumMod val="75000"/>
                  </a:srgbClr>
                </a:solidFill>
                <a:prstDash val="solid"/>
              </a:ln>
            </c:spPr>
            <c:extLst>
              <c:ext xmlns:c16="http://schemas.microsoft.com/office/drawing/2014/chart" uri="{C3380CC4-5D6E-409C-BE32-E72D297353CC}">
                <c16:uniqueId val="{00000014-30F4-446B-BA57-DF4929657EB4}"/>
              </c:ext>
            </c:extLst>
          </c:dPt>
          <c:dPt>
            <c:idx val="26"/>
            <c:bubble3D val="0"/>
            <c:spPr>
              <a:ln>
                <a:solidFill>
                  <a:srgbClr val="4BACC6">
                    <a:lumMod val="75000"/>
                  </a:srgbClr>
                </a:solidFill>
                <a:prstDash val="solid"/>
              </a:ln>
            </c:spPr>
            <c:extLst>
              <c:ext xmlns:c16="http://schemas.microsoft.com/office/drawing/2014/chart" uri="{C3380CC4-5D6E-409C-BE32-E72D297353CC}">
                <c16:uniqueId val="{00000016-30F4-446B-BA57-DF4929657EB4}"/>
              </c:ext>
            </c:extLst>
          </c:dPt>
          <c:dPt>
            <c:idx val="27"/>
            <c:bubble3D val="0"/>
            <c:spPr>
              <a:ln>
                <a:solidFill>
                  <a:srgbClr val="4BACC6">
                    <a:lumMod val="75000"/>
                  </a:srgbClr>
                </a:solidFill>
                <a:prstDash val="solid"/>
              </a:ln>
            </c:spPr>
            <c:extLst>
              <c:ext xmlns:c16="http://schemas.microsoft.com/office/drawing/2014/chart" uri="{C3380CC4-5D6E-409C-BE32-E72D297353CC}">
                <c16:uniqueId val="{00000018-30F4-446B-BA57-DF4929657EB4}"/>
              </c:ext>
            </c:extLst>
          </c:dPt>
          <c:dPt>
            <c:idx val="28"/>
            <c:bubble3D val="0"/>
            <c:spPr>
              <a:ln>
                <a:solidFill>
                  <a:srgbClr val="4BACC6">
                    <a:lumMod val="75000"/>
                  </a:srgbClr>
                </a:solidFill>
                <a:prstDash val="solid"/>
              </a:ln>
            </c:spPr>
            <c:extLst>
              <c:ext xmlns:c16="http://schemas.microsoft.com/office/drawing/2014/chart" uri="{C3380CC4-5D6E-409C-BE32-E72D297353CC}">
                <c16:uniqueId val="{0000001A-30F4-446B-BA57-DF4929657EB4}"/>
              </c:ext>
            </c:extLst>
          </c:dPt>
          <c:dPt>
            <c:idx val="29"/>
            <c:bubble3D val="0"/>
            <c:spPr>
              <a:ln>
                <a:solidFill>
                  <a:srgbClr val="4BACC6">
                    <a:lumMod val="75000"/>
                  </a:srgbClr>
                </a:solidFill>
                <a:prstDash val="solid"/>
              </a:ln>
            </c:spPr>
            <c:extLst>
              <c:ext xmlns:c16="http://schemas.microsoft.com/office/drawing/2014/chart" uri="{C3380CC4-5D6E-409C-BE32-E72D297353CC}">
                <c16:uniqueId val="{0000001C-30F4-446B-BA57-DF4929657EB4}"/>
              </c:ext>
            </c:extLst>
          </c:dPt>
          <c:dPt>
            <c:idx val="30"/>
            <c:bubble3D val="0"/>
            <c:spPr>
              <a:ln>
                <a:solidFill>
                  <a:srgbClr val="4BACC6">
                    <a:lumMod val="75000"/>
                  </a:srgbClr>
                </a:solidFill>
                <a:prstDash val="solid"/>
              </a:ln>
            </c:spPr>
            <c:extLst>
              <c:ext xmlns:c16="http://schemas.microsoft.com/office/drawing/2014/chart" uri="{C3380CC4-5D6E-409C-BE32-E72D297353CC}">
                <c16:uniqueId val="{0000001E-30F4-446B-BA57-DF4929657EB4}"/>
              </c:ext>
            </c:extLst>
          </c:dPt>
          <c:dPt>
            <c:idx val="31"/>
            <c:bubble3D val="0"/>
            <c:spPr>
              <a:ln>
                <a:solidFill>
                  <a:srgbClr val="4BACC6">
                    <a:lumMod val="75000"/>
                  </a:srgbClr>
                </a:solidFill>
                <a:prstDash val="solid"/>
              </a:ln>
            </c:spPr>
            <c:extLst>
              <c:ext xmlns:c16="http://schemas.microsoft.com/office/drawing/2014/chart" uri="{C3380CC4-5D6E-409C-BE32-E72D297353CC}">
                <c16:uniqueId val="{00000020-30F4-446B-BA57-DF4929657EB4}"/>
              </c:ext>
            </c:extLst>
          </c:dPt>
          <c:dPt>
            <c:idx val="32"/>
            <c:bubble3D val="0"/>
            <c:spPr>
              <a:ln>
                <a:solidFill>
                  <a:srgbClr val="4BACC6">
                    <a:lumMod val="75000"/>
                  </a:srgbClr>
                </a:solidFill>
                <a:prstDash val="solid"/>
              </a:ln>
            </c:spPr>
            <c:extLst>
              <c:ext xmlns:c16="http://schemas.microsoft.com/office/drawing/2014/chart" uri="{C3380CC4-5D6E-409C-BE32-E72D297353CC}">
                <c16:uniqueId val="{00000022-30F4-446B-BA57-DF4929657EB4}"/>
              </c:ext>
            </c:extLst>
          </c:dPt>
          <c:dPt>
            <c:idx val="33"/>
            <c:bubble3D val="0"/>
            <c:spPr>
              <a:ln>
                <a:solidFill>
                  <a:srgbClr val="4BACC6">
                    <a:lumMod val="75000"/>
                  </a:srgbClr>
                </a:solidFill>
                <a:prstDash val="solid"/>
              </a:ln>
            </c:spPr>
            <c:extLst>
              <c:ext xmlns:c16="http://schemas.microsoft.com/office/drawing/2014/chart" uri="{C3380CC4-5D6E-409C-BE32-E72D297353CC}">
                <c16:uniqueId val="{00000024-30F4-446B-BA57-DF4929657EB4}"/>
              </c:ext>
            </c:extLst>
          </c:dPt>
          <c:dPt>
            <c:idx val="34"/>
            <c:bubble3D val="0"/>
            <c:spPr>
              <a:ln>
                <a:solidFill>
                  <a:srgbClr val="4BACC6">
                    <a:lumMod val="75000"/>
                  </a:srgbClr>
                </a:solidFill>
                <a:prstDash val="solid"/>
              </a:ln>
            </c:spPr>
            <c:extLst>
              <c:ext xmlns:c16="http://schemas.microsoft.com/office/drawing/2014/chart" uri="{C3380CC4-5D6E-409C-BE32-E72D297353CC}">
                <c16:uniqueId val="{00000026-30F4-446B-BA57-DF4929657EB4}"/>
              </c:ext>
            </c:extLst>
          </c:dPt>
          <c:dPt>
            <c:idx val="35"/>
            <c:bubble3D val="0"/>
            <c:spPr>
              <a:ln>
                <a:solidFill>
                  <a:srgbClr val="4BACC6">
                    <a:lumMod val="75000"/>
                  </a:srgbClr>
                </a:solidFill>
                <a:prstDash val="solid"/>
              </a:ln>
            </c:spPr>
            <c:extLst>
              <c:ext xmlns:c16="http://schemas.microsoft.com/office/drawing/2014/chart" uri="{C3380CC4-5D6E-409C-BE32-E72D297353CC}">
                <c16:uniqueId val="{00000028-30F4-446B-BA57-DF4929657EB4}"/>
              </c:ext>
            </c:extLst>
          </c:dPt>
          <c:dPt>
            <c:idx val="36"/>
            <c:bubble3D val="0"/>
            <c:spPr>
              <a:ln>
                <a:solidFill>
                  <a:srgbClr val="4BACC6">
                    <a:lumMod val="75000"/>
                  </a:srgbClr>
                </a:solidFill>
                <a:prstDash val="solid"/>
              </a:ln>
            </c:spPr>
            <c:extLst>
              <c:ext xmlns:c16="http://schemas.microsoft.com/office/drawing/2014/chart" uri="{C3380CC4-5D6E-409C-BE32-E72D297353CC}">
                <c16:uniqueId val="{0000002A-30F4-446B-BA57-DF4929657EB4}"/>
              </c:ext>
            </c:extLst>
          </c:dPt>
          <c:dLbls>
            <c:dLbl>
              <c:idx val="4"/>
              <c:layout>
                <c:manualLayout>
                  <c:x val="-4.4958974935371473E-2"/>
                  <c:y val="-5.4585152838427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30F4-446B-BA57-DF4929657EB4}"/>
                </c:ext>
              </c:extLst>
            </c:dLbl>
            <c:dLbl>
              <c:idx val="26"/>
              <c:layout>
                <c:manualLayout>
                  <c:x val="-4.0463077441834326E-2"/>
                  <c:y val="-5.4585152838427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0F4-446B-BA57-DF4929657EB4}"/>
                </c:ext>
              </c:extLst>
            </c:dLbl>
            <c:dLbl>
              <c:idx val="36"/>
              <c:layout>
                <c:manualLayout>
                  <c:x val="-2.2479487467685737E-3"/>
                  <c:y val="-6.0043668122270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30F4-446B-BA57-DF4929657EB4}"/>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Sheet1!$B$1:$AL$1</c:f>
              <c:numCache>
                <c:formatCode>General</c:formatCode>
                <c:ptCount val="37"/>
                <c:pt idx="1">
                  <c:v>2005</c:v>
                </c:pt>
                <c:pt idx="6">
                  <c:v>2010</c:v>
                </c:pt>
                <c:pt idx="11">
                  <c:v>2015</c:v>
                </c:pt>
                <c:pt idx="16">
                  <c:v>2020</c:v>
                </c:pt>
                <c:pt idx="21">
                  <c:v>2025</c:v>
                </c:pt>
                <c:pt idx="26">
                  <c:v>2030</c:v>
                </c:pt>
                <c:pt idx="31">
                  <c:v>2035</c:v>
                </c:pt>
                <c:pt idx="36">
                  <c:v>2040</c:v>
                </c:pt>
              </c:numCache>
            </c:numRef>
          </c:cat>
          <c:val>
            <c:numRef>
              <c:f>Sheet1!$B$3:$AL$3</c:f>
              <c:numCache>
                <c:formatCode>#\ ##0.0</c:formatCode>
                <c:ptCount val="37"/>
                <c:pt idx="0">
                  <c:v>1092.0999999999999</c:v>
                </c:pt>
                <c:pt idx="1">
                  <c:v>1080.8</c:v>
                </c:pt>
                <c:pt idx="2">
                  <c:v>1108.9000000000001</c:v>
                </c:pt>
                <c:pt idx="3">
                  <c:v>1125.5</c:v>
                </c:pt>
                <c:pt idx="4">
                  <c:v>1143.4000000000001</c:v>
                </c:pt>
                <c:pt idx="5">
                  <c:v>1101.4000000000001</c:v>
                </c:pt>
                <c:pt idx="6">
                  <c:v>1056.5</c:v>
                </c:pt>
                <c:pt idx="7">
                  <c:v>1028.2</c:v>
                </c:pt>
                <c:pt idx="8">
                  <c:v>1030.7</c:v>
                </c:pt>
                <c:pt idx="9">
                  <c:v>1014.3</c:v>
                </c:pt>
                <c:pt idx="10">
                  <c:v>992.3</c:v>
                </c:pt>
                <c:pt idx="11">
                  <c:v>994.2</c:v>
                </c:pt>
                <c:pt idx="12">
                  <c:v>988.6</c:v>
                </c:pt>
                <c:pt idx="13">
                  <c:v>980.3</c:v>
                </c:pt>
                <c:pt idx="14">
                  <c:v>982.17419000000018</c:v>
                </c:pt>
                <c:pt idx="15">
                  <c:v>971.34152000000017</c:v>
                </c:pt>
                <c:pt idx="16">
                  <c:v>971.67090500000006</c:v>
                </c:pt>
                <c:pt idx="17">
                  <c:v>934.62000892500009</c:v>
                </c:pt>
                <c:pt idx="18" formatCode="0.0">
                  <c:v>951.32326502500007</c:v>
                </c:pt>
                <c:pt idx="19" formatCode="0.0">
                  <c:v>945.67088770000078</c:v>
                </c:pt>
              </c:numCache>
            </c:numRef>
          </c:val>
          <c:smooth val="1"/>
          <c:extLst>
            <c:ext xmlns:c16="http://schemas.microsoft.com/office/drawing/2014/chart" uri="{C3380CC4-5D6E-409C-BE32-E72D297353CC}">
              <c16:uniqueId val="{0000002C-30F4-446B-BA57-DF4929657EB4}"/>
            </c:ext>
          </c:extLst>
        </c:ser>
        <c:ser>
          <c:idx val="2"/>
          <c:order val="2"/>
          <c:tx>
            <c:strRef>
              <c:f>Sheet1!$A$4</c:f>
              <c:strCache>
                <c:ptCount val="1"/>
                <c:pt idx="0">
                  <c:v>P</c:v>
                </c:pt>
              </c:strCache>
            </c:strRef>
          </c:tx>
          <c:spPr>
            <a:ln w="31750">
              <a:solidFill>
                <a:srgbClr val="31859C"/>
              </a:solidFill>
              <a:prstDash val="sysDot"/>
            </a:ln>
          </c:spPr>
          <c:marker>
            <c:symbol val="none"/>
          </c:marker>
          <c:dLbls>
            <c:dLbl>
              <c:idx val="20"/>
              <c:layout>
                <c:manualLayout>
                  <c:x val="-5.8446667415982999E-2"/>
                  <c:y val="-6.0043668122270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30F4-446B-BA57-DF4929657EB4}"/>
                </c:ext>
              </c:extLst>
            </c:dLbl>
            <c:dLbl>
              <c:idx val="26"/>
              <c:layout>
                <c:manualLayout>
                  <c:x val="-3.5967179948297179E-2"/>
                  <c:y val="-6.0043668122270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30F4-446B-BA57-DF4929657EB4}"/>
                </c:ext>
              </c:extLst>
            </c:dLbl>
            <c:dLbl>
              <c:idx val="36"/>
              <c:layout>
                <c:manualLayout>
                  <c:x val="-3.3719231201528609E-2"/>
                  <c:y val="-6.0043668122270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30F4-446B-BA57-DF4929657EB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Sheet1!$B$1:$AL$1</c:f>
              <c:numCache>
                <c:formatCode>General</c:formatCode>
                <c:ptCount val="37"/>
                <c:pt idx="1">
                  <c:v>2005</c:v>
                </c:pt>
                <c:pt idx="6">
                  <c:v>2010</c:v>
                </c:pt>
                <c:pt idx="11">
                  <c:v>2015</c:v>
                </c:pt>
                <c:pt idx="16">
                  <c:v>2020</c:v>
                </c:pt>
                <c:pt idx="21">
                  <c:v>2025</c:v>
                </c:pt>
                <c:pt idx="26">
                  <c:v>2030</c:v>
                </c:pt>
                <c:pt idx="31">
                  <c:v>2035</c:v>
                </c:pt>
                <c:pt idx="36">
                  <c:v>2040</c:v>
                </c:pt>
              </c:numCache>
            </c:numRef>
          </c:cat>
          <c:val>
            <c:numRef>
              <c:f>Sheet1!$B$4:$AL$4</c:f>
              <c:numCache>
                <c:formatCode>General</c:formatCode>
                <c:ptCount val="37"/>
                <c:pt idx="19" formatCode="0.0">
                  <c:v>945.67088770000078</c:v>
                </c:pt>
                <c:pt idx="20" formatCode="0.0">
                  <c:v>944.18400670695462</c:v>
                </c:pt>
                <c:pt idx="21" formatCode="0.0">
                  <c:v>944.70717278663153</c:v>
                </c:pt>
                <c:pt idx="22" formatCode="0.0">
                  <c:v>946.76879391565683</c:v>
                </c:pt>
                <c:pt idx="23" formatCode="0.0">
                  <c:v>952.55205657386398</c:v>
                </c:pt>
                <c:pt idx="24" formatCode="0.0">
                  <c:v>958.30053576863622</c:v>
                </c:pt>
                <c:pt idx="25" formatCode="0.0">
                  <c:v>960.28783775974466</c:v>
                </c:pt>
                <c:pt idx="26" formatCode="0.0">
                  <c:v>960.12741015346467</c:v>
                </c:pt>
                <c:pt idx="27" formatCode="0.0">
                  <c:v>957.87394162908265</c:v>
                </c:pt>
                <c:pt idx="28" formatCode="0.0">
                  <c:v>956.26428071730174</c:v>
                </c:pt>
                <c:pt idx="29" formatCode="0.0">
                  <c:v>953.29733297703467</c:v>
                </c:pt>
                <c:pt idx="30" formatCode="0.0">
                  <c:v>950.91015803154517</c:v>
                </c:pt>
                <c:pt idx="31" formatCode="0.0">
                  <c:v>949.00724017726679</c:v>
                </c:pt>
                <c:pt idx="32" formatCode="0.0">
                  <c:v>946.91137342970649</c:v>
                </c:pt>
                <c:pt idx="33" formatCode="0.0">
                  <c:v>944.82262462555059</c:v>
                </c:pt>
                <c:pt idx="34" formatCode="0.0">
                  <c:v>942.2077574795735</c:v>
                </c:pt>
                <c:pt idx="35" formatCode="0.0">
                  <c:v>939.43642719148488</c:v>
                </c:pt>
                <c:pt idx="36" formatCode="0.0">
                  <c:v>936.32811136897124</c:v>
                </c:pt>
              </c:numCache>
            </c:numRef>
          </c:val>
          <c:smooth val="1"/>
          <c:extLst>
            <c:ext xmlns:c16="http://schemas.microsoft.com/office/drawing/2014/chart" uri="{C3380CC4-5D6E-409C-BE32-E72D297353CC}">
              <c16:uniqueId val="{00000030-30F4-446B-BA57-DF4929657EB4}"/>
            </c:ext>
          </c:extLst>
        </c:ser>
        <c:dLbls>
          <c:showLegendKey val="0"/>
          <c:showVal val="0"/>
          <c:showCatName val="0"/>
          <c:showSerName val="0"/>
          <c:showPercent val="0"/>
          <c:showBubbleSize val="0"/>
        </c:dLbls>
        <c:smooth val="0"/>
        <c:axId val="652738616"/>
        <c:axId val="652739400"/>
      </c:lineChart>
      <c:catAx>
        <c:axId val="652738616"/>
        <c:scaling>
          <c:orientation val="minMax"/>
        </c:scaling>
        <c:delete val="0"/>
        <c:axPos val="b"/>
        <c:numFmt formatCode="General" sourceLinked="1"/>
        <c:majorTickMark val="out"/>
        <c:minorTickMark val="none"/>
        <c:tickLblPos val="nextTo"/>
        <c:txPr>
          <a:bodyPr rot="0" vert="horz"/>
          <a:lstStyle/>
          <a:p>
            <a:pPr>
              <a:defRPr/>
            </a:pPr>
            <a:endParaRPr lang="lv-LV"/>
          </a:p>
        </c:txPr>
        <c:crossAx val="652739400"/>
        <c:crosses val="autoZero"/>
        <c:auto val="1"/>
        <c:lblAlgn val="ctr"/>
        <c:lblOffset val="100"/>
        <c:noMultiLvlLbl val="0"/>
      </c:catAx>
      <c:valAx>
        <c:axId val="652739400"/>
        <c:scaling>
          <c:orientation val="minMax"/>
          <c:min val="900"/>
        </c:scaling>
        <c:delete val="0"/>
        <c:axPos val="l"/>
        <c:numFmt formatCode="0" sourceLinked="0"/>
        <c:majorTickMark val="out"/>
        <c:minorTickMark val="none"/>
        <c:tickLblPos val="nextTo"/>
        <c:spPr>
          <a:ln>
            <a:noFill/>
          </a:ln>
        </c:spPr>
        <c:txPr>
          <a:bodyPr rot="0" vert="horz"/>
          <a:lstStyle/>
          <a:p>
            <a:pPr>
              <a:defRPr/>
            </a:pPr>
            <a:endParaRPr lang="lv-LV"/>
          </a:p>
        </c:txPr>
        <c:crossAx val="652738616"/>
        <c:crosses val="autoZero"/>
        <c:crossBetween val="between"/>
        <c:majorUnit val="100"/>
      </c:valAx>
    </c:plotArea>
    <c:plotVisOnly val="1"/>
    <c:dispBlanksAs val="gap"/>
    <c:showDLblsOverMax val="0"/>
  </c:chart>
  <c:spPr>
    <a:ln>
      <a:noFill/>
    </a:ln>
  </c:spPr>
  <c:txPr>
    <a:bodyPr/>
    <a:lstStyle/>
    <a:p>
      <a:pPr>
        <a:defRPr sz="800" b="0">
          <a:latin typeface="Segoe UI Light" panose="020B0502040204020203" pitchFamily="34" charset="0"/>
          <a:cs typeface="Segoe UI Light" panose="020B0502040204020203" pitchFamily="34" charset="0"/>
        </a:defRPr>
      </a:pPr>
      <a:endParaRPr lang="lv-LV"/>
    </a:p>
  </c:txPr>
  <c:externalData r:id="rId2">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5177702085466E-2"/>
          <c:y val="2.1633182015534057E-2"/>
          <c:w val="0.96057613465509262"/>
          <c:h val="0.90696682381086358"/>
        </c:manualLayout>
      </c:layout>
      <c:barChart>
        <c:barDir val="col"/>
        <c:grouping val="clustered"/>
        <c:varyColors val="0"/>
        <c:ser>
          <c:idx val="1"/>
          <c:order val="0"/>
          <c:tx>
            <c:strRef>
              <c:f>Sheet1!$A$3</c:f>
              <c:strCache>
                <c:ptCount val="1"/>
                <c:pt idx="0">
                  <c:v>Bezdarba līmenis</c:v>
                </c:pt>
              </c:strCache>
            </c:strRef>
          </c:tx>
          <c:spPr>
            <a:solidFill>
              <a:schemeClr val="accent4">
                <a:lumMod val="20000"/>
                <a:lumOff val="80000"/>
              </a:schemeClr>
            </a:solidFill>
            <a:ln>
              <a:noFill/>
            </a:ln>
            <a:effectLst/>
          </c:spPr>
          <c:invertIfNegative val="0"/>
          <c:dPt>
            <c:idx val="7"/>
            <c:invertIfNegative val="0"/>
            <c:bubble3D val="0"/>
            <c:spPr>
              <a:solidFill>
                <a:srgbClr val="FF0000">
                  <a:alpha val="13000"/>
                </a:srgbClr>
              </a:solidFill>
              <a:ln>
                <a:noFill/>
              </a:ln>
              <a:effectLst/>
            </c:spPr>
            <c:extLst>
              <c:ext xmlns:c16="http://schemas.microsoft.com/office/drawing/2014/chart" uri="{C3380CC4-5D6E-409C-BE32-E72D297353CC}">
                <c16:uniqueId val="{00000001-31A1-4A44-B60A-53E235F261F3}"/>
              </c:ext>
            </c:extLst>
          </c:dPt>
          <c:dPt>
            <c:idx val="17"/>
            <c:invertIfNegative val="0"/>
            <c:bubble3D val="0"/>
            <c:extLst>
              <c:ext xmlns:c16="http://schemas.microsoft.com/office/drawing/2014/chart" uri="{C3380CC4-5D6E-409C-BE32-E72D297353CC}">
                <c16:uniqueId val="{00000002-31A1-4A44-B60A-53E235F261F3}"/>
              </c:ext>
            </c:extLst>
          </c:dPt>
          <c:dPt>
            <c:idx val="18"/>
            <c:invertIfNegative val="0"/>
            <c:bubble3D val="0"/>
            <c:extLst>
              <c:ext xmlns:c16="http://schemas.microsoft.com/office/drawing/2014/chart" uri="{C3380CC4-5D6E-409C-BE32-E72D297353CC}">
                <c16:uniqueId val="{00000003-31A1-4A44-B60A-53E235F261F3}"/>
              </c:ext>
            </c:extLst>
          </c:dPt>
          <c:dPt>
            <c:idx val="19"/>
            <c:invertIfNegative val="0"/>
            <c:bubble3D val="0"/>
            <c:spPr>
              <a:solidFill>
                <a:srgbClr val="FF0000">
                  <a:alpha val="5000"/>
                </a:srgbClr>
              </a:solidFill>
              <a:ln>
                <a:noFill/>
              </a:ln>
              <a:effectLst/>
            </c:spPr>
            <c:extLst>
              <c:ext xmlns:c16="http://schemas.microsoft.com/office/drawing/2014/chart" uri="{C3380CC4-5D6E-409C-BE32-E72D297353CC}">
                <c16:uniqueId val="{00000005-31A1-4A44-B60A-53E235F261F3}"/>
              </c:ext>
            </c:extLst>
          </c:dPt>
          <c:dPt>
            <c:idx val="20"/>
            <c:invertIfNegative val="0"/>
            <c:bubble3D val="0"/>
            <c:extLst>
              <c:ext xmlns:c16="http://schemas.microsoft.com/office/drawing/2014/chart" uri="{C3380CC4-5D6E-409C-BE32-E72D297353CC}">
                <c16:uniqueId val="{00000006-31A1-4A44-B60A-53E235F261F3}"/>
              </c:ext>
            </c:extLst>
          </c:dPt>
          <c:dPt>
            <c:idx val="21"/>
            <c:invertIfNegative val="0"/>
            <c:bubble3D val="0"/>
            <c:extLst>
              <c:ext xmlns:c16="http://schemas.microsoft.com/office/drawing/2014/chart" uri="{C3380CC4-5D6E-409C-BE32-E72D297353CC}">
                <c16:uniqueId val="{00000007-31A1-4A44-B60A-53E235F261F3}"/>
              </c:ext>
            </c:extLst>
          </c:dPt>
          <c:dPt>
            <c:idx val="22"/>
            <c:invertIfNegative val="0"/>
            <c:bubble3D val="0"/>
            <c:extLst>
              <c:ext xmlns:c16="http://schemas.microsoft.com/office/drawing/2014/chart" uri="{C3380CC4-5D6E-409C-BE32-E72D297353CC}">
                <c16:uniqueId val="{00000008-31A1-4A44-B60A-53E235F261F3}"/>
              </c:ext>
            </c:extLst>
          </c:dPt>
          <c:dPt>
            <c:idx val="23"/>
            <c:invertIfNegative val="0"/>
            <c:bubble3D val="0"/>
            <c:spPr>
              <a:solidFill>
                <a:schemeClr val="accent4">
                  <a:lumMod val="20000"/>
                  <a:lumOff val="80000"/>
                </a:schemeClr>
              </a:solidFill>
              <a:ln>
                <a:noFill/>
              </a:ln>
              <a:effectLst/>
            </c:spPr>
            <c:extLst>
              <c:ext xmlns:c16="http://schemas.microsoft.com/office/drawing/2014/chart" uri="{C3380CC4-5D6E-409C-BE32-E72D297353CC}">
                <c16:uniqueId val="{0000000A-31A1-4A44-B60A-53E235F261F3}"/>
              </c:ext>
            </c:extLst>
          </c:dPt>
          <c:dPt>
            <c:idx val="24"/>
            <c:invertIfNegative val="0"/>
            <c:bubble3D val="0"/>
            <c:spPr>
              <a:solidFill>
                <a:srgbClr val="FF0000">
                  <a:alpha val="5000"/>
                </a:srgbClr>
              </a:solidFill>
              <a:ln>
                <a:noFill/>
              </a:ln>
              <a:effectLst/>
            </c:spPr>
            <c:extLst>
              <c:ext xmlns:c16="http://schemas.microsoft.com/office/drawing/2014/chart" uri="{C3380CC4-5D6E-409C-BE32-E72D297353CC}">
                <c16:uniqueId val="{0000000C-31A1-4A44-B60A-53E235F261F3}"/>
              </c:ext>
            </c:extLst>
          </c:dPt>
          <c:dPt>
            <c:idx val="25"/>
            <c:invertIfNegative val="0"/>
            <c:bubble3D val="0"/>
            <c:spPr>
              <a:solidFill>
                <a:srgbClr val="FF0000">
                  <a:alpha val="10000"/>
                </a:srgbClr>
              </a:solidFill>
              <a:ln>
                <a:noFill/>
              </a:ln>
              <a:effectLst/>
            </c:spPr>
            <c:extLst>
              <c:ext xmlns:c16="http://schemas.microsoft.com/office/drawing/2014/chart" uri="{C3380CC4-5D6E-409C-BE32-E72D297353CC}">
                <c16:uniqueId val="{0000000E-31A1-4A44-B60A-53E235F261F3}"/>
              </c:ext>
            </c:extLst>
          </c:dPt>
          <c:dPt>
            <c:idx val="26"/>
            <c:invertIfNegative val="0"/>
            <c:bubble3D val="0"/>
            <c:spPr>
              <a:solidFill>
                <a:srgbClr val="FF0000">
                  <a:alpha val="13000"/>
                </a:srgbClr>
              </a:solidFill>
              <a:ln>
                <a:noFill/>
              </a:ln>
              <a:effectLst/>
            </c:spPr>
            <c:extLst>
              <c:ext xmlns:c16="http://schemas.microsoft.com/office/drawing/2014/chart" uri="{C3380CC4-5D6E-409C-BE32-E72D297353CC}">
                <c16:uniqueId val="{00000010-31A1-4A44-B60A-53E235F261F3}"/>
              </c:ext>
            </c:extLst>
          </c:dPt>
          <c:dPt>
            <c:idx val="27"/>
            <c:invertIfNegative val="0"/>
            <c:bubble3D val="0"/>
            <c:spPr>
              <a:solidFill>
                <a:srgbClr val="FF0000">
                  <a:alpha val="17000"/>
                </a:srgbClr>
              </a:solidFill>
              <a:ln>
                <a:noFill/>
              </a:ln>
              <a:effectLst/>
            </c:spPr>
            <c:extLst>
              <c:ext xmlns:c16="http://schemas.microsoft.com/office/drawing/2014/chart" uri="{C3380CC4-5D6E-409C-BE32-E72D297353CC}">
                <c16:uniqueId val="{00000012-31A1-4A44-B60A-53E235F261F3}"/>
              </c:ext>
            </c:extLst>
          </c:dPt>
          <c:dPt>
            <c:idx val="28"/>
            <c:invertIfNegative val="0"/>
            <c:bubble3D val="0"/>
            <c:spPr>
              <a:solidFill>
                <a:srgbClr val="FF0000">
                  <a:alpha val="20000"/>
                </a:srgbClr>
              </a:solidFill>
              <a:ln>
                <a:noFill/>
              </a:ln>
              <a:effectLst/>
            </c:spPr>
            <c:extLst>
              <c:ext xmlns:c16="http://schemas.microsoft.com/office/drawing/2014/chart" uri="{C3380CC4-5D6E-409C-BE32-E72D297353CC}">
                <c16:uniqueId val="{00000014-31A1-4A44-B60A-53E235F261F3}"/>
              </c:ext>
            </c:extLst>
          </c:dPt>
          <c:dPt>
            <c:idx val="29"/>
            <c:invertIfNegative val="0"/>
            <c:bubble3D val="0"/>
            <c:spPr>
              <a:solidFill>
                <a:srgbClr val="FF0000">
                  <a:alpha val="22000"/>
                </a:srgbClr>
              </a:solidFill>
              <a:ln>
                <a:noFill/>
              </a:ln>
              <a:effectLst/>
            </c:spPr>
            <c:extLst>
              <c:ext xmlns:c16="http://schemas.microsoft.com/office/drawing/2014/chart" uri="{C3380CC4-5D6E-409C-BE32-E72D297353CC}">
                <c16:uniqueId val="{00000016-31A1-4A44-B60A-53E235F261F3}"/>
              </c:ext>
            </c:extLst>
          </c:dPt>
          <c:dPt>
            <c:idx val="30"/>
            <c:invertIfNegative val="0"/>
            <c:bubble3D val="0"/>
            <c:spPr>
              <a:solidFill>
                <a:srgbClr val="FF0000">
                  <a:alpha val="25000"/>
                </a:srgbClr>
              </a:solidFill>
              <a:ln>
                <a:noFill/>
              </a:ln>
              <a:effectLst/>
            </c:spPr>
            <c:extLst>
              <c:ext xmlns:c16="http://schemas.microsoft.com/office/drawing/2014/chart" uri="{C3380CC4-5D6E-409C-BE32-E72D297353CC}">
                <c16:uniqueId val="{00000018-31A1-4A44-B60A-53E235F261F3}"/>
              </c:ext>
            </c:extLst>
          </c:dPt>
          <c:dPt>
            <c:idx val="31"/>
            <c:invertIfNegative val="0"/>
            <c:bubble3D val="0"/>
            <c:spPr>
              <a:solidFill>
                <a:srgbClr val="FF0000">
                  <a:alpha val="27000"/>
                </a:srgbClr>
              </a:solidFill>
              <a:ln>
                <a:noFill/>
              </a:ln>
              <a:effectLst/>
            </c:spPr>
            <c:extLst>
              <c:ext xmlns:c16="http://schemas.microsoft.com/office/drawing/2014/chart" uri="{C3380CC4-5D6E-409C-BE32-E72D297353CC}">
                <c16:uniqueId val="{0000001A-31A1-4A44-B60A-53E235F261F3}"/>
              </c:ext>
            </c:extLst>
          </c:dPt>
          <c:dPt>
            <c:idx val="32"/>
            <c:invertIfNegative val="0"/>
            <c:bubble3D val="0"/>
            <c:spPr>
              <a:solidFill>
                <a:srgbClr val="FF0000">
                  <a:alpha val="30000"/>
                </a:srgbClr>
              </a:solidFill>
              <a:ln>
                <a:noFill/>
              </a:ln>
              <a:effectLst/>
            </c:spPr>
            <c:extLst>
              <c:ext xmlns:c16="http://schemas.microsoft.com/office/drawing/2014/chart" uri="{C3380CC4-5D6E-409C-BE32-E72D297353CC}">
                <c16:uniqueId val="{0000001C-31A1-4A44-B60A-53E235F261F3}"/>
              </c:ext>
            </c:extLst>
          </c:dPt>
          <c:dPt>
            <c:idx val="33"/>
            <c:invertIfNegative val="0"/>
            <c:bubble3D val="0"/>
            <c:spPr>
              <a:solidFill>
                <a:srgbClr val="FF0000">
                  <a:alpha val="31000"/>
                </a:srgbClr>
              </a:solidFill>
              <a:ln>
                <a:noFill/>
              </a:ln>
              <a:effectLst/>
            </c:spPr>
            <c:extLst>
              <c:ext xmlns:c16="http://schemas.microsoft.com/office/drawing/2014/chart" uri="{C3380CC4-5D6E-409C-BE32-E72D297353CC}">
                <c16:uniqueId val="{0000001E-31A1-4A44-B60A-53E235F261F3}"/>
              </c:ext>
            </c:extLst>
          </c:dPt>
          <c:dPt>
            <c:idx val="34"/>
            <c:invertIfNegative val="0"/>
            <c:bubble3D val="0"/>
            <c:spPr>
              <a:solidFill>
                <a:srgbClr val="FF0000">
                  <a:alpha val="33000"/>
                </a:srgbClr>
              </a:solidFill>
              <a:ln>
                <a:noFill/>
              </a:ln>
              <a:effectLst/>
            </c:spPr>
            <c:extLst>
              <c:ext xmlns:c16="http://schemas.microsoft.com/office/drawing/2014/chart" uri="{C3380CC4-5D6E-409C-BE32-E72D297353CC}">
                <c16:uniqueId val="{00000020-31A1-4A44-B60A-53E235F261F3}"/>
              </c:ext>
            </c:extLst>
          </c:dPt>
          <c:dPt>
            <c:idx val="35"/>
            <c:invertIfNegative val="0"/>
            <c:bubble3D val="0"/>
            <c:spPr>
              <a:solidFill>
                <a:srgbClr val="FF0000">
                  <a:alpha val="35000"/>
                </a:srgbClr>
              </a:solidFill>
              <a:ln>
                <a:noFill/>
              </a:ln>
              <a:effectLst/>
            </c:spPr>
            <c:extLst>
              <c:ext xmlns:c16="http://schemas.microsoft.com/office/drawing/2014/chart" uri="{C3380CC4-5D6E-409C-BE32-E72D297353CC}">
                <c16:uniqueId val="{00000022-31A1-4A44-B60A-53E235F261F3}"/>
              </c:ext>
            </c:extLst>
          </c:dPt>
          <c:dPt>
            <c:idx val="36"/>
            <c:invertIfNegative val="0"/>
            <c:bubble3D val="0"/>
            <c:spPr>
              <a:solidFill>
                <a:srgbClr val="FF0000">
                  <a:alpha val="37000"/>
                </a:srgbClr>
              </a:solidFill>
              <a:ln>
                <a:noFill/>
              </a:ln>
              <a:effectLst/>
            </c:spPr>
            <c:extLst>
              <c:ext xmlns:c16="http://schemas.microsoft.com/office/drawing/2014/chart" uri="{C3380CC4-5D6E-409C-BE32-E72D297353CC}">
                <c16:uniqueId val="{00000024-31A1-4A44-B60A-53E235F261F3}"/>
              </c:ext>
            </c:extLst>
          </c:dPt>
          <c:dPt>
            <c:idx val="37"/>
            <c:invertIfNegative val="0"/>
            <c:bubble3D val="0"/>
            <c:spPr>
              <a:solidFill>
                <a:srgbClr val="FF0000">
                  <a:alpha val="39000"/>
                </a:srgbClr>
              </a:solidFill>
              <a:ln>
                <a:noFill/>
              </a:ln>
              <a:effectLst/>
            </c:spPr>
            <c:extLst>
              <c:ext xmlns:c16="http://schemas.microsoft.com/office/drawing/2014/chart" uri="{C3380CC4-5D6E-409C-BE32-E72D297353CC}">
                <c16:uniqueId val="{00000026-31A1-4A44-B60A-53E235F261F3}"/>
              </c:ext>
            </c:extLst>
          </c:dPt>
          <c:dPt>
            <c:idx val="38"/>
            <c:invertIfNegative val="0"/>
            <c:bubble3D val="0"/>
            <c:spPr>
              <a:solidFill>
                <a:srgbClr val="FF0000">
                  <a:alpha val="40000"/>
                </a:srgbClr>
              </a:solidFill>
              <a:ln>
                <a:noFill/>
              </a:ln>
              <a:effectLst/>
            </c:spPr>
            <c:extLst>
              <c:ext xmlns:c16="http://schemas.microsoft.com/office/drawing/2014/chart" uri="{C3380CC4-5D6E-409C-BE32-E72D297353CC}">
                <c16:uniqueId val="{00000028-31A1-4A44-B60A-53E235F261F3}"/>
              </c:ext>
            </c:extLst>
          </c:dPt>
          <c:dPt>
            <c:idx val="39"/>
            <c:invertIfNegative val="0"/>
            <c:bubble3D val="0"/>
            <c:spPr>
              <a:solidFill>
                <a:srgbClr val="FF0000">
                  <a:alpha val="41000"/>
                </a:srgbClr>
              </a:solidFill>
              <a:ln>
                <a:noFill/>
              </a:ln>
              <a:effectLst/>
            </c:spPr>
            <c:extLst>
              <c:ext xmlns:c16="http://schemas.microsoft.com/office/drawing/2014/chart" uri="{C3380CC4-5D6E-409C-BE32-E72D297353CC}">
                <c16:uniqueId val="{0000002A-31A1-4A44-B60A-53E235F261F3}"/>
              </c:ext>
            </c:extLst>
          </c:dPt>
          <c:dPt>
            <c:idx val="40"/>
            <c:invertIfNegative val="0"/>
            <c:bubble3D val="0"/>
            <c:spPr>
              <a:solidFill>
                <a:srgbClr val="FF0000">
                  <a:alpha val="42000"/>
                </a:srgbClr>
              </a:solidFill>
              <a:ln>
                <a:noFill/>
              </a:ln>
              <a:effectLst/>
            </c:spPr>
            <c:extLst>
              <c:ext xmlns:c16="http://schemas.microsoft.com/office/drawing/2014/chart" uri="{C3380CC4-5D6E-409C-BE32-E72D297353CC}">
                <c16:uniqueId val="{0000002C-31A1-4A44-B60A-53E235F261F3}"/>
              </c:ext>
            </c:extLst>
          </c:dPt>
          <c:dLbls>
            <c:dLbl>
              <c:idx val="0"/>
              <c:tx>
                <c:rich>
                  <a:bodyPr/>
                  <a:lstStyle/>
                  <a:p>
                    <a:fld id="{E22F6CD6-46E2-4BCF-ADBD-6F3605A5DBDB}" type="CELLRANGE">
                      <a:rPr lang="en-US"/>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31A1-4A44-B60A-53E235F261F3}"/>
                </c:ext>
              </c:extLst>
            </c:dLbl>
            <c:dLbl>
              <c:idx val="1"/>
              <c:tx>
                <c:rich>
                  <a:bodyPr/>
                  <a:lstStyle/>
                  <a:p>
                    <a:fld id="{9E326024-2DCF-4BC6-927E-D77979E0D727}"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E-31A1-4A44-B60A-53E235F261F3}"/>
                </c:ext>
              </c:extLst>
            </c:dLbl>
            <c:dLbl>
              <c:idx val="2"/>
              <c:tx>
                <c:rich>
                  <a:bodyPr/>
                  <a:lstStyle/>
                  <a:p>
                    <a:fld id="{AAC8F2D0-7B1E-4F8B-9304-7BEB92B38F0B}"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F-31A1-4A44-B60A-53E235F261F3}"/>
                </c:ext>
              </c:extLst>
            </c:dLbl>
            <c:dLbl>
              <c:idx val="3"/>
              <c:tx>
                <c:rich>
                  <a:bodyPr/>
                  <a:lstStyle/>
                  <a:p>
                    <a:fld id="{B45A4A03-27E2-441C-A206-7F095CFB7AD7}"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0-31A1-4A44-B60A-53E235F261F3}"/>
                </c:ext>
              </c:extLst>
            </c:dLbl>
            <c:dLbl>
              <c:idx val="4"/>
              <c:tx>
                <c:rich>
                  <a:bodyPr/>
                  <a:lstStyle/>
                  <a:p>
                    <a:fld id="{B7DDB008-0844-48E5-93D4-2954F1547433}"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1-31A1-4A44-B60A-53E235F261F3}"/>
                </c:ext>
              </c:extLst>
            </c:dLbl>
            <c:dLbl>
              <c:idx val="5"/>
              <c:tx>
                <c:rich>
                  <a:bodyPr/>
                  <a:lstStyle/>
                  <a:p>
                    <a:fld id="{5B488C5C-4CBC-49B3-96C9-5B80739319A7}"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2-31A1-4A44-B60A-53E235F261F3}"/>
                </c:ext>
              </c:extLst>
            </c:dLbl>
            <c:dLbl>
              <c:idx val="6"/>
              <c:tx>
                <c:rich>
                  <a:bodyPr/>
                  <a:lstStyle/>
                  <a:p>
                    <a:fld id="{8BB74516-A6D0-4394-AC81-E4BC9BD86CA0}"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3-31A1-4A44-B60A-53E235F261F3}"/>
                </c:ext>
              </c:extLst>
            </c:dLbl>
            <c:dLbl>
              <c:idx val="7"/>
              <c:tx>
                <c:rich>
                  <a:bodyPr/>
                  <a:lstStyle/>
                  <a:p>
                    <a:fld id="{00646F8B-7CCA-4BF5-8748-0F75F418A3E3}"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1A1-4A44-B60A-53E235F261F3}"/>
                </c:ext>
              </c:extLst>
            </c:dLbl>
            <c:dLbl>
              <c:idx val="8"/>
              <c:tx>
                <c:rich>
                  <a:bodyPr/>
                  <a:lstStyle/>
                  <a:p>
                    <a:fld id="{DD57BE2E-00CD-4341-A299-8A1AE164A5EF}"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4-31A1-4A44-B60A-53E235F261F3}"/>
                </c:ext>
              </c:extLst>
            </c:dLbl>
            <c:dLbl>
              <c:idx val="9"/>
              <c:tx>
                <c:rich>
                  <a:bodyPr/>
                  <a:lstStyle/>
                  <a:p>
                    <a:fld id="{6E8E267B-1711-4871-8692-97AA031A1E1B}"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5-31A1-4A44-B60A-53E235F261F3}"/>
                </c:ext>
              </c:extLst>
            </c:dLbl>
            <c:dLbl>
              <c:idx val="10"/>
              <c:tx>
                <c:rich>
                  <a:bodyPr/>
                  <a:lstStyle/>
                  <a:p>
                    <a:fld id="{A5406071-8E45-4060-931D-7BFBBEBAAEC5}"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31A1-4A44-B60A-53E235F261F3}"/>
                </c:ext>
              </c:extLst>
            </c:dLbl>
            <c:dLbl>
              <c:idx val="11"/>
              <c:tx>
                <c:rich>
                  <a:bodyPr/>
                  <a:lstStyle/>
                  <a:p>
                    <a:fld id="{76B93DC5-9D9B-49CF-9634-86AA27DE1650}"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7-31A1-4A44-B60A-53E235F261F3}"/>
                </c:ext>
              </c:extLst>
            </c:dLbl>
            <c:dLbl>
              <c:idx val="12"/>
              <c:tx>
                <c:rich>
                  <a:bodyPr/>
                  <a:lstStyle/>
                  <a:p>
                    <a:fld id="{385A6D78-4EAF-48B9-9D80-40537D5304D5}"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8-31A1-4A44-B60A-53E235F261F3}"/>
                </c:ext>
              </c:extLst>
            </c:dLbl>
            <c:dLbl>
              <c:idx val="13"/>
              <c:tx>
                <c:rich>
                  <a:bodyPr/>
                  <a:lstStyle/>
                  <a:p>
                    <a:fld id="{FA2ADE35-5475-45A6-A6E6-22D2A44C933E}"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9-31A1-4A44-B60A-53E235F261F3}"/>
                </c:ext>
              </c:extLst>
            </c:dLbl>
            <c:dLbl>
              <c:idx val="14"/>
              <c:tx>
                <c:rich>
                  <a:bodyPr/>
                  <a:lstStyle/>
                  <a:p>
                    <a:fld id="{823DE8D6-49B1-463F-B152-C507F1B97C02}"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A-31A1-4A44-B60A-53E235F261F3}"/>
                </c:ext>
              </c:extLst>
            </c:dLbl>
            <c:dLbl>
              <c:idx val="15"/>
              <c:tx>
                <c:rich>
                  <a:bodyPr/>
                  <a:lstStyle/>
                  <a:p>
                    <a:fld id="{B28202AC-622E-43D3-9191-FCBDDC42EA9F}"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B-31A1-4A44-B60A-53E235F261F3}"/>
                </c:ext>
              </c:extLst>
            </c:dLbl>
            <c:dLbl>
              <c:idx val="16"/>
              <c:tx>
                <c:rich>
                  <a:bodyPr/>
                  <a:lstStyle/>
                  <a:p>
                    <a:fld id="{08883C4D-4507-46D3-A476-051562D32E88}"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C-31A1-4A44-B60A-53E235F261F3}"/>
                </c:ext>
              </c:extLst>
            </c:dLbl>
            <c:dLbl>
              <c:idx val="17"/>
              <c:tx>
                <c:rich>
                  <a:bodyPr/>
                  <a:lstStyle/>
                  <a:p>
                    <a:fld id="{F94EC783-03BD-4CA4-953A-B7ED3EE8FFD5}"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31A1-4A44-B60A-53E235F261F3}"/>
                </c:ext>
              </c:extLst>
            </c:dLbl>
            <c:dLbl>
              <c:idx val="18"/>
              <c:tx>
                <c:rich>
                  <a:bodyPr/>
                  <a:lstStyle/>
                  <a:p>
                    <a:fld id="{35A6E5AF-4450-481A-90A5-D3908A8E96A6}"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31A1-4A44-B60A-53E235F261F3}"/>
                </c:ext>
              </c:extLst>
            </c:dLbl>
            <c:dLbl>
              <c:idx val="19"/>
              <c:tx>
                <c:rich>
                  <a:bodyPr/>
                  <a:lstStyle/>
                  <a:p>
                    <a:fld id="{24B5A029-2B1A-4089-8949-4B458C1DCB5B}"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31A1-4A44-B60A-53E235F261F3}"/>
                </c:ext>
              </c:extLst>
            </c:dLbl>
            <c:dLbl>
              <c:idx val="20"/>
              <c:tx>
                <c:rich>
                  <a:bodyPr/>
                  <a:lstStyle/>
                  <a:p>
                    <a:fld id="{9D33CD2E-FDF7-4840-9E69-99D488D156CB}"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31A1-4A44-B60A-53E235F261F3}"/>
                </c:ext>
              </c:extLst>
            </c:dLbl>
            <c:dLbl>
              <c:idx val="21"/>
              <c:tx>
                <c:rich>
                  <a:bodyPr/>
                  <a:lstStyle/>
                  <a:p>
                    <a:fld id="{12FCA31E-4E9D-41B9-9D92-25AE6811876C}" type="CELLRANGE">
                      <a:rPr lang="lv-LV"/>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31A1-4A44-B60A-53E235F261F3}"/>
                </c:ext>
              </c:extLst>
            </c:dLbl>
            <c:dLbl>
              <c:idx val="22"/>
              <c:tx>
                <c:rich>
                  <a:bodyPr/>
                  <a:lstStyle/>
                  <a:p>
                    <a:fld id="{F9D7FE77-1A87-4CC2-8583-9B085A7D25D5}"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31A1-4A44-B60A-53E235F261F3}"/>
                </c:ext>
              </c:extLst>
            </c:dLbl>
            <c:dLbl>
              <c:idx val="23"/>
              <c:layout>
                <c:manualLayout>
                  <c:x val="-8.0842780498506403E-17"/>
                  <c:y val="0.16183441058787307"/>
                </c:manualLayout>
              </c:layout>
              <c:tx>
                <c:rich>
                  <a:bodyPr/>
                  <a:lstStyle/>
                  <a:p>
                    <a:fld id="{33B0F937-9BEE-4885-BBAE-93D02738E6B8}"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31A1-4A44-B60A-53E235F261F3}"/>
                </c:ext>
              </c:extLst>
            </c:dLbl>
            <c:dLbl>
              <c:idx val="24"/>
              <c:tx>
                <c:rich>
                  <a:bodyPr/>
                  <a:lstStyle/>
                  <a:p>
                    <a:fld id="{44F227AD-DEE0-4CFA-AE71-BF344D4D328E}"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31A1-4A44-B60A-53E235F261F3}"/>
                </c:ext>
              </c:extLst>
            </c:dLbl>
            <c:dLbl>
              <c:idx val="25"/>
              <c:tx>
                <c:rich>
                  <a:bodyPr/>
                  <a:lstStyle/>
                  <a:p>
                    <a:fld id="{19494711-F759-4C0E-A4F2-60D00A190886}"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31A1-4A44-B60A-53E235F261F3}"/>
                </c:ext>
              </c:extLst>
            </c:dLbl>
            <c:dLbl>
              <c:idx val="26"/>
              <c:tx>
                <c:rich>
                  <a:bodyPr/>
                  <a:lstStyle/>
                  <a:p>
                    <a:fld id="{CBBCB529-F978-477E-ADA5-13528098AC0A}"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31A1-4A44-B60A-53E235F261F3}"/>
                </c:ext>
              </c:extLst>
            </c:dLbl>
            <c:dLbl>
              <c:idx val="27"/>
              <c:tx>
                <c:rich>
                  <a:bodyPr/>
                  <a:lstStyle/>
                  <a:p>
                    <a:fld id="{DC749DEA-2021-4818-9279-E3FA9D68F70D}"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31A1-4A44-B60A-53E235F261F3}"/>
                </c:ext>
              </c:extLst>
            </c:dLbl>
            <c:dLbl>
              <c:idx val="28"/>
              <c:tx>
                <c:rich>
                  <a:bodyPr/>
                  <a:lstStyle/>
                  <a:p>
                    <a:fld id="{A43B2E3E-50EA-44B1-8B69-0F67CE558DA7}"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31A1-4A44-B60A-53E235F261F3}"/>
                </c:ext>
              </c:extLst>
            </c:dLbl>
            <c:dLbl>
              <c:idx val="29"/>
              <c:tx>
                <c:rich>
                  <a:bodyPr/>
                  <a:lstStyle/>
                  <a:p>
                    <a:fld id="{E0ECB4BF-EB67-4452-A19C-EB928217211D}"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31A1-4A44-B60A-53E235F261F3}"/>
                </c:ext>
              </c:extLst>
            </c:dLbl>
            <c:dLbl>
              <c:idx val="30"/>
              <c:layout>
                <c:manualLayout>
                  <c:x val="0"/>
                  <c:y val="0.16183441058787307"/>
                </c:manualLayout>
              </c:layout>
              <c:tx>
                <c:rich>
                  <a:bodyPr/>
                  <a:lstStyle/>
                  <a:p>
                    <a:fld id="{B2213B43-46A6-4636-A32A-BA3A12BF2CC0}"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31A1-4A44-B60A-53E235F261F3}"/>
                </c:ext>
              </c:extLst>
            </c:dLbl>
            <c:dLbl>
              <c:idx val="31"/>
              <c:tx>
                <c:rich>
                  <a:bodyPr/>
                  <a:lstStyle/>
                  <a:p>
                    <a:fld id="{72C486DB-C946-4D9F-A9BF-2E824587CA1F}"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31A1-4A44-B60A-53E235F261F3}"/>
                </c:ext>
              </c:extLst>
            </c:dLbl>
            <c:dLbl>
              <c:idx val="32"/>
              <c:tx>
                <c:rich>
                  <a:bodyPr/>
                  <a:lstStyle/>
                  <a:p>
                    <a:fld id="{4A3B1590-4F5D-4DD8-802F-421092EA756C}"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31A1-4A44-B60A-53E235F261F3}"/>
                </c:ext>
              </c:extLst>
            </c:dLbl>
            <c:dLbl>
              <c:idx val="33"/>
              <c:tx>
                <c:rich>
                  <a:bodyPr/>
                  <a:lstStyle/>
                  <a:p>
                    <a:fld id="{7AE8D06D-1892-479E-A7AF-908188279700}"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31A1-4A44-B60A-53E235F261F3}"/>
                </c:ext>
              </c:extLst>
            </c:dLbl>
            <c:dLbl>
              <c:idx val="34"/>
              <c:tx>
                <c:rich>
                  <a:bodyPr/>
                  <a:lstStyle/>
                  <a:p>
                    <a:fld id="{6C2684BD-0C81-4E9D-8E54-2FC274A68D40}"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31A1-4A44-B60A-53E235F261F3}"/>
                </c:ext>
              </c:extLst>
            </c:dLbl>
            <c:dLbl>
              <c:idx val="35"/>
              <c:tx>
                <c:rich>
                  <a:bodyPr/>
                  <a:lstStyle/>
                  <a:p>
                    <a:fld id="{67EAE034-2E4C-42CF-8470-252807BBB9F1}"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31A1-4A44-B60A-53E235F261F3}"/>
                </c:ext>
              </c:extLst>
            </c:dLbl>
            <c:dLbl>
              <c:idx val="36"/>
              <c:tx>
                <c:rich>
                  <a:bodyPr/>
                  <a:lstStyle/>
                  <a:p>
                    <a:fld id="{7003CF7E-C0F1-4D24-8402-4BB15A7EAC2A}"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31A1-4A44-B60A-53E235F261F3}"/>
                </c:ext>
              </c:extLst>
            </c:dLbl>
            <c:dLbl>
              <c:idx val="37"/>
              <c:tx>
                <c:rich>
                  <a:bodyPr/>
                  <a:lstStyle/>
                  <a:p>
                    <a:fld id="{8F79E5B5-74F0-4994-B70B-80A1A3BAB625}"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31A1-4A44-B60A-53E235F261F3}"/>
                </c:ext>
              </c:extLst>
            </c:dLbl>
            <c:dLbl>
              <c:idx val="38"/>
              <c:tx>
                <c:rich>
                  <a:bodyPr/>
                  <a:lstStyle/>
                  <a:p>
                    <a:fld id="{A5053396-D0F3-4806-83CB-253F9FAFBE69}"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31A1-4A44-B60A-53E235F261F3}"/>
                </c:ext>
              </c:extLst>
            </c:dLbl>
            <c:dLbl>
              <c:idx val="39"/>
              <c:tx>
                <c:rich>
                  <a:bodyPr/>
                  <a:lstStyle/>
                  <a:p>
                    <a:fld id="{E8B18812-65F0-4993-9304-F1B6C9A897F4}" type="CELLRANGE">
                      <a:rPr lang="en-GB"/>
                      <a:pPr/>
                      <a:t>[CELLRANGE]</a:t>
                    </a:fld>
                    <a:endParaRPr lang="lv-LV"/>
                  </a:p>
                </c:rich>
              </c:tx>
              <c:dLblPos val="in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31A1-4A44-B60A-53E235F261F3}"/>
                </c:ext>
              </c:extLst>
            </c:dLbl>
            <c:dLbl>
              <c:idx val="40"/>
              <c:layout>
                <c:manualLayout>
                  <c:x val="-1.6168556099701281E-16"/>
                  <c:y val="0.14952293013234841"/>
                </c:manualLayout>
              </c:layout>
              <c:tx>
                <c:rich>
                  <a:bodyPr/>
                  <a:lstStyle/>
                  <a:p>
                    <a:fld id="{CF6097F5-7342-4080-B315-1CC6A546C7E0}"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31A1-4A44-B60A-53E235F261F3}"/>
                </c:ext>
              </c:extLst>
            </c:dLbl>
            <c:spPr>
              <a:noFill/>
              <a:ln>
                <a:noFill/>
              </a:ln>
              <a:effectLst/>
            </c:spPr>
            <c:txPr>
              <a:bodyPr rot="-540000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Segoe UI Light" panose="020B0502040204020203" pitchFamily="34" charset="0"/>
                  </a:defRPr>
                </a:pPr>
                <a:endParaRPr lang="lv-LV"/>
              </a:p>
            </c:txPr>
            <c:dLblPos val="in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6350" cap="flat" cmpd="sng" algn="ctr">
                      <a:solidFill>
                        <a:schemeClr val="tx1"/>
                      </a:solidFill>
                      <a:prstDash val="solid"/>
                      <a:round/>
                    </a:ln>
                    <a:effectLst/>
                  </c:spPr>
                </c15:leaderLines>
              </c:ext>
            </c:extLst>
          </c:dLbls>
          <c:cat>
            <c:numRef>
              <c:f>Sheet1!$B$1:$AP$1</c:f>
              <c:numCache>
                <c:formatCode>0</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Sheet1!$B$3:$AP$3</c:f>
              <c:numCache>
                <c:formatCode>0</c:formatCode>
                <c:ptCount val="41"/>
                <c:pt idx="0">
                  <c:v>1097.3</c:v>
                </c:pt>
                <c:pt idx="1">
                  <c:v>1081.8</c:v>
                </c:pt>
                <c:pt idx="2">
                  <c:v>1091.7</c:v>
                </c:pt>
                <c:pt idx="3">
                  <c:v>1088.8</c:v>
                </c:pt>
                <c:pt idx="4">
                  <c:v>1092.0999999999999</c:v>
                </c:pt>
                <c:pt idx="5">
                  <c:v>1080.8</c:v>
                </c:pt>
                <c:pt idx="6">
                  <c:v>1108.9000000000001</c:v>
                </c:pt>
                <c:pt idx="7">
                  <c:v>1125.5</c:v>
                </c:pt>
                <c:pt idx="8">
                  <c:v>1143.4000000000001</c:v>
                </c:pt>
                <c:pt idx="9">
                  <c:v>1101.4000000000001</c:v>
                </c:pt>
                <c:pt idx="10">
                  <c:v>1056.5</c:v>
                </c:pt>
                <c:pt idx="11">
                  <c:v>1028.2</c:v>
                </c:pt>
                <c:pt idx="12">
                  <c:v>1030.7</c:v>
                </c:pt>
                <c:pt idx="13">
                  <c:v>1014.3</c:v>
                </c:pt>
                <c:pt idx="14">
                  <c:v>992.3</c:v>
                </c:pt>
                <c:pt idx="15">
                  <c:v>994.2</c:v>
                </c:pt>
                <c:pt idx="16">
                  <c:v>988.6</c:v>
                </c:pt>
                <c:pt idx="17">
                  <c:v>980.3</c:v>
                </c:pt>
                <c:pt idx="18">
                  <c:v>982.17419000000018</c:v>
                </c:pt>
                <c:pt idx="19">
                  <c:v>971.34152000000017</c:v>
                </c:pt>
                <c:pt idx="20">
                  <c:v>971.67090500000006</c:v>
                </c:pt>
                <c:pt idx="21">
                  <c:v>934.62000892500009</c:v>
                </c:pt>
                <c:pt idx="22">
                  <c:v>951.32326502500007</c:v>
                </c:pt>
                <c:pt idx="23">
                  <c:v>945.67088770000078</c:v>
                </c:pt>
                <c:pt idx="24">
                  <c:v>944.18400670695462</c:v>
                </c:pt>
                <c:pt idx="25">
                  <c:v>944.70717278663153</c:v>
                </c:pt>
                <c:pt idx="26">
                  <c:v>946.76879391565683</c:v>
                </c:pt>
                <c:pt idx="27">
                  <c:v>952.55205657386398</c:v>
                </c:pt>
                <c:pt idx="28">
                  <c:v>958.30053576863622</c:v>
                </c:pt>
                <c:pt idx="29">
                  <c:v>960.28783775974466</c:v>
                </c:pt>
                <c:pt idx="30">
                  <c:v>960.12741015346467</c:v>
                </c:pt>
                <c:pt idx="31">
                  <c:v>957.87394162908265</c:v>
                </c:pt>
                <c:pt idx="32">
                  <c:v>956.26428071730174</c:v>
                </c:pt>
                <c:pt idx="33">
                  <c:v>953.29733297703467</c:v>
                </c:pt>
                <c:pt idx="34">
                  <c:v>950.91015803154517</c:v>
                </c:pt>
                <c:pt idx="35">
                  <c:v>949.00724017726679</c:v>
                </c:pt>
                <c:pt idx="36">
                  <c:v>946.91137342970649</c:v>
                </c:pt>
                <c:pt idx="37">
                  <c:v>944.82262462555059</c:v>
                </c:pt>
                <c:pt idx="38">
                  <c:v>942.2077574795735</c:v>
                </c:pt>
                <c:pt idx="39">
                  <c:v>939.43642719148488</c:v>
                </c:pt>
                <c:pt idx="40">
                  <c:v>936.32811136897124</c:v>
                </c:pt>
              </c:numCache>
            </c:numRef>
          </c:val>
          <c:extLst>
            <c:ext xmlns:c15="http://schemas.microsoft.com/office/drawing/2012/chart" uri="{02D57815-91ED-43cb-92C2-25804820EDAC}">
              <c15:datalabelsRange>
                <c15:f>Sheet1!$B$7:$AP$7</c15:f>
                <c15:dlblRangeCache>
                  <c:ptCount val="41"/>
                  <c:pt idx="7">
                    <c:v>6,1%</c:v>
                  </c:pt>
                  <c:pt idx="10">
                    <c:v>19,5%</c:v>
                  </c:pt>
                  <c:pt idx="19">
                    <c:v>6,3%</c:v>
                  </c:pt>
                  <c:pt idx="21">
                    <c:v>7,6%</c:v>
                  </c:pt>
                  <c:pt idx="23">
                    <c:v>6,5%</c:v>
                  </c:pt>
                  <c:pt idx="30">
                    <c:v>5,5%</c:v>
                  </c:pt>
                  <c:pt idx="40">
                    <c:v>5,0%</c:v>
                  </c:pt>
                </c15:dlblRangeCache>
              </c15:datalabelsRange>
            </c:ext>
            <c:ext xmlns:c16="http://schemas.microsoft.com/office/drawing/2014/chart" uri="{C3380CC4-5D6E-409C-BE32-E72D297353CC}">
              <c16:uniqueId val="{0000003D-31A1-4A44-B60A-53E235F261F3}"/>
            </c:ext>
          </c:extLst>
        </c:ser>
        <c:ser>
          <c:idx val="4"/>
          <c:order val="1"/>
          <c:tx>
            <c:strRef>
              <c:f>Sheet1!$A$2</c:f>
              <c:strCache>
                <c:ptCount val="1"/>
                <c:pt idx="0">
                  <c:v>Pieprasījums pēc darbaspēka</c:v>
                </c:pt>
              </c:strCache>
            </c:strRef>
          </c:tx>
          <c:spPr>
            <a:solidFill>
              <a:schemeClr val="bg1"/>
            </a:solidFill>
            <a:ln>
              <a:noFill/>
            </a:ln>
            <a:effectLst/>
          </c:spPr>
          <c:invertIfNegative val="0"/>
          <c:dPt>
            <c:idx val="13"/>
            <c:invertIfNegative val="0"/>
            <c:bubble3D val="0"/>
            <c:spPr>
              <a:solidFill>
                <a:schemeClr val="bg1"/>
              </a:solidFill>
              <a:ln>
                <a:noFill/>
              </a:ln>
              <a:effectLst/>
            </c:spPr>
            <c:extLst>
              <c:ext xmlns:c16="http://schemas.microsoft.com/office/drawing/2014/chart" uri="{C3380CC4-5D6E-409C-BE32-E72D297353CC}">
                <c16:uniqueId val="{0000003F-31A1-4A44-B60A-53E235F261F3}"/>
              </c:ext>
            </c:extLst>
          </c:dPt>
          <c:dPt>
            <c:idx val="17"/>
            <c:invertIfNegative val="0"/>
            <c:bubble3D val="0"/>
            <c:extLst>
              <c:ext xmlns:c16="http://schemas.microsoft.com/office/drawing/2014/chart" uri="{C3380CC4-5D6E-409C-BE32-E72D297353CC}">
                <c16:uniqueId val="{00000040-31A1-4A44-B60A-53E235F261F3}"/>
              </c:ext>
            </c:extLst>
          </c:dPt>
          <c:dPt>
            <c:idx val="18"/>
            <c:invertIfNegative val="0"/>
            <c:bubble3D val="0"/>
            <c:extLst>
              <c:ext xmlns:c16="http://schemas.microsoft.com/office/drawing/2014/chart" uri="{C3380CC4-5D6E-409C-BE32-E72D297353CC}">
                <c16:uniqueId val="{00000041-31A1-4A44-B60A-53E235F261F3}"/>
              </c:ext>
            </c:extLst>
          </c:dPt>
          <c:dPt>
            <c:idx val="19"/>
            <c:invertIfNegative val="0"/>
            <c:bubble3D val="0"/>
            <c:extLst>
              <c:ext xmlns:c16="http://schemas.microsoft.com/office/drawing/2014/chart" uri="{C3380CC4-5D6E-409C-BE32-E72D297353CC}">
                <c16:uniqueId val="{00000042-31A1-4A44-B60A-53E235F261F3}"/>
              </c:ext>
            </c:extLst>
          </c:dPt>
          <c:dPt>
            <c:idx val="20"/>
            <c:invertIfNegative val="0"/>
            <c:bubble3D val="0"/>
            <c:extLst>
              <c:ext xmlns:c16="http://schemas.microsoft.com/office/drawing/2014/chart" uri="{C3380CC4-5D6E-409C-BE32-E72D297353CC}">
                <c16:uniqueId val="{00000043-31A1-4A44-B60A-53E235F261F3}"/>
              </c:ext>
            </c:extLst>
          </c:dPt>
          <c:dPt>
            <c:idx val="21"/>
            <c:invertIfNegative val="0"/>
            <c:bubble3D val="0"/>
            <c:extLst>
              <c:ext xmlns:c16="http://schemas.microsoft.com/office/drawing/2014/chart" uri="{C3380CC4-5D6E-409C-BE32-E72D297353CC}">
                <c16:uniqueId val="{00000044-31A1-4A44-B60A-53E235F261F3}"/>
              </c:ext>
            </c:extLst>
          </c:dPt>
          <c:dPt>
            <c:idx val="22"/>
            <c:invertIfNegative val="0"/>
            <c:bubble3D val="0"/>
            <c:extLst>
              <c:ext xmlns:c16="http://schemas.microsoft.com/office/drawing/2014/chart" uri="{C3380CC4-5D6E-409C-BE32-E72D297353CC}">
                <c16:uniqueId val="{00000045-31A1-4A44-B60A-53E235F261F3}"/>
              </c:ext>
            </c:extLst>
          </c:dPt>
          <c:dPt>
            <c:idx val="23"/>
            <c:invertIfNegative val="0"/>
            <c:bubble3D val="0"/>
            <c:spPr>
              <a:solidFill>
                <a:schemeClr val="bg1"/>
              </a:solidFill>
              <a:ln>
                <a:noFill/>
              </a:ln>
              <a:effectLst/>
            </c:spPr>
            <c:extLst>
              <c:ext xmlns:c16="http://schemas.microsoft.com/office/drawing/2014/chart" uri="{C3380CC4-5D6E-409C-BE32-E72D297353CC}">
                <c16:uniqueId val="{00000047-31A1-4A44-B60A-53E235F261F3}"/>
              </c:ext>
            </c:extLst>
          </c:dPt>
          <c:dPt>
            <c:idx val="24"/>
            <c:invertIfNegative val="0"/>
            <c:bubble3D val="0"/>
            <c:spPr>
              <a:solidFill>
                <a:schemeClr val="bg1"/>
              </a:solidFill>
              <a:ln>
                <a:noFill/>
              </a:ln>
              <a:effectLst/>
            </c:spPr>
            <c:extLst>
              <c:ext xmlns:c16="http://schemas.microsoft.com/office/drawing/2014/chart" uri="{C3380CC4-5D6E-409C-BE32-E72D297353CC}">
                <c16:uniqueId val="{00000049-31A1-4A44-B60A-53E235F261F3}"/>
              </c:ext>
            </c:extLst>
          </c:dPt>
          <c:dPt>
            <c:idx val="25"/>
            <c:invertIfNegative val="0"/>
            <c:bubble3D val="0"/>
            <c:spPr>
              <a:solidFill>
                <a:schemeClr val="bg1"/>
              </a:solidFill>
              <a:ln>
                <a:noFill/>
              </a:ln>
              <a:effectLst/>
            </c:spPr>
            <c:extLst>
              <c:ext xmlns:c16="http://schemas.microsoft.com/office/drawing/2014/chart" uri="{C3380CC4-5D6E-409C-BE32-E72D297353CC}">
                <c16:uniqueId val="{0000004B-31A1-4A44-B60A-53E235F261F3}"/>
              </c:ext>
            </c:extLst>
          </c:dPt>
          <c:dPt>
            <c:idx val="26"/>
            <c:invertIfNegative val="0"/>
            <c:bubble3D val="0"/>
            <c:spPr>
              <a:solidFill>
                <a:schemeClr val="bg1"/>
              </a:solidFill>
              <a:ln>
                <a:noFill/>
              </a:ln>
              <a:effectLst/>
            </c:spPr>
            <c:extLst>
              <c:ext xmlns:c16="http://schemas.microsoft.com/office/drawing/2014/chart" uri="{C3380CC4-5D6E-409C-BE32-E72D297353CC}">
                <c16:uniqueId val="{0000004D-31A1-4A44-B60A-53E235F261F3}"/>
              </c:ext>
            </c:extLst>
          </c:dPt>
          <c:dPt>
            <c:idx val="27"/>
            <c:invertIfNegative val="0"/>
            <c:bubble3D val="0"/>
            <c:spPr>
              <a:solidFill>
                <a:schemeClr val="bg1"/>
              </a:solidFill>
              <a:ln>
                <a:noFill/>
              </a:ln>
              <a:effectLst/>
            </c:spPr>
            <c:extLst>
              <c:ext xmlns:c16="http://schemas.microsoft.com/office/drawing/2014/chart" uri="{C3380CC4-5D6E-409C-BE32-E72D297353CC}">
                <c16:uniqueId val="{0000004F-31A1-4A44-B60A-53E235F261F3}"/>
              </c:ext>
            </c:extLst>
          </c:dPt>
          <c:dPt>
            <c:idx val="28"/>
            <c:invertIfNegative val="0"/>
            <c:bubble3D val="0"/>
            <c:spPr>
              <a:solidFill>
                <a:schemeClr val="bg1"/>
              </a:solidFill>
              <a:ln>
                <a:noFill/>
              </a:ln>
              <a:effectLst/>
            </c:spPr>
            <c:extLst>
              <c:ext xmlns:c16="http://schemas.microsoft.com/office/drawing/2014/chart" uri="{C3380CC4-5D6E-409C-BE32-E72D297353CC}">
                <c16:uniqueId val="{00000051-31A1-4A44-B60A-53E235F261F3}"/>
              </c:ext>
            </c:extLst>
          </c:dPt>
          <c:dPt>
            <c:idx val="29"/>
            <c:invertIfNegative val="0"/>
            <c:bubble3D val="0"/>
            <c:spPr>
              <a:solidFill>
                <a:schemeClr val="bg1"/>
              </a:solidFill>
              <a:ln>
                <a:noFill/>
              </a:ln>
              <a:effectLst/>
            </c:spPr>
            <c:extLst>
              <c:ext xmlns:c16="http://schemas.microsoft.com/office/drawing/2014/chart" uri="{C3380CC4-5D6E-409C-BE32-E72D297353CC}">
                <c16:uniqueId val="{00000053-31A1-4A44-B60A-53E235F261F3}"/>
              </c:ext>
            </c:extLst>
          </c:dPt>
          <c:dPt>
            <c:idx val="30"/>
            <c:invertIfNegative val="0"/>
            <c:bubble3D val="0"/>
            <c:spPr>
              <a:solidFill>
                <a:schemeClr val="bg1"/>
              </a:solidFill>
              <a:ln>
                <a:noFill/>
              </a:ln>
              <a:effectLst/>
            </c:spPr>
            <c:extLst>
              <c:ext xmlns:c16="http://schemas.microsoft.com/office/drawing/2014/chart" uri="{C3380CC4-5D6E-409C-BE32-E72D297353CC}">
                <c16:uniqueId val="{00000055-31A1-4A44-B60A-53E235F261F3}"/>
              </c:ext>
            </c:extLst>
          </c:dPt>
          <c:dPt>
            <c:idx val="31"/>
            <c:invertIfNegative val="0"/>
            <c:bubble3D val="0"/>
            <c:spPr>
              <a:solidFill>
                <a:schemeClr val="bg1"/>
              </a:solidFill>
              <a:ln>
                <a:noFill/>
              </a:ln>
              <a:effectLst/>
            </c:spPr>
            <c:extLst>
              <c:ext xmlns:c16="http://schemas.microsoft.com/office/drawing/2014/chart" uri="{C3380CC4-5D6E-409C-BE32-E72D297353CC}">
                <c16:uniqueId val="{00000057-31A1-4A44-B60A-53E235F261F3}"/>
              </c:ext>
            </c:extLst>
          </c:dPt>
          <c:dPt>
            <c:idx val="32"/>
            <c:invertIfNegative val="0"/>
            <c:bubble3D val="0"/>
            <c:spPr>
              <a:solidFill>
                <a:schemeClr val="bg1"/>
              </a:solidFill>
              <a:ln>
                <a:noFill/>
              </a:ln>
              <a:effectLst/>
            </c:spPr>
            <c:extLst>
              <c:ext xmlns:c16="http://schemas.microsoft.com/office/drawing/2014/chart" uri="{C3380CC4-5D6E-409C-BE32-E72D297353CC}">
                <c16:uniqueId val="{00000059-31A1-4A44-B60A-53E235F261F3}"/>
              </c:ext>
            </c:extLst>
          </c:dPt>
          <c:dPt>
            <c:idx val="33"/>
            <c:invertIfNegative val="0"/>
            <c:bubble3D val="0"/>
            <c:spPr>
              <a:solidFill>
                <a:schemeClr val="bg1"/>
              </a:solidFill>
              <a:ln>
                <a:noFill/>
              </a:ln>
              <a:effectLst/>
            </c:spPr>
            <c:extLst>
              <c:ext xmlns:c16="http://schemas.microsoft.com/office/drawing/2014/chart" uri="{C3380CC4-5D6E-409C-BE32-E72D297353CC}">
                <c16:uniqueId val="{0000005B-31A1-4A44-B60A-53E235F261F3}"/>
              </c:ext>
            </c:extLst>
          </c:dPt>
          <c:dPt>
            <c:idx val="34"/>
            <c:invertIfNegative val="0"/>
            <c:bubble3D val="0"/>
            <c:spPr>
              <a:solidFill>
                <a:schemeClr val="bg1"/>
              </a:solidFill>
              <a:ln>
                <a:noFill/>
              </a:ln>
              <a:effectLst/>
            </c:spPr>
            <c:extLst>
              <c:ext xmlns:c16="http://schemas.microsoft.com/office/drawing/2014/chart" uri="{C3380CC4-5D6E-409C-BE32-E72D297353CC}">
                <c16:uniqueId val="{0000005D-31A1-4A44-B60A-53E235F261F3}"/>
              </c:ext>
            </c:extLst>
          </c:dPt>
          <c:dPt>
            <c:idx val="35"/>
            <c:invertIfNegative val="0"/>
            <c:bubble3D val="0"/>
            <c:spPr>
              <a:solidFill>
                <a:schemeClr val="bg1"/>
              </a:solidFill>
              <a:ln>
                <a:noFill/>
              </a:ln>
              <a:effectLst/>
            </c:spPr>
            <c:extLst>
              <c:ext xmlns:c16="http://schemas.microsoft.com/office/drawing/2014/chart" uri="{C3380CC4-5D6E-409C-BE32-E72D297353CC}">
                <c16:uniqueId val="{0000005F-31A1-4A44-B60A-53E235F261F3}"/>
              </c:ext>
            </c:extLst>
          </c:dPt>
          <c:dPt>
            <c:idx val="36"/>
            <c:invertIfNegative val="0"/>
            <c:bubble3D val="0"/>
            <c:spPr>
              <a:solidFill>
                <a:schemeClr val="bg1"/>
              </a:solidFill>
              <a:ln>
                <a:noFill/>
              </a:ln>
              <a:effectLst/>
            </c:spPr>
            <c:extLst>
              <c:ext xmlns:c16="http://schemas.microsoft.com/office/drawing/2014/chart" uri="{C3380CC4-5D6E-409C-BE32-E72D297353CC}">
                <c16:uniqueId val="{00000061-31A1-4A44-B60A-53E235F261F3}"/>
              </c:ext>
            </c:extLst>
          </c:dPt>
          <c:dPt>
            <c:idx val="37"/>
            <c:invertIfNegative val="0"/>
            <c:bubble3D val="0"/>
            <c:spPr>
              <a:solidFill>
                <a:schemeClr val="bg1"/>
              </a:solidFill>
              <a:ln>
                <a:noFill/>
              </a:ln>
              <a:effectLst/>
            </c:spPr>
            <c:extLst>
              <c:ext xmlns:c16="http://schemas.microsoft.com/office/drawing/2014/chart" uri="{C3380CC4-5D6E-409C-BE32-E72D297353CC}">
                <c16:uniqueId val="{00000063-31A1-4A44-B60A-53E235F261F3}"/>
              </c:ext>
            </c:extLst>
          </c:dPt>
          <c:dPt>
            <c:idx val="38"/>
            <c:invertIfNegative val="0"/>
            <c:bubble3D val="0"/>
            <c:spPr>
              <a:solidFill>
                <a:schemeClr val="bg1"/>
              </a:solidFill>
              <a:ln>
                <a:noFill/>
              </a:ln>
              <a:effectLst/>
            </c:spPr>
            <c:extLst>
              <c:ext xmlns:c16="http://schemas.microsoft.com/office/drawing/2014/chart" uri="{C3380CC4-5D6E-409C-BE32-E72D297353CC}">
                <c16:uniqueId val="{00000065-31A1-4A44-B60A-53E235F261F3}"/>
              </c:ext>
            </c:extLst>
          </c:dPt>
          <c:dPt>
            <c:idx val="39"/>
            <c:invertIfNegative val="0"/>
            <c:bubble3D val="0"/>
            <c:spPr>
              <a:solidFill>
                <a:schemeClr val="bg1"/>
              </a:solidFill>
              <a:ln>
                <a:noFill/>
              </a:ln>
              <a:effectLst/>
            </c:spPr>
            <c:extLst>
              <c:ext xmlns:c16="http://schemas.microsoft.com/office/drawing/2014/chart" uri="{C3380CC4-5D6E-409C-BE32-E72D297353CC}">
                <c16:uniqueId val="{00000067-31A1-4A44-B60A-53E235F261F3}"/>
              </c:ext>
            </c:extLst>
          </c:dPt>
          <c:dPt>
            <c:idx val="40"/>
            <c:invertIfNegative val="0"/>
            <c:bubble3D val="0"/>
            <c:spPr>
              <a:solidFill>
                <a:schemeClr val="bg1"/>
              </a:solidFill>
              <a:ln>
                <a:noFill/>
              </a:ln>
              <a:effectLst/>
            </c:spPr>
            <c:extLst>
              <c:ext xmlns:c16="http://schemas.microsoft.com/office/drawing/2014/chart" uri="{C3380CC4-5D6E-409C-BE32-E72D297353CC}">
                <c16:uniqueId val="{00000069-31A1-4A44-B60A-53E235F261F3}"/>
              </c:ext>
            </c:extLst>
          </c:dPt>
          <c:cat>
            <c:numRef>
              <c:f>Sheet1!$B$1:$AP$1</c:f>
              <c:numCache>
                <c:formatCode>0</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Sheet1!$B$2:$AP$2</c:f>
              <c:numCache>
                <c:formatCode>0</c:formatCode>
                <c:ptCount val="41"/>
                <c:pt idx="0">
                  <c:v>941.1</c:v>
                </c:pt>
                <c:pt idx="1">
                  <c:v>935.6</c:v>
                </c:pt>
                <c:pt idx="2">
                  <c:v>955.4</c:v>
                </c:pt>
                <c:pt idx="3">
                  <c:v>962</c:v>
                </c:pt>
                <c:pt idx="4">
                  <c:v>963.8</c:v>
                </c:pt>
                <c:pt idx="5">
                  <c:v>972.3</c:v>
                </c:pt>
                <c:pt idx="6">
                  <c:v>1030.9000000000001</c:v>
                </c:pt>
                <c:pt idx="7">
                  <c:v>1057.4000000000001</c:v>
                </c:pt>
                <c:pt idx="8">
                  <c:v>1054.9282483425002</c:v>
                </c:pt>
                <c:pt idx="9">
                  <c:v>908.50459998249983</c:v>
                </c:pt>
                <c:pt idx="10">
                  <c:v>850.67061174000003</c:v>
                </c:pt>
                <c:pt idx="11">
                  <c:v>861.57260750000012</c:v>
                </c:pt>
                <c:pt idx="12">
                  <c:v>875.62700025000015</c:v>
                </c:pt>
                <c:pt idx="13">
                  <c:v>893.88495683750011</c:v>
                </c:pt>
                <c:pt idx="14">
                  <c:v>884.63541499999985</c:v>
                </c:pt>
                <c:pt idx="15">
                  <c:v>896.07023249999986</c:v>
                </c:pt>
                <c:pt idx="16">
                  <c:v>893.28572499999996</c:v>
                </c:pt>
                <c:pt idx="17">
                  <c:v>894.82438249999996</c:v>
                </c:pt>
                <c:pt idx="18">
                  <c:v>909.3727275</c:v>
                </c:pt>
                <c:pt idx="19">
                  <c:v>909.98209499999996</c:v>
                </c:pt>
                <c:pt idx="20">
                  <c:v>892.98106249999978</c:v>
                </c:pt>
                <c:pt idx="21">
                  <c:v>863.99066135000021</c:v>
                </c:pt>
                <c:pt idx="22">
                  <c:v>886.19999999999982</c:v>
                </c:pt>
                <c:pt idx="23">
                  <c:v>884.1999999999997</c:v>
                </c:pt>
                <c:pt idx="24">
                  <c:v>884.96661140483661</c:v>
                </c:pt>
                <c:pt idx="25">
                  <c:v>887.5074721555934</c:v>
                </c:pt>
                <c:pt idx="26">
                  <c:v>891.2612416825192</c:v>
                </c:pt>
                <c:pt idx="27">
                  <c:v>897.75858220522684</c:v>
                </c:pt>
                <c:pt idx="28">
                  <c:v>904.59152981183513</c:v>
                </c:pt>
                <c:pt idx="29">
                  <c:v>907.36643381802196</c:v>
                </c:pt>
                <c:pt idx="30">
                  <c:v>907.79184258322277</c:v>
                </c:pt>
                <c:pt idx="31">
                  <c:v>906.49961965702846</c:v>
                </c:pt>
                <c:pt idx="32">
                  <c:v>904.83527805379526</c:v>
                </c:pt>
                <c:pt idx="33">
                  <c:v>902.62288594772428</c:v>
                </c:pt>
                <c:pt idx="34">
                  <c:v>900.68301662470094</c:v>
                </c:pt>
                <c:pt idx="35">
                  <c:v>898.92868580131471</c:v>
                </c:pt>
                <c:pt idx="36">
                  <c:v>897.14592869234536</c:v>
                </c:pt>
                <c:pt idx="37">
                  <c:v>895.2218105335786</c:v>
                </c:pt>
                <c:pt idx="38">
                  <c:v>893.38631839144671</c:v>
                </c:pt>
                <c:pt idx="39">
                  <c:v>891.33674859572477</c:v>
                </c:pt>
                <c:pt idx="40">
                  <c:v>889.88454744589444</c:v>
                </c:pt>
              </c:numCache>
            </c:numRef>
          </c:val>
          <c:extLst>
            <c:ext xmlns:c16="http://schemas.microsoft.com/office/drawing/2014/chart" uri="{C3380CC4-5D6E-409C-BE32-E72D297353CC}">
              <c16:uniqueId val="{0000006A-31A1-4A44-B60A-53E235F261F3}"/>
            </c:ext>
          </c:extLst>
        </c:ser>
        <c:dLbls>
          <c:showLegendKey val="0"/>
          <c:showVal val="0"/>
          <c:showCatName val="0"/>
          <c:showSerName val="0"/>
          <c:showPercent val="0"/>
          <c:showBubbleSize val="0"/>
        </c:dLbls>
        <c:gapWidth val="30"/>
        <c:overlap val="100"/>
        <c:axId val="187704448"/>
        <c:axId val="187705984"/>
      </c:barChart>
      <c:lineChart>
        <c:grouping val="standard"/>
        <c:varyColors val="0"/>
        <c:ser>
          <c:idx val="0"/>
          <c:order val="2"/>
          <c:tx>
            <c:strRef>
              <c:f>Sheet1!$A$4</c:f>
              <c:strCache>
                <c:ptCount val="1"/>
                <c:pt idx="0">
                  <c:v>Pieprasījums pēc darbaspēka</c:v>
                </c:pt>
              </c:strCache>
            </c:strRef>
          </c:tx>
          <c:spPr>
            <a:ln w="19050" cap="rnd" cmpd="sng" algn="ctr">
              <a:noFill/>
              <a:prstDash val="solid"/>
              <a:round/>
            </a:ln>
            <a:effectLst/>
          </c:spPr>
          <c:marker>
            <c:symbol val="dash"/>
            <c:size val="10"/>
            <c:spPr>
              <a:solidFill>
                <a:schemeClr val="accent2"/>
              </a:solidFill>
              <a:ln w="6350" cap="flat" cmpd="sng" algn="ctr">
                <a:noFill/>
                <a:prstDash val="solid"/>
                <a:round/>
              </a:ln>
              <a:effectLst/>
            </c:spPr>
          </c:marker>
          <c:cat>
            <c:numRef>
              <c:f>Sheet1!$B$1:$AP$1</c:f>
              <c:numCache>
                <c:formatCode>0</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Sheet1!$B$4:$AP$4</c:f>
              <c:numCache>
                <c:formatCode>0</c:formatCode>
                <c:ptCount val="41"/>
                <c:pt idx="0">
                  <c:v>941.1</c:v>
                </c:pt>
                <c:pt idx="1">
                  <c:v>935.6</c:v>
                </c:pt>
                <c:pt idx="2">
                  <c:v>955.4</c:v>
                </c:pt>
                <c:pt idx="3">
                  <c:v>962</c:v>
                </c:pt>
                <c:pt idx="4">
                  <c:v>963.8</c:v>
                </c:pt>
                <c:pt idx="5">
                  <c:v>972.3</c:v>
                </c:pt>
                <c:pt idx="6">
                  <c:v>1030.9000000000001</c:v>
                </c:pt>
                <c:pt idx="7">
                  <c:v>1057.4000000000001</c:v>
                </c:pt>
                <c:pt idx="8">
                  <c:v>1054.9282483425002</c:v>
                </c:pt>
                <c:pt idx="9">
                  <c:v>908.50459998249983</c:v>
                </c:pt>
                <c:pt idx="10">
                  <c:v>850.67061174000003</c:v>
                </c:pt>
                <c:pt idx="11">
                  <c:v>861.57260750000012</c:v>
                </c:pt>
                <c:pt idx="12">
                  <c:v>875.62700025000015</c:v>
                </c:pt>
                <c:pt idx="13">
                  <c:v>893.88495683750011</c:v>
                </c:pt>
                <c:pt idx="14">
                  <c:v>884.63541499999985</c:v>
                </c:pt>
                <c:pt idx="15">
                  <c:v>896.07023249999986</c:v>
                </c:pt>
                <c:pt idx="16">
                  <c:v>893.28572499999996</c:v>
                </c:pt>
                <c:pt idx="17">
                  <c:v>894.82438249999996</c:v>
                </c:pt>
                <c:pt idx="18">
                  <c:v>909.3727275</c:v>
                </c:pt>
                <c:pt idx="19">
                  <c:v>909.98209499999996</c:v>
                </c:pt>
                <c:pt idx="20">
                  <c:v>892.98106249999978</c:v>
                </c:pt>
                <c:pt idx="21">
                  <c:v>863.99066135000021</c:v>
                </c:pt>
                <c:pt idx="22">
                  <c:v>886.19999999999982</c:v>
                </c:pt>
                <c:pt idx="23">
                  <c:v>884.1999999999997</c:v>
                </c:pt>
                <c:pt idx="24">
                  <c:v>884.96661140483661</c:v>
                </c:pt>
                <c:pt idx="25">
                  <c:v>887.5074721555934</c:v>
                </c:pt>
                <c:pt idx="26">
                  <c:v>891.2612416825192</c:v>
                </c:pt>
                <c:pt idx="27">
                  <c:v>897.75858220522684</c:v>
                </c:pt>
                <c:pt idx="28">
                  <c:v>904.59152981183513</c:v>
                </c:pt>
                <c:pt idx="29">
                  <c:v>907.36643381802196</c:v>
                </c:pt>
                <c:pt idx="30">
                  <c:v>907.79184258322277</c:v>
                </c:pt>
                <c:pt idx="31">
                  <c:v>906.49961965702846</c:v>
                </c:pt>
                <c:pt idx="32">
                  <c:v>904.83527805379526</c:v>
                </c:pt>
                <c:pt idx="33">
                  <c:v>902.62288594772428</c:v>
                </c:pt>
                <c:pt idx="34">
                  <c:v>900.68301662470094</c:v>
                </c:pt>
                <c:pt idx="35">
                  <c:v>898.92868580131471</c:v>
                </c:pt>
                <c:pt idx="36">
                  <c:v>897.14592869234536</c:v>
                </c:pt>
                <c:pt idx="37">
                  <c:v>895.2218105335786</c:v>
                </c:pt>
                <c:pt idx="38">
                  <c:v>893.38631839144671</c:v>
                </c:pt>
                <c:pt idx="39">
                  <c:v>891.33674859572477</c:v>
                </c:pt>
                <c:pt idx="40">
                  <c:v>889.88454744589444</c:v>
                </c:pt>
              </c:numCache>
            </c:numRef>
          </c:val>
          <c:smooth val="0"/>
          <c:extLst>
            <c:ext xmlns:c16="http://schemas.microsoft.com/office/drawing/2014/chart" uri="{C3380CC4-5D6E-409C-BE32-E72D297353CC}">
              <c16:uniqueId val="{0000006B-31A1-4A44-B60A-53E235F261F3}"/>
            </c:ext>
          </c:extLst>
        </c:ser>
        <c:ser>
          <c:idx val="2"/>
          <c:order val="3"/>
          <c:tx>
            <c:strRef>
              <c:f>Sheet1!$A$5</c:f>
              <c:strCache>
                <c:ptCount val="1"/>
                <c:pt idx="0">
                  <c:v>Darbaspēka piedāvājums</c:v>
                </c:pt>
              </c:strCache>
            </c:strRef>
          </c:tx>
          <c:spPr>
            <a:ln w="19050" cap="rnd" cmpd="sng" algn="ctr">
              <a:noFill/>
              <a:prstDash val="solid"/>
              <a:round/>
            </a:ln>
            <a:effectLst/>
          </c:spPr>
          <c:marker>
            <c:symbol val="dash"/>
            <c:size val="10"/>
            <c:spPr>
              <a:solidFill>
                <a:srgbClr val="319DAE"/>
              </a:solidFill>
              <a:ln w="6350" cap="flat" cmpd="sng" algn="ctr">
                <a:noFill/>
                <a:prstDash val="solid"/>
                <a:round/>
              </a:ln>
              <a:effectLst/>
            </c:spPr>
          </c:marker>
          <c:cat>
            <c:numRef>
              <c:f>Sheet1!$B$1:$AP$1</c:f>
              <c:numCache>
                <c:formatCode>0</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Sheet1!$B$5:$AP$5</c:f>
              <c:numCache>
                <c:formatCode>0</c:formatCode>
                <c:ptCount val="41"/>
                <c:pt idx="0">
                  <c:v>1097.3</c:v>
                </c:pt>
                <c:pt idx="1">
                  <c:v>1081.8</c:v>
                </c:pt>
                <c:pt idx="2">
                  <c:v>1091.7</c:v>
                </c:pt>
                <c:pt idx="3">
                  <c:v>1088.8</c:v>
                </c:pt>
                <c:pt idx="4">
                  <c:v>1092.0999999999999</c:v>
                </c:pt>
                <c:pt idx="5">
                  <c:v>1080.8</c:v>
                </c:pt>
                <c:pt idx="6">
                  <c:v>1108.9000000000001</c:v>
                </c:pt>
                <c:pt idx="7">
                  <c:v>1125.5</c:v>
                </c:pt>
                <c:pt idx="8">
                  <c:v>1143.4000000000001</c:v>
                </c:pt>
                <c:pt idx="9">
                  <c:v>1101.4000000000001</c:v>
                </c:pt>
                <c:pt idx="10">
                  <c:v>1056.5</c:v>
                </c:pt>
                <c:pt idx="11">
                  <c:v>1028.2</c:v>
                </c:pt>
                <c:pt idx="12">
                  <c:v>1030.7</c:v>
                </c:pt>
                <c:pt idx="13">
                  <c:v>1014.3</c:v>
                </c:pt>
                <c:pt idx="14">
                  <c:v>992.3</c:v>
                </c:pt>
                <c:pt idx="15">
                  <c:v>994.2</c:v>
                </c:pt>
                <c:pt idx="16">
                  <c:v>988.6</c:v>
                </c:pt>
                <c:pt idx="17">
                  <c:v>980.3</c:v>
                </c:pt>
                <c:pt idx="18">
                  <c:v>982.17419000000018</c:v>
                </c:pt>
                <c:pt idx="19">
                  <c:v>971.34152000000017</c:v>
                </c:pt>
                <c:pt idx="20">
                  <c:v>971.67090500000006</c:v>
                </c:pt>
                <c:pt idx="21">
                  <c:v>934.62000892500009</c:v>
                </c:pt>
                <c:pt idx="22">
                  <c:v>951.32326502500007</c:v>
                </c:pt>
                <c:pt idx="23">
                  <c:v>945.67088770000078</c:v>
                </c:pt>
                <c:pt idx="24">
                  <c:v>944.18400670695462</c:v>
                </c:pt>
                <c:pt idx="25">
                  <c:v>944.70717278663153</c:v>
                </c:pt>
                <c:pt idx="26">
                  <c:v>946.76879391565683</c:v>
                </c:pt>
                <c:pt idx="27">
                  <c:v>952.55205657386398</c:v>
                </c:pt>
                <c:pt idx="28">
                  <c:v>958.30053576863622</c:v>
                </c:pt>
                <c:pt idx="29">
                  <c:v>960.28783775974466</c:v>
                </c:pt>
                <c:pt idx="30">
                  <c:v>960.12741015346467</c:v>
                </c:pt>
                <c:pt idx="31">
                  <c:v>957.87394162908265</c:v>
                </c:pt>
                <c:pt idx="32">
                  <c:v>956.26428071730174</c:v>
                </c:pt>
                <c:pt idx="33">
                  <c:v>953.29733297703467</c:v>
                </c:pt>
                <c:pt idx="34">
                  <c:v>950.91015803154517</c:v>
                </c:pt>
                <c:pt idx="35">
                  <c:v>949.00724017726679</c:v>
                </c:pt>
                <c:pt idx="36">
                  <c:v>946.91137342970649</c:v>
                </c:pt>
                <c:pt idx="37">
                  <c:v>944.82262462555059</c:v>
                </c:pt>
                <c:pt idx="38">
                  <c:v>942.2077574795735</c:v>
                </c:pt>
                <c:pt idx="39">
                  <c:v>939.43642719148488</c:v>
                </c:pt>
                <c:pt idx="40">
                  <c:v>936.32811136897124</c:v>
                </c:pt>
              </c:numCache>
            </c:numRef>
          </c:val>
          <c:smooth val="0"/>
          <c:extLst>
            <c:ext xmlns:c16="http://schemas.microsoft.com/office/drawing/2014/chart" uri="{C3380CC4-5D6E-409C-BE32-E72D297353CC}">
              <c16:uniqueId val="{0000006C-31A1-4A44-B60A-53E235F261F3}"/>
            </c:ext>
          </c:extLst>
        </c:ser>
        <c:dLbls>
          <c:showLegendKey val="0"/>
          <c:showVal val="0"/>
          <c:showCatName val="0"/>
          <c:showSerName val="0"/>
          <c:showPercent val="0"/>
          <c:showBubbleSize val="0"/>
        </c:dLbls>
        <c:marker val="1"/>
        <c:smooth val="0"/>
        <c:axId val="187704448"/>
        <c:axId val="187705984"/>
      </c:lineChart>
      <c:catAx>
        <c:axId val="187704448"/>
        <c:scaling>
          <c:orientation val="minMax"/>
        </c:scaling>
        <c:delete val="0"/>
        <c:axPos val="b"/>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Segoe UI Light" panose="020B0502040204020203" pitchFamily="34" charset="0"/>
              </a:defRPr>
            </a:pPr>
            <a:endParaRPr lang="lv-LV"/>
          </a:p>
        </c:txPr>
        <c:crossAx val="187705984"/>
        <c:crosses val="autoZero"/>
        <c:auto val="0"/>
        <c:lblAlgn val="ctr"/>
        <c:lblOffset val="100"/>
        <c:noMultiLvlLbl val="0"/>
      </c:catAx>
      <c:valAx>
        <c:axId val="187705984"/>
        <c:scaling>
          <c:orientation val="minMax"/>
          <c:max val="1150"/>
          <c:min val="830"/>
        </c:scaling>
        <c:delete val="0"/>
        <c:axPos val="l"/>
        <c:numFmt formatCode="0" sourceLinked="1"/>
        <c:majorTickMark val="out"/>
        <c:minorTickMark val="none"/>
        <c:tickLblPos val="nextTo"/>
        <c:spPr>
          <a:noFill/>
          <a:ln w="3175"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Segoe UI Light" panose="020B0502040204020203" pitchFamily="34" charset="0"/>
              </a:defRPr>
            </a:pPr>
            <a:endParaRPr lang="lv-LV"/>
          </a:p>
        </c:txPr>
        <c:crossAx val="187704448"/>
        <c:crosses val="autoZero"/>
        <c:crossBetween val="between"/>
        <c:majorUnit val="80"/>
      </c:valAx>
      <c:spPr>
        <a:solidFill>
          <a:schemeClr val="bg1"/>
        </a:solidFill>
        <a:ln w="25398">
          <a:noFill/>
        </a:ln>
        <a:effectLst/>
      </c:spPr>
    </c:plotArea>
    <c:plotVisOnly val="1"/>
    <c:dispBlanksAs val="gap"/>
    <c:showDLblsOverMax val="0"/>
  </c:chart>
  <c:spPr>
    <a:solidFill>
      <a:schemeClr val="bg1"/>
    </a:solidFill>
    <a:ln w="6350" cap="flat" cmpd="sng" algn="ctr">
      <a:noFill/>
      <a:prstDash val="solid"/>
      <a:miter lim="800000"/>
    </a:ln>
    <a:effectLst/>
  </c:spPr>
  <c:txPr>
    <a:bodyPr/>
    <a:lstStyle/>
    <a:p>
      <a:pPr>
        <a:defRPr sz="800"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lv-LV"/>
    </a:p>
  </c:txPr>
  <c:externalData r:id="rId3">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1010843988467338"/>
          <c:h val="0.75378756132402003"/>
        </c:manualLayout>
      </c:layout>
      <c:barChart>
        <c:barDir val="col"/>
        <c:grouping val="clustered"/>
        <c:varyColors val="0"/>
        <c:ser>
          <c:idx val="3"/>
          <c:order val="0"/>
          <c:tx>
            <c:strRef>
              <c:f>Sheet1!$B$1</c:f>
              <c:strCache>
                <c:ptCount val="1"/>
                <c:pt idx="0">
                  <c:v>piedāvājums</c:v>
                </c:pt>
              </c:strCache>
            </c:strRef>
          </c:tx>
          <c:spPr>
            <a:solidFill>
              <a:schemeClr val="accent4"/>
            </a:solidFill>
            <a:ln>
              <a:noFill/>
            </a:ln>
            <a:effectLst/>
          </c:spPr>
          <c:invertIfNegative val="0"/>
          <c:dLbls>
            <c:delete val="1"/>
          </c:dLbls>
          <c:cat>
            <c:strRef>
              <c:f>Sheet1!$A$2:$A$5</c:f>
              <c:strCache>
                <c:ptCount val="4"/>
                <c:pt idx="0">
                  <c:v>Augstākā izglītība</c:v>
                </c:pt>
                <c:pt idx="1">
                  <c:v>Vidējā profesionālā izglītība</c:v>
                </c:pt>
                <c:pt idx="2">
                  <c:v>Vidējā vispārējā izglītība</c:v>
                </c:pt>
                <c:pt idx="3">
                  <c:v>Pamatizglītība un zemāka</c:v>
                </c:pt>
              </c:strCache>
            </c:strRef>
          </c:cat>
          <c:val>
            <c:numRef>
              <c:f>Sheet1!$B$2:$B$5</c:f>
              <c:numCache>
                <c:formatCode>#,##0</c:formatCode>
                <c:ptCount val="4"/>
                <c:pt idx="0">
                  <c:v>100</c:v>
                </c:pt>
                <c:pt idx="1">
                  <c:v>100</c:v>
                </c:pt>
                <c:pt idx="2">
                  <c:v>100</c:v>
                </c:pt>
                <c:pt idx="3">
                  <c:v>100</c:v>
                </c:pt>
              </c:numCache>
            </c:numRef>
          </c:val>
          <c:extLst>
            <c:ext xmlns:c16="http://schemas.microsoft.com/office/drawing/2014/chart" uri="{C3380CC4-5D6E-409C-BE32-E72D297353CC}">
              <c16:uniqueId val="{00000000-38B9-46E2-B14D-3AF788FA4971}"/>
            </c:ext>
          </c:extLst>
        </c:ser>
        <c:ser>
          <c:idx val="0"/>
          <c:order val="1"/>
          <c:tx>
            <c:strRef>
              <c:f>Sheet1!$C$1</c:f>
              <c:strCache>
                <c:ptCount val="1"/>
                <c:pt idx="0">
                  <c:v>pieprasījums</c:v>
                </c:pt>
              </c:strCache>
            </c:strRef>
          </c:tx>
          <c:spPr>
            <a:solidFill>
              <a:schemeClr val="accent4">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1-38B9-46E2-B14D-3AF788FA4971}"/>
              </c:ext>
            </c:extLst>
          </c:dPt>
          <c:dLbls>
            <c:dLbl>
              <c:idx val="3"/>
              <c:layout>
                <c:manualLayout>
                  <c:x val="-1.0779433513184648E-16"/>
                  <c:y val="9.32955181550173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B9-46E2-B14D-3AF788FA4971}"/>
                </c:ext>
              </c:extLst>
            </c:dLbl>
            <c:spPr>
              <a:noFill/>
              <a:ln>
                <a:noFill/>
              </a:ln>
              <a:effectLst/>
            </c:spPr>
            <c:txPr>
              <a:bodyPr rot="0" vert="horz"/>
              <a:lstStyle/>
              <a:p>
                <a:pPr>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Augstākā izglītība</c:v>
                </c:pt>
                <c:pt idx="1">
                  <c:v>Vidējā profesionālā izglītība</c:v>
                </c:pt>
                <c:pt idx="2">
                  <c:v>Vidējā vispārējā izglītība</c:v>
                </c:pt>
                <c:pt idx="3">
                  <c:v>Pamatizglītība un zemāka</c:v>
                </c:pt>
              </c:strCache>
            </c:strRef>
          </c:cat>
          <c:val>
            <c:numRef>
              <c:f>Sheet1!$C$2:$C$5</c:f>
              <c:numCache>
                <c:formatCode>#,##0</c:formatCode>
                <c:ptCount val="4"/>
                <c:pt idx="0">
                  <c:v>98</c:v>
                </c:pt>
                <c:pt idx="1">
                  <c:v>120</c:v>
                </c:pt>
                <c:pt idx="2">
                  <c:v>86</c:v>
                </c:pt>
                <c:pt idx="3">
                  <c:v>49</c:v>
                </c:pt>
              </c:numCache>
            </c:numRef>
          </c:val>
          <c:extLst>
            <c:ext xmlns:c16="http://schemas.microsoft.com/office/drawing/2014/chart" uri="{C3380CC4-5D6E-409C-BE32-E72D297353CC}">
              <c16:uniqueId val="{00000003-38B9-46E2-B14D-3AF788FA4971}"/>
            </c:ext>
          </c:extLst>
        </c:ser>
        <c:dLbls>
          <c:showLegendKey val="0"/>
          <c:showVal val="1"/>
          <c:showCatName val="0"/>
          <c:showSerName val="0"/>
          <c:showPercent val="0"/>
          <c:showBubbleSize val="0"/>
        </c:dLbls>
        <c:gapWidth val="100"/>
        <c:overlap val="70"/>
        <c:axId val="652751160"/>
        <c:axId val="652755472"/>
      </c:barChart>
      <c:catAx>
        <c:axId val="652751160"/>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652755472"/>
        <c:crosses val="autoZero"/>
        <c:auto val="0"/>
        <c:lblAlgn val="ctr"/>
        <c:lblOffset val="100"/>
        <c:tickLblSkip val="1"/>
        <c:tickMarkSkip val="1"/>
        <c:noMultiLvlLbl val="0"/>
      </c:catAx>
      <c:valAx>
        <c:axId val="652755472"/>
        <c:scaling>
          <c:orientation val="minMax"/>
          <c:min val="4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652751160"/>
        <c:crosses val="autoZero"/>
        <c:crossBetween val="between"/>
        <c:majorUnit val="20"/>
      </c:valAx>
      <c:spPr>
        <a:solidFill>
          <a:srgbClr val="FFFFFF"/>
        </a:solidFill>
        <a:ln>
          <a:noFill/>
        </a:ln>
        <a:effectLst/>
      </c:spPr>
    </c:plotArea>
    <c:legend>
      <c:legendPos val="l"/>
      <c:layout>
        <c:manualLayout>
          <c:xMode val="edge"/>
          <c:yMode val="edge"/>
          <c:x val="0.57248418336416351"/>
          <c:y val="1.3537922516486674E-2"/>
          <c:w val="0.385945189721907"/>
          <c:h val="0.17699703885147255"/>
        </c:manualLayout>
      </c:layout>
      <c:overlay val="1"/>
      <c:spPr>
        <a:solidFill>
          <a:srgbClr val="FFFFFF"/>
        </a:solidFill>
        <a:ln>
          <a:noFill/>
        </a:ln>
        <a:effectLst/>
      </c:spPr>
      <c:txPr>
        <a:bodyPr rot="0" vert="horz"/>
        <a:lstStyle/>
        <a:p>
          <a:pPr>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Sheet1!$B$1:$R$1</c:f>
              <c:numCache>
                <c:formatCode>General</c:formatCode>
                <c:ptCount val="13"/>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numCache>
            </c:numRef>
          </c:cat>
          <c:val>
            <c:numRef>
              <c:f>Sheet1!$B$4:$W$4</c:f>
              <c:numCache>
                <c:formatCode>General</c:formatCode>
                <c:ptCount val="18"/>
                <c:pt idx="7">
                  <c:v>500</c:v>
                </c:pt>
                <c:pt idx="17">
                  <c:v>500</c:v>
                </c:pt>
              </c:numCache>
            </c:numRef>
          </c:val>
          <c:extLst>
            <c:ext xmlns:c16="http://schemas.microsoft.com/office/drawing/2014/chart" uri="{C3380CC4-5D6E-409C-BE32-E72D297353CC}">
              <c16:uniqueId val="{00000000-012C-4096-A8B4-67BA25B4CFAA}"/>
            </c:ext>
          </c:extLst>
        </c:ser>
        <c:dLbls>
          <c:showLegendKey val="0"/>
          <c:showVal val="0"/>
          <c:showCatName val="0"/>
          <c:showSerName val="0"/>
          <c:showPercent val="0"/>
          <c:showBubbleSize val="0"/>
        </c:dLbls>
        <c:gapWidth val="0"/>
        <c:axId val="652748808"/>
        <c:axId val="652749200"/>
      </c:barChart>
      <c:lineChart>
        <c:grouping val="standard"/>
        <c:varyColors val="0"/>
        <c:ser>
          <c:idx val="0"/>
          <c:order val="0"/>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379.8869387000002</c:v>
                </c:pt>
                <c:pt idx="1">
                  <c:v>382.5593069631737</c:v>
                </c:pt>
                <c:pt idx="2">
                  <c:v>386.12869715153931</c:v>
                </c:pt>
                <c:pt idx="3">
                  <c:v>390.04751046358984</c:v>
                </c:pt>
                <c:pt idx="4">
                  <c:v>395.03603249635023</c:v>
                </c:pt>
                <c:pt idx="5">
                  <c:v>399.66824608077047</c:v>
                </c:pt>
                <c:pt idx="6">
                  <c:v>402.79315841033474</c:v>
                </c:pt>
                <c:pt idx="7">
                  <c:v>405.44168920282414</c:v>
                </c:pt>
                <c:pt idx="8">
                  <c:v>407.65434466186684</c:v>
                </c:pt>
                <c:pt idx="9">
                  <c:v>410.35593647241467</c:v>
                </c:pt>
                <c:pt idx="10">
                  <c:v>412.62839334925366</c:v>
                </c:pt>
                <c:pt idx="11" formatCode="General">
                  <c:v>415.09900036886796</c:v>
                </c:pt>
                <c:pt idx="12" formatCode="General">
                  <c:v>417.79699801467632</c:v>
                </c:pt>
                <c:pt idx="13" formatCode="General">
                  <c:v>420.51271421766711</c:v>
                </c:pt>
                <c:pt idx="14" formatCode="General">
                  <c:v>423.69745312935316</c:v>
                </c:pt>
                <c:pt idx="15" formatCode="General">
                  <c:v>427.15375563981274</c:v>
                </c:pt>
                <c:pt idx="16" formatCode="General">
                  <c:v>430.789813116218</c:v>
                </c:pt>
                <c:pt idx="17" formatCode="General">
                  <c:v>434.29131380525877</c:v>
                </c:pt>
              </c:numCache>
            </c:numRef>
          </c:val>
          <c:smooth val="0"/>
          <c:extLst>
            <c:ext xmlns:c16="http://schemas.microsoft.com/office/drawing/2014/chart" uri="{C3380CC4-5D6E-409C-BE32-E72D297353CC}">
              <c16:uniqueId val="{00000001-012C-4096-A8B4-67BA25B4CFAA}"/>
            </c:ext>
          </c:extLst>
        </c:ser>
        <c:ser>
          <c:idx val="3"/>
          <c:order val="1"/>
          <c:tx>
            <c:strRef>
              <c:f>Sheet1!$A$2</c:f>
              <c:strCache>
                <c:ptCount val="1"/>
                <c:pt idx="0">
                  <c:v>Pieprasījums</c:v>
                </c:pt>
              </c:strCache>
            </c:strRef>
          </c:tx>
          <c:marker>
            <c:symbol val="none"/>
          </c:marker>
          <c:dPt>
            <c:idx val="0"/>
            <c:bubble3D val="0"/>
            <c:extLst>
              <c:ext xmlns:c16="http://schemas.microsoft.com/office/drawing/2014/chart" uri="{C3380CC4-5D6E-409C-BE32-E72D297353CC}">
                <c16:uniqueId val="{00000002-012C-4096-A8B4-67BA25B4CFAA}"/>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367.19846492500022</c:v>
                </c:pt>
                <c:pt idx="1">
                  <c:v>369.94322253585733</c:v>
                </c:pt>
                <c:pt idx="2">
                  <c:v>374.07874546035976</c:v>
                </c:pt>
                <c:pt idx="3">
                  <c:v>378.02730075196285</c:v>
                </c:pt>
                <c:pt idx="4">
                  <c:v>383.43373831877824</c:v>
                </c:pt>
                <c:pt idx="5">
                  <c:v>389.35093065025387</c:v>
                </c:pt>
                <c:pt idx="6">
                  <c:v>393.78483395957784</c:v>
                </c:pt>
                <c:pt idx="7">
                  <c:v>397.1103764290861</c:v>
                </c:pt>
                <c:pt idx="8">
                  <c:v>399.46116326091754</c:v>
                </c:pt>
                <c:pt idx="9">
                  <c:v>401.41742883191131</c:v>
                </c:pt>
                <c:pt idx="10">
                  <c:v>402.87673173214034</c:v>
                </c:pt>
                <c:pt idx="11" formatCode="General">
                  <c:v>404.5119676262006</c:v>
                </c:pt>
                <c:pt idx="12" formatCode="General">
                  <c:v>406.16851710457928</c:v>
                </c:pt>
                <c:pt idx="13" formatCode="General">
                  <c:v>407.79326877877952</c:v>
                </c:pt>
                <c:pt idx="14" formatCode="General">
                  <c:v>409.26652729555184</c:v>
                </c:pt>
                <c:pt idx="15" formatCode="General">
                  <c:v>410.79012769088217</c:v>
                </c:pt>
                <c:pt idx="16" formatCode="General">
                  <c:v>412.17508992697896</c:v>
                </c:pt>
                <c:pt idx="17" formatCode="General">
                  <c:v>413.87940519586488</c:v>
                </c:pt>
              </c:numCache>
            </c:numRef>
          </c:val>
          <c:smooth val="0"/>
          <c:extLst>
            <c:ext xmlns:c16="http://schemas.microsoft.com/office/drawing/2014/chart" uri="{C3380CC4-5D6E-409C-BE32-E72D297353CC}">
              <c16:uniqueId val="{00000003-012C-4096-A8B4-67BA25B4CFAA}"/>
            </c:ext>
          </c:extLst>
        </c:ser>
        <c:dLbls>
          <c:showLegendKey val="0"/>
          <c:showVal val="0"/>
          <c:showCatName val="0"/>
          <c:showSerName val="0"/>
          <c:showPercent val="0"/>
          <c:showBubbleSize val="0"/>
        </c:dLbls>
        <c:marker val="1"/>
        <c:smooth val="0"/>
        <c:axId val="652748808"/>
        <c:axId val="652749200"/>
      </c:lineChart>
      <c:catAx>
        <c:axId val="65274880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49200"/>
        <c:crosses val="autoZero"/>
        <c:auto val="1"/>
        <c:lblAlgn val="ctr"/>
        <c:lblOffset val="100"/>
        <c:noMultiLvlLbl val="0"/>
      </c:catAx>
      <c:valAx>
        <c:axId val="652749200"/>
        <c:scaling>
          <c:orientation val="minMax"/>
          <c:max val="500"/>
          <c:min val="320"/>
        </c:scaling>
        <c:delete val="0"/>
        <c:axPos val="l"/>
        <c:numFmt formatCode="General" sourceLinked="1"/>
        <c:majorTickMark val="out"/>
        <c:minorTickMark val="none"/>
        <c:tickLblPos val="nextTo"/>
        <c:crossAx val="652748808"/>
        <c:crosses val="autoZero"/>
        <c:crossBetween val="between"/>
        <c:majorUnit val="30"/>
      </c:valAx>
      <c:spPr>
        <a:solidFill>
          <a:srgbClr val="FFFFFF"/>
        </a:solidFill>
      </c:spPr>
    </c:plotArea>
    <c:legend>
      <c:legendPos val="l"/>
      <c:legendEntry>
        <c:idx val="0"/>
        <c:delete val="1"/>
      </c:legendEntry>
      <c:layout>
        <c:manualLayout>
          <c:xMode val="edge"/>
          <c:yMode val="edge"/>
          <c:x val="0.55348098448345251"/>
          <c:y val="6.5122055579326404E-2"/>
          <c:w val="0.31069598321919395"/>
          <c:h val="0.21285348329341686"/>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2A38-403D-A480-3D4DEC397CC4}"/>
            </c:ext>
          </c:extLst>
        </c:ser>
        <c:dLbls>
          <c:showLegendKey val="0"/>
          <c:showVal val="0"/>
          <c:showCatName val="0"/>
          <c:showSerName val="0"/>
          <c:showPercent val="0"/>
          <c:showBubbleSize val="0"/>
        </c:dLbls>
        <c:gapWidth val="0"/>
        <c:axId val="652752336"/>
        <c:axId val="65275429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2A38-403D-A480-3D4DEC397CC4}"/>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258.37560227500018</c:v>
                </c:pt>
                <c:pt idx="1">
                  <c:v>259.55240112738886</c:v>
                </c:pt>
                <c:pt idx="2">
                  <c:v>261.86535512428145</c:v>
                </c:pt>
                <c:pt idx="3">
                  <c:v>265.30782774283426</c:v>
                </c:pt>
                <c:pt idx="4">
                  <c:v>269.31635961926497</c:v>
                </c:pt>
                <c:pt idx="5">
                  <c:v>273.09118462637861</c:v>
                </c:pt>
                <c:pt idx="6">
                  <c:v>275.05957234784762</c:v>
                </c:pt>
                <c:pt idx="7">
                  <c:v>276.54845518455886</c:v>
                </c:pt>
                <c:pt idx="8">
                  <c:v>277.6762352002421</c:v>
                </c:pt>
                <c:pt idx="9">
                  <c:v>278.90504426583448</c:v>
                </c:pt>
                <c:pt idx="10">
                  <c:v>280.17250002921969</c:v>
                </c:pt>
                <c:pt idx="11" formatCode="General">
                  <c:v>281.59771811283474</c:v>
                </c:pt>
                <c:pt idx="12" formatCode="General">
                  <c:v>283.06375496518694</c:v>
                </c:pt>
                <c:pt idx="13" formatCode="General">
                  <c:v>284.43839249529839</c:v>
                </c:pt>
                <c:pt idx="14" formatCode="General">
                  <c:v>285.78991846778763</c:v>
                </c:pt>
                <c:pt idx="15" formatCode="General">
                  <c:v>287.10042497133634</c:v>
                </c:pt>
                <c:pt idx="16" formatCode="General">
                  <c:v>288.30883953300969</c:v>
                </c:pt>
                <c:pt idx="17" formatCode="General">
                  <c:v>289.66257002538782</c:v>
                </c:pt>
              </c:numCache>
            </c:numRef>
          </c:val>
          <c:smooth val="0"/>
          <c:extLst>
            <c:ext xmlns:c16="http://schemas.microsoft.com/office/drawing/2014/chart" uri="{C3380CC4-5D6E-409C-BE32-E72D297353CC}">
              <c16:uniqueId val="{00000003-2A38-403D-A480-3D4DEC397CC4}"/>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278.45076175000042</c:v>
                </c:pt>
                <c:pt idx="1">
                  <c:v>270.43869995960682</c:v>
                </c:pt>
                <c:pt idx="2">
                  <c:v>262.83336495316576</c:v>
                </c:pt>
                <c:pt idx="3">
                  <c:v>255.71576517623615</c:v>
                </c:pt>
                <c:pt idx="4">
                  <c:v>249.75935764251648</c:v>
                </c:pt>
                <c:pt idx="5">
                  <c:v>244.0950667601517</c:v>
                </c:pt>
                <c:pt idx="6">
                  <c:v>237.40735770081938</c:v>
                </c:pt>
                <c:pt idx="7">
                  <c:v>230.83609015687443</c:v>
                </c:pt>
                <c:pt idx="8">
                  <c:v>224.55464527359061</c:v>
                </c:pt>
                <c:pt idx="9">
                  <c:v>219.20762435246766</c:v>
                </c:pt>
                <c:pt idx="10">
                  <c:v>214.20940770912216</c:v>
                </c:pt>
                <c:pt idx="11">
                  <c:v>209.87200160768504</c:v>
                </c:pt>
                <c:pt idx="12">
                  <c:v>206.01689181943419</c:v>
                </c:pt>
                <c:pt idx="13">
                  <c:v>202.15548046820987</c:v>
                </c:pt>
                <c:pt idx="14">
                  <c:v>198.02025801468568</c:v>
                </c:pt>
                <c:pt idx="15">
                  <c:v>193.50057651644403</c:v>
                </c:pt>
                <c:pt idx="16">
                  <c:v>188.91804055429691</c:v>
                </c:pt>
                <c:pt idx="17">
                  <c:v>184.51889247921991</c:v>
                </c:pt>
              </c:numCache>
            </c:numRef>
          </c:val>
          <c:smooth val="0"/>
          <c:extLst>
            <c:ext xmlns:c16="http://schemas.microsoft.com/office/drawing/2014/chart" uri="{C3380CC4-5D6E-409C-BE32-E72D297353CC}">
              <c16:uniqueId val="{00000004-2A38-403D-A480-3D4DEC397CC4}"/>
            </c:ext>
          </c:extLst>
        </c:ser>
        <c:dLbls>
          <c:showLegendKey val="0"/>
          <c:showVal val="0"/>
          <c:showCatName val="0"/>
          <c:showSerName val="0"/>
          <c:showPercent val="0"/>
          <c:showBubbleSize val="0"/>
        </c:dLbls>
        <c:marker val="1"/>
        <c:smooth val="0"/>
        <c:axId val="652752336"/>
        <c:axId val="652754296"/>
      </c:lineChart>
      <c:catAx>
        <c:axId val="652752336"/>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54296"/>
        <c:crosses val="autoZero"/>
        <c:auto val="1"/>
        <c:lblAlgn val="ctr"/>
        <c:lblOffset val="100"/>
        <c:noMultiLvlLbl val="0"/>
      </c:catAx>
      <c:valAx>
        <c:axId val="652754296"/>
        <c:scaling>
          <c:orientation val="minMax"/>
          <c:max val="310"/>
          <c:min val="160"/>
        </c:scaling>
        <c:delete val="0"/>
        <c:axPos val="l"/>
        <c:numFmt formatCode="General" sourceLinked="1"/>
        <c:majorTickMark val="out"/>
        <c:minorTickMark val="none"/>
        <c:tickLblPos val="nextTo"/>
        <c:crossAx val="652752336"/>
        <c:crosses val="autoZero"/>
        <c:crossBetween val="between"/>
        <c:majorUnit val="30"/>
      </c:valAx>
      <c:spPr>
        <a:solidFill>
          <a:srgbClr val="FFFFFF"/>
        </a:solidFill>
      </c:spPr>
    </c:plotArea>
    <c:legend>
      <c:legendPos val="l"/>
      <c:legendEntry>
        <c:idx val="0"/>
        <c:delete val="1"/>
      </c:legendEntry>
      <c:layout>
        <c:manualLayout>
          <c:xMode val="edge"/>
          <c:yMode val="edge"/>
          <c:x val="0.59188773384331017"/>
          <c:y val="0.20626531598864187"/>
          <c:w val="0.30617314287545805"/>
          <c:h val="0.24813929839574569"/>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CDA8-41CD-B7F7-53D93DDA1D1E}"/>
            </c:ext>
          </c:extLst>
        </c:ser>
        <c:dLbls>
          <c:showLegendKey val="0"/>
          <c:showVal val="0"/>
          <c:showCatName val="0"/>
          <c:showSerName val="0"/>
          <c:showPercent val="0"/>
          <c:showBubbleSize val="0"/>
        </c:dLbls>
        <c:gapWidth val="0"/>
        <c:axId val="652751944"/>
        <c:axId val="652750376"/>
      </c:barChart>
      <c:lineChart>
        <c:grouping val="standard"/>
        <c:varyColors val="0"/>
        <c:ser>
          <c:idx val="0"/>
          <c:order val="0"/>
          <c:tx>
            <c:strRef>
              <c:f>Sheet1!$A$2</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212.65586397500002</c:v>
                </c:pt>
                <c:pt idx="1">
                  <c:v>210.21201716333641</c:v>
                </c:pt>
                <c:pt idx="2">
                  <c:v>208.66469545775948</c:v>
                </c:pt>
                <c:pt idx="3">
                  <c:v>207.63046094295115</c:v>
                </c:pt>
                <c:pt idx="4">
                  <c:v>207.46329106327255</c:v>
                </c:pt>
                <c:pt idx="5">
                  <c:v>207.36859827800936</c:v>
                </c:pt>
                <c:pt idx="6">
                  <c:v>206.73232183828873</c:v>
                </c:pt>
                <c:pt idx="7">
                  <c:v>205.92328054200973</c:v>
                </c:pt>
                <c:pt idx="8">
                  <c:v>205.09587557552834</c:v>
                </c:pt>
                <c:pt idx="9">
                  <c:v>204.92401222360593</c:v>
                </c:pt>
                <c:pt idx="10">
                  <c:v>204.97452813540181</c:v>
                </c:pt>
                <c:pt idx="11" formatCode="General">
                  <c:v>205.60060031885314</c:v>
                </c:pt>
                <c:pt idx="12" formatCode="General">
                  <c:v>206.64048419660148</c:v>
                </c:pt>
                <c:pt idx="13" formatCode="General">
                  <c:v>207.76282402301123</c:v>
                </c:pt>
                <c:pt idx="14" formatCode="General">
                  <c:v>208.55166388128424</c:v>
                </c:pt>
                <c:pt idx="15" formatCode="General">
                  <c:v>208.68734433723805</c:v>
                </c:pt>
                <c:pt idx="16" formatCode="General">
                  <c:v>208.38301348402163</c:v>
                </c:pt>
                <c:pt idx="17" formatCode="General">
                  <c:v>207.81966699910612</c:v>
                </c:pt>
              </c:numCache>
            </c:numRef>
          </c:val>
          <c:smooth val="0"/>
          <c:extLst>
            <c:ext xmlns:c16="http://schemas.microsoft.com/office/drawing/2014/chart" uri="{C3380CC4-5D6E-409C-BE32-E72D297353CC}">
              <c16:uniqueId val="{00000001-CDA8-41CD-B7F7-53D93DDA1D1E}"/>
            </c:ext>
          </c:extLst>
        </c:ser>
        <c:ser>
          <c:idx val="3"/>
          <c:order val="1"/>
          <c:tx>
            <c:strRef>
              <c:f>Sheet1!$A$3</c:f>
              <c:strCache>
                <c:ptCount val="1"/>
                <c:pt idx="0">
                  <c:v>Pieprasījums</c:v>
                </c:pt>
              </c:strCache>
            </c:strRef>
          </c:tx>
          <c:marker>
            <c:symbol val="none"/>
          </c:marker>
          <c:dPt>
            <c:idx val="0"/>
            <c:bubble3D val="0"/>
            <c:extLst>
              <c:ext xmlns:c16="http://schemas.microsoft.com/office/drawing/2014/chart" uri="{C3380CC4-5D6E-409C-BE32-E72D297353CC}">
                <c16:uniqueId val="{00000002-CDA8-41CD-B7F7-53D93DDA1D1E}"/>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193.88392457499998</c:v>
                </c:pt>
                <c:pt idx="1">
                  <c:v>192.08400514275817</c:v>
                </c:pt>
                <c:pt idx="2">
                  <c:v>189.02274685528491</c:v>
                </c:pt>
                <c:pt idx="3">
                  <c:v>186.31045114429128</c:v>
                </c:pt>
                <c:pt idx="4">
                  <c:v>184.16741189205797</c:v>
                </c:pt>
                <c:pt idx="5">
                  <c:v>182.151258576326</c:v>
                </c:pt>
                <c:pt idx="6">
                  <c:v>179.63794203010673</c:v>
                </c:pt>
                <c:pt idx="7">
                  <c:v>176.5246656632979</c:v>
                </c:pt>
                <c:pt idx="8">
                  <c:v>173.13550437245087</c:v>
                </c:pt>
                <c:pt idx="9">
                  <c:v>169.68337173406397</c:v>
                </c:pt>
                <c:pt idx="10">
                  <c:v>166.18654481133248</c:v>
                </c:pt>
                <c:pt idx="11" formatCode="General">
                  <c:v>162.6068036284116</c:v>
                </c:pt>
                <c:pt idx="12" formatCode="General">
                  <c:v>159.10749989926342</c:v>
                </c:pt>
                <c:pt idx="13" formatCode="General">
                  <c:v>155.67268556418455</c:v>
                </c:pt>
                <c:pt idx="14" formatCode="General">
                  <c:v>152.23999029030659</c:v>
                </c:pt>
                <c:pt idx="15" formatCode="General">
                  <c:v>148.85793112753052</c:v>
                </c:pt>
                <c:pt idx="16" formatCode="General">
                  <c:v>145.49113766314312</c:v>
                </c:pt>
                <c:pt idx="17" formatCode="General">
                  <c:v>142.22649625081181</c:v>
                </c:pt>
              </c:numCache>
            </c:numRef>
          </c:val>
          <c:smooth val="0"/>
          <c:extLst>
            <c:ext xmlns:c16="http://schemas.microsoft.com/office/drawing/2014/chart" uri="{C3380CC4-5D6E-409C-BE32-E72D297353CC}">
              <c16:uniqueId val="{00000003-CDA8-41CD-B7F7-53D93DDA1D1E}"/>
            </c:ext>
          </c:extLst>
        </c:ser>
        <c:dLbls>
          <c:showLegendKey val="0"/>
          <c:showVal val="0"/>
          <c:showCatName val="0"/>
          <c:showSerName val="0"/>
          <c:showPercent val="0"/>
          <c:showBubbleSize val="0"/>
        </c:dLbls>
        <c:marker val="1"/>
        <c:smooth val="0"/>
        <c:axId val="652751944"/>
        <c:axId val="652750376"/>
      </c:lineChart>
      <c:catAx>
        <c:axId val="652751944"/>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50376"/>
        <c:crosses val="autoZero"/>
        <c:auto val="1"/>
        <c:lblAlgn val="ctr"/>
        <c:lblOffset val="100"/>
        <c:noMultiLvlLbl val="0"/>
      </c:catAx>
      <c:valAx>
        <c:axId val="652750376"/>
        <c:scaling>
          <c:orientation val="minMax"/>
          <c:max val="340"/>
          <c:min val="100"/>
        </c:scaling>
        <c:delete val="0"/>
        <c:axPos val="l"/>
        <c:numFmt formatCode="General" sourceLinked="1"/>
        <c:majorTickMark val="out"/>
        <c:minorTickMark val="none"/>
        <c:tickLblPos val="nextTo"/>
        <c:crossAx val="652751944"/>
        <c:crosses val="autoZero"/>
        <c:crossBetween val="between"/>
        <c:majorUnit val="40"/>
      </c:valAx>
      <c:spPr>
        <a:solidFill>
          <a:srgbClr val="FFFFFF"/>
        </a:solidFill>
      </c:spPr>
    </c:plotArea>
    <c:legend>
      <c:legendPos val="l"/>
      <c:legendEntry>
        <c:idx val="0"/>
        <c:delete val="1"/>
      </c:legendEntry>
      <c:layout>
        <c:manualLayout>
          <c:xMode val="edge"/>
          <c:yMode val="edge"/>
          <c:x val="0.54895814413971655"/>
          <c:y val="7.03799198706372E-2"/>
          <c:w val="0.34687860820043581"/>
          <c:h val="0.25519660726132215"/>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AA89-4BCB-9163-76CF5CF1AC45}"/>
            </c:ext>
          </c:extLst>
        </c:ser>
        <c:dLbls>
          <c:showLegendKey val="0"/>
          <c:showVal val="0"/>
          <c:showCatName val="0"/>
          <c:showSerName val="0"/>
          <c:showPercent val="0"/>
          <c:showBubbleSize val="0"/>
        </c:dLbls>
        <c:gapWidth val="0"/>
        <c:axId val="652754688"/>
        <c:axId val="652755864"/>
      </c:barChart>
      <c:lineChart>
        <c:grouping val="standard"/>
        <c:varyColors val="0"/>
        <c:ser>
          <c:idx val="0"/>
          <c:order val="0"/>
          <c:tx>
            <c:strRef>
              <c:f>Sheet1!$A$2</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74.677323275000091</c:v>
                </c:pt>
                <c:pt idx="1">
                  <c:v>80.973982620836736</c:v>
                </c:pt>
                <c:pt idx="2">
                  <c:v>87.080415224166018</c:v>
                </c:pt>
                <c:pt idx="3">
                  <c:v>93.375057332879706</c:v>
                </c:pt>
                <c:pt idx="4">
                  <c:v>100.29337537172505</c:v>
                </c:pt>
                <c:pt idx="5">
                  <c:v>107.16862464970711</c:v>
                </c:pt>
                <c:pt idx="6">
                  <c:v>113.35499981029908</c:v>
                </c:pt>
                <c:pt idx="7">
                  <c:v>117.92635025175562</c:v>
                </c:pt>
                <c:pt idx="8">
                  <c:v>120.56907611809916</c:v>
                </c:pt>
                <c:pt idx="9">
                  <c:v>121.77670766881624</c:v>
                </c:pt>
                <c:pt idx="10">
                  <c:v>121.48500378325392</c:v>
                </c:pt>
                <c:pt idx="11" formatCode="General">
                  <c:v>120.33855573613708</c:v>
                </c:pt>
                <c:pt idx="12" formatCode="General">
                  <c:v>118.55286614655546</c:v>
                </c:pt>
                <c:pt idx="13">
                  <c:v>116.4803547208142</c:v>
                </c:pt>
                <c:pt idx="14">
                  <c:v>114.55324960022743</c:v>
                </c:pt>
                <c:pt idx="15">
                  <c:v>112.86608098607965</c:v>
                </c:pt>
                <c:pt idx="16">
                  <c:v>111.34556003694682</c:v>
                </c:pt>
                <c:pt idx="17">
                  <c:v>109.69823808538681</c:v>
                </c:pt>
              </c:numCache>
            </c:numRef>
          </c:val>
          <c:smooth val="0"/>
          <c:extLst>
            <c:ext xmlns:c16="http://schemas.microsoft.com/office/drawing/2014/chart" uri="{C3380CC4-5D6E-409C-BE32-E72D297353CC}">
              <c16:uniqueId val="{00000001-AA89-4BCB-9163-76CF5CF1AC45}"/>
            </c:ext>
          </c:extLst>
        </c:ser>
        <c:ser>
          <c:idx val="3"/>
          <c:order val="1"/>
          <c:tx>
            <c:strRef>
              <c:f>Sheet1!$A$3</c:f>
              <c:strCache>
                <c:ptCount val="1"/>
                <c:pt idx="0">
                  <c:v>Pieprasījums</c:v>
                </c:pt>
              </c:strCache>
            </c:strRef>
          </c:tx>
          <c:marker>
            <c:symbol val="none"/>
          </c:marker>
          <c:dPt>
            <c:idx val="0"/>
            <c:bubble3D val="0"/>
            <c:extLst>
              <c:ext xmlns:c16="http://schemas.microsoft.com/office/drawing/2014/chart" uri="{C3380CC4-5D6E-409C-BE32-E72D297353CC}">
                <c16:uniqueId val="{00000002-AA89-4BCB-9163-76CF5CF1AC45}"/>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64.708518200000029</c:v>
                </c:pt>
                <c:pt idx="1">
                  <c:v>63.363902289663223</c:v>
                </c:pt>
                <c:pt idx="2">
                  <c:v>62.529805959085522</c:v>
                </c:pt>
                <c:pt idx="3">
                  <c:v>61.609075633684292</c:v>
                </c:pt>
                <c:pt idx="4">
                  <c:v>60.84013300451408</c:v>
                </c:pt>
                <c:pt idx="5">
                  <c:v>60.008208649636764</c:v>
                </c:pt>
                <c:pt idx="6">
                  <c:v>58.908527264854314</c:v>
                </c:pt>
                <c:pt idx="7">
                  <c:v>57.646107313974149</c:v>
                </c:pt>
                <c:pt idx="8">
                  <c:v>56.275116886579987</c:v>
                </c:pt>
                <c:pt idx="9">
                  <c:v>54.885873159571815</c:v>
                </c:pt>
                <c:pt idx="10">
                  <c:v>53.448161102605127</c:v>
                </c:pt>
                <c:pt idx="11" formatCode="General">
                  <c:v>52.031743413339782</c:v>
                </c:pt>
                <c:pt idx="12" formatCode="General">
                  <c:v>50.657873950198152</c:v>
                </c:pt>
                <c:pt idx="13">
                  <c:v>49.313764403963624</c:v>
                </c:pt>
                <c:pt idx="14">
                  <c:v>47.99861906327083</c:v>
                </c:pt>
                <c:pt idx="15">
                  <c:v>46.711342109667953</c:v>
                </c:pt>
                <c:pt idx="16">
                  <c:v>45.43461906988852</c:v>
                </c:pt>
                <c:pt idx="17">
                  <c:v>44.188737869376332</c:v>
                </c:pt>
              </c:numCache>
            </c:numRef>
          </c:val>
          <c:smooth val="0"/>
          <c:extLst>
            <c:ext xmlns:c16="http://schemas.microsoft.com/office/drawing/2014/chart" uri="{C3380CC4-5D6E-409C-BE32-E72D297353CC}">
              <c16:uniqueId val="{00000003-AA89-4BCB-9163-76CF5CF1AC45}"/>
            </c:ext>
          </c:extLst>
        </c:ser>
        <c:dLbls>
          <c:showLegendKey val="0"/>
          <c:showVal val="0"/>
          <c:showCatName val="0"/>
          <c:showSerName val="0"/>
          <c:showPercent val="0"/>
          <c:showBubbleSize val="0"/>
        </c:dLbls>
        <c:marker val="1"/>
        <c:smooth val="0"/>
        <c:axId val="652754688"/>
        <c:axId val="652755864"/>
      </c:lineChart>
      <c:catAx>
        <c:axId val="65275468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55864"/>
        <c:crosses val="autoZero"/>
        <c:auto val="1"/>
        <c:lblAlgn val="ctr"/>
        <c:lblOffset val="100"/>
        <c:noMultiLvlLbl val="0"/>
      </c:catAx>
      <c:valAx>
        <c:axId val="652755864"/>
        <c:scaling>
          <c:orientation val="minMax"/>
          <c:max val="180"/>
          <c:min val="30"/>
        </c:scaling>
        <c:delete val="0"/>
        <c:axPos val="l"/>
        <c:numFmt formatCode="General" sourceLinked="1"/>
        <c:majorTickMark val="out"/>
        <c:minorTickMark val="none"/>
        <c:tickLblPos val="nextTo"/>
        <c:crossAx val="652754688"/>
        <c:crosses val="autoZero"/>
        <c:crossBetween val="between"/>
        <c:majorUnit val="30"/>
      </c:valAx>
      <c:spPr>
        <a:solidFill>
          <a:srgbClr val="FFFFFF"/>
        </a:solidFill>
      </c:spPr>
    </c:plotArea>
    <c:legend>
      <c:legendPos val="l"/>
      <c:legendEntry>
        <c:idx val="0"/>
        <c:delete val="1"/>
      </c:legendEntry>
      <c:layout>
        <c:manualLayout>
          <c:xMode val="edge"/>
          <c:yMode val="edge"/>
          <c:x val="0.54895814413971655"/>
          <c:y val="4.3950566517929085E-2"/>
          <c:w val="0.34687860820043581"/>
          <c:h val="0.25519660726132215"/>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783444869065823E-2"/>
          <c:y val="0.25477777494808151"/>
          <c:w val="0.81304569012666139"/>
          <c:h val="0.64462374429012304"/>
        </c:manualLayout>
      </c:layout>
      <c:barChart>
        <c:barDir val="col"/>
        <c:grouping val="stacked"/>
        <c:varyColors val="0"/>
        <c:ser>
          <c:idx val="1"/>
          <c:order val="0"/>
          <c:tx>
            <c:strRef>
              <c:f>Sheet1!$A$2</c:f>
              <c:strCache>
                <c:ptCount val="1"/>
                <c:pt idx="0">
                  <c:v>DM</c:v>
                </c:pt>
              </c:strCache>
            </c:strRef>
          </c:tx>
          <c:spPr>
            <a:solidFill>
              <a:schemeClr val="accent5"/>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Sheet1!$B$1:$Y$1</c:f>
              <c:numCache>
                <c:formatCode>General</c:formatCode>
                <c:ptCount val="9"/>
                <c:pt idx="0">
                  <c:v>2010</c:v>
                </c:pt>
                <c:pt idx="1">
                  <c:v>2012</c:v>
                </c:pt>
                <c:pt idx="2">
                  <c:v>2014</c:v>
                </c:pt>
                <c:pt idx="3">
                  <c:v>2016</c:v>
                </c:pt>
                <c:pt idx="4">
                  <c:v>2019</c:v>
                </c:pt>
                <c:pt idx="5">
                  <c:v>2020</c:v>
                </c:pt>
                <c:pt idx="6">
                  <c:v>2021</c:v>
                </c:pt>
                <c:pt idx="7">
                  <c:v>2022</c:v>
                </c:pt>
                <c:pt idx="8">
                  <c:v>2023</c:v>
                </c:pt>
              </c:numCache>
            </c:numRef>
          </c:cat>
          <c:val>
            <c:numRef>
              <c:f>Sheet1!$B$2:$Y$2</c:f>
            </c:numRef>
          </c:val>
          <c:extLst>
            <c:ext xmlns:c16="http://schemas.microsoft.com/office/drawing/2014/chart" uri="{C3380CC4-5D6E-409C-BE32-E72D297353CC}">
              <c16:uniqueId val="{00000000-D2D8-4155-A76E-909F2F09E9EC}"/>
            </c:ext>
          </c:extLst>
        </c:ser>
        <c:ser>
          <c:idx val="0"/>
          <c:order val="1"/>
          <c:tx>
            <c:strRef>
              <c:f>Sheet1!$A$3</c:f>
              <c:strCache>
                <c:ptCount val="1"/>
                <c:pt idx="0">
                  <c:v>Darbaspēka pieprasījums (kreisā ass)</c:v>
                </c:pt>
              </c:strCache>
            </c:strRef>
          </c:tx>
          <c:spPr>
            <a:solidFill>
              <a:schemeClr val="accent6"/>
            </a:solidFill>
            <a:ln>
              <a:noFill/>
            </a:ln>
            <a:effectLst/>
          </c:spPr>
          <c:invertIfNegative val="0"/>
          <c:cat>
            <c:numRef>
              <c:f>Sheet1!$B$1:$Y$1</c:f>
              <c:numCache>
                <c:formatCode>General</c:formatCode>
                <c:ptCount val="9"/>
                <c:pt idx="0">
                  <c:v>2010</c:v>
                </c:pt>
                <c:pt idx="1">
                  <c:v>2012</c:v>
                </c:pt>
                <c:pt idx="2">
                  <c:v>2014</c:v>
                </c:pt>
                <c:pt idx="3">
                  <c:v>2016</c:v>
                </c:pt>
                <c:pt idx="4">
                  <c:v>2019</c:v>
                </c:pt>
                <c:pt idx="5">
                  <c:v>2020</c:v>
                </c:pt>
                <c:pt idx="6">
                  <c:v>2021</c:v>
                </c:pt>
                <c:pt idx="7">
                  <c:v>2022</c:v>
                </c:pt>
                <c:pt idx="8">
                  <c:v>2023</c:v>
                </c:pt>
              </c:numCache>
            </c:numRef>
          </c:cat>
          <c:val>
            <c:numRef>
              <c:f>Sheet1!$B$3:$Y$3</c:f>
              <c:numCache>
                <c:formatCode>0.0</c:formatCode>
                <c:ptCount val="9"/>
                <c:pt idx="0">
                  <c:v>57.8</c:v>
                </c:pt>
                <c:pt idx="1">
                  <c:v>-14</c:v>
                </c:pt>
                <c:pt idx="2">
                  <c:v>9.3000000000000007</c:v>
                </c:pt>
                <c:pt idx="3">
                  <c:v>2.8</c:v>
                </c:pt>
                <c:pt idx="4">
                  <c:v>-0.64499999999998181</c:v>
                </c:pt>
                <c:pt idx="5">
                  <c:v>17.025000000000091</c:v>
                </c:pt>
                <c:pt idx="6">
                  <c:v>29</c:v>
                </c:pt>
                <c:pt idx="7">
                  <c:v>-22.149999999999977</c:v>
                </c:pt>
                <c:pt idx="8">
                  <c:v>2.0499999999999545</c:v>
                </c:pt>
              </c:numCache>
            </c:numRef>
          </c:val>
          <c:extLst>
            <c:ext xmlns:c16="http://schemas.microsoft.com/office/drawing/2014/chart" uri="{C3380CC4-5D6E-409C-BE32-E72D297353CC}">
              <c16:uniqueId val="{00000001-D2D8-4155-A76E-909F2F09E9EC}"/>
            </c:ext>
          </c:extLst>
        </c:ser>
        <c:ser>
          <c:idx val="2"/>
          <c:order val="2"/>
          <c:tx>
            <c:strRef>
              <c:f>Sheet1!$A$4</c:f>
              <c:strCache>
                <c:ptCount val="1"/>
                <c:pt idx="0">
                  <c:v>EA iedz</c:v>
                </c:pt>
              </c:strCache>
            </c:strRef>
          </c:tx>
          <c:spPr>
            <a:solidFill>
              <a:schemeClr val="accent4"/>
            </a:solidFill>
            <a:ln>
              <a:noFill/>
            </a:ln>
            <a:effectLst/>
          </c:spPr>
          <c:invertIfNegative val="0"/>
          <c:cat>
            <c:numRef>
              <c:f>Sheet1!$B$1:$Y$1</c:f>
              <c:numCache>
                <c:formatCode>General</c:formatCode>
                <c:ptCount val="9"/>
                <c:pt idx="0">
                  <c:v>2010</c:v>
                </c:pt>
                <c:pt idx="1">
                  <c:v>2012</c:v>
                </c:pt>
                <c:pt idx="2">
                  <c:v>2014</c:v>
                </c:pt>
                <c:pt idx="3">
                  <c:v>2016</c:v>
                </c:pt>
                <c:pt idx="4">
                  <c:v>2019</c:v>
                </c:pt>
                <c:pt idx="5">
                  <c:v>2020</c:v>
                </c:pt>
                <c:pt idx="6">
                  <c:v>2021</c:v>
                </c:pt>
                <c:pt idx="7">
                  <c:v>2022</c:v>
                </c:pt>
                <c:pt idx="8">
                  <c:v>2023</c:v>
                </c:pt>
              </c:numCache>
            </c:numRef>
          </c:cat>
          <c:val>
            <c:numRef>
              <c:f>Sheet1!$B$4:$Y$4</c:f>
            </c:numRef>
          </c:val>
          <c:extLst>
            <c:ext xmlns:c16="http://schemas.microsoft.com/office/drawing/2014/chart" uri="{C3380CC4-5D6E-409C-BE32-E72D297353CC}">
              <c16:uniqueId val="{00000002-D2D8-4155-A76E-909F2F09E9EC}"/>
            </c:ext>
          </c:extLst>
        </c:ser>
        <c:ser>
          <c:idx val="3"/>
          <c:order val="3"/>
          <c:tx>
            <c:strRef>
              <c:f>Sheet1!$A$5</c:f>
              <c:strCache>
                <c:ptCount val="1"/>
                <c:pt idx="0">
                  <c:v>Darbaspējīgo iedzīvotāju skaits (kreisā ass)</c:v>
                </c:pt>
              </c:strCache>
            </c:strRef>
          </c:tx>
          <c:spPr>
            <a:solidFill>
              <a:schemeClr val="accent6">
                <a:lumMod val="60000"/>
              </a:schemeClr>
            </a:solidFill>
            <a:ln>
              <a:noFill/>
            </a:ln>
            <a:effectLst/>
          </c:spPr>
          <c:invertIfNegative val="0"/>
          <c:cat>
            <c:numRef>
              <c:f>Sheet1!$B$1:$Y$1</c:f>
              <c:numCache>
                <c:formatCode>General</c:formatCode>
                <c:ptCount val="9"/>
                <c:pt idx="0">
                  <c:v>2010</c:v>
                </c:pt>
                <c:pt idx="1">
                  <c:v>2012</c:v>
                </c:pt>
                <c:pt idx="2">
                  <c:v>2014</c:v>
                </c:pt>
                <c:pt idx="3">
                  <c:v>2016</c:v>
                </c:pt>
                <c:pt idx="4">
                  <c:v>2019</c:v>
                </c:pt>
                <c:pt idx="5">
                  <c:v>2020</c:v>
                </c:pt>
                <c:pt idx="6">
                  <c:v>2021</c:v>
                </c:pt>
                <c:pt idx="7">
                  <c:v>2022</c:v>
                </c:pt>
                <c:pt idx="8">
                  <c:v>2023</c:v>
                </c:pt>
              </c:numCache>
            </c:numRef>
          </c:cat>
          <c:val>
            <c:numRef>
              <c:f>Sheet1!$B$5:$Y$5</c:f>
              <c:numCache>
                <c:formatCode>0.0</c:formatCode>
                <c:ptCount val="9"/>
                <c:pt idx="0">
                  <c:v>-5.9</c:v>
                </c:pt>
                <c:pt idx="1">
                  <c:v>-35.299999999999997</c:v>
                </c:pt>
                <c:pt idx="2">
                  <c:v>-40.299999999999997</c:v>
                </c:pt>
                <c:pt idx="3">
                  <c:v>-22.3</c:v>
                </c:pt>
                <c:pt idx="4">
                  <c:v>-11.3</c:v>
                </c:pt>
                <c:pt idx="5">
                  <c:v>-9.4</c:v>
                </c:pt>
                <c:pt idx="6">
                  <c:v>-8.6999999999998181</c:v>
                </c:pt>
                <c:pt idx="7">
                  <c:v>4.5499999999997272</c:v>
                </c:pt>
                <c:pt idx="8">
                  <c:v>-8.3499999999999091</c:v>
                </c:pt>
              </c:numCache>
            </c:numRef>
          </c:val>
          <c:extLst>
            <c:ext xmlns:c16="http://schemas.microsoft.com/office/drawing/2014/chart" uri="{C3380CC4-5D6E-409C-BE32-E72D297353CC}">
              <c16:uniqueId val="{00000003-D2D8-4155-A76E-909F2F09E9EC}"/>
            </c:ext>
          </c:extLst>
        </c:ser>
        <c:ser>
          <c:idx val="4"/>
          <c:order val="4"/>
          <c:tx>
            <c:strRef>
              <c:f>Sheet1!$A$6</c:f>
              <c:strCache>
                <c:ptCount val="1"/>
                <c:pt idx="0">
                  <c:v>Iedzīvotāju ekonomiskā aktivitāte (kreisā ass)</c:v>
                </c:pt>
              </c:strCache>
            </c:strRef>
          </c:tx>
          <c:spPr>
            <a:solidFill>
              <a:schemeClr val="accent5">
                <a:lumMod val="60000"/>
              </a:schemeClr>
            </a:solidFill>
            <a:ln>
              <a:noFill/>
            </a:ln>
            <a:effectLst/>
          </c:spPr>
          <c:invertIfNegative val="0"/>
          <c:cat>
            <c:numRef>
              <c:f>Sheet1!$B$1:$Y$1</c:f>
              <c:numCache>
                <c:formatCode>General</c:formatCode>
                <c:ptCount val="9"/>
                <c:pt idx="0">
                  <c:v>2010</c:v>
                </c:pt>
                <c:pt idx="1">
                  <c:v>2012</c:v>
                </c:pt>
                <c:pt idx="2">
                  <c:v>2014</c:v>
                </c:pt>
                <c:pt idx="3">
                  <c:v>2016</c:v>
                </c:pt>
                <c:pt idx="4">
                  <c:v>2019</c:v>
                </c:pt>
                <c:pt idx="5">
                  <c:v>2020</c:v>
                </c:pt>
                <c:pt idx="6">
                  <c:v>2021</c:v>
                </c:pt>
                <c:pt idx="7">
                  <c:v>2022</c:v>
                </c:pt>
                <c:pt idx="8">
                  <c:v>2023</c:v>
                </c:pt>
              </c:numCache>
            </c:numRef>
          </c:cat>
          <c:val>
            <c:numRef>
              <c:f>Sheet1!$B$6:$Y$6</c:f>
              <c:numCache>
                <c:formatCode>0.0</c:formatCode>
                <c:ptCount val="9"/>
                <c:pt idx="0">
                  <c:v>12.9</c:v>
                </c:pt>
                <c:pt idx="1">
                  <c:v>37.799999999999997</c:v>
                </c:pt>
                <c:pt idx="2">
                  <c:v>18.399999999999999</c:v>
                </c:pt>
                <c:pt idx="3">
                  <c:v>16.7</c:v>
                </c:pt>
                <c:pt idx="4">
                  <c:v>0.49749999999983174</c:v>
                </c:pt>
                <c:pt idx="5">
                  <c:v>9.7750000000003183</c:v>
                </c:pt>
                <c:pt idx="6">
                  <c:v>-28.400000000000205</c:v>
                </c:pt>
                <c:pt idx="7">
                  <c:v>12.175000000000182</c:v>
                </c:pt>
                <c:pt idx="8">
                  <c:v>2.7250000000000227</c:v>
                </c:pt>
              </c:numCache>
            </c:numRef>
          </c:val>
          <c:extLst>
            <c:ext xmlns:c16="http://schemas.microsoft.com/office/drawing/2014/chart" uri="{C3380CC4-5D6E-409C-BE32-E72D297353CC}">
              <c16:uniqueId val="{00000004-D2D8-4155-A76E-909F2F09E9EC}"/>
            </c:ext>
          </c:extLst>
        </c:ser>
        <c:dLbls>
          <c:showLegendKey val="0"/>
          <c:showVal val="0"/>
          <c:showCatName val="0"/>
          <c:showSerName val="0"/>
          <c:showPercent val="0"/>
          <c:showBubbleSize val="0"/>
        </c:dLbls>
        <c:gapWidth val="40"/>
        <c:overlap val="100"/>
        <c:axId val="742151832"/>
        <c:axId val="742151048"/>
      </c:barChart>
      <c:lineChart>
        <c:grouping val="standard"/>
        <c:varyColors val="0"/>
        <c:ser>
          <c:idx val="5"/>
          <c:order val="5"/>
          <c:tx>
            <c:strRef>
              <c:f>Sheet1!$A$7</c:f>
              <c:strCache>
                <c:ptCount val="1"/>
                <c:pt idx="0">
                  <c:v>Bezdarbnieku kopējais skaits (kreisā ass)</c:v>
                </c:pt>
              </c:strCache>
            </c:strRef>
          </c:tx>
          <c:spPr>
            <a:ln w="28575" cap="rnd" cmpd="sng" algn="ctr">
              <a:solidFill>
                <a:schemeClr val="accent4">
                  <a:lumMod val="60000"/>
                  <a:shade val="95000"/>
                  <a:satMod val="105000"/>
                </a:schemeClr>
              </a:solidFill>
              <a:prstDash val="solid"/>
              <a:round/>
            </a:ln>
            <a:effectLst/>
          </c:spPr>
          <c:marker>
            <c:symbol val="none"/>
          </c:marker>
          <c:cat>
            <c:numRef>
              <c:f>Sheet1!$B$1:$Y$1</c:f>
              <c:numCache>
                <c:formatCode>General</c:formatCode>
                <c:ptCount val="9"/>
                <c:pt idx="0">
                  <c:v>2010</c:v>
                </c:pt>
                <c:pt idx="1">
                  <c:v>2012</c:v>
                </c:pt>
                <c:pt idx="2">
                  <c:v>2014</c:v>
                </c:pt>
                <c:pt idx="3">
                  <c:v>2016</c:v>
                </c:pt>
                <c:pt idx="4">
                  <c:v>2019</c:v>
                </c:pt>
                <c:pt idx="5">
                  <c:v>2020</c:v>
                </c:pt>
                <c:pt idx="6">
                  <c:v>2021</c:v>
                </c:pt>
                <c:pt idx="7">
                  <c:v>2022</c:v>
                </c:pt>
                <c:pt idx="8">
                  <c:v>2023</c:v>
                </c:pt>
              </c:numCache>
            </c:numRef>
          </c:cat>
          <c:val>
            <c:numRef>
              <c:f>Sheet1!$B$7:$Y$7</c:f>
              <c:numCache>
                <c:formatCode>0.0</c:formatCode>
                <c:ptCount val="9"/>
                <c:pt idx="0">
                  <c:v>12.9</c:v>
                </c:pt>
                <c:pt idx="1">
                  <c:v>-11.5</c:v>
                </c:pt>
                <c:pt idx="2">
                  <c:v>-12.7</c:v>
                </c:pt>
                <c:pt idx="3">
                  <c:v>-2.9</c:v>
                </c:pt>
                <c:pt idx="4">
                  <c:v>-11.5</c:v>
                </c:pt>
                <c:pt idx="5">
                  <c:v>17.350000000000136</c:v>
                </c:pt>
                <c:pt idx="6">
                  <c:v>-8.1000000000000227</c:v>
                </c:pt>
                <c:pt idx="7">
                  <c:v>-5.4250000000000682</c:v>
                </c:pt>
                <c:pt idx="8">
                  <c:v>-3.5749999999999318</c:v>
                </c:pt>
              </c:numCache>
            </c:numRef>
          </c:val>
          <c:smooth val="0"/>
          <c:extLst>
            <c:ext xmlns:c16="http://schemas.microsoft.com/office/drawing/2014/chart" uri="{C3380CC4-5D6E-409C-BE32-E72D297353CC}">
              <c16:uniqueId val="{00000005-D2D8-4155-A76E-909F2F09E9EC}"/>
            </c:ext>
          </c:extLst>
        </c:ser>
        <c:dLbls>
          <c:showLegendKey val="0"/>
          <c:showVal val="0"/>
          <c:showCatName val="0"/>
          <c:showSerName val="0"/>
          <c:showPercent val="0"/>
          <c:showBubbleSize val="0"/>
        </c:dLbls>
        <c:marker val="1"/>
        <c:smooth val="0"/>
        <c:axId val="742151832"/>
        <c:axId val="742151048"/>
      </c:lineChart>
      <c:lineChart>
        <c:grouping val="standard"/>
        <c:varyColors val="0"/>
        <c:ser>
          <c:idx val="6"/>
          <c:order val="6"/>
          <c:tx>
            <c:strRef>
              <c:f>Sheet1!$A$8</c:f>
              <c:strCache>
                <c:ptCount val="1"/>
                <c:pt idx="0">
                  <c:v>Bezdarba līmenis, % (labā ass)</c:v>
                </c:pt>
              </c:strCache>
            </c:strRef>
          </c:tx>
          <c:spPr>
            <a:ln w="28575" cap="rnd" cmpd="sng" algn="ctr">
              <a:solidFill>
                <a:schemeClr val="accent6">
                  <a:lumMod val="80000"/>
                  <a:lumOff val="20000"/>
                  <a:shade val="95000"/>
                  <a:satMod val="105000"/>
                </a:schemeClr>
              </a:solidFill>
              <a:prstDash val="solid"/>
              <a:round/>
            </a:ln>
            <a:effectLst/>
          </c:spPr>
          <c:marker>
            <c:symbol val="none"/>
          </c:marker>
          <c:cat>
            <c:numRef>
              <c:f>Sheet1!$B$1:$Y$1</c:f>
              <c:numCache>
                <c:formatCode>General</c:formatCode>
                <c:ptCount val="9"/>
                <c:pt idx="0">
                  <c:v>2010</c:v>
                </c:pt>
                <c:pt idx="1">
                  <c:v>2012</c:v>
                </c:pt>
                <c:pt idx="2">
                  <c:v>2014</c:v>
                </c:pt>
                <c:pt idx="3">
                  <c:v>2016</c:v>
                </c:pt>
                <c:pt idx="4">
                  <c:v>2019</c:v>
                </c:pt>
                <c:pt idx="5">
                  <c:v>2020</c:v>
                </c:pt>
                <c:pt idx="6">
                  <c:v>2021</c:v>
                </c:pt>
                <c:pt idx="7">
                  <c:v>2022</c:v>
                </c:pt>
                <c:pt idx="8">
                  <c:v>2023</c:v>
                </c:pt>
              </c:numCache>
            </c:numRef>
          </c:cat>
          <c:val>
            <c:numRef>
              <c:f>Sheet1!$B$8:$Y$8</c:f>
              <c:numCache>
                <c:formatCode>0.0</c:formatCode>
                <c:ptCount val="9"/>
                <c:pt idx="0">
                  <c:v>19.5</c:v>
                </c:pt>
                <c:pt idx="1">
                  <c:v>15.1</c:v>
                </c:pt>
                <c:pt idx="2">
                  <c:v>10.9</c:v>
                </c:pt>
                <c:pt idx="3">
                  <c:v>9.6</c:v>
                </c:pt>
                <c:pt idx="4">
                  <c:v>6.3</c:v>
                </c:pt>
                <c:pt idx="5">
                  <c:v>8.1</c:v>
                </c:pt>
                <c:pt idx="6">
                  <c:v>7.6</c:v>
                </c:pt>
                <c:pt idx="7" formatCode="General">
                  <c:v>6.9</c:v>
                </c:pt>
                <c:pt idx="8" formatCode="General">
                  <c:v>6.5</c:v>
                </c:pt>
              </c:numCache>
            </c:numRef>
          </c:val>
          <c:smooth val="0"/>
          <c:extLst>
            <c:ext xmlns:c16="http://schemas.microsoft.com/office/drawing/2014/chart" uri="{C3380CC4-5D6E-409C-BE32-E72D297353CC}">
              <c16:uniqueId val="{00000006-D2D8-4155-A76E-909F2F09E9EC}"/>
            </c:ext>
          </c:extLst>
        </c:ser>
        <c:dLbls>
          <c:showLegendKey val="0"/>
          <c:showVal val="0"/>
          <c:showCatName val="0"/>
          <c:showSerName val="0"/>
          <c:showPercent val="0"/>
          <c:showBubbleSize val="0"/>
        </c:dLbls>
        <c:marker val="1"/>
        <c:smooth val="0"/>
        <c:axId val="742152616"/>
        <c:axId val="742152224"/>
      </c:lineChart>
      <c:catAx>
        <c:axId val="742151832"/>
        <c:scaling>
          <c:orientation val="minMax"/>
        </c:scaling>
        <c:delete val="0"/>
        <c:axPos val="b"/>
        <c:numFmt formatCode="General" sourceLinked="1"/>
        <c:majorTickMark val="out"/>
        <c:minorTickMark val="none"/>
        <c:tickLblPos val="low"/>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crossAx val="742151048"/>
        <c:crossesAt val="0"/>
        <c:auto val="0"/>
        <c:lblAlgn val="ctr"/>
        <c:lblOffset val="0"/>
        <c:noMultiLvlLbl val="1"/>
      </c:catAx>
      <c:valAx>
        <c:axId val="742151048"/>
        <c:scaling>
          <c:orientation val="minMax"/>
          <c:max val="180"/>
        </c:scaling>
        <c:delete val="0"/>
        <c:axPos val="l"/>
        <c:numFmt formatCode="#,##0" sourceLinked="0"/>
        <c:majorTickMark val="out"/>
        <c:minorTickMark val="none"/>
        <c:tickLblPos val="nextTo"/>
        <c:spPr>
          <a:noFill/>
          <a:ln w="2339"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crossAx val="742151832"/>
        <c:crossesAt val="1"/>
        <c:crossBetween val="between"/>
        <c:majorUnit val="60"/>
      </c:valAx>
      <c:valAx>
        <c:axId val="742152224"/>
        <c:scaling>
          <c:orientation val="minMax"/>
          <c:max val="30"/>
          <c:min val="-30"/>
        </c:scaling>
        <c:delete val="0"/>
        <c:axPos val="r"/>
        <c:numFmt formatCode="0" sourceLinked="0"/>
        <c:majorTickMark val="out"/>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crossAx val="742152616"/>
        <c:crosses val="max"/>
        <c:crossBetween val="between"/>
        <c:majorUnit val="10"/>
      </c:valAx>
      <c:catAx>
        <c:axId val="742152616"/>
        <c:scaling>
          <c:orientation val="minMax"/>
        </c:scaling>
        <c:delete val="1"/>
        <c:axPos val="b"/>
        <c:numFmt formatCode="General" sourceLinked="1"/>
        <c:majorTickMark val="out"/>
        <c:minorTickMark val="none"/>
        <c:tickLblPos val="nextTo"/>
        <c:crossAx val="742152224"/>
        <c:crosses val="autoZero"/>
        <c:auto val="1"/>
        <c:lblAlgn val="ctr"/>
        <c:lblOffset val="100"/>
        <c:noMultiLvlLbl val="0"/>
      </c:catAx>
      <c:spPr>
        <a:noFill/>
        <a:ln w="24220">
          <a:noFill/>
        </a:ln>
        <a:effectLst/>
      </c:spPr>
    </c:plotArea>
    <c:legend>
      <c:legendPos val="r"/>
      <c:layout>
        <c:manualLayout>
          <c:xMode val="edge"/>
          <c:yMode val="edge"/>
          <c:x val="9.0298290416400639E-2"/>
          <c:y val="7.3475378941348889E-3"/>
          <c:w val="0.81721607434205856"/>
          <c:h val="0.36959300992991873"/>
        </c:manualLayout>
      </c:layout>
      <c:overlay val="1"/>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i="0" u="none" strike="noStrike"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4">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2853560320724438"/>
          <c:h val="0.88582237276206388"/>
        </c:manualLayout>
      </c:layout>
      <c:barChart>
        <c:barDir val="col"/>
        <c:grouping val="clustered"/>
        <c:varyColors val="0"/>
        <c:ser>
          <c:idx val="3"/>
          <c:order val="0"/>
          <c:tx>
            <c:strRef>
              <c:f>Sheet1!$B$1</c:f>
              <c:strCache>
                <c:ptCount val="1"/>
                <c:pt idx="0">
                  <c:v>piedāvājums</c:v>
                </c:pt>
              </c:strCache>
            </c:strRef>
          </c:tx>
          <c:spPr>
            <a:solidFill>
              <a:schemeClr val="accent4"/>
            </a:solidFill>
            <a:ln>
              <a:noFill/>
            </a:ln>
            <a:effectLst/>
          </c:spPr>
          <c:invertIfNegative val="0"/>
          <c:dLbls>
            <c:delete val="1"/>
          </c:dLbls>
          <c:cat>
            <c:numRef>
              <c:f>Sheet1!$A$2:$A$9</c:f>
              <c:numCache>
                <c:formatCode>General</c:formatCode>
                <c:ptCount val="8"/>
              </c:numCache>
            </c:numRef>
          </c:cat>
          <c:val>
            <c:numRef>
              <c:f>Sheet1!$B$2:$B$9</c:f>
              <c:numCache>
                <c:formatCode>#,##0</c:formatCode>
                <c:ptCount val="8"/>
                <c:pt idx="0">
                  <c:v>100</c:v>
                </c:pt>
                <c:pt idx="1">
                  <c:v>100</c:v>
                </c:pt>
                <c:pt idx="2">
                  <c:v>100</c:v>
                </c:pt>
                <c:pt idx="3">
                  <c:v>100</c:v>
                </c:pt>
                <c:pt idx="4">
                  <c:v>100</c:v>
                </c:pt>
                <c:pt idx="5">
                  <c:v>100</c:v>
                </c:pt>
                <c:pt idx="6">
                  <c:v>100</c:v>
                </c:pt>
                <c:pt idx="7">
                  <c:v>100</c:v>
                </c:pt>
              </c:numCache>
            </c:numRef>
          </c:val>
          <c:extLst>
            <c:ext xmlns:c16="http://schemas.microsoft.com/office/drawing/2014/chart" uri="{C3380CC4-5D6E-409C-BE32-E72D297353CC}">
              <c16:uniqueId val="{00000000-CCB9-4444-9FA8-0C58F43E0CF8}"/>
            </c:ext>
          </c:extLst>
        </c:ser>
        <c:ser>
          <c:idx val="0"/>
          <c:order val="1"/>
          <c:tx>
            <c:strRef>
              <c:f>Sheet1!$C$1</c:f>
              <c:strCache>
                <c:ptCount val="1"/>
                <c:pt idx="0">
                  <c:v>pieprasījums</c:v>
                </c:pt>
              </c:strCache>
            </c:strRef>
          </c:tx>
          <c:spPr>
            <a:solidFill>
              <a:schemeClr val="accent4">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1-CCB9-4444-9FA8-0C58F43E0CF8}"/>
              </c:ext>
            </c:extLst>
          </c:dPt>
          <c:dLbls>
            <c:spPr>
              <a:noFill/>
              <a:ln>
                <a:noFill/>
              </a:ln>
              <a:effectLst/>
            </c:spPr>
            <c:txPr>
              <a:bodyPr rot="0" vert="horz"/>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numCache>
            </c:numRef>
          </c:cat>
          <c:val>
            <c:numRef>
              <c:f>Sheet1!$C$2:$C$9</c:f>
              <c:numCache>
                <c:formatCode>#,##0</c:formatCode>
                <c:ptCount val="8"/>
                <c:pt idx="0">
                  <c:v>89.544437510168393</c:v>
                </c:pt>
                <c:pt idx="1">
                  <c:v>88.202564838933554</c:v>
                </c:pt>
                <c:pt idx="2">
                  <c:v>94.408498869454533</c:v>
                </c:pt>
                <c:pt idx="3">
                  <c:v>126.92908803784853</c:v>
                </c:pt>
                <c:pt idx="4">
                  <c:v>104.61739056791875</c:v>
                </c:pt>
                <c:pt idx="5">
                  <c:v>97.384043642451132</c:v>
                </c:pt>
                <c:pt idx="6">
                  <c:v>99.694639241326229</c:v>
                </c:pt>
                <c:pt idx="7">
                  <c:v>98.051305731480568</c:v>
                </c:pt>
              </c:numCache>
            </c:numRef>
          </c:val>
          <c:extLst>
            <c:ext xmlns:c16="http://schemas.microsoft.com/office/drawing/2014/chart" uri="{C3380CC4-5D6E-409C-BE32-E72D297353CC}">
              <c16:uniqueId val="{00000002-CCB9-4444-9FA8-0C58F43E0CF8}"/>
            </c:ext>
          </c:extLst>
        </c:ser>
        <c:dLbls>
          <c:showLegendKey val="0"/>
          <c:showVal val="1"/>
          <c:showCatName val="0"/>
          <c:showSerName val="0"/>
          <c:showPercent val="0"/>
          <c:showBubbleSize val="0"/>
        </c:dLbls>
        <c:gapWidth val="40"/>
        <c:overlap val="70"/>
        <c:axId val="652756648"/>
        <c:axId val="652747632"/>
      </c:barChart>
      <c:catAx>
        <c:axId val="652756648"/>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lv-LV"/>
          </a:p>
        </c:txPr>
        <c:crossAx val="652747632"/>
        <c:crosses val="autoZero"/>
        <c:auto val="0"/>
        <c:lblAlgn val="ctr"/>
        <c:lblOffset val="100"/>
        <c:tickLblSkip val="1"/>
        <c:tickMarkSkip val="1"/>
        <c:noMultiLvlLbl val="0"/>
      </c:catAx>
      <c:valAx>
        <c:axId val="652747632"/>
        <c:scaling>
          <c:orientation val="minMax"/>
          <c:max val="140"/>
          <c:min val="6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652756648"/>
        <c:crosses val="autoZero"/>
        <c:crossBetween val="between"/>
        <c:majorUnit val="20"/>
      </c:valAx>
      <c:spPr>
        <a:solidFill>
          <a:srgbClr val="FFFFFF"/>
        </a:solidFill>
        <a:ln>
          <a:noFill/>
        </a:ln>
        <a:effectLst/>
      </c:spPr>
    </c:plotArea>
    <c:legend>
      <c:legendPos val="l"/>
      <c:layout>
        <c:manualLayout>
          <c:xMode val="edge"/>
          <c:yMode val="edge"/>
          <c:x val="0.78306168981481483"/>
          <c:y val="1.3537922516486674E-2"/>
          <c:w val="0.1753675925925926"/>
          <c:h val="0.17090712087922266"/>
        </c:manualLayout>
      </c:layout>
      <c:overlay val="1"/>
      <c:spPr>
        <a:solidFill>
          <a:srgbClr val="FFFFFF"/>
        </a:solidFill>
        <a:ln>
          <a:noFill/>
        </a:ln>
        <a:effectLst/>
      </c:spPr>
      <c:txPr>
        <a:bodyPr rot="0" vert="horz"/>
        <a:lstStyle/>
        <a:p>
          <a:pPr>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C5A1-432E-B50A-6F33C857191F}"/>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C5A1-432E-B50A-6F33C857191F}"/>
              </c:ext>
            </c:extLst>
          </c:dPt>
          <c:dLbls>
            <c:dLbl>
              <c:idx val="1"/>
              <c:delete val="1"/>
              <c:extLst>
                <c:ext xmlns:c15="http://schemas.microsoft.com/office/drawing/2012/chart" uri="{CE6537A1-D6FC-4f65-9D91-7224C49458BB}"/>
                <c:ext xmlns:c16="http://schemas.microsoft.com/office/drawing/2014/chart" uri="{C3380CC4-5D6E-409C-BE32-E72D297353CC}">
                  <c16:uniqueId val="{00000003-C5A1-432E-B50A-6F33C857191F}"/>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0.0</c:formatCode>
                <c:ptCount val="2"/>
                <c:pt idx="0">
                  <c:v>11.633462406013253</c:v>
                </c:pt>
                <c:pt idx="1">
                  <c:v>88.366537593986749</c:v>
                </c:pt>
              </c:numCache>
            </c:numRef>
          </c:val>
          <c:extLst>
            <c:ext xmlns:c16="http://schemas.microsoft.com/office/drawing/2014/chart" uri="{C3380CC4-5D6E-409C-BE32-E72D297353CC}">
              <c16:uniqueId val="{00000004-C5A1-432E-B50A-6F33C857191F}"/>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AAE7-4782-81B3-CBDD104371B3}"/>
            </c:ext>
          </c:extLst>
        </c:ser>
        <c:dLbls>
          <c:showLegendKey val="0"/>
          <c:showVal val="0"/>
          <c:showCatName val="0"/>
          <c:showSerName val="0"/>
          <c:showPercent val="0"/>
          <c:showBubbleSize val="0"/>
        </c:dLbls>
        <c:gapWidth val="0"/>
        <c:axId val="652762920"/>
        <c:axId val="652765272"/>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AAE7-4782-81B3-CBDD104371B3}"/>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45.536026350000036</c:v>
                </c:pt>
                <c:pt idx="1">
                  <c:v>45.02479259293267</c:v>
                </c:pt>
                <c:pt idx="2">
                  <c:v>44.5335571581818</c:v>
                </c:pt>
                <c:pt idx="3">
                  <c:v>43.845025203438183</c:v>
                </c:pt>
                <c:pt idx="4">
                  <c:v>43.454671557906707</c:v>
                </c:pt>
                <c:pt idx="5">
                  <c:v>43.146515037175554</c:v>
                </c:pt>
                <c:pt idx="6">
                  <c:v>42.74228687144258</c:v>
                </c:pt>
                <c:pt idx="7">
                  <c:v>42.235341108953875</c:v>
                </c:pt>
                <c:pt idx="8" formatCode="General">
                  <c:v>41.709027478403719</c:v>
                </c:pt>
                <c:pt idx="9" formatCode="General">
                  <c:v>41.17505441103394</c:v>
                </c:pt>
                <c:pt idx="10" formatCode="General">
                  <c:v>40.645858513144958</c:v>
                </c:pt>
                <c:pt idx="11" formatCode="General">
                  <c:v>40.144266275631367</c:v>
                </c:pt>
                <c:pt idx="12" formatCode="General">
                  <c:v>39.649391806430366</c:v>
                </c:pt>
                <c:pt idx="13" formatCode="General">
                  <c:v>39.168694311151519</c:v>
                </c:pt>
                <c:pt idx="14" formatCode="General">
                  <c:v>38.723390072787154</c:v>
                </c:pt>
                <c:pt idx="15" formatCode="General">
                  <c:v>38.278440969819918</c:v>
                </c:pt>
                <c:pt idx="16" formatCode="General">
                  <c:v>37.824960640311986</c:v>
                </c:pt>
                <c:pt idx="17" formatCode="General">
                  <c:v>37.374293933360768</c:v>
                </c:pt>
              </c:numCache>
            </c:numRef>
          </c:val>
          <c:smooth val="0"/>
          <c:extLst>
            <c:ext xmlns:c16="http://schemas.microsoft.com/office/drawing/2014/chart" uri="{C3380CC4-5D6E-409C-BE32-E72D297353CC}">
              <c16:uniqueId val="{00000003-AAE7-4782-81B3-CBDD104371B3}"/>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46.420158949999994</c:v>
                </c:pt>
                <c:pt idx="1">
                  <c:v>46.550797369345702</c:v>
                </c:pt>
                <c:pt idx="2">
                  <c:v>46.839229206299464</c:v>
                </c:pt>
                <c:pt idx="3">
                  <c:v>47.135473716735241</c:v>
                </c:pt>
                <c:pt idx="4">
                  <c:v>47.479248052843289</c:v>
                </c:pt>
                <c:pt idx="5">
                  <c:v>47.677568828327985</c:v>
                </c:pt>
                <c:pt idx="6">
                  <c:v>47.517093346915857</c:v>
                </c:pt>
                <c:pt idx="7">
                  <c:v>47.166906491715643</c:v>
                </c:pt>
                <c:pt idx="8" formatCode="General">
                  <c:v>46.69710320097311</c:v>
                </c:pt>
                <c:pt idx="9" formatCode="General">
                  <c:v>46.215971159380047</c:v>
                </c:pt>
                <c:pt idx="10" formatCode="General">
                  <c:v>45.635576262229193</c:v>
                </c:pt>
                <c:pt idx="11" formatCode="General">
                  <c:v>45.050889313789128</c:v>
                </c:pt>
                <c:pt idx="12" formatCode="General">
                  <c:v>44.477424080244433</c:v>
                </c:pt>
                <c:pt idx="13" formatCode="General">
                  <c:v>43.915805862030922</c:v>
                </c:pt>
                <c:pt idx="14" formatCode="General">
                  <c:v>43.41481970295883</c:v>
                </c:pt>
                <c:pt idx="15" formatCode="General">
                  <c:v>42.950179865930991</c:v>
                </c:pt>
                <c:pt idx="16" formatCode="General">
                  <c:v>42.507069753332601</c:v>
                </c:pt>
                <c:pt idx="17" formatCode="General">
                  <c:v>42.052080089815526</c:v>
                </c:pt>
              </c:numCache>
            </c:numRef>
          </c:val>
          <c:smooth val="0"/>
          <c:extLst>
            <c:ext xmlns:c16="http://schemas.microsoft.com/office/drawing/2014/chart" uri="{C3380CC4-5D6E-409C-BE32-E72D297353CC}">
              <c16:uniqueId val="{00000004-AAE7-4782-81B3-CBDD104371B3}"/>
            </c:ext>
          </c:extLst>
        </c:ser>
        <c:dLbls>
          <c:showLegendKey val="0"/>
          <c:showVal val="0"/>
          <c:showCatName val="0"/>
          <c:showSerName val="0"/>
          <c:showPercent val="0"/>
          <c:showBubbleSize val="0"/>
        </c:dLbls>
        <c:marker val="1"/>
        <c:smooth val="0"/>
        <c:axId val="652762920"/>
        <c:axId val="652765272"/>
      </c:lineChart>
      <c:catAx>
        <c:axId val="652762920"/>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65272"/>
        <c:crosses val="autoZero"/>
        <c:auto val="1"/>
        <c:lblAlgn val="ctr"/>
        <c:lblOffset val="100"/>
        <c:noMultiLvlLbl val="0"/>
      </c:catAx>
      <c:valAx>
        <c:axId val="652765272"/>
        <c:scaling>
          <c:orientation val="minMax"/>
          <c:max val="70"/>
          <c:min val="30"/>
        </c:scaling>
        <c:delete val="0"/>
        <c:axPos val="l"/>
        <c:numFmt formatCode="General" sourceLinked="1"/>
        <c:majorTickMark val="out"/>
        <c:minorTickMark val="none"/>
        <c:tickLblPos val="nextTo"/>
        <c:crossAx val="652762920"/>
        <c:crosses val="autoZero"/>
        <c:crossBetween val="between"/>
        <c:majorUnit val="10"/>
      </c:valAx>
      <c:spPr>
        <a:solidFill>
          <a:srgbClr val="FFFFFF"/>
        </a:solidFill>
      </c:spPr>
    </c:plotArea>
    <c:legend>
      <c:legendPos val="l"/>
      <c:legendEntry>
        <c:idx val="0"/>
        <c:delete val="1"/>
      </c:legendEntry>
      <c:layout>
        <c:manualLayout>
          <c:xMode val="edge"/>
          <c:yMode val="edge"/>
          <c:x val="0.5248378721994893"/>
          <c:y val="7.120166441479770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8975-45C2-8DEB-07CD9495689E}"/>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8975-45C2-8DEB-07CD9495689E}"/>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General</c:formatCode>
                <c:ptCount val="2"/>
                <c:pt idx="0">
                  <c:v>93</c:v>
                </c:pt>
                <c:pt idx="1">
                  <c:v>90</c:v>
                </c:pt>
              </c:numCache>
            </c:numRef>
          </c:val>
          <c:extLst>
            <c:ext xmlns:c16="http://schemas.microsoft.com/office/drawing/2014/chart" uri="{C3380CC4-5D6E-409C-BE32-E72D297353CC}">
              <c16:uniqueId val="{00000003-8975-45C2-8DEB-07CD9495689E}"/>
            </c:ext>
          </c:extLst>
        </c:ser>
        <c:dLbls>
          <c:showLegendKey val="0"/>
          <c:showVal val="1"/>
          <c:showCatName val="0"/>
          <c:showSerName val="0"/>
          <c:showPercent val="0"/>
          <c:showBubbleSize val="0"/>
        </c:dLbls>
        <c:gapWidth val="50"/>
        <c:overlap val="88"/>
        <c:axId val="652770368"/>
        <c:axId val="652769976"/>
      </c:barChart>
      <c:catAx>
        <c:axId val="652770368"/>
        <c:scaling>
          <c:orientation val="minMax"/>
        </c:scaling>
        <c:delete val="0"/>
        <c:axPos val="b"/>
        <c:numFmt formatCode="General" sourceLinked="1"/>
        <c:majorTickMark val="out"/>
        <c:minorTickMark val="none"/>
        <c:tickLblPos val="nextTo"/>
        <c:crossAx val="652769976"/>
        <c:crosses val="autoZero"/>
        <c:auto val="0"/>
        <c:lblAlgn val="ctr"/>
        <c:lblOffset val="100"/>
        <c:tickLblSkip val="1"/>
        <c:tickMarkSkip val="1"/>
        <c:noMultiLvlLbl val="0"/>
      </c:catAx>
      <c:valAx>
        <c:axId val="652769976"/>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652770368"/>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1AAE-4672-B93F-3DB54C98AB70}"/>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1AAE-4672-B93F-3DB54C98AB70}"/>
              </c:ext>
            </c:extLst>
          </c:dPt>
          <c:dLbls>
            <c:dLbl>
              <c:idx val="1"/>
              <c:delete val="1"/>
              <c:extLst>
                <c:ext xmlns:c15="http://schemas.microsoft.com/office/drawing/2012/chart" uri="{CE6537A1-D6FC-4f65-9D91-7224C49458BB}"/>
                <c:ext xmlns:c16="http://schemas.microsoft.com/office/drawing/2014/chart" uri="{C3380CC4-5D6E-409C-BE32-E72D297353CC}">
                  <c16:uniqueId val="{00000003-1AAE-4672-B93F-3DB54C98AB70}"/>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6.9800302210961647</c:v>
                </c:pt>
                <c:pt idx="1">
                  <c:v>93.019969778903828</c:v>
                </c:pt>
              </c:numCache>
            </c:numRef>
          </c:val>
          <c:extLst>
            <c:ext xmlns:c16="http://schemas.microsoft.com/office/drawing/2014/chart" uri="{C3380CC4-5D6E-409C-BE32-E72D297353CC}">
              <c16:uniqueId val="{00000004-1AAE-4672-B93F-3DB54C98AB70}"/>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B17C-4FDD-85A9-FC0D23E7C88A}"/>
            </c:ext>
          </c:extLst>
        </c:ser>
        <c:dLbls>
          <c:showLegendKey val="0"/>
          <c:showVal val="0"/>
          <c:showCatName val="0"/>
          <c:showSerName val="0"/>
          <c:showPercent val="0"/>
          <c:showBubbleSize val="0"/>
        </c:dLbls>
        <c:gapWidth val="0"/>
        <c:axId val="652772328"/>
        <c:axId val="65277154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B17C-4FDD-85A9-FC0D23E7C88A}"/>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24.189445900000017</c:v>
                </c:pt>
                <c:pt idx="1">
                  <c:v>24.397310226836353</c:v>
                </c:pt>
                <c:pt idx="2">
                  <c:v>24.486401078462244</c:v>
                </c:pt>
                <c:pt idx="3">
                  <c:v>24.429452878768927</c:v>
                </c:pt>
                <c:pt idx="4">
                  <c:v>24.521716822039313</c:v>
                </c:pt>
                <c:pt idx="5">
                  <c:v>24.727910423043404</c:v>
                </c:pt>
                <c:pt idx="6">
                  <c:v>24.885482048922579</c:v>
                </c:pt>
                <c:pt idx="7">
                  <c:v>24.961283896115116</c:v>
                </c:pt>
                <c:pt idx="8">
                  <c:v>24.969400583900882</c:v>
                </c:pt>
                <c:pt idx="9">
                  <c:v>24.957191011734121</c:v>
                </c:pt>
                <c:pt idx="10">
                  <c:v>24.909526945998916</c:v>
                </c:pt>
                <c:pt idx="11">
                  <c:v>24.878075760369583</c:v>
                </c:pt>
                <c:pt idx="12">
                  <c:v>24.8347534263287</c:v>
                </c:pt>
                <c:pt idx="13">
                  <c:v>24.790171757680628</c:v>
                </c:pt>
                <c:pt idx="14">
                  <c:v>24.734138941411768</c:v>
                </c:pt>
                <c:pt idx="15">
                  <c:v>24.67128391511142</c:v>
                </c:pt>
                <c:pt idx="16">
                  <c:v>24.592935235612021</c:v>
                </c:pt>
                <c:pt idx="17">
                  <c:v>24.538925976212692</c:v>
                </c:pt>
              </c:numCache>
            </c:numRef>
          </c:val>
          <c:smooth val="0"/>
          <c:extLst>
            <c:ext xmlns:c16="http://schemas.microsoft.com/office/drawing/2014/chart" uri="{C3380CC4-5D6E-409C-BE32-E72D297353CC}">
              <c16:uniqueId val="{00000003-B17C-4FDD-85A9-FC0D23E7C88A}"/>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25.713792700000045</c:v>
                </c:pt>
                <c:pt idx="1">
                  <c:v>26.148082211442766</c:v>
                </c:pt>
                <c:pt idx="2">
                  <c:v>26.588507790958282</c:v>
                </c:pt>
                <c:pt idx="3">
                  <c:v>26.97518897095064</c:v>
                </c:pt>
                <c:pt idx="4">
                  <c:v>27.363081317540857</c:v>
                </c:pt>
                <c:pt idx="5">
                  <c:v>27.685620920751813</c:v>
                </c:pt>
                <c:pt idx="6">
                  <c:v>28.000492323233001</c:v>
                </c:pt>
                <c:pt idx="7">
                  <c:v>28.299952435279909</c:v>
                </c:pt>
                <c:pt idx="8">
                  <c:v>28.564681367803328</c:v>
                </c:pt>
                <c:pt idx="9">
                  <c:v>28.857669535248149</c:v>
                </c:pt>
                <c:pt idx="10">
                  <c:v>29.112468359567039</c:v>
                </c:pt>
                <c:pt idx="11">
                  <c:v>29.384810575558227</c:v>
                </c:pt>
                <c:pt idx="12">
                  <c:v>29.671010507389223</c:v>
                </c:pt>
                <c:pt idx="13">
                  <c:v>29.957099632208553</c:v>
                </c:pt>
                <c:pt idx="14">
                  <c:v>30.262492570126113</c:v>
                </c:pt>
                <c:pt idx="15">
                  <c:v>30.5843811277919</c:v>
                </c:pt>
                <c:pt idx="16">
                  <c:v>30.921339755571193</c:v>
                </c:pt>
                <c:pt idx="17">
                  <c:v>31.268494205642615</c:v>
                </c:pt>
              </c:numCache>
            </c:numRef>
          </c:val>
          <c:smooth val="0"/>
          <c:extLst>
            <c:ext xmlns:c16="http://schemas.microsoft.com/office/drawing/2014/chart" uri="{C3380CC4-5D6E-409C-BE32-E72D297353CC}">
              <c16:uniqueId val="{00000004-B17C-4FDD-85A9-FC0D23E7C88A}"/>
            </c:ext>
          </c:extLst>
        </c:ser>
        <c:dLbls>
          <c:showLegendKey val="0"/>
          <c:showVal val="0"/>
          <c:showCatName val="0"/>
          <c:showSerName val="0"/>
          <c:showPercent val="0"/>
          <c:showBubbleSize val="0"/>
        </c:dLbls>
        <c:marker val="1"/>
        <c:smooth val="0"/>
        <c:axId val="652772328"/>
        <c:axId val="652771544"/>
      </c:lineChart>
      <c:catAx>
        <c:axId val="65277232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71544"/>
        <c:crosses val="autoZero"/>
        <c:auto val="1"/>
        <c:lblAlgn val="ctr"/>
        <c:lblOffset val="100"/>
        <c:noMultiLvlLbl val="0"/>
      </c:catAx>
      <c:valAx>
        <c:axId val="652771544"/>
        <c:scaling>
          <c:orientation val="minMax"/>
          <c:max val="40"/>
          <c:min val="10"/>
        </c:scaling>
        <c:delete val="0"/>
        <c:axPos val="l"/>
        <c:numFmt formatCode="General" sourceLinked="1"/>
        <c:majorTickMark val="out"/>
        <c:minorTickMark val="none"/>
        <c:tickLblPos val="nextTo"/>
        <c:crossAx val="652772328"/>
        <c:crosses val="autoZero"/>
        <c:crossBetween val="between"/>
        <c:majorUnit val="5"/>
      </c:valAx>
      <c:spPr>
        <a:solidFill>
          <a:srgbClr val="FFFFFF"/>
        </a:solidFill>
      </c:spPr>
    </c:plotArea>
    <c:legend>
      <c:legendPos val="l"/>
      <c:legendEntry>
        <c:idx val="0"/>
        <c:delete val="1"/>
      </c:legendEntry>
      <c:layout>
        <c:manualLayout>
          <c:xMode val="edge"/>
          <c:yMode val="edge"/>
          <c:x val="0.50222367048080996"/>
          <c:y val="0.45055764147699445"/>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0346-4B76-9227-1F3B9B94F9ED}"/>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0346-4B76-9227-1F3B9B94F9ED}"/>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84.275618706333461</c:v>
                </c:pt>
                <c:pt idx="1">
                  <c:v>88.202564838933554</c:v>
                </c:pt>
              </c:numCache>
            </c:numRef>
          </c:val>
          <c:extLst>
            <c:ext xmlns:c16="http://schemas.microsoft.com/office/drawing/2014/chart" uri="{C3380CC4-5D6E-409C-BE32-E72D297353CC}">
              <c16:uniqueId val="{00000003-0346-4B76-9227-1F3B9B94F9ED}"/>
            </c:ext>
          </c:extLst>
        </c:ser>
        <c:dLbls>
          <c:showLegendKey val="0"/>
          <c:showVal val="1"/>
          <c:showCatName val="0"/>
          <c:showSerName val="0"/>
          <c:showPercent val="0"/>
          <c:showBubbleSize val="0"/>
        </c:dLbls>
        <c:gapWidth val="50"/>
        <c:overlap val="88"/>
        <c:axId val="652771152"/>
        <c:axId val="652764488"/>
      </c:barChart>
      <c:catAx>
        <c:axId val="652771152"/>
        <c:scaling>
          <c:orientation val="minMax"/>
        </c:scaling>
        <c:delete val="0"/>
        <c:axPos val="b"/>
        <c:numFmt formatCode="General" sourceLinked="1"/>
        <c:majorTickMark val="out"/>
        <c:minorTickMark val="none"/>
        <c:tickLblPos val="nextTo"/>
        <c:crossAx val="652764488"/>
        <c:crosses val="autoZero"/>
        <c:auto val="0"/>
        <c:lblAlgn val="ctr"/>
        <c:lblOffset val="100"/>
        <c:tickLblSkip val="1"/>
        <c:tickMarkSkip val="1"/>
        <c:noMultiLvlLbl val="0"/>
      </c:catAx>
      <c:valAx>
        <c:axId val="652764488"/>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6527711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BC28-4EB4-A86C-5848A8475D30}"/>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BC28-4EB4-A86C-5848A8475D30}"/>
              </c:ext>
            </c:extLst>
          </c:dPt>
          <c:dLbls>
            <c:dLbl>
              <c:idx val="1"/>
              <c:delete val="1"/>
              <c:extLst>
                <c:ext xmlns:c15="http://schemas.microsoft.com/office/drawing/2012/chart" uri="{CE6537A1-D6FC-4f65-9D91-7224C49458BB}"/>
                <c:ext xmlns:c16="http://schemas.microsoft.com/office/drawing/2014/chart" uri="{C3380CC4-5D6E-409C-BE32-E72D297353CC}">
                  <c16:uniqueId val="{00000003-BC28-4EB4-A86C-5848A8475D30}"/>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40.214311417890258</c:v>
                </c:pt>
                <c:pt idx="1">
                  <c:v>59.785688582109742</c:v>
                </c:pt>
              </c:numCache>
            </c:numRef>
          </c:val>
          <c:extLst>
            <c:ext xmlns:c16="http://schemas.microsoft.com/office/drawing/2014/chart" uri="{C3380CC4-5D6E-409C-BE32-E72D297353CC}">
              <c16:uniqueId val="{00000004-BC28-4EB4-A86C-5848A8475D30}"/>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0599-4BF0-B3B9-F6C886D090EE}"/>
            </c:ext>
          </c:extLst>
        </c:ser>
        <c:dLbls>
          <c:showLegendKey val="0"/>
          <c:showVal val="0"/>
          <c:showCatName val="0"/>
          <c:showSerName val="0"/>
          <c:showPercent val="0"/>
          <c:showBubbleSize val="0"/>
        </c:dLbls>
        <c:gapWidth val="0"/>
        <c:axId val="652760960"/>
        <c:axId val="65276370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0599-4BF0-B3B9-F6C886D090EE}"/>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143.49260425000008</c:v>
                </c:pt>
                <c:pt idx="1">
                  <c:v>144.70162470755596</c:v>
                </c:pt>
                <c:pt idx="2">
                  <c:v>145.85257744975044</c:v>
                </c:pt>
                <c:pt idx="3">
                  <c:v>147.35378651873077</c:v>
                </c:pt>
                <c:pt idx="4">
                  <c:v>149.35927139111593</c:v>
                </c:pt>
                <c:pt idx="5">
                  <c:v>151.48541451017286</c:v>
                </c:pt>
                <c:pt idx="6">
                  <c:v>152.94491928705185</c:v>
                </c:pt>
                <c:pt idx="7">
                  <c:v>153.92888786848988</c:v>
                </c:pt>
                <c:pt idx="8">
                  <c:v>154.42204152534649</c:v>
                </c:pt>
                <c:pt idx="9">
                  <c:v>154.75099594162037</c:v>
                </c:pt>
                <c:pt idx="10">
                  <c:v>154.81307455331324</c:v>
                </c:pt>
                <c:pt idx="11">
                  <c:v>154.99432486242557</c:v>
                </c:pt>
                <c:pt idx="12">
                  <c:v>155.21465327116138</c:v>
                </c:pt>
                <c:pt idx="13">
                  <c:v>155.43846920085397</c:v>
                </c:pt>
                <c:pt idx="14">
                  <c:v>155.56906014130729</c:v>
                </c:pt>
                <c:pt idx="15">
                  <c:v>155.74042984913689</c:v>
                </c:pt>
                <c:pt idx="16">
                  <c:v>155.86766207655464</c:v>
                </c:pt>
                <c:pt idx="17">
                  <c:v>156.18432271973822</c:v>
                </c:pt>
              </c:numCache>
            </c:numRef>
          </c:val>
          <c:smooth val="0"/>
          <c:extLst>
            <c:ext xmlns:c16="http://schemas.microsoft.com/office/drawing/2014/chart" uri="{C3380CC4-5D6E-409C-BE32-E72D297353CC}">
              <c16:uniqueId val="{00000003-0599-4BF0-B3B9-F6C886D090EE}"/>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150.63224387500009</c:v>
                </c:pt>
                <c:pt idx="1">
                  <c:v>152.00855153891052</c:v>
                </c:pt>
                <c:pt idx="2">
                  <c:v>153.71351545894717</c:v>
                </c:pt>
                <c:pt idx="3">
                  <c:v>155.61469178951802</c:v>
                </c:pt>
                <c:pt idx="4">
                  <c:v>157.90111799572006</c:v>
                </c:pt>
                <c:pt idx="5">
                  <c:v>159.99490773222723</c:v>
                </c:pt>
                <c:pt idx="6">
                  <c:v>161.61709487288957</c:v>
                </c:pt>
                <c:pt idx="7">
                  <c:v>163.04558351397844</c:v>
                </c:pt>
                <c:pt idx="8">
                  <c:v>164.2512148571081</c:v>
                </c:pt>
                <c:pt idx="9">
                  <c:v>165.68512885809065</c:v>
                </c:pt>
                <c:pt idx="10">
                  <c:v>166.91608198049687</c:v>
                </c:pt>
                <c:pt idx="11">
                  <c:v>168.15464693335628</c:v>
                </c:pt>
                <c:pt idx="12">
                  <c:v>169.36941677277895</c:v>
                </c:pt>
                <c:pt idx="13">
                  <c:v>170.49920162915433</c:v>
                </c:pt>
                <c:pt idx="14">
                  <c:v>171.71178429261292</c:v>
                </c:pt>
                <c:pt idx="15">
                  <c:v>172.934620511069</c:v>
                </c:pt>
                <c:pt idx="16">
                  <c:v>174.13227576547388</c:v>
                </c:pt>
                <c:pt idx="17">
                  <c:v>175.19685448762064</c:v>
                </c:pt>
              </c:numCache>
            </c:numRef>
          </c:val>
          <c:smooth val="0"/>
          <c:extLst>
            <c:ext xmlns:c16="http://schemas.microsoft.com/office/drawing/2014/chart" uri="{C3380CC4-5D6E-409C-BE32-E72D297353CC}">
              <c16:uniqueId val="{00000004-0599-4BF0-B3B9-F6C886D090EE}"/>
            </c:ext>
          </c:extLst>
        </c:ser>
        <c:dLbls>
          <c:showLegendKey val="0"/>
          <c:showVal val="0"/>
          <c:showCatName val="0"/>
          <c:showSerName val="0"/>
          <c:showPercent val="0"/>
          <c:showBubbleSize val="0"/>
        </c:dLbls>
        <c:marker val="1"/>
        <c:smooth val="0"/>
        <c:axId val="652760960"/>
        <c:axId val="652763704"/>
      </c:lineChart>
      <c:catAx>
        <c:axId val="652760960"/>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63704"/>
        <c:crosses val="autoZero"/>
        <c:auto val="1"/>
        <c:lblAlgn val="ctr"/>
        <c:lblOffset val="100"/>
        <c:noMultiLvlLbl val="0"/>
      </c:catAx>
      <c:valAx>
        <c:axId val="652763704"/>
        <c:scaling>
          <c:orientation val="minMax"/>
          <c:max val="210"/>
          <c:min val="120"/>
        </c:scaling>
        <c:delete val="0"/>
        <c:axPos val="l"/>
        <c:numFmt formatCode="General" sourceLinked="1"/>
        <c:majorTickMark val="out"/>
        <c:minorTickMark val="none"/>
        <c:tickLblPos val="nextTo"/>
        <c:crossAx val="652760960"/>
        <c:crosses val="autoZero"/>
        <c:crossBetween val="between"/>
        <c:majorUnit val="15"/>
      </c:valAx>
      <c:spPr>
        <a:solidFill>
          <a:srgbClr val="FFFFFF"/>
        </a:solidFill>
      </c:spPr>
    </c:plotArea>
    <c:legend>
      <c:legendPos val="l"/>
      <c:legendEntry>
        <c:idx val="0"/>
        <c:delete val="1"/>
      </c:legendEntry>
      <c:layout>
        <c:manualLayout>
          <c:xMode val="edge"/>
          <c:yMode val="edge"/>
          <c:x val="0.5248378721994893"/>
          <c:y val="6.237943239009546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Pt>
            <c:idx val="0"/>
            <c:invertIfNegative val="0"/>
            <c:bubble3D val="0"/>
            <c:extLst>
              <c:ext xmlns:c16="http://schemas.microsoft.com/office/drawing/2014/chart" uri="{C3380CC4-5D6E-409C-BE32-E72D297353CC}">
                <c16:uniqueId val="{00000000-7387-4051-A129-2B869D09C321}"/>
              </c:ext>
            </c:extLst>
          </c:dPt>
          <c:dPt>
            <c:idx val="1"/>
            <c:invertIfNegative val="0"/>
            <c:bubble3D val="0"/>
            <c:extLst>
              <c:ext xmlns:c16="http://schemas.microsoft.com/office/drawing/2014/chart" uri="{C3380CC4-5D6E-409C-BE32-E72D297353CC}">
                <c16:uniqueId val="{00000001-7387-4051-A129-2B869D09C321}"/>
              </c:ext>
            </c:extLst>
          </c:dPt>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2-7387-4051-A129-2B869D09C321}"/>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4-7387-4051-A129-2B869D09C321}"/>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87.302043996150289</c:v>
                </c:pt>
                <c:pt idx="1">
                  <c:v>94.408498869454533</c:v>
                </c:pt>
              </c:numCache>
            </c:numRef>
          </c:val>
          <c:extLst>
            <c:ext xmlns:c16="http://schemas.microsoft.com/office/drawing/2014/chart" uri="{C3380CC4-5D6E-409C-BE32-E72D297353CC}">
              <c16:uniqueId val="{00000005-7387-4051-A129-2B869D09C321}"/>
            </c:ext>
          </c:extLst>
        </c:ser>
        <c:dLbls>
          <c:showLegendKey val="0"/>
          <c:showVal val="1"/>
          <c:showCatName val="0"/>
          <c:showSerName val="0"/>
          <c:showPercent val="0"/>
          <c:showBubbleSize val="0"/>
        </c:dLbls>
        <c:gapWidth val="50"/>
        <c:overlap val="88"/>
        <c:axId val="652771936"/>
        <c:axId val="652761352"/>
      </c:barChart>
      <c:catAx>
        <c:axId val="652771936"/>
        <c:scaling>
          <c:orientation val="minMax"/>
        </c:scaling>
        <c:delete val="0"/>
        <c:axPos val="b"/>
        <c:numFmt formatCode="General" sourceLinked="1"/>
        <c:majorTickMark val="out"/>
        <c:minorTickMark val="none"/>
        <c:tickLblPos val="nextTo"/>
        <c:crossAx val="652761352"/>
        <c:crosses val="autoZero"/>
        <c:auto val="0"/>
        <c:lblAlgn val="ctr"/>
        <c:lblOffset val="100"/>
        <c:tickLblSkip val="1"/>
        <c:tickMarkSkip val="1"/>
        <c:noMultiLvlLbl val="0"/>
      </c:catAx>
      <c:valAx>
        <c:axId val="652761352"/>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652771936"/>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1"/>
          <c:tx>
            <c:strRef>
              <c:f>Sheet1!$C$1</c:f>
              <c:strCache>
                <c:ptCount val="1"/>
                <c:pt idx="0">
                  <c:v>2023</c:v>
                </c:pt>
              </c:strCache>
            </c:strRef>
          </c:tx>
          <c:spPr>
            <a:solidFill>
              <a:srgbClr val="4BACC6">
                <a:lumMod val="75000"/>
              </a:srgbClr>
            </a:solidFill>
            <a:ln w="6350">
              <a:noFill/>
            </a:ln>
          </c:spPr>
          <c:invertIfNegative val="0"/>
          <c:dPt>
            <c:idx val="5"/>
            <c:invertIfNegative val="0"/>
            <c:bubble3D val="0"/>
            <c:extLst>
              <c:ext xmlns:c16="http://schemas.microsoft.com/office/drawing/2014/chart" uri="{C3380CC4-5D6E-409C-BE32-E72D297353CC}">
                <c16:uniqueId val="{00000000-0720-484A-8C85-C97EC6D3D999}"/>
              </c:ext>
            </c:extLst>
          </c:dPt>
          <c:dPt>
            <c:idx val="6"/>
            <c:invertIfNegative val="0"/>
            <c:bubble3D val="0"/>
            <c:extLst>
              <c:ext xmlns:c16="http://schemas.microsoft.com/office/drawing/2014/chart" uri="{C3380CC4-5D6E-409C-BE32-E72D297353CC}">
                <c16:uniqueId val="{00000001-0720-484A-8C85-C97EC6D3D999}"/>
              </c:ext>
            </c:extLst>
          </c:dPt>
          <c:dPt>
            <c:idx val="7"/>
            <c:invertIfNegative val="0"/>
            <c:bubble3D val="0"/>
            <c:spPr>
              <a:solidFill>
                <a:srgbClr val="C0504D">
                  <a:lumMod val="75000"/>
                </a:srgbClr>
              </a:solidFill>
              <a:ln w="6350">
                <a:noFill/>
              </a:ln>
            </c:spPr>
            <c:extLst>
              <c:ext xmlns:c16="http://schemas.microsoft.com/office/drawing/2014/chart" uri="{C3380CC4-5D6E-409C-BE32-E72D297353CC}">
                <c16:uniqueId val="{00000003-0720-484A-8C85-C97EC6D3D999}"/>
              </c:ext>
            </c:extLst>
          </c:dPt>
          <c:dPt>
            <c:idx val="9"/>
            <c:invertIfNegative val="0"/>
            <c:bubble3D val="0"/>
            <c:extLst>
              <c:ext xmlns:c16="http://schemas.microsoft.com/office/drawing/2014/chart" uri="{C3380CC4-5D6E-409C-BE32-E72D297353CC}">
                <c16:uniqueId val="{00000004-0720-484A-8C85-C97EC6D3D999}"/>
              </c:ext>
            </c:extLst>
          </c:dPt>
          <c:dPt>
            <c:idx val="10"/>
            <c:invertIfNegative val="0"/>
            <c:bubble3D val="0"/>
            <c:spPr>
              <a:solidFill>
                <a:srgbClr val="4F81BD">
                  <a:lumMod val="75000"/>
                </a:srgbClr>
              </a:solidFill>
              <a:ln w="6350">
                <a:noFill/>
              </a:ln>
            </c:spPr>
            <c:extLst>
              <c:ext xmlns:c16="http://schemas.microsoft.com/office/drawing/2014/chart" uri="{C3380CC4-5D6E-409C-BE32-E72D297353CC}">
                <c16:uniqueId val="{00000006-0720-484A-8C85-C97EC6D3D999}"/>
              </c:ext>
            </c:extLst>
          </c:dPt>
          <c:dPt>
            <c:idx val="15"/>
            <c:invertIfNegative val="0"/>
            <c:bubble3D val="0"/>
            <c:extLst>
              <c:ext xmlns:c16="http://schemas.microsoft.com/office/drawing/2014/chart" uri="{C3380CC4-5D6E-409C-BE32-E72D297353CC}">
                <c16:uniqueId val="{00000007-0720-484A-8C85-C97EC6D3D999}"/>
              </c:ext>
            </c:extLst>
          </c:dPt>
          <c:dPt>
            <c:idx val="16"/>
            <c:invertIfNegative val="0"/>
            <c:bubble3D val="0"/>
            <c:extLst>
              <c:ext xmlns:c16="http://schemas.microsoft.com/office/drawing/2014/chart" uri="{C3380CC4-5D6E-409C-BE32-E72D297353CC}">
                <c16:uniqueId val="{00000008-0720-484A-8C85-C97EC6D3D999}"/>
              </c:ext>
            </c:extLst>
          </c:dPt>
          <c:dLbls>
            <c:dLbl>
              <c:idx val="28"/>
              <c:layout>
                <c:manualLayout>
                  <c:x val="0"/>
                  <c:y val="7.59239408511160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720-484A-8C85-C97EC6D3D999}"/>
                </c:ext>
              </c:extLst>
            </c:dLbl>
            <c:numFmt formatCode="#,##0" sourceLinked="0"/>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Spānija</c:v>
                </c:pt>
                <c:pt idx="1">
                  <c:v>Grieķija</c:v>
                </c:pt>
                <c:pt idx="2">
                  <c:v>Itālija</c:v>
                </c:pt>
                <c:pt idx="3">
                  <c:v>Zviedrija</c:v>
                </c:pt>
                <c:pt idx="4">
                  <c:v>Francija</c:v>
                </c:pt>
                <c:pt idx="5">
                  <c:v>Somija</c:v>
                </c:pt>
                <c:pt idx="6">
                  <c:v>Lietuva</c:v>
                </c:pt>
                <c:pt idx="7">
                  <c:v>Latvija</c:v>
                </c:pt>
                <c:pt idx="8">
                  <c:v>Portugāle</c:v>
                </c:pt>
                <c:pt idx="9">
                  <c:v>Igaunija</c:v>
                </c:pt>
                <c:pt idx="10">
                  <c:v>ES27</c:v>
                </c:pt>
                <c:pt idx="11">
                  <c:v>Horvātija</c:v>
                </c:pt>
                <c:pt idx="12">
                  <c:v>Kipra</c:v>
                </c:pt>
                <c:pt idx="13">
                  <c:v>Slovākija</c:v>
                </c:pt>
                <c:pt idx="14">
                  <c:v>Rumānija</c:v>
                </c:pt>
                <c:pt idx="15">
                  <c:v>Beļģija</c:v>
                </c:pt>
                <c:pt idx="16">
                  <c:v>Luksemburga</c:v>
                </c:pt>
                <c:pt idx="17">
                  <c:v>Dānija</c:v>
                </c:pt>
                <c:pt idx="18">
                  <c:v>Austrija</c:v>
                </c:pt>
                <c:pt idx="19">
                  <c:v>Bulgārija</c:v>
                </c:pt>
                <c:pt idx="20">
                  <c:v>Īrija</c:v>
                </c:pt>
                <c:pt idx="21">
                  <c:v>Ungārija</c:v>
                </c:pt>
                <c:pt idx="22">
                  <c:v>Slovēnija</c:v>
                </c:pt>
                <c:pt idx="23">
                  <c:v>Nīderlande</c:v>
                </c:pt>
                <c:pt idx="24">
                  <c:v>Vācija</c:v>
                </c:pt>
                <c:pt idx="25">
                  <c:v>Malta</c:v>
                </c:pt>
                <c:pt idx="26">
                  <c:v>Polija</c:v>
                </c:pt>
                <c:pt idx="27">
                  <c:v>Čehija</c:v>
                </c:pt>
              </c:strCache>
            </c:strRef>
          </c:cat>
          <c:val>
            <c:numRef>
              <c:f>Sheet1!$C$2:$C$29</c:f>
              <c:numCache>
                <c:formatCode>0.0</c:formatCode>
                <c:ptCount val="28"/>
                <c:pt idx="0">
                  <c:v>12.2</c:v>
                </c:pt>
                <c:pt idx="1">
                  <c:v>11.1</c:v>
                </c:pt>
                <c:pt idx="2">
                  <c:v>7.7</c:v>
                </c:pt>
                <c:pt idx="3">
                  <c:v>7.7</c:v>
                </c:pt>
                <c:pt idx="4">
                  <c:v>7.3</c:v>
                </c:pt>
                <c:pt idx="5">
                  <c:v>7.2</c:v>
                </c:pt>
                <c:pt idx="6">
                  <c:v>6.9</c:v>
                </c:pt>
                <c:pt idx="7">
                  <c:v>6.5</c:v>
                </c:pt>
                <c:pt idx="8">
                  <c:v>6.5</c:v>
                </c:pt>
                <c:pt idx="9">
                  <c:v>6.4</c:v>
                </c:pt>
                <c:pt idx="10">
                  <c:v>6.1</c:v>
                </c:pt>
                <c:pt idx="11">
                  <c:v>6.1</c:v>
                </c:pt>
                <c:pt idx="12">
                  <c:v>6.1</c:v>
                </c:pt>
                <c:pt idx="13">
                  <c:v>5.8</c:v>
                </c:pt>
                <c:pt idx="14">
                  <c:v>5.6</c:v>
                </c:pt>
                <c:pt idx="15">
                  <c:v>5.5</c:v>
                </c:pt>
                <c:pt idx="16">
                  <c:v>5.2</c:v>
                </c:pt>
                <c:pt idx="17">
                  <c:v>5.0999999999999996</c:v>
                </c:pt>
                <c:pt idx="18">
                  <c:v>5.0999999999999996</c:v>
                </c:pt>
                <c:pt idx="19">
                  <c:v>4.3</c:v>
                </c:pt>
                <c:pt idx="20">
                  <c:v>4.3</c:v>
                </c:pt>
                <c:pt idx="21">
                  <c:v>4.0999999999999996</c:v>
                </c:pt>
                <c:pt idx="22">
                  <c:v>3.7</c:v>
                </c:pt>
                <c:pt idx="23">
                  <c:v>3.6</c:v>
                </c:pt>
                <c:pt idx="24">
                  <c:v>3.1</c:v>
                </c:pt>
                <c:pt idx="25">
                  <c:v>3.1</c:v>
                </c:pt>
                <c:pt idx="26">
                  <c:v>2.8</c:v>
                </c:pt>
                <c:pt idx="27">
                  <c:v>2.6</c:v>
                </c:pt>
              </c:numCache>
            </c:numRef>
          </c:val>
          <c:extLst>
            <c:ext xmlns:c16="http://schemas.microsoft.com/office/drawing/2014/chart" uri="{C3380CC4-5D6E-409C-BE32-E72D297353CC}">
              <c16:uniqueId val="{0000000A-0720-484A-8C85-C97EC6D3D999}"/>
            </c:ext>
          </c:extLst>
        </c:ser>
        <c:dLbls>
          <c:showLegendKey val="0"/>
          <c:showVal val="0"/>
          <c:showCatName val="0"/>
          <c:showSerName val="0"/>
          <c:showPercent val="0"/>
          <c:showBubbleSize val="0"/>
        </c:dLbls>
        <c:gapWidth val="40"/>
        <c:axId val="742030704"/>
        <c:axId val="742034624"/>
      </c:barChart>
      <c:lineChart>
        <c:grouping val="stacked"/>
        <c:varyColors val="0"/>
        <c:ser>
          <c:idx val="1"/>
          <c:order val="0"/>
          <c:tx>
            <c:strRef>
              <c:f>Sheet1!$B$1</c:f>
              <c:strCache>
                <c:ptCount val="1"/>
                <c:pt idx="0">
                  <c:v>2010</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Spānija</c:v>
                </c:pt>
                <c:pt idx="1">
                  <c:v>Grieķija</c:v>
                </c:pt>
                <c:pt idx="2">
                  <c:v>Itālija</c:v>
                </c:pt>
                <c:pt idx="3">
                  <c:v>Zviedrija</c:v>
                </c:pt>
                <c:pt idx="4">
                  <c:v>Francija</c:v>
                </c:pt>
                <c:pt idx="5">
                  <c:v>Somija</c:v>
                </c:pt>
                <c:pt idx="6">
                  <c:v>Lietuva</c:v>
                </c:pt>
                <c:pt idx="7">
                  <c:v>Latvija</c:v>
                </c:pt>
                <c:pt idx="8">
                  <c:v>Portugāle</c:v>
                </c:pt>
                <c:pt idx="9">
                  <c:v>Igaunija</c:v>
                </c:pt>
                <c:pt idx="10">
                  <c:v>ES27</c:v>
                </c:pt>
                <c:pt idx="11">
                  <c:v>Horvātija</c:v>
                </c:pt>
                <c:pt idx="12">
                  <c:v>Kipra</c:v>
                </c:pt>
                <c:pt idx="13">
                  <c:v>Slovākija</c:v>
                </c:pt>
                <c:pt idx="14">
                  <c:v>Rumānija</c:v>
                </c:pt>
                <c:pt idx="15">
                  <c:v>Beļģija</c:v>
                </c:pt>
                <c:pt idx="16">
                  <c:v>Luksemburga</c:v>
                </c:pt>
                <c:pt idx="17">
                  <c:v>Dānija</c:v>
                </c:pt>
                <c:pt idx="18">
                  <c:v>Austrija</c:v>
                </c:pt>
                <c:pt idx="19">
                  <c:v>Bulgārija</c:v>
                </c:pt>
                <c:pt idx="20">
                  <c:v>Īrija</c:v>
                </c:pt>
                <c:pt idx="21">
                  <c:v>Ungārija</c:v>
                </c:pt>
                <c:pt idx="22">
                  <c:v>Slovēnija</c:v>
                </c:pt>
                <c:pt idx="23">
                  <c:v>Nīderlande</c:v>
                </c:pt>
                <c:pt idx="24">
                  <c:v>Vācija</c:v>
                </c:pt>
                <c:pt idx="25">
                  <c:v>Malta</c:v>
                </c:pt>
                <c:pt idx="26">
                  <c:v>Polija</c:v>
                </c:pt>
                <c:pt idx="27">
                  <c:v>Čehija</c:v>
                </c:pt>
              </c:strCache>
            </c:strRef>
          </c:cat>
          <c:val>
            <c:numRef>
              <c:f>Sheet1!$B$2:$B$29</c:f>
              <c:numCache>
                <c:formatCode>0.0</c:formatCode>
                <c:ptCount val="28"/>
                <c:pt idx="0">
                  <c:v>19.899999999999999</c:v>
                </c:pt>
                <c:pt idx="1">
                  <c:v>12.7</c:v>
                </c:pt>
                <c:pt idx="2">
                  <c:v>8.4</c:v>
                </c:pt>
                <c:pt idx="3">
                  <c:v>8.6</c:v>
                </c:pt>
                <c:pt idx="4">
                  <c:v>8.9</c:v>
                </c:pt>
                <c:pt idx="5">
                  <c:v>8.4</c:v>
                </c:pt>
                <c:pt idx="6">
                  <c:v>17.8</c:v>
                </c:pt>
                <c:pt idx="7">
                  <c:v>19.5</c:v>
                </c:pt>
                <c:pt idx="8">
                  <c:v>11</c:v>
                </c:pt>
                <c:pt idx="9">
                  <c:v>16.7</c:v>
                </c:pt>
                <c:pt idx="10">
                  <c:v>9.8000000000000007</c:v>
                </c:pt>
                <c:pt idx="11">
                  <c:v>11.7</c:v>
                </c:pt>
                <c:pt idx="12">
                  <c:v>6.3</c:v>
                </c:pt>
                <c:pt idx="13">
                  <c:v>14.4</c:v>
                </c:pt>
                <c:pt idx="14">
                  <c:v>7</c:v>
                </c:pt>
                <c:pt idx="15">
                  <c:v>8.3000000000000007</c:v>
                </c:pt>
                <c:pt idx="16">
                  <c:v>4.4000000000000004</c:v>
                </c:pt>
                <c:pt idx="17">
                  <c:v>7.7</c:v>
                </c:pt>
                <c:pt idx="18">
                  <c:v>4.8</c:v>
                </c:pt>
                <c:pt idx="19">
                  <c:v>10.3</c:v>
                </c:pt>
                <c:pt idx="20">
                  <c:v>14.6</c:v>
                </c:pt>
                <c:pt idx="21">
                  <c:v>11.2</c:v>
                </c:pt>
                <c:pt idx="22">
                  <c:v>7.3</c:v>
                </c:pt>
                <c:pt idx="23">
                  <c:v>5</c:v>
                </c:pt>
                <c:pt idx="24">
                  <c:v>7</c:v>
                </c:pt>
                <c:pt idx="25">
                  <c:v>6.9</c:v>
                </c:pt>
                <c:pt idx="26">
                  <c:v>9.6999999999999993</c:v>
                </c:pt>
                <c:pt idx="27">
                  <c:v>7.3</c:v>
                </c:pt>
              </c:numCache>
            </c:numRef>
          </c:val>
          <c:smooth val="0"/>
          <c:extLst>
            <c:ext xmlns:c16="http://schemas.microsoft.com/office/drawing/2014/chart" uri="{C3380CC4-5D6E-409C-BE32-E72D297353CC}">
              <c16:uniqueId val="{0000000B-0720-484A-8C85-C97EC6D3D999}"/>
            </c:ext>
          </c:extLst>
        </c:ser>
        <c:dLbls>
          <c:showLegendKey val="0"/>
          <c:showVal val="0"/>
          <c:showCatName val="0"/>
          <c:showSerName val="0"/>
          <c:showPercent val="0"/>
          <c:showBubbleSize val="0"/>
        </c:dLbls>
        <c:marker val="1"/>
        <c:smooth val="0"/>
        <c:axId val="742030704"/>
        <c:axId val="742034624"/>
      </c:lineChart>
      <c:catAx>
        <c:axId val="742030704"/>
        <c:scaling>
          <c:orientation val="minMax"/>
        </c:scaling>
        <c:delete val="0"/>
        <c:axPos val="b"/>
        <c:numFmt formatCode="General" sourceLinked="1"/>
        <c:majorTickMark val="out"/>
        <c:minorTickMark val="none"/>
        <c:tickLblPos val="low"/>
        <c:spPr>
          <a:ln/>
        </c:spPr>
        <c:txPr>
          <a:bodyPr rot="-5400000" vert="horz"/>
          <a:lstStyle/>
          <a:p>
            <a:pPr>
              <a:defRPr/>
            </a:pPr>
            <a:endParaRPr lang="lv-LV"/>
          </a:p>
        </c:txPr>
        <c:crossAx val="742034624"/>
        <c:crosses val="autoZero"/>
        <c:auto val="0"/>
        <c:lblAlgn val="ctr"/>
        <c:lblOffset val="0"/>
        <c:tickLblSkip val="1"/>
        <c:noMultiLvlLbl val="0"/>
      </c:catAx>
      <c:valAx>
        <c:axId val="742034624"/>
        <c:scaling>
          <c:orientation val="minMax"/>
        </c:scaling>
        <c:delete val="0"/>
        <c:axPos val="l"/>
        <c:numFmt formatCode="#,##0" sourceLinked="0"/>
        <c:majorTickMark val="out"/>
        <c:minorTickMark val="none"/>
        <c:tickLblPos val="nextTo"/>
        <c:spPr>
          <a:ln w="6350">
            <a:noFill/>
          </a:ln>
        </c:spPr>
        <c:txPr>
          <a:bodyPr rot="0" vert="horz"/>
          <a:lstStyle/>
          <a:p>
            <a:pPr>
              <a:defRPr/>
            </a:pPr>
            <a:endParaRPr lang="lv-LV"/>
          </a:p>
        </c:txPr>
        <c:crossAx val="742030704"/>
        <c:crosses val="autoZero"/>
        <c:crossBetween val="between"/>
      </c:valAx>
      <c:spPr>
        <a:noFill/>
        <a:ln w="6350">
          <a:noFill/>
        </a:ln>
      </c:spPr>
    </c:plotArea>
    <c:legend>
      <c:legendPos val="t"/>
      <c:layout>
        <c:manualLayout>
          <c:xMode val="edge"/>
          <c:yMode val="edge"/>
          <c:x val="0.71870945543571763"/>
          <c:y val="6.8432397141183571E-2"/>
          <c:w val="9.6429867435258595E-2"/>
          <c:h val="0.19250984541369259"/>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C1FC-4A04-B3E4-1849CFE2A7E7}"/>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C1FC-4A04-B3E4-1849CFE2A7E7}"/>
              </c:ext>
            </c:extLst>
          </c:dPt>
          <c:dLbls>
            <c:dLbl>
              <c:idx val="1"/>
              <c:delete val="1"/>
              <c:extLst>
                <c:ext xmlns:c15="http://schemas.microsoft.com/office/drawing/2012/chart" uri="{CE6537A1-D6FC-4f65-9D91-7224C49458BB}"/>
                <c:ext xmlns:c16="http://schemas.microsoft.com/office/drawing/2014/chart" uri="{C3380CC4-5D6E-409C-BE32-E72D297353CC}">
                  <c16:uniqueId val="{00000003-C1FC-4A04-B3E4-1849CFE2A7E7}"/>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6.8547566940968609</c:v>
                </c:pt>
                <c:pt idx="1">
                  <c:v>93.145243305903136</c:v>
                </c:pt>
              </c:numCache>
            </c:numRef>
          </c:val>
          <c:extLst>
            <c:ext xmlns:c16="http://schemas.microsoft.com/office/drawing/2014/chart" uri="{C3380CC4-5D6E-409C-BE32-E72D297353CC}">
              <c16:uniqueId val="{00000004-C1FC-4A04-B3E4-1849CFE2A7E7}"/>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7D5A-4B26-96D5-E857F939816C}"/>
            </c:ext>
          </c:extLst>
        </c:ser>
        <c:dLbls>
          <c:showLegendKey val="0"/>
          <c:showVal val="0"/>
          <c:showCatName val="0"/>
          <c:showSerName val="0"/>
          <c:showPercent val="0"/>
          <c:showBubbleSize val="0"/>
        </c:dLbls>
        <c:gapWidth val="0"/>
        <c:axId val="652760568"/>
        <c:axId val="65276566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7D5A-4B26-96D5-E857F939816C}"/>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25.789203275000006</c:v>
                </c:pt>
                <c:pt idx="1">
                  <c:v>26.815266482246567</c:v>
                </c:pt>
                <c:pt idx="2">
                  <c:v>28.068375438686989</c:v>
                </c:pt>
                <c:pt idx="3">
                  <c:v>29.376946590493819</c:v>
                </c:pt>
                <c:pt idx="4">
                  <c:v>30.836393160493554</c:v>
                </c:pt>
                <c:pt idx="5">
                  <c:v>32.447553468060413</c:v>
                </c:pt>
                <c:pt idx="6">
                  <c:v>33.925908834669208</c:v>
                </c:pt>
                <c:pt idx="7">
                  <c:v>35.276184608908302</c:v>
                </c:pt>
                <c:pt idx="8">
                  <c:v>36.462902681288604</c:v>
                </c:pt>
                <c:pt idx="9">
                  <c:v>37.534916925561326</c:v>
                </c:pt>
                <c:pt idx="10">
                  <c:v>38.480081042916254</c:v>
                </c:pt>
                <c:pt idx="11">
                  <c:v>39.439203378572088</c:v>
                </c:pt>
                <c:pt idx="12">
                  <c:v>40.369846488181217</c:v>
                </c:pt>
                <c:pt idx="13">
                  <c:v>41.277355857904084</c:v>
                </c:pt>
                <c:pt idx="14">
                  <c:v>42.134304682006835</c:v>
                </c:pt>
                <c:pt idx="15">
                  <c:v>43.000520048230143</c:v>
                </c:pt>
                <c:pt idx="16">
                  <c:v>43.842546651334658</c:v>
                </c:pt>
                <c:pt idx="17">
                  <c:v>44.739868662053581</c:v>
                </c:pt>
              </c:numCache>
            </c:numRef>
          </c:val>
          <c:smooth val="0"/>
          <c:extLst>
            <c:ext xmlns:c16="http://schemas.microsoft.com/office/drawing/2014/chart" uri="{C3380CC4-5D6E-409C-BE32-E72D297353CC}">
              <c16:uniqueId val="{00000003-7D5A-4B26-96D5-E857F939816C}"/>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26.370151350000011</c:v>
                </c:pt>
                <c:pt idx="1">
                  <c:v>26.584845129927221</c:v>
                </c:pt>
                <c:pt idx="2">
                  <c:v>26.794571588341729</c:v>
                </c:pt>
                <c:pt idx="3">
                  <c:v>26.936315152624182</c:v>
                </c:pt>
                <c:pt idx="4">
                  <c:v>27.152488224090973</c:v>
                </c:pt>
                <c:pt idx="5">
                  <c:v>27.404370477530147</c:v>
                </c:pt>
                <c:pt idx="6">
                  <c:v>27.591986406185733</c:v>
                </c:pt>
                <c:pt idx="7">
                  <c:v>27.792041331289976</c:v>
                </c:pt>
                <c:pt idx="8">
                  <c:v>27.979169160703119</c:v>
                </c:pt>
                <c:pt idx="9">
                  <c:v>28.22384343985004</c:v>
                </c:pt>
                <c:pt idx="10">
                  <c:v>28.476779094201333</c:v>
                </c:pt>
                <c:pt idx="11">
                  <c:v>28.753751093050642</c:v>
                </c:pt>
                <c:pt idx="12">
                  <c:v>29.060063109913337</c:v>
                </c:pt>
                <c:pt idx="13">
                  <c:v>29.37529865680612</c:v>
                </c:pt>
                <c:pt idx="14">
                  <c:v>29.738353609038686</c:v>
                </c:pt>
                <c:pt idx="15">
                  <c:v>30.130745180404475</c:v>
                </c:pt>
                <c:pt idx="16">
                  <c:v>30.537440936449414</c:v>
                </c:pt>
                <c:pt idx="17">
                  <c:v>30.934687096849661</c:v>
                </c:pt>
              </c:numCache>
            </c:numRef>
          </c:val>
          <c:smooth val="0"/>
          <c:extLst>
            <c:ext xmlns:c16="http://schemas.microsoft.com/office/drawing/2014/chart" uri="{C3380CC4-5D6E-409C-BE32-E72D297353CC}">
              <c16:uniqueId val="{00000004-7D5A-4B26-96D5-E857F939816C}"/>
            </c:ext>
          </c:extLst>
        </c:ser>
        <c:dLbls>
          <c:showLegendKey val="0"/>
          <c:showVal val="0"/>
          <c:showCatName val="0"/>
          <c:showSerName val="0"/>
          <c:showPercent val="0"/>
          <c:showBubbleSize val="0"/>
        </c:dLbls>
        <c:marker val="1"/>
        <c:smooth val="0"/>
        <c:axId val="652760568"/>
        <c:axId val="652765664"/>
      </c:lineChart>
      <c:catAx>
        <c:axId val="65276056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65664"/>
        <c:crosses val="autoZero"/>
        <c:auto val="1"/>
        <c:lblAlgn val="ctr"/>
        <c:lblOffset val="100"/>
        <c:noMultiLvlLbl val="0"/>
      </c:catAx>
      <c:valAx>
        <c:axId val="652765664"/>
        <c:scaling>
          <c:orientation val="minMax"/>
          <c:max val="50"/>
          <c:min val="20"/>
        </c:scaling>
        <c:delete val="0"/>
        <c:axPos val="l"/>
        <c:numFmt formatCode="General" sourceLinked="1"/>
        <c:majorTickMark val="out"/>
        <c:minorTickMark val="none"/>
        <c:tickLblPos val="nextTo"/>
        <c:crossAx val="652760568"/>
        <c:crosses val="autoZero"/>
        <c:crossBetween val="between"/>
        <c:majorUnit val="5"/>
      </c:valAx>
      <c:spPr>
        <a:solidFill>
          <a:srgbClr val="FFFFFF"/>
        </a:solidFill>
      </c:spPr>
    </c:plotArea>
    <c:legend>
      <c:legendPos val="l"/>
      <c:legendEntry>
        <c:idx val="0"/>
        <c:delete val="1"/>
      </c:legendEntry>
      <c:layout>
        <c:manualLayout>
          <c:xMode val="edge"/>
          <c:yMode val="edge"/>
          <c:x val="9.0645199200846169E-2"/>
          <c:y val="8.0023896439499975E-2"/>
          <c:w val="0.33704419919016232"/>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E41E-4375-8E5C-D217FE0EF40F}"/>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E41E-4375-8E5C-D217FE0EF40F}"/>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117.91110954589787</c:v>
                </c:pt>
                <c:pt idx="1">
                  <c:v>126.92908803784853</c:v>
                </c:pt>
              </c:numCache>
            </c:numRef>
          </c:val>
          <c:extLst>
            <c:ext xmlns:c16="http://schemas.microsoft.com/office/drawing/2014/chart" uri="{C3380CC4-5D6E-409C-BE32-E72D297353CC}">
              <c16:uniqueId val="{00000003-E41E-4375-8E5C-D217FE0EF40F}"/>
            </c:ext>
          </c:extLst>
        </c:ser>
        <c:dLbls>
          <c:showLegendKey val="0"/>
          <c:showVal val="1"/>
          <c:showCatName val="0"/>
          <c:showSerName val="0"/>
          <c:showPercent val="0"/>
          <c:showBubbleSize val="0"/>
        </c:dLbls>
        <c:gapWidth val="50"/>
        <c:overlap val="88"/>
        <c:axId val="652767624"/>
        <c:axId val="652768016"/>
      </c:barChart>
      <c:catAx>
        <c:axId val="652767624"/>
        <c:scaling>
          <c:orientation val="minMax"/>
        </c:scaling>
        <c:delete val="0"/>
        <c:axPos val="b"/>
        <c:numFmt formatCode="General" sourceLinked="1"/>
        <c:majorTickMark val="out"/>
        <c:minorTickMark val="none"/>
        <c:tickLblPos val="nextTo"/>
        <c:crossAx val="652768016"/>
        <c:crosses val="autoZero"/>
        <c:auto val="0"/>
        <c:lblAlgn val="ctr"/>
        <c:lblOffset val="100"/>
        <c:tickLblSkip val="1"/>
        <c:tickMarkSkip val="1"/>
        <c:noMultiLvlLbl val="0"/>
      </c:catAx>
      <c:valAx>
        <c:axId val="652768016"/>
        <c:scaling>
          <c:orientation val="minMax"/>
          <c:max val="140"/>
          <c:min val="8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652767624"/>
        <c:crosses val="autoZero"/>
        <c:crossBetween val="between"/>
        <c:majorUnit val="20"/>
      </c:valAx>
      <c:spPr>
        <a:solidFill>
          <a:srgbClr val="FFFFFF"/>
        </a:solidFill>
      </c:spPr>
    </c:plotArea>
    <c:legend>
      <c:legendPos val="l"/>
      <c:layout>
        <c:manualLayout>
          <c:xMode val="edge"/>
          <c:yMode val="edge"/>
          <c:x val="0.51961071032861073"/>
          <c:y val="3.0592999871487166E-3"/>
          <c:w val="0.47519459273589909"/>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36BD-4036-8C14-EECC960FE7D2}"/>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36BD-4036-8C14-EECC960FE7D2}"/>
              </c:ext>
            </c:extLst>
          </c:dPt>
          <c:dLbls>
            <c:dLbl>
              <c:idx val="1"/>
              <c:delete val="1"/>
              <c:extLst>
                <c:ext xmlns:c15="http://schemas.microsoft.com/office/drawing/2012/chart" uri="{CE6537A1-D6FC-4f65-9D91-7224C49458BB}"/>
                <c:ext xmlns:c16="http://schemas.microsoft.com/office/drawing/2014/chart" uri="{C3380CC4-5D6E-409C-BE32-E72D297353CC}">
                  <c16:uniqueId val="{00000003-36BD-4036-8C14-EECC960FE7D2}"/>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13.709266427233372</c:v>
                </c:pt>
                <c:pt idx="1">
                  <c:v>86.290733572766626</c:v>
                </c:pt>
              </c:numCache>
            </c:numRef>
          </c:val>
          <c:extLst>
            <c:ext xmlns:c16="http://schemas.microsoft.com/office/drawing/2014/chart" uri="{C3380CC4-5D6E-409C-BE32-E72D297353CC}">
              <c16:uniqueId val="{00000004-36BD-4036-8C14-EECC960FE7D2}"/>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61C8-4026-BB7E-1E2D86057055}"/>
            </c:ext>
          </c:extLst>
        </c:ser>
        <c:dLbls>
          <c:showLegendKey val="0"/>
          <c:showVal val="0"/>
          <c:showCatName val="0"/>
          <c:showSerName val="0"/>
          <c:showPercent val="0"/>
          <c:showBubbleSize val="0"/>
        </c:dLbls>
        <c:gapWidth val="0"/>
        <c:axId val="746198800"/>
        <c:axId val="74620624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61C8-4026-BB7E-1E2D86057055}"/>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53.186327450000022</c:v>
                </c:pt>
                <c:pt idx="1">
                  <c:v>53.33004234494291</c:v>
                </c:pt>
                <c:pt idx="2">
                  <c:v>54.259982587404863</c:v>
                </c:pt>
                <c:pt idx="3">
                  <c:v>55.169881814206967</c:v>
                </c:pt>
                <c:pt idx="4">
                  <c:v>56.161257363978677</c:v>
                </c:pt>
                <c:pt idx="5">
                  <c:v>57.08912818878342</c:v>
                </c:pt>
                <c:pt idx="6">
                  <c:v>57.668666408175731</c:v>
                </c:pt>
                <c:pt idx="7">
                  <c:v>58.149569336884305</c:v>
                </c:pt>
                <c:pt idx="8">
                  <c:v>58.537700719585885</c:v>
                </c:pt>
                <c:pt idx="9">
                  <c:v>58.919166207234809</c:v>
                </c:pt>
                <c:pt idx="10">
                  <c:v>59.286444837932443</c:v>
                </c:pt>
                <c:pt idx="11">
                  <c:v>59.673328297000872</c:v>
                </c:pt>
                <c:pt idx="12">
                  <c:v>60.085585517601423</c:v>
                </c:pt>
                <c:pt idx="13">
                  <c:v>60.498607885188825</c:v>
                </c:pt>
                <c:pt idx="14">
                  <c:v>60.915446168493396</c:v>
                </c:pt>
                <c:pt idx="15">
                  <c:v>61.331507995988957</c:v>
                </c:pt>
                <c:pt idx="16">
                  <c:v>61.74197058306553</c:v>
                </c:pt>
                <c:pt idx="17">
                  <c:v>62.176016040223779</c:v>
                </c:pt>
              </c:numCache>
            </c:numRef>
          </c:val>
          <c:smooth val="0"/>
          <c:extLst>
            <c:ext xmlns:c16="http://schemas.microsoft.com/office/drawing/2014/chart" uri="{C3380CC4-5D6E-409C-BE32-E72D297353CC}">
              <c16:uniqueId val="{00000003-61C8-4026-BB7E-1E2D86057055}"/>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54.777086075000028</c:v>
                </c:pt>
                <c:pt idx="1">
                  <c:v>54.7028594320034</c:v>
                </c:pt>
                <c:pt idx="2">
                  <c:v>54.762785605346579</c:v>
                </c:pt>
                <c:pt idx="3">
                  <c:v>54.87097578081238</c:v>
                </c:pt>
                <c:pt idx="4">
                  <c:v>55.190359227968941</c:v>
                </c:pt>
                <c:pt idx="5">
                  <c:v>55.503812757102537</c:v>
                </c:pt>
                <c:pt idx="6">
                  <c:v>55.552944060047224</c:v>
                </c:pt>
                <c:pt idx="7">
                  <c:v>55.583081379890636</c:v>
                </c:pt>
                <c:pt idx="8">
                  <c:v>55.580028167312896</c:v>
                </c:pt>
                <c:pt idx="9">
                  <c:v>55.608565677953521</c:v>
                </c:pt>
                <c:pt idx="10">
                  <c:v>55.58940594135457</c:v>
                </c:pt>
                <c:pt idx="11">
                  <c:v>55.665782754516812</c:v>
                </c:pt>
                <c:pt idx="12">
                  <c:v>55.876636736505091</c:v>
                </c:pt>
                <c:pt idx="13">
                  <c:v>56.164938940053815</c:v>
                </c:pt>
                <c:pt idx="14">
                  <c:v>56.600068257127447</c:v>
                </c:pt>
                <c:pt idx="15">
                  <c:v>57.135973824272867</c:v>
                </c:pt>
                <c:pt idx="16">
                  <c:v>57.74817358626639</c:v>
                </c:pt>
                <c:pt idx="17">
                  <c:v>58.384668296176848</c:v>
                </c:pt>
              </c:numCache>
            </c:numRef>
          </c:val>
          <c:smooth val="0"/>
          <c:extLst>
            <c:ext xmlns:c16="http://schemas.microsoft.com/office/drawing/2014/chart" uri="{C3380CC4-5D6E-409C-BE32-E72D297353CC}">
              <c16:uniqueId val="{00000004-61C8-4026-BB7E-1E2D86057055}"/>
            </c:ext>
          </c:extLst>
        </c:ser>
        <c:dLbls>
          <c:showLegendKey val="0"/>
          <c:showVal val="0"/>
          <c:showCatName val="0"/>
          <c:showSerName val="0"/>
          <c:showPercent val="0"/>
          <c:showBubbleSize val="0"/>
        </c:dLbls>
        <c:marker val="1"/>
        <c:smooth val="0"/>
        <c:axId val="746198800"/>
        <c:axId val="746206248"/>
      </c:lineChart>
      <c:catAx>
        <c:axId val="746198800"/>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06248"/>
        <c:crosses val="autoZero"/>
        <c:auto val="1"/>
        <c:lblAlgn val="ctr"/>
        <c:lblOffset val="100"/>
        <c:noMultiLvlLbl val="0"/>
      </c:catAx>
      <c:valAx>
        <c:axId val="746206248"/>
        <c:scaling>
          <c:orientation val="minMax"/>
          <c:max val="85"/>
          <c:min val="50"/>
        </c:scaling>
        <c:delete val="0"/>
        <c:axPos val="l"/>
        <c:numFmt formatCode="General" sourceLinked="1"/>
        <c:majorTickMark val="out"/>
        <c:minorTickMark val="none"/>
        <c:tickLblPos val="nextTo"/>
        <c:crossAx val="746198800"/>
        <c:crosses val="autoZero"/>
        <c:crossBetween val="between"/>
        <c:majorUnit val="7"/>
      </c:valAx>
      <c:spPr>
        <a:solidFill>
          <a:srgbClr val="FFFFFF"/>
        </a:solidFill>
      </c:spPr>
    </c:plotArea>
    <c:legend>
      <c:legendPos val="l"/>
      <c:legendEntry>
        <c:idx val="0"/>
        <c:delete val="1"/>
      </c:legendEntry>
      <c:layout>
        <c:manualLayout>
          <c:xMode val="edge"/>
          <c:yMode val="edge"/>
          <c:x val="0.52031503185575345"/>
          <c:y val="0.150601752637118"/>
          <c:w val="0.36870408159631335"/>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1C81-408D-AFE0-447B6CB2AF69}"/>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1C81-408D-AFE0-447B6CB2AF69}"/>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106.07679921609491</c:v>
                </c:pt>
                <c:pt idx="1">
                  <c:v>104.61739056791875</c:v>
                </c:pt>
              </c:numCache>
            </c:numRef>
          </c:val>
          <c:extLst>
            <c:ext xmlns:c16="http://schemas.microsoft.com/office/drawing/2014/chart" uri="{C3380CC4-5D6E-409C-BE32-E72D297353CC}">
              <c16:uniqueId val="{00000003-1C81-408D-AFE0-447B6CB2AF69}"/>
            </c:ext>
          </c:extLst>
        </c:ser>
        <c:dLbls>
          <c:showLegendKey val="0"/>
          <c:showVal val="1"/>
          <c:showCatName val="0"/>
          <c:showSerName val="0"/>
          <c:showPercent val="0"/>
          <c:showBubbleSize val="0"/>
        </c:dLbls>
        <c:gapWidth val="50"/>
        <c:overlap val="88"/>
        <c:axId val="746201936"/>
        <c:axId val="746202328"/>
      </c:barChart>
      <c:catAx>
        <c:axId val="746201936"/>
        <c:scaling>
          <c:orientation val="minMax"/>
        </c:scaling>
        <c:delete val="0"/>
        <c:axPos val="b"/>
        <c:numFmt formatCode="General" sourceLinked="1"/>
        <c:majorTickMark val="out"/>
        <c:minorTickMark val="none"/>
        <c:tickLblPos val="nextTo"/>
        <c:crossAx val="746202328"/>
        <c:crosses val="autoZero"/>
        <c:auto val="0"/>
        <c:lblAlgn val="ctr"/>
        <c:lblOffset val="100"/>
        <c:tickLblSkip val="1"/>
        <c:tickMarkSkip val="1"/>
        <c:noMultiLvlLbl val="0"/>
      </c:catAx>
      <c:valAx>
        <c:axId val="746202328"/>
        <c:scaling>
          <c:orientation val="minMax"/>
          <c:max val="140"/>
          <c:min val="8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201936"/>
        <c:crosses val="autoZero"/>
        <c:crossBetween val="between"/>
        <c:majorUnit val="20"/>
      </c:valAx>
      <c:spPr>
        <a:solidFill>
          <a:srgbClr val="FFFFFF"/>
        </a:solidFill>
      </c:spPr>
    </c:plotArea>
    <c:legend>
      <c:legendPos val="l"/>
      <c:layout>
        <c:manualLayout>
          <c:xMode val="edge"/>
          <c:yMode val="edge"/>
          <c:x val="0.5107884783039085"/>
          <c:y val="3.0592999871487166E-3"/>
          <c:w val="0.48401682476060143"/>
          <c:h val="0.23255542549902922"/>
        </c:manualLayout>
      </c:layout>
      <c:overlay val="1"/>
      <c:spPr>
        <a:no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1AA4-4D87-8E0E-256FA4BF27D3}"/>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1AA4-4D87-8E0E-256FA4BF27D3}"/>
              </c:ext>
            </c:extLst>
          </c:dPt>
          <c:dLbls>
            <c:dLbl>
              <c:idx val="0"/>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AA4-4D87-8E0E-256FA4BF27D3}"/>
                </c:ext>
              </c:extLst>
            </c:dLbl>
            <c:dLbl>
              <c:idx val="1"/>
              <c:delete val="1"/>
              <c:extLst>
                <c:ext xmlns:c15="http://schemas.microsoft.com/office/drawing/2012/chart" uri="{CE6537A1-D6FC-4f65-9D91-7224C49458BB}"/>
                <c:ext xmlns:c16="http://schemas.microsoft.com/office/drawing/2014/chart" uri="{C3380CC4-5D6E-409C-BE32-E72D297353CC}">
                  <c16:uniqueId val="{00000003-1AA4-4D87-8E0E-256FA4BF27D3}"/>
                </c:ext>
              </c:extLst>
            </c:dLbl>
            <c:spPr>
              <a:noFill/>
              <a:ln>
                <a:noFill/>
              </a:ln>
              <a:effectLst/>
            </c:spPr>
            <c:txPr>
              <a:bodyPr/>
              <a:lstStyle/>
              <a:p>
                <a:pPr>
                  <a:defRPr>
                    <a:solidFill>
                      <a:schemeClr val="tx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1.5644137098086541</c:v>
                </c:pt>
                <c:pt idx="1">
                  <c:v>98.435586290191353</c:v>
                </c:pt>
              </c:numCache>
            </c:numRef>
          </c:val>
          <c:extLst>
            <c:ext xmlns:c16="http://schemas.microsoft.com/office/drawing/2014/chart" uri="{C3380CC4-5D6E-409C-BE32-E72D297353CC}">
              <c16:uniqueId val="{00000004-1AA4-4D87-8E0E-256FA4BF27D3}"/>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2575-41A0-9BE9-9E30CB79C93C}"/>
            </c:ext>
          </c:extLst>
        </c:ser>
        <c:dLbls>
          <c:showLegendKey val="0"/>
          <c:showVal val="0"/>
          <c:showCatName val="0"/>
          <c:showSerName val="0"/>
          <c:showPercent val="0"/>
          <c:showBubbleSize val="0"/>
        </c:dLbls>
        <c:gapWidth val="0"/>
        <c:axId val="746199584"/>
        <c:axId val="74619997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2575-41A0-9BE9-9E30CB79C93C}"/>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5.9448267500000016</c:v>
                </c:pt>
                <c:pt idx="1">
                  <c:v>5.9227832485716041</c:v>
                </c:pt>
                <c:pt idx="2">
                  <c:v>5.9728708985568835</c:v>
                </c:pt>
                <c:pt idx="3">
                  <c:v>6.0009927778418541</c:v>
                </c:pt>
                <c:pt idx="4">
                  <c:v>6.0497378574958498</c:v>
                </c:pt>
                <c:pt idx="5">
                  <c:v>6.1081852762196753</c:v>
                </c:pt>
                <c:pt idx="6">
                  <c:v>6.1511351752760257</c:v>
                </c:pt>
                <c:pt idx="7">
                  <c:v>6.1768608740060049</c:v>
                </c:pt>
                <c:pt idx="8">
                  <c:v>6.1922005697868308</c:v>
                </c:pt>
                <c:pt idx="9">
                  <c:v>6.2029121624647265</c:v>
                </c:pt>
                <c:pt idx="10">
                  <c:v>6.208399998496569</c:v>
                </c:pt>
                <c:pt idx="11">
                  <c:v>6.2143097637179672</c:v>
                </c:pt>
                <c:pt idx="12">
                  <c:v>6.2229065237789492</c:v>
                </c:pt>
                <c:pt idx="13">
                  <c:v>6.2328247673263846</c:v>
                </c:pt>
                <c:pt idx="14">
                  <c:v>6.2448976748868317</c:v>
                </c:pt>
                <c:pt idx="15">
                  <c:v>6.2599021505978252</c:v>
                </c:pt>
                <c:pt idx="16">
                  <c:v>6.2745578645898554</c:v>
                </c:pt>
                <c:pt idx="17">
                  <c:v>6.294420739267415</c:v>
                </c:pt>
              </c:numCache>
            </c:numRef>
          </c:val>
          <c:smooth val="0"/>
          <c:extLst>
            <c:ext xmlns:c16="http://schemas.microsoft.com/office/drawing/2014/chart" uri="{C3380CC4-5D6E-409C-BE32-E72D297353CC}">
              <c16:uniqueId val="{00000003-2575-41A0-9BE9-9E30CB79C93C}"/>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6.1129423000000074</c:v>
                </c:pt>
                <c:pt idx="1">
                  <c:v>6.1292970089091838</c:v>
                </c:pt>
                <c:pt idx="2">
                  <c:v>6.1491138843979991</c:v>
                </c:pt>
                <c:pt idx="3">
                  <c:v>6.1789085796264613</c:v>
                </c:pt>
                <c:pt idx="4">
                  <c:v>6.2348402205998292</c:v>
                </c:pt>
                <c:pt idx="5">
                  <c:v>6.2950769385623628</c:v>
                </c:pt>
                <c:pt idx="6">
                  <c:v>6.3194457159614519</c:v>
                </c:pt>
                <c:pt idx="7">
                  <c:v>6.3427853711687741</c:v>
                </c:pt>
                <c:pt idx="8">
                  <c:v>6.3680444782680716</c:v>
                </c:pt>
                <c:pt idx="9">
                  <c:v>6.4099523094794879</c:v>
                </c:pt>
                <c:pt idx="10">
                  <c:v>6.4511022689565261</c:v>
                </c:pt>
                <c:pt idx="11">
                  <c:v>6.4987039592269875</c:v>
                </c:pt>
                <c:pt idx="12">
                  <c:v>6.5529715233646941</c:v>
                </c:pt>
                <c:pt idx="13">
                  <c:v>6.6119836642350025</c:v>
                </c:pt>
                <c:pt idx="14">
                  <c:v>6.6905467448709741</c:v>
                </c:pt>
                <c:pt idx="15">
                  <c:v>6.7887007402340132</c:v>
                </c:pt>
                <c:pt idx="16">
                  <c:v>6.9010062362620666</c:v>
                </c:pt>
                <c:pt idx="17">
                  <c:v>7.0143209917828324</c:v>
                </c:pt>
              </c:numCache>
            </c:numRef>
          </c:val>
          <c:smooth val="0"/>
          <c:extLst>
            <c:ext xmlns:c16="http://schemas.microsoft.com/office/drawing/2014/chart" uri="{C3380CC4-5D6E-409C-BE32-E72D297353CC}">
              <c16:uniqueId val="{00000004-2575-41A0-9BE9-9E30CB79C93C}"/>
            </c:ext>
          </c:extLst>
        </c:ser>
        <c:dLbls>
          <c:showLegendKey val="0"/>
          <c:showVal val="0"/>
          <c:showCatName val="0"/>
          <c:showSerName val="0"/>
          <c:showPercent val="0"/>
          <c:showBubbleSize val="0"/>
        </c:dLbls>
        <c:marker val="1"/>
        <c:smooth val="0"/>
        <c:axId val="746199584"/>
        <c:axId val="746199976"/>
      </c:lineChart>
      <c:catAx>
        <c:axId val="746199584"/>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199976"/>
        <c:crosses val="autoZero"/>
        <c:auto val="1"/>
        <c:lblAlgn val="ctr"/>
        <c:lblOffset val="100"/>
        <c:noMultiLvlLbl val="0"/>
      </c:catAx>
      <c:valAx>
        <c:axId val="746199976"/>
        <c:scaling>
          <c:orientation val="minMax"/>
          <c:max val="9"/>
          <c:min val="5"/>
        </c:scaling>
        <c:delete val="0"/>
        <c:axPos val="l"/>
        <c:numFmt formatCode="General" sourceLinked="1"/>
        <c:majorTickMark val="out"/>
        <c:minorTickMark val="none"/>
        <c:tickLblPos val="nextTo"/>
        <c:crossAx val="746199584"/>
        <c:crosses val="autoZero"/>
        <c:crossBetween val="between"/>
        <c:majorUnit val="1"/>
      </c:valAx>
      <c:spPr>
        <a:solidFill>
          <a:srgbClr val="FFFFFF"/>
        </a:solidFill>
      </c:spPr>
    </c:plotArea>
    <c:legend>
      <c:legendPos val="l"/>
      <c:legendEntry>
        <c:idx val="0"/>
        <c:delete val="1"/>
      </c:legendEntry>
      <c:layout>
        <c:manualLayout>
          <c:xMode val="edge"/>
          <c:yMode val="edge"/>
          <c:x val="0.52031503185575345"/>
          <c:y val="0.10649059251360671"/>
          <c:w val="0.36870408159631335"/>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22DA-47A5-BF05-C9D0E328CC5C}"/>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22DA-47A5-BF05-C9D0E328CC5C}"/>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102.17306006452989</c:v>
                </c:pt>
                <c:pt idx="1">
                  <c:v>97.384043642451132</c:v>
                </c:pt>
              </c:numCache>
            </c:numRef>
          </c:val>
          <c:extLst>
            <c:ext xmlns:c16="http://schemas.microsoft.com/office/drawing/2014/chart" uri="{C3380CC4-5D6E-409C-BE32-E72D297353CC}">
              <c16:uniqueId val="{00000003-22DA-47A5-BF05-C9D0E328CC5C}"/>
            </c:ext>
          </c:extLst>
        </c:ser>
        <c:dLbls>
          <c:showLegendKey val="0"/>
          <c:showVal val="1"/>
          <c:showCatName val="0"/>
          <c:showSerName val="0"/>
          <c:showPercent val="0"/>
          <c:showBubbleSize val="0"/>
        </c:dLbls>
        <c:gapWidth val="50"/>
        <c:overlap val="88"/>
        <c:axId val="746202720"/>
        <c:axId val="746200760"/>
      </c:barChart>
      <c:catAx>
        <c:axId val="746202720"/>
        <c:scaling>
          <c:orientation val="minMax"/>
        </c:scaling>
        <c:delete val="0"/>
        <c:axPos val="b"/>
        <c:numFmt formatCode="General" sourceLinked="1"/>
        <c:majorTickMark val="out"/>
        <c:minorTickMark val="none"/>
        <c:tickLblPos val="nextTo"/>
        <c:crossAx val="746200760"/>
        <c:crosses val="autoZero"/>
        <c:auto val="0"/>
        <c:lblAlgn val="ctr"/>
        <c:lblOffset val="100"/>
        <c:tickLblSkip val="1"/>
        <c:tickMarkSkip val="1"/>
        <c:noMultiLvlLbl val="0"/>
      </c:catAx>
      <c:valAx>
        <c:axId val="746200760"/>
        <c:scaling>
          <c:orientation val="minMax"/>
          <c:max val="14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20272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B9C7-49F4-B4C4-ABCCE49D7694}"/>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B9C7-49F4-B4C4-ABCCE49D7694}"/>
              </c:ext>
            </c:extLst>
          </c:dPt>
          <c:dLbls>
            <c:dLbl>
              <c:idx val="1"/>
              <c:delete val="1"/>
              <c:extLst>
                <c:ext xmlns:c15="http://schemas.microsoft.com/office/drawing/2012/chart" uri="{CE6537A1-D6FC-4f65-9D91-7224C49458BB}"/>
                <c:ext xmlns:c16="http://schemas.microsoft.com/office/drawing/2014/chart" uri="{C3380CC4-5D6E-409C-BE32-E72D297353CC}">
                  <c16:uniqueId val="{00000003-B9C7-49F4-B4C4-ABCCE49D7694}"/>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10.13878745082167</c:v>
                </c:pt>
                <c:pt idx="1">
                  <c:v>89.861212549178333</c:v>
                </c:pt>
              </c:numCache>
            </c:numRef>
          </c:val>
          <c:extLst>
            <c:ext xmlns:c16="http://schemas.microsoft.com/office/drawing/2014/chart" uri="{C3380CC4-5D6E-409C-BE32-E72D297353CC}">
              <c16:uniqueId val="{00000004-B9C7-49F4-B4C4-ABCCE49D7694}"/>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321445624148115E-2"/>
          <c:y val="4.7032080353913347E-2"/>
          <c:w val="0.84773242470251753"/>
          <c:h val="0.82658082445576653"/>
        </c:manualLayout>
      </c:layout>
      <c:barChart>
        <c:barDir val="col"/>
        <c:grouping val="clustered"/>
        <c:varyColors val="0"/>
        <c:ser>
          <c:idx val="2"/>
          <c:order val="0"/>
          <c:tx>
            <c:strRef>
              <c:f>Sheet1!$B$1</c:f>
              <c:strCache>
                <c:ptCount val="1"/>
                <c:pt idx="0">
                  <c:v>Kopā</c:v>
                </c:pt>
              </c:strCache>
            </c:strRef>
          </c:tx>
          <c:invertIfNegative val="0"/>
          <c:cat>
            <c:numRef>
              <c:f>Sheet1!$A$2:$A$174</c:f>
              <c:numCache>
                <c:formatCode>General</c:formatCode>
                <c:ptCount val="101"/>
                <c:pt idx="0" formatCode="0">
                  <c:v>2016</c:v>
                </c:pt>
                <c:pt idx="12" formatCode="0">
                  <c:v>2017</c:v>
                </c:pt>
                <c:pt idx="24" formatCode="0">
                  <c:v>2018</c:v>
                </c:pt>
                <c:pt idx="36" formatCode="0">
                  <c:v>2019</c:v>
                </c:pt>
                <c:pt idx="48" formatCode="0">
                  <c:v>2020</c:v>
                </c:pt>
                <c:pt idx="60" formatCode="0">
                  <c:v>2021</c:v>
                </c:pt>
                <c:pt idx="72" formatCode="0">
                  <c:v>2022</c:v>
                </c:pt>
                <c:pt idx="84" formatCode="0">
                  <c:v>2023</c:v>
                </c:pt>
                <c:pt idx="96" formatCode="0">
                  <c:v>2024</c:v>
                </c:pt>
              </c:numCache>
            </c:numRef>
          </c:cat>
          <c:val>
            <c:numRef>
              <c:f>Sheet1!$B$2:$B$174</c:f>
              <c:numCache>
                <c:formatCode>0.0</c:formatCode>
                <c:ptCount val="101"/>
                <c:pt idx="0" formatCode="0">
                  <c:v>85.5</c:v>
                </c:pt>
                <c:pt idx="1">
                  <c:v>86.6</c:v>
                </c:pt>
                <c:pt idx="2" formatCode="0">
                  <c:v>85.4</c:v>
                </c:pt>
                <c:pt idx="3" formatCode="0">
                  <c:v>82.3</c:v>
                </c:pt>
                <c:pt idx="4" formatCode="0">
                  <c:v>79.099999999999994</c:v>
                </c:pt>
                <c:pt idx="5" formatCode="0">
                  <c:v>78.2</c:v>
                </c:pt>
                <c:pt idx="6" formatCode="0">
                  <c:v>77.400000000000006</c:v>
                </c:pt>
                <c:pt idx="7" formatCode="0">
                  <c:v>75.7</c:v>
                </c:pt>
                <c:pt idx="8" formatCode="0">
                  <c:v>74.356999999999999</c:v>
                </c:pt>
                <c:pt idx="9" formatCode="0">
                  <c:v>74.052999999999997</c:v>
                </c:pt>
                <c:pt idx="10" formatCode="0">
                  <c:v>75.347999999999999</c:v>
                </c:pt>
                <c:pt idx="11" formatCode="0">
                  <c:v>78.356999999999999</c:v>
                </c:pt>
                <c:pt idx="12" formatCode="0">
                  <c:v>80.016000000000005</c:v>
                </c:pt>
                <c:pt idx="13" formatCode="0">
                  <c:v>79.152000000000001</c:v>
                </c:pt>
                <c:pt idx="14" formatCode="0">
                  <c:v>76.430999999999997</c:v>
                </c:pt>
                <c:pt idx="15" formatCode="0">
                  <c:v>71.704999999999998</c:v>
                </c:pt>
                <c:pt idx="16" formatCode="0">
                  <c:v>68.438999999999993</c:v>
                </c:pt>
                <c:pt idx="17" formatCode="0">
                  <c:v>66.707999999999998</c:v>
                </c:pt>
                <c:pt idx="18" formatCode="0">
                  <c:v>65.554000000000002</c:v>
                </c:pt>
                <c:pt idx="19" formatCode="0">
                  <c:v>63.716999999999999</c:v>
                </c:pt>
                <c:pt idx="20" formatCode="0">
                  <c:v>61.460999999999999</c:v>
                </c:pt>
                <c:pt idx="21" formatCode="0">
                  <c:v>61.014000000000003</c:v>
                </c:pt>
                <c:pt idx="22" formatCode="0">
                  <c:v>61.537999999999997</c:v>
                </c:pt>
                <c:pt idx="23" formatCode="0">
                  <c:v>63.121000000000002</c:v>
                </c:pt>
                <c:pt idx="24" formatCode="0">
                  <c:v>65.135999999999996</c:v>
                </c:pt>
                <c:pt idx="25" formatCode="0">
                  <c:v>65.281999999999996</c:v>
                </c:pt>
                <c:pt idx="26" formatCode="0">
                  <c:v>64.631</c:v>
                </c:pt>
                <c:pt idx="27" formatCode="0">
                  <c:v>61.881999999999998</c:v>
                </c:pt>
                <c:pt idx="28" formatCode="0">
                  <c:v>59.548000000000002</c:v>
                </c:pt>
                <c:pt idx="29" formatCode="0">
                  <c:v>59.119</c:v>
                </c:pt>
                <c:pt idx="30" formatCode="0">
                  <c:v>58.887999999999998</c:v>
                </c:pt>
                <c:pt idx="31" formatCode="0">
                  <c:v>58.051000000000002</c:v>
                </c:pt>
                <c:pt idx="32" formatCode="0">
                  <c:v>56.734000000000002</c:v>
                </c:pt>
                <c:pt idx="33" formatCode="0">
                  <c:v>56.725999999999999</c:v>
                </c:pt>
                <c:pt idx="34" formatCode="0">
                  <c:v>57.454999999999998</c:v>
                </c:pt>
                <c:pt idx="35" formatCode="0">
                  <c:v>59.588000000000001</c:v>
                </c:pt>
                <c:pt idx="36" formatCode="0">
                  <c:v>61.951000000000001</c:v>
                </c:pt>
                <c:pt idx="37" formatCode="0">
                  <c:v>62.476999999999997</c:v>
                </c:pt>
                <c:pt idx="38" formatCode="0">
                  <c:v>61.244</c:v>
                </c:pt>
                <c:pt idx="39" formatCode="0">
                  <c:v>58.188000000000002</c:v>
                </c:pt>
                <c:pt idx="40" formatCode="0">
                  <c:v>56.104999999999997</c:v>
                </c:pt>
                <c:pt idx="41" formatCode="0">
                  <c:v>55.75</c:v>
                </c:pt>
                <c:pt idx="42" formatCode="0">
                  <c:v>55.372999999999998</c:v>
                </c:pt>
                <c:pt idx="43" formatCode="0">
                  <c:v>54.39</c:v>
                </c:pt>
                <c:pt idx="44" formatCode="0">
                  <c:v>52.594999999999999</c:v>
                </c:pt>
                <c:pt idx="45" formatCode="0">
                  <c:v>52.651000000000003</c:v>
                </c:pt>
                <c:pt idx="46" formatCode="0">
                  <c:v>53.783000000000001</c:v>
                </c:pt>
                <c:pt idx="47" formatCode="0">
                  <c:v>57.808</c:v>
                </c:pt>
                <c:pt idx="48" formatCode="0">
                  <c:v>58.832000000000001</c:v>
                </c:pt>
                <c:pt idx="49" formatCode="0">
                  <c:v>58.247</c:v>
                </c:pt>
                <c:pt idx="50" formatCode="0">
                  <c:v>61.926000000000002</c:v>
                </c:pt>
                <c:pt idx="51" formatCode="0">
                  <c:v>72.917000000000002</c:v>
                </c:pt>
                <c:pt idx="52" formatCode="0">
                  <c:v>76.44</c:v>
                </c:pt>
                <c:pt idx="53" formatCode="0">
                  <c:v>78.266000000000005</c:v>
                </c:pt>
                <c:pt idx="54" formatCode="0">
                  <c:v>77.998000000000005</c:v>
                </c:pt>
                <c:pt idx="55" formatCode="0">
                  <c:v>75.013000000000005</c:v>
                </c:pt>
                <c:pt idx="56" formatCode="0">
                  <c:v>70.305999999999997</c:v>
                </c:pt>
                <c:pt idx="57" formatCode="0">
                  <c:v>67.123999999999995</c:v>
                </c:pt>
                <c:pt idx="58" formatCode="0">
                  <c:v>67.518000000000001</c:v>
                </c:pt>
                <c:pt idx="59" formatCode="0">
                  <c:v>69.605000000000004</c:v>
                </c:pt>
                <c:pt idx="60" formatCode="0">
                  <c:v>72.611999999999995</c:v>
                </c:pt>
                <c:pt idx="61" formatCode="0">
                  <c:v>74.494</c:v>
                </c:pt>
                <c:pt idx="62" formatCode="0">
                  <c:v>74.231999999999999</c:v>
                </c:pt>
                <c:pt idx="63" formatCode="0">
                  <c:v>71.376000000000005</c:v>
                </c:pt>
                <c:pt idx="64" formatCode="0">
                  <c:v>68.765000000000001</c:v>
                </c:pt>
                <c:pt idx="65" formatCode="0">
                  <c:v>67.307000000000002</c:v>
                </c:pt>
                <c:pt idx="66" formatCode="0">
                  <c:v>64.391999999999996</c:v>
                </c:pt>
                <c:pt idx="67" formatCode="0">
                  <c:v>59.04</c:v>
                </c:pt>
                <c:pt idx="68" formatCode="0">
                  <c:v>54.524000000000001</c:v>
                </c:pt>
                <c:pt idx="69" formatCode="0">
                  <c:v>54.042000000000002</c:v>
                </c:pt>
                <c:pt idx="70" formatCode="0">
                  <c:v>57.536000000000001</c:v>
                </c:pt>
                <c:pt idx="71" formatCode="0">
                  <c:v>60.774000000000001</c:v>
                </c:pt>
                <c:pt idx="72" formatCode="0">
                  <c:v>62.27</c:v>
                </c:pt>
                <c:pt idx="73" formatCode="0">
                  <c:v>61.813000000000002</c:v>
                </c:pt>
                <c:pt idx="74" formatCode="0">
                  <c:v>60.198999999999998</c:v>
                </c:pt>
                <c:pt idx="75" formatCode="0">
                  <c:v>57.222999999999999</c:v>
                </c:pt>
                <c:pt idx="76" formatCode="0">
                  <c:v>53.825000000000003</c:v>
                </c:pt>
                <c:pt idx="77" formatCode="0">
                  <c:v>52.256999999999998</c:v>
                </c:pt>
                <c:pt idx="78" formatCode="0">
                  <c:v>52.765999999999998</c:v>
                </c:pt>
                <c:pt idx="79" formatCode="0">
                  <c:v>51.527000000000001</c:v>
                </c:pt>
                <c:pt idx="80" formatCode="0">
                  <c:v>50.194000000000003</c:v>
                </c:pt>
                <c:pt idx="81" formatCode="0">
                  <c:v>50.277999999999999</c:v>
                </c:pt>
                <c:pt idx="82" formatCode="0">
                  <c:v>51.606000000000002</c:v>
                </c:pt>
                <c:pt idx="83" formatCode="0">
                  <c:v>53.536000000000001</c:v>
                </c:pt>
                <c:pt idx="84" formatCode="0">
                  <c:v>55.284999999999997</c:v>
                </c:pt>
                <c:pt idx="85" formatCode="0">
                  <c:v>55.707000000000001</c:v>
                </c:pt>
                <c:pt idx="86" formatCode="0">
                  <c:v>53.837000000000003</c:v>
                </c:pt>
                <c:pt idx="87" formatCode="0">
                  <c:v>50.808</c:v>
                </c:pt>
                <c:pt idx="88" formatCode="0">
                  <c:v>48.85</c:v>
                </c:pt>
                <c:pt idx="89" formatCode="0">
                  <c:v>49.238999999999997</c:v>
                </c:pt>
                <c:pt idx="90" formatCode="0">
                  <c:v>49.962000000000003</c:v>
                </c:pt>
                <c:pt idx="91" formatCode="0">
                  <c:v>49.094999999999999</c:v>
                </c:pt>
                <c:pt idx="92" formatCode="0">
                  <c:v>47.414999999999999</c:v>
                </c:pt>
                <c:pt idx="93" formatCode="0">
                  <c:v>47.082999999999998</c:v>
                </c:pt>
                <c:pt idx="94" formatCode="0">
                  <c:v>48.183999999999997</c:v>
                </c:pt>
                <c:pt idx="95" formatCode="0">
                  <c:v>50.344000000000001</c:v>
                </c:pt>
                <c:pt idx="96" formatCode="0">
                  <c:v>51.197000000000003</c:v>
                </c:pt>
                <c:pt idx="97" formatCode="0">
                  <c:v>51.991</c:v>
                </c:pt>
                <c:pt idx="98" formatCode="0">
                  <c:v>50.738</c:v>
                </c:pt>
                <c:pt idx="99" formatCode="0">
                  <c:v>47.857999999999997</c:v>
                </c:pt>
                <c:pt idx="100" formatCode="0">
                  <c:v>45.432000000000002</c:v>
                </c:pt>
              </c:numCache>
            </c:numRef>
          </c:val>
          <c:extLst>
            <c:ext xmlns:c16="http://schemas.microsoft.com/office/drawing/2014/chart" uri="{C3380CC4-5D6E-409C-BE32-E72D297353CC}">
              <c16:uniqueId val="{00000000-93E2-4120-8FD7-F7B92F4A2076}"/>
            </c:ext>
          </c:extLst>
        </c:ser>
        <c:ser>
          <c:idx val="3"/>
          <c:order val="1"/>
          <c:tx>
            <c:strRef>
              <c:f>Sheet1!$C$1</c:f>
              <c:strCache>
                <c:ptCount val="1"/>
                <c:pt idx="0">
                  <c:v>Ilgstošie bezdarbnieki</c:v>
                </c:pt>
              </c:strCache>
            </c:strRef>
          </c:tx>
          <c:invertIfNegative val="0"/>
          <c:cat>
            <c:numRef>
              <c:f>Sheet1!$A$2:$A$174</c:f>
              <c:numCache>
                <c:formatCode>General</c:formatCode>
                <c:ptCount val="101"/>
                <c:pt idx="0" formatCode="0">
                  <c:v>2016</c:v>
                </c:pt>
                <c:pt idx="12" formatCode="0">
                  <c:v>2017</c:v>
                </c:pt>
                <c:pt idx="24" formatCode="0">
                  <c:v>2018</c:v>
                </c:pt>
                <c:pt idx="36" formatCode="0">
                  <c:v>2019</c:v>
                </c:pt>
                <c:pt idx="48" formatCode="0">
                  <c:v>2020</c:v>
                </c:pt>
                <c:pt idx="60" formatCode="0">
                  <c:v>2021</c:v>
                </c:pt>
                <c:pt idx="72" formatCode="0">
                  <c:v>2022</c:v>
                </c:pt>
                <c:pt idx="84" formatCode="0">
                  <c:v>2023</c:v>
                </c:pt>
                <c:pt idx="96" formatCode="0">
                  <c:v>2024</c:v>
                </c:pt>
              </c:numCache>
            </c:numRef>
          </c:cat>
          <c:val>
            <c:numRef>
              <c:f>Sheet1!$C$2:$C$174</c:f>
              <c:numCache>
                <c:formatCode>0</c:formatCode>
                <c:ptCount val="101"/>
                <c:pt idx="0">
                  <c:v>24.893000000000001</c:v>
                </c:pt>
                <c:pt idx="1">
                  <c:v>25.123999999999999</c:v>
                </c:pt>
                <c:pt idx="2">
                  <c:v>25.228000000000002</c:v>
                </c:pt>
                <c:pt idx="3">
                  <c:v>24.289000000000001</c:v>
                </c:pt>
                <c:pt idx="4">
                  <c:v>24.289000000000001</c:v>
                </c:pt>
                <c:pt idx="5">
                  <c:v>23.834</c:v>
                </c:pt>
                <c:pt idx="6">
                  <c:v>22.872448607758933</c:v>
                </c:pt>
                <c:pt idx="7">
                  <c:v>22.241898416227301</c:v>
                </c:pt>
                <c:pt idx="8">
                  <c:v>21.721393414702771</c:v>
                </c:pt>
                <c:pt idx="9">
                  <c:v>21.507193144670968</c:v>
                </c:pt>
                <c:pt idx="10">
                  <c:v>21.755711947848827</c:v>
                </c:pt>
                <c:pt idx="11">
                  <c:v>22.45</c:v>
                </c:pt>
                <c:pt idx="12">
                  <c:v>22.602</c:v>
                </c:pt>
                <c:pt idx="13">
                  <c:v>22.451978107279253</c:v>
                </c:pt>
                <c:pt idx="14">
                  <c:v>22.065000000000001</c:v>
                </c:pt>
                <c:pt idx="15">
                  <c:v>21.731999999999999</c:v>
                </c:pt>
                <c:pt idx="16">
                  <c:v>21.138999999999999</c:v>
                </c:pt>
                <c:pt idx="17">
                  <c:v>20.381</c:v>
                </c:pt>
                <c:pt idx="18">
                  <c:v>19.759</c:v>
                </c:pt>
                <c:pt idx="19">
                  <c:v>19.251000000000001</c:v>
                </c:pt>
                <c:pt idx="20">
                  <c:v>18.89</c:v>
                </c:pt>
                <c:pt idx="21">
                  <c:v>18.498999999999999</c:v>
                </c:pt>
                <c:pt idx="22">
                  <c:v>18.268000000000001</c:v>
                </c:pt>
                <c:pt idx="23">
                  <c:v>18.135999999999999</c:v>
                </c:pt>
                <c:pt idx="24">
                  <c:v>18.241</c:v>
                </c:pt>
                <c:pt idx="25">
                  <c:v>18.036000000000001</c:v>
                </c:pt>
                <c:pt idx="26">
                  <c:v>18.029</c:v>
                </c:pt>
                <c:pt idx="27">
                  <c:v>17.603999999999999</c:v>
                </c:pt>
                <c:pt idx="28">
                  <c:v>16.882999999999999</c:v>
                </c:pt>
                <c:pt idx="29">
                  <c:v>16.125</c:v>
                </c:pt>
                <c:pt idx="30">
                  <c:v>15.606</c:v>
                </c:pt>
                <c:pt idx="31">
                  <c:v>15.257</c:v>
                </c:pt>
                <c:pt idx="32">
                  <c:v>15.115</c:v>
                </c:pt>
                <c:pt idx="33">
                  <c:v>14.917999999999999</c:v>
                </c:pt>
                <c:pt idx="34">
                  <c:v>14.888</c:v>
                </c:pt>
                <c:pt idx="35">
                  <c:v>14.944000000000001</c:v>
                </c:pt>
                <c:pt idx="36">
                  <c:v>15.226000000000001</c:v>
                </c:pt>
                <c:pt idx="37">
                  <c:v>15.226000000000001</c:v>
                </c:pt>
                <c:pt idx="38">
                  <c:v>15.315</c:v>
                </c:pt>
                <c:pt idx="39">
                  <c:v>15.026999999999999</c:v>
                </c:pt>
                <c:pt idx="40">
                  <c:v>14.638999999999999</c:v>
                </c:pt>
                <c:pt idx="41">
                  <c:v>14.087999999999999</c:v>
                </c:pt>
                <c:pt idx="42">
                  <c:v>13.45</c:v>
                </c:pt>
                <c:pt idx="43">
                  <c:v>13.019</c:v>
                </c:pt>
                <c:pt idx="44">
                  <c:v>12.663</c:v>
                </c:pt>
                <c:pt idx="45">
                  <c:v>12.35</c:v>
                </c:pt>
                <c:pt idx="46">
                  <c:v>12.273999999999999</c:v>
                </c:pt>
                <c:pt idx="47">
                  <c:v>12.117000000000001</c:v>
                </c:pt>
                <c:pt idx="48">
                  <c:v>12.27</c:v>
                </c:pt>
                <c:pt idx="49">
                  <c:v>12.259</c:v>
                </c:pt>
                <c:pt idx="50">
                  <c:v>12.260999999999999</c:v>
                </c:pt>
                <c:pt idx="51">
                  <c:v>12.509</c:v>
                </c:pt>
                <c:pt idx="52">
                  <c:v>13.162000000000001</c:v>
                </c:pt>
                <c:pt idx="53">
                  <c:v>13.95</c:v>
                </c:pt>
                <c:pt idx="54">
                  <c:v>14.888</c:v>
                </c:pt>
                <c:pt idx="55">
                  <c:v>15.222</c:v>
                </c:pt>
                <c:pt idx="56">
                  <c:v>15.5</c:v>
                </c:pt>
                <c:pt idx="57">
                  <c:v>15.589</c:v>
                </c:pt>
                <c:pt idx="58">
                  <c:v>16.04</c:v>
                </c:pt>
                <c:pt idx="59">
                  <c:v>17.271000000000001</c:v>
                </c:pt>
                <c:pt idx="60">
                  <c:v>17.988</c:v>
                </c:pt>
                <c:pt idx="61">
                  <c:v>18.584</c:v>
                </c:pt>
                <c:pt idx="62">
                  <c:v>19.52</c:v>
                </c:pt>
                <c:pt idx="63">
                  <c:v>21.181000000000001</c:v>
                </c:pt>
                <c:pt idx="64">
                  <c:v>21.393999999999998</c:v>
                </c:pt>
                <c:pt idx="65">
                  <c:v>21.419</c:v>
                </c:pt>
                <c:pt idx="66">
                  <c:v>20.263000000000002</c:v>
                </c:pt>
                <c:pt idx="67">
                  <c:v>17.995999999999999</c:v>
                </c:pt>
                <c:pt idx="68">
                  <c:v>16.151</c:v>
                </c:pt>
                <c:pt idx="69">
                  <c:v>15.106</c:v>
                </c:pt>
                <c:pt idx="70">
                  <c:v>15.023</c:v>
                </c:pt>
                <c:pt idx="71">
                  <c:v>14.824</c:v>
                </c:pt>
                <c:pt idx="72">
                  <c:v>14.89</c:v>
                </c:pt>
                <c:pt idx="73">
                  <c:v>14.808999999999999</c:v>
                </c:pt>
                <c:pt idx="74">
                  <c:v>14.388</c:v>
                </c:pt>
                <c:pt idx="75">
                  <c:v>13.696999999999999</c:v>
                </c:pt>
                <c:pt idx="76">
                  <c:v>12.641</c:v>
                </c:pt>
                <c:pt idx="77">
                  <c:v>11.79</c:v>
                </c:pt>
                <c:pt idx="78">
                  <c:v>11.429</c:v>
                </c:pt>
                <c:pt idx="79">
                  <c:v>10.968999999999999</c:v>
                </c:pt>
                <c:pt idx="80">
                  <c:v>10.683999999999999</c:v>
                </c:pt>
                <c:pt idx="81">
                  <c:v>10.506</c:v>
                </c:pt>
                <c:pt idx="82">
                  <c:v>10.452999999999999</c:v>
                </c:pt>
                <c:pt idx="83">
                  <c:v>10.266999999999999</c:v>
                </c:pt>
                <c:pt idx="84">
                  <c:v>10.132999999999999</c:v>
                </c:pt>
                <c:pt idx="85">
                  <c:v>9.8849999999999998</c:v>
                </c:pt>
                <c:pt idx="86">
                  <c:v>9.6240000000000006</c:v>
                </c:pt>
                <c:pt idx="87">
                  <c:v>9.4740000000000002</c:v>
                </c:pt>
                <c:pt idx="88">
                  <c:v>9.1319999999999997</c:v>
                </c:pt>
                <c:pt idx="89">
                  <c:v>8.7110000000000003</c:v>
                </c:pt>
                <c:pt idx="90">
                  <c:v>8.6470000000000002</c:v>
                </c:pt>
                <c:pt idx="91">
                  <c:v>8.5630000000000006</c:v>
                </c:pt>
                <c:pt idx="92">
                  <c:v>8.3989999999999991</c:v>
                </c:pt>
                <c:pt idx="93">
                  <c:v>8.1839999999999993</c:v>
                </c:pt>
                <c:pt idx="94">
                  <c:v>8.1219999999999999</c:v>
                </c:pt>
                <c:pt idx="95">
                  <c:v>8.0259999999999998</c:v>
                </c:pt>
                <c:pt idx="96">
                  <c:v>8.0739999999999998</c:v>
                </c:pt>
                <c:pt idx="97">
                  <c:v>7.9829999999999997</c:v>
                </c:pt>
                <c:pt idx="98">
                  <c:v>7.9580000000000002</c:v>
                </c:pt>
                <c:pt idx="99">
                  <c:v>7.7279999999999998</c:v>
                </c:pt>
                <c:pt idx="100" formatCode="_-* #\ ##0.0_-;\-* #\ ##0.0_-;_-* &quot;-&quot;??_-;_-@_-">
                  <c:v>7.4619999999999997</c:v>
                </c:pt>
              </c:numCache>
            </c:numRef>
          </c:val>
          <c:extLst>
            <c:ext xmlns:c16="http://schemas.microsoft.com/office/drawing/2014/chart" uri="{C3380CC4-5D6E-409C-BE32-E72D297353CC}">
              <c16:uniqueId val="{00000001-93E2-4120-8FD7-F7B92F4A2076}"/>
            </c:ext>
          </c:extLst>
        </c:ser>
        <c:dLbls>
          <c:showLegendKey val="0"/>
          <c:showVal val="0"/>
          <c:showCatName val="0"/>
          <c:showSerName val="0"/>
          <c:showPercent val="0"/>
          <c:showBubbleSize val="0"/>
        </c:dLbls>
        <c:gapWidth val="0"/>
        <c:overlap val="100"/>
        <c:axId val="742153008"/>
        <c:axId val="742150264"/>
      </c:barChart>
      <c:catAx>
        <c:axId val="742153008"/>
        <c:scaling>
          <c:orientation val="minMax"/>
        </c:scaling>
        <c:delete val="0"/>
        <c:axPos val="b"/>
        <c:numFmt formatCode="0" sourceLinked="1"/>
        <c:majorTickMark val="out"/>
        <c:minorTickMark val="none"/>
        <c:tickLblPos val="low"/>
        <c:txPr>
          <a:bodyPr rot="0" vert="horz"/>
          <a:lstStyle/>
          <a:p>
            <a:pPr>
              <a:defRPr/>
            </a:pPr>
            <a:endParaRPr lang="lv-LV"/>
          </a:p>
        </c:txPr>
        <c:crossAx val="742150264"/>
        <c:crosses val="autoZero"/>
        <c:auto val="0"/>
        <c:lblAlgn val="ctr"/>
        <c:lblOffset val="100"/>
        <c:tickLblSkip val="12"/>
        <c:tickMarkSkip val="12"/>
        <c:noMultiLvlLbl val="1"/>
      </c:catAx>
      <c:valAx>
        <c:axId val="742150264"/>
        <c:scaling>
          <c:orientation val="minMax"/>
          <c:max val="100"/>
          <c:min val="0"/>
        </c:scaling>
        <c:delete val="0"/>
        <c:axPos val="l"/>
        <c:numFmt formatCode="0" sourceLinked="0"/>
        <c:majorTickMark val="out"/>
        <c:minorTickMark val="none"/>
        <c:tickLblPos val="nextTo"/>
        <c:spPr>
          <a:ln w="3175">
            <a:noFill/>
          </a:ln>
        </c:spPr>
        <c:txPr>
          <a:bodyPr rot="0" vert="horz"/>
          <a:lstStyle/>
          <a:p>
            <a:pPr>
              <a:defRPr/>
            </a:pPr>
            <a:endParaRPr lang="lv-LV"/>
          </a:p>
        </c:txPr>
        <c:crossAx val="742153008"/>
        <c:crosses val="autoZero"/>
        <c:crossBetween val="between"/>
        <c:majorUnit val="20"/>
      </c:valAx>
      <c:spPr>
        <a:noFill/>
        <a:ln w="24631">
          <a:noFill/>
        </a:ln>
      </c:spPr>
    </c:plotArea>
    <c:legend>
      <c:legendPos val="l"/>
      <c:legendEntry>
        <c:idx val="1"/>
        <c:txPr>
          <a:bodyPr/>
          <a:lstStyle/>
          <a:p>
            <a:pPr>
              <a:defRPr>
                <a:solidFill>
                  <a:schemeClr val="bg1"/>
                </a:solidFill>
              </a:defRPr>
            </a:pPr>
            <a:endParaRPr lang="lv-LV"/>
          </a:p>
        </c:txPr>
      </c:legendEntry>
      <c:layout>
        <c:manualLayout>
          <c:xMode val="edge"/>
          <c:yMode val="edge"/>
          <c:x val="9.5219915692356619E-2"/>
          <c:y val="0.51386614173228351"/>
          <c:w val="0.42958685291130227"/>
          <c:h val="0.40379388605836031"/>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CC80-4E91-8FA0-72FE1FB35AD0}"/>
            </c:ext>
          </c:extLst>
        </c:ser>
        <c:dLbls>
          <c:showLegendKey val="0"/>
          <c:showVal val="0"/>
          <c:showCatName val="0"/>
          <c:showSerName val="0"/>
          <c:showPercent val="0"/>
          <c:showBubbleSize val="0"/>
        </c:dLbls>
        <c:gapWidth val="0"/>
        <c:axId val="746203896"/>
        <c:axId val="74620428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CC80-4E91-8FA0-72FE1FB35AD0}"/>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35.484454875000026</c:v>
                </c:pt>
                <c:pt idx="1">
                  <c:v>36.140038579997032</c:v>
                </c:pt>
                <c:pt idx="2">
                  <c:v>36.977203229950064</c:v>
                </c:pt>
                <c:pt idx="3">
                  <c:v>37.686543114856569</c:v>
                </c:pt>
                <c:pt idx="4">
                  <c:v>38.516219801208749</c:v>
                </c:pt>
                <c:pt idx="5">
                  <c:v>39.412284332656618</c:v>
                </c:pt>
                <c:pt idx="6">
                  <c:v>40.246510251495913</c:v>
                </c:pt>
                <c:pt idx="7">
                  <c:v>40.981346851821151</c:v>
                </c:pt>
                <c:pt idx="8">
                  <c:v>41.674431076813143</c:v>
                </c:pt>
                <c:pt idx="9">
                  <c:v>42.324694568378554</c:v>
                </c:pt>
                <c:pt idx="10">
                  <c:v>42.965377641897064</c:v>
                </c:pt>
                <c:pt idx="11">
                  <c:v>43.592746030562573</c:v>
                </c:pt>
                <c:pt idx="12">
                  <c:v>44.210413960196021</c:v>
                </c:pt>
                <c:pt idx="13">
                  <c:v>44.812074169383379</c:v>
                </c:pt>
                <c:pt idx="14">
                  <c:v>45.395031940193718</c:v>
                </c:pt>
                <c:pt idx="15">
                  <c:v>45.994988453294226</c:v>
                </c:pt>
                <c:pt idx="16">
                  <c:v>46.570036466169576</c:v>
                </c:pt>
                <c:pt idx="17">
                  <c:v>47.144382200615006</c:v>
                </c:pt>
              </c:numCache>
            </c:numRef>
          </c:val>
          <c:smooth val="0"/>
          <c:extLst>
            <c:ext xmlns:c16="http://schemas.microsoft.com/office/drawing/2014/chart" uri="{C3380CC4-5D6E-409C-BE32-E72D297353CC}">
              <c16:uniqueId val="{00000003-CC80-4E91-8FA0-72FE1FB35AD0}"/>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35.748537375000012</c:v>
                </c:pt>
                <c:pt idx="1">
                  <c:v>36.123710943711302</c:v>
                </c:pt>
                <c:pt idx="2">
                  <c:v>36.713004639987375</c:v>
                </c:pt>
                <c:pt idx="3">
                  <c:v>37.464294719974262</c:v>
                </c:pt>
                <c:pt idx="4">
                  <c:v>38.412792072265397</c:v>
                </c:pt>
                <c:pt idx="5">
                  <c:v>39.404600427283832</c:v>
                </c:pt>
                <c:pt idx="6">
                  <c:v>40.268319542924935</c:v>
                </c:pt>
                <c:pt idx="7">
                  <c:v>41.106871105295333</c:v>
                </c:pt>
                <c:pt idx="8">
                  <c:v>41.924526941557694</c:v>
                </c:pt>
                <c:pt idx="9">
                  <c:v>42.812476074269959</c:v>
                </c:pt>
                <c:pt idx="10">
                  <c:v>43.661761193956437</c:v>
                </c:pt>
                <c:pt idx="11">
                  <c:v>44.536067122499333</c:v>
                </c:pt>
                <c:pt idx="12">
                  <c:v>45.446998434132141</c:v>
                </c:pt>
                <c:pt idx="13">
                  <c:v>46.374063111885498</c:v>
                </c:pt>
                <c:pt idx="14">
                  <c:v>47.384194389534805</c:v>
                </c:pt>
                <c:pt idx="15">
                  <c:v>48.466105562784449</c:v>
                </c:pt>
                <c:pt idx="16">
                  <c:v>49.619883062556596</c:v>
                </c:pt>
                <c:pt idx="17">
                  <c:v>50.783691623526224</c:v>
                </c:pt>
              </c:numCache>
            </c:numRef>
          </c:val>
          <c:smooth val="0"/>
          <c:extLst>
            <c:ext xmlns:c16="http://schemas.microsoft.com/office/drawing/2014/chart" uri="{C3380CC4-5D6E-409C-BE32-E72D297353CC}">
              <c16:uniqueId val="{00000004-CC80-4E91-8FA0-72FE1FB35AD0}"/>
            </c:ext>
          </c:extLst>
        </c:ser>
        <c:dLbls>
          <c:showLegendKey val="0"/>
          <c:showVal val="0"/>
          <c:showCatName val="0"/>
          <c:showSerName val="0"/>
          <c:showPercent val="0"/>
          <c:showBubbleSize val="0"/>
        </c:dLbls>
        <c:marker val="1"/>
        <c:smooth val="0"/>
        <c:axId val="746203896"/>
        <c:axId val="746204288"/>
      </c:lineChart>
      <c:catAx>
        <c:axId val="746203896"/>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04288"/>
        <c:crosses val="autoZero"/>
        <c:auto val="1"/>
        <c:lblAlgn val="ctr"/>
        <c:lblOffset val="100"/>
        <c:noMultiLvlLbl val="0"/>
      </c:catAx>
      <c:valAx>
        <c:axId val="746204288"/>
        <c:scaling>
          <c:orientation val="minMax"/>
          <c:max val="60"/>
          <c:min val="20"/>
        </c:scaling>
        <c:delete val="0"/>
        <c:axPos val="l"/>
        <c:numFmt formatCode="General" sourceLinked="1"/>
        <c:majorTickMark val="out"/>
        <c:minorTickMark val="none"/>
        <c:tickLblPos val="nextTo"/>
        <c:crossAx val="746203896"/>
        <c:crosses val="autoZero"/>
        <c:crossBetween val="between"/>
        <c:majorUnit val="10"/>
      </c:valAx>
      <c:spPr>
        <a:solidFill>
          <a:srgbClr val="FFFFFF"/>
        </a:solidFill>
      </c:spPr>
    </c:plotArea>
    <c:legend>
      <c:legendPos val="l"/>
      <c:legendEntry>
        <c:idx val="0"/>
        <c:delete val="1"/>
      </c:legendEntry>
      <c:layout>
        <c:manualLayout>
          <c:xMode val="edge"/>
          <c:yMode val="edge"/>
          <c:x val="0.5338835528869611"/>
          <c:y val="0.46820210552639896"/>
          <c:w val="0.36870408159631335"/>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4535-4772-9E30-ADE9453B738D}"/>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4535-4772-9E30-ADE9453B738D}"/>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96.346946130177912</c:v>
                </c:pt>
                <c:pt idx="1">
                  <c:v>99.694639241326229</c:v>
                </c:pt>
              </c:numCache>
            </c:numRef>
          </c:val>
          <c:extLst>
            <c:ext xmlns:c16="http://schemas.microsoft.com/office/drawing/2014/chart" uri="{C3380CC4-5D6E-409C-BE32-E72D297353CC}">
              <c16:uniqueId val="{00000003-4535-4772-9E30-ADE9453B738D}"/>
            </c:ext>
          </c:extLst>
        </c:ser>
        <c:dLbls>
          <c:showLegendKey val="0"/>
          <c:showVal val="1"/>
          <c:showCatName val="0"/>
          <c:showSerName val="0"/>
          <c:showPercent val="0"/>
          <c:showBubbleSize val="0"/>
        </c:dLbls>
        <c:gapWidth val="50"/>
        <c:overlap val="88"/>
        <c:axId val="746204680"/>
        <c:axId val="746198408"/>
      </c:barChart>
      <c:catAx>
        <c:axId val="746204680"/>
        <c:scaling>
          <c:orientation val="minMax"/>
        </c:scaling>
        <c:delete val="0"/>
        <c:axPos val="b"/>
        <c:numFmt formatCode="General" sourceLinked="1"/>
        <c:majorTickMark val="out"/>
        <c:minorTickMark val="none"/>
        <c:tickLblPos val="nextTo"/>
        <c:crossAx val="746198408"/>
        <c:crosses val="autoZero"/>
        <c:auto val="0"/>
        <c:lblAlgn val="ctr"/>
        <c:lblOffset val="100"/>
        <c:tickLblSkip val="1"/>
        <c:tickMarkSkip val="1"/>
        <c:noMultiLvlLbl val="0"/>
      </c:catAx>
      <c:valAx>
        <c:axId val="746198408"/>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20468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no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812F-4B22-A799-C51FF4DFEC90}"/>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812F-4B22-A799-C51FF4DFEC90}"/>
              </c:ext>
            </c:extLst>
          </c:dPt>
          <c:dLbls>
            <c:dLbl>
              <c:idx val="1"/>
              <c:delete val="1"/>
              <c:extLst>
                <c:ext xmlns:c15="http://schemas.microsoft.com/office/drawing/2012/chart" uri="{CE6537A1-D6FC-4f65-9D91-7224C49458BB}"/>
                <c:ext xmlns:c16="http://schemas.microsoft.com/office/drawing/2014/chart" uri="{C3380CC4-5D6E-409C-BE32-E72D297353CC}">
                  <c16:uniqueId val="{00000003-812F-4B22-A799-C51FF4DFEC90}"/>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8.9049716730397765</c:v>
                </c:pt>
                <c:pt idx="1">
                  <c:v>91.095028326960218</c:v>
                </c:pt>
              </c:numCache>
            </c:numRef>
          </c:val>
          <c:extLst>
            <c:ext xmlns:c16="http://schemas.microsoft.com/office/drawing/2014/chart" uri="{C3380CC4-5D6E-409C-BE32-E72D297353CC}">
              <c16:uniqueId val="{00000004-812F-4B22-A799-C51FF4DFEC90}"/>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450</c:v>
                </c:pt>
                <c:pt idx="17">
                  <c:v>450</c:v>
                </c:pt>
              </c:numCache>
            </c:numRef>
          </c:val>
          <c:extLst>
            <c:ext xmlns:c16="http://schemas.microsoft.com/office/drawing/2014/chart" uri="{C3380CC4-5D6E-409C-BE32-E72D297353CC}">
              <c16:uniqueId val="{00000000-995A-450C-968B-E721EF4FB0A1}"/>
            </c:ext>
          </c:extLst>
        </c:ser>
        <c:dLbls>
          <c:showLegendKey val="0"/>
          <c:showVal val="0"/>
          <c:showCatName val="0"/>
          <c:showSerName val="0"/>
          <c:showPercent val="0"/>
          <c:showBubbleSize val="0"/>
        </c:dLbls>
        <c:gapWidth val="0"/>
        <c:axId val="746205072"/>
        <c:axId val="74620546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995A-450C-968B-E721EF4FB0A1}"/>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33.575576075000022</c:v>
                </c:pt>
                <c:pt idx="1">
                  <c:v>33.611364352774224</c:v>
                </c:pt>
                <c:pt idx="2">
                  <c:v>33.927777619366381</c:v>
                </c:pt>
                <c:pt idx="3">
                  <c:v>34.164671853625812</c:v>
                </c:pt>
                <c:pt idx="4">
                  <c:v>34.534470364539523</c:v>
                </c:pt>
                <c:pt idx="5">
                  <c:v>34.933939414141953</c:v>
                </c:pt>
                <c:pt idx="6">
                  <c:v>35.219925082544016</c:v>
                </c:pt>
                <c:pt idx="7">
                  <c:v>35.400901883907459</c:v>
                </c:pt>
                <c:pt idx="8">
                  <c:v>35.493458625791945</c:v>
                </c:pt>
                <c:pt idx="9">
                  <c:v>35.552497603883467</c:v>
                </c:pt>
                <c:pt idx="10">
                  <c:v>35.567968198440866</c:v>
                </c:pt>
                <c:pt idx="11">
                  <c:v>35.575713257920633</c:v>
                </c:pt>
                <c:pt idx="12">
                  <c:v>35.580966110901137</c:v>
                </c:pt>
                <c:pt idx="13">
                  <c:v>35.575070829290716</c:v>
                </c:pt>
                <c:pt idx="14">
                  <c:v>35.550257674464831</c:v>
                </c:pt>
                <c:pt idx="15">
                  <c:v>35.51305430870282</c:v>
                </c:pt>
                <c:pt idx="16">
                  <c:v>35.460420409340777</c:v>
                </c:pt>
                <c:pt idx="17">
                  <c:v>35.42717492439332</c:v>
                </c:pt>
              </c:numCache>
            </c:numRef>
          </c:val>
          <c:smooth val="0"/>
          <c:extLst>
            <c:ext xmlns:c16="http://schemas.microsoft.com/office/drawing/2014/chart" uri="{C3380CC4-5D6E-409C-BE32-E72D297353CC}">
              <c16:uniqueId val="{00000003-995A-450C-968B-E721EF4FB0A1}"/>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34.11202607500001</c:v>
                </c:pt>
                <c:pt idx="1">
                  <c:v>34.31116332892352</c:v>
                </c:pt>
                <c:pt idx="2">
                  <c:v>34.567968977260712</c:v>
                </c:pt>
                <c:pt idx="3">
                  <c:v>34.871661753348675</c:v>
                </c:pt>
                <c:pt idx="4">
                  <c:v>35.3021053853209</c:v>
                </c:pt>
                <c:pt idx="5">
                  <c:v>35.70228799898458</c:v>
                </c:pt>
                <c:pt idx="6">
                  <c:v>35.925782142176978</c:v>
                </c:pt>
                <c:pt idx="7">
                  <c:v>36.104467574205458</c:v>
                </c:pt>
                <c:pt idx="8">
                  <c:v>36.289576488140561</c:v>
                </c:pt>
                <c:pt idx="9">
                  <c:v>36.542329418142771</c:v>
                </c:pt>
                <c:pt idx="10">
                  <c:v>36.785218248491624</c:v>
                </c:pt>
                <c:pt idx="11">
                  <c:v>37.054348616870477</c:v>
                </c:pt>
                <c:pt idx="12">
                  <c:v>37.342476850348383</c:v>
                </c:pt>
                <c:pt idx="13">
                  <c:v>37.614322721292837</c:v>
                </c:pt>
                <c:pt idx="14">
                  <c:v>37.895193563083431</c:v>
                </c:pt>
                <c:pt idx="15">
                  <c:v>38.163048827325085</c:v>
                </c:pt>
                <c:pt idx="16">
                  <c:v>38.422624020305918</c:v>
                </c:pt>
                <c:pt idx="17">
                  <c:v>38.656517013844507</c:v>
                </c:pt>
              </c:numCache>
            </c:numRef>
          </c:val>
          <c:smooth val="0"/>
          <c:extLst>
            <c:ext xmlns:c16="http://schemas.microsoft.com/office/drawing/2014/chart" uri="{C3380CC4-5D6E-409C-BE32-E72D297353CC}">
              <c16:uniqueId val="{00000004-995A-450C-968B-E721EF4FB0A1}"/>
            </c:ext>
          </c:extLst>
        </c:ser>
        <c:dLbls>
          <c:showLegendKey val="0"/>
          <c:showVal val="0"/>
          <c:showCatName val="0"/>
          <c:showSerName val="0"/>
          <c:showPercent val="0"/>
          <c:showBubbleSize val="0"/>
        </c:dLbls>
        <c:marker val="1"/>
        <c:smooth val="0"/>
        <c:axId val="746205072"/>
        <c:axId val="746205464"/>
      </c:lineChart>
      <c:catAx>
        <c:axId val="746205072"/>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05464"/>
        <c:crosses val="autoZero"/>
        <c:auto val="1"/>
        <c:lblAlgn val="ctr"/>
        <c:lblOffset val="100"/>
        <c:noMultiLvlLbl val="0"/>
      </c:catAx>
      <c:valAx>
        <c:axId val="746205464"/>
        <c:scaling>
          <c:orientation val="minMax"/>
          <c:max val="42"/>
          <c:min val="30"/>
        </c:scaling>
        <c:delete val="0"/>
        <c:axPos val="l"/>
        <c:numFmt formatCode="General" sourceLinked="1"/>
        <c:majorTickMark val="out"/>
        <c:minorTickMark val="none"/>
        <c:tickLblPos val="nextTo"/>
        <c:crossAx val="746205072"/>
        <c:crosses val="autoZero"/>
        <c:crossBetween val="between"/>
        <c:majorUnit val="4"/>
      </c:valAx>
      <c:spPr>
        <a:solidFill>
          <a:srgbClr val="FFFFFF"/>
        </a:solidFill>
      </c:spPr>
    </c:plotArea>
    <c:legend>
      <c:legendPos val="l"/>
      <c:legendEntry>
        <c:idx val="0"/>
        <c:delete val="1"/>
      </c:legendEntry>
      <c:layout>
        <c:manualLayout>
          <c:xMode val="edge"/>
          <c:yMode val="edge"/>
          <c:x val="0.52936071254322514"/>
          <c:y val="0.47702433755110124"/>
          <c:w val="0.3596584009088416"/>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123C-4E55-8790-99B54035FEE9}"/>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123C-4E55-8790-99B54035FEE9}"/>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86.595911504126619</c:v>
                </c:pt>
                <c:pt idx="1">
                  <c:v>98.051305731480568</c:v>
                </c:pt>
              </c:numCache>
            </c:numRef>
          </c:val>
          <c:extLst>
            <c:ext xmlns:c16="http://schemas.microsoft.com/office/drawing/2014/chart" uri="{C3380CC4-5D6E-409C-BE32-E72D297353CC}">
              <c16:uniqueId val="{00000003-123C-4E55-8790-99B54035FEE9}"/>
            </c:ext>
          </c:extLst>
        </c:ser>
        <c:dLbls>
          <c:showLegendKey val="0"/>
          <c:showVal val="1"/>
          <c:showCatName val="0"/>
          <c:showSerName val="0"/>
          <c:showPercent val="0"/>
          <c:showBubbleSize val="0"/>
        </c:dLbls>
        <c:gapWidth val="50"/>
        <c:overlap val="88"/>
        <c:axId val="746196840"/>
        <c:axId val="746197232"/>
      </c:barChart>
      <c:catAx>
        <c:axId val="746196840"/>
        <c:scaling>
          <c:orientation val="minMax"/>
        </c:scaling>
        <c:delete val="0"/>
        <c:axPos val="b"/>
        <c:numFmt formatCode="General" sourceLinked="1"/>
        <c:majorTickMark val="out"/>
        <c:minorTickMark val="none"/>
        <c:tickLblPos val="nextTo"/>
        <c:crossAx val="746197232"/>
        <c:crosses val="autoZero"/>
        <c:auto val="0"/>
        <c:lblAlgn val="ctr"/>
        <c:lblOffset val="100"/>
        <c:tickLblSkip val="1"/>
        <c:tickMarkSkip val="1"/>
        <c:noMultiLvlLbl val="0"/>
      </c:catAx>
      <c:valAx>
        <c:axId val="746197232"/>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9684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2853560320724438"/>
          <c:h val="0.88582237276206388"/>
        </c:manualLayout>
      </c:layout>
      <c:barChart>
        <c:barDir val="col"/>
        <c:grouping val="clustered"/>
        <c:varyColors val="0"/>
        <c:ser>
          <c:idx val="3"/>
          <c:order val="0"/>
          <c:tx>
            <c:strRef>
              <c:f>Sheet1!$B$1</c:f>
              <c:strCache>
                <c:ptCount val="1"/>
                <c:pt idx="0">
                  <c:v>piedāvājums</c:v>
                </c:pt>
              </c:strCache>
            </c:strRef>
          </c:tx>
          <c:spPr>
            <a:solidFill>
              <a:schemeClr val="accent4"/>
            </a:solidFill>
            <a:ln>
              <a:noFill/>
            </a:ln>
            <a:effectLst/>
          </c:spPr>
          <c:invertIfNegative val="0"/>
          <c:dLbls>
            <c:delete val="1"/>
          </c:dLbls>
          <c:cat>
            <c:numRef>
              <c:f>Sheet1!$A$2:$A$9</c:f>
              <c:numCache>
                <c:formatCode>General</c:formatCode>
                <c:ptCount val="8"/>
              </c:numCache>
            </c:numRef>
          </c:cat>
          <c:val>
            <c:numRef>
              <c:f>Sheet1!$B$2:$B$9</c:f>
              <c:numCache>
                <c:formatCode>#,##0</c:formatCode>
                <c:ptCount val="8"/>
                <c:pt idx="0">
                  <c:v>100</c:v>
                </c:pt>
                <c:pt idx="1">
                  <c:v>100</c:v>
                </c:pt>
                <c:pt idx="2">
                  <c:v>100</c:v>
                </c:pt>
                <c:pt idx="3">
                  <c:v>100</c:v>
                </c:pt>
                <c:pt idx="4">
                  <c:v>100</c:v>
                </c:pt>
                <c:pt idx="5">
                  <c:v>100</c:v>
                </c:pt>
                <c:pt idx="6">
                  <c:v>100</c:v>
                </c:pt>
                <c:pt idx="7">
                  <c:v>100</c:v>
                </c:pt>
              </c:numCache>
            </c:numRef>
          </c:val>
          <c:extLst>
            <c:ext xmlns:c16="http://schemas.microsoft.com/office/drawing/2014/chart" uri="{C3380CC4-5D6E-409C-BE32-E72D297353CC}">
              <c16:uniqueId val="{00000000-4264-4946-A25B-1EBABA7CFEFD}"/>
            </c:ext>
          </c:extLst>
        </c:ser>
        <c:ser>
          <c:idx val="0"/>
          <c:order val="1"/>
          <c:tx>
            <c:strRef>
              <c:f>Sheet1!$C$1</c:f>
              <c:strCache>
                <c:ptCount val="1"/>
                <c:pt idx="0">
                  <c:v>pieprasījums</c:v>
                </c:pt>
              </c:strCache>
            </c:strRef>
          </c:tx>
          <c:spPr>
            <a:solidFill>
              <a:schemeClr val="accent4">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1-4264-4946-A25B-1EBABA7CFEFD}"/>
              </c:ext>
            </c:extLst>
          </c:dPt>
          <c:dLbls>
            <c:spPr>
              <a:noFill/>
              <a:ln>
                <a:noFill/>
              </a:ln>
              <a:effectLst/>
            </c:spPr>
            <c:txPr>
              <a:bodyPr rot="0" vert="horz"/>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numCache>
            </c:numRef>
          </c:cat>
          <c:val>
            <c:numRef>
              <c:f>Sheet1!$C$2:$C$9</c:f>
              <c:numCache>
                <c:formatCode>#,##0</c:formatCode>
                <c:ptCount val="8"/>
                <c:pt idx="0">
                  <c:v>83.330390556491821</c:v>
                </c:pt>
                <c:pt idx="1">
                  <c:v>116.36896650414516</c:v>
                </c:pt>
                <c:pt idx="2">
                  <c:v>99.987431235924191</c:v>
                </c:pt>
                <c:pt idx="3">
                  <c:v>126.66746180066437</c:v>
                </c:pt>
                <c:pt idx="4">
                  <c:v>115.11395359344041</c:v>
                </c:pt>
                <c:pt idx="5">
                  <c:v>134.82649347068548</c:v>
                </c:pt>
                <c:pt idx="6">
                  <c:v>111.60227465414745</c:v>
                </c:pt>
                <c:pt idx="7">
                  <c:v>87.725778548287209</c:v>
                </c:pt>
              </c:numCache>
            </c:numRef>
          </c:val>
          <c:extLst>
            <c:ext xmlns:c16="http://schemas.microsoft.com/office/drawing/2014/chart" uri="{C3380CC4-5D6E-409C-BE32-E72D297353CC}">
              <c16:uniqueId val="{00000002-4264-4946-A25B-1EBABA7CFEFD}"/>
            </c:ext>
          </c:extLst>
        </c:ser>
        <c:dLbls>
          <c:showLegendKey val="0"/>
          <c:showVal val="1"/>
          <c:showCatName val="0"/>
          <c:showSerName val="0"/>
          <c:showPercent val="0"/>
          <c:showBubbleSize val="0"/>
        </c:dLbls>
        <c:gapWidth val="40"/>
        <c:overlap val="70"/>
        <c:axId val="746198016"/>
        <c:axId val="746211344"/>
      </c:barChart>
      <c:catAx>
        <c:axId val="746198016"/>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lv-LV"/>
          </a:p>
        </c:txPr>
        <c:crossAx val="746211344"/>
        <c:crosses val="autoZero"/>
        <c:auto val="0"/>
        <c:lblAlgn val="ctr"/>
        <c:lblOffset val="100"/>
        <c:tickLblSkip val="1"/>
        <c:tickMarkSkip val="1"/>
        <c:noMultiLvlLbl val="0"/>
      </c:catAx>
      <c:valAx>
        <c:axId val="746211344"/>
        <c:scaling>
          <c:orientation val="minMax"/>
          <c:max val="160"/>
          <c:min val="6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746198016"/>
        <c:crosses val="autoZero"/>
        <c:crossBetween val="between"/>
        <c:majorUnit val="20"/>
      </c:valAx>
      <c:spPr>
        <a:solidFill>
          <a:srgbClr val="FFFFFF"/>
        </a:solidFill>
        <a:ln>
          <a:noFill/>
        </a:ln>
        <a:effectLst/>
      </c:spPr>
    </c:plotArea>
    <c:legend>
      <c:legendPos val="l"/>
      <c:layout>
        <c:manualLayout>
          <c:xMode val="edge"/>
          <c:yMode val="edge"/>
          <c:x val="0.78747136543991991"/>
          <c:y val="1.7766891164479185E-3"/>
          <c:w val="0.1753675925925926"/>
          <c:h val="0.17090712087922266"/>
        </c:manualLayout>
      </c:layout>
      <c:overlay val="1"/>
      <c:spPr>
        <a:solidFill>
          <a:srgbClr val="FFFFFF"/>
        </a:solidFill>
        <a:ln>
          <a:noFill/>
        </a:ln>
        <a:effectLst/>
      </c:spPr>
      <c:txPr>
        <a:bodyPr rot="0" vert="horz"/>
        <a:lstStyle/>
        <a:p>
          <a:pPr>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7CF9-49AA-9EBD-62950290AC29}"/>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7CF9-49AA-9EBD-62950290AC29}"/>
              </c:ext>
            </c:extLst>
          </c:dPt>
          <c:dLbls>
            <c:dLbl>
              <c:idx val="1"/>
              <c:delete val="1"/>
              <c:extLst>
                <c:ext xmlns:c15="http://schemas.microsoft.com/office/drawing/2012/chart" uri="{CE6537A1-D6FC-4f65-9D91-7224C49458BB}"/>
                <c:ext xmlns:c16="http://schemas.microsoft.com/office/drawing/2014/chart" uri="{C3380CC4-5D6E-409C-BE32-E72D297353CC}">
                  <c16:uniqueId val="{00000003-7CF9-49AA-9EBD-62950290AC29}"/>
                </c:ext>
              </c:extLst>
            </c:dLbl>
            <c:spPr>
              <a:noFill/>
              <a:ln>
                <a:noFill/>
              </a:ln>
              <a:effectLst/>
            </c:spPr>
            <c:txPr>
              <a:bodyPr/>
              <a:lstStyle/>
              <a:p>
                <a:pPr>
                  <a:defRPr>
                    <a:solidFill>
                      <a:sysClr val="windowText" lastClr="000000"/>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0.0</c:formatCode>
                <c:ptCount val="2"/>
                <c:pt idx="0">
                  <c:v>2.5947481150588811</c:v>
                </c:pt>
                <c:pt idx="1">
                  <c:v>97.405251884941123</c:v>
                </c:pt>
              </c:numCache>
            </c:numRef>
          </c:val>
          <c:extLst>
            <c:ext xmlns:c16="http://schemas.microsoft.com/office/drawing/2014/chart" uri="{C3380CC4-5D6E-409C-BE32-E72D297353CC}">
              <c16:uniqueId val="{00000004-7CF9-49AA-9EBD-62950290AC29}"/>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20</c:v>
                </c:pt>
                <c:pt idx="17">
                  <c:v>20</c:v>
                </c:pt>
              </c:numCache>
            </c:numRef>
          </c:val>
          <c:extLst>
            <c:ext xmlns:c16="http://schemas.microsoft.com/office/drawing/2014/chart" uri="{C3380CC4-5D6E-409C-BE32-E72D297353CC}">
              <c16:uniqueId val="{00000000-A14F-4980-95F1-3E2902976C56}"/>
            </c:ext>
          </c:extLst>
        </c:ser>
        <c:dLbls>
          <c:showLegendKey val="0"/>
          <c:showVal val="0"/>
          <c:showCatName val="0"/>
          <c:showSerName val="0"/>
          <c:showPercent val="0"/>
          <c:showBubbleSize val="0"/>
        </c:dLbls>
        <c:gapWidth val="0"/>
        <c:axId val="746211736"/>
        <c:axId val="746214480"/>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A14F-4980-95F1-3E2902976C56}"/>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9.246305600000003</c:v>
                </c:pt>
                <c:pt idx="1">
                  <c:v>9.1699146205063489</c:v>
                </c:pt>
                <c:pt idx="2">
                  <c:v>9.198750458200351</c:v>
                </c:pt>
                <c:pt idx="3">
                  <c:v>9.2205696899300147</c:v>
                </c:pt>
                <c:pt idx="4">
                  <c:v>9.2878395570258725</c:v>
                </c:pt>
                <c:pt idx="5">
                  <c:v>9.3649307459737745</c:v>
                </c:pt>
                <c:pt idx="6">
                  <c:v>9.4132192150023748</c:v>
                </c:pt>
                <c:pt idx="7">
                  <c:v>9.4436711162833902</c:v>
                </c:pt>
                <c:pt idx="8">
                  <c:v>9.4522922778167047</c:v>
                </c:pt>
                <c:pt idx="9">
                  <c:v>9.457665945643134</c:v>
                </c:pt>
                <c:pt idx="10">
                  <c:v>9.4526114292605019</c:v>
                </c:pt>
                <c:pt idx="11">
                  <c:v>9.4528311744723599</c:v>
                </c:pt>
                <c:pt idx="12">
                  <c:v>9.4565337223983086</c:v>
                </c:pt>
                <c:pt idx="13">
                  <c:v>9.4599054003980036</c:v>
                </c:pt>
                <c:pt idx="14">
                  <c:v>9.4632573632377905</c:v>
                </c:pt>
                <c:pt idx="15">
                  <c:v>9.466485707816739</c:v>
                </c:pt>
                <c:pt idx="16">
                  <c:v>9.4681716151433069</c:v>
                </c:pt>
                <c:pt idx="17">
                  <c:v>9.4717615478551433</c:v>
                </c:pt>
              </c:numCache>
            </c:numRef>
          </c:val>
          <c:smooth val="0"/>
          <c:extLst>
            <c:ext xmlns:c16="http://schemas.microsoft.com/office/drawing/2014/chart" uri="{C3380CC4-5D6E-409C-BE32-E72D297353CC}">
              <c16:uniqueId val="{00000003-A14F-4980-95F1-3E2902976C56}"/>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10.666260575000022</c:v>
                </c:pt>
                <c:pt idx="1">
                  <c:v>10.80795342621075</c:v>
                </c:pt>
                <c:pt idx="2">
                  <c:v>10.932595831120246</c:v>
                </c:pt>
                <c:pt idx="3">
                  <c:v>11.021754447258346</c:v>
                </c:pt>
                <c:pt idx="4">
                  <c:v>11.088482956661352</c:v>
                </c:pt>
                <c:pt idx="5">
                  <c:v>11.152406553124081</c:v>
                </c:pt>
                <c:pt idx="6">
                  <c:v>11.236295645870539</c:v>
                </c:pt>
                <c:pt idx="7">
                  <c:v>11.332805538552327</c:v>
                </c:pt>
                <c:pt idx="8">
                  <c:v>11.462279960852912</c:v>
                </c:pt>
                <c:pt idx="9">
                  <c:v>11.673176532738147</c:v>
                </c:pt>
                <c:pt idx="10">
                  <c:v>11.925773472295047</c:v>
                </c:pt>
                <c:pt idx="11">
                  <c:v>12.199528165317883</c:v>
                </c:pt>
                <c:pt idx="12">
                  <c:v>12.453493860373086</c:v>
                </c:pt>
                <c:pt idx="13">
                  <c:v>12.671797409227262</c:v>
                </c:pt>
                <c:pt idx="14">
                  <c:v>12.834836726492414</c:v>
                </c:pt>
                <c:pt idx="15">
                  <c:v>12.937798250312818</c:v>
                </c:pt>
                <c:pt idx="16">
                  <c:v>13.005468139029023</c:v>
                </c:pt>
                <c:pt idx="17">
                  <c:v>13.050917240112003</c:v>
                </c:pt>
              </c:numCache>
            </c:numRef>
          </c:val>
          <c:smooth val="0"/>
          <c:extLst>
            <c:ext xmlns:c16="http://schemas.microsoft.com/office/drawing/2014/chart" uri="{C3380CC4-5D6E-409C-BE32-E72D297353CC}">
              <c16:uniqueId val="{00000004-A14F-4980-95F1-3E2902976C56}"/>
            </c:ext>
          </c:extLst>
        </c:ser>
        <c:dLbls>
          <c:showLegendKey val="0"/>
          <c:showVal val="0"/>
          <c:showCatName val="0"/>
          <c:showSerName val="0"/>
          <c:showPercent val="0"/>
          <c:showBubbleSize val="0"/>
        </c:dLbls>
        <c:marker val="1"/>
        <c:smooth val="0"/>
        <c:axId val="746211736"/>
        <c:axId val="746214480"/>
      </c:lineChart>
      <c:catAx>
        <c:axId val="746211736"/>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14480"/>
        <c:crosses val="autoZero"/>
        <c:auto val="1"/>
        <c:lblAlgn val="ctr"/>
        <c:lblOffset val="100"/>
        <c:noMultiLvlLbl val="0"/>
      </c:catAx>
      <c:valAx>
        <c:axId val="746214480"/>
        <c:scaling>
          <c:orientation val="minMax"/>
          <c:max val="18"/>
          <c:min val="6"/>
        </c:scaling>
        <c:delete val="0"/>
        <c:axPos val="l"/>
        <c:numFmt formatCode="General" sourceLinked="1"/>
        <c:majorTickMark val="out"/>
        <c:minorTickMark val="none"/>
        <c:tickLblPos val="nextTo"/>
        <c:crossAx val="746211736"/>
        <c:crosses val="autoZero"/>
        <c:crossBetween val="between"/>
        <c:majorUnit val="2"/>
      </c:valAx>
      <c:spPr>
        <a:solidFill>
          <a:srgbClr val="FFFFFF"/>
        </a:solidFill>
      </c:spPr>
    </c:plotArea>
    <c:legend>
      <c:legendPos val="l"/>
      <c:legendEntry>
        <c:idx val="0"/>
        <c:delete val="1"/>
      </c:legendEntry>
      <c:layout>
        <c:manualLayout>
          <c:xMode val="edge"/>
          <c:yMode val="edge"/>
          <c:x val="0.52031503185575345"/>
          <c:y val="7.1201664414797736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51CE-486F-9D69-F4EB6478D839}"/>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51CE-486F-9D69-F4EB6478D839}"/>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85.643425074281282</c:v>
                </c:pt>
                <c:pt idx="1">
                  <c:v>83.330390556491821</c:v>
                </c:pt>
              </c:numCache>
            </c:numRef>
          </c:val>
          <c:extLst>
            <c:ext xmlns:c16="http://schemas.microsoft.com/office/drawing/2014/chart" uri="{C3380CC4-5D6E-409C-BE32-E72D297353CC}">
              <c16:uniqueId val="{00000003-51CE-486F-9D69-F4EB6478D839}"/>
            </c:ext>
          </c:extLst>
        </c:ser>
        <c:dLbls>
          <c:showLegendKey val="0"/>
          <c:showVal val="1"/>
          <c:showCatName val="0"/>
          <c:showSerName val="0"/>
          <c:showPercent val="0"/>
          <c:showBubbleSize val="0"/>
        </c:dLbls>
        <c:gapWidth val="50"/>
        <c:overlap val="88"/>
        <c:axId val="746210560"/>
        <c:axId val="746212520"/>
      </c:barChart>
      <c:catAx>
        <c:axId val="746210560"/>
        <c:scaling>
          <c:orientation val="minMax"/>
        </c:scaling>
        <c:delete val="0"/>
        <c:axPos val="b"/>
        <c:numFmt formatCode="General" sourceLinked="1"/>
        <c:majorTickMark val="out"/>
        <c:minorTickMark val="none"/>
        <c:tickLblPos val="nextTo"/>
        <c:crossAx val="746212520"/>
        <c:crosses val="autoZero"/>
        <c:auto val="0"/>
        <c:lblAlgn val="ctr"/>
        <c:lblOffset val="100"/>
        <c:tickLblSkip val="1"/>
        <c:tickMarkSkip val="1"/>
        <c:noMultiLvlLbl val="0"/>
      </c:catAx>
      <c:valAx>
        <c:axId val="746212520"/>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21056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BD1C-4532-97AF-51CD6B0E5C7B}"/>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BD1C-4532-97AF-51CD6B0E5C7B}"/>
              </c:ext>
            </c:extLst>
          </c:dPt>
          <c:dLbls>
            <c:dLbl>
              <c:idx val="0"/>
              <c:layout>
                <c:manualLayout>
                  <c:x val="0.13176489793650076"/>
                  <c:y val="3.087781208645787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D1C-4532-97AF-51CD6B0E5C7B}"/>
                </c:ext>
              </c:extLst>
            </c:dLbl>
            <c:dLbl>
              <c:idx val="1"/>
              <c:delete val="1"/>
              <c:extLst>
                <c:ext xmlns:c15="http://schemas.microsoft.com/office/drawing/2012/chart" uri="{CE6537A1-D6FC-4f65-9D91-7224C49458BB}"/>
                <c:ext xmlns:c16="http://schemas.microsoft.com/office/drawing/2014/chart" uri="{C3380CC4-5D6E-409C-BE32-E72D297353CC}">
                  <c16:uniqueId val="{00000003-BD1C-4532-97AF-51CD6B0E5C7B}"/>
                </c:ext>
              </c:extLst>
            </c:dLbl>
            <c:spPr>
              <a:noFill/>
              <a:ln>
                <a:noFill/>
              </a:ln>
              <a:effectLst/>
            </c:spPr>
            <c:txPr>
              <a:bodyPr/>
              <a:lstStyle/>
              <a:p>
                <a:pPr>
                  <a:defRPr>
                    <a:solidFill>
                      <a:sysClr val="windowText" lastClr="000000"/>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4.3685795905796292</c:v>
                </c:pt>
                <c:pt idx="1">
                  <c:v>95.631420409420372</c:v>
                </c:pt>
              </c:numCache>
            </c:numRef>
          </c:val>
          <c:extLst>
            <c:ext xmlns:c16="http://schemas.microsoft.com/office/drawing/2014/chart" uri="{C3380CC4-5D6E-409C-BE32-E72D297353CC}">
              <c16:uniqueId val="{00000004-BD1C-4532-97AF-51CD6B0E5C7B}"/>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25677078826684"/>
          <c:y val="9.2164185151657571E-2"/>
          <c:w val="0.80379964523665315"/>
          <c:h val="0.74497738499335875"/>
        </c:manualLayout>
      </c:layout>
      <c:barChart>
        <c:barDir val="col"/>
        <c:grouping val="clustered"/>
        <c:varyColors val="0"/>
        <c:ser>
          <c:idx val="1"/>
          <c:order val="0"/>
          <c:tx>
            <c:strRef>
              <c:f>Sheet1!$A$3</c:f>
              <c:strCache>
                <c:ptCount val="1"/>
                <c:pt idx="0">
                  <c:v>Reģistrētais bezdarbs (kreisā ass)</c:v>
                </c:pt>
              </c:strCache>
            </c:strRef>
          </c:tx>
          <c:spPr>
            <a:solidFill>
              <a:sysClr val="window" lastClr="FFFFFF">
                <a:lumMod val="65000"/>
              </a:sysClr>
            </a:solidFill>
            <a:ln>
              <a:noFill/>
            </a:ln>
            <a:effectLst/>
          </c:spPr>
          <c:invertIfNegative val="0"/>
          <c:dPt>
            <c:idx val="0"/>
            <c:invertIfNegative val="0"/>
            <c:bubble3D val="0"/>
            <c:extLst>
              <c:ext xmlns:c16="http://schemas.microsoft.com/office/drawing/2014/chart" uri="{C3380CC4-5D6E-409C-BE32-E72D297353CC}">
                <c16:uniqueId val="{00000000-0304-4A59-93F7-C18DC27B0838}"/>
              </c:ext>
            </c:extLst>
          </c:dPt>
          <c:dPt>
            <c:idx val="1"/>
            <c:invertIfNegative val="0"/>
            <c:bubble3D val="0"/>
            <c:extLst>
              <c:ext xmlns:c16="http://schemas.microsoft.com/office/drawing/2014/chart" uri="{C3380CC4-5D6E-409C-BE32-E72D297353CC}">
                <c16:uniqueId val="{00000001-0304-4A59-93F7-C18DC27B0838}"/>
              </c:ext>
            </c:extLst>
          </c:dPt>
          <c:dPt>
            <c:idx val="2"/>
            <c:invertIfNegative val="0"/>
            <c:bubble3D val="0"/>
            <c:extLst>
              <c:ext xmlns:c16="http://schemas.microsoft.com/office/drawing/2014/chart" uri="{C3380CC4-5D6E-409C-BE32-E72D297353CC}">
                <c16:uniqueId val="{00000002-0304-4A59-93F7-C18DC27B0838}"/>
              </c:ext>
            </c:extLst>
          </c:dPt>
          <c:dPt>
            <c:idx val="3"/>
            <c:invertIfNegative val="0"/>
            <c:bubble3D val="0"/>
            <c:extLst>
              <c:ext xmlns:c16="http://schemas.microsoft.com/office/drawing/2014/chart" uri="{C3380CC4-5D6E-409C-BE32-E72D297353CC}">
                <c16:uniqueId val="{00000003-0304-4A59-93F7-C18DC27B0838}"/>
              </c:ext>
            </c:extLst>
          </c:dPt>
          <c:dPt>
            <c:idx val="4"/>
            <c:invertIfNegative val="0"/>
            <c:bubble3D val="0"/>
            <c:extLst>
              <c:ext xmlns:c16="http://schemas.microsoft.com/office/drawing/2014/chart" uri="{C3380CC4-5D6E-409C-BE32-E72D297353CC}">
                <c16:uniqueId val="{00000004-0304-4A59-93F7-C18DC27B0838}"/>
              </c:ext>
            </c:extLst>
          </c:dPt>
          <c:dPt>
            <c:idx val="5"/>
            <c:invertIfNegative val="0"/>
            <c:bubble3D val="0"/>
            <c:extLst>
              <c:ext xmlns:c16="http://schemas.microsoft.com/office/drawing/2014/chart" uri="{C3380CC4-5D6E-409C-BE32-E72D297353CC}">
                <c16:uniqueId val="{00000005-0304-4A59-93F7-C18DC27B0838}"/>
              </c:ext>
            </c:extLst>
          </c:dPt>
          <c:dPt>
            <c:idx val="6"/>
            <c:invertIfNegative val="0"/>
            <c:bubble3D val="0"/>
            <c:extLst>
              <c:ext xmlns:c16="http://schemas.microsoft.com/office/drawing/2014/chart" uri="{C3380CC4-5D6E-409C-BE32-E72D297353CC}">
                <c16:uniqueId val="{00000006-0304-4A59-93F7-C18DC27B0838}"/>
              </c:ext>
            </c:extLst>
          </c:dPt>
          <c:dPt>
            <c:idx val="7"/>
            <c:invertIfNegative val="0"/>
            <c:bubble3D val="0"/>
            <c:extLst>
              <c:ext xmlns:c16="http://schemas.microsoft.com/office/drawing/2014/chart" uri="{C3380CC4-5D6E-409C-BE32-E72D297353CC}">
                <c16:uniqueId val="{00000007-0304-4A59-93F7-C18DC27B0838}"/>
              </c:ext>
            </c:extLst>
          </c:dPt>
          <c:dLbls>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04-4A59-93F7-C18DC27B0838}"/>
                </c:ext>
              </c:extLst>
            </c:dLbl>
            <c:dLbl>
              <c:idx val="4"/>
              <c:layout>
                <c:manualLayout>
                  <c:x val="0"/>
                  <c:y val="0.1044695052636209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04-4A59-93F7-C18DC27B0838}"/>
                </c:ext>
              </c:extLst>
            </c:dLbl>
            <c:spPr>
              <a:noFill/>
              <a:ln>
                <a:noFill/>
              </a:ln>
              <a:effectLst/>
            </c:spPr>
            <c:txPr>
              <a:bodyPr wrap="square" lIns="38100" tIns="19050" rIns="38100" bIns="19050" anchor="ctr">
                <a:spAutoFit/>
              </a:bodyPr>
              <a:lstStyle/>
              <a:p>
                <a:pPr>
                  <a:defRPr sz="700"/>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Sheet1!$B$2:$F$2</c:f>
              <c:strCache>
                <c:ptCount val="5"/>
                <c:pt idx="0">
                  <c:v>Rīgas reģions</c:v>
                </c:pt>
                <c:pt idx="1">
                  <c:v>Kurzemes reģions</c:v>
                </c:pt>
                <c:pt idx="2">
                  <c:v>Latgales reģions</c:v>
                </c:pt>
                <c:pt idx="3">
                  <c:v>Vidzemes reģions</c:v>
                </c:pt>
                <c:pt idx="4">
                  <c:v>Zemgales reģions</c:v>
                </c:pt>
              </c:strCache>
            </c:strRef>
          </c:cat>
          <c:val>
            <c:numRef>
              <c:f>Sheet1!$B$3:$F$3</c:f>
              <c:numCache>
                <c:formatCode>0.0</c:formatCode>
                <c:ptCount val="5"/>
                <c:pt idx="0">
                  <c:v>3.8</c:v>
                </c:pt>
                <c:pt idx="1">
                  <c:v>4.9000000000000004</c:v>
                </c:pt>
                <c:pt idx="2">
                  <c:v>10.5</c:v>
                </c:pt>
                <c:pt idx="3">
                  <c:v>5.0999999999999996</c:v>
                </c:pt>
                <c:pt idx="4">
                  <c:v>4.8</c:v>
                </c:pt>
              </c:numCache>
            </c:numRef>
          </c:val>
          <c:extLst>
            <c:ext xmlns:c16="http://schemas.microsoft.com/office/drawing/2014/chart" uri="{C3380CC4-5D6E-409C-BE32-E72D297353CC}">
              <c16:uniqueId val="{00000008-0304-4A59-93F7-C18DC27B0838}"/>
            </c:ext>
          </c:extLst>
        </c:ser>
        <c:dLbls>
          <c:showLegendKey val="0"/>
          <c:showVal val="0"/>
          <c:showCatName val="0"/>
          <c:showSerName val="0"/>
          <c:showPercent val="0"/>
          <c:showBubbleSize val="0"/>
        </c:dLbls>
        <c:gapWidth val="80"/>
        <c:axId val="713673704"/>
        <c:axId val="713677624"/>
      </c:barChart>
      <c:lineChart>
        <c:grouping val="standard"/>
        <c:varyColors val="0"/>
        <c:ser>
          <c:idx val="0"/>
          <c:order val="1"/>
          <c:tx>
            <c:strRef>
              <c:f>Sheet1!$A$4</c:f>
              <c:strCache>
                <c:ptCount val="1"/>
                <c:pt idx="0">
                  <c:v>Latvija</c:v>
                </c:pt>
              </c:strCache>
            </c:strRef>
          </c:tx>
          <c:spPr>
            <a:ln w="28575" cap="rnd" cmpd="sng" algn="ctr">
              <a:solidFill>
                <a:srgbClr val="4F81BD">
                  <a:lumMod val="75000"/>
                </a:srgbClr>
              </a:solidFill>
              <a:prstDash val="solid"/>
              <a:round/>
            </a:ln>
            <a:effectLst/>
          </c:spPr>
          <c:marker>
            <c:symbol val="none"/>
          </c:marker>
          <c:cat>
            <c:strRef>
              <c:f>Sheet1!$B$2:$F$2</c:f>
              <c:strCache>
                <c:ptCount val="5"/>
                <c:pt idx="0">
                  <c:v>Rīgas reģions</c:v>
                </c:pt>
                <c:pt idx="1">
                  <c:v>Kurzemes reģions</c:v>
                </c:pt>
                <c:pt idx="2">
                  <c:v>Latgales reģions</c:v>
                </c:pt>
                <c:pt idx="3">
                  <c:v>Vidzemes reģions</c:v>
                </c:pt>
                <c:pt idx="4">
                  <c:v>Zemgales reģions</c:v>
                </c:pt>
              </c:strCache>
            </c:strRef>
          </c:cat>
          <c:val>
            <c:numRef>
              <c:f>Sheet1!$B$4:$F$4</c:f>
              <c:numCache>
                <c:formatCode>General</c:formatCode>
                <c:ptCount val="5"/>
                <c:pt idx="0">
                  <c:v>5.0999999999999996</c:v>
                </c:pt>
                <c:pt idx="1">
                  <c:v>5.0999999999999996</c:v>
                </c:pt>
                <c:pt idx="2">
                  <c:v>5.0999999999999996</c:v>
                </c:pt>
                <c:pt idx="3">
                  <c:v>5.0999999999999996</c:v>
                </c:pt>
                <c:pt idx="4">
                  <c:v>5.0999999999999996</c:v>
                </c:pt>
              </c:numCache>
            </c:numRef>
          </c:val>
          <c:smooth val="0"/>
          <c:extLst>
            <c:ext xmlns:c16="http://schemas.microsoft.com/office/drawing/2014/chart" uri="{C3380CC4-5D6E-409C-BE32-E72D297353CC}">
              <c16:uniqueId val="{00000009-0304-4A59-93F7-C18DC27B0838}"/>
            </c:ext>
          </c:extLst>
        </c:ser>
        <c:dLbls>
          <c:showLegendKey val="0"/>
          <c:showVal val="0"/>
          <c:showCatName val="0"/>
          <c:showSerName val="0"/>
          <c:showPercent val="0"/>
          <c:showBubbleSize val="0"/>
        </c:dLbls>
        <c:marker val="1"/>
        <c:smooth val="0"/>
        <c:axId val="713673704"/>
        <c:axId val="713677624"/>
      </c:lineChart>
      <c:lineChart>
        <c:grouping val="standard"/>
        <c:varyColors val="0"/>
        <c:ser>
          <c:idx val="2"/>
          <c:order val="2"/>
          <c:tx>
            <c:strRef>
              <c:f>Sheet1!$A$5</c:f>
              <c:strCache>
                <c:ptCount val="1"/>
                <c:pt idx="0">
                  <c:v>Brīvās darbavietas pret reģistrētiem darba meklētājiem (labā ass)</c:v>
                </c:pt>
              </c:strCache>
            </c:strRef>
          </c:tx>
          <c:spPr>
            <a:ln>
              <a:noFill/>
            </a:ln>
          </c:spPr>
          <c:marker>
            <c:symbol val="dash"/>
            <c:size val="14"/>
            <c:spPr>
              <a:solidFill>
                <a:srgbClr val="FF0000"/>
              </a:solidFill>
              <a:ln w="3175">
                <a:solidFill>
                  <a:srgbClr val="FF0000"/>
                </a:solidFill>
              </a:ln>
            </c:spPr>
          </c:marker>
          <c:cat>
            <c:strRef>
              <c:f>Sheet1!$B$2:$F$2</c:f>
              <c:strCache>
                <c:ptCount val="5"/>
                <c:pt idx="0">
                  <c:v>Rīgas reģions</c:v>
                </c:pt>
                <c:pt idx="1">
                  <c:v>Kurzemes reģions</c:v>
                </c:pt>
                <c:pt idx="2">
                  <c:v>Latgales reģions</c:v>
                </c:pt>
                <c:pt idx="3">
                  <c:v>Vidzemes reģions</c:v>
                </c:pt>
                <c:pt idx="4">
                  <c:v>Zemgales reģions</c:v>
                </c:pt>
              </c:strCache>
            </c:strRef>
          </c:cat>
          <c:val>
            <c:numRef>
              <c:f>Sheet1!$B$5:$F$5</c:f>
              <c:numCache>
                <c:formatCode>0</c:formatCode>
                <c:ptCount val="5"/>
                <c:pt idx="0">
                  <c:v>91.936280563102002</c:v>
                </c:pt>
                <c:pt idx="1">
                  <c:v>15.173039141604956</c:v>
                </c:pt>
                <c:pt idx="2">
                  <c:v>9.3351302785265045</c:v>
                </c:pt>
                <c:pt idx="3">
                  <c:v>22.750043185351529</c:v>
                </c:pt>
                <c:pt idx="4">
                  <c:v>28.912999799075749</c:v>
                </c:pt>
              </c:numCache>
            </c:numRef>
          </c:val>
          <c:smooth val="0"/>
          <c:extLst>
            <c:ext xmlns:c16="http://schemas.microsoft.com/office/drawing/2014/chart" uri="{C3380CC4-5D6E-409C-BE32-E72D297353CC}">
              <c16:uniqueId val="{0000000A-0304-4A59-93F7-C18DC27B0838}"/>
            </c:ext>
          </c:extLst>
        </c:ser>
        <c:dLbls>
          <c:showLegendKey val="0"/>
          <c:showVal val="0"/>
          <c:showCatName val="0"/>
          <c:showSerName val="0"/>
          <c:showPercent val="0"/>
          <c:showBubbleSize val="0"/>
        </c:dLbls>
        <c:marker val="1"/>
        <c:smooth val="0"/>
        <c:axId val="713678408"/>
        <c:axId val="713678016"/>
      </c:lineChart>
      <c:catAx>
        <c:axId val="713673704"/>
        <c:scaling>
          <c:orientation val="minMax"/>
        </c:scaling>
        <c:delete val="0"/>
        <c:axPos val="b"/>
        <c:numFmt formatCode="@" sourceLinked="0"/>
        <c:majorTickMark val="out"/>
        <c:minorTickMark val="none"/>
        <c:tickLblPos val="low"/>
        <c:spPr>
          <a:noFill/>
          <a:ln w="9525"/>
          <a:effectLst/>
        </c:spPr>
        <c:txPr>
          <a:bodyPr rot="0" vert="horz"/>
          <a:lstStyle/>
          <a:p>
            <a:pPr>
              <a:defRPr sz="700"/>
            </a:pPr>
            <a:endParaRPr lang="lv-LV"/>
          </a:p>
        </c:txPr>
        <c:crossAx val="713677624"/>
        <c:crosses val="autoZero"/>
        <c:auto val="0"/>
        <c:lblAlgn val="ctr"/>
        <c:lblOffset val="0"/>
        <c:tickMarkSkip val="1"/>
        <c:noMultiLvlLbl val="1"/>
      </c:catAx>
      <c:valAx>
        <c:axId val="713677624"/>
        <c:scaling>
          <c:orientation val="minMax"/>
          <c:max val="15"/>
          <c:min val="0"/>
        </c:scaling>
        <c:delete val="0"/>
        <c:axPos val="l"/>
        <c:numFmt formatCode="#,##0" sourceLinked="0"/>
        <c:majorTickMark val="out"/>
        <c:minorTickMark val="none"/>
        <c:tickLblPos val="nextTo"/>
        <c:spPr>
          <a:noFill/>
          <a:ln w="9525" cap="flat" cmpd="sng" algn="ctr">
            <a:noFill/>
            <a:prstDash val="solid"/>
            <a:round/>
          </a:ln>
          <a:effectLst/>
        </c:spPr>
        <c:txPr>
          <a:bodyPr rot="0"/>
          <a:lstStyle/>
          <a:p>
            <a:pPr>
              <a:defRPr/>
            </a:pPr>
            <a:endParaRPr lang="lv-LV"/>
          </a:p>
        </c:txPr>
        <c:crossAx val="713673704"/>
        <c:crosses val="autoZero"/>
        <c:crossBetween val="between"/>
        <c:majorUnit val="5"/>
      </c:valAx>
      <c:valAx>
        <c:axId val="713678016"/>
        <c:scaling>
          <c:orientation val="minMax"/>
          <c:max val="150"/>
          <c:min val="0"/>
        </c:scaling>
        <c:delete val="0"/>
        <c:axPos val="r"/>
        <c:numFmt formatCode="0" sourceLinked="1"/>
        <c:majorTickMark val="out"/>
        <c:minorTickMark val="none"/>
        <c:tickLblPos val="nextTo"/>
        <c:spPr>
          <a:ln>
            <a:noFill/>
          </a:ln>
        </c:spPr>
        <c:crossAx val="713678408"/>
        <c:crosses val="max"/>
        <c:crossBetween val="between"/>
        <c:majorUnit val="50"/>
      </c:valAx>
      <c:catAx>
        <c:axId val="713678408"/>
        <c:scaling>
          <c:orientation val="minMax"/>
        </c:scaling>
        <c:delete val="1"/>
        <c:axPos val="b"/>
        <c:numFmt formatCode="General" sourceLinked="1"/>
        <c:majorTickMark val="out"/>
        <c:minorTickMark val="none"/>
        <c:tickLblPos val="nextTo"/>
        <c:crossAx val="713678016"/>
        <c:crosses val="autoZero"/>
        <c:auto val="1"/>
        <c:lblAlgn val="ctr"/>
        <c:lblOffset val="100"/>
        <c:noMultiLvlLbl val="0"/>
      </c:catAx>
      <c:spPr>
        <a:noFill/>
        <a:ln>
          <a:noFill/>
        </a:ln>
        <a:effectLst/>
      </c:spPr>
    </c:plotArea>
    <c:legend>
      <c:legendPos val="r"/>
      <c:legendEntry>
        <c:idx val="1"/>
        <c:delete val="1"/>
      </c:legendEntry>
      <c:layout>
        <c:manualLayout>
          <c:xMode val="edge"/>
          <c:yMode val="edge"/>
          <c:x val="7.3069444197579145E-2"/>
          <c:y val="4.7491821534657482E-2"/>
          <c:w val="0.86367039334530138"/>
          <c:h val="0.14955699907842362"/>
        </c:manualLayout>
      </c:layout>
      <c:overlay val="0"/>
      <c:txPr>
        <a:bodyPr/>
        <a:lstStyle/>
        <a:p>
          <a:pPr>
            <a:defRPr sz="600"/>
          </a:pPr>
          <a:endParaRPr lang="lv-LV"/>
        </a:p>
      </c:txPr>
    </c:legend>
    <c:plotVisOnly val="1"/>
    <c:dispBlanksAs val="gap"/>
    <c:showDLblsOverMax val="0"/>
  </c:chart>
  <c:spPr>
    <a:noFill/>
    <a:ln w="9525" cap="flat" cmpd="sng" algn="ctr">
      <a:noFill/>
      <a:prstDash val="solid"/>
      <a:round/>
    </a:ln>
    <a:effectLst/>
  </c:spPr>
  <c:txPr>
    <a:bodyPr/>
    <a:lstStyle/>
    <a:p>
      <a:pPr>
        <a:defRPr sz="800">
          <a:latin typeface="Segoe UI Light" panose="020B0502040204020203" pitchFamily="34" charset="0"/>
          <a:cs typeface="Segoe UI Light" panose="020B0502040204020203" pitchFamily="34" charset="0"/>
        </a:defRPr>
      </a:pPr>
      <a:endParaRPr lang="lv-LV"/>
    </a:p>
  </c:txPr>
  <c:externalData r:id="rId2">
    <c:autoUpdate val="0"/>
  </c:externalData>
  <c:userShapes r:id="rId3"/>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50</c:v>
                </c:pt>
                <c:pt idx="17">
                  <c:v>50</c:v>
                </c:pt>
              </c:numCache>
            </c:numRef>
          </c:val>
          <c:extLst>
            <c:ext xmlns:c16="http://schemas.microsoft.com/office/drawing/2014/chart" uri="{C3380CC4-5D6E-409C-BE32-E72D297353CC}">
              <c16:uniqueId val="{00000000-D69A-4910-B033-E5352B1BFC16}"/>
            </c:ext>
          </c:extLst>
        </c:ser>
        <c:dLbls>
          <c:showLegendKey val="0"/>
          <c:showVal val="0"/>
          <c:showCatName val="0"/>
          <c:showSerName val="0"/>
          <c:showPercent val="0"/>
          <c:showBubbleSize val="0"/>
        </c:dLbls>
        <c:gapWidth val="0"/>
        <c:axId val="746214872"/>
        <c:axId val="74621369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D69A-4910-B033-E5352B1BFC16}"/>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22.34960245000001</c:v>
                </c:pt>
                <c:pt idx="1">
                  <c:v>22.21331172736728</c:v>
                </c:pt>
                <c:pt idx="2">
                  <c:v>22.063082483213819</c:v>
                </c:pt>
                <c:pt idx="3">
                  <c:v>22.02200261815479</c:v>
                </c:pt>
                <c:pt idx="4">
                  <c:v>22.100830256051005</c:v>
                </c:pt>
                <c:pt idx="5">
                  <c:v>22.204681415795555</c:v>
                </c:pt>
                <c:pt idx="6">
                  <c:v>22.232150096003291</c:v>
                </c:pt>
                <c:pt idx="7">
                  <c:v>22.203409120640526</c:v>
                </c:pt>
                <c:pt idx="8">
                  <c:v>22.130768657705374</c:v>
                </c:pt>
                <c:pt idx="9">
                  <c:v>22.05425169501024</c:v>
                </c:pt>
                <c:pt idx="10">
                  <c:v>21.958401440334512</c:v>
                </c:pt>
                <c:pt idx="11">
                  <c:v>21.88018317793853</c:v>
                </c:pt>
                <c:pt idx="12">
                  <c:v>21.825942786528213</c:v>
                </c:pt>
                <c:pt idx="13">
                  <c:v>21.776676828085719</c:v>
                </c:pt>
                <c:pt idx="14">
                  <c:v>21.723677162476431</c:v>
                </c:pt>
                <c:pt idx="15">
                  <c:v>21.680417687423336</c:v>
                </c:pt>
                <c:pt idx="16">
                  <c:v>21.634694747024884</c:v>
                </c:pt>
                <c:pt idx="17">
                  <c:v>21.619456500519281</c:v>
                </c:pt>
              </c:numCache>
            </c:numRef>
          </c:val>
          <c:smooth val="0"/>
          <c:extLst>
            <c:ext xmlns:c16="http://schemas.microsoft.com/office/drawing/2014/chart" uri="{C3380CC4-5D6E-409C-BE32-E72D297353CC}">
              <c16:uniqueId val="{00000003-D69A-4910-B033-E5352B1BFC16}"/>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24.605684850000038</c:v>
                </c:pt>
                <c:pt idx="1">
                  <c:v>23.657190071560144</c:v>
                </c:pt>
                <c:pt idx="2">
                  <c:v>22.752096632322942</c:v>
                </c:pt>
                <c:pt idx="3">
                  <c:v>21.910748757581263</c:v>
                </c:pt>
                <c:pt idx="4">
                  <c:v>21.183320344854398</c:v>
                </c:pt>
                <c:pt idx="5">
                  <c:v>20.494562556859698</c:v>
                </c:pt>
                <c:pt idx="6">
                  <c:v>19.77296616658402</c:v>
                </c:pt>
                <c:pt idx="7">
                  <c:v>19.080180728295478</c:v>
                </c:pt>
                <c:pt idx="8">
                  <c:v>18.47301010607589</c:v>
                </c:pt>
                <c:pt idx="9">
                  <c:v>17.971383953029388</c:v>
                </c:pt>
                <c:pt idx="10">
                  <c:v>17.520092768912587</c:v>
                </c:pt>
                <c:pt idx="11">
                  <c:v>17.131286836944309</c:v>
                </c:pt>
                <c:pt idx="12">
                  <c:v>16.786301694255727</c:v>
                </c:pt>
                <c:pt idx="13">
                  <c:v>16.455250364578081</c:v>
                </c:pt>
                <c:pt idx="14">
                  <c:v>16.116656978110797</c:v>
                </c:pt>
                <c:pt idx="15">
                  <c:v>15.759901907127196</c:v>
                </c:pt>
                <c:pt idx="16">
                  <c:v>15.399868005357098</c:v>
                </c:pt>
                <c:pt idx="17">
                  <c:v>15.046686760005137</c:v>
                </c:pt>
              </c:numCache>
            </c:numRef>
          </c:val>
          <c:smooth val="0"/>
          <c:extLst>
            <c:ext xmlns:c16="http://schemas.microsoft.com/office/drawing/2014/chart" uri="{C3380CC4-5D6E-409C-BE32-E72D297353CC}">
              <c16:uniqueId val="{00000004-D69A-4910-B033-E5352B1BFC16}"/>
            </c:ext>
          </c:extLst>
        </c:ser>
        <c:dLbls>
          <c:showLegendKey val="0"/>
          <c:showVal val="0"/>
          <c:showCatName val="0"/>
          <c:showSerName val="0"/>
          <c:showPercent val="0"/>
          <c:showBubbleSize val="0"/>
        </c:dLbls>
        <c:marker val="1"/>
        <c:smooth val="0"/>
        <c:axId val="746214872"/>
        <c:axId val="746213696"/>
      </c:lineChart>
      <c:catAx>
        <c:axId val="746214872"/>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13696"/>
        <c:crosses val="autoZero"/>
        <c:auto val="1"/>
        <c:lblAlgn val="ctr"/>
        <c:lblOffset val="100"/>
        <c:noMultiLvlLbl val="0"/>
      </c:catAx>
      <c:valAx>
        <c:axId val="746213696"/>
        <c:scaling>
          <c:orientation val="minMax"/>
          <c:max val="50"/>
          <c:min val="10"/>
        </c:scaling>
        <c:delete val="0"/>
        <c:axPos val="l"/>
        <c:numFmt formatCode="General" sourceLinked="1"/>
        <c:majorTickMark val="out"/>
        <c:minorTickMark val="none"/>
        <c:tickLblPos val="nextTo"/>
        <c:crossAx val="746214872"/>
        <c:crosses val="autoZero"/>
        <c:crossBetween val="between"/>
        <c:majorUnit val="10"/>
      </c:valAx>
      <c:spPr>
        <a:solidFill>
          <a:srgbClr val="FFFFFF"/>
        </a:solidFill>
      </c:spPr>
    </c:plotArea>
    <c:legend>
      <c:legendPos val="l"/>
      <c:legendEntry>
        <c:idx val="0"/>
        <c:delete val="1"/>
      </c:legendEntry>
      <c:layout>
        <c:manualLayout>
          <c:xMode val="edge"/>
          <c:yMode val="edge"/>
          <c:x val="0.51579219151201761"/>
          <c:y val="9.7668360488904482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0FD4-4DFB-9AC4-39D05AC8BF48}"/>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0FD4-4DFB-9AC4-39D05AC8BF48}"/>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130.36015044853286</c:v>
                </c:pt>
                <c:pt idx="1">
                  <c:v>116.36896650414516</c:v>
                </c:pt>
              </c:numCache>
            </c:numRef>
          </c:val>
          <c:extLst>
            <c:ext xmlns:c16="http://schemas.microsoft.com/office/drawing/2014/chart" uri="{C3380CC4-5D6E-409C-BE32-E72D297353CC}">
              <c16:uniqueId val="{00000003-0FD4-4DFB-9AC4-39D05AC8BF48}"/>
            </c:ext>
          </c:extLst>
        </c:ser>
        <c:dLbls>
          <c:showLegendKey val="0"/>
          <c:showVal val="1"/>
          <c:showCatName val="0"/>
          <c:showSerName val="0"/>
          <c:showPercent val="0"/>
          <c:showBubbleSize val="0"/>
        </c:dLbls>
        <c:gapWidth val="50"/>
        <c:overlap val="88"/>
        <c:axId val="746210952"/>
        <c:axId val="746215656"/>
      </c:barChart>
      <c:catAx>
        <c:axId val="746210952"/>
        <c:scaling>
          <c:orientation val="minMax"/>
        </c:scaling>
        <c:delete val="0"/>
        <c:axPos val="b"/>
        <c:numFmt formatCode="General" sourceLinked="1"/>
        <c:majorTickMark val="out"/>
        <c:minorTickMark val="none"/>
        <c:tickLblPos val="nextTo"/>
        <c:crossAx val="746215656"/>
        <c:crosses val="autoZero"/>
        <c:auto val="0"/>
        <c:lblAlgn val="ctr"/>
        <c:lblOffset val="100"/>
        <c:tickLblSkip val="1"/>
        <c:tickMarkSkip val="1"/>
        <c:noMultiLvlLbl val="0"/>
      </c:catAx>
      <c:valAx>
        <c:axId val="746215656"/>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2109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5AE7-48A0-86C1-FF94221AEA5F}"/>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5AE7-48A0-86C1-FF94221AEA5F}"/>
              </c:ext>
            </c:extLst>
          </c:dPt>
          <c:dLbls>
            <c:dLbl>
              <c:idx val="1"/>
              <c:delete val="1"/>
              <c:extLst>
                <c:ext xmlns:c15="http://schemas.microsoft.com/office/drawing/2012/chart" uri="{CE6537A1-D6FC-4f65-9D91-7224C49458BB}"/>
                <c:ext xmlns:c16="http://schemas.microsoft.com/office/drawing/2014/chart" uri="{C3380CC4-5D6E-409C-BE32-E72D297353CC}">
                  <c16:uniqueId val="{00000003-5AE7-48A0-86C1-FF94221AEA5F}"/>
                </c:ext>
              </c:extLst>
            </c:dLbl>
            <c:spPr>
              <a:noFill/>
              <a:ln>
                <a:noFill/>
              </a:ln>
              <a:effectLst/>
            </c:spPr>
            <c:txPr>
              <a:bodyPr/>
              <a:lstStyle/>
              <a:p>
                <a:pPr>
                  <a:defRPr>
                    <a:solidFill>
                      <a:sysClr val="windowText" lastClr="000000"/>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1.8314471874296356</c:v>
                </c:pt>
                <c:pt idx="1">
                  <c:v>98.168552812570368</c:v>
                </c:pt>
              </c:numCache>
            </c:numRef>
          </c:val>
          <c:extLst>
            <c:ext xmlns:c16="http://schemas.microsoft.com/office/drawing/2014/chart" uri="{C3380CC4-5D6E-409C-BE32-E72D297353CC}">
              <c16:uniqueId val="{00000004-5AE7-48A0-86C1-FF94221AEA5F}"/>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20</c:v>
                </c:pt>
                <c:pt idx="17">
                  <c:v>20</c:v>
                </c:pt>
              </c:numCache>
            </c:numRef>
          </c:val>
          <c:extLst>
            <c:ext xmlns:c16="http://schemas.microsoft.com/office/drawing/2014/chart" uri="{C3380CC4-5D6E-409C-BE32-E72D297353CC}">
              <c16:uniqueId val="{00000000-F191-4430-A358-19E00FEA54EA}"/>
            </c:ext>
          </c:extLst>
        </c:ser>
        <c:dLbls>
          <c:showLegendKey val="0"/>
          <c:showVal val="0"/>
          <c:showCatName val="0"/>
          <c:showSerName val="0"/>
          <c:showPercent val="0"/>
          <c:showBubbleSize val="0"/>
        </c:dLbls>
        <c:gapWidth val="0"/>
        <c:axId val="746209384"/>
        <c:axId val="74621016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F191-4430-A358-19E00FEA54EA}"/>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6.6824097000000018</c:v>
                </c:pt>
                <c:pt idx="1">
                  <c:v>6.761900931975652</c:v>
                </c:pt>
                <c:pt idx="2">
                  <c:v>6.9630078867800327</c:v>
                </c:pt>
                <c:pt idx="3">
                  <c:v>7.1390870181616917</c:v>
                </c:pt>
                <c:pt idx="4">
                  <c:v>7.3499071058972572</c:v>
                </c:pt>
                <c:pt idx="5">
                  <c:v>7.585722178271733</c:v>
                </c:pt>
                <c:pt idx="6">
                  <c:v>7.8016181194255747</c:v>
                </c:pt>
                <c:pt idx="7">
                  <c:v>7.9980118328985181</c:v>
                </c:pt>
                <c:pt idx="8">
                  <c:v>8.1705472981170786</c:v>
                </c:pt>
                <c:pt idx="9">
                  <c:v>8.332553871252447</c:v>
                </c:pt>
                <c:pt idx="10">
                  <c:v>8.4791238882370532</c:v>
                </c:pt>
                <c:pt idx="11">
                  <c:v>8.6278804564284481</c:v>
                </c:pt>
                <c:pt idx="12">
                  <c:v>8.7765463185935566</c:v>
                </c:pt>
                <c:pt idx="13">
                  <c:v>8.9254667038976958</c:v>
                </c:pt>
                <c:pt idx="14">
                  <c:v>9.0703780928557318</c:v>
                </c:pt>
                <c:pt idx="15">
                  <c:v>9.2195971013157951</c:v>
                </c:pt>
                <c:pt idx="16">
                  <c:v>9.3666735874527678</c:v>
                </c:pt>
                <c:pt idx="17">
                  <c:v>9.5209562956169762</c:v>
                </c:pt>
              </c:numCache>
            </c:numRef>
          </c:val>
          <c:smooth val="0"/>
          <c:extLst>
            <c:ext xmlns:c16="http://schemas.microsoft.com/office/drawing/2014/chart" uri="{C3380CC4-5D6E-409C-BE32-E72D297353CC}">
              <c16:uniqueId val="{00000003-F191-4430-A358-19E00FEA54EA}"/>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7.3673742000000058</c:v>
                </c:pt>
                <c:pt idx="1">
                  <c:v>7.47865251189286</c:v>
                </c:pt>
                <c:pt idx="2">
                  <c:v>7.5459437056899876</c:v>
                </c:pt>
                <c:pt idx="3">
                  <c:v>7.6075662160344288</c:v>
                </c:pt>
                <c:pt idx="4">
                  <c:v>7.7009860817637401</c:v>
                </c:pt>
                <c:pt idx="5">
                  <c:v>7.8166128913006938</c:v>
                </c:pt>
                <c:pt idx="6">
                  <c:v>7.9077776793867507</c:v>
                </c:pt>
                <c:pt idx="7">
                  <c:v>7.9990172105000896</c:v>
                </c:pt>
                <c:pt idx="8">
                  <c:v>8.1170881427652617</c:v>
                </c:pt>
                <c:pt idx="9">
                  <c:v>8.2868947416623051</c:v>
                </c:pt>
                <c:pt idx="10">
                  <c:v>8.477590166333469</c:v>
                </c:pt>
                <c:pt idx="11">
                  <c:v>8.6709318993199371</c:v>
                </c:pt>
                <c:pt idx="12">
                  <c:v>8.8493829892638889</c:v>
                </c:pt>
                <c:pt idx="13">
                  <c:v>8.996190134362994</c:v>
                </c:pt>
                <c:pt idx="14">
                  <c:v>9.0905177741007286</c:v>
                </c:pt>
                <c:pt idx="15">
                  <c:v>9.1248938107481656</c:v>
                </c:pt>
                <c:pt idx="16">
                  <c:v>9.1291964301246704</c:v>
                </c:pt>
                <c:pt idx="17">
                  <c:v>9.1224444411171941</c:v>
                </c:pt>
              </c:numCache>
            </c:numRef>
          </c:val>
          <c:smooth val="0"/>
          <c:extLst>
            <c:ext xmlns:c16="http://schemas.microsoft.com/office/drawing/2014/chart" uri="{C3380CC4-5D6E-409C-BE32-E72D297353CC}">
              <c16:uniqueId val="{00000004-F191-4430-A358-19E00FEA54EA}"/>
            </c:ext>
          </c:extLst>
        </c:ser>
        <c:dLbls>
          <c:showLegendKey val="0"/>
          <c:showVal val="0"/>
          <c:showCatName val="0"/>
          <c:showSerName val="0"/>
          <c:showPercent val="0"/>
          <c:showBubbleSize val="0"/>
        </c:dLbls>
        <c:marker val="1"/>
        <c:smooth val="0"/>
        <c:axId val="746209384"/>
        <c:axId val="746210168"/>
      </c:lineChart>
      <c:catAx>
        <c:axId val="746209384"/>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10168"/>
        <c:crosses val="autoZero"/>
        <c:auto val="1"/>
        <c:lblAlgn val="ctr"/>
        <c:lblOffset val="100"/>
        <c:noMultiLvlLbl val="0"/>
      </c:catAx>
      <c:valAx>
        <c:axId val="746210168"/>
        <c:scaling>
          <c:orientation val="minMax"/>
          <c:max val="13"/>
          <c:min val="5"/>
        </c:scaling>
        <c:delete val="0"/>
        <c:axPos val="l"/>
        <c:numFmt formatCode="General" sourceLinked="1"/>
        <c:majorTickMark val="out"/>
        <c:minorTickMark val="none"/>
        <c:tickLblPos val="nextTo"/>
        <c:crossAx val="746209384"/>
        <c:crosses val="autoZero"/>
        <c:crossBetween val="between"/>
        <c:majorUnit val="2"/>
      </c:valAx>
      <c:spPr>
        <a:solidFill>
          <a:srgbClr val="FFFFFF"/>
        </a:solidFill>
      </c:spPr>
    </c:plotArea>
    <c:legend>
      <c:legendPos val="l"/>
      <c:legendEntry>
        <c:idx val="0"/>
        <c:delete val="1"/>
      </c:legendEntry>
      <c:layout>
        <c:manualLayout>
          <c:xMode val="edge"/>
          <c:yMode val="edge"/>
          <c:x val="0.5067465108245458"/>
          <c:y val="8.0023896439499975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78B1-4A08-AE3F-70A509A4CC0D}"/>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78B1-4A08-AE3F-70A509A4CC0D}"/>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123.92145465005346</c:v>
                </c:pt>
                <c:pt idx="1">
                  <c:v>99.987431235924191</c:v>
                </c:pt>
              </c:numCache>
            </c:numRef>
          </c:val>
          <c:extLst>
            <c:ext xmlns:c16="http://schemas.microsoft.com/office/drawing/2014/chart" uri="{C3380CC4-5D6E-409C-BE32-E72D297353CC}">
              <c16:uniqueId val="{00000003-78B1-4A08-AE3F-70A509A4CC0D}"/>
            </c:ext>
          </c:extLst>
        </c:ser>
        <c:dLbls>
          <c:showLegendKey val="0"/>
          <c:showVal val="1"/>
          <c:showCatName val="0"/>
          <c:showSerName val="0"/>
          <c:showPercent val="0"/>
          <c:showBubbleSize val="0"/>
        </c:dLbls>
        <c:gapWidth val="50"/>
        <c:overlap val="88"/>
        <c:axId val="746188608"/>
        <c:axId val="746184296"/>
      </c:barChart>
      <c:catAx>
        <c:axId val="746188608"/>
        <c:scaling>
          <c:orientation val="minMax"/>
        </c:scaling>
        <c:delete val="0"/>
        <c:axPos val="b"/>
        <c:numFmt formatCode="General" sourceLinked="1"/>
        <c:majorTickMark val="out"/>
        <c:minorTickMark val="none"/>
        <c:tickLblPos val="nextTo"/>
        <c:crossAx val="746184296"/>
        <c:crosses val="autoZero"/>
        <c:auto val="0"/>
        <c:lblAlgn val="ctr"/>
        <c:lblOffset val="100"/>
        <c:tickLblSkip val="1"/>
        <c:tickMarkSkip val="1"/>
        <c:noMultiLvlLbl val="0"/>
      </c:catAx>
      <c:valAx>
        <c:axId val="746184296"/>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88608"/>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A875-4DD2-9FE1-D05AE985213C}"/>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A875-4DD2-9FE1-D05AE985213C}"/>
              </c:ext>
            </c:extLst>
          </c:dPt>
          <c:dLbls>
            <c:dLbl>
              <c:idx val="1"/>
              <c:delete val="1"/>
              <c:extLst>
                <c:ext xmlns:c15="http://schemas.microsoft.com/office/drawing/2012/chart" uri="{CE6537A1-D6FC-4f65-9D91-7224C49458BB}"/>
                <c:ext xmlns:c16="http://schemas.microsoft.com/office/drawing/2014/chart" uri="{C3380CC4-5D6E-409C-BE32-E72D297353CC}">
                  <c16:uniqueId val="{00000003-A875-4DD2-9FE1-D05AE985213C}"/>
                </c:ext>
              </c:extLst>
            </c:dLbl>
            <c:spPr>
              <a:noFill/>
              <a:ln>
                <a:noFill/>
              </a:ln>
              <a:effectLst/>
            </c:spPr>
            <c:txPr>
              <a:bodyPr/>
              <a:lstStyle/>
              <a:p>
                <a:pPr>
                  <a:defRPr>
                    <a:solidFill>
                      <a:schemeClr val="bg1"/>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26.275851278234285</c:v>
                </c:pt>
                <c:pt idx="1">
                  <c:v>73.724148721765715</c:v>
                </c:pt>
              </c:numCache>
            </c:numRef>
          </c:val>
          <c:extLst>
            <c:ext xmlns:c16="http://schemas.microsoft.com/office/drawing/2014/chart" uri="{C3380CC4-5D6E-409C-BE32-E72D297353CC}">
              <c16:uniqueId val="{00000004-A875-4DD2-9FE1-D05AE985213C}"/>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300</c:v>
                </c:pt>
                <c:pt idx="17">
                  <c:v>300</c:v>
                </c:pt>
              </c:numCache>
            </c:numRef>
          </c:val>
          <c:extLst>
            <c:ext xmlns:c16="http://schemas.microsoft.com/office/drawing/2014/chart" uri="{C3380CC4-5D6E-409C-BE32-E72D297353CC}">
              <c16:uniqueId val="{00000000-617B-4809-9AA2-A26F16BEC49B}"/>
            </c:ext>
          </c:extLst>
        </c:ser>
        <c:dLbls>
          <c:showLegendKey val="0"/>
          <c:showVal val="0"/>
          <c:showCatName val="0"/>
          <c:showSerName val="0"/>
          <c:showPercent val="0"/>
          <c:showBubbleSize val="0"/>
        </c:dLbls>
        <c:gapWidth val="0"/>
        <c:axId val="746191352"/>
        <c:axId val="74618664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617B-4809-9AA2-A26F16BEC49B}"/>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133.61443137500007</c:v>
                </c:pt>
                <c:pt idx="1">
                  <c:v>134.10985959186789</c:v>
                </c:pt>
                <c:pt idx="2">
                  <c:v>135.89955988623444</c:v>
                </c:pt>
                <c:pt idx="3">
                  <c:v>138.74160517345479</c:v>
                </c:pt>
                <c:pt idx="4">
                  <c:v>141.53355311165188</c:v>
                </c:pt>
                <c:pt idx="5">
                  <c:v>143.8160897390718</c:v>
                </c:pt>
                <c:pt idx="6">
                  <c:v>144.64118619645376</c:v>
                </c:pt>
                <c:pt idx="7">
                  <c:v>145.36641991915647</c:v>
                </c:pt>
                <c:pt idx="8">
                  <c:v>145.93182032095896</c:v>
                </c:pt>
                <c:pt idx="9">
                  <c:v>146.66583113022054</c:v>
                </c:pt>
                <c:pt idx="10">
                  <c:v>147.53732995777307</c:v>
                </c:pt>
                <c:pt idx="11">
                  <c:v>148.53038276450013</c:v>
                </c:pt>
                <c:pt idx="12">
                  <c:v>149.54734402692179</c:v>
                </c:pt>
                <c:pt idx="13">
                  <c:v>150.50307516063424</c:v>
                </c:pt>
                <c:pt idx="14">
                  <c:v>151.49026050117749</c:v>
                </c:pt>
                <c:pt idx="15">
                  <c:v>152.43820812300592</c:v>
                </c:pt>
                <c:pt idx="16">
                  <c:v>153.36643822947178</c:v>
                </c:pt>
                <c:pt idx="17">
                  <c:v>154.35273684990361</c:v>
                </c:pt>
              </c:numCache>
            </c:numRef>
          </c:val>
          <c:smooth val="0"/>
          <c:extLst>
            <c:ext xmlns:c16="http://schemas.microsoft.com/office/drawing/2014/chart" uri="{C3380CC4-5D6E-409C-BE32-E72D297353CC}">
              <c16:uniqueId val="{00000003-617B-4809-9AA2-A26F16BEC49B}"/>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144.72673177500019</c:v>
                </c:pt>
                <c:pt idx="1">
                  <c:v>139.57294705025234</c:v>
                </c:pt>
                <c:pt idx="2">
                  <c:v>134.76647427109452</c:v>
                </c:pt>
                <c:pt idx="3">
                  <c:v>130.30444719655753</c:v>
                </c:pt>
                <c:pt idx="4">
                  <c:v>126.53288636164118</c:v>
                </c:pt>
                <c:pt idx="5">
                  <c:v>122.97704005246304</c:v>
                </c:pt>
                <c:pt idx="6">
                  <c:v>118.82182203709289</c:v>
                </c:pt>
                <c:pt idx="7">
                  <c:v>114.76224268859077</c:v>
                </c:pt>
                <c:pt idx="8">
                  <c:v>110.72303292036389</c:v>
                </c:pt>
                <c:pt idx="9">
                  <c:v>107.04862501375277</c:v>
                </c:pt>
                <c:pt idx="10">
                  <c:v>103.4767117683583</c:v>
                </c:pt>
                <c:pt idx="11">
                  <c:v>100.22518122654772</c:v>
                </c:pt>
                <c:pt idx="12">
                  <c:v>97.25997663116857</c:v>
                </c:pt>
                <c:pt idx="13">
                  <c:v>94.35251076743647</c:v>
                </c:pt>
                <c:pt idx="14">
                  <c:v>91.404810618725406</c:v>
                </c:pt>
                <c:pt idx="15">
                  <c:v>88.36008641529493</c:v>
                </c:pt>
                <c:pt idx="16">
                  <c:v>85.365107705558472</c:v>
                </c:pt>
                <c:pt idx="17">
                  <c:v>82.544992658108796</c:v>
                </c:pt>
              </c:numCache>
            </c:numRef>
          </c:val>
          <c:smooth val="0"/>
          <c:extLst>
            <c:ext xmlns:c16="http://schemas.microsoft.com/office/drawing/2014/chart" uri="{C3380CC4-5D6E-409C-BE32-E72D297353CC}">
              <c16:uniqueId val="{00000004-617B-4809-9AA2-A26F16BEC49B}"/>
            </c:ext>
          </c:extLst>
        </c:ser>
        <c:dLbls>
          <c:showLegendKey val="0"/>
          <c:showVal val="0"/>
          <c:showCatName val="0"/>
          <c:showSerName val="0"/>
          <c:showPercent val="0"/>
          <c:showBubbleSize val="0"/>
        </c:dLbls>
        <c:marker val="1"/>
        <c:smooth val="0"/>
        <c:axId val="746191352"/>
        <c:axId val="746186648"/>
      </c:lineChart>
      <c:catAx>
        <c:axId val="746191352"/>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186648"/>
        <c:crosses val="autoZero"/>
        <c:auto val="1"/>
        <c:lblAlgn val="ctr"/>
        <c:lblOffset val="100"/>
        <c:noMultiLvlLbl val="0"/>
      </c:catAx>
      <c:valAx>
        <c:axId val="746186648"/>
        <c:scaling>
          <c:orientation val="minMax"/>
          <c:max val="230"/>
          <c:min val="50"/>
        </c:scaling>
        <c:delete val="0"/>
        <c:axPos val="l"/>
        <c:numFmt formatCode="General" sourceLinked="1"/>
        <c:majorTickMark val="out"/>
        <c:minorTickMark val="none"/>
        <c:tickLblPos val="nextTo"/>
        <c:crossAx val="746191352"/>
        <c:crosses val="autoZero"/>
        <c:crossBetween val="between"/>
        <c:majorUnit val="30"/>
      </c:valAx>
      <c:spPr>
        <a:solidFill>
          <a:srgbClr val="FFFFFF"/>
        </a:solidFill>
      </c:spPr>
    </c:plotArea>
    <c:legend>
      <c:legendPos val="l"/>
      <c:legendEntry>
        <c:idx val="0"/>
        <c:delete val="1"/>
      </c:legendEntry>
      <c:layout>
        <c:manualLayout>
          <c:xMode val="edge"/>
          <c:yMode val="edge"/>
          <c:x val="0.5248378721994893"/>
          <c:y val="6.237943239009546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4807-4B96-BD71-7E2CFE62F735}"/>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4807-4B96-BD71-7E2CFE62F735}"/>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147.3791213436017</c:v>
                </c:pt>
                <c:pt idx="1">
                  <c:v>126.66746180066437</c:v>
                </c:pt>
              </c:numCache>
            </c:numRef>
          </c:val>
          <c:extLst>
            <c:ext xmlns:c16="http://schemas.microsoft.com/office/drawing/2014/chart" uri="{C3380CC4-5D6E-409C-BE32-E72D297353CC}">
              <c16:uniqueId val="{00000003-4807-4B96-BD71-7E2CFE62F735}"/>
            </c:ext>
          </c:extLst>
        </c:ser>
        <c:dLbls>
          <c:showLegendKey val="0"/>
          <c:showVal val="1"/>
          <c:showCatName val="0"/>
          <c:showSerName val="0"/>
          <c:showPercent val="0"/>
          <c:showBubbleSize val="0"/>
        </c:dLbls>
        <c:gapWidth val="50"/>
        <c:overlap val="88"/>
        <c:axId val="746195664"/>
        <c:axId val="746190176"/>
      </c:barChart>
      <c:catAx>
        <c:axId val="746195664"/>
        <c:scaling>
          <c:orientation val="minMax"/>
        </c:scaling>
        <c:delete val="0"/>
        <c:axPos val="b"/>
        <c:numFmt formatCode="General" sourceLinked="1"/>
        <c:majorTickMark val="out"/>
        <c:minorTickMark val="none"/>
        <c:tickLblPos val="nextTo"/>
        <c:crossAx val="746190176"/>
        <c:crosses val="autoZero"/>
        <c:auto val="0"/>
        <c:lblAlgn val="ctr"/>
        <c:lblOffset val="100"/>
        <c:tickLblSkip val="1"/>
        <c:tickMarkSkip val="1"/>
        <c:noMultiLvlLbl val="0"/>
      </c:catAx>
      <c:valAx>
        <c:axId val="746190176"/>
        <c:scaling>
          <c:orientation val="minMax"/>
          <c:max val="18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95664"/>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8CFB-4DB0-B742-EAA2A716C168}"/>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8CFB-4DB0-B742-EAA2A716C168}"/>
              </c:ext>
            </c:extLst>
          </c:dPt>
          <c:dLbls>
            <c:dLbl>
              <c:idx val="0"/>
              <c:layout>
                <c:manualLayout>
                  <c:x val="0.14313411529337394"/>
                  <c:y val="0"/>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CFB-4DB0-B742-EAA2A716C168}"/>
                </c:ext>
              </c:extLst>
            </c:dLbl>
            <c:dLbl>
              <c:idx val="1"/>
              <c:delete val="1"/>
              <c:extLst>
                <c:ext xmlns:c15="http://schemas.microsoft.com/office/drawing/2012/chart" uri="{CE6537A1-D6FC-4f65-9D91-7224C49458BB}"/>
                <c:ext xmlns:c16="http://schemas.microsoft.com/office/drawing/2014/chart" uri="{C3380CC4-5D6E-409C-BE32-E72D297353CC}">
                  <c16:uniqueId val="{00000003-8CFB-4DB0-B742-EAA2A716C168}"/>
                </c:ext>
              </c:extLst>
            </c:dLbl>
            <c:spPr>
              <a:noFill/>
              <a:ln>
                <a:noFill/>
              </a:ln>
              <a:effectLst/>
            </c:spPr>
            <c:txPr>
              <a:bodyPr/>
              <a:lstStyle/>
              <a:p>
                <a:pPr>
                  <a:defRPr>
                    <a:solidFill>
                      <a:sysClr val="windowText" lastClr="000000"/>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2.32063421108273</c:v>
                </c:pt>
                <c:pt idx="1">
                  <c:v>97.679365788917266</c:v>
                </c:pt>
              </c:numCache>
            </c:numRef>
          </c:val>
          <c:extLst>
            <c:ext xmlns:c16="http://schemas.microsoft.com/office/drawing/2014/chart" uri="{C3380CC4-5D6E-409C-BE32-E72D297353CC}">
              <c16:uniqueId val="{00000004-8CFB-4DB0-B742-EAA2A716C168}"/>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15</c:v>
                </c:pt>
                <c:pt idx="17">
                  <c:v>15</c:v>
                </c:pt>
              </c:numCache>
            </c:numRef>
          </c:val>
          <c:extLst>
            <c:ext xmlns:c16="http://schemas.microsoft.com/office/drawing/2014/chart" uri="{C3380CC4-5D6E-409C-BE32-E72D297353CC}">
              <c16:uniqueId val="{00000000-3F8E-4F93-A189-E3B09B42EB11}"/>
            </c:ext>
          </c:extLst>
        </c:ser>
        <c:dLbls>
          <c:showLegendKey val="0"/>
          <c:showVal val="0"/>
          <c:showCatName val="0"/>
          <c:showSerName val="0"/>
          <c:showPercent val="0"/>
          <c:showBubbleSize val="0"/>
        </c:dLbls>
        <c:gapWidth val="0"/>
        <c:axId val="746187824"/>
        <c:axId val="74618625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3F8E-4F93-A189-E3B09B42EB11}"/>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11.731096925000005</c:v>
                </c:pt>
                <c:pt idx="1">
                  <c:v>11.622505391269963</c:v>
                </c:pt>
                <c:pt idx="2">
                  <c:v>11.547663077205701</c:v>
                </c:pt>
                <c:pt idx="3">
                  <c:v>11.567068408253729</c:v>
                </c:pt>
                <c:pt idx="4">
                  <c:v>11.629628465159024</c:v>
                </c:pt>
                <c:pt idx="5">
                  <c:v>11.686332267608993</c:v>
                </c:pt>
                <c:pt idx="6">
                  <c:v>11.700313525763464</c:v>
                </c:pt>
                <c:pt idx="7">
                  <c:v>11.667475349062006</c:v>
                </c:pt>
                <c:pt idx="8">
                  <c:v>11.608639076626242</c:v>
                </c:pt>
                <c:pt idx="9">
                  <c:v>11.543993120269683</c:v>
                </c:pt>
                <c:pt idx="10">
                  <c:v>11.479408935206349</c:v>
                </c:pt>
                <c:pt idx="11">
                  <c:v>11.425729754455903</c:v>
                </c:pt>
                <c:pt idx="12">
                  <c:v>11.379223139300956</c:v>
                </c:pt>
                <c:pt idx="13">
                  <c:v>11.336877268155055</c:v>
                </c:pt>
                <c:pt idx="14">
                  <c:v>11.311777176024531</c:v>
                </c:pt>
                <c:pt idx="15">
                  <c:v>11.300817708264217</c:v>
                </c:pt>
                <c:pt idx="16">
                  <c:v>11.292449653443638</c:v>
                </c:pt>
                <c:pt idx="17">
                  <c:v>11.307774340623482</c:v>
                </c:pt>
              </c:numCache>
            </c:numRef>
          </c:val>
          <c:smooth val="0"/>
          <c:extLst>
            <c:ext xmlns:c16="http://schemas.microsoft.com/office/drawing/2014/chart" uri="{C3380CC4-5D6E-409C-BE32-E72D297353CC}">
              <c16:uniqueId val="{00000003-3F8E-4F93-A189-E3B09B42EB11}"/>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12.227863300000001</c:v>
                </c:pt>
                <c:pt idx="1">
                  <c:v>11.902794301997085</c:v>
                </c:pt>
                <c:pt idx="2">
                  <c:v>11.57282858848734</c:v>
                </c:pt>
                <c:pt idx="3">
                  <c:v>11.25671728462569</c:v>
                </c:pt>
                <c:pt idx="4">
                  <c:v>10.990284299551583</c:v>
                </c:pt>
                <c:pt idx="5">
                  <c:v>10.738247758902324</c:v>
                </c:pt>
                <c:pt idx="6">
                  <c:v>10.439452398113197</c:v>
                </c:pt>
                <c:pt idx="7">
                  <c:v>10.135587376547946</c:v>
                </c:pt>
                <c:pt idx="8">
                  <c:v>9.8556111032511033</c:v>
                </c:pt>
                <c:pt idx="9">
                  <c:v>9.63018374954145</c:v>
                </c:pt>
                <c:pt idx="10">
                  <c:v>9.430425689146519</c:v>
                </c:pt>
                <c:pt idx="11">
                  <c:v>9.2656011594927037</c:v>
                </c:pt>
                <c:pt idx="12">
                  <c:v>9.1235557652624291</c:v>
                </c:pt>
                <c:pt idx="13">
                  <c:v>8.9710340234046679</c:v>
                </c:pt>
                <c:pt idx="14">
                  <c:v>8.7905733441988652</c:v>
                </c:pt>
                <c:pt idx="15">
                  <c:v>8.5773087268766535</c:v>
                </c:pt>
                <c:pt idx="16">
                  <c:v>8.3550351641592098</c:v>
                </c:pt>
                <c:pt idx="17">
                  <c:v>8.1450828309859844</c:v>
                </c:pt>
              </c:numCache>
            </c:numRef>
          </c:val>
          <c:smooth val="0"/>
          <c:extLst>
            <c:ext xmlns:c16="http://schemas.microsoft.com/office/drawing/2014/chart" uri="{C3380CC4-5D6E-409C-BE32-E72D297353CC}">
              <c16:uniqueId val="{00000004-3F8E-4F93-A189-E3B09B42EB11}"/>
            </c:ext>
          </c:extLst>
        </c:ser>
        <c:dLbls>
          <c:showLegendKey val="0"/>
          <c:showVal val="0"/>
          <c:showCatName val="0"/>
          <c:showSerName val="0"/>
          <c:showPercent val="0"/>
          <c:showBubbleSize val="0"/>
        </c:dLbls>
        <c:marker val="1"/>
        <c:smooth val="0"/>
        <c:axId val="746187824"/>
        <c:axId val="746186256"/>
      </c:lineChart>
      <c:catAx>
        <c:axId val="746187824"/>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186256"/>
        <c:crosses val="autoZero"/>
        <c:auto val="1"/>
        <c:lblAlgn val="ctr"/>
        <c:lblOffset val="100"/>
        <c:noMultiLvlLbl val="0"/>
      </c:catAx>
      <c:valAx>
        <c:axId val="746186256"/>
        <c:scaling>
          <c:orientation val="minMax"/>
          <c:max val="15"/>
          <c:min val="7"/>
        </c:scaling>
        <c:delete val="0"/>
        <c:axPos val="l"/>
        <c:numFmt formatCode="General" sourceLinked="1"/>
        <c:majorTickMark val="out"/>
        <c:minorTickMark val="none"/>
        <c:tickLblPos val="nextTo"/>
        <c:crossAx val="746187824"/>
        <c:crosses val="autoZero"/>
        <c:crossBetween val="between"/>
        <c:majorUnit val="2"/>
      </c:valAx>
      <c:spPr>
        <a:solidFill>
          <a:srgbClr val="FFFFFF"/>
        </a:solidFill>
      </c:spPr>
    </c:plotArea>
    <c:legend>
      <c:legendPos val="l"/>
      <c:legendEntry>
        <c:idx val="0"/>
        <c:delete val="1"/>
      </c:legendEntry>
      <c:layout>
        <c:manualLayout>
          <c:xMode val="edge"/>
          <c:yMode val="edge"/>
          <c:x val="0.52031503185575345"/>
          <c:y val="6.237943239009546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819962463986443E-2"/>
          <c:y val="7.2362979217761733E-2"/>
          <c:w val="0.86601281352721005"/>
          <c:h val="0.74022615205886144"/>
        </c:manualLayout>
      </c:layout>
      <c:lineChart>
        <c:grouping val="standard"/>
        <c:varyColors val="0"/>
        <c:ser>
          <c:idx val="0"/>
          <c:order val="0"/>
          <c:tx>
            <c:strRef>
              <c:f>Sheet1!$B$1</c:f>
              <c:strCache>
                <c:ptCount val="1"/>
                <c:pt idx="0">
                  <c:v>Aktuālo vakanču skaits</c:v>
                </c:pt>
              </c:strCache>
            </c:strRef>
          </c:tx>
          <c:spPr>
            <a:ln w="28575" cap="rnd">
              <a:solidFill>
                <a:srgbClr val="009999"/>
              </a:solidFill>
              <a:round/>
            </a:ln>
            <a:effectLst/>
          </c:spPr>
          <c:marker>
            <c:symbol val="diamond"/>
            <c:size val="8"/>
            <c:spPr>
              <a:solidFill>
                <a:srgbClr val="009999"/>
              </a:solidFill>
              <a:ln w="9525">
                <a:noFill/>
              </a:ln>
              <a:effectLst/>
            </c:spPr>
          </c:marker>
          <c:dLbls>
            <c:dLbl>
              <c:idx val="1"/>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0B-46AD-AC36-68FB59DB178F}"/>
                </c:ext>
              </c:extLst>
            </c:dLbl>
            <c:dLbl>
              <c:idx val="4"/>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0B-46AD-AC36-68FB59DB178F}"/>
                </c:ext>
              </c:extLst>
            </c:dLbl>
            <c:dLbl>
              <c:idx val="12"/>
              <c:layout>
                <c:manualLayout>
                  <c:x val="-8.7872880072683263E-2"/>
                  <c:y val="4.6967342196979359E-2"/>
                </c:manualLayout>
              </c:layout>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0B-46AD-AC36-68FB59DB178F}"/>
                </c:ext>
              </c:extLst>
            </c:dLbl>
            <c:dLbl>
              <c:idx val="2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0B-46AD-AC36-68FB59DB178F}"/>
                </c:ext>
              </c:extLst>
            </c:dLbl>
            <c:dLbl>
              <c:idx val="24"/>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70B-46AD-AC36-68FB59DB178F}"/>
                </c:ext>
              </c:extLst>
            </c:dLbl>
            <c:dLbl>
              <c:idx val="26"/>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70B-46AD-AC36-68FB59DB178F}"/>
                </c:ext>
              </c:extLst>
            </c:dLbl>
            <c:dLbl>
              <c:idx val="36"/>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70B-46AD-AC36-68FB59DB178F}"/>
                </c:ext>
              </c:extLst>
            </c:dLbl>
            <c:dLbl>
              <c:idx val="41"/>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70B-46AD-AC36-68FB59DB178F}"/>
                </c:ext>
              </c:extLst>
            </c:dLbl>
            <c:dLbl>
              <c:idx val="48"/>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70B-46AD-AC36-68FB59DB178F}"/>
                </c:ext>
              </c:extLst>
            </c:dLbl>
            <c:dLbl>
              <c:idx val="5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t"/>
              <c:showLegendKey val="0"/>
              <c:showVal val="0"/>
              <c:showCatName val="0"/>
              <c:showSerName val="0"/>
              <c:showPercent val="0"/>
              <c:showBubbleSize val="0"/>
              <c:extLst>
                <c:ext xmlns:c16="http://schemas.microsoft.com/office/drawing/2014/chart" uri="{C3380CC4-5D6E-409C-BE32-E72D297353CC}">
                  <c16:uniqueId val="{00000009-470B-46AD-AC36-68FB59DB178F}"/>
                </c:ext>
              </c:extLst>
            </c:dLbl>
            <c:dLbl>
              <c:idx val="52"/>
              <c:layout>
                <c:manualLayout>
                  <c:x val="-3.0728628601689395E-3"/>
                  <c:y val="-6.6589905769975477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70B-46AD-AC36-68FB59DB178F}"/>
                </c:ext>
              </c:extLst>
            </c:dLbl>
            <c:dLbl>
              <c:idx val="181"/>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70B-46AD-AC36-68FB59DB178F}"/>
                </c:ext>
              </c:extLst>
            </c:dLbl>
            <c:numFmt formatCode="#,##0" sourceLinked="0"/>
            <c:spPr>
              <a:noFill/>
              <a:ln>
                <a:no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t"/>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Sheet1!$A$2:$A$54</c:f>
              <c:strCache>
                <c:ptCount val="53"/>
                <c:pt idx="0">
                  <c:v>Jan 2020</c:v>
                </c:pt>
                <c:pt idx="1">
                  <c:v>Feb</c:v>
                </c:pt>
                <c:pt idx="2">
                  <c:v>Mar</c:v>
                </c:pt>
                <c:pt idx="3">
                  <c:v>Apr</c:v>
                </c:pt>
                <c:pt idx="4">
                  <c:v>Mai</c:v>
                </c:pt>
                <c:pt idx="5">
                  <c:v>Jūn</c:v>
                </c:pt>
                <c:pt idx="6">
                  <c:v>Jūl</c:v>
                </c:pt>
                <c:pt idx="7">
                  <c:v>Aug</c:v>
                </c:pt>
                <c:pt idx="8">
                  <c:v>Sep</c:v>
                </c:pt>
                <c:pt idx="9">
                  <c:v>Okt</c:v>
                </c:pt>
                <c:pt idx="10">
                  <c:v>Nov</c:v>
                </c:pt>
                <c:pt idx="11">
                  <c:v>Dec</c:v>
                </c:pt>
                <c:pt idx="12">
                  <c:v>Jan 2021</c:v>
                </c:pt>
                <c:pt idx="13">
                  <c:v>Feb</c:v>
                </c:pt>
                <c:pt idx="14">
                  <c:v>Mar</c:v>
                </c:pt>
                <c:pt idx="15">
                  <c:v>Apr</c:v>
                </c:pt>
                <c:pt idx="16">
                  <c:v>Mai</c:v>
                </c:pt>
                <c:pt idx="17">
                  <c:v>Jūn</c:v>
                </c:pt>
                <c:pt idx="18">
                  <c:v>Jūl</c:v>
                </c:pt>
                <c:pt idx="19">
                  <c:v>Aug</c:v>
                </c:pt>
                <c:pt idx="20">
                  <c:v>Sep</c:v>
                </c:pt>
                <c:pt idx="21">
                  <c:v>Okt</c:v>
                </c:pt>
                <c:pt idx="22">
                  <c:v>Nov</c:v>
                </c:pt>
                <c:pt idx="23">
                  <c:v>Dec</c:v>
                </c:pt>
                <c:pt idx="24">
                  <c:v>Jan 2022</c:v>
                </c:pt>
                <c:pt idx="25">
                  <c:v>Feb</c:v>
                </c:pt>
                <c:pt idx="26">
                  <c:v>Mar</c:v>
                </c:pt>
                <c:pt idx="27">
                  <c:v>Apr</c:v>
                </c:pt>
                <c:pt idx="28">
                  <c:v>Mai</c:v>
                </c:pt>
                <c:pt idx="29">
                  <c:v>Jūn</c:v>
                </c:pt>
                <c:pt idx="30">
                  <c:v>Jūl</c:v>
                </c:pt>
                <c:pt idx="31">
                  <c:v>Aug</c:v>
                </c:pt>
                <c:pt idx="32">
                  <c:v>Sep</c:v>
                </c:pt>
                <c:pt idx="33">
                  <c:v>Okt</c:v>
                </c:pt>
                <c:pt idx="34">
                  <c:v>Nov</c:v>
                </c:pt>
                <c:pt idx="35">
                  <c:v>Dec</c:v>
                </c:pt>
                <c:pt idx="36">
                  <c:v>Jan 2023</c:v>
                </c:pt>
                <c:pt idx="37">
                  <c:v>Feb</c:v>
                </c:pt>
                <c:pt idx="38">
                  <c:v>Mar</c:v>
                </c:pt>
                <c:pt idx="39">
                  <c:v>Apr</c:v>
                </c:pt>
                <c:pt idx="40">
                  <c:v>Mai</c:v>
                </c:pt>
                <c:pt idx="41">
                  <c:v>Jūn</c:v>
                </c:pt>
                <c:pt idx="42">
                  <c:v>Jūl</c:v>
                </c:pt>
                <c:pt idx="43">
                  <c:v>Aug</c:v>
                </c:pt>
                <c:pt idx="44">
                  <c:v>Sep</c:v>
                </c:pt>
                <c:pt idx="45">
                  <c:v>Okt</c:v>
                </c:pt>
                <c:pt idx="46">
                  <c:v>Nov</c:v>
                </c:pt>
                <c:pt idx="47">
                  <c:v>Dec</c:v>
                </c:pt>
                <c:pt idx="48">
                  <c:v>Jan 2024</c:v>
                </c:pt>
                <c:pt idx="49">
                  <c:v>Feb</c:v>
                </c:pt>
                <c:pt idx="50">
                  <c:v>Mar</c:v>
                </c:pt>
                <c:pt idx="51">
                  <c:v>Apr</c:v>
                </c:pt>
                <c:pt idx="52">
                  <c:v>Mai</c:v>
                </c:pt>
              </c:strCache>
            </c:strRef>
          </c:cat>
          <c:val>
            <c:numRef>
              <c:f>Sheet1!$B$2:$B$54</c:f>
              <c:numCache>
                <c:formatCode>#\ ##0.0</c:formatCode>
                <c:ptCount val="53"/>
                <c:pt idx="0">
                  <c:v>29.416</c:v>
                </c:pt>
                <c:pt idx="1">
                  <c:v>30.75</c:v>
                </c:pt>
                <c:pt idx="2">
                  <c:v>26.972999999999999</c:v>
                </c:pt>
                <c:pt idx="3">
                  <c:v>17.638000000000002</c:v>
                </c:pt>
                <c:pt idx="4">
                  <c:v>17.175000000000001</c:v>
                </c:pt>
                <c:pt idx="5">
                  <c:v>18.04</c:v>
                </c:pt>
                <c:pt idx="6">
                  <c:v>18.125</c:v>
                </c:pt>
                <c:pt idx="7">
                  <c:v>18.001999999999999</c:v>
                </c:pt>
                <c:pt idx="8">
                  <c:v>17.597000000000001</c:v>
                </c:pt>
                <c:pt idx="9">
                  <c:v>16.989000000000001</c:v>
                </c:pt>
                <c:pt idx="10">
                  <c:v>16.61</c:v>
                </c:pt>
                <c:pt idx="11">
                  <c:v>14.47</c:v>
                </c:pt>
                <c:pt idx="12">
                  <c:v>13.468999999999999</c:v>
                </c:pt>
                <c:pt idx="13">
                  <c:v>14.551</c:v>
                </c:pt>
                <c:pt idx="14">
                  <c:v>18.201000000000001</c:v>
                </c:pt>
                <c:pt idx="15">
                  <c:v>17.774000000000001</c:v>
                </c:pt>
                <c:pt idx="16">
                  <c:v>18.881</c:v>
                </c:pt>
                <c:pt idx="17">
                  <c:v>20.169</c:v>
                </c:pt>
                <c:pt idx="18">
                  <c:v>20.649000000000001</c:v>
                </c:pt>
                <c:pt idx="19">
                  <c:v>22.754000000000001</c:v>
                </c:pt>
                <c:pt idx="20">
                  <c:v>23.617000000000001</c:v>
                </c:pt>
                <c:pt idx="21">
                  <c:v>22.36</c:v>
                </c:pt>
                <c:pt idx="22">
                  <c:v>22.256</c:v>
                </c:pt>
                <c:pt idx="23">
                  <c:v>21.105</c:v>
                </c:pt>
                <c:pt idx="24">
                  <c:v>20.838000000000001</c:v>
                </c:pt>
                <c:pt idx="25">
                  <c:v>23.907</c:v>
                </c:pt>
                <c:pt idx="26">
                  <c:v>32.512</c:v>
                </c:pt>
                <c:pt idx="27">
                  <c:v>32.225000000000001</c:v>
                </c:pt>
                <c:pt idx="28">
                  <c:v>31.521000000000001</c:v>
                </c:pt>
                <c:pt idx="29">
                  <c:v>31.100999999999999</c:v>
                </c:pt>
                <c:pt idx="30">
                  <c:v>30.02</c:v>
                </c:pt>
                <c:pt idx="31">
                  <c:v>30.763000000000002</c:v>
                </c:pt>
                <c:pt idx="32">
                  <c:v>29.245999999999999</c:v>
                </c:pt>
                <c:pt idx="33">
                  <c:v>27.201000000000001</c:v>
                </c:pt>
                <c:pt idx="34">
                  <c:v>25.542999999999999</c:v>
                </c:pt>
                <c:pt idx="35">
                  <c:v>23.166</c:v>
                </c:pt>
                <c:pt idx="36">
                  <c:v>20.292999999999999</c:v>
                </c:pt>
                <c:pt idx="37">
                  <c:v>21.396999999999998</c:v>
                </c:pt>
                <c:pt idx="38">
                  <c:v>24.016999999999999</c:v>
                </c:pt>
                <c:pt idx="39">
                  <c:v>24.257000000000001</c:v>
                </c:pt>
                <c:pt idx="40">
                  <c:v>24.300999999999998</c:v>
                </c:pt>
                <c:pt idx="41">
                  <c:v>24.521000000000001</c:v>
                </c:pt>
                <c:pt idx="42">
                  <c:v>22.202000000000002</c:v>
                </c:pt>
                <c:pt idx="43">
                  <c:v>22.087</c:v>
                </c:pt>
                <c:pt idx="44">
                  <c:v>21.895</c:v>
                </c:pt>
                <c:pt idx="45">
                  <c:v>21.628</c:v>
                </c:pt>
                <c:pt idx="46">
                  <c:v>21.088999999999999</c:v>
                </c:pt>
                <c:pt idx="47">
                  <c:v>19.318999999999999</c:v>
                </c:pt>
                <c:pt idx="48">
                  <c:v>17.683</c:v>
                </c:pt>
                <c:pt idx="49">
                  <c:v>18.167000000000002</c:v>
                </c:pt>
                <c:pt idx="50">
                  <c:v>19.57</c:v>
                </c:pt>
                <c:pt idx="51">
                  <c:v>19.349</c:v>
                </c:pt>
                <c:pt idx="52">
                  <c:v>19.689</c:v>
                </c:pt>
              </c:numCache>
            </c:numRef>
          </c:val>
          <c:smooth val="1"/>
          <c:extLst>
            <c:ext xmlns:c16="http://schemas.microsoft.com/office/drawing/2014/chart" uri="{C3380CC4-5D6E-409C-BE32-E72D297353CC}">
              <c16:uniqueId val="{0000000C-470B-46AD-AC36-68FB59DB178F}"/>
            </c:ext>
          </c:extLst>
        </c:ser>
        <c:ser>
          <c:idx val="1"/>
          <c:order val="1"/>
          <c:tx>
            <c:strRef>
              <c:f>Sheet1!$C$1</c:f>
              <c:strCache>
                <c:ptCount val="1"/>
                <c:pt idx="0">
                  <c:v>Column2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Sheet1!$A$2:$A$54</c:f>
              <c:strCache>
                <c:ptCount val="53"/>
                <c:pt idx="0">
                  <c:v>Jan 2020</c:v>
                </c:pt>
                <c:pt idx="1">
                  <c:v>Feb</c:v>
                </c:pt>
                <c:pt idx="2">
                  <c:v>Mar</c:v>
                </c:pt>
                <c:pt idx="3">
                  <c:v>Apr</c:v>
                </c:pt>
                <c:pt idx="4">
                  <c:v>Mai</c:v>
                </c:pt>
                <c:pt idx="5">
                  <c:v>Jūn</c:v>
                </c:pt>
                <c:pt idx="6">
                  <c:v>Jūl</c:v>
                </c:pt>
                <c:pt idx="7">
                  <c:v>Aug</c:v>
                </c:pt>
                <c:pt idx="8">
                  <c:v>Sep</c:v>
                </c:pt>
                <c:pt idx="9">
                  <c:v>Okt</c:v>
                </c:pt>
                <c:pt idx="10">
                  <c:v>Nov</c:v>
                </c:pt>
                <c:pt idx="11">
                  <c:v>Dec</c:v>
                </c:pt>
                <c:pt idx="12">
                  <c:v>Jan 2021</c:v>
                </c:pt>
                <c:pt idx="13">
                  <c:v>Feb</c:v>
                </c:pt>
                <c:pt idx="14">
                  <c:v>Mar</c:v>
                </c:pt>
                <c:pt idx="15">
                  <c:v>Apr</c:v>
                </c:pt>
                <c:pt idx="16">
                  <c:v>Mai</c:v>
                </c:pt>
                <c:pt idx="17">
                  <c:v>Jūn</c:v>
                </c:pt>
                <c:pt idx="18">
                  <c:v>Jūl</c:v>
                </c:pt>
                <c:pt idx="19">
                  <c:v>Aug</c:v>
                </c:pt>
                <c:pt idx="20">
                  <c:v>Sep</c:v>
                </c:pt>
                <c:pt idx="21">
                  <c:v>Okt</c:v>
                </c:pt>
                <c:pt idx="22">
                  <c:v>Nov</c:v>
                </c:pt>
                <c:pt idx="23">
                  <c:v>Dec</c:v>
                </c:pt>
                <c:pt idx="24">
                  <c:v>Jan 2022</c:v>
                </c:pt>
                <c:pt idx="25">
                  <c:v>Feb</c:v>
                </c:pt>
                <c:pt idx="26">
                  <c:v>Mar</c:v>
                </c:pt>
                <c:pt idx="27">
                  <c:v>Apr</c:v>
                </c:pt>
                <c:pt idx="28">
                  <c:v>Mai</c:v>
                </c:pt>
                <c:pt idx="29">
                  <c:v>Jūn</c:v>
                </c:pt>
                <c:pt idx="30">
                  <c:v>Jūl</c:v>
                </c:pt>
                <c:pt idx="31">
                  <c:v>Aug</c:v>
                </c:pt>
                <c:pt idx="32">
                  <c:v>Sep</c:v>
                </c:pt>
                <c:pt idx="33">
                  <c:v>Okt</c:v>
                </c:pt>
                <c:pt idx="34">
                  <c:v>Nov</c:v>
                </c:pt>
                <c:pt idx="35">
                  <c:v>Dec</c:v>
                </c:pt>
                <c:pt idx="36">
                  <c:v>Jan 2023</c:v>
                </c:pt>
                <c:pt idx="37">
                  <c:v>Feb</c:v>
                </c:pt>
                <c:pt idx="38">
                  <c:v>Mar</c:v>
                </c:pt>
                <c:pt idx="39">
                  <c:v>Apr</c:v>
                </c:pt>
                <c:pt idx="40">
                  <c:v>Mai</c:v>
                </c:pt>
                <c:pt idx="41">
                  <c:v>Jūn</c:v>
                </c:pt>
                <c:pt idx="42">
                  <c:v>Jūl</c:v>
                </c:pt>
                <c:pt idx="43">
                  <c:v>Aug</c:v>
                </c:pt>
                <c:pt idx="44">
                  <c:v>Sep</c:v>
                </c:pt>
                <c:pt idx="45">
                  <c:v>Okt</c:v>
                </c:pt>
                <c:pt idx="46">
                  <c:v>Nov</c:v>
                </c:pt>
                <c:pt idx="47">
                  <c:v>Dec</c:v>
                </c:pt>
                <c:pt idx="48">
                  <c:v>Jan 2024</c:v>
                </c:pt>
                <c:pt idx="49">
                  <c:v>Feb</c:v>
                </c:pt>
                <c:pt idx="50">
                  <c:v>Mar</c:v>
                </c:pt>
                <c:pt idx="51">
                  <c:v>Apr</c:v>
                </c:pt>
                <c:pt idx="52">
                  <c:v>Mai</c:v>
                </c:pt>
              </c:strCache>
            </c:strRef>
          </c:cat>
          <c:val>
            <c:numRef>
              <c:f>Sheet1!$C$2:$C$54</c:f>
            </c:numRef>
          </c:val>
          <c:smooth val="0"/>
          <c:extLst>
            <c:ext xmlns:c16="http://schemas.microsoft.com/office/drawing/2014/chart" uri="{C3380CC4-5D6E-409C-BE32-E72D297353CC}">
              <c16:uniqueId val="{0000000D-470B-46AD-AC36-68FB59DB178F}"/>
            </c:ext>
          </c:extLst>
        </c:ser>
        <c:dLbls>
          <c:showLegendKey val="0"/>
          <c:showVal val="0"/>
          <c:showCatName val="0"/>
          <c:showSerName val="0"/>
          <c:showPercent val="0"/>
          <c:showBubbleSize val="0"/>
        </c:dLbls>
        <c:marker val="1"/>
        <c:smooth val="0"/>
        <c:axId val="742038936"/>
        <c:axId val="742047168"/>
      </c:lineChart>
      <c:dateAx>
        <c:axId val="742038936"/>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47168"/>
        <c:crosses val="autoZero"/>
        <c:auto val="1"/>
        <c:lblOffset val="100"/>
        <c:baseTimeUnit val="days"/>
        <c:majorUnit val="6"/>
        <c:majorTimeUnit val="months"/>
        <c:minorUnit val="1"/>
        <c:minorTimeUnit val="months"/>
      </c:dateAx>
      <c:valAx>
        <c:axId val="742047168"/>
        <c:scaling>
          <c:orientation val="minMax"/>
          <c:min val="10"/>
        </c:scaling>
        <c:delete val="0"/>
        <c:axPos val="l"/>
        <c:numFmt formatCode="#,##0" sourceLinked="0"/>
        <c:majorTickMark val="none"/>
        <c:minorTickMark val="none"/>
        <c:tickLblPos val="nextTo"/>
        <c:spPr>
          <a:noFill/>
          <a:ln>
            <a:solidFill>
              <a:sysClr val="window" lastClr="FFFFFF">
                <a:lumMod val="75000"/>
              </a:sys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38936"/>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96C8-4245-9396-8631D4DB5919}"/>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96C8-4245-9396-8631D4DB5919}"/>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123.24282892703764</c:v>
                </c:pt>
                <c:pt idx="1">
                  <c:v>115.11395359344041</c:v>
                </c:pt>
              </c:numCache>
            </c:numRef>
          </c:val>
          <c:extLst>
            <c:ext xmlns:c16="http://schemas.microsoft.com/office/drawing/2014/chart" uri="{C3380CC4-5D6E-409C-BE32-E72D297353CC}">
              <c16:uniqueId val="{00000003-96C8-4245-9396-8631D4DB5919}"/>
            </c:ext>
          </c:extLst>
        </c:ser>
        <c:dLbls>
          <c:showLegendKey val="0"/>
          <c:showVal val="1"/>
          <c:showCatName val="0"/>
          <c:showSerName val="0"/>
          <c:showPercent val="0"/>
          <c:showBubbleSize val="0"/>
        </c:dLbls>
        <c:gapWidth val="50"/>
        <c:overlap val="88"/>
        <c:axId val="746193312"/>
        <c:axId val="746189784"/>
      </c:barChart>
      <c:catAx>
        <c:axId val="746193312"/>
        <c:scaling>
          <c:orientation val="minMax"/>
        </c:scaling>
        <c:delete val="0"/>
        <c:axPos val="b"/>
        <c:numFmt formatCode="General" sourceLinked="1"/>
        <c:majorTickMark val="out"/>
        <c:minorTickMark val="none"/>
        <c:tickLblPos val="nextTo"/>
        <c:crossAx val="746189784"/>
        <c:crosses val="autoZero"/>
        <c:auto val="0"/>
        <c:lblAlgn val="ctr"/>
        <c:lblOffset val="100"/>
        <c:tickLblSkip val="1"/>
        <c:tickMarkSkip val="1"/>
        <c:noMultiLvlLbl val="0"/>
      </c:catAx>
      <c:valAx>
        <c:axId val="746189784"/>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9331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38FD-4E25-B979-2C4A5DA14B0A}"/>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38FD-4E25-B979-2C4A5DA14B0A}"/>
              </c:ext>
            </c:extLst>
          </c:dPt>
          <c:dLbls>
            <c:dLbl>
              <c:idx val="0"/>
              <c:layout>
                <c:manualLayout>
                  <c:x val="0.11183637885581903"/>
                  <c:y val="2.205558006175562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8FD-4E25-B979-2C4A5DA14B0A}"/>
                </c:ext>
              </c:extLst>
            </c:dLbl>
            <c:dLbl>
              <c:idx val="1"/>
              <c:delete val="1"/>
              <c:extLst>
                <c:ext xmlns:c15="http://schemas.microsoft.com/office/drawing/2012/chart" uri="{CE6537A1-D6FC-4f65-9D91-7224C49458BB}"/>
                <c:ext xmlns:c16="http://schemas.microsoft.com/office/drawing/2014/chart" uri="{C3380CC4-5D6E-409C-BE32-E72D297353CC}">
                  <c16:uniqueId val="{00000003-38FD-4E25-B979-2C4A5DA14B0A}"/>
                </c:ext>
              </c:extLst>
            </c:dLbl>
            <c:spPr>
              <a:noFill/>
              <a:ln>
                <a:noFill/>
              </a:ln>
              <a:effectLst/>
            </c:spPr>
            <c:txPr>
              <a:bodyPr/>
              <a:lstStyle/>
              <a:p>
                <a:pPr>
                  <a:defRPr>
                    <a:solidFill>
                      <a:sysClr val="windowText" lastClr="000000"/>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2.1800909077390007</c:v>
                </c:pt>
                <c:pt idx="1">
                  <c:v>97.819909092261</c:v>
                </c:pt>
              </c:numCache>
            </c:numRef>
          </c:val>
          <c:extLst>
            <c:ext xmlns:c16="http://schemas.microsoft.com/office/drawing/2014/chart" uri="{C3380CC4-5D6E-409C-BE32-E72D297353CC}">
              <c16:uniqueId val="{00000004-38FD-4E25-B979-2C4A5DA14B0A}"/>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25</c:v>
                </c:pt>
                <c:pt idx="17">
                  <c:v>25</c:v>
                </c:pt>
              </c:numCache>
            </c:numRef>
          </c:val>
          <c:extLst>
            <c:ext xmlns:c16="http://schemas.microsoft.com/office/drawing/2014/chart" uri="{C3380CC4-5D6E-409C-BE32-E72D297353CC}">
              <c16:uniqueId val="{00000000-EE71-452C-8F87-4F5F5E6CD20C}"/>
            </c:ext>
          </c:extLst>
        </c:ser>
        <c:dLbls>
          <c:showLegendKey val="0"/>
          <c:showVal val="0"/>
          <c:showCatName val="0"/>
          <c:showSerName val="0"/>
          <c:showPercent val="0"/>
          <c:showBubbleSize val="0"/>
        </c:dLbls>
        <c:gapWidth val="0"/>
        <c:axId val="746194488"/>
        <c:axId val="74618468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EE71-452C-8F87-4F5F5E6CD20C}"/>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11.474388525000006</c:v>
                </c:pt>
                <c:pt idx="1">
                  <c:v>11.704468813561764</c:v>
                </c:pt>
                <c:pt idx="2">
                  <c:v>11.803459984476225</c:v>
                </c:pt>
                <c:pt idx="3">
                  <c:v>11.991621697602582</c:v>
                </c:pt>
                <c:pt idx="4">
                  <c:v>12.205451774305496</c:v>
                </c:pt>
                <c:pt idx="5">
                  <c:v>12.433720597122603</c:v>
                </c:pt>
                <c:pt idx="6">
                  <c:v>12.645253796907843</c:v>
                </c:pt>
                <c:pt idx="7">
                  <c:v>12.837843434299572</c:v>
                </c:pt>
                <c:pt idx="8">
                  <c:v>13.043432262618897</c:v>
                </c:pt>
                <c:pt idx="9">
                  <c:v>13.247096395644654</c:v>
                </c:pt>
                <c:pt idx="10">
                  <c:v>13.467399753612227</c:v>
                </c:pt>
                <c:pt idx="11">
                  <c:v>13.688118586270914</c:v>
                </c:pt>
                <c:pt idx="12">
                  <c:v>13.90387587205754</c:v>
                </c:pt>
                <c:pt idx="13">
                  <c:v>14.108469320021355</c:v>
                </c:pt>
                <c:pt idx="14">
                  <c:v>14.301481971937308</c:v>
                </c:pt>
                <c:pt idx="15">
                  <c:v>14.500983694990412</c:v>
                </c:pt>
                <c:pt idx="16">
                  <c:v>14.688977693446612</c:v>
                </c:pt>
                <c:pt idx="17">
                  <c:v>14.874055381992621</c:v>
                </c:pt>
              </c:numCache>
            </c:numRef>
          </c:val>
          <c:smooth val="0"/>
          <c:extLst>
            <c:ext xmlns:c16="http://schemas.microsoft.com/office/drawing/2014/chart" uri="{C3380CC4-5D6E-409C-BE32-E72D297353CC}">
              <c16:uniqueId val="{00000003-EE71-452C-8F87-4F5F5E6CD20C}"/>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11.941527475000028</c:v>
                </c:pt>
                <c:pt idx="1">
                  <c:v>11.681637029744198</c:v>
                </c:pt>
                <c:pt idx="2">
                  <c:v>11.372731527890389</c:v>
                </c:pt>
                <c:pt idx="3">
                  <c:v>11.043262635110045</c:v>
                </c:pt>
                <c:pt idx="4">
                  <c:v>10.727942725966338</c:v>
                </c:pt>
                <c:pt idx="5">
                  <c:v>10.39520447902677</c:v>
                </c:pt>
                <c:pt idx="6">
                  <c:v>9.9672554417941637</c:v>
                </c:pt>
                <c:pt idx="7">
                  <c:v>9.5217513293044505</c:v>
                </c:pt>
                <c:pt idx="8">
                  <c:v>9.1567256820044385</c:v>
                </c:pt>
                <c:pt idx="9">
                  <c:v>8.9149052108753697</c:v>
                </c:pt>
                <c:pt idx="10">
                  <c:v>8.7720838785641426</c:v>
                </c:pt>
                <c:pt idx="11">
                  <c:v>8.7235478635536641</c:v>
                </c:pt>
                <c:pt idx="12">
                  <c:v>8.7360597795818329</c:v>
                </c:pt>
                <c:pt idx="13">
                  <c:v>8.7536544147938518</c:v>
                </c:pt>
                <c:pt idx="14">
                  <c:v>8.7462387822608054</c:v>
                </c:pt>
                <c:pt idx="15">
                  <c:v>8.7111314533148541</c:v>
                </c:pt>
                <c:pt idx="16">
                  <c:v>8.6622266330817812</c:v>
                </c:pt>
                <c:pt idx="17">
                  <c:v>8.6154229235947763</c:v>
                </c:pt>
              </c:numCache>
            </c:numRef>
          </c:val>
          <c:smooth val="0"/>
          <c:extLst>
            <c:ext xmlns:c16="http://schemas.microsoft.com/office/drawing/2014/chart" uri="{C3380CC4-5D6E-409C-BE32-E72D297353CC}">
              <c16:uniqueId val="{00000004-EE71-452C-8F87-4F5F5E6CD20C}"/>
            </c:ext>
          </c:extLst>
        </c:ser>
        <c:dLbls>
          <c:showLegendKey val="0"/>
          <c:showVal val="0"/>
          <c:showCatName val="0"/>
          <c:showSerName val="0"/>
          <c:showPercent val="0"/>
          <c:showBubbleSize val="0"/>
        </c:dLbls>
        <c:marker val="1"/>
        <c:smooth val="0"/>
        <c:axId val="746194488"/>
        <c:axId val="746184688"/>
      </c:lineChart>
      <c:catAx>
        <c:axId val="74619448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184688"/>
        <c:crosses val="autoZero"/>
        <c:auto val="1"/>
        <c:lblAlgn val="ctr"/>
        <c:lblOffset val="100"/>
        <c:noMultiLvlLbl val="0"/>
      </c:catAx>
      <c:valAx>
        <c:axId val="746184688"/>
        <c:scaling>
          <c:orientation val="minMax"/>
          <c:max val="22"/>
          <c:min val="6"/>
        </c:scaling>
        <c:delete val="0"/>
        <c:axPos val="l"/>
        <c:numFmt formatCode="General" sourceLinked="1"/>
        <c:majorTickMark val="out"/>
        <c:minorTickMark val="none"/>
        <c:tickLblPos val="nextTo"/>
        <c:crossAx val="746194488"/>
        <c:crosses val="autoZero"/>
        <c:crossBetween val="between"/>
        <c:majorUnit val="4"/>
      </c:valAx>
      <c:spPr>
        <a:solidFill>
          <a:srgbClr val="FFFFFF"/>
        </a:solidFill>
      </c:spPr>
    </c:plotArea>
    <c:legend>
      <c:legendPos val="l"/>
      <c:legendEntry>
        <c:idx val="0"/>
        <c:delete val="1"/>
      </c:legendEntry>
      <c:layout>
        <c:manualLayout>
          <c:xMode val="edge"/>
          <c:yMode val="edge"/>
          <c:x val="0.52031503185575345"/>
          <c:y val="8.0023896439499975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842D-4FAE-A8A8-3DCE6D8F4980}"/>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842D-4FAE-A8A8-3DCE6D8F4980}"/>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150.78410392269689</c:v>
                </c:pt>
                <c:pt idx="1">
                  <c:v>134.82649347068548</c:v>
                </c:pt>
              </c:numCache>
            </c:numRef>
          </c:val>
          <c:extLst>
            <c:ext xmlns:c16="http://schemas.microsoft.com/office/drawing/2014/chart" uri="{C3380CC4-5D6E-409C-BE32-E72D297353CC}">
              <c16:uniqueId val="{00000003-842D-4FAE-A8A8-3DCE6D8F4980}"/>
            </c:ext>
          </c:extLst>
        </c:ser>
        <c:dLbls>
          <c:showLegendKey val="0"/>
          <c:showVal val="1"/>
          <c:showCatName val="0"/>
          <c:showSerName val="0"/>
          <c:showPercent val="0"/>
          <c:showBubbleSize val="0"/>
        </c:dLbls>
        <c:gapWidth val="50"/>
        <c:overlap val="88"/>
        <c:axId val="746189000"/>
        <c:axId val="746187040"/>
      </c:barChart>
      <c:catAx>
        <c:axId val="746189000"/>
        <c:scaling>
          <c:orientation val="minMax"/>
        </c:scaling>
        <c:delete val="0"/>
        <c:axPos val="b"/>
        <c:numFmt formatCode="General" sourceLinked="1"/>
        <c:majorTickMark val="out"/>
        <c:minorTickMark val="none"/>
        <c:tickLblPos val="nextTo"/>
        <c:crossAx val="746187040"/>
        <c:crosses val="autoZero"/>
        <c:auto val="0"/>
        <c:lblAlgn val="ctr"/>
        <c:lblOffset val="100"/>
        <c:tickLblSkip val="1"/>
        <c:tickMarkSkip val="1"/>
        <c:noMultiLvlLbl val="0"/>
      </c:catAx>
      <c:valAx>
        <c:axId val="746187040"/>
        <c:scaling>
          <c:orientation val="minMax"/>
          <c:max val="18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8900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5F25-40F5-BAD8-CCFD1023ACFA}"/>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5F25-40F5-BAD8-CCFD1023ACFA}"/>
              </c:ext>
            </c:extLst>
          </c:dPt>
          <c:dLbls>
            <c:dLbl>
              <c:idx val="1"/>
              <c:delete val="1"/>
              <c:extLst>
                <c:ext xmlns:c15="http://schemas.microsoft.com/office/drawing/2012/chart" uri="{CE6537A1-D6FC-4f65-9D91-7224C49458BB}"/>
                <c:ext xmlns:c16="http://schemas.microsoft.com/office/drawing/2014/chart" uri="{C3380CC4-5D6E-409C-BE32-E72D297353CC}">
                  <c16:uniqueId val="{00000003-5F25-40F5-BAD8-CCFD1023ACFA}"/>
                </c:ext>
              </c:extLst>
            </c:dLbl>
            <c:spPr>
              <a:noFill/>
              <a:ln>
                <a:noFill/>
              </a:ln>
              <a:effectLst/>
            </c:spPr>
            <c:txPr>
              <a:bodyPr/>
              <a:lstStyle/>
              <a:p>
                <a:pPr>
                  <a:defRPr>
                    <a:solidFill>
                      <a:schemeClr val="bg1"/>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11.062919640514423</c:v>
                </c:pt>
                <c:pt idx="1">
                  <c:v>88.937080359485577</c:v>
                </c:pt>
              </c:numCache>
            </c:numRef>
          </c:val>
          <c:extLst>
            <c:ext xmlns:c16="http://schemas.microsoft.com/office/drawing/2014/chart" uri="{C3380CC4-5D6E-409C-BE32-E72D297353CC}">
              <c16:uniqueId val="{00000004-5F25-40F5-BAD8-CCFD1023ACFA}"/>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100</c:v>
                </c:pt>
                <c:pt idx="17">
                  <c:v>100</c:v>
                </c:pt>
              </c:numCache>
            </c:numRef>
          </c:val>
          <c:extLst>
            <c:ext xmlns:c16="http://schemas.microsoft.com/office/drawing/2014/chart" uri="{C3380CC4-5D6E-409C-BE32-E72D297353CC}">
              <c16:uniqueId val="{00000000-1872-444D-B43E-28EEEB3B267D}"/>
            </c:ext>
          </c:extLst>
        </c:ser>
        <c:dLbls>
          <c:showLegendKey val="0"/>
          <c:showVal val="0"/>
          <c:showCatName val="0"/>
          <c:showSerName val="0"/>
          <c:showPercent val="0"/>
          <c:showBubbleSize val="0"/>
        </c:dLbls>
        <c:gapWidth val="0"/>
        <c:axId val="746192136"/>
        <c:axId val="746192920"/>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1872-444D-B43E-28EEEB3B267D}"/>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51.390098825000031</c:v>
                </c:pt>
                <c:pt idx="1">
                  <c:v>51.861548615989797</c:v>
                </c:pt>
                <c:pt idx="2">
                  <c:v>52.210519307197643</c:v>
                </c:pt>
                <c:pt idx="3">
                  <c:v>52.299877099718209</c:v>
                </c:pt>
                <c:pt idx="4">
                  <c:v>52.675339206370055</c:v>
                </c:pt>
                <c:pt idx="5">
                  <c:v>53.242179935258918</c:v>
                </c:pt>
                <c:pt idx="6">
                  <c:v>53.665752914451808</c:v>
                </c:pt>
                <c:pt idx="7">
                  <c:v>53.924364509446711</c:v>
                </c:pt>
                <c:pt idx="8">
                  <c:v>54.124015503609186</c:v>
                </c:pt>
                <c:pt idx="9">
                  <c:v>54.300186754467212</c:v>
                </c:pt>
                <c:pt idx="10">
                  <c:v>54.408690134784429</c:v>
                </c:pt>
                <c:pt idx="11">
                  <c:v>54.514713882628811</c:v>
                </c:pt>
                <c:pt idx="12">
                  <c:v>54.605239740678982</c:v>
                </c:pt>
                <c:pt idx="13">
                  <c:v>54.669875352278098</c:v>
                </c:pt>
                <c:pt idx="14">
                  <c:v>54.680037919223729</c:v>
                </c:pt>
                <c:pt idx="15">
                  <c:v>54.654826789229467</c:v>
                </c:pt>
                <c:pt idx="16">
                  <c:v>54.569046870546259</c:v>
                </c:pt>
                <c:pt idx="17">
                  <c:v>54.49857490469239</c:v>
                </c:pt>
              </c:numCache>
            </c:numRef>
          </c:val>
          <c:smooth val="0"/>
          <c:extLst>
            <c:ext xmlns:c16="http://schemas.microsoft.com/office/drawing/2014/chart" uri="{C3380CC4-5D6E-409C-BE32-E72D297353CC}">
              <c16:uniqueId val="{00000003-1872-444D-B43E-28EEEB3B267D}"/>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54.021364450000128</c:v>
                </c:pt>
                <c:pt idx="1">
                  <c:v>52.932815433534898</c:v>
                </c:pt>
                <c:pt idx="2">
                  <c:v>51.946163640157408</c:v>
                </c:pt>
                <c:pt idx="3">
                  <c:v>51.055128867543658</c:v>
                </c:pt>
                <c:pt idx="4">
                  <c:v>50.409812624749577</c:v>
                </c:pt>
                <c:pt idx="5">
                  <c:v>49.811192568606806</c:v>
                </c:pt>
                <c:pt idx="6">
                  <c:v>49.052280196680364</c:v>
                </c:pt>
                <c:pt idx="7">
                  <c:v>48.318338202834049</c:v>
                </c:pt>
                <c:pt idx="8">
                  <c:v>47.619180833244911</c:v>
                </c:pt>
                <c:pt idx="9">
                  <c:v>47.072329378224481</c:v>
                </c:pt>
                <c:pt idx="10">
                  <c:v>46.550241926874278</c:v>
                </c:pt>
                <c:pt idx="11">
                  <c:v>46.126278959020688</c:v>
                </c:pt>
                <c:pt idx="12">
                  <c:v>45.761951763242337</c:v>
                </c:pt>
                <c:pt idx="13">
                  <c:v>45.373190043456511</c:v>
                </c:pt>
                <c:pt idx="14">
                  <c:v>44.904666152251764</c:v>
                </c:pt>
                <c:pt idx="15">
                  <c:v>44.333898747457361</c:v>
                </c:pt>
                <c:pt idx="16">
                  <c:v>43.727385814178746</c:v>
                </c:pt>
                <c:pt idx="17">
                  <c:v>43.129593524967852</c:v>
                </c:pt>
              </c:numCache>
            </c:numRef>
          </c:val>
          <c:smooth val="0"/>
          <c:extLst>
            <c:ext xmlns:c16="http://schemas.microsoft.com/office/drawing/2014/chart" uri="{C3380CC4-5D6E-409C-BE32-E72D297353CC}">
              <c16:uniqueId val="{00000004-1872-444D-B43E-28EEEB3B267D}"/>
            </c:ext>
          </c:extLst>
        </c:ser>
        <c:dLbls>
          <c:showLegendKey val="0"/>
          <c:showVal val="0"/>
          <c:showCatName val="0"/>
          <c:showSerName val="0"/>
          <c:showPercent val="0"/>
          <c:showBubbleSize val="0"/>
        </c:dLbls>
        <c:marker val="1"/>
        <c:smooth val="0"/>
        <c:axId val="746192136"/>
        <c:axId val="746192920"/>
      </c:lineChart>
      <c:catAx>
        <c:axId val="746192136"/>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192920"/>
        <c:crosses val="autoZero"/>
        <c:auto val="1"/>
        <c:lblAlgn val="ctr"/>
        <c:lblOffset val="100"/>
        <c:noMultiLvlLbl val="0"/>
      </c:catAx>
      <c:valAx>
        <c:axId val="746192920"/>
        <c:scaling>
          <c:orientation val="minMax"/>
          <c:max val="72"/>
          <c:min val="37"/>
        </c:scaling>
        <c:delete val="0"/>
        <c:axPos val="l"/>
        <c:numFmt formatCode="General" sourceLinked="1"/>
        <c:majorTickMark val="out"/>
        <c:minorTickMark val="none"/>
        <c:tickLblPos val="nextTo"/>
        <c:crossAx val="746192136"/>
        <c:crosses val="autoZero"/>
        <c:crossBetween val="between"/>
        <c:majorUnit val="7"/>
      </c:valAx>
      <c:spPr>
        <a:solidFill>
          <a:srgbClr val="FFFFFF"/>
        </a:solidFill>
      </c:spPr>
    </c:plotArea>
    <c:legend>
      <c:legendPos val="l"/>
      <c:legendEntry>
        <c:idx val="0"/>
        <c:delete val="1"/>
      </c:legendEntry>
      <c:layout>
        <c:manualLayout>
          <c:xMode val="edge"/>
          <c:yMode val="edge"/>
          <c:x val="0.52936071254322514"/>
          <c:y val="7.1201664414797736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967F-451D-8C1D-A828F5482BAE}"/>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967F-451D-8C1D-A828F5482BAE}"/>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119.17869510253742</c:v>
                </c:pt>
                <c:pt idx="1">
                  <c:v>111.60227465414745</c:v>
                </c:pt>
              </c:numCache>
            </c:numRef>
          </c:val>
          <c:extLst>
            <c:ext xmlns:c16="http://schemas.microsoft.com/office/drawing/2014/chart" uri="{C3380CC4-5D6E-409C-BE32-E72D297353CC}">
              <c16:uniqueId val="{00000003-967F-451D-8C1D-A828F5482BAE}"/>
            </c:ext>
          </c:extLst>
        </c:ser>
        <c:dLbls>
          <c:showLegendKey val="0"/>
          <c:showVal val="1"/>
          <c:showCatName val="0"/>
          <c:showSerName val="0"/>
          <c:showPercent val="0"/>
          <c:showBubbleSize val="0"/>
        </c:dLbls>
        <c:gapWidth val="50"/>
        <c:overlap val="88"/>
        <c:axId val="746193704"/>
        <c:axId val="746194880"/>
      </c:barChart>
      <c:catAx>
        <c:axId val="746193704"/>
        <c:scaling>
          <c:orientation val="minMax"/>
        </c:scaling>
        <c:delete val="0"/>
        <c:axPos val="b"/>
        <c:numFmt formatCode="General" sourceLinked="1"/>
        <c:majorTickMark val="out"/>
        <c:minorTickMark val="none"/>
        <c:tickLblPos val="nextTo"/>
        <c:crossAx val="746194880"/>
        <c:crosses val="autoZero"/>
        <c:auto val="0"/>
        <c:lblAlgn val="ctr"/>
        <c:lblOffset val="100"/>
        <c:tickLblSkip val="1"/>
        <c:tickMarkSkip val="1"/>
        <c:noMultiLvlLbl val="0"/>
      </c:catAx>
      <c:valAx>
        <c:axId val="746194880"/>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93704"/>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A8FB-457C-A25B-DC55433CF08D}"/>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A8FB-457C-A25B-DC55433CF08D}"/>
              </c:ext>
            </c:extLst>
          </c:dPt>
          <c:dLbls>
            <c:dLbl>
              <c:idx val="1"/>
              <c:delete val="1"/>
              <c:extLst>
                <c:ext xmlns:c15="http://schemas.microsoft.com/office/drawing/2012/chart" uri="{CE6537A1-D6FC-4f65-9D91-7224C49458BB}"/>
                <c:ext xmlns:c16="http://schemas.microsoft.com/office/drawing/2014/chart" uri="{C3380CC4-5D6E-409C-BE32-E72D297353CC}">
                  <c16:uniqueId val="{00000003-A8FB-457C-A25B-DC55433CF08D}"/>
                </c:ext>
              </c:extLst>
            </c:dLbl>
            <c:spPr>
              <a:noFill/>
              <a:ln>
                <a:noFill/>
              </a:ln>
              <a:effectLst/>
            </c:spPr>
            <c:txPr>
              <a:bodyPr/>
              <a:lstStyle/>
              <a:p>
                <a:pPr>
                  <a:defRPr>
                    <a:solidFill>
                      <a:schemeClr val="bg1"/>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48.946343900890419</c:v>
                </c:pt>
                <c:pt idx="1">
                  <c:v>51.053656099109581</c:v>
                </c:pt>
              </c:numCache>
            </c:numRef>
          </c:val>
          <c:extLst>
            <c:ext xmlns:c16="http://schemas.microsoft.com/office/drawing/2014/chart" uri="{C3380CC4-5D6E-409C-BE32-E72D297353CC}">
              <c16:uniqueId val="{00000004-A8FB-457C-A25B-DC55433CF08D}"/>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Sheet1!$B$4:$W$4</c:f>
              <c:numCache>
                <c:formatCode>General</c:formatCode>
                <c:ptCount val="18"/>
                <c:pt idx="7">
                  <c:v>400</c:v>
                </c:pt>
                <c:pt idx="17">
                  <c:v>400</c:v>
                </c:pt>
              </c:numCache>
            </c:numRef>
          </c:val>
          <c:extLst>
            <c:ext xmlns:c16="http://schemas.microsoft.com/office/drawing/2014/chart" uri="{C3380CC4-5D6E-409C-BE32-E72D297353CC}">
              <c16:uniqueId val="{00000000-62E0-4A8F-B174-F32F6EAB1168}"/>
            </c:ext>
          </c:extLst>
        </c:ser>
        <c:dLbls>
          <c:showLegendKey val="0"/>
          <c:showVal val="0"/>
          <c:showCatName val="0"/>
          <c:showSerName val="0"/>
          <c:showPercent val="0"/>
          <c:showBubbleSize val="0"/>
        </c:dLbls>
        <c:gapWidth val="0"/>
        <c:axId val="598979808"/>
        <c:axId val="59898882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62E0-4A8F-B174-F32F6EAB1168}"/>
              </c:ext>
            </c:extLst>
          </c:dPt>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203.33974574999996</c:v>
                </c:pt>
                <c:pt idx="1">
                  <c:v>201.82922254940408</c:v>
                </c:pt>
                <c:pt idx="2">
                  <c:v>198.87831813948094</c:v>
                </c:pt>
                <c:pt idx="3">
                  <c:v>196.36108781695259</c:v>
                </c:pt>
                <c:pt idx="4">
                  <c:v>194.46772443149538</c:v>
                </c:pt>
                <c:pt idx="5">
                  <c:v>192.71590882010588</c:v>
                </c:pt>
                <c:pt idx="6">
                  <c:v>190.45212774787805</c:v>
                </c:pt>
                <c:pt idx="7">
                  <c:v>187.5381899375005</c:v>
                </c:pt>
                <c:pt idx="8">
                  <c:v>184.31422046834396</c:v>
                </c:pt>
                <c:pt idx="9">
                  <c:v>181.01090944797542</c:v>
                </c:pt>
                <c:pt idx="10">
                  <c:v>177.66246883256227</c:v>
                </c:pt>
                <c:pt idx="11">
                  <c:v>174.23338627246468</c:v>
                </c:pt>
                <c:pt idx="12">
                  <c:v>170.88577567746296</c:v>
                </c:pt>
                <c:pt idx="13">
                  <c:v>167.59888612013819</c:v>
                </c:pt>
                <c:pt idx="14">
                  <c:v>164.31453098300861</c:v>
                </c:pt>
                <c:pt idx="15">
                  <c:v>161.07819632172865</c:v>
                </c:pt>
                <c:pt idx="16">
                  <c:v>157.84946047641105</c:v>
                </c:pt>
                <c:pt idx="17">
                  <c:v>154.73368053932887</c:v>
                </c:pt>
              </c:numCache>
            </c:numRef>
          </c:val>
          <c:smooth val="0"/>
          <c:extLst>
            <c:ext xmlns:c16="http://schemas.microsoft.com/office/drawing/2014/chart" uri="{C3380CC4-5D6E-409C-BE32-E72D297353CC}">
              <c16:uniqueId val="{00000003-62E0-4A8F-B174-F32F6EAB1168}"/>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223.019792225</c:v>
                </c:pt>
                <c:pt idx="1">
                  <c:v>220.17627491671172</c:v>
                </c:pt>
                <c:pt idx="2">
                  <c:v>218.26541874093743</c:v>
                </c:pt>
                <c:pt idx="3">
                  <c:v>216.89695803604596</c:v>
                </c:pt>
                <c:pt idx="4">
                  <c:v>216.42782163730615</c:v>
                </c:pt>
                <c:pt idx="5">
                  <c:v>216.01003529127698</c:v>
                </c:pt>
                <c:pt idx="6">
                  <c:v>214.98895285562222</c:v>
                </c:pt>
                <c:pt idx="7">
                  <c:v>213.77774360164065</c:v>
                </c:pt>
                <c:pt idx="8">
                  <c:v>212.53445236073773</c:v>
                </c:pt>
                <c:pt idx="9">
                  <c:v>211.95195541198237</c:v>
                </c:pt>
                <c:pt idx="10">
                  <c:v>211.58395585465732</c:v>
                </c:pt>
                <c:pt idx="11">
                  <c:v>211.8160214001324</c:v>
                </c:pt>
                <c:pt idx="12">
                  <c:v>212.49826489278837</c:v>
                </c:pt>
                <c:pt idx="13">
                  <c:v>213.27793696379422</c:v>
                </c:pt>
                <c:pt idx="14">
                  <c:v>213.73183453519624</c:v>
                </c:pt>
                <c:pt idx="15">
                  <c:v>213.53831317009571</c:v>
                </c:pt>
                <c:pt idx="16">
                  <c:v>212.91104264250643</c:v>
                </c:pt>
                <c:pt idx="17">
                  <c:v>212.02752508964011</c:v>
                </c:pt>
              </c:numCache>
            </c:numRef>
          </c:val>
          <c:smooth val="0"/>
          <c:extLst>
            <c:ext xmlns:c16="http://schemas.microsoft.com/office/drawing/2014/chart" uri="{C3380CC4-5D6E-409C-BE32-E72D297353CC}">
              <c16:uniqueId val="{00000004-62E0-4A8F-B174-F32F6EAB1168}"/>
            </c:ext>
          </c:extLst>
        </c:ser>
        <c:dLbls>
          <c:showLegendKey val="0"/>
          <c:showVal val="0"/>
          <c:showCatName val="0"/>
          <c:showSerName val="0"/>
          <c:showPercent val="0"/>
          <c:showBubbleSize val="0"/>
        </c:dLbls>
        <c:marker val="1"/>
        <c:smooth val="0"/>
        <c:axId val="598979808"/>
        <c:axId val="598988824"/>
      </c:lineChart>
      <c:catAx>
        <c:axId val="59897980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598988824"/>
        <c:crosses val="autoZero"/>
        <c:auto val="1"/>
        <c:lblAlgn val="ctr"/>
        <c:lblOffset val="100"/>
        <c:noMultiLvlLbl val="0"/>
      </c:catAx>
      <c:valAx>
        <c:axId val="598988824"/>
        <c:scaling>
          <c:orientation val="minMax"/>
          <c:max val="300"/>
          <c:min val="120"/>
        </c:scaling>
        <c:delete val="0"/>
        <c:axPos val="l"/>
        <c:numFmt formatCode="General" sourceLinked="1"/>
        <c:majorTickMark val="out"/>
        <c:minorTickMark val="none"/>
        <c:tickLblPos val="nextTo"/>
        <c:crossAx val="598979808"/>
        <c:crosses val="autoZero"/>
        <c:crossBetween val="between"/>
        <c:majorUnit val="30"/>
      </c:valAx>
      <c:spPr>
        <a:solidFill>
          <a:srgbClr val="FFFFFF"/>
        </a:solidFill>
      </c:spPr>
    </c:plotArea>
    <c:legend>
      <c:legendPos val="l"/>
      <c:legendEntry>
        <c:idx val="0"/>
        <c:delete val="1"/>
      </c:legendEntry>
      <c:layout>
        <c:manualLayout>
          <c:xMode val="edge"/>
          <c:yMode val="edge"/>
          <c:x val="0.53840639323069694"/>
          <c:y val="7.1201664414797736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p2022</c:v>
                </c:pt>
                <c:pt idx="1">
                  <c:v>p2024</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3E78-4C2C-8D31-E57B39A9B8C3}"/>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3E78-4C2C-8D31-E57B39A9B8C3}"/>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p2022</c:v>
                </c:pt>
                <c:pt idx="1">
                  <c:v>p2024</c:v>
                </c:pt>
              </c:strCache>
            </c:strRef>
          </c:cat>
          <c:val>
            <c:numRef>
              <c:f>Sheet1!$C$2:$C$3</c:f>
              <c:numCache>
                <c:formatCode>0</c:formatCode>
                <c:ptCount val="2"/>
                <c:pt idx="0">
                  <c:v>85.08170539085063</c:v>
                </c:pt>
                <c:pt idx="1">
                  <c:v>87.725778548287209</c:v>
                </c:pt>
              </c:numCache>
            </c:numRef>
          </c:val>
          <c:extLst>
            <c:ext xmlns:c16="http://schemas.microsoft.com/office/drawing/2014/chart" uri="{C3380CC4-5D6E-409C-BE32-E72D297353CC}">
              <c16:uniqueId val="{00000003-3E78-4C2C-8D31-E57B39A9B8C3}"/>
            </c:ext>
          </c:extLst>
        </c:ser>
        <c:dLbls>
          <c:showLegendKey val="0"/>
          <c:showVal val="1"/>
          <c:showCatName val="0"/>
          <c:showSerName val="0"/>
          <c:showPercent val="0"/>
          <c:showBubbleSize val="0"/>
        </c:dLbls>
        <c:gapWidth val="50"/>
        <c:overlap val="88"/>
        <c:axId val="598986080"/>
        <c:axId val="598989216"/>
      </c:barChart>
      <c:catAx>
        <c:axId val="598986080"/>
        <c:scaling>
          <c:orientation val="minMax"/>
        </c:scaling>
        <c:delete val="0"/>
        <c:axPos val="b"/>
        <c:numFmt formatCode="General" sourceLinked="1"/>
        <c:majorTickMark val="out"/>
        <c:minorTickMark val="none"/>
        <c:tickLblPos val="nextTo"/>
        <c:crossAx val="598989216"/>
        <c:crosses val="autoZero"/>
        <c:auto val="0"/>
        <c:lblAlgn val="ctr"/>
        <c:lblOffset val="100"/>
        <c:tickLblSkip val="1"/>
        <c:tickMarkSkip val="1"/>
        <c:noMultiLvlLbl val="0"/>
      </c:catAx>
      <c:valAx>
        <c:axId val="598989216"/>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59898608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876379487651769"/>
          <c:y val="1.4470284237726097E-2"/>
          <c:w val="0.41639502965909331"/>
          <c:h val="0.93414544112218534"/>
        </c:manualLayout>
      </c:layout>
      <c:barChart>
        <c:barDir val="bar"/>
        <c:grouping val="clustered"/>
        <c:varyColors val="0"/>
        <c:ser>
          <c:idx val="0"/>
          <c:order val="0"/>
          <c:tx>
            <c:strRef>
              <c:f>Sheet1!$B$1</c:f>
              <c:strCache>
                <c:ptCount val="1"/>
                <c:pt idx="0">
                  <c:v>Series 1</c:v>
                </c:pt>
              </c:strCache>
            </c:strRef>
          </c:tx>
          <c:spPr>
            <a:solidFill>
              <a:srgbClr val="002060"/>
            </a:solidFill>
            <a:ln>
              <a:noFill/>
            </a:ln>
            <a:effectLst/>
          </c:spPr>
          <c:invertIfNegative val="0"/>
          <c:dLbls>
            <c:dLbl>
              <c:idx val="8"/>
              <c:layout>
                <c:manualLayout>
                  <c:x val="-4.275099415390051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27-4AC7-A143-CC0E004F6888}"/>
                </c:ext>
              </c:extLst>
            </c:dLbl>
            <c:dLbl>
              <c:idx val="9"/>
              <c:layout>
                <c:manualLayout>
                  <c:x val="3.898635477582845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27-4AC7-A143-CC0E004F6888}"/>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Drošība / Glābšanas d. / Aizsardzība</c:v>
                </c:pt>
                <c:pt idx="1">
                  <c:v>Valsts pārvalde</c:v>
                </c:pt>
                <c:pt idx="2">
                  <c:v>Tirdzniecība / Mārketings</c:v>
                </c:pt>
                <c:pt idx="3">
                  <c:v>Izglītība / Zinātne</c:v>
                </c:pt>
                <c:pt idx="4">
                  <c:v>Lauksaimniecība / Vide</c:v>
                </c:pt>
                <c:pt idx="5">
                  <c:v>Veselības aprūpe / Sociālā aprūpe</c:v>
                </c:pt>
                <c:pt idx="6">
                  <c:v>Informācijas tehnoloģijas / Telekom.</c:v>
                </c:pt>
                <c:pt idx="7">
                  <c:v>Pakalpojumi</c:v>
                </c:pt>
                <c:pt idx="8">
                  <c:v>Ēdināšana / Pārtikas rūpniecība</c:v>
                </c:pt>
                <c:pt idx="9">
                  <c:v>Pārējās nozares</c:v>
                </c:pt>
                <c:pt idx="10">
                  <c:v>Transports / Loģistika</c:v>
                </c:pt>
                <c:pt idx="11">
                  <c:v>Ražošana</c:v>
                </c:pt>
                <c:pt idx="12">
                  <c:v>Būvniecība / Nekustamais īpašums</c:v>
                </c:pt>
              </c:strCache>
            </c:strRef>
          </c:cat>
          <c:val>
            <c:numRef>
              <c:f>Sheet1!$B$2:$B$14</c:f>
              <c:numCache>
                <c:formatCode>General</c:formatCode>
                <c:ptCount val="13"/>
                <c:pt idx="0">
                  <c:v>313</c:v>
                </c:pt>
                <c:pt idx="1">
                  <c:v>436</c:v>
                </c:pt>
                <c:pt idx="2">
                  <c:v>622</c:v>
                </c:pt>
                <c:pt idx="3">
                  <c:v>651</c:v>
                </c:pt>
                <c:pt idx="4">
                  <c:v>677</c:v>
                </c:pt>
                <c:pt idx="5">
                  <c:v>759</c:v>
                </c:pt>
                <c:pt idx="6">
                  <c:v>766</c:v>
                </c:pt>
                <c:pt idx="7">
                  <c:v>994</c:v>
                </c:pt>
                <c:pt idx="8">
                  <c:v>1098</c:v>
                </c:pt>
                <c:pt idx="9">
                  <c:v>1164</c:v>
                </c:pt>
                <c:pt idx="10">
                  <c:v>2611</c:v>
                </c:pt>
                <c:pt idx="11">
                  <c:v>3847</c:v>
                </c:pt>
                <c:pt idx="12">
                  <c:v>5153</c:v>
                </c:pt>
              </c:numCache>
            </c:numRef>
          </c:val>
          <c:extLst>
            <c:ext xmlns:c16="http://schemas.microsoft.com/office/drawing/2014/chart" uri="{C3380CC4-5D6E-409C-BE32-E72D297353CC}">
              <c16:uniqueId val="{00000002-8827-4AC7-A143-CC0E004F6888}"/>
            </c:ext>
          </c:extLst>
        </c:ser>
        <c:dLbls>
          <c:showLegendKey val="0"/>
          <c:showVal val="0"/>
          <c:showCatName val="0"/>
          <c:showSerName val="0"/>
          <c:showPercent val="0"/>
          <c:showBubbleSize val="0"/>
        </c:dLbls>
        <c:gapWidth val="82"/>
        <c:axId val="827992240"/>
        <c:axId val="550958816"/>
      </c:barChart>
      <c:catAx>
        <c:axId val="827992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crossAx val="550958816"/>
        <c:crosses val="autoZero"/>
        <c:auto val="1"/>
        <c:lblAlgn val="ctr"/>
        <c:lblOffset val="100"/>
        <c:noMultiLvlLbl val="0"/>
      </c:catAx>
      <c:valAx>
        <c:axId val="550958816"/>
        <c:scaling>
          <c:orientation val="minMax"/>
        </c:scaling>
        <c:delete val="1"/>
        <c:axPos val="b"/>
        <c:numFmt formatCode="General" sourceLinked="1"/>
        <c:majorTickMark val="none"/>
        <c:minorTickMark val="none"/>
        <c:tickLblPos val="nextTo"/>
        <c:crossAx val="827992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91.73810356909064</c:v>
                </c:pt>
                <c:pt idx="1">
                  <c:v>92.231339005248259</c:v>
                </c:pt>
                <c:pt idx="2">
                  <c:v>92.969014723137377</c:v>
                </c:pt>
                <c:pt idx="3">
                  <c:v>93.873031570820089</c:v>
                </c:pt>
                <c:pt idx="4">
                  <c:v>95.006630059002433</c:v>
                </c:pt>
                <c:pt idx="5">
                  <c:v>96.140761613149863</c:v>
                </c:pt>
                <c:pt idx="6">
                  <c:v>96.780823270879651</c:v>
                </c:pt>
                <c:pt idx="7">
                  <c:v>97.172642351228816</c:v>
                </c:pt>
                <c:pt idx="8">
                  <c:v>97.366141428001498</c:v>
                </c:pt>
                <c:pt idx="9">
                  <c:v>97.51559882039264</c:v>
                </c:pt>
                <c:pt idx="10">
                  <c:v>97.576362900184051</c:v>
                </c:pt>
                <c:pt idx="11">
                  <c:v>97.667501011107845</c:v>
                </c:pt>
                <c:pt idx="12">
                  <c:v>97.777813217612831</c:v>
                </c:pt>
                <c:pt idx="13">
                  <c:v>97.88467159511606</c:v>
                </c:pt>
                <c:pt idx="14">
                  <c:v>97.955701611713593</c:v>
                </c:pt>
                <c:pt idx="15">
                  <c:v>98.035005267590464</c:v>
                </c:pt>
                <c:pt idx="16">
                  <c:v>98.085201889319265</c:v>
                </c:pt>
                <c:pt idx="17">
                  <c:v>98.210043488505818</c:v>
                </c:pt>
              </c:numCache>
            </c:numRef>
          </c:val>
          <c:smooth val="0"/>
          <c:extLst>
            <c:ext xmlns:c16="http://schemas.microsoft.com/office/drawing/2014/chart" uri="{C3380CC4-5D6E-409C-BE32-E72D297353CC}">
              <c16:uniqueId val="{00000000-070D-46FF-A98B-0EB55FE16B4B}"/>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95.421124268409272</c:v>
                </c:pt>
                <c:pt idx="1">
                  <c:v>95.71347477252057</c:v>
                </c:pt>
                <c:pt idx="2">
                  <c:v>96.216795781833966</c:v>
                </c:pt>
                <c:pt idx="3">
                  <c:v>96.734290355047904</c:v>
                </c:pt>
                <c:pt idx="4">
                  <c:v>97.445933581624828</c:v>
                </c:pt>
                <c:pt idx="5">
                  <c:v>97.977556442018937</c:v>
                </c:pt>
                <c:pt idx="6">
                  <c:v>98.028010253885171</c:v>
                </c:pt>
                <c:pt idx="7">
                  <c:v>97.96851923883618</c:v>
                </c:pt>
                <c:pt idx="8">
                  <c:v>97.861939128209784</c:v>
                </c:pt>
                <c:pt idx="9">
                  <c:v>97.955680794288128</c:v>
                </c:pt>
                <c:pt idx="10">
                  <c:v>97.956013787248281</c:v>
                </c:pt>
                <c:pt idx="11">
                  <c:v>98.007624295338019</c:v>
                </c:pt>
                <c:pt idx="12">
                  <c:v>98.069601848208478</c:v>
                </c:pt>
                <c:pt idx="13">
                  <c:v>98.105702735855957</c:v>
                </c:pt>
                <c:pt idx="14">
                  <c:v>98.206618723700174</c:v>
                </c:pt>
                <c:pt idx="15">
                  <c:v>98.338775807245497</c:v>
                </c:pt>
                <c:pt idx="16">
                  <c:v>98.507800089626883</c:v>
                </c:pt>
                <c:pt idx="17">
                  <c:v>98.679517377812687</c:v>
                </c:pt>
              </c:numCache>
            </c:numRef>
          </c:val>
          <c:smooth val="0"/>
          <c:extLst>
            <c:ext xmlns:c16="http://schemas.microsoft.com/office/drawing/2014/chart" uri="{C3380CC4-5D6E-409C-BE32-E72D297353CC}">
              <c16:uniqueId val="{00000001-070D-46FF-A98B-0EB55FE16B4B}"/>
            </c:ext>
          </c:extLst>
        </c:ser>
        <c:dLbls>
          <c:showLegendKey val="0"/>
          <c:showVal val="0"/>
          <c:showCatName val="0"/>
          <c:showSerName val="0"/>
          <c:showPercent val="0"/>
          <c:showBubbleSize val="0"/>
        </c:dLbls>
        <c:smooth val="0"/>
        <c:axId val="598979024"/>
        <c:axId val="598984904"/>
      </c:lineChart>
      <c:catAx>
        <c:axId val="598979024"/>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98984904"/>
        <c:crosses val="autoZero"/>
        <c:auto val="1"/>
        <c:lblAlgn val="ctr"/>
        <c:lblOffset val="0"/>
        <c:tickLblSkip val="2"/>
        <c:tickMarkSkip val="1"/>
        <c:noMultiLvlLbl val="1"/>
      </c:catAx>
      <c:valAx>
        <c:axId val="598984904"/>
        <c:scaling>
          <c:orientation val="minMax"/>
          <c:max val="105"/>
          <c:min val="90"/>
        </c:scaling>
        <c:delete val="0"/>
        <c:axPos val="l"/>
        <c:numFmt formatCode="0" sourceLinked="0"/>
        <c:majorTickMark val="out"/>
        <c:minorTickMark val="none"/>
        <c:tickLblPos val="nextTo"/>
        <c:txPr>
          <a:bodyPr rot="0" vert="horz"/>
          <a:lstStyle/>
          <a:p>
            <a:pPr>
              <a:defRPr/>
            </a:pPr>
            <a:endParaRPr lang="lv-LV"/>
          </a:p>
        </c:txPr>
        <c:crossAx val="598979024"/>
        <c:crossesAt val="1"/>
        <c:crossBetween val="between"/>
        <c:majorUnit val="5"/>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183.68374432512806</c:v>
                </c:pt>
                <c:pt idx="1">
                  <c:v>185.77742887800926</c:v>
                </c:pt>
                <c:pt idx="2">
                  <c:v>187.7525272487523</c:v>
                </c:pt>
                <c:pt idx="3">
                  <c:v>189.40332479608773</c:v>
                </c:pt>
                <c:pt idx="4">
                  <c:v>191.90861651945386</c:v>
                </c:pt>
                <c:pt idx="5">
                  <c:v>194.88883375443623</c:v>
                </c:pt>
                <c:pt idx="6">
                  <c:v>197.3135539196125</c:v>
                </c:pt>
                <c:pt idx="7">
                  <c:v>199.12406825788617</c:v>
                </c:pt>
                <c:pt idx="8">
                  <c:v>200.45515504717542</c:v>
                </c:pt>
                <c:pt idx="9">
                  <c:v>201.50662460437331</c:v>
                </c:pt>
                <c:pt idx="10">
                  <c:v>202.30679258411195</c:v>
                </c:pt>
                <c:pt idx="11">
                  <c:v>203.15775539293787</c:v>
                </c:pt>
                <c:pt idx="12">
                  <c:v>203.99451592756873</c:v>
                </c:pt>
                <c:pt idx="13">
                  <c:v>204.82023589201049</c:v>
                </c:pt>
                <c:pt idx="14">
                  <c:v>205.56775846800082</c:v>
                </c:pt>
                <c:pt idx="15">
                  <c:v>206.33797100553633</c:v>
                </c:pt>
                <c:pt idx="16">
                  <c:v>207.02412947080506</c:v>
                </c:pt>
                <c:pt idx="17">
                  <c:v>207.82660457301762</c:v>
                </c:pt>
              </c:numCache>
            </c:numRef>
          </c:val>
          <c:smooth val="0"/>
          <c:extLst>
            <c:ext xmlns:c16="http://schemas.microsoft.com/office/drawing/2014/chart" uri="{C3380CC4-5D6E-409C-BE32-E72D297353CC}">
              <c16:uniqueId val="{00000000-FE9F-45FF-8439-71CFD3092B49}"/>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189.05551766479937</c:v>
                </c:pt>
                <c:pt idx="1">
                  <c:v>190.03246102316831</c:v>
                </c:pt>
                <c:pt idx="2">
                  <c:v>191.67792011191264</c:v>
                </c:pt>
                <c:pt idx="3">
                  <c:v>193.52948050577382</c:v>
                </c:pt>
                <c:pt idx="4">
                  <c:v>195.90137113317749</c:v>
                </c:pt>
                <c:pt idx="5">
                  <c:v>198.26318417352476</c:v>
                </c:pt>
                <c:pt idx="6">
                  <c:v>200.08648953798789</c:v>
                </c:pt>
                <c:pt idx="7">
                  <c:v>201.75833284576768</c:v>
                </c:pt>
                <c:pt idx="8">
                  <c:v>203.21311279253106</c:v>
                </c:pt>
                <c:pt idx="9">
                  <c:v>204.8565140027512</c:v>
                </c:pt>
                <c:pt idx="10">
                  <c:v>206.26252063225525</c:v>
                </c:pt>
                <c:pt idx="11">
                  <c:v>207.74361801825361</c:v>
                </c:pt>
                <c:pt idx="12">
                  <c:v>209.26005006326676</c:v>
                </c:pt>
                <c:pt idx="13">
                  <c:v>210.74570023194309</c:v>
                </c:pt>
                <c:pt idx="14">
                  <c:v>212.45738599500353</c:v>
                </c:pt>
                <c:pt idx="15">
                  <c:v>214.28472199564735</c:v>
                </c:pt>
                <c:pt idx="16">
                  <c:v>216.17148913145397</c:v>
                </c:pt>
                <c:pt idx="17">
                  <c:v>217.92347047411303</c:v>
                </c:pt>
              </c:numCache>
            </c:numRef>
          </c:val>
          <c:smooth val="0"/>
          <c:extLst>
            <c:ext xmlns:c16="http://schemas.microsoft.com/office/drawing/2014/chart" uri="{C3380CC4-5D6E-409C-BE32-E72D297353CC}">
              <c16:uniqueId val="{00000001-FE9F-45FF-8439-71CFD3092B49}"/>
            </c:ext>
          </c:extLst>
        </c:ser>
        <c:dLbls>
          <c:showLegendKey val="0"/>
          <c:showVal val="0"/>
          <c:showCatName val="0"/>
          <c:showSerName val="0"/>
          <c:showPercent val="0"/>
          <c:showBubbleSize val="0"/>
        </c:dLbls>
        <c:smooth val="0"/>
        <c:axId val="598986472"/>
        <c:axId val="598987256"/>
      </c:lineChart>
      <c:catAx>
        <c:axId val="598986472"/>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98987256"/>
        <c:crosses val="autoZero"/>
        <c:auto val="1"/>
        <c:lblAlgn val="ctr"/>
        <c:lblOffset val="0"/>
        <c:tickLblSkip val="2"/>
        <c:tickMarkSkip val="2"/>
        <c:noMultiLvlLbl val="1"/>
      </c:catAx>
      <c:valAx>
        <c:axId val="598987256"/>
        <c:scaling>
          <c:orientation val="minMax"/>
          <c:max val="230"/>
          <c:min val="180"/>
        </c:scaling>
        <c:delete val="0"/>
        <c:axPos val="l"/>
        <c:numFmt formatCode="0" sourceLinked="0"/>
        <c:majorTickMark val="out"/>
        <c:minorTickMark val="none"/>
        <c:tickLblPos val="nextTo"/>
        <c:txPr>
          <a:bodyPr rot="0" vert="horz"/>
          <a:lstStyle/>
          <a:p>
            <a:pPr>
              <a:defRPr/>
            </a:pPr>
            <a:endParaRPr lang="lv-LV"/>
          </a:p>
        </c:txPr>
        <c:crossAx val="598986472"/>
        <c:crossesAt val="1"/>
        <c:crossBetween val="between"/>
        <c:majorUnit val="10"/>
      </c:valAx>
      <c:spPr>
        <a:noFill/>
        <a:ln w="6335">
          <a:noFill/>
        </a:ln>
      </c:spPr>
    </c:plotArea>
    <c:legend>
      <c:legendPos val="t"/>
      <c:layout>
        <c:manualLayout>
          <c:xMode val="edge"/>
          <c:yMode val="edge"/>
          <c:x val="0.2902700213763707"/>
          <c:y val="3.478024674591098E-2"/>
          <c:w val="0.50226321132565288"/>
          <c:h val="0.22811681076125775"/>
        </c:manualLayout>
      </c:layout>
      <c:overlay val="0"/>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113.06154767112515</c:v>
                </c:pt>
                <c:pt idx="1">
                  <c:v>115.06374164526156</c:v>
                </c:pt>
                <c:pt idx="2">
                  <c:v>117.3258459059326</c:v>
                </c:pt>
                <c:pt idx="3">
                  <c:v>119.58611162498757</c:v>
                </c:pt>
                <c:pt idx="4">
                  <c:v>122.35426557043426</c:v>
                </c:pt>
                <c:pt idx="5">
                  <c:v>125.38592850418183</c:v>
                </c:pt>
                <c:pt idx="6">
                  <c:v>128.05959666619117</c:v>
                </c:pt>
                <c:pt idx="7">
                  <c:v>130.37614983189962</c:v>
                </c:pt>
                <c:pt idx="8">
                  <c:v>132.36838123933197</c:v>
                </c:pt>
                <c:pt idx="9">
                  <c:v>134.2294962659121</c:v>
                </c:pt>
                <c:pt idx="10">
                  <c:v>135.92571537693507</c:v>
                </c:pt>
                <c:pt idx="11">
                  <c:v>137.6399707794682</c:v>
                </c:pt>
                <c:pt idx="12">
                  <c:v>139.37166260246295</c:v>
                </c:pt>
                <c:pt idx="13">
                  <c:v>141.08717580067227</c:v>
                </c:pt>
                <c:pt idx="14">
                  <c:v>142.73008139827269</c:v>
                </c:pt>
                <c:pt idx="15">
                  <c:v>144.38113300581011</c:v>
                </c:pt>
                <c:pt idx="16">
                  <c:v>145.98619060235725</c:v>
                </c:pt>
                <c:pt idx="17">
                  <c:v>147.70760955499114</c:v>
                </c:pt>
              </c:numCache>
            </c:numRef>
          </c:val>
          <c:smooth val="0"/>
          <c:extLst>
            <c:ext xmlns:c16="http://schemas.microsoft.com/office/drawing/2014/chart" uri="{C3380CC4-5D6E-409C-BE32-E72D297353CC}">
              <c16:uniqueId val="{00000000-E837-4FA3-8A97-D57AFB8A9F97}"/>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119.13564755739112</c:v>
                </c:pt>
                <c:pt idx="1">
                  <c:v>120.4042321496685</c:v>
                </c:pt>
                <c:pt idx="2">
                  <c:v>121.71881774928366</c:v>
                </c:pt>
                <c:pt idx="3">
                  <c:v>123.33080925035532</c:v>
                </c:pt>
                <c:pt idx="4">
                  <c:v>125.40618647622851</c:v>
                </c:pt>
                <c:pt idx="5">
                  <c:v>127.35141654496273</c:v>
                </c:pt>
                <c:pt idx="6">
                  <c:v>128.99547608916015</c:v>
                </c:pt>
                <c:pt idx="7">
                  <c:v>130.49825834713997</c:v>
                </c:pt>
                <c:pt idx="8">
                  <c:v>131.78459250766576</c:v>
                </c:pt>
                <c:pt idx="9">
                  <c:v>133.37635989943246</c:v>
                </c:pt>
                <c:pt idx="10">
                  <c:v>134.92399895325084</c:v>
                </c:pt>
                <c:pt idx="11">
                  <c:v>136.54608925176589</c:v>
                </c:pt>
                <c:pt idx="12">
                  <c:v>138.18473304602756</c:v>
                </c:pt>
                <c:pt idx="13">
                  <c:v>139.78018739509548</c:v>
                </c:pt>
                <c:pt idx="14">
                  <c:v>141.41426511390682</c:v>
                </c:pt>
                <c:pt idx="15">
                  <c:v>143.0366740128519</c:v>
                </c:pt>
                <c:pt idx="16">
                  <c:v>144.71103063294152</c:v>
                </c:pt>
                <c:pt idx="17">
                  <c:v>146.36399033460413</c:v>
                </c:pt>
              </c:numCache>
            </c:numRef>
          </c:val>
          <c:smooth val="0"/>
          <c:extLst>
            <c:ext xmlns:c16="http://schemas.microsoft.com/office/drawing/2014/chart" uri="{C3380CC4-5D6E-409C-BE32-E72D297353CC}">
              <c16:uniqueId val="{00000001-E837-4FA3-8A97-D57AFB8A9F97}"/>
            </c:ext>
          </c:extLst>
        </c:ser>
        <c:dLbls>
          <c:showLegendKey val="0"/>
          <c:showVal val="0"/>
          <c:showCatName val="0"/>
          <c:showSerName val="0"/>
          <c:showPercent val="0"/>
          <c:showBubbleSize val="0"/>
        </c:dLbls>
        <c:smooth val="0"/>
        <c:axId val="598990000"/>
        <c:axId val="598990392"/>
      </c:lineChart>
      <c:catAx>
        <c:axId val="598990000"/>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98990392"/>
        <c:crosses val="autoZero"/>
        <c:auto val="1"/>
        <c:lblAlgn val="ctr"/>
        <c:lblOffset val="0"/>
        <c:tickLblSkip val="2"/>
        <c:tickMarkSkip val="1"/>
        <c:noMultiLvlLbl val="1"/>
      </c:catAx>
      <c:valAx>
        <c:axId val="598990392"/>
        <c:scaling>
          <c:orientation val="minMax"/>
          <c:min val="100"/>
        </c:scaling>
        <c:delete val="0"/>
        <c:axPos val="l"/>
        <c:numFmt formatCode="0" sourceLinked="0"/>
        <c:majorTickMark val="out"/>
        <c:minorTickMark val="none"/>
        <c:tickLblPos val="nextTo"/>
        <c:txPr>
          <a:bodyPr rot="0" vert="horz"/>
          <a:lstStyle/>
          <a:p>
            <a:pPr>
              <a:defRPr/>
            </a:pPr>
            <a:endParaRPr lang="lv-LV"/>
          </a:p>
        </c:txPr>
        <c:crossAx val="598990000"/>
        <c:crossesAt val="1"/>
        <c:crossBetween val="between"/>
        <c:majorUnit val="15"/>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47.414839096922627</c:v>
                </c:pt>
                <c:pt idx="1">
                  <c:v>46.256940157341866</c:v>
                </c:pt>
                <c:pt idx="2">
                  <c:v>45.135468960174983</c:v>
                </c:pt>
                <c:pt idx="3">
                  <c:v>44.013969442364498</c:v>
                </c:pt>
                <c:pt idx="4">
                  <c:v>43.10662993560311</c:v>
                </c:pt>
                <c:pt idx="5">
                  <c:v>42.277622109855265</c:v>
                </c:pt>
                <c:pt idx="6">
                  <c:v>41.325727615293211</c:v>
                </c:pt>
                <c:pt idx="7">
                  <c:v>40.246605572341061</c:v>
                </c:pt>
                <c:pt idx="8">
                  <c:v>39.072106985345755</c:v>
                </c:pt>
                <c:pt idx="9">
                  <c:v>37.875668989031205</c:v>
                </c:pt>
                <c:pt idx="10">
                  <c:v>36.650017239134336</c:v>
                </c:pt>
                <c:pt idx="11">
                  <c:v>35.416573947639009</c:v>
                </c:pt>
                <c:pt idx="12">
                  <c:v>34.182583088392242</c:v>
                </c:pt>
                <c:pt idx="13">
                  <c:v>32.93747475933084</c:v>
                </c:pt>
                <c:pt idx="14">
                  <c:v>31.678184125384622</c:v>
                </c:pt>
                <c:pt idx="15">
                  <c:v>30.418284135068525</c:v>
                </c:pt>
                <c:pt idx="16">
                  <c:v>29.152567701388431</c:v>
                </c:pt>
                <c:pt idx="17">
                  <c:v>27.913138690848111</c:v>
                </c:pt>
              </c:numCache>
            </c:numRef>
          </c:val>
          <c:smooth val="0"/>
          <c:extLst>
            <c:ext xmlns:c16="http://schemas.microsoft.com/office/drawing/2014/chart" uri="{C3380CC4-5D6E-409C-BE32-E72D297353CC}">
              <c16:uniqueId val="{00000000-21A6-4207-8ED5-9CA6084DC682}"/>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50.846603221568913</c:v>
                </c:pt>
                <c:pt idx="1">
                  <c:v>50.622362840484818</c:v>
                </c:pt>
                <c:pt idx="2">
                  <c:v>50.490049174726288</c:v>
                </c:pt>
                <c:pt idx="3">
                  <c:v>50.234452020015247</c:v>
                </c:pt>
                <c:pt idx="4">
                  <c:v>49.833283404367549</c:v>
                </c:pt>
                <c:pt idx="5">
                  <c:v>48.931040629210642</c:v>
                </c:pt>
                <c:pt idx="6">
                  <c:v>47.424611217415652</c:v>
                </c:pt>
                <c:pt idx="7">
                  <c:v>45.547825516556159</c:v>
                </c:pt>
                <c:pt idx="8">
                  <c:v>44.177614107297977</c:v>
                </c:pt>
                <c:pt idx="9">
                  <c:v>43.014352485973419</c:v>
                </c:pt>
                <c:pt idx="10">
                  <c:v>41.927535913151061</c:v>
                </c:pt>
                <c:pt idx="11">
                  <c:v>40.933300053098144</c:v>
                </c:pt>
                <c:pt idx="12">
                  <c:v>39.988888276880097</c:v>
                </c:pt>
                <c:pt idx="13">
                  <c:v>39.047588266656234</c:v>
                </c:pt>
                <c:pt idx="14">
                  <c:v>38.069421176515554</c:v>
                </c:pt>
                <c:pt idx="15">
                  <c:v>37.016745728736964</c:v>
                </c:pt>
                <c:pt idx="16">
                  <c:v>35.930828223307898</c:v>
                </c:pt>
                <c:pt idx="17">
                  <c:v>34.784622621092986</c:v>
                </c:pt>
              </c:numCache>
            </c:numRef>
          </c:val>
          <c:smooth val="0"/>
          <c:extLst>
            <c:ext xmlns:c16="http://schemas.microsoft.com/office/drawing/2014/chart" uri="{C3380CC4-5D6E-409C-BE32-E72D297353CC}">
              <c16:uniqueId val="{00000001-21A6-4207-8ED5-9CA6084DC682}"/>
            </c:ext>
          </c:extLst>
        </c:ser>
        <c:dLbls>
          <c:showLegendKey val="0"/>
          <c:showVal val="0"/>
          <c:showCatName val="0"/>
          <c:showSerName val="0"/>
          <c:showPercent val="0"/>
          <c:showBubbleSize val="0"/>
        </c:dLbls>
        <c:smooth val="0"/>
        <c:axId val="598982160"/>
        <c:axId val="598979416"/>
      </c:lineChart>
      <c:catAx>
        <c:axId val="598982160"/>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98979416"/>
        <c:crosses val="autoZero"/>
        <c:auto val="1"/>
        <c:lblAlgn val="ctr"/>
        <c:lblOffset val="0"/>
        <c:tickLblSkip val="2"/>
        <c:tickMarkSkip val="1"/>
        <c:noMultiLvlLbl val="1"/>
      </c:catAx>
      <c:valAx>
        <c:axId val="598979416"/>
        <c:scaling>
          <c:orientation val="minMax"/>
          <c:min val="20"/>
        </c:scaling>
        <c:delete val="0"/>
        <c:axPos val="l"/>
        <c:numFmt formatCode="0" sourceLinked="0"/>
        <c:majorTickMark val="out"/>
        <c:minorTickMark val="none"/>
        <c:tickLblPos val="nextTo"/>
        <c:txPr>
          <a:bodyPr rot="0" vert="horz"/>
          <a:lstStyle/>
          <a:p>
            <a:pPr>
              <a:defRPr/>
            </a:pPr>
            <a:endParaRPr lang="lv-LV"/>
          </a:p>
        </c:txPr>
        <c:crossAx val="598982160"/>
        <c:crossesAt val="1"/>
        <c:crossBetween val="between"/>
        <c:majorUnit val="10"/>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127.26989580451257</c:v>
                </c:pt>
                <c:pt idx="1">
                  <c:v>126.11801637127989</c:v>
                </c:pt>
                <c:pt idx="2">
                  <c:v>125.15744266101676</c:v>
                </c:pt>
                <c:pt idx="3">
                  <c:v>123.87837143458471</c:v>
                </c:pt>
                <c:pt idx="4">
                  <c:v>123.27012940930818</c:v>
                </c:pt>
                <c:pt idx="5">
                  <c:v>122.93289216998089</c:v>
                </c:pt>
                <c:pt idx="6">
                  <c:v>122.35683966480113</c:v>
                </c:pt>
                <c:pt idx="7">
                  <c:v>121.43343613095158</c:v>
                </c:pt>
                <c:pt idx="8">
                  <c:v>120.35444337144891</c:v>
                </c:pt>
                <c:pt idx="9">
                  <c:v>119.24281374282498</c:v>
                </c:pt>
                <c:pt idx="10">
                  <c:v>118.02437771959121</c:v>
                </c:pt>
                <c:pt idx="11">
                  <c:v>116.85878163590831</c:v>
                </c:pt>
                <c:pt idx="12">
                  <c:v>115.75510100174624</c:v>
                </c:pt>
                <c:pt idx="13">
                  <c:v>114.66998701762699</c:v>
                </c:pt>
                <c:pt idx="14">
                  <c:v>113.53343828023533</c:v>
                </c:pt>
                <c:pt idx="15">
                  <c:v>112.42920919818231</c:v>
                </c:pt>
                <c:pt idx="16">
                  <c:v>111.26021940924939</c:v>
                </c:pt>
                <c:pt idx="17">
                  <c:v>110.1531163429449</c:v>
                </c:pt>
              </c:numCache>
            </c:numRef>
          </c:val>
          <c:smooth val="0"/>
          <c:extLst>
            <c:ext xmlns:c16="http://schemas.microsoft.com/office/drawing/2014/chart" uri="{C3380CC4-5D6E-409C-BE32-E72D297353CC}">
              <c16:uniqueId val="{00000000-E1B9-4103-93C7-47E6D6FCB13A}"/>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136.2278693473572</c:v>
                </c:pt>
                <c:pt idx="1">
                  <c:v>135.0586468028834</c:v>
                </c:pt>
                <c:pt idx="2">
                  <c:v>134.45593977135019</c:v>
                </c:pt>
                <c:pt idx="3">
                  <c:v>134.21085762350347</c:v>
                </c:pt>
                <c:pt idx="4">
                  <c:v>134.4502828386656</c:v>
                </c:pt>
                <c:pt idx="5">
                  <c:v>134.46177733169853</c:v>
                </c:pt>
                <c:pt idx="6">
                  <c:v>133.67758565261857</c:v>
                </c:pt>
                <c:pt idx="7">
                  <c:v>132.44110881474967</c:v>
                </c:pt>
                <c:pt idx="8">
                  <c:v>131.05729077294532</c:v>
                </c:pt>
                <c:pt idx="9">
                  <c:v>129.98820464429801</c:v>
                </c:pt>
                <c:pt idx="10">
                  <c:v>128.98158154503187</c:v>
                </c:pt>
                <c:pt idx="11">
                  <c:v>128.27615564910559</c:v>
                </c:pt>
                <c:pt idx="12">
                  <c:v>127.81802059938791</c:v>
                </c:pt>
                <c:pt idx="13">
                  <c:v>127.337779385533</c:v>
                </c:pt>
                <c:pt idx="14">
                  <c:v>126.74848425073354</c:v>
                </c:pt>
                <c:pt idx="15">
                  <c:v>125.99206428604529</c:v>
                </c:pt>
                <c:pt idx="16">
                  <c:v>125.09152051739605</c:v>
                </c:pt>
                <c:pt idx="17">
                  <c:v>124.00375747234155</c:v>
                </c:pt>
              </c:numCache>
            </c:numRef>
          </c:val>
          <c:smooth val="0"/>
          <c:extLst>
            <c:ext xmlns:c16="http://schemas.microsoft.com/office/drawing/2014/chart" uri="{C3380CC4-5D6E-409C-BE32-E72D297353CC}">
              <c16:uniqueId val="{00000001-E1B9-4103-93C7-47E6D6FCB13A}"/>
            </c:ext>
          </c:extLst>
        </c:ser>
        <c:dLbls>
          <c:showLegendKey val="0"/>
          <c:showVal val="0"/>
          <c:showCatName val="0"/>
          <c:showSerName val="0"/>
          <c:showPercent val="0"/>
          <c:showBubbleSize val="0"/>
        </c:dLbls>
        <c:smooth val="0"/>
        <c:axId val="598980592"/>
        <c:axId val="598982944"/>
      </c:lineChart>
      <c:catAx>
        <c:axId val="598980592"/>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98982944"/>
        <c:crosses val="autoZero"/>
        <c:auto val="1"/>
        <c:lblAlgn val="ctr"/>
        <c:lblOffset val="0"/>
        <c:tickLblSkip val="2"/>
        <c:tickMarkSkip val="1"/>
        <c:noMultiLvlLbl val="1"/>
      </c:catAx>
      <c:valAx>
        <c:axId val="598982944"/>
        <c:scaling>
          <c:orientation val="minMax"/>
          <c:max val="165"/>
          <c:min val="90"/>
        </c:scaling>
        <c:delete val="0"/>
        <c:axPos val="l"/>
        <c:numFmt formatCode="0" sourceLinked="0"/>
        <c:majorTickMark val="out"/>
        <c:minorTickMark val="none"/>
        <c:tickLblPos val="nextTo"/>
        <c:txPr>
          <a:bodyPr rot="0" vert="horz"/>
          <a:lstStyle/>
          <a:p>
            <a:pPr>
              <a:defRPr/>
            </a:pPr>
            <a:endParaRPr lang="lv-LV"/>
          </a:p>
        </c:txPr>
        <c:crossAx val="598980592"/>
        <c:crossesAt val="1"/>
        <c:crossBetween val="between"/>
        <c:majorUnit val="15"/>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28.074536224580452</c:v>
                </c:pt>
                <c:pt idx="1">
                  <c:v>27.783828923196548</c:v>
                </c:pt>
                <c:pt idx="2">
                  <c:v>27.557796299685251</c:v>
                </c:pt>
                <c:pt idx="3">
                  <c:v>27.466083294293995</c:v>
                </c:pt>
                <c:pt idx="4">
                  <c:v>27.445285556612557</c:v>
                </c:pt>
                <c:pt idx="5">
                  <c:v>27.424887418051039</c:v>
                </c:pt>
                <c:pt idx="6">
                  <c:v>27.313412602539504</c:v>
                </c:pt>
                <c:pt idx="7">
                  <c:v>27.073511989975646</c:v>
                </c:pt>
                <c:pt idx="8">
                  <c:v>26.777777781474217</c:v>
                </c:pt>
                <c:pt idx="9">
                  <c:v>26.462162674703407</c:v>
                </c:pt>
                <c:pt idx="10">
                  <c:v>26.147855103227236</c:v>
                </c:pt>
                <c:pt idx="11">
                  <c:v>25.855229424244563</c:v>
                </c:pt>
                <c:pt idx="12">
                  <c:v>25.584328724118542</c:v>
                </c:pt>
                <c:pt idx="13">
                  <c:v>25.331097446549048</c:v>
                </c:pt>
                <c:pt idx="14">
                  <c:v>25.12542157244248</c:v>
                </c:pt>
                <c:pt idx="15">
                  <c:v>24.958734841486816</c:v>
                </c:pt>
                <c:pt idx="16">
                  <c:v>24.804722899896642</c:v>
                </c:pt>
                <c:pt idx="17">
                  <c:v>24.706423112659589</c:v>
                </c:pt>
              </c:numCache>
            </c:numRef>
          </c:val>
          <c:smooth val="0"/>
          <c:extLst>
            <c:ext xmlns:c16="http://schemas.microsoft.com/office/drawing/2014/chart" uri="{C3380CC4-5D6E-409C-BE32-E72D297353CC}">
              <c16:uniqueId val="{00000000-EDD2-4531-B65C-6C55BFB6820C}"/>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29.934951616930803</c:v>
                </c:pt>
                <c:pt idx="1">
                  <c:v>29.161617358213931</c:v>
                </c:pt>
                <c:pt idx="2">
                  <c:v>28.532834229807641</c:v>
                </c:pt>
                <c:pt idx="3">
                  <c:v>27.976682442040335</c:v>
                </c:pt>
                <c:pt idx="4">
                  <c:v>27.596677185056468</c:v>
                </c:pt>
                <c:pt idx="5">
                  <c:v>27.337968050446243</c:v>
                </c:pt>
                <c:pt idx="6">
                  <c:v>27.014577461937645</c:v>
                </c:pt>
                <c:pt idx="7">
                  <c:v>26.678464207726943</c:v>
                </c:pt>
                <c:pt idx="8">
                  <c:v>26.30506610764483</c:v>
                </c:pt>
                <c:pt idx="9">
                  <c:v>25.950400727195742</c:v>
                </c:pt>
                <c:pt idx="10">
                  <c:v>25.562645218993374</c:v>
                </c:pt>
                <c:pt idx="11">
                  <c:v>25.206749635943368</c:v>
                </c:pt>
                <c:pt idx="12">
                  <c:v>24.879945979686017</c:v>
                </c:pt>
                <c:pt idx="13">
                  <c:v>24.552911886105072</c:v>
                </c:pt>
                <c:pt idx="14">
                  <c:v>24.245001634348124</c:v>
                </c:pt>
                <c:pt idx="15">
                  <c:v>23.951961018675835</c:v>
                </c:pt>
                <c:pt idx="16">
                  <c:v>23.67193110046621</c:v>
                </c:pt>
                <c:pt idx="17">
                  <c:v>23.40242748998115</c:v>
                </c:pt>
              </c:numCache>
            </c:numRef>
          </c:val>
          <c:smooth val="0"/>
          <c:extLst>
            <c:ext xmlns:c16="http://schemas.microsoft.com/office/drawing/2014/chart" uri="{C3380CC4-5D6E-409C-BE32-E72D297353CC}">
              <c16:uniqueId val="{00000001-EDD2-4531-B65C-6C55BFB6820C}"/>
            </c:ext>
          </c:extLst>
        </c:ser>
        <c:dLbls>
          <c:showLegendKey val="0"/>
          <c:showVal val="0"/>
          <c:showCatName val="0"/>
          <c:showSerName val="0"/>
          <c:showPercent val="0"/>
          <c:showBubbleSize val="0"/>
        </c:dLbls>
        <c:smooth val="0"/>
        <c:axId val="566346576"/>
        <c:axId val="566357944"/>
      </c:lineChart>
      <c:catAx>
        <c:axId val="566346576"/>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66357944"/>
        <c:crosses val="autoZero"/>
        <c:auto val="1"/>
        <c:lblAlgn val="ctr"/>
        <c:lblOffset val="0"/>
        <c:tickLblSkip val="2"/>
        <c:tickMarkSkip val="1"/>
        <c:noMultiLvlLbl val="1"/>
      </c:catAx>
      <c:valAx>
        <c:axId val="566357944"/>
        <c:scaling>
          <c:orientation val="minMax"/>
          <c:min val="20"/>
        </c:scaling>
        <c:delete val="0"/>
        <c:axPos val="l"/>
        <c:numFmt formatCode="0" sourceLinked="0"/>
        <c:majorTickMark val="out"/>
        <c:minorTickMark val="none"/>
        <c:tickLblPos val="nextTo"/>
        <c:txPr>
          <a:bodyPr rot="0" vert="horz"/>
          <a:lstStyle/>
          <a:p>
            <a:pPr>
              <a:defRPr/>
            </a:pPr>
            <a:endParaRPr lang="lv-LV"/>
          </a:p>
        </c:txPr>
        <c:crossAx val="566346576"/>
        <c:crossesAt val="1"/>
        <c:crossBetween val="between"/>
        <c:majorUnit val="3"/>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97.875170786710896</c:v>
                </c:pt>
                <c:pt idx="1">
                  <c:v>99.091280751840415</c:v>
                </c:pt>
                <c:pt idx="2">
                  <c:v>100.82793518747724</c:v>
                </c:pt>
                <c:pt idx="3">
                  <c:v>103.63209762341967</c:v>
                </c:pt>
                <c:pt idx="4">
                  <c:v>106.11067886614202</c:v>
                </c:pt>
                <c:pt idx="5">
                  <c:v>107.94985170132153</c:v>
                </c:pt>
                <c:pt idx="6">
                  <c:v>108.48914606510625</c:v>
                </c:pt>
                <c:pt idx="7">
                  <c:v>108.8993938451936</c:v>
                </c:pt>
                <c:pt idx="8">
                  <c:v>109.16990016548036</c:v>
                </c:pt>
                <c:pt idx="9">
                  <c:v>109.55644889629194</c:v>
                </c:pt>
                <c:pt idx="10">
                  <c:v>110.01269838321892</c:v>
                </c:pt>
                <c:pt idx="11">
                  <c:v>110.56421618682558</c:v>
                </c:pt>
                <c:pt idx="12">
                  <c:v>111.16685561361108</c:v>
                </c:pt>
                <c:pt idx="13">
                  <c:v>111.77988553438426</c:v>
                </c:pt>
                <c:pt idx="14">
                  <c:v>112.43861148238558</c:v>
                </c:pt>
                <c:pt idx="15">
                  <c:v>113.10335386055024</c:v>
                </c:pt>
                <c:pt idx="16">
                  <c:v>113.78455276578204</c:v>
                </c:pt>
                <c:pt idx="17">
                  <c:v>114.50350982276645</c:v>
                </c:pt>
              </c:numCache>
            </c:numRef>
          </c:val>
          <c:smooth val="0"/>
          <c:extLst>
            <c:ext xmlns:c16="http://schemas.microsoft.com/office/drawing/2014/chart" uri="{C3380CC4-5D6E-409C-BE32-E72D297353CC}">
              <c16:uniqueId val="{00000000-0F88-4BDB-8F61-982745C5790C}"/>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103.80415110927292</c:v>
                </c:pt>
                <c:pt idx="1">
                  <c:v>102.48171642188326</c:v>
                </c:pt>
                <c:pt idx="2">
                  <c:v>101.42658914130075</c:v>
                </c:pt>
                <c:pt idx="3">
                  <c:v>100.75537005843266</c:v>
                </c:pt>
                <c:pt idx="4">
                  <c:v>101.02260351223799</c:v>
                </c:pt>
                <c:pt idx="5">
                  <c:v>101.23503339368963</c:v>
                </c:pt>
                <c:pt idx="6">
                  <c:v>100.59944161146569</c:v>
                </c:pt>
                <c:pt idx="7">
                  <c:v>99.748953654082982</c:v>
                </c:pt>
                <c:pt idx="8">
                  <c:v>98.414174061663104</c:v>
                </c:pt>
                <c:pt idx="9">
                  <c:v>97.153740774925453</c:v>
                </c:pt>
                <c:pt idx="10">
                  <c:v>95.819779123697785</c:v>
                </c:pt>
                <c:pt idx="11">
                  <c:v>94.695783403023555</c:v>
                </c:pt>
                <c:pt idx="12">
                  <c:v>93.740767898554964</c:v>
                </c:pt>
                <c:pt idx="13">
                  <c:v>92.806791294717456</c:v>
                </c:pt>
                <c:pt idx="14">
                  <c:v>91.83709221904833</c:v>
                </c:pt>
                <c:pt idx="15">
                  <c:v>90.770462053227845</c:v>
                </c:pt>
                <c:pt idx="16">
                  <c:v>89.644164014081184</c:v>
                </c:pt>
                <c:pt idx="17">
                  <c:v>88.453115284179319</c:v>
                </c:pt>
              </c:numCache>
            </c:numRef>
          </c:val>
          <c:smooth val="0"/>
          <c:extLst>
            <c:ext xmlns:c16="http://schemas.microsoft.com/office/drawing/2014/chart" uri="{C3380CC4-5D6E-409C-BE32-E72D297353CC}">
              <c16:uniqueId val="{00000001-0F88-4BDB-8F61-982745C5790C}"/>
            </c:ext>
          </c:extLst>
        </c:ser>
        <c:dLbls>
          <c:showLegendKey val="0"/>
          <c:showVal val="0"/>
          <c:showCatName val="0"/>
          <c:showSerName val="0"/>
          <c:showPercent val="0"/>
          <c:showBubbleSize val="0"/>
        </c:dLbls>
        <c:smooth val="0"/>
        <c:axId val="566347752"/>
        <c:axId val="566350888"/>
      </c:lineChart>
      <c:catAx>
        <c:axId val="566347752"/>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66350888"/>
        <c:crosses val="autoZero"/>
        <c:auto val="1"/>
        <c:lblAlgn val="ctr"/>
        <c:lblOffset val="0"/>
        <c:tickLblSkip val="2"/>
        <c:tickMarkSkip val="1"/>
        <c:noMultiLvlLbl val="1"/>
      </c:catAx>
      <c:valAx>
        <c:axId val="566350888"/>
        <c:scaling>
          <c:orientation val="minMax"/>
          <c:min val="80"/>
        </c:scaling>
        <c:delete val="0"/>
        <c:axPos val="l"/>
        <c:numFmt formatCode="0" sourceLinked="0"/>
        <c:majorTickMark val="out"/>
        <c:minorTickMark val="none"/>
        <c:tickLblPos val="nextTo"/>
        <c:txPr>
          <a:bodyPr rot="0" vert="horz"/>
          <a:lstStyle/>
          <a:p>
            <a:pPr>
              <a:defRPr/>
            </a:pPr>
            <a:endParaRPr lang="lv-LV"/>
          </a:p>
        </c:txPr>
        <c:crossAx val="566347752"/>
        <c:crossesAt val="1"/>
        <c:crossBetween val="between"/>
        <c:majorUnit val="10"/>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76.945086174609841</c:v>
                </c:pt>
                <c:pt idx="1">
                  <c:v>75.997865258170179</c:v>
                </c:pt>
                <c:pt idx="2">
                  <c:v>75.578521444233189</c:v>
                </c:pt>
                <c:pt idx="3">
                  <c:v>75.463059759076074</c:v>
                </c:pt>
                <c:pt idx="4">
                  <c:v>75.674913368861809</c:v>
                </c:pt>
                <c:pt idx="5">
                  <c:v>75.89739703191141</c:v>
                </c:pt>
                <c:pt idx="6">
                  <c:v>75.854437328083591</c:v>
                </c:pt>
                <c:pt idx="7">
                  <c:v>75.70918533781466</c:v>
                </c:pt>
                <c:pt idx="8">
                  <c:v>75.511994843791499</c:v>
                </c:pt>
                <c:pt idx="9">
                  <c:v>75.393653602857952</c:v>
                </c:pt>
                <c:pt idx="10">
                  <c:v>75.380051043593994</c:v>
                </c:pt>
                <c:pt idx="11">
                  <c:v>75.316950695712876</c:v>
                </c:pt>
                <c:pt idx="12">
                  <c:v>75.248749820513581</c:v>
                </c:pt>
                <c:pt idx="13">
                  <c:v>75.129547444342833</c:v>
                </c:pt>
                <c:pt idx="14">
                  <c:v>75.035168678438936</c:v>
                </c:pt>
                <c:pt idx="15">
                  <c:v>74.910664350564275</c:v>
                </c:pt>
                <c:pt idx="16">
                  <c:v>74.793759030945481</c:v>
                </c:pt>
                <c:pt idx="17">
                  <c:v>74.728274796026014</c:v>
                </c:pt>
              </c:numCache>
            </c:numRef>
          </c:val>
          <c:smooth val="0"/>
          <c:extLst>
            <c:ext xmlns:c16="http://schemas.microsoft.com/office/drawing/2014/chart" uri="{C3380CC4-5D6E-409C-BE32-E72D297353CC}">
              <c16:uniqueId val="{00000000-7B28-4CF2-86E5-8CC5001DC69E}"/>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81.340697107477993</c:v>
                </c:pt>
                <c:pt idx="1">
                  <c:v>79.987229229240683</c:v>
                </c:pt>
                <c:pt idx="2">
                  <c:v>78.657384642424816</c:v>
                </c:pt>
                <c:pt idx="3">
                  <c:v>77.215981401781477</c:v>
                </c:pt>
                <c:pt idx="4">
                  <c:v>75.713088883922453</c:v>
                </c:pt>
                <c:pt idx="5">
                  <c:v>74.6819247672247</c:v>
                </c:pt>
                <c:pt idx="6">
                  <c:v>73.844846959080883</c:v>
                </c:pt>
                <c:pt idx="7">
                  <c:v>73.093352909816048</c:v>
                </c:pt>
                <c:pt idx="8">
                  <c:v>71.934749310337182</c:v>
                </c:pt>
                <c:pt idx="9">
                  <c:v>70.83090413052642</c:v>
                </c:pt>
                <c:pt idx="10">
                  <c:v>69.739355008090058</c:v>
                </c:pt>
                <c:pt idx="11">
                  <c:v>68.88038253070286</c:v>
                </c:pt>
                <c:pt idx="12">
                  <c:v>68.227347312568867</c:v>
                </c:pt>
                <c:pt idx="13">
                  <c:v>67.62871286475125</c:v>
                </c:pt>
                <c:pt idx="14">
                  <c:v>67.076146429681799</c:v>
                </c:pt>
                <c:pt idx="15">
                  <c:v>66.485659176138</c:v>
                </c:pt>
                <c:pt idx="16">
                  <c:v>65.885757585780325</c:v>
                </c:pt>
                <c:pt idx="17">
                  <c:v>65.331897040251334</c:v>
                </c:pt>
              </c:numCache>
            </c:numRef>
          </c:val>
          <c:smooth val="0"/>
          <c:extLst>
            <c:ext xmlns:c16="http://schemas.microsoft.com/office/drawing/2014/chart" uri="{C3380CC4-5D6E-409C-BE32-E72D297353CC}">
              <c16:uniqueId val="{00000001-7B28-4CF2-86E5-8CC5001DC69E}"/>
            </c:ext>
          </c:extLst>
        </c:ser>
        <c:dLbls>
          <c:showLegendKey val="0"/>
          <c:showVal val="0"/>
          <c:showCatName val="0"/>
          <c:showSerName val="0"/>
          <c:showPercent val="0"/>
          <c:showBubbleSize val="0"/>
        </c:dLbls>
        <c:smooth val="0"/>
        <c:axId val="566348928"/>
        <c:axId val="566350104"/>
      </c:lineChart>
      <c:catAx>
        <c:axId val="566348928"/>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66350104"/>
        <c:crosses val="autoZero"/>
        <c:auto val="1"/>
        <c:lblAlgn val="ctr"/>
        <c:lblOffset val="0"/>
        <c:tickLblSkip val="2"/>
        <c:tickMarkSkip val="1"/>
        <c:noMultiLvlLbl val="1"/>
      </c:catAx>
      <c:valAx>
        <c:axId val="566350104"/>
        <c:scaling>
          <c:orientation val="minMax"/>
          <c:max val="105"/>
          <c:min val="55"/>
        </c:scaling>
        <c:delete val="0"/>
        <c:axPos val="l"/>
        <c:numFmt formatCode="0" sourceLinked="0"/>
        <c:majorTickMark val="out"/>
        <c:minorTickMark val="none"/>
        <c:tickLblPos val="nextTo"/>
        <c:txPr>
          <a:bodyPr rot="0" vert="horz"/>
          <a:lstStyle/>
          <a:p>
            <a:pPr>
              <a:defRPr/>
            </a:pPr>
            <a:endParaRPr lang="lv-LV"/>
          </a:p>
        </c:txPr>
        <c:crossAx val="566348928"/>
        <c:crossesAt val="1"/>
        <c:crossBetween val="between"/>
        <c:majorUnit val="10"/>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Sheet1!$B$2:$W$2</c:f>
              <c:numCache>
                <c:formatCode>0</c:formatCode>
                <c:ptCount val="18"/>
                <c:pt idx="0">
                  <c:v>109.79789201463127</c:v>
                </c:pt>
                <c:pt idx="1">
                  <c:v>108.00192033788112</c:v>
                </c:pt>
                <c:pt idx="2">
                  <c:v>106.31279290037806</c:v>
                </c:pt>
                <c:pt idx="3">
                  <c:v>104.85271577395993</c:v>
                </c:pt>
                <c:pt idx="4">
                  <c:v>103.55954826840443</c:v>
                </c:pt>
                <c:pt idx="5">
                  <c:v>102.12965232278168</c:v>
                </c:pt>
                <c:pt idx="6">
                  <c:v>100.09613480146811</c:v>
                </c:pt>
                <c:pt idx="7">
                  <c:v>97.823479570124817</c:v>
                </c:pt>
                <c:pt idx="8">
                  <c:v>95.398286218822335</c:v>
                </c:pt>
                <c:pt idx="9">
                  <c:v>92.973702177223899</c:v>
                </c:pt>
                <c:pt idx="10">
                  <c:v>90.506387670843935</c:v>
                </c:pt>
                <c:pt idx="11">
                  <c:v>88.094972107479123</c:v>
                </c:pt>
                <c:pt idx="12">
                  <c:v>85.713013185062792</c:v>
                </c:pt>
                <c:pt idx="13">
                  <c:v>83.345316278840386</c:v>
                </c:pt>
                <c:pt idx="14">
                  <c:v>80.988068519488536</c:v>
                </c:pt>
                <c:pt idx="15">
                  <c:v>78.640657662320422</c:v>
                </c:pt>
                <c:pt idx="16">
                  <c:v>76.280284210312786</c:v>
                </c:pt>
                <c:pt idx="17">
                  <c:v>73.972131057614945</c:v>
                </c:pt>
              </c:numCache>
            </c:numRef>
          </c:val>
          <c:smooth val="0"/>
          <c:extLst>
            <c:ext xmlns:c16="http://schemas.microsoft.com/office/drawing/2014/chart" uri="{C3380CC4-5D6E-409C-BE32-E72D297353CC}">
              <c16:uniqueId val="{00000000-F67F-4483-A96A-79A948F0AC09}"/>
            </c:ext>
          </c:extLst>
        </c:ser>
        <c:ser>
          <c:idx val="0"/>
          <c:order val="1"/>
          <c:tx>
            <c:strRef>
              <c:f>Sheet1!$A$3</c:f>
              <c:strCache>
                <c:ptCount val="1"/>
                <c:pt idx="0">
                  <c:v>Piedāvājums</c:v>
                </c:pt>
              </c:strCache>
            </c:strRef>
          </c:tx>
          <c:marker>
            <c:symbol val="none"/>
          </c:marker>
          <c:cat>
            <c:numRef>
              <c:f>Sheet1!$B$1:$W$1</c:f>
              <c:numCache>
                <c:formatCode>General</c:formatCode>
                <c:ptCount val="18"/>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numCache>
            </c:numRef>
          </c:cat>
          <c:val>
            <c:numRef>
              <c:f>Sheet1!$B$3:$W$3</c:f>
              <c:numCache>
                <c:formatCode>0</c:formatCode>
                <c:ptCount val="18"/>
                <c:pt idx="0">
                  <c:v>131.59863149910487</c:v>
                </c:pt>
                <c:pt idx="1">
                  <c:v>132.07895176160355</c:v>
                </c:pt>
                <c:pt idx="2">
                  <c:v>132.52389353067451</c:v>
                </c:pt>
                <c:pt idx="3">
                  <c:v>133.35937127440786</c:v>
                </c:pt>
                <c:pt idx="4">
                  <c:v>135.24791319393856</c:v>
                </c:pt>
                <c:pt idx="5">
                  <c:v>137.56130086155085</c:v>
                </c:pt>
                <c:pt idx="6">
                  <c:v>139.53620695983065</c:v>
                </c:pt>
                <c:pt idx="7">
                  <c:v>140.78799585044405</c:v>
                </c:pt>
                <c:pt idx="8">
                  <c:v>141.09751754178177</c:v>
                </c:pt>
                <c:pt idx="9">
                  <c:v>140.7477165951241</c:v>
                </c:pt>
                <c:pt idx="10">
                  <c:v>139.45983183563226</c:v>
                </c:pt>
                <c:pt idx="11">
                  <c:v>137.74038892534455</c:v>
                </c:pt>
                <c:pt idx="12">
                  <c:v>135.79146415945496</c:v>
                </c:pt>
                <c:pt idx="13">
                  <c:v>133.72946028604503</c:v>
                </c:pt>
                <c:pt idx="14">
                  <c:v>131.51281305676775</c:v>
                </c:pt>
                <c:pt idx="15">
                  <c:v>129.06236387915339</c:v>
                </c:pt>
                <c:pt idx="16">
                  <c:v>126.5770795047152</c:v>
                </c:pt>
                <c:pt idx="17">
                  <c:v>124.17441809994521</c:v>
                </c:pt>
              </c:numCache>
            </c:numRef>
          </c:val>
          <c:smooth val="0"/>
          <c:extLst>
            <c:ext xmlns:c16="http://schemas.microsoft.com/office/drawing/2014/chart" uri="{C3380CC4-5D6E-409C-BE32-E72D297353CC}">
              <c16:uniqueId val="{00000001-F67F-4483-A96A-79A948F0AC09}"/>
            </c:ext>
          </c:extLst>
        </c:ser>
        <c:dLbls>
          <c:showLegendKey val="0"/>
          <c:showVal val="0"/>
          <c:showCatName val="0"/>
          <c:showSerName val="0"/>
          <c:showPercent val="0"/>
          <c:showBubbleSize val="0"/>
        </c:dLbls>
        <c:smooth val="0"/>
        <c:axId val="652768408"/>
        <c:axId val="652764096"/>
      </c:lineChart>
      <c:catAx>
        <c:axId val="652768408"/>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652764096"/>
        <c:crosses val="autoZero"/>
        <c:auto val="1"/>
        <c:lblAlgn val="ctr"/>
        <c:lblOffset val="0"/>
        <c:tickLblSkip val="2"/>
        <c:tickMarkSkip val="1"/>
        <c:noMultiLvlLbl val="1"/>
      </c:catAx>
      <c:valAx>
        <c:axId val="652764096"/>
        <c:scaling>
          <c:orientation val="minMax"/>
          <c:min val="60"/>
        </c:scaling>
        <c:delete val="0"/>
        <c:axPos val="l"/>
        <c:numFmt formatCode="0" sourceLinked="0"/>
        <c:majorTickMark val="out"/>
        <c:minorTickMark val="none"/>
        <c:tickLblPos val="nextTo"/>
        <c:txPr>
          <a:bodyPr rot="0" vert="horz"/>
          <a:lstStyle/>
          <a:p>
            <a:pPr>
              <a:defRPr/>
            </a:pPr>
            <a:endParaRPr lang="lv-LV"/>
          </a:p>
        </c:txPr>
        <c:crossAx val="652768408"/>
        <c:crossesAt val="1"/>
        <c:crossBetween val="between"/>
        <c:majorUnit val="15"/>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246416864716893E-2"/>
          <c:y val="6.2785388127853878E-2"/>
          <c:w val="0.77744090147496703"/>
          <c:h val="0.78723693944961781"/>
        </c:manualLayout>
      </c:layout>
      <c:barChart>
        <c:barDir val="col"/>
        <c:grouping val="clustered"/>
        <c:varyColors val="0"/>
        <c:ser>
          <c:idx val="0"/>
          <c:order val="0"/>
          <c:tx>
            <c:strRef>
              <c:f>Sheet1!$A$9</c:f>
              <c:strCache>
                <c:ptCount val="1"/>
                <c:pt idx="0">
                  <c:v>2022</c:v>
                </c:pt>
              </c:strCache>
            </c:strRef>
          </c:tx>
          <c:spPr>
            <a:solidFill>
              <a:schemeClr val="tx2"/>
            </a:solidFill>
            <a:ln>
              <a:noFill/>
            </a:ln>
            <a:effectLst/>
          </c:spPr>
          <c:invertIfNegative val="0"/>
          <c:dLbls>
            <c:dLbl>
              <c:idx val="2"/>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1-68B9-4038-8EC0-0087C917AC73}"/>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Sheet1!$B$8:$D$8</c:f>
              <c:strCache>
                <c:ptCount val="3"/>
                <c:pt idx="0">
                  <c:v>Augsta kvalifikācija</c:v>
                </c:pt>
                <c:pt idx="1">
                  <c:v>Vidēja kvalifikācija</c:v>
                </c:pt>
                <c:pt idx="2">
                  <c:v>Zema kvalifikācija</c:v>
                </c:pt>
              </c:strCache>
            </c:strRef>
          </c:cat>
          <c:val>
            <c:numRef>
              <c:f>Sheet1!$B$9:$D$9</c:f>
              <c:numCache>
                <c:formatCode>General</c:formatCode>
                <c:ptCount val="3"/>
                <c:pt idx="0">
                  <c:v>3.5</c:v>
                </c:pt>
                <c:pt idx="1">
                  <c:v>42.5</c:v>
                </c:pt>
                <c:pt idx="2">
                  <c:v>54</c:v>
                </c:pt>
              </c:numCache>
            </c:numRef>
          </c:val>
          <c:extLst>
            <c:ext xmlns:c16="http://schemas.microsoft.com/office/drawing/2014/chart" uri="{C3380CC4-5D6E-409C-BE32-E72D297353CC}">
              <c16:uniqueId val="{00000002-68B9-4038-8EC0-0087C917AC73}"/>
            </c:ext>
          </c:extLst>
        </c:ser>
        <c:ser>
          <c:idx val="1"/>
          <c:order val="1"/>
          <c:tx>
            <c:strRef>
              <c:f>Sheet1!$A$10</c:f>
              <c:strCache>
                <c:ptCount val="1"/>
                <c:pt idx="0">
                  <c:v>2035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Sheet1!$B$8:$D$8</c:f>
              <c:strCache>
                <c:ptCount val="3"/>
                <c:pt idx="0">
                  <c:v>Augsta kvalifikācija</c:v>
                </c:pt>
                <c:pt idx="1">
                  <c:v>Vidēja kvalifikācija</c:v>
                </c:pt>
                <c:pt idx="2">
                  <c:v>Zema kvalifikācija</c:v>
                </c:pt>
              </c:strCache>
            </c:strRef>
          </c:cat>
          <c:val>
            <c:numRef>
              <c:f>Sheet1!$B$10:$D$10</c:f>
              <c:numCache>
                <c:formatCode>General</c:formatCode>
                <c:ptCount val="3"/>
                <c:pt idx="0">
                  <c:v>5.8</c:v>
                </c:pt>
                <c:pt idx="1">
                  <c:v>49.8</c:v>
                </c:pt>
                <c:pt idx="2">
                  <c:v>44.3</c:v>
                </c:pt>
              </c:numCache>
            </c:numRef>
          </c:val>
          <c:extLst>
            <c:ext xmlns:c16="http://schemas.microsoft.com/office/drawing/2014/chart" uri="{C3380CC4-5D6E-409C-BE32-E72D297353CC}">
              <c16:uniqueId val="{00000003-68B9-4038-8EC0-0087C917AC73}"/>
            </c:ext>
          </c:extLst>
        </c:ser>
        <c:dLbls>
          <c:showLegendKey val="0"/>
          <c:showVal val="0"/>
          <c:showCatName val="0"/>
          <c:showSerName val="0"/>
          <c:showPercent val="0"/>
          <c:showBubbleSize val="0"/>
        </c:dLbls>
        <c:gapWidth val="144"/>
        <c:axId val="1667350111"/>
        <c:axId val="1667346367"/>
      </c:barChart>
      <c:catAx>
        <c:axId val="1667350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667346367"/>
        <c:crosses val="autoZero"/>
        <c:auto val="1"/>
        <c:lblAlgn val="ctr"/>
        <c:lblOffset val="100"/>
        <c:noMultiLvlLbl val="0"/>
      </c:catAx>
      <c:valAx>
        <c:axId val="166734636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667350111"/>
        <c:crosses val="autoZero"/>
        <c:crossBetween val="between"/>
        <c:majorUnit val="15"/>
      </c:valAx>
      <c:spPr>
        <a:noFill/>
        <a:ln>
          <a:noFill/>
        </a:ln>
        <a:effectLst/>
      </c:spPr>
    </c:plotArea>
    <c:legend>
      <c:legendPos val="r"/>
      <c:layout>
        <c:manualLayout>
          <c:xMode val="edge"/>
          <c:yMode val="edge"/>
          <c:x val="0.84499590551181114"/>
          <c:y val="0.3645824385588165"/>
          <c:w val="9.1004094488188969E-2"/>
          <c:h val="0.2556836077308518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3591627406406837E-2"/>
          <c:y val="4.9450156310079076E-2"/>
          <c:w val="0.9762430951361204"/>
          <c:h val="0.46461128978595978"/>
        </c:manualLayout>
      </c:layout>
      <c:barChart>
        <c:barDir val="col"/>
        <c:grouping val="clustered"/>
        <c:varyColors val="0"/>
        <c:ser>
          <c:idx val="0"/>
          <c:order val="0"/>
          <c:tx>
            <c:strRef>
              <c:f>Sheet1!$B$1</c:f>
              <c:strCache>
                <c:ptCount val="1"/>
                <c:pt idx="0">
                  <c:v>Series 1</c:v>
                </c:pt>
              </c:strCache>
            </c:strRef>
          </c:tx>
          <c:spPr>
            <a:solidFill>
              <a:srgbClr val="ED7D31">
                <a:lumMod val="75000"/>
              </a:srgbClr>
            </a:solidFill>
            <a:ln>
              <a:noFill/>
            </a:ln>
            <a:effectLst/>
          </c:spPr>
          <c:invertIfNegative val="0"/>
          <c:dLbls>
            <c:dLbl>
              <c:idx val="0"/>
              <c:layout>
                <c:manualLayout>
                  <c:x val="-1.9157781227139279E-3"/>
                  <c:y val="9.3896713615023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46-4AFB-9E85-0F57F61054BA}"/>
                </c:ext>
              </c:extLst>
            </c:dLbl>
            <c:dLbl>
              <c:idx val="1"/>
              <c:layout>
                <c:manualLayout>
                  <c:x val="4.3901153131103424E-18"/>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46-4AFB-9E85-0F57F61054BA}"/>
                </c:ext>
              </c:extLst>
            </c:dLbl>
            <c:dLbl>
              <c:idx val="2"/>
              <c:layout>
                <c:manualLayout>
                  <c:x val="-8.7802306262206848E-18"/>
                  <c:y val="1.1111111111111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46-4AFB-9E85-0F57F61054BA}"/>
                </c:ext>
              </c:extLst>
            </c:dLbl>
            <c:dLbl>
              <c:idx val="3"/>
              <c:layout>
                <c:manualLayout>
                  <c:x val="0"/>
                  <c:y val="1.6666666666666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46-4AFB-9E85-0F57F61054BA}"/>
                </c:ext>
              </c:extLst>
            </c:dLbl>
            <c:spPr>
              <a:noFill/>
              <a:ln>
                <a:noFill/>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Sheet1!$A$2:$A$51</c:f>
              <c:strCache>
                <c:ptCount val="30"/>
                <c:pt idx="0">
                  <c:v>Palīgstrādnieks</c:v>
                </c:pt>
                <c:pt idx="1">
                  <c:v>Būvstrādnieks</c:v>
                </c:pt>
                <c:pt idx="2">
                  <c:v>Kravas automobiļa vadītājs</c:v>
                </c:pt>
                <c:pt idx="3">
                  <c:v>Mazumtirdzniecības veikala pārdevējs</c:v>
                </c:pt>
                <c:pt idx="4">
                  <c:v>Pavārs</c:v>
                </c:pt>
                <c:pt idx="5">
                  <c:v>Ceha strādnieks</c:v>
                </c:pt>
                <c:pt idx="6">
                  <c:v>Apkopējs</c:v>
                </c:pt>
                <c:pt idx="7">
                  <c:v>Informācijas ievadīšanas operators</c:v>
                </c:pt>
                <c:pt idx="8">
                  <c:v>Metālmateriālu metinātājs</c:v>
                </c:pt>
                <c:pt idx="9">
                  <c:v>Kūdras ieguves palīgstrādnieks</c:v>
                </c:pt>
                <c:pt idx="10">
                  <c:v>Klientu apkalpošanas speciālists</c:v>
                </c:pt>
                <c:pt idx="11">
                  <c:v>Betonētājs</c:v>
                </c:pt>
                <c:pt idx="12">
                  <c:v>Aprūpētājs</c:v>
                </c:pt>
                <c:pt idx="13">
                  <c:v>Māsa/ vispārējās aprūpes māsa</c:v>
                </c:pt>
                <c:pt idx="14">
                  <c:v>Vilcējautomobiļa vadītājs</c:v>
                </c:pt>
                <c:pt idx="15">
                  <c:v>Sezonas lauksaimniecības strādnieks</c:v>
                </c:pt>
                <c:pt idx="16">
                  <c:v>Apsargs</c:v>
                </c:pt>
                <c:pt idx="17">
                  <c:v>Ceļu būves palīgstrādnieks</c:v>
                </c:pt>
                <c:pt idx="18">
                  <c:v>Pārdevējs konsultants</c:v>
                </c:pt>
                <c:pt idx="19">
                  <c:v>Vecākais eksperts</c:v>
                </c:pt>
                <c:pt idx="20">
                  <c:v>Rokas lokmetinātājs (MMA)</c:v>
                </c:pt>
                <c:pt idx="21">
                  <c:v>Projekta vadītājs</c:v>
                </c:pt>
                <c:pt idx="22">
                  <c:v>Elektriķis</c:v>
                </c:pt>
                <c:pt idx="23">
                  <c:v>Krāsotājs</c:v>
                </c:pt>
                <c:pt idx="24">
                  <c:v>Virtuves darbinieks</c:v>
                </c:pt>
                <c:pt idx="25">
                  <c:v>Lokmetinātājs (MAG)</c:v>
                </c:pt>
                <c:pt idx="26">
                  <c:v>Elektromontieris</c:v>
                </c:pt>
                <c:pt idx="27">
                  <c:v>Tirdzniecības zāles darbinieks</c:v>
                </c:pt>
                <c:pt idx="28">
                  <c:v>Jurists</c:v>
                </c:pt>
                <c:pt idx="29">
                  <c:v>Sētnieks</c:v>
                </c:pt>
              </c:strCache>
            </c:strRef>
          </c:cat>
          <c:val>
            <c:numRef>
              <c:f>Sheet1!$B$2:$B$51</c:f>
              <c:numCache>
                <c:formatCode>General</c:formatCode>
                <c:ptCount val="30"/>
                <c:pt idx="0">
                  <c:v>4502</c:v>
                </c:pt>
                <c:pt idx="1">
                  <c:v>2536</c:v>
                </c:pt>
                <c:pt idx="2">
                  <c:v>2205</c:v>
                </c:pt>
                <c:pt idx="3">
                  <c:v>1123</c:v>
                </c:pt>
                <c:pt idx="4">
                  <c:v>1120</c:v>
                </c:pt>
                <c:pt idx="5">
                  <c:v>1032</c:v>
                </c:pt>
                <c:pt idx="6">
                  <c:v>638</c:v>
                </c:pt>
                <c:pt idx="7">
                  <c:v>550</c:v>
                </c:pt>
                <c:pt idx="8">
                  <c:v>536</c:v>
                </c:pt>
                <c:pt idx="9">
                  <c:v>478</c:v>
                </c:pt>
                <c:pt idx="10">
                  <c:v>398</c:v>
                </c:pt>
                <c:pt idx="11">
                  <c:v>389</c:v>
                </c:pt>
                <c:pt idx="12">
                  <c:v>386</c:v>
                </c:pt>
                <c:pt idx="13">
                  <c:v>383</c:v>
                </c:pt>
                <c:pt idx="14">
                  <c:v>343</c:v>
                </c:pt>
                <c:pt idx="15">
                  <c:v>307</c:v>
                </c:pt>
                <c:pt idx="16">
                  <c:v>293</c:v>
                </c:pt>
                <c:pt idx="17">
                  <c:v>292</c:v>
                </c:pt>
                <c:pt idx="18">
                  <c:v>289</c:v>
                </c:pt>
                <c:pt idx="19">
                  <c:v>276</c:v>
                </c:pt>
                <c:pt idx="20">
                  <c:v>272</c:v>
                </c:pt>
                <c:pt idx="21">
                  <c:v>264</c:v>
                </c:pt>
                <c:pt idx="22">
                  <c:v>264</c:v>
                </c:pt>
                <c:pt idx="23">
                  <c:v>247</c:v>
                </c:pt>
                <c:pt idx="24">
                  <c:v>242</c:v>
                </c:pt>
                <c:pt idx="25">
                  <c:v>240</c:v>
                </c:pt>
                <c:pt idx="26">
                  <c:v>223</c:v>
                </c:pt>
                <c:pt idx="27">
                  <c:v>216</c:v>
                </c:pt>
                <c:pt idx="28">
                  <c:v>209</c:v>
                </c:pt>
                <c:pt idx="29">
                  <c:v>204</c:v>
                </c:pt>
              </c:numCache>
            </c:numRef>
          </c:val>
          <c:extLst>
            <c:ext xmlns:c16="http://schemas.microsoft.com/office/drawing/2014/chart" uri="{C3380CC4-5D6E-409C-BE32-E72D297353CC}">
              <c16:uniqueId val="{00000004-F046-4AFB-9E85-0F57F61054BA}"/>
            </c:ext>
          </c:extLst>
        </c:ser>
        <c:dLbls>
          <c:showLegendKey val="0"/>
          <c:showVal val="0"/>
          <c:showCatName val="0"/>
          <c:showSerName val="0"/>
          <c:showPercent val="0"/>
          <c:showBubbleSize val="0"/>
        </c:dLbls>
        <c:gapWidth val="60"/>
        <c:axId val="742026784"/>
        <c:axId val="742027176"/>
      </c:barChart>
      <c:catAx>
        <c:axId val="742026784"/>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27176"/>
        <c:crosses val="autoZero"/>
        <c:auto val="0"/>
        <c:lblAlgn val="ctr"/>
        <c:lblOffset val="100"/>
        <c:tickLblSkip val="1"/>
        <c:noMultiLvlLbl val="0"/>
      </c:catAx>
      <c:valAx>
        <c:axId val="742027176"/>
        <c:scaling>
          <c:orientation val="minMax"/>
        </c:scaling>
        <c:delete val="1"/>
        <c:axPos val="l"/>
        <c:numFmt formatCode="General" sourceLinked="1"/>
        <c:majorTickMark val="none"/>
        <c:minorTickMark val="none"/>
        <c:tickLblPos val="nextTo"/>
        <c:crossAx val="742026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794065926680929"/>
          <c:y val="5.8666666666666666E-2"/>
          <c:w val="0.54921450252573334"/>
          <c:h val="0.81919076115485567"/>
        </c:manualLayout>
      </c:layout>
      <c:barChart>
        <c:barDir val="bar"/>
        <c:grouping val="clustered"/>
        <c:varyColors val="0"/>
        <c:ser>
          <c:idx val="0"/>
          <c:order val="0"/>
          <c:tx>
            <c:strRef>
              <c:f>Sheet1!$B$1</c:f>
              <c:strCache>
                <c:ptCount val="1"/>
                <c:pt idx="0">
                  <c:v>2035.gads</c:v>
                </c:pt>
              </c:strCache>
            </c:strRef>
          </c:tx>
          <c:spPr>
            <a:solidFill>
              <a:schemeClr val="accent1"/>
            </a:solidFill>
            <a:ln>
              <a:noFill/>
            </a:ln>
            <a:effectLst/>
          </c:spPr>
          <c:invertIfNegative val="0"/>
          <c:cat>
            <c:strRef>
              <c:f>Sheet1!$A$2:$A$10</c:f>
              <c:strCache>
                <c:ptCount val="9"/>
                <c:pt idx="0">
                  <c:v>Tehniskie darbinieki</c:v>
                </c:pt>
                <c:pt idx="1">
                  <c:v>Ierēdņi</c:v>
                </c:pt>
                <c:pt idx="2">
                  <c:v>Vienkāršo profesiju strādnieki</c:v>
                </c:pt>
                <c:pt idx="3">
                  <c:v>Lauku saimniecība un saistīti darbinieki</c:v>
                </c:pt>
                <c:pt idx="4">
                  <c:v>Vadītāji</c:v>
                </c:pt>
                <c:pt idx="5">
                  <c:v>Operatori un montieri</c:v>
                </c:pt>
                <c:pt idx="6">
                  <c:v>Speciālisti</c:v>
                </c:pt>
                <c:pt idx="7">
                  <c:v>Pakalpojumu un tirdzniecības darbinieki</c:v>
                </c:pt>
                <c:pt idx="8">
                  <c:v>Arodu darbinieki</c:v>
                </c:pt>
              </c:strCache>
            </c:strRef>
          </c:cat>
          <c:val>
            <c:numRef>
              <c:f>Sheet1!$B$2:$B$10</c:f>
              <c:numCache>
                <c:formatCode>General</c:formatCode>
                <c:ptCount val="9"/>
                <c:pt idx="0">
                  <c:v>54</c:v>
                </c:pt>
                <c:pt idx="1">
                  <c:v>40.630000000000003</c:v>
                </c:pt>
                <c:pt idx="2">
                  <c:v>14.68</c:v>
                </c:pt>
                <c:pt idx="3">
                  <c:v>20.399999999999999</c:v>
                </c:pt>
                <c:pt idx="4">
                  <c:v>72.45</c:v>
                </c:pt>
                <c:pt idx="5">
                  <c:v>13.32</c:v>
                </c:pt>
                <c:pt idx="6">
                  <c:v>87.51</c:v>
                </c:pt>
                <c:pt idx="7">
                  <c:v>25.95</c:v>
                </c:pt>
                <c:pt idx="8">
                  <c:v>15.63</c:v>
                </c:pt>
              </c:numCache>
            </c:numRef>
          </c:val>
          <c:extLst>
            <c:ext xmlns:c16="http://schemas.microsoft.com/office/drawing/2014/chart" uri="{C3380CC4-5D6E-409C-BE32-E72D297353CC}">
              <c16:uniqueId val="{00000000-3D47-4CAE-B6EB-44DFCD61F4EF}"/>
            </c:ext>
          </c:extLst>
        </c:ser>
        <c:ser>
          <c:idx val="1"/>
          <c:order val="1"/>
          <c:tx>
            <c:strRef>
              <c:f>Sheet1!$C$1</c:f>
              <c:strCache>
                <c:ptCount val="1"/>
                <c:pt idx="0">
                  <c:v>2022.gads</c:v>
                </c:pt>
              </c:strCache>
            </c:strRef>
          </c:tx>
          <c:spPr>
            <a:solidFill>
              <a:schemeClr val="accent2"/>
            </a:solidFill>
            <a:ln>
              <a:noFill/>
            </a:ln>
            <a:effectLst/>
          </c:spPr>
          <c:invertIfNegative val="0"/>
          <c:cat>
            <c:strRef>
              <c:f>Sheet1!$A$2:$A$10</c:f>
              <c:strCache>
                <c:ptCount val="9"/>
                <c:pt idx="0">
                  <c:v>Tehniskie darbinieki</c:v>
                </c:pt>
                <c:pt idx="1">
                  <c:v>Ierēdņi</c:v>
                </c:pt>
                <c:pt idx="2">
                  <c:v>Vienkāršo profesiju strādnieki</c:v>
                </c:pt>
                <c:pt idx="3">
                  <c:v>Lauku saimniecība un saistīti darbinieki</c:v>
                </c:pt>
                <c:pt idx="4">
                  <c:v>Vadītāji</c:v>
                </c:pt>
                <c:pt idx="5">
                  <c:v>Operatori un montieri</c:v>
                </c:pt>
                <c:pt idx="6">
                  <c:v>Speciālisti</c:v>
                </c:pt>
                <c:pt idx="7">
                  <c:v>Pakalpojumu un tirdzniecības darbinieki</c:v>
                </c:pt>
                <c:pt idx="8">
                  <c:v>Arodu darbinieki</c:v>
                </c:pt>
              </c:strCache>
            </c:strRef>
          </c:cat>
          <c:val>
            <c:numRef>
              <c:f>Sheet1!$C$2:$C$10</c:f>
              <c:numCache>
                <c:formatCode>General</c:formatCode>
                <c:ptCount val="9"/>
                <c:pt idx="0">
                  <c:v>44.33</c:v>
                </c:pt>
                <c:pt idx="1">
                  <c:v>30.87</c:v>
                </c:pt>
                <c:pt idx="2">
                  <c:v>7.73</c:v>
                </c:pt>
                <c:pt idx="3">
                  <c:v>11.95</c:v>
                </c:pt>
                <c:pt idx="4">
                  <c:v>63.07</c:v>
                </c:pt>
                <c:pt idx="5">
                  <c:v>8.1300000000000008</c:v>
                </c:pt>
                <c:pt idx="6">
                  <c:v>85.66</c:v>
                </c:pt>
                <c:pt idx="7">
                  <c:v>17.12</c:v>
                </c:pt>
                <c:pt idx="8">
                  <c:v>9.7899999999999991</c:v>
                </c:pt>
              </c:numCache>
            </c:numRef>
          </c:val>
          <c:extLst>
            <c:ext xmlns:c16="http://schemas.microsoft.com/office/drawing/2014/chart" uri="{C3380CC4-5D6E-409C-BE32-E72D297353CC}">
              <c16:uniqueId val="{00000001-3D47-4CAE-B6EB-44DFCD61F4EF}"/>
            </c:ext>
          </c:extLst>
        </c:ser>
        <c:dLbls>
          <c:showLegendKey val="0"/>
          <c:showVal val="0"/>
          <c:showCatName val="0"/>
          <c:showSerName val="0"/>
          <c:showPercent val="0"/>
          <c:showBubbleSize val="0"/>
        </c:dLbls>
        <c:gapWidth val="40"/>
        <c:axId val="2131878416"/>
        <c:axId val="2072544560"/>
      </c:barChart>
      <c:catAx>
        <c:axId val="2131878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2072544560"/>
        <c:crosses val="autoZero"/>
        <c:auto val="1"/>
        <c:lblAlgn val="ctr"/>
        <c:lblOffset val="100"/>
        <c:noMultiLvlLbl val="0"/>
      </c:catAx>
      <c:valAx>
        <c:axId val="2072544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2131878416"/>
        <c:crosses val="autoZero"/>
        <c:crossBetween val="between"/>
      </c:valAx>
      <c:spPr>
        <a:noFill/>
        <a:ln>
          <a:noFill/>
        </a:ln>
        <a:effectLst/>
      </c:spPr>
    </c:plotArea>
    <c:legend>
      <c:legendPos val="r"/>
      <c:layout>
        <c:manualLayout>
          <c:xMode val="edge"/>
          <c:yMode val="edge"/>
          <c:x val="0.82571981336064637"/>
          <c:y val="0.56646131233595798"/>
          <c:w val="0.11681499983199115"/>
          <c:h val="0.1764107086614173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E5DFEC"/>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1310180318519607"/>
          <c:h val="0.88902326776863527"/>
        </c:manualLayout>
      </c:layout>
      <c:barChart>
        <c:barDir val="col"/>
        <c:grouping val="clustered"/>
        <c:varyColors val="0"/>
        <c:ser>
          <c:idx val="3"/>
          <c:order val="0"/>
          <c:tx>
            <c:strRef>
              <c:f>Sheet1!$B$1</c:f>
              <c:strCache>
                <c:ptCount val="1"/>
                <c:pt idx="0">
                  <c:v>piedāvājums</c:v>
                </c:pt>
              </c:strCache>
            </c:strRef>
          </c:tx>
          <c:spPr>
            <a:solidFill>
              <a:schemeClr val="accent4"/>
            </a:solidFill>
            <a:ln>
              <a:noFill/>
            </a:ln>
            <a:effectLst/>
          </c:spPr>
          <c:invertIfNegative val="0"/>
          <c:dLbls>
            <c:delete val="1"/>
          </c:dLbls>
          <c:cat>
            <c:numRef>
              <c:f>Sheet1!$A$2:$A$11</c:f>
              <c:numCache>
                <c:formatCode>General</c:formatCode>
                <c:ptCount val="10"/>
              </c:numCache>
            </c:numRef>
          </c:cat>
          <c:val>
            <c:numRef>
              <c:f>Sheet1!$B$2:$B$11</c:f>
              <c:numCache>
                <c:formatCode>#,##0</c:formatCode>
                <c:ptCount val="10"/>
                <c:pt idx="0">
                  <c:v>100</c:v>
                </c:pt>
                <c:pt idx="1">
                  <c:v>100</c:v>
                </c:pt>
                <c:pt idx="2">
                  <c:v>100</c:v>
                </c:pt>
                <c:pt idx="3">
                  <c:v>100</c:v>
                </c:pt>
                <c:pt idx="4">
                  <c:v>100</c:v>
                </c:pt>
                <c:pt idx="5">
                  <c:v>100</c:v>
                </c:pt>
                <c:pt idx="6">
                  <c:v>100</c:v>
                </c:pt>
                <c:pt idx="7">
                  <c:v>100</c:v>
                </c:pt>
                <c:pt idx="8">
                  <c:v>100</c:v>
                </c:pt>
                <c:pt idx="9">
                  <c:v>100</c:v>
                </c:pt>
              </c:numCache>
            </c:numRef>
          </c:val>
          <c:extLst>
            <c:ext xmlns:c16="http://schemas.microsoft.com/office/drawing/2014/chart" uri="{C3380CC4-5D6E-409C-BE32-E72D297353CC}">
              <c16:uniqueId val="{00000000-5627-4C34-A98B-E280F81D2DCD}"/>
            </c:ext>
          </c:extLst>
        </c:ser>
        <c:ser>
          <c:idx val="0"/>
          <c:order val="1"/>
          <c:tx>
            <c:strRef>
              <c:f>Sheet1!$C$1</c:f>
              <c:strCache>
                <c:ptCount val="1"/>
                <c:pt idx="0">
                  <c:v>pieprasījums</c:v>
                </c:pt>
              </c:strCache>
            </c:strRef>
          </c:tx>
          <c:spPr>
            <a:solidFill>
              <a:schemeClr val="accent4">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1-5627-4C34-A98B-E280F81D2DCD}"/>
              </c:ext>
            </c:extLst>
          </c:dPt>
          <c:dLbls>
            <c:dLbl>
              <c:idx val="9"/>
              <c:layout>
                <c:manualLayout>
                  <c:x val="0"/>
                  <c:y val="0.1579346251767050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27-4C34-A98B-E280F81D2DCD}"/>
                </c:ext>
              </c:extLst>
            </c:dLbl>
            <c:spPr>
              <a:noFill/>
              <a:ln>
                <a:noFill/>
              </a:ln>
              <a:effectLst/>
            </c:spPr>
            <c:txPr>
              <a:bodyPr rot="0" vert="horz"/>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Sheet1!$C$2:$C$11</c:f>
              <c:numCache>
                <c:formatCode>0</c:formatCode>
                <c:ptCount val="10"/>
                <c:pt idx="0">
                  <c:v>94.553034835846603</c:v>
                </c:pt>
                <c:pt idx="1">
                  <c:v>99.187619764194764</c:v>
                </c:pt>
                <c:pt idx="2">
                  <c:v>98.694346572592252</c:v>
                </c:pt>
                <c:pt idx="3">
                  <c:v>99.906429007722451</c:v>
                </c:pt>
                <c:pt idx="4">
                  <c:v>88.361200816736769</c:v>
                </c:pt>
                <c:pt idx="5">
                  <c:v>91.688628415822961</c:v>
                </c:pt>
                <c:pt idx="6">
                  <c:v>101.4807740774459</c:v>
                </c:pt>
                <c:pt idx="7">
                  <c:v>109.17346985196779</c:v>
                </c:pt>
                <c:pt idx="8">
                  <c:v>103.5787555555511</c:v>
                </c:pt>
                <c:pt idx="9">
                  <c:v>69.482826983374721</c:v>
                </c:pt>
              </c:numCache>
            </c:numRef>
          </c:val>
          <c:extLst>
            <c:ext xmlns:c16="http://schemas.microsoft.com/office/drawing/2014/chart" uri="{C3380CC4-5D6E-409C-BE32-E72D297353CC}">
              <c16:uniqueId val="{00000003-5627-4C34-A98B-E280F81D2DCD}"/>
            </c:ext>
          </c:extLst>
        </c:ser>
        <c:dLbls>
          <c:showLegendKey val="0"/>
          <c:showVal val="1"/>
          <c:showCatName val="0"/>
          <c:showSerName val="0"/>
          <c:showPercent val="0"/>
          <c:showBubbleSize val="0"/>
        </c:dLbls>
        <c:gapWidth val="40"/>
        <c:overlap val="70"/>
        <c:axId val="652783304"/>
        <c:axId val="652773504"/>
      </c:barChart>
      <c:catAx>
        <c:axId val="652783304"/>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lv-LV"/>
          </a:p>
        </c:txPr>
        <c:crossAx val="652773504"/>
        <c:crosses val="autoZero"/>
        <c:auto val="0"/>
        <c:lblAlgn val="ctr"/>
        <c:lblOffset val="100"/>
        <c:tickLblSkip val="1"/>
        <c:tickMarkSkip val="1"/>
        <c:noMultiLvlLbl val="0"/>
      </c:catAx>
      <c:valAx>
        <c:axId val="652773504"/>
        <c:scaling>
          <c:orientation val="minMax"/>
          <c:max val="130"/>
          <c:min val="5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652783304"/>
        <c:crosses val="autoZero"/>
        <c:crossBetween val="between"/>
        <c:majorUnit val="20"/>
      </c:valAx>
      <c:spPr>
        <a:solidFill>
          <a:srgbClr val="FFFFFF"/>
        </a:solidFill>
        <a:ln>
          <a:noFill/>
        </a:ln>
        <a:effectLst/>
      </c:spPr>
    </c:plotArea>
    <c:legend>
      <c:legendPos val="l"/>
      <c:layout>
        <c:manualLayout>
          <c:xMode val="edge"/>
          <c:yMode val="edge"/>
          <c:x val="0.42587947920907415"/>
          <c:y val="4.5874911864512743E-2"/>
          <c:w val="0.1753675925925926"/>
          <c:h val="0.21501793969622346"/>
        </c:manualLayout>
      </c:layout>
      <c:overlay val="1"/>
      <c:spPr>
        <a:solidFill>
          <a:srgbClr val="FFFFFF"/>
        </a:solidFill>
        <a:ln>
          <a:noFill/>
        </a:ln>
        <a:effectLst/>
      </c:spPr>
      <c:txPr>
        <a:bodyPr rot="0" vert="horz"/>
        <a:lstStyle/>
        <a:p>
          <a:pPr>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1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1310180318519607"/>
          <c:h val="0.88582237276206388"/>
        </c:manualLayout>
      </c:layout>
      <c:barChart>
        <c:barDir val="col"/>
        <c:grouping val="clustered"/>
        <c:varyColors val="0"/>
        <c:ser>
          <c:idx val="3"/>
          <c:order val="0"/>
          <c:tx>
            <c:strRef>
              <c:f>Sheet1!$B$1</c:f>
              <c:strCache>
                <c:ptCount val="1"/>
                <c:pt idx="0">
                  <c:v>piedāvājums</c:v>
                </c:pt>
              </c:strCache>
            </c:strRef>
          </c:tx>
          <c:spPr>
            <a:solidFill>
              <a:schemeClr val="accent4"/>
            </a:solidFill>
            <a:ln>
              <a:noFill/>
            </a:ln>
            <a:effectLst/>
          </c:spPr>
          <c:invertIfNegative val="0"/>
          <c:dLbls>
            <c:delete val="1"/>
          </c:dLbls>
          <c:cat>
            <c:numRef>
              <c:f>Sheet1!$A$2:$A$11</c:f>
              <c:numCache>
                <c:formatCode>General</c:formatCode>
                <c:ptCount val="10"/>
              </c:numCache>
            </c:numRef>
          </c:cat>
          <c:val>
            <c:numRef>
              <c:f>Sheet1!$B$2:$B$11</c:f>
              <c:numCache>
                <c:formatCode>#,##0</c:formatCode>
                <c:ptCount val="10"/>
                <c:pt idx="0">
                  <c:v>100</c:v>
                </c:pt>
                <c:pt idx="1">
                  <c:v>100</c:v>
                </c:pt>
                <c:pt idx="2">
                  <c:v>100</c:v>
                </c:pt>
                <c:pt idx="3">
                  <c:v>100</c:v>
                </c:pt>
                <c:pt idx="4">
                  <c:v>100</c:v>
                </c:pt>
                <c:pt idx="5">
                  <c:v>100</c:v>
                </c:pt>
                <c:pt idx="6">
                  <c:v>100</c:v>
                </c:pt>
                <c:pt idx="7">
                  <c:v>100</c:v>
                </c:pt>
                <c:pt idx="8">
                  <c:v>100</c:v>
                </c:pt>
                <c:pt idx="9">
                  <c:v>100</c:v>
                </c:pt>
              </c:numCache>
            </c:numRef>
          </c:val>
          <c:extLst>
            <c:ext xmlns:c16="http://schemas.microsoft.com/office/drawing/2014/chart" uri="{C3380CC4-5D6E-409C-BE32-E72D297353CC}">
              <c16:uniqueId val="{00000000-3D99-4E39-8400-BFDDD51832D2}"/>
            </c:ext>
          </c:extLst>
        </c:ser>
        <c:ser>
          <c:idx val="0"/>
          <c:order val="1"/>
          <c:tx>
            <c:strRef>
              <c:f>Sheet1!$C$1</c:f>
              <c:strCache>
                <c:ptCount val="1"/>
                <c:pt idx="0">
                  <c:v>pieprasījums</c:v>
                </c:pt>
              </c:strCache>
            </c:strRef>
          </c:tx>
          <c:spPr>
            <a:solidFill>
              <a:schemeClr val="accent4">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1-3D99-4E39-8400-BFDDD51832D2}"/>
              </c:ext>
            </c:extLst>
          </c:dPt>
          <c:dLbls>
            <c:dLbl>
              <c:idx val="9"/>
              <c:layout>
                <c:manualLayout>
                  <c:x val="0"/>
                  <c:y val="0.128890031225143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99-4E39-8400-BFDDD51832D2}"/>
                </c:ext>
              </c:extLst>
            </c:dLbl>
            <c:spPr>
              <a:noFill/>
              <a:ln>
                <a:noFill/>
              </a:ln>
              <a:effectLst/>
            </c:spPr>
            <c:txPr>
              <a:bodyPr rot="0" vert="horz"/>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Sheet1!$C$2:$C$11</c:f>
              <c:numCache>
                <c:formatCode>#,##0</c:formatCode>
                <c:ptCount val="10"/>
                <c:pt idx="0">
                  <c:v>95.047579853206287</c:v>
                </c:pt>
                <c:pt idx="1">
                  <c:v>99.524243833186375</c:v>
                </c:pt>
                <c:pt idx="2">
                  <c:v>95.366783633204477</c:v>
                </c:pt>
                <c:pt idx="3">
                  <c:v>100.91799848946134</c:v>
                </c:pt>
                <c:pt idx="4">
                  <c:v>80.245627485755477</c:v>
                </c:pt>
                <c:pt idx="5">
                  <c:v>88.830466582848544</c:v>
                </c:pt>
                <c:pt idx="6">
                  <c:v>105.57205282758251</c:v>
                </c:pt>
                <c:pt idx="7">
                  <c:v>129.45107637519973</c:v>
                </c:pt>
                <c:pt idx="8">
                  <c:v>114.38252703726867</c:v>
                </c:pt>
                <c:pt idx="9">
                  <c:v>59.571151763382076</c:v>
                </c:pt>
              </c:numCache>
            </c:numRef>
          </c:val>
          <c:extLst>
            <c:ext xmlns:c16="http://schemas.microsoft.com/office/drawing/2014/chart" uri="{C3380CC4-5D6E-409C-BE32-E72D297353CC}">
              <c16:uniqueId val="{00000003-3D99-4E39-8400-BFDDD51832D2}"/>
            </c:ext>
          </c:extLst>
        </c:ser>
        <c:dLbls>
          <c:showLegendKey val="0"/>
          <c:showVal val="1"/>
          <c:showCatName val="0"/>
          <c:showSerName val="0"/>
          <c:showPercent val="0"/>
          <c:showBubbleSize val="0"/>
        </c:dLbls>
        <c:gapWidth val="40"/>
        <c:overlap val="70"/>
        <c:axId val="652779384"/>
        <c:axId val="652779776"/>
      </c:barChart>
      <c:catAx>
        <c:axId val="652779384"/>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lv-LV"/>
          </a:p>
        </c:txPr>
        <c:crossAx val="652779776"/>
        <c:crosses val="autoZero"/>
        <c:auto val="0"/>
        <c:lblAlgn val="ctr"/>
        <c:lblOffset val="100"/>
        <c:tickLblSkip val="1"/>
        <c:tickMarkSkip val="1"/>
        <c:noMultiLvlLbl val="0"/>
      </c:catAx>
      <c:valAx>
        <c:axId val="652779776"/>
        <c:scaling>
          <c:orientation val="minMax"/>
          <c:max val="130"/>
          <c:min val="5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652779384"/>
        <c:crosses val="autoZero"/>
        <c:crossBetween val="between"/>
        <c:majorUnit val="20"/>
      </c:valAx>
      <c:spPr>
        <a:solidFill>
          <a:srgbClr val="FFFFFF"/>
        </a:solidFill>
        <a:ln>
          <a:noFill/>
        </a:ln>
        <a:effectLst/>
      </c:spPr>
    </c:plotArea>
    <c:legend>
      <c:legendPos val="l"/>
      <c:layout>
        <c:manualLayout>
          <c:xMode val="edge"/>
          <c:yMode val="edge"/>
          <c:x val="0.42587947920907415"/>
          <c:y val="0"/>
          <c:w val="0.1753675925925926"/>
          <c:h val="0.2620584976502992"/>
        </c:manualLayout>
      </c:layout>
      <c:overlay val="1"/>
      <c:spPr>
        <a:solidFill>
          <a:srgbClr val="FFFFFF"/>
        </a:solidFill>
        <a:ln>
          <a:noFill/>
        </a:ln>
        <a:effectLst/>
      </c:spPr>
      <c:txPr>
        <a:bodyPr rot="0" vert="horz"/>
        <a:lstStyle/>
        <a:p>
          <a:pPr>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145291651112511E-2"/>
          <c:y val="2.9830040724474274E-2"/>
          <c:w val="0.91017927059007375"/>
          <c:h val="0.87407059741655713"/>
        </c:manualLayout>
      </c:layout>
      <c:scatterChart>
        <c:scatterStyle val="smoothMarker"/>
        <c:varyColors val="0"/>
        <c:ser>
          <c:idx val="0"/>
          <c:order val="0"/>
          <c:tx>
            <c:strRef>
              <c:f>Sheet1!$C$1</c:f>
              <c:strCache>
                <c:ptCount val="1"/>
                <c:pt idx="0">
                  <c:v>Y-Values</c:v>
                </c:pt>
              </c:strCache>
            </c:strRef>
          </c:tx>
          <c:spPr>
            <a:ln w="28575">
              <a:solidFill>
                <a:srgbClr val="4F81BD">
                  <a:lumMod val="75000"/>
                </a:srgbClr>
              </a:solidFill>
            </a:ln>
          </c:spPr>
          <c:marker>
            <c:symbol val="diamond"/>
            <c:size val="5"/>
            <c:spPr>
              <a:solidFill>
                <a:sysClr val="window" lastClr="FFFFFF">
                  <a:lumMod val="85000"/>
                </a:sysClr>
              </a:solidFill>
              <a:ln w="0">
                <a:solidFill>
                  <a:sysClr val="window" lastClr="FFFFFF">
                    <a:lumMod val="50000"/>
                  </a:sysClr>
                </a:solidFill>
              </a:ln>
            </c:spPr>
          </c:marker>
          <c:dPt>
            <c:idx val="33"/>
            <c:marker>
              <c:spPr>
                <a:solidFill>
                  <a:srgbClr val="E7E6E6"/>
                </a:solidFill>
                <a:ln w="0">
                  <a:solidFill>
                    <a:sysClr val="window" lastClr="FFFFFF">
                      <a:lumMod val="50000"/>
                    </a:sysClr>
                  </a:solidFill>
                </a:ln>
              </c:spPr>
            </c:marker>
            <c:bubble3D val="0"/>
            <c:extLst>
              <c:ext xmlns:c16="http://schemas.microsoft.com/office/drawing/2014/chart" uri="{C3380CC4-5D6E-409C-BE32-E72D297353CC}">
                <c16:uniqueId val="{00000000-82BA-40C0-A421-182025A845FC}"/>
              </c:ext>
            </c:extLst>
          </c:dPt>
          <c:dPt>
            <c:idx val="35"/>
            <c:bubble3D val="0"/>
            <c:extLst>
              <c:ext xmlns:c16="http://schemas.microsoft.com/office/drawing/2014/chart" uri="{C3380CC4-5D6E-409C-BE32-E72D297353CC}">
                <c16:uniqueId val="{00000001-82BA-40C0-A421-182025A845FC}"/>
              </c:ext>
            </c:extLst>
          </c:dPt>
          <c:dPt>
            <c:idx val="37"/>
            <c:marker>
              <c:symbol val="none"/>
            </c:marker>
            <c:bubble3D val="0"/>
            <c:extLst>
              <c:ext xmlns:c16="http://schemas.microsoft.com/office/drawing/2014/chart" uri="{C3380CC4-5D6E-409C-BE32-E72D297353CC}">
                <c16:uniqueId val="{00000002-82BA-40C0-A421-182025A845FC}"/>
              </c:ext>
            </c:extLst>
          </c:dPt>
          <c:dPt>
            <c:idx val="38"/>
            <c:marker>
              <c:symbol val="none"/>
            </c:marker>
            <c:bubble3D val="0"/>
            <c:extLst>
              <c:ext xmlns:c16="http://schemas.microsoft.com/office/drawing/2014/chart" uri="{C3380CC4-5D6E-409C-BE32-E72D297353CC}">
                <c16:uniqueId val="{00000003-82BA-40C0-A421-182025A845FC}"/>
              </c:ext>
            </c:extLst>
          </c:dPt>
          <c:dPt>
            <c:idx val="39"/>
            <c:bubble3D val="0"/>
            <c:extLst>
              <c:ext xmlns:c16="http://schemas.microsoft.com/office/drawing/2014/chart" uri="{C3380CC4-5D6E-409C-BE32-E72D297353CC}">
                <c16:uniqueId val="{00000004-82BA-40C0-A421-182025A845FC}"/>
              </c:ext>
            </c:extLst>
          </c:dPt>
          <c:dPt>
            <c:idx val="41"/>
            <c:bubble3D val="0"/>
            <c:extLst>
              <c:ext xmlns:c16="http://schemas.microsoft.com/office/drawing/2014/chart" uri="{C3380CC4-5D6E-409C-BE32-E72D297353CC}">
                <c16:uniqueId val="{00000005-82BA-40C0-A421-182025A845FC}"/>
              </c:ext>
            </c:extLst>
          </c:dPt>
          <c:dPt>
            <c:idx val="43"/>
            <c:bubble3D val="0"/>
            <c:extLst>
              <c:ext xmlns:c16="http://schemas.microsoft.com/office/drawing/2014/chart" uri="{C3380CC4-5D6E-409C-BE32-E72D297353CC}">
                <c16:uniqueId val="{00000006-82BA-40C0-A421-182025A845FC}"/>
              </c:ext>
            </c:extLst>
          </c:dPt>
          <c:dPt>
            <c:idx val="47"/>
            <c:marker>
              <c:spPr>
                <a:solidFill>
                  <a:sysClr val="window" lastClr="FFFFFF">
                    <a:lumMod val="85000"/>
                  </a:sysClr>
                </a:solidFill>
                <a:ln w="0" cap="flat" cmpd="sng">
                  <a:solidFill>
                    <a:sysClr val="window" lastClr="FFFFFF">
                      <a:lumMod val="50000"/>
                    </a:sysClr>
                  </a:solidFill>
                  <a:round/>
                </a:ln>
              </c:spPr>
            </c:marker>
            <c:bubble3D val="0"/>
            <c:extLst>
              <c:ext xmlns:c16="http://schemas.microsoft.com/office/drawing/2014/chart" uri="{C3380CC4-5D6E-409C-BE32-E72D297353CC}">
                <c16:uniqueId val="{00000007-82BA-40C0-A421-182025A845FC}"/>
              </c:ext>
            </c:extLst>
          </c:dPt>
          <c:dPt>
            <c:idx val="55"/>
            <c:bubble3D val="0"/>
            <c:extLst>
              <c:ext xmlns:c16="http://schemas.microsoft.com/office/drawing/2014/chart" uri="{C3380CC4-5D6E-409C-BE32-E72D297353CC}">
                <c16:uniqueId val="{00000008-82BA-40C0-A421-182025A845FC}"/>
              </c:ext>
            </c:extLst>
          </c:dPt>
          <c:dPt>
            <c:idx val="57"/>
            <c:marker>
              <c:symbol val="circle"/>
              <c:size val="7"/>
              <c:spPr>
                <a:solidFill>
                  <a:srgbClr val="C00000"/>
                </a:solidFill>
                <a:ln w="0">
                  <a:solidFill>
                    <a:sysClr val="window" lastClr="FFFFFF">
                      <a:lumMod val="50000"/>
                    </a:sysClr>
                  </a:solidFill>
                </a:ln>
              </c:spPr>
            </c:marker>
            <c:bubble3D val="0"/>
            <c:extLst>
              <c:ext xmlns:c16="http://schemas.microsoft.com/office/drawing/2014/chart" uri="{C3380CC4-5D6E-409C-BE32-E72D297353CC}">
                <c16:uniqueId val="{00000009-82BA-40C0-A421-182025A845FC}"/>
              </c:ext>
            </c:extLst>
          </c:dPt>
          <c:dLbls>
            <c:dLbl>
              <c:idx val="1"/>
              <c:tx>
                <c:rich>
                  <a:bodyPr/>
                  <a:lstStyle/>
                  <a:p>
                    <a:r>
                      <a:rPr lang="en-US" dirty="0"/>
                      <a:t>2010 II</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2BA-40C0-A421-182025A845FC}"/>
                </c:ext>
              </c:extLst>
            </c:dLbl>
            <c:dLbl>
              <c:idx val="9"/>
              <c:layout>
                <c:manualLayout>
                  <c:x val="-5.4479756456899744E-2"/>
                  <c:y val="-4.6991524874982121E-2"/>
                </c:manualLayout>
              </c:layout>
              <c:tx>
                <c:rich>
                  <a:bodyPr/>
                  <a:lstStyle/>
                  <a:p>
                    <a:r>
                      <a:rPr lang="en-US" dirty="0"/>
                      <a:t>2012 II</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2BA-40C0-A421-182025A845FC}"/>
                </c:ext>
              </c:extLst>
            </c:dLbl>
            <c:dLbl>
              <c:idx val="19"/>
              <c:layout>
                <c:manualLayout>
                  <c:x val="-9.0456806874717369E-2"/>
                  <c:y val="3.6188178528347409E-2"/>
                </c:manualLayout>
              </c:layout>
              <c:tx>
                <c:rich>
                  <a:bodyPr/>
                  <a:lstStyle/>
                  <a:p>
                    <a:r>
                      <a:rPr lang="en-US"/>
                      <a:t>2014 IV</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2BA-40C0-A421-182025A845FC}"/>
                </c:ext>
              </c:extLst>
            </c:dLbl>
            <c:dLbl>
              <c:idx val="29"/>
              <c:layout>
                <c:manualLayout>
                  <c:x val="-0.11198481465257824"/>
                  <c:y val="4.8993664694205144E-2"/>
                </c:manualLayout>
              </c:layout>
              <c:tx>
                <c:rich>
                  <a:bodyPr/>
                  <a:lstStyle/>
                  <a:p>
                    <a:r>
                      <a:rPr lang="en-US"/>
                      <a:t>2017 II</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2BA-40C0-A421-182025A845FC}"/>
                </c:ext>
              </c:extLst>
            </c:dLbl>
            <c:dLbl>
              <c:idx val="40"/>
              <c:layout>
                <c:manualLayout>
                  <c:x val="1.9845644983461964E-2"/>
                  <c:y val="-5.8806233460746843E-3"/>
                </c:manualLayout>
              </c:layout>
              <c:tx>
                <c:rich>
                  <a:bodyPr/>
                  <a:lstStyle/>
                  <a:p>
                    <a:r>
                      <a:rPr lang="en-US"/>
                      <a:t>2020</a:t>
                    </a:r>
                    <a:r>
                      <a:rPr lang="en-US" baseline="0"/>
                      <a:t> I</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2BA-40C0-A421-182025A845FC}"/>
                </c:ext>
              </c:extLst>
            </c:dLbl>
            <c:dLbl>
              <c:idx val="43"/>
              <c:layout>
                <c:manualLayout>
                  <c:x val="2.2050716648290667E-3"/>
                  <c:y val="4.7044986768597474E-2"/>
                </c:manualLayout>
              </c:layout>
              <c:tx>
                <c:rich>
                  <a:bodyPr/>
                  <a:lstStyle/>
                  <a:p>
                    <a:r>
                      <a:rPr lang="en-US"/>
                      <a:t>2020 IV</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BA-40C0-A421-182025A845FC}"/>
                </c:ext>
              </c:extLst>
            </c:dLbl>
            <c:dLbl>
              <c:idx val="47"/>
              <c:delete val="1"/>
              <c:extLst>
                <c:ext xmlns:c15="http://schemas.microsoft.com/office/drawing/2012/chart" uri="{CE6537A1-D6FC-4f65-9D91-7224C49458BB}">
                  <c15:layout>
                    <c:manualLayout>
                      <c:w val="5.8423460573492257E-2"/>
                      <c:h val="9.7883207116017293E-2"/>
                    </c:manualLayout>
                  </c15:layout>
                </c:ext>
                <c:ext xmlns:c16="http://schemas.microsoft.com/office/drawing/2014/chart" uri="{C3380CC4-5D6E-409C-BE32-E72D297353CC}">
                  <c16:uniqueId val="{00000007-82BA-40C0-A421-182025A845FC}"/>
                </c:ext>
              </c:extLst>
            </c:dLbl>
            <c:dLbl>
              <c:idx val="48"/>
              <c:layout>
                <c:manualLayout>
                  <c:x val="2.2050716648291068E-2"/>
                  <c:y val="0"/>
                </c:manualLayout>
              </c:layout>
              <c:tx>
                <c:rich>
                  <a:bodyPr/>
                  <a:lstStyle/>
                  <a:p>
                    <a:r>
                      <a:rPr lang="en-US"/>
                      <a:t>2022 I</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2BA-40C0-A421-182025A845FC}"/>
                </c:ext>
              </c:extLst>
            </c:dLbl>
            <c:dLbl>
              <c:idx val="50"/>
              <c:layout>
                <c:manualLayout>
                  <c:x val="-7.4972436604189632E-2"/>
                  <c:y val="-9.9970596883269633E-2"/>
                </c:manualLayout>
              </c:layout>
              <c:tx>
                <c:rich>
                  <a:bodyPr wrap="square" lIns="38100" tIns="19050" rIns="38100" bIns="19050" anchor="ctr">
                    <a:noAutofit/>
                  </a:bodyPr>
                  <a:lstStyle/>
                  <a:p>
                    <a:pPr>
                      <a:defRPr/>
                    </a:pPr>
                    <a:r>
                      <a:rPr lang="en-US"/>
                      <a:t>2022 III</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6471798522428363E-2"/>
                      <c:h val="0.11552507715424136"/>
                    </c:manualLayout>
                  </c15:layout>
                </c:ext>
                <c:ext xmlns:c16="http://schemas.microsoft.com/office/drawing/2014/chart" uri="{C3380CC4-5D6E-409C-BE32-E72D297353CC}">
                  <c16:uniqueId val="{00000010-82BA-40C0-A421-182025A845FC}"/>
                </c:ext>
              </c:extLst>
            </c:dLbl>
            <c:dLbl>
              <c:idx val="53"/>
              <c:layout>
                <c:manualLayout>
                  <c:x val="-8.1587651598676952E-2"/>
                  <c:y val="-2.3522493384298737E-2"/>
                </c:manualLayout>
              </c:layout>
              <c:tx>
                <c:rich>
                  <a:bodyPr/>
                  <a:lstStyle/>
                  <a:p>
                    <a:r>
                      <a:rPr lang="en-US"/>
                      <a:t>2023 II</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2BA-40C0-A421-182025A845FC}"/>
                </c:ext>
              </c:extLst>
            </c:dLbl>
            <c:dLbl>
              <c:idx val="57"/>
              <c:layout>
                <c:manualLayout>
                  <c:x val="-8.3792723263506064E-2"/>
                  <c:y val="6.4705882352941183E-2"/>
                </c:manualLayout>
              </c:layout>
              <c:tx>
                <c:rich>
                  <a:bodyPr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800" b="0" i="0" u="none" strike="noStrike" kern="1200" baseline="0">
                        <a:solidFill>
                          <a:sysClr val="windowText" lastClr="000000"/>
                        </a:solidFill>
                        <a:latin typeface="Segoe UI Light" panose="020B0502040204020203" pitchFamily="34" charset="0"/>
                        <a:cs typeface="Segoe UI Light" panose="020B0502040204020203" pitchFamily="34" charset="0"/>
                      </a:rPr>
                      <a:t>2024 II</a:t>
                    </a:r>
                  </a:p>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BA-40C0-A421-182025A845F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3175"/>
                  </c:spPr>
                </c15:leaderLines>
              </c:ext>
            </c:extLst>
          </c:dLbls>
          <c:xVal>
            <c:numRef>
              <c:f>Sheet1!$B$2:$B$75</c:f>
              <c:numCache>
                <c:formatCode>General</c:formatCode>
                <c:ptCount val="58"/>
                <c:pt idx="0">
                  <c:v>17.666666666666668</c:v>
                </c:pt>
                <c:pt idx="1">
                  <c:v>17.962444423422571</c:v>
                </c:pt>
                <c:pt idx="2">
                  <c:v>16.261705920990895</c:v>
                </c:pt>
                <c:pt idx="3">
                  <c:v>15.495089158005149</c:v>
                </c:pt>
                <c:pt idx="4">
                  <c:v>16.215116279069768</c:v>
                </c:pt>
                <c:pt idx="5">
                  <c:v>15.240104267233058</c:v>
                </c:pt>
                <c:pt idx="6">
                  <c:v>13.356428918000972</c:v>
                </c:pt>
                <c:pt idx="7">
                  <c:v>12.651773599534794</c:v>
                </c:pt>
                <c:pt idx="8">
                  <c:v>13.074457593688361</c:v>
                </c:pt>
                <c:pt idx="9">
                  <c:v>12.343798299845439</c:v>
                </c:pt>
                <c:pt idx="10">
                  <c:v>11.06502653159672</c:v>
                </c:pt>
                <c:pt idx="11">
                  <c:v>10.188006170458927</c:v>
                </c:pt>
                <c:pt idx="12">
                  <c:v>10.624493426905207</c:v>
                </c:pt>
                <c:pt idx="13">
                  <c:v>10.23811895984856</c:v>
                </c:pt>
                <c:pt idx="14">
                  <c:v>9.0539487778751582</c:v>
                </c:pt>
                <c:pt idx="15">
                  <c:v>8.831772937814133</c:v>
                </c:pt>
                <c:pt idx="16">
                  <c:v>9.673298010596822</c:v>
                </c:pt>
                <c:pt idx="17">
                  <c:v>9.2444489098764198</c:v>
                </c:pt>
                <c:pt idx="18">
                  <c:v>8.395215021199272</c:v>
                </c:pt>
                <c:pt idx="19">
                  <c:v>8.0568783068783087</c:v>
                </c:pt>
                <c:pt idx="20">
                  <c:v>8.7594962421287832</c:v>
                </c:pt>
                <c:pt idx="21">
                  <c:v>8.3224153521551294</c:v>
                </c:pt>
                <c:pt idx="22">
                  <c:v>8.0759835819401342</c:v>
                </c:pt>
                <c:pt idx="23">
                  <c:v>7.8200581104097795</c:v>
                </c:pt>
                <c:pt idx="24">
                  <c:v>8.628519527702089</c:v>
                </c:pt>
                <c:pt idx="25">
                  <c:v>8.288016112789526</c:v>
                </c:pt>
                <c:pt idx="26">
                  <c:v>7.8229229836264418</c:v>
                </c:pt>
                <c:pt idx="27">
                  <c:v>7.5471871178149197</c:v>
                </c:pt>
                <c:pt idx="28">
                  <c:v>8.1999999999999993</c:v>
                </c:pt>
                <c:pt idx="29">
                  <c:v>7.2</c:v>
                </c:pt>
                <c:pt idx="30">
                  <c:v>6.6</c:v>
                </c:pt>
                <c:pt idx="31">
                  <c:v>6.8</c:v>
                </c:pt>
                <c:pt idx="32">
                  <c:v>7</c:v>
                </c:pt>
                <c:pt idx="33">
                  <c:v>6.4</c:v>
                </c:pt>
                <c:pt idx="34">
                  <c:v>6.1</c:v>
                </c:pt>
                <c:pt idx="35">
                  <c:v>6.4</c:v>
                </c:pt>
                <c:pt idx="36">
                  <c:v>6.6</c:v>
                </c:pt>
                <c:pt idx="37">
                  <c:v>6</c:v>
                </c:pt>
                <c:pt idx="38">
                  <c:v>5.7</c:v>
                </c:pt>
                <c:pt idx="39">
                  <c:v>6.2</c:v>
                </c:pt>
                <c:pt idx="40">
                  <c:v>6.8</c:v>
                </c:pt>
                <c:pt idx="41">
                  <c:v>8.6</c:v>
                </c:pt>
                <c:pt idx="42">
                  <c:v>7.7</c:v>
                </c:pt>
                <c:pt idx="43">
                  <c:v>7.7</c:v>
                </c:pt>
                <c:pt idx="44">
                  <c:v>8.1999999999999993</c:v>
                </c:pt>
                <c:pt idx="45">
                  <c:v>7.4</c:v>
                </c:pt>
                <c:pt idx="46">
                  <c:v>6</c:v>
                </c:pt>
                <c:pt idx="47">
                  <c:v>6.7</c:v>
                </c:pt>
                <c:pt idx="48">
                  <c:v>6.8</c:v>
                </c:pt>
                <c:pt idx="49">
                  <c:v>5.9</c:v>
                </c:pt>
                <c:pt idx="50">
                  <c:v>5.7</c:v>
                </c:pt>
                <c:pt idx="51">
                  <c:v>6.1</c:v>
                </c:pt>
                <c:pt idx="52">
                  <c:v>6</c:v>
                </c:pt>
                <c:pt idx="53">
                  <c:v>5.5</c:v>
                </c:pt>
                <c:pt idx="54">
                  <c:v>5.3</c:v>
                </c:pt>
                <c:pt idx="55">
                  <c:v>5.7</c:v>
                </c:pt>
                <c:pt idx="56">
                  <c:v>5.8</c:v>
                </c:pt>
                <c:pt idx="57">
                  <c:v>5.0999999999999996</c:v>
                </c:pt>
              </c:numCache>
            </c:numRef>
          </c:xVal>
          <c:yVal>
            <c:numRef>
              <c:f>Sheet1!$C$2:$C$75</c:f>
              <c:numCache>
                <c:formatCode>General</c:formatCode>
                <c:ptCount val="58"/>
                <c:pt idx="0">
                  <c:v>0.16083451872925558</c:v>
                </c:pt>
                <c:pt idx="1">
                  <c:v>0.25276700406773245</c:v>
                </c:pt>
                <c:pt idx="2">
                  <c:v>0.31856995402083138</c:v>
                </c:pt>
                <c:pt idx="3">
                  <c:v>0.21540955468675502</c:v>
                </c:pt>
                <c:pt idx="4">
                  <c:v>0.25187229010642492</c:v>
                </c:pt>
                <c:pt idx="5">
                  <c:v>0.354701679860977</c:v>
                </c:pt>
                <c:pt idx="6">
                  <c:v>0.36157205240174672</c:v>
                </c:pt>
                <c:pt idx="7">
                  <c:v>0.24345803450281062</c:v>
                </c:pt>
                <c:pt idx="8">
                  <c:v>0.29457593688362921</c:v>
                </c:pt>
                <c:pt idx="9">
                  <c:v>0.39547913446676969</c:v>
                </c:pt>
                <c:pt idx="10">
                  <c:v>0.4894356005788712</c:v>
                </c:pt>
                <c:pt idx="11">
                  <c:v>0.30273814114924796</c:v>
                </c:pt>
                <c:pt idx="12">
                  <c:v>0.43599881387763173</c:v>
                </c:pt>
                <c:pt idx="13">
                  <c:v>0.59161103915512603</c:v>
                </c:pt>
                <c:pt idx="14">
                  <c:v>0.57727139935728888</c:v>
                </c:pt>
                <c:pt idx="15">
                  <c:v>0.42810682960480928</c:v>
                </c:pt>
                <c:pt idx="16">
                  <c:v>0.51194641607517744</c:v>
                </c:pt>
                <c:pt idx="17">
                  <c:v>0.61087109414246965</c:v>
                </c:pt>
                <c:pt idx="18">
                  <c:v>0.66262870987280431</c:v>
                </c:pt>
                <c:pt idx="19">
                  <c:v>0.42205942205942204</c:v>
                </c:pt>
                <c:pt idx="20">
                  <c:v>0.49482023156611821</c:v>
                </c:pt>
                <c:pt idx="21">
                  <c:v>0.62021501054958306</c:v>
                </c:pt>
                <c:pt idx="22">
                  <c:v>0.65892481729902896</c:v>
                </c:pt>
                <c:pt idx="23">
                  <c:v>0.51157198677487226</c:v>
                </c:pt>
                <c:pt idx="24">
                  <c:v>0.58724391966898781</c:v>
                </c:pt>
                <c:pt idx="25">
                  <c:v>0.65146022155085603</c:v>
                </c:pt>
                <c:pt idx="26">
                  <c:v>0.56448352536891044</c:v>
                </c:pt>
                <c:pt idx="27">
                  <c:v>0.452914798206278</c:v>
                </c:pt>
                <c:pt idx="28" formatCode="0.00">
                  <c:v>0.73125898541795031</c:v>
                </c:pt>
                <c:pt idx="29" formatCode="0.00">
                  <c:v>0.8169273229070837</c:v>
                </c:pt>
                <c:pt idx="30" formatCode="0.00">
                  <c:v>1.1328267477203648</c:v>
                </c:pt>
                <c:pt idx="31" formatCode="0.00">
                  <c:v>1.2869946023016601</c:v>
                </c:pt>
                <c:pt idx="32" formatCode="0.00">
                  <c:v>1.6555214723926381</c:v>
                </c:pt>
                <c:pt idx="33" formatCode="0.00">
                  <c:v>2.0326903553299491</c:v>
                </c:pt>
                <c:pt idx="34" formatCode="0.00">
                  <c:v>2.4454894822006472</c:v>
                </c:pt>
                <c:pt idx="35" formatCode="0.00">
                  <c:v>1.8352953219367387</c:v>
                </c:pt>
                <c:pt idx="36" formatCode="0.00">
                  <c:v>2.9129404492066762</c:v>
                </c:pt>
                <c:pt idx="37" formatCode="0.00">
                  <c:v>3.2232447523523939</c:v>
                </c:pt>
                <c:pt idx="38" formatCode="0.00">
                  <c:v>3.1983208764205999</c:v>
                </c:pt>
                <c:pt idx="39" formatCode="0.00">
                  <c:v>3.3442842430484037</c:v>
                </c:pt>
                <c:pt idx="40" formatCode="0.00">
                  <c:v>2.7641934822709571</c:v>
                </c:pt>
                <c:pt idx="41" formatCode="0.00">
                  <c:v>1.8491184911849119</c:v>
                </c:pt>
                <c:pt idx="42" formatCode="0.00">
                  <c:v>1.8063026072675015</c:v>
                </c:pt>
                <c:pt idx="43" formatCode="0.00">
                  <c:v>1.5055665383414838</c:v>
                </c:pt>
                <c:pt idx="44" formatCode="0.00">
                  <c:v>1.9615260265114776</c:v>
                </c:pt>
                <c:pt idx="45" formatCode="0.00">
                  <c:v>2.1568816169393648</c:v>
                </c:pt>
                <c:pt idx="46" formatCode="0.00">
                  <c:v>2.4996824724809485</c:v>
                </c:pt>
                <c:pt idx="47" formatCode="0.00">
                  <c:v>2.2676480068765446</c:v>
                </c:pt>
                <c:pt idx="48" formatCode="0.00">
                  <c:v>3.4686866531526728</c:v>
                </c:pt>
                <c:pt idx="49" formatCode="0.00">
                  <c:v>3.2806962025316455</c:v>
                </c:pt>
                <c:pt idx="50" formatCode="0.00">
                  <c:v>3.0278496738792837</c:v>
                </c:pt>
                <c:pt idx="51" formatCode="0.00">
                  <c:v>2.4280473744890472</c:v>
                </c:pt>
                <c:pt idx="52" formatCode="0.00">
                  <c:v>2.5544564986173155</c:v>
                </c:pt>
                <c:pt idx="53" formatCode="0.00">
                  <c:v>2.586057793714406</c:v>
                </c:pt>
                <c:pt idx="54" formatCode="0.00">
                  <c:v>2.2989290214195717</c:v>
                </c:pt>
                <c:pt idx="55" formatCode="0.00">
                  <c:v>2.0510669922497082</c:v>
                </c:pt>
                <c:pt idx="56" formatCode="0.00">
                  <c:v>2.0630402698713892</c:v>
                </c:pt>
                <c:pt idx="57" formatCode="0.00">
                  <c:v>2.0945744680851064</c:v>
                </c:pt>
              </c:numCache>
            </c:numRef>
          </c:yVal>
          <c:smooth val="1"/>
          <c:extLst>
            <c:ext xmlns:c16="http://schemas.microsoft.com/office/drawing/2014/chart" uri="{C3380CC4-5D6E-409C-BE32-E72D297353CC}">
              <c16:uniqueId val="{00000012-82BA-40C0-A421-182025A845FC}"/>
            </c:ext>
          </c:extLst>
        </c:ser>
        <c:dLbls>
          <c:showLegendKey val="0"/>
          <c:showVal val="1"/>
          <c:showCatName val="0"/>
          <c:showSerName val="0"/>
          <c:showPercent val="0"/>
          <c:showBubbleSize val="0"/>
        </c:dLbls>
        <c:axId val="468466264"/>
        <c:axId val="468470184"/>
      </c:scatterChart>
      <c:valAx>
        <c:axId val="468466264"/>
        <c:scaling>
          <c:orientation val="minMax"/>
          <c:max val="20"/>
          <c:min val="4"/>
        </c:scaling>
        <c:delete val="0"/>
        <c:axPos val="b"/>
        <c:numFmt formatCode="General" sourceLinked="1"/>
        <c:majorTickMark val="out"/>
        <c:minorTickMark val="none"/>
        <c:tickLblPos val="nextTo"/>
        <c:spPr>
          <a:ln w="9525">
            <a:solidFill>
              <a:sysClr val="window" lastClr="FFFFFF">
                <a:lumMod val="65000"/>
              </a:sysClr>
            </a:solidFill>
          </a:ln>
        </c:spPr>
        <c:crossAx val="468470184"/>
        <c:crosses val="autoZero"/>
        <c:crossBetween val="midCat"/>
        <c:majorUnit val="2"/>
      </c:valAx>
      <c:valAx>
        <c:axId val="468470184"/>
        <c:scaling>
          <c:orientation val="minMax"/>
          <c:max val="3.6"/>
          <c:min val="0"/>
        </c:scaling>
        <c:delete val="0"/>
        <c:axPos val="l"/>
        <c:numFmt formatCode="0.0" sourceLinked="0"/>
        <c:majorTickMark val="out"/>
        <c:minorTickMark val="none"/>
        <c:tickLblPos val="nextTo"/>
        <c:spPr>
          <a:ln w="3175">
            <a:noFill/>
          </a:ln>
        </c:spPr>
        <c:crossAx val="468466264"/>
        <c:crosses val="autoZero"/>
        <c:crossBetween val="midCat"/>
        <c:majorUnit val="0.9"/>
      </c:valAx>
      <c:spPr>
        <a:noFill/>
        <a:ln w="25400">
          <a:noFill/>
        </a:ln>
      </c:spPr>
    </c:plotArea>
    <c:plotVisOnly val="1"/>
    <c:dispBlanksAs val="gap"/>
    <c:showDLblsOverMax val="0"/>
  </c:chart>
  <c:spPr>
    <a:noFill/>
    <a:ln w="9525" cap="flat" cmpd="sng" algn="ctr">
      <a:noFill/>
      <a:prstDash val="solid"/>
    </a:ln>
    <a:effectLst>
      <a:outerShdw sx="1000" sy="1000" rotWithShape="0">
        <a:srgbClr val="000000"/>
      </a:outerShdw>
    </a:effectLst>
  </c:spPr>
  <c:txPr>
    <a:bodyPr/>
    <a:lstStyle/>
    <a:p>
      <a:pPr>
        <a:defRPr sz="800" b="0">
          <a:solidFill>
            <a:schemeClr val="dk1"/>
          </a:solidFill>
          <a:latin typeface="Segoe UI Light" panose="020B0502040204020203" pitchFamily="34" charset="0"/>
          <a:ea typeface="+mn-ea"/>
          <a:cs typeface="Segoe UI Light" panose="020B0502040204020203" pitchFamily="34" charset="0"/>
        </a:defRPr>
      </a:pPr>
      <a:endParaRPr lang="lv-LV"/>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462654655365076E-2"/>
          <c:y val="3.3148936170212764E-2"/>
          <c:w val="0.93238687431056433"/>
          <c:h val="0.70993015023372008"/>
        </c:manualLayout>
      </c:layout>
      <c:lineChart>
        <c:grouping val="standard"/>
        <c:varyColors val="0"/>
        <c:ser>
          <c:idx val="0"/>
          <c:order val="0"/>
          <c:tx>
            <c:strRef>
              <c:f>Sheet1!$B$1</c:f>
              <c:strCache>
                <c:ptCount val="1"/>
                <c:pt idx="0">
                  <c:v>NVA reģistrētie Ukrainas civiliedzīvotāji</c:v>
                </c:pt>
              </c:strCache>
            </c:strRef>
          </c:tx>
          <c:spPr>
            <a:ln w="12700" cap="rnd">
              <a:solidFill>
                <a:schemeClr val="accent1"/>
              </a:solidFill>
              <a:round/>
            </a:ln>
            <a:effectLst/>
          </c:spPr>
          <c:marker>
            <c:symbol val="none"/>
          </c:marker>
          <c:dLbls>
            <c:dLbl>
              <c:idx val="11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55-4AB5-AF69-53DFCE0BD7E2}"/>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Sheet1!$A$2:$A$114</c:f>
              <c:strCache>
                <c:ptCount val="113"/>
                <c:pt idx="0">
                  <c:v>14.03.2022.</c:v>
                </c:pt>
                <c:pt idx="1">
                  <c:v>21.03.2022.</c:v>
                </c:pt>
                <c:pt idx="2">
                  <c:v>28.03.2022.</c:v>
                </c:pt>
                <c:pt idx="3">
                  <c:v>04.04.2022.</c:v>
                </c:pt>
                <c:pt idx="4">
                  <c:v>11.04.2022.</c:v>
                </c:pt>
                <c:pt idx="5">
                  <c:v>14.04.2022.</c:v>
                </c:pt>
                <c:pt idx="6">
                  <c:v>25.04.2022.</c:v>
                </c:pt>
                <c:pt idx="7">
                  <c:v>02.05.2022.</c:v>
                </c:pt>
                <c:pt idx="8">
                  <c:v>09.05.2022.</c:v>
                </c:pt>
                <c:pt idx="9">
                  <c:v>16.05.2022.</c:v>
                </c:pt>
                <c:pt idx="10">
                  <c:v>23.05.2022.</c:v>
                </c:pt>
                <c:pt idx="11">
                  <c:v>30.05.2022.</c:v>
                </c:pt>
                <c:pt idx="12">
                  <c:v>06.06.2022.</c:v>
                </c:pt>
                <c:pt idx="13">
                  <c:v>13.06.2022.</c:v>
                </c:pt>
                <c:pt idx="14">
                  <c:v>20.06.2022.</c:v>
                </c:pt>
                <c:pt idx="15">
                  <c:v>27.06.2022.</c:v>
                </c:pt>
                <c:pt idx="16">
                  <c:v>04.07.2022.</c:v>
                </c:pt>
                <c:pt idx="17">
                  <c:v>11.07.2022.</c:v>
                </c:pt>
                <c:pt idx="18">
                  <c:v>18.07.2022.</c:v>
                </c:pt>
                <c:pt idx="19">
                  <c:v>25.07.2022.</c:v>
                </c:pt>
                <c:pt idx="20">
                  <c:v>01.08.2022.</c:v>
                </c:pt>
                <c:pt idx="21">
                  <c:v>08.08.2022.</c:v>
                </c:pt>
                <c:pt idx="22">
                  <c:v>15.08.2022.</c:v>
                </c:pt>
                <c:pt idx="23">
                  <c:v>22.08.2022.</c:v>
                </c:pt>
                <c:pt idx="24">
                  <c:v>29.08.2022.</c:v>
                </c:pt>
                <c:pt idx="25">
                  <c:v>05.09.2022.</c:v>
                </c:pt>
                <c:pt idx="26">
                  <c:v>12.09.2022.</c:v>
                </c:pt>
                <c:pt idx="27">
                  <c:v>19.09.2022.</c:v>
                </c:pt>
                <c:pt idx="28">
                  <c:v>26.09.2022.</c:v>
                </c:pt>
                <c:pt idx="29">
                  <c:v>03.10.2022.</c:v>
                </c:pt>
                <c:pt idx="30">
                  <c:v>10.10.2022.</c:v>
                </c:pt>
                <c:pt idx="31">
                  <c:v>17.10.2022.</c:v>
                </c:pt>
                <c:pt idx="32">
                  <c:v>24.10.2022.</c:v>
                </c:pt>
                <c:pt idx="33">
                  <c:v>31.10.2022.</c:v>
                </c:pt>
                <c:pt idx="34">
                  <c:v>07.11.2022.</c:v>
                </c:pt>
                <c:pt idx="35">
                  <c:v>14.11.2022.</c:v>
                </c:pt>
                <c:pt idx="36">
                  <c:v>21.11.2022.</c:v>
                </c:pt>
                <c:pt idx="37">
                  <c:v>28.11.2022.</c:v>
                </c:pt>
                <c:pt idx="38">
                  <c:v>05.12.2022.</c:v>
                </c:pt>
                <c:pt idx="39">
                  <c:v>12.12.2022.</c:v>
                </c:pt>
                <c:pt idx="40">
                  <c:v>19.12.2022.</c:v>
                </c:pt>
                <c:pt idx="41">
                  <c:v>27.12.2022.</c:v>
                </c:pt>
                <c:pt idx="42">
                  <c:v>02.01.2023.</c:v>
                </c:pt>
                <c:pt idx="43">
                  <c:v>09.01.2023.</c:v>
                </c:pt>
                <c:pt idx="44">
                  <c:v>16.01.2023.</c:v>
                </c:pt>
                <c:pt idx="45">
                  <c:v>23.01.2023.</c:v>
                </c:pt>
                <c:pt idx="46">
                  <c:v>30.01.2023.</c:v>
                </c:pt>
                <c:pt idx="47">
                  <c:v>06.02.2023.</c:v>
                </c:pt>
                <c:pt idx="48">
                  <c:v>13.02.2023.</c:v>
                </c:pt>
                <c:pt idx="49">
                  <c:v>20.02.2023.</c:v>
                </c:pt>
                <c:pt idx="50">
                  <c:v>27.02.2023.</c:v>
                </c:pt>
                <c:pt idx="51">
                  <c:v>06.03.2023.</c:v>
                </c:pt>
                <c:pt idx="52">
                  <c:v>13.03.2023.</c:v>
                </c:pt>
                <c:pt idx="53">
                  <c:v>20.03.2023.</c:v>
                </c:pt>
                <c:pt idx="54">
                  <c:v>27.03.2023.</c:v>
                </c:pt>
                <c:pt idx="55">
                  <c:v>03.04.2023.</c:v>
                </c:pt>
                <c:pt idx="56">
                  <c:v>11.04.2023.</c:v>
                </c:pt>
                <c:pt idx="57">
                  <c:v>17.04.2023.</c:v>
                </c:pt>
                <c:pt idx="58">
                  <c:v>24.04.2023.</c:v>
                </c:pt>
                <c:pt idx="59">
                  <c:v>02.05.2023.</c:v>
                </c:pt>
                <c:pt idx="60">
                  <c:v>08.05.2023.</c:v>
                </c:pt>
                <c:pt idx="61">
                  <c:v>15.05.2023.</c:v>
                </c:pt>
                <c:pt idx="62">
                  <c:v>22.05.2023.</c:v>
                </c:pt>
                <c:pt idx="63">
                  <c:v>30.05.2023.</c:v>
                </c:pt>
                <c:pt idx="64">
                  <c:v>05.06.2023.</c:v>
                </c:pt>
                <c:pt idx="65">
                  <c:v>12.06.2023.</c:v>
                </c:pt>
                <c:pt idx="66">
                  <c:v>19.06.2023.</c:v>
                </c:pt>
                <c:pt idx="67">
                  <c:v>26.06.2023.</c:v>
                </c:pt>
                <c:pt idx="68">
                  <c:v>03.07.2023.</c:v>
                </c:pt>
                <c:pt idx="69">
                  <c:v>11.07.2023.</c:v>
                </c:pt>
                <c:pt idx="70">
                  <c:v>17.07.2023.</c:v>
                </c:pt>
                <c:pt idx="71">
                  <c:v>24.07.2023.</c:v>
                </c:pt>
                <c:pt idx="72">
                  <c:v>31.07.2023.</c:v>
                </c:pt>
                <c:pt idx="73">
                  <c:v>07.08.2023.</c:v>
                </c:pt>
                <c:pt idx="74">
                  <c:v>14.08.2023.</c:v>
                </c:pt>
                <c:pt idx="75">
                  <c:v>21.08.2023.</c:v>
                </c:pt>
                <c:pt idx="76">
                  <c:v>28.08.2023.</c:v>
                </c:pt>
                <c:pt idx="77">
                  <c:v>04.09.2023.</c:v>
                </c:pt>
                <c:pt idx="78">
                  <c:v>11.09.2023.</c:v>
                </c:pt>
                <c:pt idx="79">
                  <c:v>18.09.2023.</c:v>
                </c:pt>
                <c:pt idx="80">
                  <c:v>25.09.2023.</c:v>
                </c:pt>
                <c:pt idx="81">
                  <c:v>02.10.2023.</c:v>
                </c:pt>
                <c:pt idx="82">
                  <c:v>09.10.2023.</c:v>
                </c:pt>
                <c:pt idx="83">
                  <c:v>16.10.2023.</c:v>
                </c:pt>
                <c:pt idx="84">
                  <c:v>23.10.2023.</c:v>
                </c:pt>
                <c:pt idx="85">
                  <c:v>30.10.2023.</c:v>
                </c:pt>
                <c:pt idx="86">
                  <c:v>06.11.2023.</c:v>
                </c:pt>
                <c:pt idx="87">
                  <c:v>13.11.2023.</c:v>
                </c:pt>
                <c:pt idx="88">
                  <c:v>21.11.2023.</c:v>
                </c:pt>
                <c:pt idx="89">
                  <c:v>27.11.2023.</c:v>
                </c:pt>
                <c:pt idx="90">
                  <c:v>04.12.2023.</c:v>
                </c:pt>
                <c:pt idx="91">
                  <c:v>11.12.2023.</c:v>
                </c:pt>
                <c:pt idx="92">
                  <c:v>18.12.2023.</c:v>
                </c:pt>
                <c:pt idx="93">
                  <c:v>27.12.2023.</c:v>
                </c:pt>
                <c:pt idx="94">
                  <c:v>08.01.2024.</c:v>
                </c:pt>
                <c:pt idx="95">
                  <c:v>15.01.2024.</c:v>
                </c:pt>
                <c:pt idx="96">
                  <c:v>22.01.2024.</c:v>
                </c:pt>
                <c:pt idx="97">
                  <c:v>29.01.2024.</c:v>
                </c:pt>
                <c:pt idx="98">
                  <c:v>05.02.2024.</c:v>
                </c:pt>
                <c:pt idx="99">
                  <c:v>12.02.2024.</c:v>
                </c:pt>
                <c:pt idx="100">
                  <c:v>19.02.2024.</c:v>
                </c:pt>
                <c:pt idx="101">
                  <c:v>26.02.2024.</c:v>
                </c:pt>
                <c:pt idx="102">
                  <c:v>04.03.2024.</c:v>
                </c:pt>
                <c:pt idx="103">
                  <c:v>11.03.2024.</c:v>
                </c:pt>
                <c:pt idx="104">
                  <c:v>18.03.2024.</c:v>
                </c:pt>
                <c:pt idx="105">
                  <c:v>25.03.2024.</c:v>
                </c:pt>
                <c:pt idx="106">
                  <c:v>02.04.2024.</c:v>
                </c:pt>
                <c:pt idx="107">
                  <c:v>08.04.2024.</c:v>
                </c:pt>
                <c:pt idx="108">
                  <c:v>15.04.2024.</c:v>
                </c:pt>
                <c:pt idx="109">
                  <c:v>22.04.2024.</c:v>
                </c:pt>
                <c:pt idx="110">
                  <c:v>29.04.2024.</c:v>
                </c:pt>
                <c:pt idx="111">
                  <c:v>07.05.2024.</c:v>
                </c:pt>
                <c:pt idx="112">
                  <c:v>03.06.2024.</c:v>
                </c:pt>
              </c:strCache>
            </c:strRef>
          </c:cat>
          <c:val>
            <c:numRef>
              <c:f>Sheet1!$B$2:$B$114</c:f>
              <c:numCache>
                <c:formatCode>0.0</c:formatCode>
                <c:ptCount val="113"/>
                <c:pt idx="0">
                  <c:v>0.308</c:v>
                </c:pt>
                <c:pt idx="1">
                  <c:v>0.58299999999999996</c:v>
                </c:pt>
                <c:pt idx="2">
                  <c:v>0.93100000000000005</c:v>
                </c:pt>
                <c:pt idx="3">
                  <c:v>1.3859999999999999</c:v>
                </c:pt>
                <c:pt idx="4">
                  <c:v>1.9530000000000001</c:v>
                </c:pt>
                <c:pt idx="5">
                  <c:v>2.3220000000000001</c:v>
                </c:pt>
                <c:pt idx="6">
                  <c:v>2.944</c:v>
                </c:pt>
                <c:pt idx="7">
                  <c:v>3.5169999999999999</c:v>
                </c:pt>
                <c:pt idx="8">
                  <c:v>4.016</c:v>
                </c:pt>
                <c:pt idx="9">
                  <c:v>4.5949999999999998</c:v>
                </c:pt>
                <c:pt idx="10">
                  <c:v>5.141</c:v>
                </c:pt>
                <c:pt idx="11">
                  <c:v>5.556</c:v>
                </c:pt>
                <c:pt idx="12">
                  <c:v>5.96</c:v>
                </c:pt>
                <c:pt idx="13">
                  <c:v>6.3470000000000004</c:v>
                </c:pt>
                <c:pt idx="14">
                  <c:v>6.7370000000000001</c:v>
                </c:pt>
                <c:pt idx="15">
                  <c:v>6.9880000000000004</c:v>
                </c:pt>
                <c:pt idx="16">
                  <c:v>7.3570000000000002</c:v>
                </c:pt>
                <c:pt idx="17">
                  <c:v>7.968</c:v>
                </c:pt>
                <c:pt idx="18">
                  <c:v>8.7739999999999991</c:v>
                </c:pt>
                <c:pt idx="19">
                  <c:v>9.4329999999999998</c:v>
                </c:pt>
                <c:pt idx="20">
                  <c:v>9.9619999999999997</c:v>
                </c:pt>
                <c:pt idx="21">
                  <c:v>10.461</c:v>
                </c:pt>
                <c:pt idx="22">
                  <c:v>10.926</c:v>
                </c:pt>
                <c:pt idx="23">
                  <c:v>11.327</c:v>
                </c:pt>
                <c:pt idx="24">
                  <c:v>11.670999999999999</c:v>
                </c:pt>
                <c:pt idx="25">
                  <c:v>12.018000000000001</c:v>
                </c:pt>
                <c:pt idx="26">
                  <c:v>12.432</c:v>
                </c:pt>
                <c:pt idx="27">
                  <c:v>12.804</c:v>
                </c:pt>
                <c:pt idx="28">
                  <c:v>13.132999999999999</c:v>
                </c:pt>
                <c:pt idx="29">
                  <c:v>13.426</c:v>
                </c:pt>
                <c:pt idx="30">
                  <c:v>13.791</c:v>
                </c:pt>
                <c:pt idx="31">
                  <c:v>14.135999999999999</c:v>
                </c:pt>
                <c:pt idx="32">
                  <c:v>14.452999999999999</c:v>
                </c:pt>
                <c:pt idx="33">
                  <c:v>14.750999999999999</c:v>
                </c:pt>
                <c:pt idx="34">
                  <c:v>15.071999999999999</c:v>
                </c:pt>
                <c:pt idx="35">
                  <c:v>15.443</c:v>
                </c:pt>
                <c:pt idx="36">
                  <c:v>15.755000000000001</c:v>
                </c:pt>
                <c:pt idx="37">
                  <c:v>16.093</c:v>
                </c:pt>
                <c:pt idx="38">
                  <c:v>16.364999999999998</c:v>
                </c:pt>
                <c:pt idx="39">
                  <c:v>16.699000000000002</c:v>
                </c:pt>
                <c:pt idx="40">
                  <c:v>17.009</c:v>
                </c:pt>
                <c:pt idx="41">
                  <c:v>17.266999999999999</c:v>
                </c:pt>
                <c:pt idx="42">
                  <c:v>17.452000000000002</c:v>
                </c:pt>
                <c:pt idx="43">
                  <c:v>17.690000000000001</c:v>
                </c:pt>
                <c:pt idx="44">
                  <c:v>18.067</c:v>
                </c:pt>
                <c:pt idx="45">
                  <c:v>18.402000000000001</c:v>
                </c:pt>
                <c:pt idx="46">
                  <c:v>18.75</c:v>
                </c:pt>
                <c:pt idx="47">
                  <c:v>19.056999999999999</c:v>
                </c:pt>
                <c:pt idx="48">
                  <c:v>19.352</c:v>
                </c:pt>
                <c:pt idx="49">
                  <c:v>19.600000000000001</c:v>
                </c:pt>
                <c:pt idx="50">
                  <c:v>19.808</c:v>
                </c:pt>
                <c:pt idx="51">
                  <c:v>20.013000000000002</c:v>
                </c:pt>
                <c:pt idx="52">
                  <c:v>20.248000000000001</c:v>
                </c:pt>
                <c:pt idx="53">
                  <c:v>20.45</c:v>
                </c:pt>
                <c:pt idx="54">
                  <c:v>20.616</c:v>
                </c:pt>
                <c:pt idx="55">
                  <c:v>20.780999999999999</c:v>
                </c:pt>
                <c:pt idx="56">
                  <c:v>20.942</c:v>
                </c:pt>
                <c:pt idx="57">
                  <c:v>21.048999999999999</c:v>
                </c:pt>
                <c:pt idx="58">
                  <c:v>21.222999999999999</c:v>
                </c:pt>
                <c:pt idx="59">
                  <c:v>21.349</c:v>
                </c:pt>
                <c:pt idx="60">
                  <c:v>21.408999999999999</c:v>
                </c:pt>
                <c:pt idx="61">
                  <c:v>21.614000000000001</c:v>
                </c:pt>
                <c:pt idx="62">
                  <c:v>21.831</c:v>
                </c:pt>
                <c:pt idx="63">
                  <c:v>21.977</c:v>
                </c:pt>
                <c:pt idx="64">
                  <c:v>22.093</c:v>
                </c:pt>
                <c:pt idx="65">
                  <c:v>22.224</c:v>
                </c:pt>
                <c:pt idx="66">
                  <c:v>22.401</c:v>
                </c:pt>
                <c:pt idx="67">
                  <c:v>22.513999999999999</c:v>
                </c:pt>
                <c:pt idx="68">
                  <c:v>22.658000000000001</c:v>
                </c:pt>
                <c:pt idx="69">
                  <c:v>22.846</c:v>
                </c:pt>
                <c:pt idx="70">
                  <c:v>23.047999999999998</c:v>
                </c:pt>
                <c:pt idx="71">
                  <c:v>23.192</c:v>
                </c:pt>
                <c:pt idx="72">
                  <c:v>23.323</c:v>
                </c:pt>
                <c:pt idx="73">
                  <c:v>23.48</c:v>
                </c:pt>
                <c:pt idx="74">
                  <c:v>23.584</c:v>
                </c:pt>
                <c:pt idx="75">
                  <c:v>23.698</c:v>
                </c:pt>
                <c:pt idx="76">
                  <c:v>23.841999999999999</c:v>
                </c:pt>
                <c:pt idx="77">
                  <c:v>24.004999999999999</c:v>
                </c:pt>
                <c:pt idx="78">
                  <c:v>24.195</c:v>
                </c:pt>
                <c:pt idx="79">
                  <c:v>24.32</c:v>
                </c:pt>
                <c:pt idx="80">
                  <c:v>24.416</c:v>
                </c:pt>
                <c:pt idx="81">
                  <c:v>24.571999999999999</c:v>
                </c:pt>
                <c:pt idx="82">
                  <c:v>24.696999999999999</c:v>
                </c:pt>
                <c:pt idx="83">
                  <c:v>24.818000000000001</c:v>
                </c:pt>
                <c:pt idx="84">
                  <c:v>24.963999999999999</c:v>
                </c:pt>
                <c:pt idx="85">
                  <c:v>25.088999999999999</c:v>
                </c:pt>
                <c:pt idx="86">
                  <c:v>25.216999999999999</c:v>
                </c:pt>
                <c:pt idx="87">
                  <c:v>25.364000000000001</c:v>
                </c:pt>
                <c:pt idx="88">
                  <c:v>25.497</c:v>
                </c:pt>
                <c:pt idx="89">
                  <c:v>25.62</c:v>
                </c:pt>
                <c:pt idx="90">
                  <c:v>25.734999999999999</c:v>
                </c:pt>
                <c:pt idx="91">
                  <c:v>25.861999999999998</c:v>
                </c:pt>
                <c:pt idx="92">
                  <c:v>25.99</c:v>
                </c:pt>
                <c:pt idx="93">
                  <c:v>26.077000000000002</c:v>
                </c:pt>
                <c:pt idx="94">
                  <c:v>26.161000000000001</c:v>
                </c:pt>
                <c:pt idx="95">
                  <c:v>26.274999999999999</c:v>
                </c:pt>
                <c:pt idx="96">
                  <c:v>26.38</c:v>
                </c:pt>
                <c:pt idx="97">
                  <c:v>26.51</c:v>
                </c:pt>
                <c:pt idx="98">
                  <c:v>26.626000000000001</c:v>
                </c:pt>
                <c:pt idx="99">
                  <c:v>26.727</c:v>
                </c:pt>
                <c:pt idx="100">
                  <c:v>26.84</c:v>
                </c:pt>
                <c:pt idx="101">
                  <c:v>26.962</c:v>
                </c:pt>
                <c:pt idx="102">
                  <c:v>27.071999999999999</c:v>
                </c:pt>
                <c:pt idx="103">
                  <c:v>27.2</c:v>
                </c:pt>
                <c:pt idx="104">
                  <c:v>27.289000000000001</c:v>
                </c:pt>
                <c:pt idx="105">
                  <c:v>27.428000000000001</c:v>
                </c:pt>
                <c:pt idx="106">
                  <c:v>27.521999999999998</c:v>
                </c:pt>
                <c:pt idx="107">
                  <c:v>27.582999999999998</c:v>
                </c:pt>
                <c:pt idx="108">
                  <c:v>27.652999999999999</c:v>
                </c:pt>
                <c:pt idx="109">
                  <c:v>27.763999999999999</c:v>
                </c:pt>
                <c:pt idx="110">
                  <c:v>27.87</c:v>
                </c:pt>
                <c:pt idx="111">
                  <c:v>27.925999999999998</c:v>
                </c:pt>
                <c:pt idx="112">
                  <c:v>28.347000000000001</c:v>
                </c:pt>
              </c:numCache>
            </c:numRef>
          </c:val>
          <c:smooth val="0"/>
          <c:extLst>
            <c:ext xmlns:c16="http://schemas.microsoft.com/office/drawing/2014/chart" uri="{C3380CC4-5D6E-409C-BE32-E72D297353CC}">
              <c16:uniqueId val="{00000001-7555-4AB5-AF69-53DFCE0BD7E2}"/>
            </c:ext>
          </c:extLst>
        </c:ser>
        <c:ser>
          <c:idx val="1"/>
          <c:order val="1"/>
          <c:tx>
            <c:strRef>
              <c:f>Sheet1!$C$1</c:f>
              <c:strCache>
                <c:ptCount val="1"/>
                <c:pt idx="0">
                  <c:v>Izmaksāto nodarbinātības uzsākšanas pabalstu skaits</c:v>
                </c:pt>
              </c:strCache>
            </c:strRef>
          </c:tx>
          <c:spPr>
            <a:ln w="12700" cap="rnd">
              <a:solidFill>
                <a:schemeClr val="accent2"/>
              </a:solidFill>
              <a:round/>
            </a:ln>
            <a:effectLst/>
          </c:spPr>
          <c:marker>
            <c:symbol val="none"/>
          </c:marker>
          <c:dLbls>
            <c:dLbl>
              <c:idx val="11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55-4AB5-AF69-53DFCE0BD7E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Sheet1!$A$2:$A$114</c:f>
              <c:strCache>
                <c:ptCount val="113"/>
                <c:pt idx="0">
                  <c:v>14.03.2022.</c:v>
                </c:pt>
                <c:pt idx="1">
                  <c:v>21.03.2022.</c:v>
                </c:pt>
                <c:pt idx="2">
                  <c:v>28.03.2022.</c:v>
                </c:pt>
                <c:pt idx="3">
                  <c:v>04.04.2022.</c:v>
                </c:pt>
                <c:pt idx="4">
                  <c:v>11.04.2022.</c:v>
                </c:pt>
                <c:pt idx="5">
                  <c:v>14.04.2022.</c:v>
                </c:pt>
                <c:pt idx="6">
                  <c:v>25.04.2022.</c:v>
                </c:pt>
                <c:pt idx="7">
                  <c:v>02.05.2022.</c:v>
                </c:pt>
                <c:pt idx="8">
                  <c:v>09.05.2022.</c:v>
                </c:pt>
                <c:pt idx="9">
                  <c:v>16.05.2022.</c:v>
                </c:pt>
                <c:pt idx="10">
                  <c:v>23.05.2022.</c:v>
                </c:pt>
                <c:pt idx="11">
                  <c:v>30.05.2022.</c:v>
                </c:pt>
                <c:pt idx="12">
                  <c:v>06.06.2022.</c:v>
                </c:pt>
                <c:pt idx="13">
                  <c:v>13.06.2022.</c:v>
                </c:pt>
                <c:pt idx="14">
                  <c:v>20.06.2022.</c:v>
                </c:pt>
                <c:pt idx="15">
                  <c:v>27.06.2022.</c:v>
                </c:pt>
                <c:pt idx="16">
                  <c:v>04.07.2022.</c:v>
                </c:pt>
                <c:pt idx="17">
                  <c:v>11.07.2022.</c:v>
                </c:pt>
                <c:pt idx="18">
                  <c:v>18.07.2022.</c:v>
                </c:pt>
                <c:pt idx="19">
                  <c:v>25.07.2022.</c:v>
                </c:pt>
                <c:pt idx="20">
                  <c:v>01.08.2022.</c:v>
                </c:pt>
                <c:pt idx="21">
                  <c:v>08.08.2022.</c:v>
                </c:pt>
                <c:pt idx="22">
                  <c:v>15.08.2022.</c:v>
                </c:pt>
                <c:pt idx="23">
                  <c:v>22.08.2022.</c:v>
                </c:pt>
                <c:pt idx="24">
                  <c:v>29.08.2022.</c:v>
                </c:pt>
                <c:pt idx="25">
                  <c:v>05.09.2022.</c:v>
                </c:pt>
                <c:pt idx="26">
                  <c:v>12.09.2022.</c:v>
                </c:pt>
                <c:pt idx="27">
                  <c:v>19.09.2022.</c:v>
                </c:pt>
                <c:pt idx="28">
                  <c:v>26.09.2022.</c:v>
                </c:pt>
                <c:pt idx="29">
                  <c:v>03.10.2022.</c:v>
                </c:pt>
                <c:pt idx="30">
                  <c:v>10.10.2022.</c:v>
                </c:pt>
                <c:pt idx="31">
                  <c:v>17.10.2022.</c:v>
                </c:pt>
                <c:pt idx="32">
                  <c:v>24.10.2022.</c:v>
                </c:pt>
                <c:pt idx="33">
                  <c:v>31.10.2022.</c:v>
                </c:pt>
                <c:pt idx="34">
                  <c:v>07.11.2022.</c:v>
                </c:pt>
                <c:pt idx="35">
                  <c:v>14.11.2022.</c:v>
                </c:pt>
                <c:pt idx="36">
                  <c:v>21.11.2022.</c:v>
                </c:pt>
                <c:pt idx="37">
                  <c:v>28.11.2022.</c:v>
                </c:pt>
                <c:pt idx="38">
                  <c:v>05.12.2022.</c:v>
                </c:pt>
                <c:pt idx="39">
                  <c:v>12.12.2022.</c:v>
                </c:pt>
                <c:pt idx="40">
                  <c:v>19.12.2022.</c:v>
                </c:pt>
                <c:pt idx="41">
                  <c:v>27.12.2022.</c:v>
                </c:pt>
                <c:pt idx="42">
                  <c:v>02.01.2023.</c:v>
                </c:pt>
                <c:pt idx="43">
                  <c:v>09.01.2023.</c:v>
                </c:pt>
                <c:pt idx="44">
                  <c:v>16.01.2023.</c:v>
                </c:pt>
                <c:pt idx="45">
                  <c:v>23.01.2023.</c:v>
                </c:pt>
                <c:pt idx="46">
                  <c:v>30.01.2023.</c:v>
                </c:pt>
                <c:pt idx="47">
                  <c:v>06.02.2023.</c:v>
                </c:pt>
                <c:pt idx="48">
                  <c:v>13.02.2023.</c:v>
                </c:pt>
                <c:pt idx="49">
                  <c:v>20.02.2023.</c:v>
                </c:pt>
                <c:pt idx="50">
                  <c:v>27.02.2023.</c:v>
                </c:pt>
                <c:pt idx="51">
                  <c:v>06.03.2023.</c:v>
                </c:pt>
                <c:pt idx="52">
                  <c:v>13.03.2023.</c:v>
                </c:pt>
                <c:pt idx="53">
                  <c:v>20.03.2023.</c:v>
                </c:pt>
                <c:pt idx="54">
                  <c:v>27.03.2023.</c:v>
                </c:pt>
                <c:pt idx="55">
                  <c:v>03.04.2023.</c:v>
                </c:pt>
                <c:pt idx="56">
                  <c:v>11.04.2023.</c:v>
                </c:pt>
                <c:pt idx="57">
                  <c:v>17.04.2023.</c:v>
                </c:pt>
                <c:pt idx="58">
                  <c:v>24.04.2023.</c:v>
                </c:pt>
                <c:pt idx="59">
                  <c:v>02.05.2023.</c:v>
                </c:pt>
                <c:pt idx="60">
                  <c:v>08.05.2023.</c:v>
                </c:pt>
                <c:pt idx="61">
                  <c:v>15.05.2023.</c:v>
                </c:pt>
                <c:pt idx="62">
                  <c:v>22.05.2023.</c:v>
                </c:pt>
                <c:pt idx="63">
                  <c:v>30.05.2023.</c:v>
                </c:pt>
                <c:pt idx="64">
                  <c:v>05.06.2023.</c:v>
                </c:pt>
                <c:pt idx="65">
                  <c:v>12.06.2023.</c:v>
                </c:pt>
                <c:pt idx="66">
                  <c:v>19.06.2023.</c:v>
                </c:pt>
                <c:pt idx="67">
                  <c:v>26.06.2023.</c:v>
                </c:pt>
                <c:pt idx="68">
                  <c:v>03.07.2023.</c:v>
                </c:pt>
                <c:pt idx="69">
                  <c:v>11.07.2023.</c:v>
                </c:pt>
                <c:pt idx="70">
                  <c:v>17.07.2023.</c:v>
                </c:pt>
                <c:pt idx="71">
                  <c:v>24.07.2023.</c:v>
                </c:pt>
                <c:pt idx="72">
                  <c:v>31.07.2023.</c:v>
                </c:pt>
                <c:pt idx="73">
                  <c:v>07.08.2023.</c:v>
                </c:pt>
                <c:pt idx="74">
                  <c:v>14.08.2023.</c:v>
                </c:pt>
                <c:pt idx="75">
                  <c:v>21.08.2023.</c:v>
                </c:pt>
                <c:pt idx="76">
                  <c:v>28.08.2023.</c:v>
                </c:pt>
                <c:pt idx="77">
                  <c:v>04.09.2023.</c:v>
                </c:pt>
                <c:pt idx="78">
                  <c:v>11.09.2023.</c:v>
                </c:pt>
                <c:pt idx="79">
                  <c:v>18.09.2023.</c:v>
                </c:pt>
                <c:pt idx="80">
                  <c:v>25.09.2023.</c:v>
                </c:pt>
                <c:pt idx="81">
                  <c:v>02.10.2023.</c:v>
                </c:pt>
                <c:pt idx="82">
                  <c:v>09.10.2023.</c:v>
                </c:pt>
                <c:pt idx="83">
                  <c:v>16.10.2023.</c:v>
                </c:pt>
                <c:pt idx="84">
                  <c:v>23.10.2023.</c:v>
                </c:pt>
                <c:pt idx="85">
                  <c:v>30.10.2023.</c:v>
                </c:pt>
                <c:pt idx="86">
                  <c:v>06.11.2023.</c:v>
                </c:pt>
                <c:pt idx="87">
                  <c:v>13.11.2023.</c:v>
                </c:pt>
                <c:pt idx="88">
                  <c:v>21.11.2023.</c:v>
                </c:pt>
                <c:pt idx="89">
                  <c:v>27.11.2023.</c:v>
                </c:pt>
                <c:pt idx="90">
                  <c:v>04.12.2023.</c:v>
                </c:pt>
                <c:pt idx="91">
                  <c:v>11.12.2023.</c:v>
                </c:pt>
                <c:pt idx="92">
                  <c:v>18.12.2023.</c:v>
                </c:pt>
                <c:pt idx="93">
                  <c:v>27.12.2023.</c:v>
                </c:pt>
                <c:pt idx="94">
                  <c:v>08.01.2024.</c:v>
                </c:pt>
                <c:pt idx="95">
                  <c:v>15.01.2024.</c:v>
                </c:pt>
                <c:pt idx="96">
                  <c:v>22.01.2024.</c:v>
                </c:pt>
                <c:pt idx="97">
                  <c:v>29.01.2024.</c:v>
                </c:pt>
                <c:pt idx="98">
                  <c:v>05.02.2024.</c:v>
                </c:pt>
                <c:pt idx="99">
                  <c:v>12.02.2024.</c:v>
                </c:pt>
                <c:pt idx="100">
                  <c:v>19.02.2024.</c:v>
                </c:pt>
                <c:pt idx="101">
                  <c:v>26.02.2024.</c:v>
                </c:pt>
                <c:pt idx="102">
                  <c:v>04.03.2024.</c:v>
                </c:pt>
                <c:pt idx="103">
                  <c:v>11.03.2024.</c:v>
                </c:pt>
                <c:pt idx="104">
                  <c:v>18.03.2024.</c:v>
                </c:pt>
                <c:pt idx="105">
                  <c:v>25.03.2024.</c:v>
                </c:pt>
                <c:pt idx="106">
                  <c:v>02.04.2024.</c:v>
                </c:pt>
                <c:pt idx="107">
                  <c:v>08.04.2024.</c:v>
                </c:pt>
                <c:pt idx="108">
                  <c:v>15.04.2024.</c:v>
                </c:pt>
                <c:pt idx="109">
                  <c:v>22.04.2024.</c:v>
                </c:pt>
                <c:pt idx="110">
                  <c:v>29.04.2024.</c:v>
                </c:pt>
                <c:pt idx="111">
                  <c:v>07.05.2024.</c:v>
                </c:pt>
                <c:pt idx="112">
                  <c:v>03.06.2024.</c:v>
                </c:pt>
              </c:strCache>
            </c:strRef>
          </c:cat>
          <c:val>
            <c:numRef>
              <c:f>Sheet1!$C$2:$C$114</c:f>
              <c:numCache>
                <c:formatCode>0.0</c:formatCode>
                <c:ptCount val="113"/>
                <c:pt idx="0">
                  <c:v>0</c:v>
                </c:pt>
                <c:pt idx="1">
                  <c:v>0</c:v>
                </c:pt>
                <c:pt idx="2">
                  <c:v>0</c:v>
                </c:pt>
                <c:pt idx="3">
                  <c:v>0</c:v>
                </c:pt>
                <c:pt idx="4">
                  <c:v>1.7999999999999999E-2</c:v>
                </c:pt>
                <c:pt idx="5">
                  <c:v>0.112</c:v>
                </c:pt>
                <c:pt idx="6">
                  <c:v>0.26200000000000001</c:v>
                </c:pt>
                <c:pt idx="7">
                  <c:v>0.3</c:v>
                </c:pt>
                <c:pt idx="8">
                  <c:v>0.83</c:v>
                </c:pt>
                <c:pt idx="9">
                  <c:v>1.175</c:v>
                </c:pt>
                <c:pt idx="10">
                  <c:v>1.3</c:v>
                </c:pt>
                <c:pt idx="11">
                  <c:v>1.9410000000000001</c:v>
                </c:pt>
                <c:pt idx="12">
                  <c:v>2.7789999999999999</c:v>
                </c:pt>
                <c:pt idx="13">
                  <c:v>3.298</c:v>
                </c:pt>
                <c:pt idx="14">
                  <c:v>3.3</c:v>
                </c:pt>
                <c:pt idx="15">
                  <c:v>4.0620000000000003</c:v>
                </c:pt>
                <c:pt idx="16">
                  <c:v>4.2830000000000004</c:v>
                </c:pt>
                <c:pt idx="17">
                  <c:v>4.649</c:v>
                </c:pt>
                <c:pt idx="18">
                  <c:v>5.0259999999999998</c:v>
                </c:pt>
                <c:pt idx="19">
                  <c:v>5.4640000000000004</c:v>
                </c:pt>
                <c:pt idx="20">
                  <c:v>5.8869999999999996</c:v>
                </c:pt>
                <c:pt idx="21">
                  <c:v>6.2119999999999997</c:v>
                </c:pt>
                <c:pt idx="22">
                  <c:v>6.4820000000000002</c:v>
                </c:pt>
                <c:pt idx="23">
                  <c:v>6.7370000000000001</c:v>
                </c:pt>
                <c:pt idx="24">
                  <c:v>6.9249999999999998</c:v>
                </c:pt>
                <c:pt idx="25">
                  <c:v>7.1319999999999997</c:v>
                </c:pt>
                <c:pt idx="26">
                  <c:v>7.2839999999999998</c:v>
                </c:pt>
                <c:pt idx="27">
                  <c:v>7.4809999999999999</c:v>
                </c:pt>
                <c:pt idx="28">
                  <c:v>7.7919999999999998</c:v>
                </c:pt>
                <c:pt idx="29">
                  <c:v>8</c:v>
                </c:pt>
                <c:pt idx="30">
                  <c:v>8.2479999999999993</c:v>
                </c:pt>
                <c:pt idx="31">
                  <c:v>8.4329999999999998</c:v>
                </c:pt>
                <c:pt idx="32">
                  <c:v>8.5980000000000008</c:v>
                </c:pt>
                <c:pt idx="33">
                  <c:v>8.8360000000000003</c:v>
                </c:pt>
                <c:pt idx="34">
                  <c:v>8.9809999999999999</c:v>
                </c:pt>
                <c:pt idx="35">
                  <c:v>9.1720000000000006</c:v>
                </c:pt>
                <c:pt idx="36">
                  <c:v>9.3089999999999993</c:v>
                </c:pt>
                <c:pt idx="37">
                  <c:v>9.4329999999999998</c:v>
                </c:pt>
                <c:pt idx="38">
                  <c:v>9.6489999999999991</c:v>
                </c:pt>
                <c:pt idx="39">
                  <c:v>9.8420000000000005</c:v>
                </c:pt>
                <c:pt idx="40">
                  <c:v>9.9879999999999995</c:v>
                </c:pt>
                <c:pt idx="41">
                  <c:v>10.135</c:v>
                </c:pt>
                <c:pt idx="42">
                  <c:v>10.303000000000001</c:v>
                </c:pt>
                <c:pt idx="43">
                  <c:v>10.303000000000001</c:v>
                </c:pt>
                <c:pt idx="44">
                  <c:v>10.441000000000001</c:v>
                </c:pt>
                <c:pt idx="45">
                  <c:v>10.536</c:v>
                </c:pt>
                <c:pt idx="46">
                  <c:v>10.627000000000001</c:v>
                </c:pt>
                <c:pt idx="47">
                  <c:v>10.702999999999999</c:v>
                </c:pt>
                <c:pt idx="48">
                  <c:v>10.81</c:v>
                </c:pt>
                <c:pt idx="49">
                  <c:v>10.914999999999999</c:v>
                </c:pt>
                <c:pt idx="50">
                  <c:v>11.012</c:v>
                </c:pt>
                <c:pt idx="51">
                  <c:v>11.087</c:v>
                </c:pt>
                <c:pt idx="52">
                  <c:v>11.151999999999999</c:v>
                </c:pt>
                <c:pt idx="53">
                  <c:v>11.228999999999999</c:v>
                </c:pt>
                <c:pt idx="54">
                  <c:v>11.28</c:v>
                </c:pt>
                <c:pt idx="55">
                  <c:v>11.378</c:v>
                </c:pt>
                <c:pt idx="56">
                  <c:v>11.46</c:v>
                </c:pt>
                <c:pt idx="57">
                  <c:v>11.577</c:v>
                </c:pt>
                <c:pt idx="58">
                  <c:v>11.686</c:v>
                </c:pt>
                <c:pt idx="59">
                  <c:v>11.763</c:v>
                </c:pt>
                <c:pt idx="60">
                  <c:v>11.776999999999999</c:v>
                </c:pt>
                <c:pt idx="61">
                  <c:v>11.859</c:v>
                </c:pt>
                <c:pt idx="62">
                  <c:v>11.938000000000001</c:v>
                </c:pt>
                <c:pt idx="63">
                  <c:v>12.010999999999999</c:v>
                </c:pt>
                <c:pt idx="64">
                  <c:v>12.077999999999999</c:v>
                </c:pt>
                <c:pt idx="65">
                  <c:v>12.135</c:v>
                </c:pt>
                <c:pt idx="66">
                  <c:v>12.164999999999999</c:v>
                </c:pt>
                <c:pt idx="67">
                  <c:v>12.246</c:v>
                </c:pt>
                <c:pt idx="68">
                  <c:v>12.323</c:v>
                </c:pt>
                <c:pt idx="69">
                  <c:v>12.414999999999999</c:v>
                </c:pt>
                <c:pt idx="70">
                  <c:v>12.497</c:v>
                </c:pt>
                <c:pt idx="71">
                  <c:v>12.55</c:v>
                </c:pt>
                <c:pt idx="72">
                  <c:v>12.603</c:v>
                </c:pt>
                <c:pt idx="73">
                  <c:v>12.693</c:v>
                </c:pt>
                <c:pt idx="74">
                  <c:v>12.789</c:v>
                </c:pt>
                <c:pt idx="75">
                  <c:v>12.858000000000001</c:v>
                </c:pt>
                <c:pt idx="76">
                  <c:v>12.907999999999999</c:v>
                </c:pt>
                <c:pt idx="77">
                  <c:v>12.958</c:v>
                </c:pt>
                <c:pt idx="78">
                  <c:v>13.013999999999999</c:v>
                </c:pt>
                <c:pt idx="79">
                  <c:v>13.074999999999999</c:v>
                </c:pt>
                <c:pt idx="80">
                  <c:v>13.164999999999999</c:v>
                </c:pt>
                <c:pt idx="81">
                  <c:v>13.206</c:v>
                </c:pt>
                <c:pt idx="82">
                  <c:v>13.27</c:v>
                </c:pt>
                <c:pt idx="83">
                  <c:v>13.339</c:v>
                </c:pt>
                <c:pt idx="84">
                  <c:v>13.428000000000001</c:v>
                </c:pt>
                <c:pt idx="85">
                  <c:v>13.503</c:v>
                </c:pt>
                <c:pt idx="86">
                  <c:v>13.545999999999999</c:v>
                </c:pt>
                <c:pt idx="87">
                  <c:v>13.609</c:v>
                </c:pt>
                <c:pt idx="88">
                  <c:v>13.675000000000001</c:v>
                </c:pt>
                <c:pt idx="89">
                  <c:v>13.731999999999999</c:v>
                </c:pt>
                <c:pt idx="90">
                  <c:v>13.8</c:v>
                </c:pt>
                <c:pt idx="91">
                  <c:v>13.836</c:v>
                </c:pt>
                <c:pt idx="92">
                  <c:v>13.92</c:v>
                </c:pt>
                <c:pt idx="93">
                  <c:v>13.987</c:v>
                </c:pt>
                <c:pt idx="94">
                  <c:v>14.018000000000001</c:v>
                </c:pt>
                <c:pt idx="95">
                  <c:v>14.018000000000001</c:v>
                </c:pt>
                <c:pt idx="96">
                  <c:v>14.018000000000001</c:v>
                </c:pt>
                <c:pt idx="97">
                  <c:v>14.018000000000001</c:v>
                </c:pt>
                <c:pt idx="98">
                  <c:v>14.15</c:v>
                </c:pt>
                <c:pt idx="99">
                  <c:v>14.207000000000001</c:v>
                </c:pt>
                <c:pt idx="100">
                  <c:v>14.237</c:v>
                </c:pt>
                <c:pt idx="101">
                  <c:v>14.291</c:v>
                </c:pt>
                <c:pt idx="102">
                  <c:v>14.332000000000001</c:v>
                </c:pt>
                <c:pt idx="103">
                  <c:v>14.385999999999999</c:v>
                </c:pt>
                <c:pt idx="104">
                  <c:v>14.461</c:v>
                </c:pt>
                <c:pt idx="105">
                  <c:v>14.529</c:v>
                </c:pt>
                <c:pt idx="106">
                  <c:v>14.577999999999999</c:v>
                </c:pt>
                <c:pt idx="107">
                  <c:v>14.606</c:v>
                </c:pt>
                <c:pt idx="108">
                  <c:v>14.634</c:v>
                </c:pt>
                <c:pt idx="109">
                  <c:v>14.691000000000001</c:v>
                </c:pt>
                <c:pt idx="110">
                  <c:v>14.733000000000001</c:v>
                </c:pt>
                <c:pt idx="111">
                  <c:v>14.781000000000001</c:v>
                </c:pt>
                <c:pt idx="112">
                  <c:v>14.965</c:v>
                </c:pt>
              </c:numCache>
            </c:numRef>
          </c:val>
          <c:smooth val="0"/>
          <c:extLst>
            <c:ext xmlns:c16="http://schemas.microsoft.com/office/drawing/2014/chart" uri="{C3380CC4-5D6E-409C-BE32-E72D297353CC}">
              <c16:uniqueId val="{00000003-7555-4AB5-AF69-53DFCE0BD7E2}"/>
            </c:ext>
          </c:extLst>
        </c:ser>
        <c:ser>
          <c:idx val="2"/>
          <c:order val="2"/>
          <c:tx>
            <c:strRef>
              <c:f>Sheet1!$D$1</c:f>
              <c:strCache>
                <c:ptCount val="1"/>
                <c:pt idx="0">
                  <c:v>Izmaksāto pašnodarbinātības uzsākšanas pabalstu skaits</c:v>
                </c:pt>
              </c:strCache>
            </c:strRef>
          </c:tx>
          <c:spPr>
            <a:ln w="12700" cap="rnd">
              <a:solidFill>
                <a:schemeClr val="accent3"/>
              </a:solidFill>
              <a:round/>
            </a:ln>
            <a:effectLst/>
          </c:spPr>
          <c:marker>
            <c:symbol val="diamond"/>
            <c:size val="3"/>
            <c:spPr>
              <a:solidFill>
                <a:schemeClr val="accent3"/>
              </a:solidFill>
              <a:ln w="9525">
                <a:solidFill>
                  <a:schemeClr val="accent3"/>
                </a:solidFill>
              </a:ln>
              <a:effectLst/>
            </c:spPr>
          </c:marker>
          <c:dLbls>
            <c:dLbl>
              <c:idx val="11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55-4AB5-AF69-53DFCE0BD7E2}"/>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Sheet1!$A$2:$A$114</c:f>
              <c:strCache>
                <c:ptCount val="113"/>
                <c:pt idx="0">
                  <c:v>14.03.2022.</c:v>
                </c:pt>
                <c:pt idx="1">
                  <c:v>21.03.2022.</c:v>
                </c:pt>
                <c:pt idx="2">
                  <c:v>28.03.2022.</c:v>
                </c:pt>
                <c:pt idx="3">
                  <c:v>04.04.2022.</c:v>
                </c:pt>
                <c:pt idx="4">
                  <c:v>11.04.2022.</c:v>
                </c:pt>
                <c:pt idx="5">
                  <c:v>14.04.2022.</c:v>
                </c:pt>
                <c:pt idx="6">
                  <c:v>25.04.2022.</c:v>
                </c:pt>
                <c:pt idx="7">
                  <c:v>02.05.2022.</c:v>
                </c:pt>
                <c:pt idx="8">
                  <c:v>09.05.2022.</c:v>
                </c:pt>
                <c:pt idx="9">
                  <c:v>16.05.2022.</c:v>
                </c:pt>
                <c:pt idx="10">
                  <c:v>23.05.2022.</c:v>
                </c:pt>
                <c:pt idx="11">
                  <c:v>30.05.2022.</c:v>
                </c:pt>
                <c:pt idx="12">
                  <c:v>06.06.2022.</c:v>
                </c:pt>
                <c:pt idx="13">
                  <c:v>13.06.2022.</c:v>
                </c:pt>
                <c:pt idx="14">
                  <c:v>20.06.2022.</c:v>
                </c:pt>
                <c:pt idx="15">
                  <c:v>27.06.2022.</c:v>
                </c:pt>
                <c:pt idx="16">
                  <c:v>04.07.2022.</c:v>
                </c:pt>
                <c:pt idx="17">
                  <c:v>11.07.2022.</c:v>
                </c:pt>
                <c:pt idx="18">
                  <c:v>18.07.2022.</c:v>
                </c:pt>
                <c:pt idx="19">
                  <c:v>25.07.2022.</c:v>
                </c:pt>
                <c:pt idx="20">
                  <c:v>01.08.2022.</c:v>
                </c:pt>
                <c:pt idx="21">
                  <c:v>08.08.2022.</c:v>
                </c:pt>
                <c:pt idx="22">
                  <c:v>15.08.2022.</c:v>
                </c:pt>
                <c:pt idx="23">
                  <c:v>22.08.2022.</c:v>
                </c:pt>
                <c:pt idx="24">
                  <c:v>29.08.2022.</c:v>
                </c:pt>
                <c:pt idx="25">
                  <c:v>05.09.2022.</c:v>
                </c:pt>
                <c:pt idx="26">
                  <c:v>12.09.2022.</c:v>
                </c:pt>
                <c:pt idx="27">
                  <c:v>19.09.2022.</c:v>
                </c:pt>
                <c:pt idx="28">
                  <c:v>26.09.2022.</c:v>
                </c:pt>
                <c:pt idx="29">
                  <c:v>03.10.2022.</c:v>
                </c:pt>
                <c:pt idx="30">
                  <c:v>10.10.2022.</c:v>
                </c:pt>
                <c:pt idx="31">
                  <c:v>17.10.2022.</c:v>
                </c:pt>
                <c:pt idx="32">
                  <c:v>24.10.2022.</c:v>
                </c:pt>
                <c:pt idx="33">
                  <c:v>31.10.2022.</c:v>
                </c:pt>
                <c:pt idx="34">
                  <c:v>07.11.2022.</c:v>
                </c:pt>
                <c:pt idx="35">
                  <c:v>14.11.2022.</c:v>
                </c:pt>
                <c:pt idx="36">
                  <c:v>21.11.2022.</c:v>
                </c:pt>
                <c:pt idx="37">
                  <c:v>28.11.2022.</c:v>
                </c:pt>
                <c:pt idx="38">
                  <c:v>05.12.2022.</c:v>
                </c:pt>
                <c:pt idx="39">
                  <c:v>12.12.2022.</c:v>
                </c:pt>
                <c:pt idx="40">
                  <c:v>19.12.2022.</c:v>
                </c:pt>
                <c:pt idx="41">
                  <c:v>27.12.2022.</c:v>
                </c:pt>
                <c:pt idx="42">
                  <c:v>02.01.2023.</c:v>
                </c:pt>
                <c:pt idx="43">
                  <c:v>09.01.2023.</c:v>
                </c:pt>
                <c:pt idx="44">
                  <c:v>16.01.2023.</c:v>
                </c:pt>
                <c:pt idx="45">
                  <c:v>23.01.2023.</c:v>
                </c:pt>
                <c:pt idx="46">
                  <c:v>30.01.2023.</c:v>
                </c:pt>
                <c:pt idx="47">
                  <c:v>06.02.2023.</c:v>
                </c:pt>
                <c:pt idx="48">
                  <c:v>13.02.2023.</c:v>
                </c:pt>
                <c:pt idx="49">
                  <c:v>20.02.2023.</c:v>
                </c:pt>
                <c:pt idx="50">
                  <c:v>27.02.2023.</c:v>
                </c:pt>
                <c:pt idx="51">
                  <c:v>06.03.2023.</c:v>
                </c:pt>
                <c:pt idx="52">
                  <c:v>13.03.2023.</c:v>
                </c:pt>
                <c:pt idx="53">
                  <c:v>20.03.2023.</c:v>
                </c:pt>
                <c:pt idx="54">
                  <c:v>27.03.2023.</c:v>
                </c:pt>
                <c:pt idx="55">
                  <c:v>03.04.2023.</c:v>
                </c:pt>
                <c:pt idx="56">
                  <c:v>11.04.2023.</c:v>
                </c:pt>
                <c:pt idx="57">
                  <c:v>17.04.2023.</c:v>
                </c:pt>
                <c:pt idx="58">
                  <c:v>24.04.2023.</c:v>
                </c:pt>
                <c:pt idx="59">
                  <c:v>02.05.2023.</c:v>
                </c:pt>
                <c:pt idx="60">
                  <c:v>08.05.2023.</c:v>
                </c:pt>
                <c:pt idx="61">
                  <c:v>15.05.2023.</c:v>
                </c:pt>
                <c:pt idx="62">
                  <c:v>22.05.2023.</c:v>
                </c:pt>
                <c:pt idx="63">
                  <c:v>30.05.2023.</c:v>
                </c:pt>
                <c:pt idx="64">
                  <c:v>05.06.2023.</c:v>
                </c:pt>
                <c:pt idx="65">
                  <c:v>12.06.2023.</c:v>
                </c:pt>
                <c:pt idx="66">
                  <c:v>19.06.2023.</c:v>
                </c:pt>
                <c:pt idx="67">
                  <c:v>26.06.2023.</c:v>
                </c:pt>
                <c:pt idx="68">
                  <c:v>03.07.2023.</c:v>
                </c:pt>
                <c:pt idx="69">
                  <c:v>11.07.2023.</c:v>
                </c:pt>
                <c:pt idx="70">
                  <c:v>17.07.2023.</c:v>
                </c:pt>
                <c:pt idx="71">
                  <c:v>24.07.2023.</c:v>
                </c:pt>
                <c:pt idx="72">
                  <c:v>31.07.2023.</c:v>
                </c:pt>
                <c:pt idx="73">
                  <c:v>07.08.2023.</c:v>
                </c:pt>
                <c:pt idx="74">
                  <c:v>14.08.2023.</c:v>
                </c:pt>
                <c:pt idx="75">
                  <c:v>21.08.2023.</c:v>
                </c:pt>
                <c:pt idx="76">
                  <c:v>28.08.2023.</c:v>
                </c:pt>
                <c:pt idx="77">
                  <c:v>04.09.2023.</c:v>
                </c:pt>
                <c:pt idx="78">
                  <c:v>11.09.2023.</c:v>
                </c:pt>
                <c:pt idx="79">
                  <c:v>18.09.2023.</c:v>
                </c:pt>
                <c:pt idx="80">
                  <c:v>25.09.2023.</c:v>
                </c:pt>
                <c:pt idx="81">
                  <c:v>02.10.2023.</c:v>
                </c:pt>
                <c:pt idx="82">
                  <c:v>09.10.2023.</c:v>
                </c:pt>
                <c:pt idx="83">
                  <c:v>16.10.2023.</c:v>
                </c:pt>
                <c:pt idx="84">
                  <c:v>23.10.2023.</c:v>
                </c:pt>
                <c:pt idx="85">
                  <c:v>30.10.2023.</c:v>
                </c:pt>
                <c:pt idx="86">
                  <c:v>06.11.2023.</c:v>
                </c:pt>
                <c:pt idx="87">
                  <c:v>13.11.2023.</c:v>
                </c:pt>
                <c:pt idx="88">
                  <c:v>21.11.2023.</c:v>
                </c:pt>
                <c:pt idx="89">
                  <c:v>27.11.2023.</c:v>
                </c:pt>
                <c:pt idx="90">
                  <c:v>04.12.2023.</c:v>
                </c:pt>
                <c:pt idx="91">
                  <c:v>11.12.2023.</c:v>
                </c:pt>
                <c:pt idx="92">
                  <c:v>18.12.2023.</c:v>
                </c:pt>
                <c:pt idx="93">
                  <c:v>27.12.2023.</c:v>
                </c:pt>
                <c:pt idx="94">
                  <c:v>08.01.2024.</c:v>
                </c:pt>
                <c:pt idx="95">
                  <c:v>15.01.2024.</c:v>
                </c:pt>
                <c:pt idx="96">
                  <c:v>22.01.2024.</c:v>
                </c:pt>
                <c:pt idx="97">
                  <c:v>29.01.2024.</c:v>
                </c:pt>
                <c:pt idx="98">
                  <c:v>05.02.2024.</c:v>
                </c:pt>
                <c:pt idx="99">
                  <c:v>12.02.2024.</c:v>
                </c:pt>
                <c:pt idx="100">
                  <c:v>19.02.2024.</c:v>
                </c:pt>
                <c:pt idx="101">
                  <c:v>26.02.2024.</c:v>
                </c:pt>
                <c:pt idx="102">
                  <c:v>04.03.2024.</c:v>
                </c:pt>
                <c:pt idx="103">
                  <c:v>11.03.2024.</c:v>
                </c:pt>
                <c:pt idx="104">
                  <c:v>18.03.2024.</c:v>
                </c:pt>
                <c:pt idx="105">
                  <c:v>25.03.2024.</c:v>
                </c:pt>
                <c:pt idx="106">
                  <c:v>02.04.2024.</c:v>
                </c:pt>
                <c:pt idx="107">
                  <c:v>08.04.2024.</c:v>
                </c:pt>
                <c:pt idx="108">
                  <c:v>15.04.2024.</c:v>
                </c:pt>
                <c:pt idx="109">
                  <c:v>22.04.2024.</c:v>
                </c:pt>
                <c:pt idx="110">
                  <c:v>29.04.2024.</c:v>
                </c:pt>
                <c:pt idx="111">
                  <c:v>07.05.2024.</c:v>
                </c:pt>
                <c:pt idx="112">
                  <c:v>03.06.2024.</c:v>
                </c:pt>
              </c:strCache>
            </c:strRef>
          </c:cat>
          <c:val>
            <c:numRef>
              <c:f>Sheet1!$D$2:$D$114</c:f>
              <c:numCache>
                <c:formatCode>0.0</c:formatCode>
                <c:ptCount val="11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2E-3</c:v>
                </c:pt>
                <c:pt idx="32">
                  <c:v>1.6E-2</c:v>
                </c:pt>
                <c:pt idx="33">
                  <c:v>3.1E-2</c:v>
                </c:pt>
                <c:pt idx="34">
                  <c:v>4.1000000000000002E-2</c:v>
                </c:pt>
                <c:pt idx="35">
                  <c:v>4.4999999999999998E-2</c:v>
                </c:pt>
                <c:pt idx="36">
                  <c:v>4.7E-2</c:v>
                </c:pt>
                <c:pt idx="37">
                  <c:v>5.0999999999999997E-2</c:v>
                </c:pt>
                <c:pt idx="38">
                  <c:v>5.8999999999999997E-2</c:v>
                </c:pt>
                <c:pt idx="39">
                  <c:v>6.3E-2</c:v>
                </c:pt>
                <c:pt idx="40">
                  <c:v>6.9000000000000006E-2</c:v>
                </c:pt>
                <c:pt idx="41">
                  <c:v>7.1999999999999995E-2</c:v>
                </c:pt>
                <c:pt idx="42">
                  <c:v>7.9000000000000001E-2</c:v>
                </c:pt>
                <c:pt idx="43">
                  <c:v>7.9000000000000001E-2</c:v>
                </c:pt>
                <c:pt idx="44">
                  <c:v>8.1000000000000003E-2</c:v>
                </c:pt>
                <c:pt idx="45">
                  <c:v>8.5999999999999993E-2</c:v>
                </c:pt>
                <c:pt idx="46">
                  <c:v>9.6000000000000002E-2</c:v>
                </c:pt>
                <c:pt idx="47">
                  <c:v>0.10299999999999999</c:v>
                </c:pt>
                <c:pt idx="48">
                  <c:v>0.11</c:v>
                </c:pt>
                <c:pt idx="49">
                  <c:v>0.11799999999999999</c:v>
                </c:pt>
                <c:pt idx="50">
                  <c:v>0.13200000000000001</c:v>
                </c:pt>
                <c:pt idx="51">
                  <c:v>0.14099999999999999</c:v>
                </c:pt>
                <c:pt idx="52">
                  <c:v>0.14699999999999999</c:v>
                </c:pt>
                <c:pt idx="53">
                  <c:v>0.151</c:v>
                </c:pt>
                <c:pt idx="54">
                  <c:v>0.156</c:v>
                </c:pt>
                <c:pt idx="55">
                  <c:v>0.16300000000000001</c:v>
                </c:pt>
                <c:pt idx="56">
                  <c:v>0.16400000000000001</c:v>
                </c:pt>
                <c:pt idx="57">
                  <c:v>0.17</c:v>
                </c:pt>
                <c:pt idx="58">
                  <c:v>0.17899999999999999</c:v>
                </c:pt>
                <c:pt idx="59">
                  <c:v>0.19</c:v>
                </c:pt>
                <c:pt idx="60">
                  <c:v>0.191</c:v>
                </c:pt>
                <c:pt idx="61">
                  <c:v>0.19500000000000001</c:v>
                </c:pt>
                <c:pt idx="62">
                  <c:v>0.20200000000000001</c:v>
                </c:pt>
                <c:pt idx="63">
                  <c:v>0.20699999999999999</c:v>
                </c:pt>
                <c:pt idx="64">
                  <c:v>0.21099999999999999</c:v>
                </c:pt>
                <c:pt idx="65">
                  <c:v>0.21199999999999999</c:v>
                </c:pt>
                <c:pt idx="66">
                  <c:v>0.214</c:v>
                </c:pt>
                <c:pt idx="67">
                  <c:v>0.216</c:v>
                </c:pt>
                <c:pt idx="68">
                  <c:v>0.22</c:v>
                </c:pt>
                <c:pt idx="69">
                  <c:v>0.23</c:v>
                </c:pt>
                <c:pt idx="70">
                  <c:v>0.23499999999999999</c:v>
                </c:pt>
                <c:pt idx="71">
                  <c:v>0.23799999999999999</c:v>
                </c:pt>
                <c:pt idx="72">
                  <c:v>0.24399999999999999</c:v>
                </c:pt>
                <c:pt idx="73">
                  <c:v>0.249</c:v>
                </c:pt>
                <c:pt idx="74">
                  <c:v>0.253</c:v>
                </c:pt>
                <c:pt idx="75">
                  <c:v>0.25600000000000001</c:v>
                </c:pt>
                <c:pt idx="76">
                  <c:v>0.26</c:v>
                </c:pt>
                <c:pt idx="77">
                  <c:v>0.26100000000000001</c:v>
                </c:pt>
                <c:pt idx="78">
                  <c:v>0.26500000000000001</c:v>
                </c:pt>
                <c:pt idx="79">
                  <c:v>0.27</c:v>
                </c:pt>
                <c:pt idx="80">
                  <c:v>0.27200000000000002</c:v>
                </c:pt>
                <c:pt idx="81">
                  <c:v>0.27300000000000002</c:v>
                </c:pt>
                <c:pt idx="82">
                  <c:v>0.27700000000000002</c:v>
                </c:pt>
                <c:pt idx="83">
                  <c:v>0.28299999999999997</c:v>
                </c:pt>
                <c:pt idx="84">
                  <c:v>0.28999999999999998</c:v>
                </c:pt>
                <c:pt idx="85">
                  <c:v>0.29599999999999999</c:v>
                </c:pt>
                <c:pt idx="86">
                  <c:v>0.29799999999999999</c:v>
                </c:pt>
                <c:pt idx="87">
                  <c:v>0.29899999999999999</c:v>
                </c:pt>
                <c:pt idx="88">
                  <c:v>0.307</c:v>
                </c:pt>
                <c:pt idx="89">
                  <c:v>0.309</c:v>
                </c:pt>
                <c:pt idx="90">
                  <c:v>0.315</c:v>
                </c:pt>
                <c:pt idx="91">
                  <c:v>0.315</c:v>
                </c:pt>
                <c:pt idx="92">
                  <c:v>0.316</c:v>
                </c:pt>
                <c:pt idx="93">
                  <c:v>0.31900000000000001</c:v>
                </c:pt>
                <c:pt idx="94">
                  <c:v>0.32</c:v>
                </c:pt>
                <c:pt idx="95">
                  <c:v>0.32</c:v>
                </c:pt>
                <c:pt idx="96">
                  <c:v>0.32</c:v>
                </c:pt>
                <c:pt idx="97">
                  <c:v>0.32</c:v>
                </c:pt>
                <c:pt idx="98">
                  <c:v>0.32700000000000001</c:v>
                </c:pt>
                <c:pt idx="99">
                  <c:v>0.33200000000000002</c:v>
                </c:pt>
                <c:pt idx="100">
                  <c:v>0.33600000000000002</c:v>
                </c:pt>
                <c:pt idx="101">
                  <c:v>0.34300000000000003</c:v>
                </c:pt>
                <c:pt idx="102">
                  <c:v>0.34499999999999997</c:v>
                </c:pt>
                <c:pt idx="103">
                  <c:v>0.34899999999999998</c:v>
                </c:pt>
                <c:pt idx="104">
                  <c:v>0.36</c:v>
                </c:pt>
                <c:pt idx="105">
                  <c:v>0.36399999999999999</c:v>
                </c:pt>
                <c:pt idx="106">
                  <c:v>0.36799999999999999</c:v>
                </c:pt>
                <c:pt idx="107">
                  <c:v>0.37</c:v>
                </c:pt>
                <c:pt idx="108">
                  <c:v>0.374</c:v>
                </c:pt>
                <c:pt idx="109">
                  <c:v>0.378</c:v>
                </c:pt>
                <c:pt idx="110">
                  <c:v>0.38</c:v>
                </c:pt>
                <c:pt idx="111">
                  <c:v>0.38100000000000001</c:v>
                </c:pt>
                <c:pt idx="112">
                  <c:v>0.39100000000000001</c:v>
                </c:pt>
              </c:numCache>
            </c:numRef>
          </c:val>
          <c:smooth val="0"/>
          <c:extLst>
            <c:ext xmlns:c16="http://schemas.microsoft.com/office/drawing/2014/chart" uri="{C3380CC4-5D6E-409C-BE32-E72D297353CC}">
              <c16:uniqueId val="{00000005-7555-4AB5-AF69-53DFCE0BD7E2}"/>
            </c:ext>
          </c:extLst>
        </c:ser>
        <c:dLbls>
          <c:showLegendKey val="0"/>
          <c:showVal val="0"/>
          <c:showCatName val="0"/>
          <c:showSerName val="0"/>
          <c:showPercent val="0"/>
          <c:showBubbleSize val="0"/>
        </c:dLbls>
        <c:smooth val="0"/>
        <c:axId val="787830016"/>
        <c:axId val="790689312"/>
      </c:lineChart>
      <c:catAx>
        <c:axId val="787830016"/>
        <c:scaling>
          <c:orientation val="minMax"/>
        </c:scaling>
        <c:delete val="0"/>
        <c:axPos val="b"/>
        <c:numFmt formatCode="General" sourceLinked="1"/>
        <c:majorTickMark val="none"/>
        <c:minorTickMark val="none"/>
        <c:tickLblPos val="nextTo"/>
        <c:spPr>
          <a:noFill/>
          <a:ln w="6350" cap="flat" cmpd="sng" algn="ctr">
            <a:solidFill>
              <a:schemeClr val="bg1">
                <a:lumMod val="6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crossAx val="790689312"/>
        <c:crosses val="autoZero"/>
        <c:auto val="1"/>
        <c:lblAlgn val="ctr"/>
        <c:lblOffset val="100"/>
        <c:noMultiLvlLbl val="0"/>
      </c:catAx>
      <c:valAx>
        <c:axId val="790689312"/>
        <c:scaling>
          <c:orientation val="minMax"/>
          <c:max val="50"/>
        </c:scaling>
        <c:delete val="0"/>
        <c:axPos val="l"/>
        <c:numFmt formatCode="0" sourceLinked="0"/>
        <c:majorTickMark val="none"/>
        <c:minorTickMark val="none"/>
        <c:tickLblPos val="nextTo"/>
        <c:spPr>
          <a:noFill/>
          <a:ln w="6350">
            <a:solidFill>
              <a:sysClr val="window" lastClr="FFFFFF">
                <a:lumMod val="75000"/>
              </a:sysClr>
            </a:solidFill>
          </a:ln>
          <a:effectLst/>
        </c:spPr>
        <c:txPr>
          <a:bodyPr rot="-6000000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crossAx val="787830016"/>
        <c:crosses val="autoZero"/>
        <c:crossBetween val="between"/>
        <c:majorUnit val="10"/>
      </c:valAx>
      <c:spPr>
        <a:noFill/>
        <a:ln>
          <a:noFill/>
        </a:ln>
        <a:effectLst/>
      </c:spPr>
    </c:plotArea>
    <c:legend>
      <c:legendPos val="r"/>
      <c:layout>
        <c:manualLayout>
          <c:xMode val="edge"/>
          <c:yMode val="edge"/>
          <c:x val="7.0283677838324149E-2"/>
          <c:y val="4.5275590551181091E-2"/>
          <c:w val="0.92404218289918061"/>
          <c:h val="0.1862462704982390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chemeClr val="tx1"/>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2019</c:v>
                </c:pt>
              </c:strCache>
            </c:strRef>
          </c:tx>
          <c:spPr>
            <a:solidFill>
              <a:schemeClr val="accent4">
                <a:lumMod val="75000"/>
              </a:schemeClr>
            </a:solidFill>
            <a:ln>
              <a:noFill/>
            </a:ln>
          </c:spPr>
          <c:invertIfNegative val="0"/>
          <c:dPt>
            <c:idx val="5"/>
            <c:invertIfNegative val="0"/>
            <c:bubble3D val="0"/>
            <c:extLst>
              <c:ext xmlns:c16="http://schemas.microsoft.com/office/drawing/2014/chart" uri="{C3380CC4-5D6E-409C-BE32-E72D297353CC}">
                <c16:uniqueId val="{00000000-AAC3-4C00-9587-D447000DD082}"/>
              </c:ext>
            </c:extLst>
          </c:dPt>
          <c:dPt>
            <c:idx val="7"/>
            <c:invertIfNegative val="0"/>
            <c:bubble3D val="0"/>
            <c:extLst>
              <c:ext xmlns:c16="http://schemas.microsoft.com/office/drawing/2014/chart" uri="{C3380CC4-5D6E-409C-BE32-E72D297353CC}">
                <c16:uniqueId val="{00000001-AAC3-4C00-9587-D447000DD082}"/>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C3-4C00-9587-D447000DD082}"/>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C3-4C00-9587-D447000DD082}"/>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C3-4C00-9587-D447000DD082}"/>
                </c:ext>
              </c:extLst>
            </c:dLbl>
            <c:dLbl>
              <c:idx val="5"/>
              <c:layout>
                <c:manualLayout>
                  <c:x val="-8.0869526014771903E-17"/>
                  <c:y val="3.75980084352546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C3-4C00-9587-D447000DD082}"/>
                </c:ext>
              </c:extLst>
            </c:dLbl>
            <c:spPr>
              <a:noFill/>
              <a:ln>
                <a:noFill/>
              </a:ln>
              <a:effectLst/>
            </c:spPr>
            <c:txPr>
              <a:bodyPr wrap="square" lIns="38100" tIns="19050" rIns="38100" bIns="19050" anchor="ctr">
                <a:spAutoFit/>
              </a:bodyPr>
              <a:lstStyle/>
              <a:p>
                <a:pPr>
                  <a:defRPr sz="800"/>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6"/>
                <c:pt idx="0">
                  <c:v>2018</c:v>
                </c:pt>
                <c:pt idx="1">
                  <c:v>2019</c:v>
                </c:pt>
                <c:pt idx="2">
                  <c:v>2020</c:v>
                </c:pt>
                <c:pt idx="3">
                  <c:v>2021</c:v>
                </c:pt>
                <c:pt idx="4">
                  <c:v>2022</c:v>
                </c:pt>
                <c:pt idx="5">
                  <c:v>2023</c:v>
                </c:pt>
              </c:numCache>
            </c:numRef>
          </c:cat>
          <c:val>
            <c:numRef>
              <c:f>Sheet1!$B$2:$B$9</c:f>
              <c:numCache>
                <c:formatCode>0.0</c:formatCode>
                <c:ptCount val="6"/>
                <c:pt idx="0">
                  <c:v>4.4000000000000004</c:v>
                </c:pt>
                <c:pt idx="1">
                  <c:v>1.3</c:v>
                </c:pt>
                <c:pt idx="2">
                  <c:v>0.4</c:v>
                </c:pt>
                <c:pt idx="3">
                  <c:v>9</c:v>
                </c:pt>
                <c:pt idx="4">
                  <c:v>10.3</c:v>
                </c:pt>
                <c:pt idx="5">
                  <c:v>-5.9</c:v>
                </c:pt>
              </c:numCache>
            </c:numRef>
          </c:val>
          <c:extLst>
            <c:ext xmlns:c16="http://schemas.microsoft.com/office/drawing/2014/chart" uri="{C3380CC4-5D6E-409C-BE32-E72D297353CC}">
              <c16:uniqueId val="{00000005-AAC3-4C00-9587-D447000DD082}"/>
            </c:ext>
          </c:extLst>
        </c:ser>
        <c:dLbls>
          <c:dLblPos val="outEnd"/>
          <c:showLegendKey val="0"/>
          <c:showVal val="1"/>
          <c:showCatName val="0"/>
          <c:showSerName val="0"/>
          <c:showPercent val="0"/>
          <c:showBubbleSize val="0"/>
        </c:dLbls>
        <c:gapWidth val="30"/>
        <c:axId val="742127528"/>
        <c:axId val="742128312"/>
      </c:barChart>
      <c:catAx>
        <c:axId val="742127528"/>
        <c:scaling>
          <c:orientation val="minMax"/>
        </c:scaling>
        <c:delete val="0"/>
        <c:axPos val="b"/>
        <c:numFmt formatCode="General" sourceLinked="1"/>
        <c:majorTickMark val="out"/>
        <c:minorTickMark val="none"/>
        <c:tickLblPos val="low"/>
        <c:spPr>
          <a:ln w="6350"/>
        </c:spPr>
        <c:txPr>
          <a:bodyPr rot="-5400000" vert="horz"/>
          <a:lstStyle/>
          <a:p>
            <a:pPr>
              <a:defRPr/>
            </a:pPr>
            <a:endParaRPr lang="lv-LV"/>
          </a:p>
        </c:txPr>
        <c:crossAx val="742128312"/>
        <c:crosses val="autoZero"/>
        <c:auto val="1"/>
        <c:lblAlgn val="ctr"/>
        <c:lblOffset val="0"/>
        <c:noMultiLvlLbl val="0"/>
      </c:catAx>
      <c:valAx>
        <c:axId val="742128312"/>
        <c:scaling>
          <c:orientation val="minMax"/>
        </c:scaling>
        <c:delete val="1"/>
        <c:axPos val="l"/>
        <c:numFmt formatCode="0" sourceLinked="0"/>
        <c:majorTickMark val="out"/>
        <c:minorTickMark val="none"/>
        <c:tickLblPos val="nextTo"/>
        <c:crossAx val="742127528"/>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898363479758827E-2"/>
          <c:y val="4.6413502109704644E-2"/>
          <c:w val="0.96210163652024117"/>
          <c:h val="0.68340651127218366"/>
        </c:manualLayout>
      </c:layout>
      <c:barChart>
        <c:barDir val="col"/>
        <c:grouping val="clustered"/>
        <c:varyColors val="0"/>
        <c:ser>
          <c:idx val="0"/>
          <c:order val="0"/>
          <c:tx>
            <c:strRef>
              <c:f>Sheet1!$B$1</c:f>
              <c:strCache>
                <c:ptCount val="1"/>
                <c:pt idx="0">
                  <c:v>NVA uzskaitē esošie Ukrainas civiliedzīvotāji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Category 1</c:v>
                </c:pt>
              </c:strCache>
            </c:strRef>
          </c:cat>
          <c:val>
            <c:numRef>
              <c:f>Sheet1!$B$2:$B$5</c:f>
              <c:numCache>
                <c:formatCode>General</c:formatCode>
                <c:ptCount val="1"/>
                <c:pt idx="0">
                  <c:v>1531</c:v>
                </c:pt>
              </c:numCache>
            </c:numRef>
          </c:val>
          <c:extLst>
            <c:ext xmlns:c16="http://schemas.microsoft.com/office/drawing/2014/chart" uri="{C3380CC4-5D6E-409C-BE32-E72D297353CC}">
              <c16:uniqueId val="{00000000-2AAE-4DCC-89B4-1F452E55780B}"/>
            </c:ext>
          </c:extLst>
        </c:ser>
        <c:ser>
          <c:idx val="1"/>
          <c:order val="1"/>
          <c:tx>
            <c:strRef>
              <c:f>Sheet1!$C$1</c:f>
              <c:strCache>
                <c:ptCount val="1"/>
                <c:pt idx="0">
                  <c:v>NVA uzskaitē esošie Ukrainas iedzīvotāji - darba meklētāji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Category 1</c:v>
                </c:pt>
              </c:strCache>
            </c:strRef>
          </c:cat>
          <c:val>
            <c:numRef>
              <c:f>Sheet1!$C$2:$C$5</c:f>
              <c:numCache>
                <c:formatCode>General</c:formatCode>
                <c:ptCount val="1"/>
                <c:pt idx="0">
                  <c:v>1409</c:v>
                </c:pt>
              </c:numCache>
            </c:numRef>
          </c:val>
          <c:extLst>
            <c:ext xmlns:c16="http://schemas.microsoft.com/office/drawing/2014/chart" uri="{C3380CC4-5D6E-409C-BE32-E72D297353CC}">
              <c16:uniqueId val="{00000001-2AAE-4DCC-89B4-1F452E55780B}"/>
            </c:ext>
          </c:extLst>
        </c:ser>
        <c:ser>
          <c:idx val="2"/>
          <c:order val="2"/>
          <c:tx>
            <c:strRef>
              <c:f>Sheet1!$D$1</c:f>
              <c:strCache>
                <c:ptCount val="1"/>
                <c:pt idx="0">
                  <c:v>Darba devēju piedāvāto vakanču skaits Ukrainas civiliedzīvotājiem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Category 1</c:v>
                </c:pt>
              </c:strCache>
            </c:strRef>
          </c:cat>
          <c:val>
            <c:numRef>
              <c:f>Sheet1!$D$2:$D$5</c:f>
              <c:numCache>
                <c:formatCode>General</c:formatCode>
                <c:ptCount val="1"/>
                <c:pt idx="0">
                  <c:v>965</c:v>
                </c:pt>
              </c:numCache>
            </c:numRef>
          </c:val>
          <c:extLst>
            <c:ext xmlns:c16="http://schemas.microsoft.com/office/drawing/2014/chart" uri="{C3380CC4-5D6E-409C-BE32-E72D297353CC}">
              <c16:uniqueId val="{00000002-2AAE-4DCC-89B4-1F452E55780B}"/>
            </c:ext>
          </c:extLst>
        </c:ser>
        <c:dLbls>
          <c:showLegendKey val="0"/>
          <c:showVal val="0"/>
          <c:showCatName val="0"/>
          <c:showSerName val="0"/>
          <c:showPercent val="0"/>
          <c:showBubbleSize val="0"/>
        </c:dLbls>
        <c:gapWidth val="80"/>
        <c:overlap val="-50"/>
        <c:axId val="1281551552"/>
        <c:axId val="10672304"/>
      </c:barChart>
      <c:catAx>
        <c:axId val="1281551552"/>
        <c:scaling>
          <c:orientation val="minMax"/>
        </c:scaling>
        <c:delete val="1"/>
        <c:axPos val="b"/>
        <c:numFmt formatCode="General" sourceLinked="1"/>
        <c:majorTickMark val="none"/>
        <c:minorTickMark val="none"/>
        <c:tickLblPos val="nextTo"/>
        <c:crossAx val="10672304"/>
        <c:crosses val="autoZero"/>
        <c:auto val="1"/>
        <c:lblAlgn val="ctr"/>
        <c:lblOffset val="100"/>
        <c:noMultiLvlLbl val="0"/>
      </c:catAx>
      <c:valAx>
        <c:axId val="10672304"/>
        <c:scaling>
          <c:orientation val="minMax"/>
        </c:scaling>
        <c:delete val="1"/>
        <c:axPos val="l"/>
        <c:numFmt formatCode="General" sourceLinked="1"/>
        <c:majorTickMark val="none"/>
        <c:minorTickMark val="none"/>
        <c:tickLblPos val="nextTo"/>
        <c:crossAx val="1281551552"/>
        <c:crosses val="autoZero"/>
        <c:crossBetween val="between"/>
      </c:valAx>
      <c:spPr>
        <a:noFill/>
        <a:ln>
          <a:noFill/>
        </a:ln>
        <a:effectLst/>
      </c:spPr>
    </c:plotArea>
    <c:legend>
      <c:legendPos val="b"/>
      <c:layout>
        <c:manualLayout>
          <c:xMode val="edge"/>
          <c:yMode val="edge"/>
          <c:x val="4.3465900095821366E-2"/>
          <c:y val="0.77615442109471411"/>
          <c:w val="0.90460225805107697"/>
          <c:h val="0.1884472719055813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45240540355504E-2"/>
          <c:y val="2.3574473256995031E-2"/>
          <c:w val="0.86172742188924289"/>
          <c:h val="0.87889017180459938"/>
        </c:manualLayout>
      </c:layout>
      <c:barChart>
        <c:barDir val="col"/>
        <c:grouping val="clustered"/>
        <c:varyColors val="0"/>
        <c:ser>
          <c:idx val="0"/>
          <c:order val="0"/>
          <c:tx>
            <c:strRef>
              <c:f>Sheet1!$A$3</c:f>
              <c:strCache>
                <c:ptCount val="1"/>
                <c:pt idx="0">
                  <c:v>Bruto darba alga</c:v>
                </c:pt>
              </c:strCache>
            </c:strRef>
          </c:tx>
          <c:spPr>
            <a:solidFill>
              <a:srgbClr val="228B9D"/>
            </a:solidFill>
          </c:spPr>
          <c:invertIfNegative val="0"/>
          <c:dPt>
            <c:idx val="7"/>
            <c:invertIfNegative val="0"/>
            <c:bubble3D val="0"/>
            <c:extLst>
              <c:ext xmlns:c16="http://schemas.microsoft.com/office/drawing/2014/chart" uri="{C3380CC4-5D6E-409C-BE32-E72D297353CC}">
                <c16:uniqueId val="{00000000-6C4A-42B2-9D3E-20DEE2EE5B0E}"/>
              </c:ext>
            </c:extLst>
          </c:dPt>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Sheet1!$B$2:$M$2</c:f>
              <c:strCach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strCache>
            </c:strRef>
          </c:cat>
          <c:val>
            <c:numRef>
              <c:f>Sheet1!$B$3:$M$3</c:f>
              <c:numCache>
                <c:formatCode>0</c:formatCode>
                <c:ptCount val="12"/>
                <c:pt idx="0">
                  <c:v>685</c:v>
                </c:pt>
                <c:pt idx="1">
                  <c:v>716</c:v>
                </c:pt>
                <c:pt idx="2">
                  <c:v>765</c:v>
                </c:pt>
                <c:pt idx="3">
                  <c:v>818</c:v>
                </c:pt>
                <c:pt idx="4">
                  <c:v>859</c:v>
                </c:pt>
                <c:pt idx="5">
                  <c:v>926</c:v>
                </c:pt>
                <c:pt idx="6">
                  <c:v>1004</c:v>
                </c:pt>
                <c:pt idx="7">
                  <c:v>1076</c:v>
                </c:pt>
                <c:pt idx="8">
                  <c:v>1143</c:v>
                </c:pt>
                <c:pt idx="9">
                  <c:v>1277</c:v>
                </c:pt>
                <c:pt idx="10">
                  <c:v>1373</c:v>
                </c:pt>
                <c:pt idx="11">
                  <c:v>1537</c:v>
                </c:pt>
              </c:numCache>
            </c:numRef>
          </c:val>
          <c:extLst>
            <c:ext xmlns:c16="http://schemas.microsoft.com/office/drawing/2014/chart" uri="{C3380CC4-5D6E-409C-BE32-E72D297353CC}">
              <c16:uniqueId val="{00000001-6C4A-42B2-9D3E-20DEE2EE5B0E}"/>
            </c:ext>
          </c:extLst>
        </c:ser>
        <c:dLbls>
          <c:dLblPos val="outEnd"/>
          <c:showLegendKey val="0"/>
          <c:showVal val="1"/>
          <c:showCatName val="0"/>
          <c:showSerName val="0"/>
          <c:showPercent val="0"/>
          <c:showBubbleSize val="0"/>
        </c:dLbls>
        <c:gapWidth val="60"/>
        <c:axId val="742047560"/>
        <c:axId val="742044424"/>
      </c:barChart>
      <c:catAx>
        <c:axId val="742047560"/>
        <c:scaling>
          <c:orientation val="minMax"/>
        </c:scaling>
        <c:delete val="0"/>
        <c:axPos val="b"/>
        <c:numFmt formatCode="0" sourceLinked="0"/>
        <c:majorTickMark val="out"/>
        <c:minorTickMark val="none"/>
        <c:tickLblPos val="low"/>
        <c:spPr>
          <a:ln w="9525"/>
        </c:spPr>
        <c:txPr>
          <a:bodyPr rot="-5400000" vert="horz"/>
          <a:lstStyle/>
          <a:p>
            <a:pPr>
              <a:defRPr/>
            </a:pPr>
            <a:endParaRPr lang="lv-LV"/>
          </a:p>
        </c:txPr>
        <c:crossAx val="742044424"/>
        <c:crosses val="autoZero"/>
        <c:auto val="1"/>
        <c:lblAlgn val="ctr"/>
        <c:lblOffset val="100"/>
        <c:noMultiLvlLbl val="0"/>
      </c:catAx>
      <c:valAx>
        <c:axId val="742044424"/>
        <c:scaling>
          <c:orientation val="minMax"/>
          <c:max val="1600"/>
          <c:min val="500"/>
        </c:scaling>
        <c:delete val="0"/>
        <c:axPos val="l"/>
        <c:numFmt formatCode="0" sourceLinked="0"/>
        <c:majorTickMark val="out"/>
        <c:minorTickMark val="none"/>
        <c:tickLblPos val="nextTo"/>
        <c:spPr>
          <a:ln>
            <a:noFill/>
          </a:ln>
        </c:spPr>
        <c:crossAx val="742047560"/>
        <c:crosses val="autoZero"/>
        <c:crossBetween val="between"/>
        <c:majorUnit val="150"/>
      </c:valAx>
      <c:spPr>
        <a:noFill/>
      </c:spPr>
    </c:plotArea>
    <c:plotVisOnly val="1"/>
    <c:dispBlanksAs val="gap"/>
    <c:showDLblsOverMax val="0"/>
  </c:chart>
  <c:spPr>
    <a:noFill/>
    <a:ln w="12700">
      <a:noFill/>
    </a:ln>
  </c:spPr>
  <c:txPr>
    <a:bodyPr/>
    <a:lstStyle/>
    <a:p>
      <a:pPr>
        <a:defRPr sz="800" b="0">
          <a:solidFill>
            <a:sysClr val="windowText" lastClr="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45240540355504E-2"/>
          <c:y val="5.1851817552503086E-2"/>
          <c:w val="0.8881881911639119"/>
          <c:h val="0.82292424414310761"/>
        </c:manualLayout>
      </c:layout>
      <c:barChart>
        <c:barDir val="col"/>
        <c:grouping val="clustered"/>
        <c:varyColors val="0"/>
        <c:ser>
          <c:idx val="0"/>
          <c:order val="0"/>
          <c:tx>
            <c:strRef>
              <c:f>Sheet1!$A$3</c:f>
              <c:strCache>
                <c:ptCount val="1"/>
                <c:pt idx="0">
                  <c:v>Sabiedriskajā sektorā</c:v>
                </c:pt>
              </c:strCache>
            </c:strRef>
          </c:tx>
          <c:spPr>
            <a:solidFill>
              <a:srgbClr val="228B9D"/>
            </a:solidFill>
          </c:spPr>
          <c:invertIfNegative val="0"/>
          <c:dPt>
            <c:idx val="7"/>
            <c:invertIfNegative val="0"/>
            <c:bubble3D val="0"/>
            <c:extLst>
              <c:ext xmlns:c16="http://schemas.microsoft.com/office/drawing/2014/chart" uri="{C3380CC4-5D6E-409C-BE32-E72D297353CC}">
                <c16:uniqueId val="{00000000-9B46-4431-AADD-31B8E44240F1}"/>
              </c:ext>
            </c:extLst>
          </c:dPt>
          <c:dLbls>
            <c:dLbl>
              <c:idx val="1"/>
              <c:layout>
                <c:manualLayout>
                  <c:x val="-2.6460859977949284E-2"/>
                  <c:y val="-1.17612466921493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A2-4405-A013-9249780DCF55}"/>
                </c:ext>
              </c:extLst>
            </c:dLbl>
            <c:dLbl>
              <c:idx val="6"/>
              <c:layout>
                <c:manualLayout>
                  <c:x val="-4.4101433296582946E-3"/>
                  <c:y val="-3.52837400764481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A2-4405-A013-9249780DCF55}"/>
                </c:ext>
              </c:extLst>
            </c:dLbl>
            <c:dLbl>
              <c:idx val="9"/>
              <c:layout>
                <c:manualLayout>
                  <c:x val="-3.087100330760757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A2-4405-A013-9249780DCF55}"/>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Sheet1!$B$2:$M$2</c:f>
              <c:numCache>
                <c:formatCode>0</c:formatCode>
                <c:ptCount val="12"/>
                <c:pt idx="0">
                  <c:v>2012</c:v>
                </c:pt>
                <c:pt idx="1">
                  <c:v>2013</c:v>
                </c:pt>
                <c:pt idx="2">
                  <c:v>2014</c:v>
                </c:pt>
                <c:pt idx="3">
                  <c:v>2015</c:v>
                </c:pt>
                <c:pt idx="4">
                  <c:v>2016</c:v>
                </c:pt>
                <c:pt idx="5" formatCode="General">
                  <c:v>2017</c:v>
                </c:pt>
                <c:pt idx="6">
                  <c:v>2018</c:v>
                </c:pt>
                <c:pt idx="7">
                  <c:v>2019</c:v>
                </c:pt>
                <c:pt idx="8">
                  <c:v>2020</c:v>
                </c:pt>
                <c:pt idx="9">
                  <c:v>2021</c:v>
                </c:pt>
                <c:pt idx="10">
                  <c:v>2022</c:v>
                </c:pt>
                <c:pt idx="11">
                  <c:v>2023</c:v>
                </c:pt>
              </c:numCache>
            </c:numRef>
          </c:cat>
          <c:val>
            <c:numRef>
              <c:f>Sheet1!$B$3:$M$3</c:f>
              <c:numCache>
                <c:formatCode>0.0</c:formatCode>
                <c:ptCount val="12"/>
                <c:pt idx="0">
                  <c:v>4.5</c:v>
                </c:pt>
                <c:pt idx="1">
                  <c:v>4.5999999999999996</c:v>
                </c:pt>
                <c:pt idx="2">
                  <c:v>6.1</c:v>
                </c:pt>
                <c:pt idx="3">
                  <c:v>5.2</c:v>
                </c:pt>
                <c:pt idx="4">
                  <c:v>3.7</c:v>
                </c:pt>
                <c:pt idx="5">
                  <c:v>7.4</c:v>
                </c:pt>
                <c:pt idx="6">
                  <c:v>8.5</c:v>
                </c:pt>
                <c:pt idx="7">
                  <c:v>6.8</c:v>
                </c:pt>
                <c:pt idx="8">
                  <c:v>4.9000000000000004</c:v>
                </c:pt>
                <c:pt idx="9">
                  <c:v>11.8</c:v>
                </c:pt>
                <c:pt idx="10">
                  <c:v>6.2</c:v>
                </c:pt>
                <c:pt idx="11">
                  <c:v>13.1</c:v>
                </c:pt>
              </c:numCache>
            </c:numRef>
          </c:val>
          <c:extLst>
            <c:ext xmlns:c16="http://schemas.microsoft.com/office/drawing/2014/chart" uri="{C3380CC4-5D6E-409C-BE32-E72D297353CC}">
              <c16:uniqueId val="{00000001-9B46-4431-AADD-31B8E44240F1}"/>
            </c:ext>
          </c:extLst>
        </c:ser>
        <c:ser>
          <c:idx val="1"/>
          <c:order val="1"/>
          <c:tx>
            <c:strRef>
              <c:f>Sheet1!$A$4</c:f>
              <c:strCache>
                <c:ptCount val="1"/>
                <c:pt idx="0">
                  <c:v>Privātajā sektorā</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Sheet1!$B$2:$M$2</c:f>
              <c:numCache>
                <c:formatCode>0</c:formatCode>
                <c:ptCount val="12"/>
                <c:pt idx="0">
                  <c:v>2012</c:v>
                </c:pt>
                <c:pt idx="1">
                  <c:v>2013</c:v>
                </c:pt>
                <c:pt idx="2">
                  <c:v>2014</c:v>
                </c:pt>
                <c:pt idx="3">
                  <c:v>2015</c:v>
                </c:pt>
                <c:pt idx="4">
                  <c:v>2016</c:v>
                </c:pt>
                <c:pt idx="5" formatCode="General">
                  <c:v>2017</c:v>
                </c:pt>
                <c:pt idx="6">
                  <c:v>2018</c:v>
                </c:pt>
                <c:pt idx="7">
                  <c:v>2019</c:v>
                </c:pt>
                <c:pt idx="8">
                  <c:v>2020</c:v>
                </c:pt>
                <c:pt idx="9">
                  <c:v>2021</c:v>
                </c:pt>
                <c:pt idx="10">
                  <c:v>2022</c:v>
                </c:pt>
                <c:pt idx="11">
                  <c:v>2023</c:v>
                </c:pt>
              </c:numCache>
            </c:numRef>
          </c:cat>
          <c:val>
            <c:numRef>
              <c:f>Sheet1!$B$4:$M$4</c:f>
              <c:numCache>
                <c:formatCode>0.0</c:formatCode>
                <c:ptCount val="12"/>
                <c:pt idx="0">
                  <c:v>3.4591194968553509</c:v>
                </c:pt>
                <c:pt idx="1">
                  <c:v>4.7112462006079028</c:v>
                </c:pt>
                <c:pt idx="2">
                  <c:v>7.4</c:v>
                </c:pt>
                <c:pt idx="3">
                  <c:v>7.9</c:v>
                </c:pt>
                <c:pt idx="4">
                  <c:v>5.7571964956195245</c:v>
                </c:pt>
                <c:pt idx="5">
                  <c:v>8.2840236686390512</c:v>
                </c:pt>
                <c:pt idx="6">
                  <c:v>8.4</c:v>
                </c:pt>
                <c:pt idx="7">
                  <c:v>7.6</c:v>
                </c:pt>
                <c:pt idx="8">
                  <c:v>6.6541705716963451</c:v>
                </c:pt>
                <c:pt idx="9">
                  <c:v>11.86291739894552</c:v>
                </c:pt>
                <c:pt idx="10">
                  <c:v>8</c:v>
                </c:pt>
                <c:pt idx="11">
                  <c:v>11.5</c:v>
                </c:pt>
              </c:numCache>
            </c:numRef>
          </c:val>
          <c:extLst>
            <c:ext xmlns:c16="http://schemas.microsoft.com/office/drawing/2014/chart" uri="{C3380CC4-5D6E-409C-BE32-E72D297353CC}">
              <c16:uniqueId val="{00000002-9B46-4431-AADD-31B8E44240F1}"/>
            </c:ext>
          </c:extLst>
        </c:ser>
        <c:dLbls>
          <c:dLblPos val="outEnd"/>
          <c:showLegendKey val="0"/>
          <c:showVal val="1"/>
          <c:showCatName val="0"/>
          <c:showSerName val="0"/>
          <c:showPercent val="0"/>
          <c:showBubbleSize val="0"/>
        </c:dLbls>
        <c:gapWidth val="40"/>
        <c:axId val="742046776"/>
        <c:axId val="742047952"/>
      </c:barChart>
      <c:catAx>
        <c:axId val="742046776"/>
        <c:scaling>
          <c:orientation val="minMax"/>
        </c:scaling>
        <c:delete val="0"/>
        <c:axPos val="b"/>
        <c:numFmt formatCode="0" sourceLinked="0"/>
        <c:majorTickMark val="out"/>
        <c:minorTickMark val="none"/>
        <c:tickLblPos val="low"/>
        <c:spPr>
          <a:ln w="9525"/>
        </c:spPr>
        <c:txPr>
          <a:bodyPr rot="-5400000" vert="horz"/>
          <a:lstStyle/>
          <a:p>
            <a:pPr>
              <a:defRPr/>
            </a:pPr>
            <a:endParaRPr lang="lv-LV"/>
          </a:p>
        </c:txPr>
        <c:crossAx val="742047952"/>
        <c:crosses val="autoZero"/>
        <c:auto val="1"/>
        <c:lblAlgn val="ctr"/>
        <c:lblOffset val="100"/>
        <c:noMultiLvlLbl val="0"/>
      </c:catAx>
      <c:valAx>
        <c:axId val="742047952"/>
        <c:scaling>
          <c:orientation val="minMax"/>
          <c:max val="14"/>
          <c:min val="0"/>
        </c:scaling>
        <c:delete val="0"/>
        <c:axPos val="l"/>
        <c:numFmt formatCode="0" sourceLinked="0"/>
        <c:majorTickMark val="out"/>
        <c:minorTickMark val="none"/>
        <c:tickLblPos val="nextTo"/>
        <c:spPr>
          <a:ln>
            <a:noFill/>
          </a:ln>
        </c:spPr>
        <c:crossAx val="742046776"/>
        <c:crosses val="autoZero"/>
        <c:crossBetween val="between"/>
        <c:majorUnit val="2"/>
      </c:valAx>
      <c:spPr>
        <a:noFill/>
      </c:spPr>
    </c:plotArea>
    <c:legend>
      <c:legendPos val="t"/>
      <c:layout>
        <c:manualLayout>
          <c:xMode val="edge"/>
          <c:yMode val="edge"/>
          <c:x val="0.11267950932814766"/>
          <c:y val="1.1761246692149369E-2"/>
          <c:w val="0.43064980163036404"/>
          <c:h val="0.18676338927021877"/>
        </c:manualLayout>
      </c:layout>
      <c:overlay val="0"/>
    </c:legend>
    <c:plotVisOnly val="1"/>
    <c:dispBlanksAs val="gap"/>
    <c:showDLblsOverMax val="0"/>
  </c:chart>
  <c:spPr>
    <a:noFill/>
    <a:ln w="12700">
      <a:noFill/>
    </a:ln>
  </c:spPr>
  <c:txPr>
    <a:bodyPr/>
    <a:lstStyle/>
    <a:p>
      <a:pPr>
        <a:defRPr sz="800" b="0">
          <a:solidFill>
            <a:sysClr val="windowText" lastClr="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950715780152625E-2"/>
          <c:y val="6.0613946338154374E-2"/>
          <c:w val="0.91644931373655469"/>
          <c:h val="0.81145332428859507"/>
        </c:manualLayout>
      </c:layout>
      <c:barChart>
        <c:barDir val="col"/>
        <c:grouping val="clustered"/>
        <c:varyColors val="0"/>
        <c:ser>
          <c:idx val="0"/>
          <c:order val="0"/>
          <c:tx>
            <c:strRef>
              <c:f>Sheet1!$A$2</c:f>
              <c:strCache>
                <c:ptCount val="1"/>
                <c:pt idx="0">
                  <c:v>&gt;1 000 EUR</c:v>
                </c:pt>
              </c:strCache>
            </c:strRef>
          </c:tx>
          <c:spPr>
            <a:solidFill>
              <a:schemeClr val="accent6"/>
            </a:solidFill>
            <a:ln>
              <a:noFill/>
            </a:ln>
            <a:effectLst/>
          </c:spPr>
          <c:invertIfNegative val="0"/>
          <c:dPt>
            <c:idx val="9"/>
            <c:invertIfNegative val="0"/>
            <c:bubble3D val="0"/>
            <c:spPr>
              <a:solidFill>
                <a:schemeClr val="accent6"/>
              </a:solidFill>
              <a:ln>
                <a:noFill/>
              </a:ln>
              <a:effectLst/>
            </c:spPr>
            <c:extLst>
              <c:ext xmlns:c16="http://schemas.microsoft.com/office/drawing/2014/chart" uri="{C3380CC4-5D6E-409C-BE32-E72D297353CC}">
                <c16:uniqueId val="{00000001-2744-4F17-9C54-1488FCDEDA34}"/>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3-2744-4F17-9C54-1488FCDEDA34}"/>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5-2744-4F17-9C54-1488FCDEDA34}"/>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7-2744-4F17-9C54-1488FCDEDA34}"/>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9-2744-4F17-9C54-1488FCDEDA34}"/>
              </c:ext>
            </c:extLst>
          </c:dPt>
          <c:cat>
            <c:strRef>
              <c:f>Sheet1!$B$1:$Q$1</c:f>
              <c:strCach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strCache>
            </c:strRef>
          </c:cat>
          <c:val>
            <c:numRef>
              <c:f>Sheet1!$B$2:$Q$2</c:f>
              <c:numCache>
                <c:formatCode>0</c:formatCode>
                <c:ptCount val="16"/>
                <c:pt idx="0">
                  <c:v>19.8</c:v>
                </c:pt>
                <c:pt idx="1">
                  <c:v>16.3</c:v>
                </c:pt>
                <c:pt idx="2">
                  <c:v>13.999999999999996</c:v>
                </c:pt>
                <c:pt idx="3">
                  <c:v>15.099999999999998</c:v>
                </c:pt>
                <c:pt idx="4">
                  <c:v>16.400000000000002</c:v>
                </c:pt>
                <c:pt idx="5">
                  <c:v>18.200000000000003</c:v>
                </c:pt>
                <c:pt idx="6">
                  <c:v>20.399999999999999</c:v>
                </c:pt>
                <c:pt idx="7">
                  <c:v>22.9</c:v>
                </c:pt>
                <c:pt idx="8">
                  <c:v>25.4</c:v>
                </c:pt>
                <c:pt idx="9">
                  <c:v>29.399999999999995</c:v>
                </c:pt>
                <c:pt idx="10">
                  <c:v>33.699999999999996</c:v>
                </c:pt>
                <c:pt idx="11">
                  <c:v>38.016593293698328</c:v>
                </c:pt>
                <c:pt idx="12">
                  <c:v>41.2</c:v>
                </c:pt>
                <c:pt idx="13">
                  <c:v>46.699999999999996</c:v>
                </c:pt>
                <c:pt idx="14" formatCode="0.0">
                  <c:v>52.933333333333337</c:v>
                </c:pt>
                <c:pt idx="15" formatCode="0.0">
                  <c:v>60.033333333333331</c:v>
                </c:pt>
              </c:numCache>
            </c:numRef>
          </c:val>
          <c:extLst>
            <c:ext xmlns:c16="http://schemas.microsoft.com/office/drawing/2014/chart" uri="{C3380CC4-5D6E-409C-BE32-E72D297353CC}">
              <c16:uniqueId val="{0000000A-2744-4F17-9C54-1488FCDEDA34}"/>
            </c:ext>
          </c:extLst>
        </c:ser>
        <c:dLbls>
          <c:showLegendKey val="0"/>
          <c:showVal val="0"/>
          <c:showCatName val="0"/>
          <c:showSerName val="0"/>
          <c:showPercent val="0"/>
          <c:showBubbleSize val="0"/>
        </c:dLbls>
        <c:gapWidth val="60"/>
        <c:axId val="742045992"/>
        <c:axId val="742045600"/>
      </c:barChart>
      <c:lineChart>
        <c:grouping val="standard"/>
        <c:varyColors val="0"/>
        <c:ser>
          <c:idx val="9"/>
          <c:order val="1"/>
          <c:tx>
            <c:strRef>
              <c:f>Sheet1!$A$3</c:f>
              <c:strCache>
                <c:ptCount val="1"/>
                <c:pt idx="0">
                  <c:v>Minimālā darba alga vai mazāk</c:v>
                </c:pt>
              </c:strCache>
            </c:strRef>
          </c:tx>
          <c:spPr>
            <a:ln w="19050" cap="rnd" cmpd="sng" algn="ctr">
              <a:solidFill>
                <a:sysClr val="window" lastClr="FFFFFF">
                  <a:lumMod val="50000"/>
                </a:sysClr>
              </a:solidFill>
              <a:prstDash val="solid"/>
              <a:round/>
            </a:ln>
            <a:effectLst/>
          </c:spPr>
          <c:marker>
            <c:symbol val="none"/>
          </c:marker>
          <c:dPt>
            <c:idx val="9"/>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0C-2744-4F17-9C54-1488FCDEDA34}"/>
              </c:ext>
            </c:extLst>
          </c:dPt>
          <c:dPt>
            <c:idx val="10"/>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0E-2744-4F17-9C54-1488FCDEDA34}"/>
              </c:ext>
            </c:extLst>
          </c:dPt>
          <c:dPt>
            <c:idx val="11"/>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10-2744-4F17-9C54-1488FCDEDA34}"/>
              </c:ext>
            </c:extLst>
          </c:dPt>
          <c:dPt>
            <c:idx val="12"/>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12-2744-4F17-9C54-1488FCDEDA34}"/>
              </c:ext>
            </c:extLst>
          </c:dPt>
          <c:cat>
            <c:strRef>
              <c:f>Sheet1!$B$1:$O$1</c:f>
              <c:strCach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strCache>
            </c:strRef>
          </c:cat>
          <c:val>
            <c:numRef>
              <c:f>Sheet1!$B$3:$Q$3</c:f>
              <c:numCache>
                <c:formatCode>0</c:formatCode>
                <c:ptCount val="16"/>
                <c:pt idx="0">
                  <c:v>17.899999999999999</c:v>
                </c:pt>
                <c:pt idx="1">
                  <c:v>24.2</c:v>
                </c:pt>
                <c:pt idx="2">
                  <c:v>26.5</c:v>
                </c:pt>
                <c:pt idx="3">
                  <c:v>28.2</c:v>
                </c:pt>
                <c:pt idx="4">
                  <c:v>26.3</c:v>
                </c:pt>
                <c:pt idx="5">
                  <c:v>23.6</c:v>
                </c:pt>
                <c:pt idx="6">
                  <c:v>23.2</c:v>
                </c:pt>
                <c:pt idx="7">
                  <c:v>23.5</c:v>
                </c:pt>
                <c:pt idx="8">
                  <c:v>21.7</c:v>
                </c:pt>
                <c:pt idx="9">
                  <c:v>20.100000000000001</c:v>
                </c:pt>
                <c:pt idx="10">
                  <c:v>20.6</c:v>
                </c:pt>
                <c:pt idx="11">
                  <c:v>18.899999999999999</c:v>
                </c:pt>
                <c:pt idx="12">
                  <c:v>18.100000000000001</c:v>
                </c:pt>
                <c:pt idx="13">
                  <c:v>19.399999999999999</c:v>
                </c:pt>
                <c:pt idx="14">
                  <c:v>17.008333333333333</c:v>
                </c:pt>
                <c:pt idx="15">
                  <c:v>16.008333333333333</c:v>
                </c:pt>
              </c:numCache>
            </c:numRef>
          </c:val>
          <c:smooth val="0"/>
          <c:extLst>
            <c:ext xmlns:c16="http://schemas.microsoft.com/office/drawing/2014/chart" uri="{C3380CC4-5D6E-409C-BE32-E72D297353CC}">
              <c16:uniqueId val="{00000013-2744-4F17-9C54-1488FCDEDA34}"/>
            </c:ext>
          </c:extLst>
        </c:ser>
        <c:dLbls>
          <c:showLegendKey val="0"/>
          <c:showVal val="0"/>
          <c:showCatName val="0"/>
          <c:showSerName val="0"/>
          <c:showPercent val="0"/>
          <c:showBubbleSize val="0"/>
        </c:dLbls>
        <c:marker val="1"/>
        <c:smooth val="0"/>
        <c:axId val="742045992"/>
        <c:axId val="742045600"/>
      </c:lineChart>
      <c:catAx>
        <c:axId val="742045992"/>
        <c:scaling>
          <c:orientation val="minMax"/>
        </c:scaling>
        <c:delete val="0"/>
        <c:axPos val="b"/>
        <c:numFmt formatCode="General" sourceLinked="1"/>
        <c:majorTickMark val="out"/>
        <c:minorTickMark val="none"/>
        <c:tickLblPos val="low"/>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Arial"/>
              </a:defRPr>
            </a:pPr>
            <a:endParaRPr lang="lv-LV"/>
          </a:p>
        </c:txPr>
        <c:crossAx val="742045600"/>
        <c:crosses val="autoZero"/>
        <c:auto val="0"/>
        <c:lblAlgn val="ctr"/>
        <c:lblOffset val="100"/>
        <c:noMultiLvlLbl val="0"/>
      </c:catAx>
      <c:valAx>
        <c:axId val="742045600"/>
        <c:scaling>
          <c:orientation val="minMax"/>
          <c:max val="60"/>
        </c:scaling>
        <c:delete val="0"/>
        <c:axPos val="l"/>
        <c:numFmt formatCode="0" sourceLinked="0"/>
        <c:majorTickMark val="out"/>
        <c:minorTickMark val="none"/>
        <c:tickLblPos val="nextTo"/>
        <c:spPr>
          <a:noFill/>
          <a:ln w="3175"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Arial"/>
              </a:defRPr>
            </a:pPr>
            <a:endParaRPr lang="lv-LV"/>
          </a:p>
        </c:txPr>
        <c:crossAx val="742045992"/>
        <c:crosses val="autoZero"/>
        <c:crossBetween val="between"/>
        <c:majorUnit val="10"/>
      </c:valAx>
      <c:spPr>
        <a:noFill/>
        <a:ln w="24631">
          <a:noFill/>
        </a:ln>
        <a:effectLst/>
      </c:spPr>
    </c:plotArea>
    <c:legend>
      <c:legendPos val="l"/>
      <c:layout>
        <c:manualLayout>
          <c:xMode val="edge"/>
          <c:yMode val="edge"/>
          <c:x val="0.10165866532394587"/>
          <c:y val="2.3790594243934739E-2"/>
          <c:w val="0.7801341269841271"/>
          <c:h val="0.17557515310586178"/>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Segoe UI Light" panose="020B0502040204020203" pitchFamily="34" charset="0"/>
              <a:ea typeface="Arial"/>
              <a:cs typeface="Arial"/>
            </a:defRPr>
          </a:pPr>
          <a:endParaRPr lang="lv-LV"/>
        </a:p>
      </c:txPr>
    </c:legend>
    <c:plotVisOnly val="1"/>
    <c:dispBlanksAs val="gap"/>
    <c:showDLblsOverMax val="0"/>
  </c:chart>
  <c:spPr>
    <a:noFill/>
    <a:ln w="9525" cap="flat" cmpd="sng" algn="ctr">
      <a:noFill/>
      <a:prstDash val="solid"/>
      <a:round/>
    </a:ln>
    <a:effectLst/>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379263833631537"/>
          <c:y val="1.089537653947103E-2"/>
          <c:w val="0.4678564508295523"/>
          <c:h val="0.97246682604785839"/>
        </c:manualLayout>
      </c:layout>
      <c:barChart>
        <c:barDir val="bar"/>
        <c:grouping val="clustered"/>
        <c:varyColors val="0"/>
        <c:ser>
          <c:idx val="2"/>
          <c:order val="0"/>
          <c:spPr>
            <a:solidFill>
              <a:srgbClr val="9BBB59"/>
            </a:solidFill>
          </c:spPr>
          <c:invertIfNegative val="0"/>
          <c:dPt>
            <c:idx val="10"/>
            <c:invertIfNegative val="0"/>
            <c:bubble3D val="0"/>
            <c:spPr>
              <a:solidFill>
                <a:srgbClr val="F79646">
                  <a:lumMod val="75000"/>
                </a:srgbClr>
              </a:solidFill>
            </c:spPr>
            <c:extLst>
              <c:ext xmlns:c16="http://schemas.microsoft.com/office/drawing/2014/chart" uri="{C3380CC4-5D6E-409C-BE32-E72D297353CC}">
                <c16:uniqueId val="{00000001-862B-417B-91D5-35B5624B4EFF}"/>
              </c:ext>
            </c:extLst>
          </c:dPt>
          <c:dPt>
            <c:idx val="12"/>
            <c:invertIfNegative val="0"/>
            <c:bubble3D val="0"/>
            <c:extLst>
              <c:ext xmlns:c16="http://schemas.microsoft.com/office/drawing/2014/chart" uri="{C3380CC4-5D6E-409C-BE32-E72D297353CC}">
                <c16:uniqueId val="{00000002-862B-417B-91D5-35B5624B4EFF}"/>
              </c:ext>
            </c:extLst>
          </c:dPt>
          <c:dLbls>
            <c:dLbl>
              <c:idx val="10"/>
              <c:spPr>
                <a:noFill/>
                <a:ln>
                  <a:noFill/>
                </a:ln>
                <a:effectLst/>
              </c:spPr>
              <c:txPr>
                <a:bodyPr wrap="square" lIns="38100" tIns="19050" rIns="38100" bIns="19050" anchor="ctr">
                  <a:spAutoFit/>
                </a:bodyPr>
                <a:lstStyle/>
                <a:p>
                  <a:pPr>
                    <a:defRPr b="1">
                      <a:solidFill>
                        <a:schemeClr val="bg1"/>
                      </a:solidFill>
                    </a:defRPr>
                  </a:pPr>
                  <a:endParaRPr lang="lv-LV"/>
                </a:p>
              </c:txPr>
              <c:dLblPos val="in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862B-417B-91D5-35B5624B4EFF}"/>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Sheet1!$E$3:$E$22</c:f>
              <c:strCache>
                <c:ptCount val="20"/>
                <c:pt idx="0">
                  <c:v>Lauksaimniecība, mežsaimniecība un zivsaimniecība</c:v>
                </c:pt>
                <c:pt idx="1">
                  <c:v>Elektroenerģija, gāzes apgāde, siltumapgāde</c:v>
                </c:pt>
                <c:pt idx="2">
                  <c:v>Transports un uzglabāšana</c:v>
                </c:pt>
                <c:pt idx="3">
                  <c:v>Valsts pārvalde un aizsardzība</c:v>
                </c:pt>
                <c:pt idx="4">
                  <c:v>Izglītība </c:v>
                </c:pt>
                <c:pt idx="5">
                  <c:v>Ieguves rūpniecība un karjeru izstrāde</c:v>
                </c:pt>
                <c:pt idx="6">
                  <c:v>Ūdens apgāde; notekūdeņu, atkritumu apsaimniekošana</c:v>
                </c:pt>
                <c:pt idx="7">
                  <c:v>Tirdzniecība; automobiļu un motociklu remonts</c:v>
                </c:pt>
                <c:pt idx="8">
                  <c:v>Operācijas ar nekustamo īpašumu</c:v>
                </c:pt>
                <c:pt idx="9">
                  <c:v>Citi pakalpojumi</c:v>
                </c:pt>
                <c:pt idx="10">
                  <c:v>Vidēji valstī</c:v>
                </c:pt>
                <c:pt idx="11">
                  <c:v>Izmitināšana un ēdināšanas pakalpojumi</c:v>
                </c:pt>
                <c:pt idx="12">
                  <c:v>Apstrādes rūpniecība</c:v>
                </c:pt>
                <c:pt idx="13">
                  <c:v>Profesionālie, zinātniskie un tehniskie pakalpojumi</c:v>
                </c:pt>
                <c:pt idx="14">
                  <c:v>Informācijas un komunikācijas pakalpojumi</c:v>
                </c:pt>
                <c:pt idx="15">
                  <c:v>Būvniecība</c:v>
                </c:pt>
                <c:pt idx="16">
                  <c:v>Māksla, izklaide un atpūta </c:v>
                </c:pt>
                <c:pt idx="17">
                  <c:v>Finanšu un apdrošināšanas darbības</c:v>
                </c:pt>
                <c:pt idx="18">
                  <c:v>Administratīvo un apkalpojošo dienestu darbība</c:v>
                </c:pt>
                <c:pt idx="19">
                  <c:v>Veselība un sociālā aprūpe</c:v>
                </c:pt>
              </c:strCache>
            </c:strRef>
          </c:cat>
          <c:val>
            <c:numRef>
              <c:f>Sheet1!$C$3:$C$22</c:f>
              <c:numCache>
                <c:formatCode>0.0</c:formatCode>
                <c:ptCount val="20"/>
                <c:pt idx="0">
                  <c:v>18.20964039785769</c:v>
                </c:pt>
                <c:pt idx="1">
                  <c:v>17.520858164481528</c:v>
                </c:pt>
                <c:pt idx="2">
                  <c:v>15.571205007824727</c:v>
                </c:pt>
                <c:pt idx="3">
                  <c:v>14.993646759847524</c:v>
                </c:pt>
                <c:pt idx="4">
                  <c:v>14.825046040515655</c:v>
                </c:pt>
                <c:pt idx="5">
                  <c:v>14.29530201342282</c:v>
                </c:pt>
                <c:pt idx="6">
                  <c:v>13.782771535580524</c:v>
                </c:pt>
                <c:pt idx="7">
                  <c:v>12.903225806451612</c:v>
                </c:pt>
                <c:pt idx="8">
                  <c:v>12.140287769784171</c:v>
                </c:pt>
                <c:pt idx="9">
                  <c:v>12.140287769784171</c:v>
                </c:pt>
                <c:pt idx="10">
                  <c:v>11.944646758922069</c:v>
                </c:pt>
                <c:pt idx="11">
                  <c:v>11.698537682789652</c:v>
                </c:pt>
                <c:pt idx="12">
                  <c:v>11.535523300229181</c:v>
                </c:pt>
                <c:pt idx="13">
                  <c:v>11.494903737259342</c:v>
                </c:pt>
                <c:pt idx="14">
                  <c:v>11.45605596851771</c:v>
                </c:pt>
                <c:pt idx="15">
                  <c:v>10.357958872810357</c:v>
                </c:pt>
                <c:pt idx="16">
                  <c:v>10.197086546700943</c:v>
                </c:pt>
                <c:pt idx="17">
                  <c:v>9.8892080426754205</c:v>
                </c:pt>
                <c:pt idx="18">
                  <c:v>6.677524429967427</c:v>
                </c:pt>
                <c:pt idx="19">
                  <c:v>3.8944723618090453</c:v>
                </c:pt>
              </c:numCache>
            </c:numRef>
          </c:val>
          <c:extLst>
            <c:ext xmlns:c16="http://schemas.microsoft.com/office/drawing/2014/chart" uri="{C3380CC4-5D6E-409C-BE32-E72D297353CC}">
              <c16:uniqueId val="{00000003-862B-417B-91D5-35B5624B4EFF}"/>
            </c:ext>
          </c:extLst>
        </c:ser>
        <c:dLbls>
          <c:showLegendKey val="0"/>
          <c:showVal val="0"/>
          <c:showCatName val="0"/>
          <c:showSerName val="0"/>
          <c:showPercent val="0"/>
          <c:showBubbleSize val="0"/>
        </c:dLbls>
        <c:gapWidth val="40"/>
        <c:axId val="742045208"/>
        <c:axId val="742036192"/>
      </c:barChart>
      <c:catAx>
        <c:axId val="742045208"/>
        <c:scaling>
          <c:orientation val="minMax"/>
        </c:scaling>
        <c:delete val="0"/>
        <c:axPos val="l"/>
        <c:numFmt formatCode="General" sourceLinked="1"/>
        <c:majorTickMark val="out"/>
        <c:minorTickMark val="none"/>
        <c:tickLblPos val="nextTo"/>
        <c:spPr>
          <a:ln w="3175"/>
        </c:spPr>
        <c:crossAx val="742036192"/>
        <c:crosses val="autoZero"/>
        <c:auto val="0"/>
        <c:lblAlgn val="ctr"/>
        <c:lblOffset val="0"/>
        <c:noMultiLvlLbl val="1"/>
      </c:catAx>
      <c:valAx>
        <c:axId val="742036192"/>
        <c:scaling>
          <c:orientation val="minMax"/>
          <c:max val="20"/>
          <c:min val="0"/>
        </c:scaling>
        <c:delete val="0"/>
        <c:axPos val="b"/>
        <c:numFmt formatCode="0" sourceLinked="0"/>
        <c:majorTickMark val="out"/>
        <c:minorTickMark val="none"/>
        <c:tickLblPos val="nextTo"/>
        <c:spPr>
          <a:ln>
            <a:noFill/>
          </a:ln>
        </c:spPr>
        <c:crossAx val="742045208"/>
        <c:crosses val="autoZero"/>
        <c:crossBetween val="between"/>
        <c:majorUnit val="5"/>
      </c:valAx>
      <c:spPr>
        <a:noFill/>
        <a:ln w="24631">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lv-LV"/>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272090056801266E-2"/>
          <c:y val="0.12736667563743065"/>
          <c:w val="0.8838468202444979"/>
          <c:h val="0.39836477441422358"/>
        </c:manualLayout>
      </c:layout>
      <c:barChart>
        <c:barDir val="col"/>
        <c:grouping val="clustered"/>
        <c:varyColors val="0"/>
        <c:ser>
          <c:idx val="1"/>
          <c:order val="1"/>
          <c:tx>
            <c:strRef>
              <c:f>Sheet1!$C$1</c:f>
              <c:strCache>
                <c:ptCount val="1"/>
                <c:pt idx="0">
                  <c:v>Bruto darba samaksa 2024. gada martā, EUR, kreisā ass</c:v>
                </c:pt>
              </c:strCache>
            </c:strRef>
          </c:tx>
          <c:spPr>
            <a:solidFill>
              <a:srgbClr val="CC9900"/>
            </a:solidFill>
            <a:ln>
              <a:noFill/>
            </a:ln>
            <a:effectLst/>
          </c:spPr>
          <c:invertIfNegative val="0"/>
          <c:dLbls>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3C-4D5F-BE3D-37C16AB383FA}"/>
                </c:ext>
              </c:extLst>
            </c:dLbl>
            <c:dLbl>
              <c:idx val="3"/>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C1-499B-B54B-BF5F927F8652}"/>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Vecākie speciālisti</c:v>
                </c:pt>
                <c:pt idx="1">
                  <c:v>Vadītāji</c:v>
                </c:pt>
                <c:pt idx="2">
                  <c:v>Speciālisti</c:v>
                </c:pt>
                <c:pt idx="3">
                  <c:v>NBS profesijas</c:v>
                </c:pt>
                <c:pt idx="4">
                  <c:v>Kalpotāji</c:v>
                </c:pt>
                <c:pt idx="5">
                  <c:v>Kvalificēti strādnieki un amatnieki</c:v>
                </c:pt>
                <c:pt idx="6">
                  <c:v>Iekārtu un mašīnu operatori</c:v>
                </c:pt>
                <c:pt idx="7">
                  <c:v>Kvalificēti lauksaimniecības darbinieki</c:v>
                </c:pt>
                <c:pt idx="8">
                  <c:v>Pakalpojumu un tirdzniecības darbinieki</c:v>
                </c:pt>
                <c:pt idx="9">
                  <c:v>Vienkāršās profesijas</c:v>
                </c:pt>
              </c:strCache>
            </c:strRef>
          </c:cat>
          <c:val>
            <c:numRef>
              <c:f>Sheet1!$C$2:$C$11</c:f>
              <c:numCache>
                <c:formatCode>#,##0</c:formatCode>
                <c:ptCount val="10"/>
                <c:pt idx="0">
                  <c:v>2208.2558350510417</c:v>
                </c:pt>
                <c:pt idx="1">
                  <c:v>2183.8069217499046</c:v>
                </c:pt>
                <c:pt idx="2">
                  <c:v>1793.5004726507782</c:v>
                </c:pt>
                <c:pt idx="3">
                  <c:v>1787.9891775957606</c:v>
                </c:pt>
                <c:pt idx="4">
                  <c:v>1479.1946776536361</c:v>
                </c:pt>
                <c:pt idx="5">
                  <c:v>1433.7875868121291</c:v>
                </c:pt>
                <c:pt idx="6">
                  <c:v>1396.6852560672123</c:v>
                </c:pt>
                <c:pt idx="7">
                  <c:v>1172.9506703749391</c:v>
                </c:pt>
                <c:pt idx="8">
                  <c:v>1107.5550855093111</c:v>
                </c:pt>
                <c:pt idx="9">
                  <c:v>1017.7539607214397</c:v>
                </c:pt>
              </c:numCache>
            </c:numRef>
          </c:val>
          <c:extLst>
            <c:ext xmlns:c16="http://schemas.microsoft.com/office/drawing/2014/chart" uri="{C3380CC4-5D6E-409C-BE32-E72D297353CC}">
              <c16:uniqueId val="{00000001-473C-4D5F-BE3D-37C16AB383FA}"/>
            </c:ext>
          </c:extLst>
        </c:ser>
        <c:dLbls>
          <c:showLegendKey val="0"/>
          <c:showVal val="0"/>
          <c:showCatName val="0"/>
          <c:showSerName val="0"/>
          <c:showPercent val="0"/>
          <c:showBubbleSize val="0"/>
        </c:dLbls>
        <c:gapWidth val="80"/>
        <c:axId val="524604104"/>
        <c:axId val="524602792"/>
      </c:barChart>
      <c:lineChart>
        <c:grouping val="standard"/>
        <c:varyColors val="0"/>
        <c:ser>
          <c:idx val="0"/>
          <c:order val="0"/>
          <c:tx>
            <c:strRef>
              <c:f>Sheet1!$B$1</c:f>
              <c:strCache>
                <c:ptCount val="1"/>
                <c:pt idx="0">
                  <c:v>Bruto darba samaksa (2024. gada marts pret 2023. gada marts, izmaiņas procentos, labā ass)</c:v>
                </c:pt>
              </c:strCache>
            </c:strRef>
          </c:tx>
          <c:spPr>
            <a:ln w="28575" cap="rnd">
              <a:noFill/>
              <a:round/>
            </a:ln>
            <a:effectLst/>
          </c:spPr>
          <c:marker>
            <c:symbol val="diamond"/>
            <c:size val="10"/>
            <c:spPr>
              <a:solidFill>
                <a:schemeClr val="tx1">
                  <a:lumMod val="65000"/>
                  <a:lumOff val="35000"/>
                </a:schemeClr>
              </a:solidFill>
              <a:ln w="9525">
                <a:solidFill>
                  <a:schemeClr val="tx1">
                    <a:lumMod val="65000"/>
                    <a:lumOff val="35000"/>
                  </a:schemeClr>
                </a:solidFill>
              </a:ln>
              <a:effectLst/>
            </c:spPr>
          </c:marker>
          <c:cat>
            <c:strRef>
              <c:f>Sheet1!$A$2:$A$11</c:f>
              <c:strCache>
                <c:ptCount val="10"/>
                <c:pt idx="0">
                  <c:v>Vecākie speciālisti</c:v>
                </c:pt>
                <c:pt idx="1">
                  <c:v>Vadītāji</c:v>
                </c:pt>
                <c:pt idx="2">
                  <c:v>Speciālisti</c:v>
                </c:pt>
                <c:pt idx="3">
                  <c:v>NBS profesijas</c:v>
                </c:pt>
                <c:pt idx="4">
                  <c:v>Kalpotāji</c:v>
                </c:pt>
                <c:pt idx="5">
                  <c:v>Kvalificēti strādnieki un amatnieki</c:v>
                </c:pt>
                <c:pt idx="6">
                  <c:v>Iekārtu un mašīnu operatori</c:v>
                </c:pt>
                <c:pt idx="7">
                  <c:v>Kvalificēti lauksaimniecības darbinieki</c:v>
                </c:pt>
                <c:pt idx="8">
                  <c:v>Pakalpojumu un tirdzniecības darbinieki</c:v>
                </c:pt>
                <c:pt idx="9">
                  <c:v>Vienkāršās profesijas</c:v>
                </c:pt>
              </c:strCache>
            </c:strRef>
          </c:cat>
          <c:val>
            <c:numRef>
              <c:f>Sheet1!$B$2:$B$11</c:f>
              <c:numCache>
                <c:formatCode>0.0%</c:formatCode>
                <c:ptCount val="10"/>
                <c:pt idx="0">
                  <c:v>0.26450063280916886</c:v>
                </c:pt>
                <c:pt idx="1">
                  <c:v>0.25986443884315991</c:v>
                </c:pt>
                <c:pt idx="2">
                  <c:v>0.24265491329181604</c:v>
                </c:pt>
                <c:pt idx="3">
                  <c:v>0.50050148779101933</c:v>
                </c:pt>
                <c:pt idx="4">
                  <c:v>0.20801189673717055</c:v>
                </c:pt>
                <c:pt idx="5">
                  <c:v>0.18376275634121056</c:v>
                </c:pt>
                <c:pt idx="6">
                  <c:v>0.18414850325823909</c:v>
                </c:pt>
                <c:pt idx="7">
                  <c:v>0.23186144202386824</c:v>
                </c:pt>
                <c:pt idx="8">
                  <c:v>0.22340719356234182</c:v>
                </c:pt>
                <c:pt idx="9">
                  <c:v>0.20415474412875556</c:v>
                </c:pt>
              </c:numCache>
            </c:numRef>
          </c:val>
          <c:smooth val="0"/>
          <c:extLst>
            <c:ext xmlns:c16="http://schemas.microsoft.com/office/drawing/2014/chart" uri="{C3380CC4-5D6E-409C-BE32-E72D297353CC}">
              <c16:uniqueId val="{00000002-473C-4D5F-BE3D-37C16AB383FA}"/>
            </c:ext>
          </c:extLst>
        </c:ser>
        <c:dLbls>
          <c:showLegendKey val="0"/>
          <c:showVal val="0"/>
          <c:showCatName val="0"/>
          <c:showSerName val="0"/>
          <c:showPercent val="0"/>
          <c:showBubbleSize val="0"/>
        </c:dLbls>
        <c:marker val="1"/>
        <c:smooth val="0"/>
        <c:axId val="524610992"/>
        <c:axId val="524610008"/>
      </c:lineChart>
      <c:valAx>
        <c:axId val="524602792"/>
        <c:scaling>
          <c:orientation val="minMax"/>
        </c:scaling>
        <c:delete val="0"/>
        <c:axPos val="r"/>
        <c:numFmt formatCode="#,##0" sourceLinked="1"/>
        <c:majorTickMark val="out"/>
        <c:minorTickMark val="none"/>
        <c:tickLblPos val="low"/>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24604104"/>
        <c:crosses val="max"/>
        <c:crossBetween val="between"/>
      </c:valAx>
      <c:catAx>
        <c:axId val="5246041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24602792"/>
        <c:crosses val="autoZero"/>
        <c:auto val="0"/>
        <c:lblAlgn val="ctr"/>
        <c:lblOffset val="100"/>
        <c:tickLblSkip val="1"/>
        <c:noMultiLvlLbl val="0"/>
      </c:catAx>
      <c:valAx>
        <c:axId val="524610008"/>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24610992"/>
        <c:crosses val="max"/>
        <c:crossBetween val="between"/>
        <c:majorUnit val="0.1"/>
      </c:valAx>
      <c:catAx>
        <c:axId val="524610992"/>
        <c:scaling>
          <c:orientation val="minMax"/>
        </c:scaling>
        <c:delete val="1"/>
        <c:axPos val="b"/>
        <c:numFmt formatCode="General" sourceLinked="1"/>
        <c:majorTickMark val="out"/>
        <c:minorTickMark val="none"/>
        <c:tickLblPos val="nextTo"/>
        <c:crossAx val="524610008"/>
        <c:crosses val="autoZero"/>
        <c:auto val="1"/>
        <c:lblAlgn val="ctr"/>
        <c:lblOffset val="100"/>
        <c:noMultiLvlLbl val="0"/>
      </c:catAx>
      <c:spPr>
        <a:noFill/>
        <a:ln>
          <a:noFill/>
        </a:ln>
        <a:effectLst/>
      </c:spPr>
    </c:plotArea>
    <c:legend>
      <c:legendPos val="b"/>
      <c:layout>
        <c:manualLayout>
          <c:xMode val="edge"/>
          <c:yMode val="edge"/>
          <c:x val="0.21689084895259095"/>
          <c:y val="1.066525449478683E-2"/>
          <c:w val="0.72982263931451785"/>
          <c:h val="0.122391200548663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211328422656846E-2"/>
          <c:y val="3.9784827364179154E-2"/>
          <c:w val="0.83768487003640679"/>
          <c:h val="0.81951427758277207"/>
        </c:manualLayout>
      </c:layout>
      <c:barChart>
        <c:barDir val="col"/>
        <c:grouping val="clustered"/>
        <c:varyColors val="0"/>
        <c:ser>
          <c:idx val="1"/>
          <c:order val="2"/>
          <c:tx>
            <c:strRef>
              <c:f>Sheet1!$A$29</c:f>
              <c:strCache>
                <c:ptCount val="1"/>
                <c:pt idx="0">
                  <c:v>Latvija (ES-27 = 100, labā ass)</c:v>
                </c:pt>
              </c:strCache>
            </c:strRef>
          </c:tx>
          <c:spPr>
            <a:solidFill>
              <a:sysClr val="window" lastClr="FFFFFF">
                <a:lumMod val="75000"/>
              </a:sysClr>
            </a:solidFill>
            <a:ln w="25380" cap="rnd">
              <a:noFill/>
              <a:round/>
            </a:ln>
            <a:effectLst/>
          </c:spPr>
          <c:invertIfNegative val="0"/>
          <c:cat>
            <c:strRef>
              <c:f>Sheet1!$B$26:$O$26</c:f>
              <c:strCache>
                <c:ptCount val="14"/>
                <c:pt idx="1">
                  <c:v>2011</c:v>
                </c:pt>
                <c:pt idx="3">
                  <c:v>2013</c:v>
                </c:pt>
                <c:pt idx="5">
                  <c:v>2015</c:v>
                </c:pt>
                <c:pt idx="7">
                  <c:v>2017</c:v>
                </c:pt>
                <c:pt idx="9">
                  <c:v>2019</c:v>
                </c:pt>
                <c:pt idx="11">
                  <c:v>2021</c:v>
                </c:pt>
                <c:pt idx="13">
                  <c:v>2023</c:v>
                </c:pt>
              </c:strCache>
            </c:strRef>
          </c:cat>
          <c:val>
            <c:numRef>
              <c:f>Sheet1!$B$29:$O$29</c:f>
              <c:numCache>
                <c:formatCode>0.0</c:formatCode>
                <c:ptCount val="14"/>
                <c:pt idx="0">
                  <c:v>38.250374386888133</c:v>
                </c:pt>
                <c:pt idx="1">
                  <c:v>39.925340079573871</c:v>
                </c:pt>
                <c:pt idx="2">
                  <c:v>43.29296226884037</c:v>
                </c:pt>
                <c:pt idx="3">
                  <c:v>43.284477999960956</c:v>
                </c:pt>
                <c:pt idx="4">
                  <c:v>44.944443157407946</c:v>
                </c:pt>
                <c:pt idx="5">
                  <c:v>44.873796484189356</c:v>
                </c:pt>
                <c:pt idx="6">
                  <c:v>45.829762864280141</c:v>
                </c:pt>
                <c:pt idx="7">
                  <c:v>47.550926076266968</c:v>
                </c:pt>
                <c:pt idx="8">
                  <c:v>49.636934604472373</c:v>
                </c:pt>
                <c:pt idx="9">
                  <c:v>50.856989135454647</c:v>
                </c:pt>
                <c:pt idx="10">
                  <c:v>52.652758492639464</c:v>
                </c:pt>
                <c:pt idx="11">
                  <c:v>55.876490059952374</c:v>
                </c:pt>
                <c:pt idx="12">
                  <c:v>58.709206582878394</c:v>
                </c:pt>
                <c:pt idx="13">
                  <c:v>58.575336327382722</c:v>
                </c:pt>
              </c:numCache>
            </c:numRef>
          </c:val>
          <c:extLst>
            <c:ext xmlns:c16="http://schemas.microsoft.com/office/drawing/2014/chart" uri="{C3380CC4-5D6E-409C-BE32-E72D297353CC}">
              <c16:uniqueId val="{00000000-B48F-470E-BDB6-2E6A1F07D8E2}"/>
            </c:ext>
          </c:extLst>
        </c:ser>
        <c:dLbls>
          <c:showLegendKey val="0"/>
          <c:showVal val="0"/>
          <c:showCatName val="0"/>
          <c:showSerName val="0"/>
          <c:showPercent val="0"/>
          <c:showBubbleSize val="0"/>
        </c:dLbls>
        <c:gapWidth val="25"/>
        <c:axId val="836729199"/>
        <c:axId val="836745839"/>
      </c:barChart>
      <c:lineChart>
        <c:grouping val="standard"/>
        <c:varyColors val="0"/>
        <c:ser>
          <c:idx val="2"/>
          <c:order val="0"/>
          <c:tx>
            <c:strRef>
              <c:f>Sheet1!$A$27</c:f>
              <c:strCache>
                <c:ptCount val="1"/>
                <c:pt idx="0">
                  <c:v>Latvija (2010 = 100, kreisā ass)</c:v>
                </c:pt>
              </c:strCache>
            </c:strRef>
          </c:tx>
          <c:spPr>
            <a:ln w="25400">
              <a:solidFill>
                <a:srgbClr val="F79646"/>
              </a:solidFill>
            </a:ln>
          </c:spPr>
          <c:marker>
            <c:symbol val="none"/>
          </c:marker>
          <c:cat>
            <c:strRef>
              <c:f>Sheet1!$B$26:$O$26</c:f>
              <c:strCache>
                <c:ptCount val="14"/>
                <c:pt idx="1">
                  <c:v>2011</c:v>
                </c:pt>
                <c:pt idx="3">
                  <c:v>2013</c:v>
                </c:pt>
                <c:pt idx="5">
                  <c:v>2015</c:v>
                </c:pt>
                <c:pt idx="7">
                  <c:v>2017</c:v>
                </c:pt>
                <c:pt idx="9">
                  <c:v>2019</c:v>
                </c:pt>
                <c:pt idx="11">
                  <c:v>2021</c:v>
                </c:pt>
                <c:pt idx="13">
                  <c:v>2023</c:v>
                </c:pt>
              </c:strCache>
            </c:strRef>
          </c:cat>
          <c:val>
            <c:numRef>
              <c:f>Sheet1!$B$27:$O$27</c:f>
              <c:numCache>
                <c:formatCode>0.0</c:formatCode>
                <c:ptCount val="14"/>
                <c:pt idx="0">
                  <c:v>100</c:v>
                </c:pt>
                <c:pt idx="1">
                  <c:v>101.05115246286928</c:v>
                </c:pt>
                <c:pt idx="2">
                  <c:v>106.62195827344274</c:v>
                </c:pt>
                <c:pt idx="3">
                  <c:v>106.31498254326466</c:v>
                </c:pt>
                <c:pt idx="4">
                  <c:v>109.82016809480521</c:v>
                </c:pt>
                <c:pt idx="5">
                  <c:v>112.49957410489361</c:v>
                </c:pt>
                <c:pt idx="6">
                  <c:v>115.51500440978239</c:v>
                </c:pt>
                <c:pt idx="7">
                  <c:v>119.38351901892337</c:v>
                </c:pt>
                <c:pt idx="8">
                  <c:v>122.3671113863481</c:v>
                </c:pt>
                <c:pt idx="9">
                  <c:v>123.19854890436692</c:v>
                </c:pt>
                <c:pt idx="10">
                  <c:v>121.71282208419039</c:v>
                </c:pt>
                <c:pt idx="11">
                  <c:v>133.33271469082672</c:v>
                </c:pt>
                <c:pt idx="12">
                  <c:v>133.60884619288848</c:v>
                </c:pt>
                <c:pt idx="13">
                  <c:v>133.14656132386318</c:v>
                </c:pt>
              </c:numCache>
            </c:numRef>
          </c:val>
          <c:smooth val="0"/>
          <c:extLst>
            <c:ext xmlns:c16="http://schemas.microsoft.com/office/drawing/2014/chart" uri="{C3380CC4-5D6E-409C-BE32-E72D297353CC}">
              <c16:uniqueId val="{00000001-B48F-470E-BDB6-2E6A1F07D8E2}"/>
            </c:ext>
          </c:extLst>
        </c:ser>
        <c:ser>
          <c:idx val="0"/>
          <c:order val="1"/>
          <c:tx>
            <c:strRef>
              <c:f>Sheet1!$A$28</c:f>
              <c:strCache>
                <c:ptCount val="1"/>
                <c:pt idx="0">
                  <c:v>ES-27 (2010 = 100, kreisā ass)</c:v>
                </c:pt>
              </c:strCache>
            </c:strRef>
          </c:tx>
          <c:spPr>
            <a:ln w="25380" cap="rnd">
              <a:solidFill>
                <a:schemeClr val="accent1"/>
              </a:solidFill>
              <a:round/>
            </a:ln>
            <a:effectLst/>
          </c:spPr>
          <c:marker>
            <c:symbol val="none"/>
          </c:marker>
          <c:cat>
            <c:strRef>
              <c:f>Sheet1!$B$26:$O$26</c:f>
              <c:strCache>
                <c:ptCount val="14"/>
                <c:pt idx="1">
                  <c:v>2011</c:v>
                </c:pt>
                <c:pt idx="3">
                  <c:v>2013</c:v>
                </c:pt>
                <c:pt idx="5">
                  <c:v>2015</c:v>
                </c:pt>
                <c:pt idx="7">
                  <c:v>2017</c:v>
                </c:pt>
                <c:pt idx="9">
                  <c:v>2019</c:v>
                </c:pt>
                <c:pt idx="11">
                  <c:v>2021</c:v>
                </c:pt>
                <c:pt idx="13">
                  <c:v>2023</c:v>
                </c:pt>
              </c:strCache>
            </c:strRef>
          </c:cat>
          <c:val>
            <c:numRef>
              <c:f>Sheet1!$B$28:$O$28</c:f>
              <c:numCache>
                <c:formatCode>0.0</c:formatCode>
                <c:ptCount val="14"/>
                <c:pt idx="0">
                  <c:v>100</c:v>
                </c:pt>
                <c:pt idx="1">
                  <c:v>101.82554979630238</c:v>
                </c:pt>
                <c:pt idx="2">
                  <c:v>101.32972366560658</c:v>
                </c:pt>
                <c:pt idx="3">
                  <c:v>101.63113932616523</c:v>
                </c:pt>
                <c:pt idx="4">
                  <c:v>102.31424562170648</c:v>
                </c:pt>
                <c:pt idx="5">
                  <c:v>103.68692741400621</c:v>
                </c:pt>
                <c:pt idx="6">
                  <c:v>104.37740847985815</c:v>
                </c:pt>
                <c:pt idx="7">
                  <c:v>105.63430464315009</c:v>
                </c:pt>
                <c:pt idx="8">
                  <c:v>106.26054933262918</c:v>
                </c:pt>
                <c:pt idx="9">
                  <c:v>106.9896105283517</c:v>
                </c:pt>
                <c:pt idx="10">
                  <c:v>102.34648810724218</c:v>
                </c:pt>
                <c:pt idx="11">
                  <c:v>106.91733469994212</c:v>
                </c:pt>
                <c:pt idx="12">
                  <c:v>108.45047366374105</c:v>
                </c:pt>
                <c:pt idx="13">
                  <c:v>107.5978036447198</c:v>
                </c:pt>
              </c:numCache>
            </c:numRef>
          </c:val>
          <c:smooth val="0"/>
          <c:extLst>
            <c:ext xmlns:c16="http://schemas.microsoft.com/office/drawing/2014/chart" uri="{C3380CC4-5D6E-409C-BE32-E72D297353CC}">
              <c16:uniqueId val="{00000002-B48F-470E-BDB6-2E6A1F07D8E2}"/>
            </c:ext>
          </c:extLst>
        </c:ser>
        <c:dLbls>
          <c:showLegendKey val="0"/>
          <c:showVal val="0"/>
          <c:showCatName val="0"/>
          <c:showSerName val="0"/>
          <c:showPercent val="0"/>
          <c:showBubbleSize val="0"/>
        </c:dLbls>
        <c:marker val="1"/>
        <c:smooth val="0"/>
        <c:axId val="248745264"/>
        <c:axId val="1"/>
      </c:lineChart>
      <c:catAx>
        <c:axId val="248745264"/>
        <c:scaling>
          <c:orientation val="minMax"/>
        </c:scaling>
        <c:delete val="0"/>
        <c:axPos val="b"/>
        <c:numFmt formatCode="General" sourceLinked="1"/>
        <c:majorTickMark val="out"/>
        <c:minorTickMark val="none"/>
        <c:tickLblPos val="nextTo"/>
        <c:spPr>
          <a:noFill/>
          <a:ln w="3172" cap="flat" cmpd="sng" algn="ctr">
            <a:solidFill>
              <a:sysClr val="window" lastClr="FFFFFF">
                <a:lumMod val="50000"/>
              </a:sysClr>
            </a:solidFill>
            <a:round/>
          </a:ln>
          <a:effectLst/>
        </c:spPr>
        <c:txPr>
          <a:bodyPr rot="0" vert="horz"/>
          <a:lstStyle/>
          <a:p>
            <a:pPr>
              <a:defRPr/>
            </a:pPr>
            <a:endParaRPr lang="lv-LV"/>
          </a:p>
        </c:txPr>
        <c:crossAx val="1"/>
        <c:crosses val="autoZero"/>
        <c:auto val="1"/>
        <c:lblAlgn val="ctr"/>
        <c:lblOffset val="100"/>
        <c:tickLblSkip val="1"/>
        <c:noMultiLvlLbl val="0"/>
      </c:catAx>
      <c:valAx>
        <c:axId val="1"/>
        <c:scaling>
          <c:orientation val="minMax"/>
          <c:max val="150"/>
          <c:min val="100"/>
        </c:scaling>
        <c:delete val="0"/>
        <c:axPos val="l"/>
        <c:numFmt formatCode="0" sourceLinked="0"/>
        <c:majorTickMark val="out"/>
        <c:minorTickMark val="none"/>
        <c:tickLblPos val="nextTo"/>
        <c:spPr>
          <a:noFill/>
          <a:ln w="3172">
            <a:noFill/>
          </a:ln>
          <a:effectLst/>
        </c:spPr>
        <c:txPr>
          <a:bodyPr rot="-60000000" vert="horz"/>
          <a:lstStyle/>
          <a:p>
            <a:pPr>
              <a:defRPr/>
            </a:pPr>
            <a:endParaRPr lang="lv-LV"/>
          </a:p>
        </c:txPr>
        <c:crossAx val="248745264"/>
        <c:crosses val="autoZero"/>
        <c:crossBetween val="between"/>
        <c:majorUnit val="10"/>
      </c:valAx>
      <c:valAx>
        <c:axId val="836745839"/>
        <c:scaling>
          <c:orientation val="minMax"/>
          <c:max val="80"/>
        </c:scaling>
        <c:delete val="0"/>
        <c:axPos val="r"/>
        <c:numFmt formatCode="0" sourceLinked="0"/>
        <c:majorTickMark val="out"/>
        <c:minorTickMark val="none"/>
        <c:tickLblPos val="nextTo"/>
        <c:spPr>
          <a:ln>
            <a:noFill/>
          </a:ln>
        </c:spPr>
        <c:crossAx val="836729199"/>
        <c:crosses val="max"/>
        <c:crossBetween val="between"/>
        <c:majorUnit val="20"/>
      </c:valAx>
      <c:catAx>
        <c:axId val="836729199"/>
        <c:scaling>
          <c:orientation val="minMax"/>
        </c:scaling>
        <c:delete val="1"/>
        <c:axPos val="b"/>
        <c:numFmt formatCode="General" sourceLinked="1"/>
        <c:majorTickMark val="out"/>
        <c:minorTickMark val="none"/>
        <c:tickLblPos val="nextTo"/>
        <c:crossAx val="836745839"/>
        <c:crosses val="autoZero"/>
        <c:auto val="1"/>
        <c:lblAlgn val="ctr"/>
        <c:lblOffset val="100"/>
        <c:noMultiLvlLbl val="0"/>
      </c:catAx>
      <c:spPr>
        <a:noFill/>
        <a:ln w="25380">
          <a:noFill/>
        </a:ln>
      </c:spPr>
    </c:plotArea>
    <c:legend>
      <c:legendPos val="b"/>
      <c:legendEntry>
        <c:idx val="1"/>
        <c:txPr>
          <a:bodyPr rot="0" vert="horz"/>
          <a:lstStyle/>
          <a:p>
            <a:pPr>
              <a:defRPr/>
            </a:pPr>
            <a:endParaRPr lang="lv-LV"/>
          </a:p>
        </c:txPr>
      </c:legendEntry>
      <c:layout>
        <c:manualLayout>
          <c:xMode val="edge"/>
          <c:yMode val="edge"/>
          <c:x val="0.10052620585056626"/>
          <c:y val="3.0368300736601472E-2"/>
          <c:w val="0.76162816424806401"/>
          <c:h val="0.22986271877305658"/>
        </c:manualLayout>
      </c:layout>
      <c:overlay val="0"/>
      <c:spPr>
        <a:noFill/>
        <a:ln w="25380">
          <a:noFill/>
        </a:ln>
      </c:spPr>
      <c:txPr>
        <a:bodyPr rot="0" vert="horz"/>
        <a:lstStyle/>
        <a:p>
          <a:pPr>
            <a:defRPr/>
          </a:pPr>
          <a:endParaRPr lang="lv-LV"/>
        </a:p>
      </c:txPr>
    </c:legend>
    <c:plotVisOnly val="1"/>
    <c:dispBlanksAs val="gap"/>
    <c:showDLblsOverMax val="0"/>
  </c:chart>
  <c:spPr>
    <a:solidFill>
      <a:sysClr val="window" lastClr="FFFFFF"/>
    </a:solidFill>
    <a:ln>
      <a:noFill/>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94460004579964"/>
          <c:y val="6.6869300911854099E-2"/>
          <c:w val="0.8673106801247159"/>
          <c:h val="0.82782375607304404"/>
        </c:manualLayout>
      </c:layout>
      <c:barChart>
        <c:barDir val="col"/>
        <c:grouping val="clustered"/>
        <c:varyColors val="0"/>
        <c:ser>
          <c:idx val="0"/>
          <c:order val="0"/>
          <c:tx>
            <c:strRef>
              <c:f>Sheet1!$B$1</c:f>
              <c:strCache>
                <c:ptCount val="1"/>
                <c:pt idx="0">
                  <c:v>Uz vienu nodarbināto</c:v>
                </c:pt>
              </c:strCache>
            </c:strRef>
          </c:tx>
          <c:spPr>
            <a:solidFill>
              <a:srgbClr val="1F497D">
                <a:lumMod val="60000"/>
                <a:lumOff val="40000"/>
              </a:srgbClr>
            </a:solidFill>
            <a:ln>
              <a:noFill/>
            </a:ln>
            <a:effectLst/>
          </c:spPr>
          <c:invertIfNegative val="0"/>
          <c:dLbls>
            <c:dLbl>
              <c:idx val="4"/>
              <c:layout>
                <c:manualLayout>
                  <c:x val="0"/>
                  <c:y val="2.43050330264142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60-4E3F-85D8-A3386EF96410}"/>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1996-2003</c:v>
                </c:pt>
                <c:pt idx="1">
                  <c:v>2004-2007</c:v>
                </c:pt>
                <c:pt idx="2">
                  <c:v>2008-2011</c:v>
                </c:pt>
                <c:pt idx="3">
                  <c:v>2012-2019</c:v>
                </c:pt>
                <c:pt idx="4">
                  <c:v>2020</c:v>
                </c:pt>
                <c:pt idx="5">
                  <c:v>2021</c:v>
                </c:pt>
                <c:pt idx="6">
                  <c:v>2022</c:v>
                </c:pt>
                <c:pt idx="7">
                  <c:v>2023</c:v>
                </c:pt>
              </c:strCache>
            </c:strRef>
          </c:cat>
          <c:val>
            <c:numRef>
              <c:f>Sheet1!$B$2:$B$9</c:f>
              <c:numCache>
                <c:formatCode>0.0</c:formatCode>
                <c:ptCount val="8"/>
                <c:pt idx="0">
                  <c:v>5.5781573076403959</c:v>
                </c:pt>
                <c:pt idx="1">
                  <c:v>7.3632317651835137</c:v>
                </c:pt>
                <c:pt idx="2">
                  <c:v>0.28448575538303089</c:v>
                </c:pt>
                <c:pt idx="3">
                  <c:v>2.4994416500714323</c:v>
                </c:pt>
                <c:pt idx="4" formatCode="General">
                  <c:v>-1.2</c:v>
                </c:pt>
                <c:pt idx="5" formatCode="General">
                  <c:v>9.5</c:v>
                </c:pt>
                <c:pt idx="6" formatCode="General">
                  <c:v>0.2</c:v>
                </c:pt>
                <c:pt idx="7" formatCode="General">
                  <c:v>-0.3</c:v>
                </c:pt>
              </c:numCache>
            </c:numRef>
          </c:val>
          <c:extLst>
            <c:ext xmlns:c16="http://schemas.microsoft.com/office/drawing/2014/chart" uri="{C3380CC4-5D6E-409C-BE32-E72D297353CC}">
              <c16:uniqueId val="{00000000-BD3B-47AA-91A1-BFF51D857DE9}"/>
            </c:ext>
          </c:extLst>
        </c:ser>
        <c:dLbls>
          <c:showLegendKey val="0"/>
          <c:showVal val="0"/>
          <c:showCatName val="0"/>
          <c:showSerName val="0"/>
          <c:showPercent val="0"/>
          <c:showBubbleSize val="0"/>
        </c:dLbls>
        <c:gapWidth val="47"/>
        <c:overlap val="100"/>
        <c:axId val="279243727"/>
        <c:axId val="768361311"/>
      </c:barChart>
      <c:lineChart>
        <c:grouping val="stacked"/>
        <c:varyColors val="0"/>
        <c:ser>
          <c:idx val="1"/>
          <c:order val="1"/>
          <c:tx>
            <c:strRef>
              <c:f>Sheet1!$C$1</c:f>
              <c:strCache>
                <c:ptCount val="1"/>
                <c:pt idx="0">
                  <c:v>Uz vienu stundu</c:v>
                </c:pt>
              </c:strCache>
            </c:strRef>
          </c:tx>
          <c:spPr>
            <a:ln w="28575" cap="rnd">
              <a:noFill/>
              <a:round/>
            </a:ln>
            <a:effectLst/>
          </c:spPr>
          <c:marker>
            <c:symbol val="diamond"/>
            <c:size val="7"/>
            <c:spPr>
              <a:solidFill>
                <a:schemeClr val="accent2">
                  <a:lumMod val="50000"/>
                </a:schemeClr>
              </a:solidFill>
              <a:ln w="9525">
                <a:noFill/>
              </a:ln>
              <a:effectLst/>
            </c:spPr>
          </c:marker>
          <c:cat>
            <c:strRef>
              <c:f>Sheet1!$A$2:$A$9</c:f>
              <c:strCache>
                <c:ptCount val="8"/>
                <c:pt idx="0">
                  <c:v>1996-2003</c:v>
                </c:pt>
                <c:pt idx="1">
                  <c:v>2004-2007</c:v>
                </c:pt>
                <c:pt idx="2">
                  <c:v>2008-2011</c:v>
                </c:pt>
                <c:pt idx="3">
                  <c:v>2012-2019</c:v>
                </c:pt>
                <c:pt idx="4">
                  <c:v>2020</c:v>
                </c:pt>
                <c:pt idx="5">
                  <c:v>2021</c:v>
                </c:pt>
                <c:pt idx="6">
                  <c:v>2022</c:v>
                </c:pt>
                <c:pt idx="7">
                  <c:v>2023</c:v>
                </c:pt>
              </c:strCache>
            </c:strRef>
          </c:cat>
          <c:val>
            <c:numRef>
              <c:f>Sheet1!$C$2:$C$9</c:f>
              <c:numCache>
                <c:formatCode>0.0</c:formatCode>
                <c:ptCount val="8"/>
                <c:pt idx="0">
                  <c:v>5.8139968149159671</c:v>
                </c:pt>
                <c:pt idx="1">
                  <c:v>7.9927204574523358</c:v>
                </c:pt>
                <c:pt idx="2">
                  <c:v>1.5140123681244262</c:v>
                </c:pt>
                <c:pt idx="3">
                  <c:v>3.0843338620408502</c:v>
                </c:pt>
                <c:pt idx="4" formatCode="General">
                  <c:v>2.2000000000000002</c:v>
                </c:pt>
                <c:pt idx="5" formatCode="General">
                  <c:v>7.9</c:v>
                </c:pt>
                <c:pt idx="6" formatCode="General">
                  <c:v>-1.8</c:v>
                </c:pt>
                <c:pt idx="7" formatCode="General">
                  <c:v>0</c:v>
                </c:pt>
              </c:numCache>
            </c:numRef>
          </c:val>
          <c:smooth val="0"/>
          <c:extLst>
            <c:ext xmlns:c16="http://schemas.microsoft.com/office/drawing/2014/chart" uri="{C3380CC4-5D6E-409C-BE32-E72D297353CC}">
              <c16:uniqueId val="{00000001-BD3B-47AA-91A1-BFF51D857DE9}"/>
            </c:ext>
          </c:extLst>
        </c:ser>
        <c:dLbls>
          <c:showLegendKey val="0"/>
          <c:showVal val="0"/>
          <c:showCatName val="0"/>
          <c:showSerName val="0"/>
          <c:showPercent val="0"/>
          <c:showBubbleSize val="0"/>
        </c:dLbls>
        <c:marker val="1"/>
        <c:smooth val="0"/>
        <c:axId val="279243727"/>
        <c:axId val="768361311"/>
      </c:lineChart>
      <c:catAx>
        <c:axId val="279243727"/>
        <c:scaling>
          <c:orientation val="minMax"/>
        </c:scaling>
        <c:delete val="0"/>
        <c:axPos val="b"/>
        <c:numFmt formatCode="General" sourceLinked="1"/>
        <c:majorTickMark val="out"/>
        <c:minorTickMark val="none"/>
        <c:tickLblPos val="low"/>
        <c:spPr>
          <a:noFill/>
          <a:ln w="3175" cap="flat" cmpd="sng" algn="ctr">
            <a:solidFill>
              <a:schemeClr val="bg1">
                <a:lumMod val="50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68361311"/>
        <c:crosses val="autoZero"/>
        <c:auto val="1"/>
        <c:lblAlgn val="ctr"/>
        <c:lblOffset val="100"/>
        <c:tickLblSkip val="1"/>
        <c:noMultiLvlLbl val="0"/>
      </c:catAx>
      <c:valAx>
        <c:axId val="768361311"/>
        <c:scaling>
          <c:orientation val="minMax"/>
          <c:max val="10"/>
          <c:min val="-2"/>
        </c:scaling>
        <c:delete val="0"/>
        <c:axPos val="l"/>
        <c:numFmt formatCode="0" sourceLinked="0"/>
        <c:majorTickMark val="out"/>
        <c:minorTickMark val="none"/>
        <c:tickLblPos val="nextTo"/>
        <c:spPr>
          <a:noFill/>
          <a:ln w="3175">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279243727"/>
        <c:crosses val="autoZero"/>
        <c:crossBetween val="between"/>
      </c:valAx>
      <c:spPr>
        <a:noFill/>
        <a:ln>
          <a:noFill/>
        </a:ln>
        <a:effectLst/>
      </c:spPr>
    </c:plotArea>
    <c:legend>
      <c:legendPos val="b"/>
      <c:layout>
        <c:manualLayout>
          <c:xMode val="edge"/>
          <c:yMode val="edge"/>
          <c:x val="0.27222815268896755"/>
          <c:y val="5.8301518543642777E-3"/>
          <c:w val="0.39345840314613373"/>
          <c:h val="0.1778657041583415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17250779154259"/>
          <c:y val="6.4686856806821527E-2"/>
          <c:w val="0.85031591558221709"/>
          <c:h val="0.75776647442739165"/>
        </c:manualLayout>
      </c:layout>
      <c:barChart>
        <c:barDir val="col"/>
        <c:grouping val="clustered"/>
        <c:varyColors val="0"/>
        <c:ser>
          <c:idx val="0"/>
          <c:order val="0"/>
          <c:tx>
            <c:strRef>
              <c:f>Sheet1!$B$1</c:f>
              <c:strCache>
                <c:ptCount val="1"/>
                <c:pt idx="0">
                  <c:v>Produktivitāte</c:v>
                </c:pt>
              </c:strCache>
            </c:strRef>
          </c:tx>
          <c:spPr>
            <a:solidFill>
              <a:schemeClr val="accent1"/>
            </a:solidFill>
            <a:ln>
              <a:noFill/>
            </a:ln>
            <a:effectLst/>
          </c:spPr>
          <c:invertIfNegative val="0"/>
          <c:dLbls>
            <c:dLbl>
              <c:idx val="0"/>
              <c:layout>
                <c:manualLayout>
                  <c:x val="-1.9386106623586429E-2"/>
                  <c:y val="1.3114754098360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60-40F9-8A49-09B7195D75A0}"/>
                </c:ext>
              </c:extLst>
            </c:dLbl>
            <c:dLbl>
              <c:idx val="1"/>
              <c:layout>
                <c:manualLayout>
                  <c:x val="-1.9386106623586429E-2"/>
                  <c:y val="1.3114754098360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60-40F9-8A49-09B7195D75A0}"/>
                </c:ext>
              </c:extLst>
            </c:dLbl>
            <c:dLbl>
              <c:idx val="2"/>
              <c:layout>
                <c:manualLayout>
                  <c:x val="-1.9386106623586429E-2"/>
                  <c:y val="-6.01085952378648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60-40F9-8A49-09B7195D75A0}"/>
                </c:ext>
              </c:extLst>
            </c:dLbl>
            <c:dLbl>
              <c:idx val="3"/>
              <c:layout>
                <c:manualLayout>
                  <c:x val="-1.9386106623586429E-2"/>
                  <c:y val="6.5573770491802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60-40F9-8A49-09B7195D75A0}"/>
                </c:ext>
              </c:extLst>
            </c:dLbl>
            <c:dLbl>
              <c:idx val="4"/>
              <c:layout>
                <c:manualLayout>
                  <c:x val="-2.2617124394184285E-2"/>
                  <c:y val="6.55737704918020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60-40F9-8A49-09B7195D75A0}"/>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ES-27</c:v>
                </c:pt>
                <c:pt idx="1">
                  <c:v>Eiro zonas valstis</c:v>
                </c:pt>
                <c:pt idx="2">
                  <c:v>Igaunija</c:v>
                </c:pt>
                <c:pt idx="3">
                  <c:v>Latvija</c:v>
                </c:pt>
                <c:pt idx="4">
                  <c:v>Lietuva</c:v>
                </c:pt>
              </c:strCache>
            </c:strRef>
          </c:cat>
          <c:val>
            <c:numRef>
              <c:f>Sheet1!$B$2:$B$6</c:f>
              <c:numCache>
                <c:formatCode>0.0</c:formatCode>
                <c:ptCount val="5"/>
                <c:pt idx="0">
                  <c:v>5.0999999999999996</c:v>
                </c:pt>
                <c:pt idx="1">
                  <c:v>4.5</c:v>
                </c:pt>
                <c:pt idx="2">
                  <c:v>-4.2</c:v>
                </c:pt>
                <c:pt idx="3">
                  <c:v>9.4</c:v>
                </c:pt>
                <c:pt idx="4">
                  <c:v>0.6</c:v>
                </c:pt>
              </c:numCache>
            </c:numRef>
          </c:val>
          <c:extLst>
            <c:ext xmlns:c16="http://schemas.microsoft.com/office/drawing/2014/chart" uri="{C3380CC4-5D6E-409C-BE32-E72D297353CC}">
              <c16:uniqueId val="{00000005-1D60-40F9-8A49-09B7195D75A0}"/>
            </c:ext>
          </c:extLst>
        </c:ser>
        <c:ser>
          <c:idx val="1"/>
          <c:order val="1"/>
          <c:tx>
            <c:strRef>
              <c:f>Sheet1!$C$1</c:f>
              <c:strCache>
                <c:ptCount val="1"/>
                <c:pt idx="0">
                  <c:v>Darbaspēka izmaksas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ES-27</c:v>
                </c:pt>
                <c:pt idx="1">
                  <c:v>Eiro zonas valstis</c:v>
                </c:pt>
                <c:pt idx="2">
                  <c:v>Igaunija</c:v>
                </c:pt>
                <c:pt idx="3">
                  <c:v>Latvija</c:v>
                </c:pt>
                <c:pt idx="4">
                  <c:v>Lietuva</c:v>
                </c:pt>
              </c:strCache>
            </c:strRef>
          </c:cat>
          <c:val>
            <c:numRef>
              <c:f>Sheet1!$C$2:$C$6</c:f>
              <c:numCache>
                <c:formatCode>0.0</c:formatCode>
                <c:ptCount val="5"/>
                <c:pt idx="0">
                  <c:v>15.657464364071984</c:v>
                </c:pt>
                <c:pt idx="1">
                  <c:v>14.493735431235422</c:v>
                </c:pt>
                <c:pt idx="2">
                  <c:v>27.216255706254813</c:v>
                </c:pt>
                <c:pt idx="3">
                  <c:v>37.221009895965494</c:v>
                </c:pt>
                <c:pt idx="4">
                  <c:v>37.361705153864136</c:v>
                </c:pt>
              </c:numCache>
            </c:numRef>
          </c:val>
          <c:extLst>
            <c:ext xmlns:c16="http://schemas.microsoft.com/office/drawing/2014/chart" uri="{C3380CC4-5D6E-409C-BE32-E72D297353CC}">
              <c16:uniqueId val="{00000006-1D60-40F9-8A49-09B7195D75A0}"/>
            </c:ext>
          </c:extLst>
        </c:ser>
        <c:dLbls>
          <c:showLegendKey val="0"/>
          <c:showVal val="0"/>
          <c:showCatName val="0"/>
          <c:showSerName val="0"/>
          <c:showPercent val="0"/>
          <c:showBubbleSize val="0"/>
        </c:dLbls>
        <c:gapWidth val="60"/>
        <c:overlap val="43"/>
        <c:axId val="742043640"/>
        <c:axId val="742044032"/>
      </c:barChart>
      <c:lineChart>
        <c:grouping val="stacked"/>
        <c:varyColors val="0"/>
        <c:ser>
          <c:idx val="2"/>
          <c:order val="2"/>
          <c:tx>
            <c:strRef>
              <c:f>Sheet1!$D$1</c:f>
              <c:strCache>
                <c:ptCount val="1"/>
                <c:pt idx="0">
                  <c:v>Nominālais ULC</c:v>
                </c:pt>
              </c:strCache>
            </c:strRef>
          </c:tx>
          <c:spPr>
            <a:ln w="28575" cap="rnd">
              <a:noFill/>
              <a:round/>
            </a:ln>
            <a:effectLst/>
          </c:spPr>
          <c:marker>
            <c:symbol val="diamond"/>
            <c:size val="12"/>
            <c:spPr>
              <a:solidFill>
                <a:srgbClr val="FFC000"/>
              </a:solidFill>
              <a:ln w="9525">
                <a:solidFill>
                  <a:schemeClr val="accent3"/>
                </a:solidFill>
              </a:ln>
              <a:effectLst/>
            </c:spPr>
          </c:marker>
          <c:cat>
            <c:strRef>
              <c:f>Sheet1!$A$2:$A$6</c:f>
              <c:strCache>
                <c:ptCount val="5"/>
                <c:pt idx="0">
                  <c:v>ES-27</c:v>
                </c:pt>
                <c:pt idx="1">
                  <c:v>Eiro zonas valstis</c:v>
                </c:pt>
                <c:pt idx="2">
                  <c:v>Igaunija</c:v>
                </c:pt>
                <c:pt idx="3">
                  <c:v>Latvija</c:v>
                </c:pt>
                <c:pt idx="4">
                  <c:v>Lietuva</c:v>
                </c:pt>
              </c:strCache>
            </c:strRef>
          </c:cat>
          <c:val>
            <c:numRef>
              <c:f>Sheet1!$D$2:$D$6</c:f>
              <c:numCache>
                <c:formatCode>0.0</c:formatCode>
                <c:ptCount val="5"/>
                <c:pt idx="0">
                  <c:v>10</c:v>
                </c:pt>
                <c:pt idx="1">
                  <c:v>9.5</c:v>
                </c:pt>
                <c:pt idx="2">
                  <c:v>32.799999999999997</c:v>
                </c:pt>
                <c:pt idx="3">
                  <c:v>25.4</c:v>
                </c:pt>
                <c:pt idx="4">
                  <c:v>36.5</c:v>
                </c:pt>
              </c:numCache>
            </c:numRef>
          </c:val>
          <c:smooth val="0"/>
          <c:extLst>
            <c:ext xmlns:c16="http://schemas.microsoft.com/office/drawing/2014/chart" uri="{C3380CC4-5D6E-409C-BE32-E72D297353CC}">
              <c16:uniqueId val="{00000007-1D60-40F9-8A49-09B7195D75A0}"/>
            </c:ext>
          </c:extLst>
        </c:ser>
        <c:dLbls>
          <c:showLegendKey val="0"/>
          <c:showVal val="0"/>
          <c:showCatName val="0"/>
          <c:showSerName val="0"/>
          <c:showPercent val="0"/>
          <c:showBubbleSize val="0"/>
        </c:dLbls>
        <c:marker val="1"/>
        <c:smooth val="0"/>
        <c:axId val="742043640"/>
        <c:axId val="742044032"/>
      </c:lineChart>
      <c:catAx>
        <c:axId val="742043640"/>
        <c:scaling>
          <c:orientation val="minMax"/>
        </c:scaling>
        <c:delete val="0"/>
        <c:axPos val="b"/>
        <c:numFmt formatCode="General" sourceLinked="1"/>
        <c:majorTickMark val="out"/>
        <c:minorTickMark val="none"/>
        <c:tickLblPos val="low"/>
        <c:spPr>
          <a:noFill/>
          <a:ln w="6350" cap="flat" cmpd="sng" algn="ctr">
            <a:solidFill>
              <a:sysClr val="window" lastClr="FFFFFF">
                <a:lumMod val="50000"/>
              </a:sys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crossAx val="742044032"/>
        <c:crosses val="autoZero"/>
        <c:auto val="1"/>
        <c:lblAlgn val="ctr"/>
        <c:lblOffset val="100"/>
        <c:noMultiLvlLbl val="0"/>
      </c:catAx>
      <c:valAx>
        <c:axId val="742044032"/>
        <c:scaling>
          <c:orientation val="minMax"/>
          <c:max val="40"/>
          <c:min val="-1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crossAx val="742043640"/>
        <c:crosses val="autoZero"/>
        <c:crossBetween val="between"/>
        <c:majorUnit val="10"/>
      </c:valAx>
      <c:spPr>
        <a:noFill/>
        <a:ln>
          <a:noFill/>
        </a:ln>
        <a:effectLst/>
      </c:spPr>
    </c:plotArea>
    <c:legend>
      <c:legendPos val="b"/>
      <c:layout>
        <c:manualLayout>
          <c:xMode val="edge"/>
          <c:yMode val="edge"/>
          <c:x val="7.9692596647014044E-2"/>
          <c:y val="2.6530409073755524E-2"/>
          <c:w val="0.4633956367361467"/>
          <c:h val="0.2501529193590583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786793877887656E-2"/>
          <c:y val="8.6829950431438652E-2"/>
          <c:w val="0.80326108745116087"/>
          <c:h val="0.8209813232328611"/>
        </c:manualLayout>
      </c:layout>
      <c:barChart>
        <c:barDir val="col"/>
        <c:grouping val="clustered"/>
        <c:varyColors val="0"/>
        <c:ser>
          <c:idx val="2"/>
          <c:order val="2"/>
          <c:tx>
            <c:strRef>
              <c:f>Sheet1!$A$4</c:f>
              <c:strCache>
                <c:ptCount val="1"/>
                <c:pt idx="0">
                  <c:v>ULC (izmaiņas procentos, kreisā ass)</c:v>
                </c:pt>
              </c:strCache>
            </c:strRef>
          </c:tx>
          <c:spPr>
            <a:solidFill>
              <a:schemeClr val="accent3"/>
            </a:solidFill>
            <a:ln>
              <a:noFill/>
            </a:ln>
            <a:effectLst/>
          </c:spPr>
          <c:invertIfNegative val="0"/>
          <c:cat>
            <c:strRef>
              <c:f>Sheet1!$B$1:$O$1</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Sheet1!$B$4:$O$4</c:f>
              <c:numCache>
                <c:formatCode>0.0</c:formatCode>
                <c:ptCount val="14"/>
                <c:pt idx="0">
                  <c:v>-8.7015679684854064</c:v>
                </c:pt>
                <c:pt idx="1">
                  <c:v>1.4398860388463532</c:v>
                </c:pt>
                <c:pt idx="2">
                  <c:v>1.8119573546029528</c:v>
                </c:pt>
                <c:pt idx="3">
                  <c:v>6.0818066326331746</c:v>
                </c:pt>
                <c:pt idx="4">
                  <c:v>4.7716316928666345</c:v>
                </c:pt>
                <c:pt idx="5">
                  <c:v>5.006404142521518</c:v>
                </c:pt>
                <c:pt idx="6">
                  <c:v>4.4614682254595408</c:v>
                </c:pt>
                <c:pt idx="7">
                  <c:v>4.1208826192497412</c:v>
                </c:pt>
                <c:pt idx="8">
                  <c:v>5.4366779971043258</c:v>
                </c:pt>
                <c:pt idx="9">
                  <c:v>7.0713143456446517</c:v>
                </c:pt>
                <c:pt idx="10">
                  <c:v>5.5912794643582231</c:v>
                </c:pt>
                <c:pt idx="11">
                  <c:v>-0.91082967337861476</c:v>
                </c:pt>
                <c:pt idx="12">
                  <c:v>12.017452301564475</c:v>
                </c:pt>
                <c:pt idx="13">
                  <c:v>13.009884696824116</c:v>
                </c:pt>
              </c:numCache>
            </c:numRef>
          </c:val>
          <c:extLst>
            <c:ext xmlns:c16="http://schemas.microsoft.com/office/drawing/2014/chart" uri="{C3380CC4-5D6E-409C-BE32-E72D297353CC}">
              <c16:uniqueId val="{00000000-80E3-4BB3-92D5-0A885F3D0008}"/>
            </c:ext>
          </c:extLst>
        </c:ser>
        <c:dLbls>
          <c:showLegendKey val="0"/>
          <c:showVal val="0"/>
          <c:showCatName val="0"/>
          <c:showSerName val="0"/>
          <c:showPercent val="0"/>
          <c:showBubbleSize val="0"/>
        </c:dLbls>
        <c:gapWidth val="40"/>
        <c:axId val="742037368"/>
        <c:axId val="742038544"/>
      </c:barChart>
      <c:lineChart>
        <c:grouping val="standard"/>
        <c:varyColors val="0"/>
        <c:ser>
          <c:idx val="1"/>
          <c:order val="0"/>
          <c:tx>
            <c:strRef>
              <c:f>Sheet1!$A$3</c:f>
              <c:strCache>
                <c:ptCount val="1"/>
                <c:pt idx="0">
                  <c:v>Darbaspēka izmaksas (2010=100, labā ass)</c:v>
                </c:pt>
              </c:strCache>
            </c:strRef>
          </c:tx>
          <c:spPr>
            <a:ln w="28575" cap="rnd">
              <a:solidFill>
                <a:schemeClr val="accent2"/>
              </a:solidFill>
              <a:round/>
            </a:ln>
            <a:effectLst/>
          </c:spPr>
          <c:marker>
            <c:symbol val="none"/>
          </c:marker>
          <c:cat>
            <c:strRef>
              <c:f>Sheet1!$B$1:$O$1</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Sheet1!$B$3:$O$3</c:f>
              <c:numCache>
                <c:formatCode>0.0</c:formatCode>
                <c:ptCount val="14"/>
                <c:pt idx="0">
                  <c:v>100</c:v>
                </c:pt>
                <c:pt idx="1">
                  <c:v>102.50617389927545</c:v>
                </c:pt>
                <c:pt idx="2">
                  <c:v>110.11695517742743</c:v>
                </c:pt>
                <c:pt idx="3">
                  <c:v>116.4777356208442</c:v>
                </c:pt>
                <c:pt idx="4">
                  <c:v>126.05911640276078</c:v>
                </c:pt>
                <c:pt idx="5">
                  <c:v>135.59972836264006</c:v>
                </c:pt>
                <c:pt idx="6">
                  <c:v>145.44622905032588</c:v>
                </c:pt>
                <c:pt idx="7">
                  <c:v>156.51151092164852</c:v>
                </c:pt>
                <c:pt idx="8">
                  <c:v>169.1446750423527</c:v>
                </c:pt>
                <c:pt idx="9">
                  <c:v>182.33596852152743</c:v>
                </c:pt>
                <c:pt idx="10">
                  <c:v>190.209034159878</c:v>
                </c:pt>
                <c:pt idx="11">
                  <c:v>206.47036317217155</c:v>
                </c:pt>
                <c:pt idx="12">
                  <c:v>231.76182639194681</c:v>
                </c:pt>
                <c:pt idx="13">
                  <c:v>261.0075545315633</c:v>
                </c:pt>
              </c:numCache>
            </c:numRef>
          </c:val>
          <c:smooth val="0"/>
          <c:extLst>
            <c:ext xmlns:c16="http://schemas.microsoft.com/office/drawing/2014/chart" uri="{C3380CC4-5D6E-409C-BE32-E72D297353CC}">
              <c16:uniqueId val="{00000001-80E3-4BB3-92D5-0A885F3D0008}"/>
            </c:ext>
          </c:extLst>
        </c:ser>
        <c:ser>
          <c:idx val="0"/>
          <c:order val="1"/>
          <c:tx>
            <c:strRef>
              <c:f>Sheet1!$A$2</c:f>
              <c:strCache>
                <c:ptCount val="1"/>
                <c:pt idx="0">
                  <c:v>Produktivitāte (2010=100, labā ass)</c:v>
                </c:pt>
              </c:strCache>
            </c:strRef>
          </c:tx>
          <c:spPr>
            <a:ln w="28575" cap="rnd">
              <a:solidFill>
                <a:schemeClr val="accent1"/>
              </a:solidFill>
              <a:round/>
            </a:ln>
            <a:effectLst/>
          </c:spPr>
          <c:marker>
            <c:symbol val="none"/>
          </c:marker>
          <c:cat>
            <c:strRef>
              <c:f>Sheet1!$B$1:$O$1</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Sheet1!$B$2:$O$2</c:f>
              <c:numCache>
                <c:formatCode>0.0</c:formatCode>
                <c:ptCount val="14"/>
                <c:pt idx="0">
                  <c:v>100</c:v>
                </c:pt>
                <c:pt idx="1">
                  <c:v>101.05115246286928</c:v>
                </c:pt>
                <c:pt idx="2">
                  <c:v>106.62195827344274</c:v>
                </c:pt>
                <c:pt idx="3">
                  <c:v>106.31498254326466</c:v>
                </c:pt>
                <c:pt idx="4">
                  <c:v>109.82016809480521</c:v>
                </c:pt>
                <c:pt idx="5">
                  <c:v>112.49957410489361</c:v>
                </c:pt>
                <c:pt idx="6">
                  <c:v>115.51500440978239</c:v>
                </c:pt>
                <c:pt idx="7">
                  <c:v>119.38351901892337</c:v>
                </c:pt>
                <c:pt idx="8">
                  <c:v>122.3671113863481</c:v>
                </c:pt>
                <c:pt idx="9">
                  <c:v>123.19854890436692</c:v>
                </c:pt>
                <c:pt idx="10">
                  <c:v>121.71282208419039</c:v>
                </c:pt>
                <c:pt idx="11">
                  <c:v>133.33271469082672</c:v>
                </c:pt>
                <c:pt idx="12">
                  <c:v>133.60884619288848</c:v>
                </c:pt>
                <c:pt idx="13">
                  <c:v>133.14656132386318</c:v>
                </c:pt>
              </c:numCache>
            </c:numRef>
          </c:val>
          <c:smooth val="0"/>
          <c:extLst>
            <c:ext xmlns:c16="http://schemas.microsoft.com/office/drawing/2014/chart" uri="{C3380CC4-5D6E-409C-BE32-E72D297353CC}">
              <c16:uniqueId val="{00000002-80E3-4BB3-92D5-0A885F3D0008}"/>
            </c:ext>
          </c:extLst>
        </c:ser>
        <c:dLbls>
          <c:showLegendKey val="0"/>
          <c:showVal val="0"/>
          <c:showCatName val="0"/>
          <c:showSerName val="0"/>
          <c:showPercent val="0"/>
          <c:showBubbleSize val="0"/>
        </c:dLbls>
        <c:marker val="1"/>
        <c:smooth val="0"/>
        <c:axId val="742041288"/>
        <c:axId val="742040112"/>
      </c:lineChart>
      <c:catAx>
        <c:axId val="742037368"/>
        <c:scaling>
          <c:orientation val="minMax"/>
        </c:scaling>
        <c:delete val="0"/>
        <c:axPos val="b"/>
        <c:numFmt formatCode="General" sourceLinked="1"/>
        <c:majorTickMark val="out"/>
        <c:minorTickMark val="none"/>
        <c:tickLblPos val="low"/>
        <c:spPr>
          <a:noFill/>
          <a:ln w="9525" cap="flat" cmpd="sng" algn="ctr">
            <a:solidFill>
              <a:schemeClr val="tx1">
                <a:lumMod val="50000"/>
                <a:lumOff val="50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38544"/>
        <c:crosses val="autoZero"/>
        <c:auto val="1"/>
        <c:lblAlgn val="ctr"/>
        <c:lblOffset val="0"/>
        <c:noMultiLvlLbl val="0"/>
      </c:catAx>
      <c:valAx>
        <c:axId val="742038544"/>
        <c:scaling>
          <c:orientation val="minMax"/>
          <c:max val="15"/>
          <c:min val="-1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37368"/>
        <c:crossesAt val="1"/>
        <c:crossBetween val="between"/>
        <c:majorUnit val="5"/>
      </c:valAx>
      <c:valAx>
        <c:axId val="742040112"/>
        <c:scaling>
          <c:orientation val="minMax"/>
          <c:max val="300"/>
          <c:min val="50"/>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41288"/>
        <c:crosses val="max"/>
        <c:crossBetween val="between"/>
        <c:majorUnit val="50"/>
      </c:valAx>
      <c:catAx>
        <c:axId val="742041288"/>
        <c:scaling>
          <c:orientation val="minMax"/>
        </c:scaling>
        <c:delete val="1"/>
        <c:axPos val="b"/>
        <c:numFmt formatCode="General" sourceLinked="1"/>
        <c:majorTickMark val="none"/>
        <c:minorTickMark val="none"/>
        <c:tickLblPos val="nextTo"/>
        <c:crossAx val="742040112"/>
        <c:crosses val="autoZero"/>
        <c:auto val="1"/>
        <c:lblAlgn val="ctr"/>
        <c:lblOffset val="100"/>
        <c:noMultiLvlLbl val="0"/>
      </c:catAx>
      <c:spPr>
        <a:noFill/>
        <a:ln>
          <a:noFill/>
        </a:ln>
        <a:effectLst/>
      </c:spPr>
    </c:plotArea>
    <c:legend>
      <c:legendPos val="b"/>
      <c:layout>
        <c:manualLayout>
          <c:xMode val="edge"/>
          <c:yMode val="edge"/>
          <c:x val="7.5531025129035909E-2"/>
          <c:y val="8.3089177806262491E-4"/>
          <c:w val="0.82172576703774092"/>
          <c:h val="0.2481651712140633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2021</c:v>
                </c:pt>
              </c:strCache>
            </c:strRef>
          </c:tx>
          <c:spPr>
            <a:solidFill>
              <a:schemeClr val="accent3">
                <a:lumMod val="75000"/>
              </a:schemeClr>
            </a:solidFill>
            <a:ln>
              <a:noFill/>
            </a:ln>
          </c:spPr>
          <c:invertIfNegative val="0"/>
          <c:dPt>
            <c:idx val="5"/>
            <c:invertIfNegative val="0"/>
            <c:bubble3D val="0"/>
            <c:extLst>
              <c:ext xmlns:c16="http://schemas.microsoft.com/office/drawing/2014/chart" uri="{C3380CC4-5D6E-409C-BE32-E72D297353CC}">
                <c16:uniqueId val="{00000000-5C4D-4244-A327-52F9D03F7AB7}"/>
              </c:ext>
            </c:extLst>
          </c:dPt>
          <c:dPt>
            <c:idx val="7"/>
            <c:invertIfNegative val="0"/>
            <c:bubble3D val="0"/>
            <c:extLst>
              <c:ext xmlns:c16="http://schemas.microsoft.com/office/drawing/2014/chart" uri="{C3380CC4-5D6E-409C-BE32-E72D297353CC}">
                <c16:uniqueId val="{00000001-5C4D-4244-A327-52F9D03F7AB7}"/>
              </c:ext>
            </c:extLst>
          </c:dPt>
          <c:dLbls>
            <c:dLbl>
              <c:idx val="1"/>
              <c:layout>
                <c:manualLayout>
                  <c:x val="-4.0434763007385952E-17"/>
                  <c:y val="2.84320317405631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4D-4244-A327-52F9D03F7AB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4D-4244-A327-52F9D03F7AB7}"/>
                </c:ext>
              </c:extLst>
            </c:dLbl>
            <c:dLbl>
              <c:idx val="3"/>
              <c:layout>
                <c:manualLayout>
                  <c:x val="-8.0869526014771903E-17"/>
                  <c:y val="-8.62196389177534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4D-4244-A327-52F9D03F7AB7}"/>
                </c:ext>
              </c:extLst>
            </c:dLbl>
            <c:dLbl>
              <c:idx val="4"/>
              <c:layout>
                <c:manualLayout>
                  <c:x val="0"/>
                  <c:y val="7.05716302046577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4D-4244-A327-52F9D03F7AB7}"/>
                </c:ext>
              </c:extLst>
            </c:dLbl>
            <c:dLbl>
              <c:idx val="5"/>
              <c:layout>
                <c:manualLayout>
                  <c:x val="0"/>
                  <c:y val="1.47300218383076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4D-4244-A327-52F9D03F7AB7}"/>
                </c:ext>
              </c:extLst>
            </c:dLbl>
            <c:spPr>
              <a:noFill/>
              <a:ln>
                <a:noFill/>
              </a:ln>
              <a:effectLst/>
            </c:spPr>
            <c:txPr>
              <a:bodyPr wrap="square" lIns="0" tIns="19050" rIns="0" bIns="19050" anchor="ctr">
                <a:spAutoFit/>
              </a:bodyPr>
              <a:lstStyle/>
              <a:p>
                <a:pPr>
                  <a:defRPr sz="800"/>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Sheet1!$A$2:$A$9</c:f>
              <c:numCache>
                <c:formatCode>General</c:formatCode>
                <c:ptCount val="6"/>
                <c:pt idx="0">
                  <c:v>2018</c:v>
                </c:pt>
                <c:pt idx="1">
                  <c:v>2019</c:v>
                </c:pt>
                <c:pt idx="2">
                  <c:v>2020</c:v>
                </c:pt>
                <c:pt idx="3">
                  <c:v>2021</c:v>
                </c:pt>
                <c:pt idx="4">
                  <c:v>2022</c:v>
                </c:pt>
                <c:pt idx="5">
                  <c:v>2023</c:v>
                </c:pt>
              </c:numCache>
            </c:numRef>
          </c:cat>
          <c:val>
            <c:numRef>
              <c:f>Sheet1!$B$2:$B$9</c:f>
              <c:numCache>
                <c:formatCode>0.0</c:formatCode>
                <c:ptCount val="6"/>
                <c:pt idx="0">
                  <c:v>11.7</c:v>
                </c:pt>
                <c:pt idx="1">
                  <c:v>1.5</c:v>
                </c:pt>
                <c:pt idx="2">
                  <c:v>-2.2000000000000002</c:v>
                </c:pt>
                <c:pt idx="3">
                  <c:v>7.2</c:v>
                </c:pt>
                <c:pt idx="4">
                  <c:v>0.6</c:v>
                </c:pt>
                <c:pt idx="5">
                  <c:v>8.1999999999999993</c:v>
                </c:pt>
              </c:numCache>
            </c:numRef>
          </c:val>
          <c:extLst>
            <c:ext xmlns:c16="http://schemas.microsoft.com/office/drawing/2014/chart" uri="{C3380CC4-5D6E-409C-BE32-E72D297353CC}">
              <c16:uniqueId val="{00000006-5C4D-4244-A327-52F9D03F7AB7}"/>
            </c:ext>
          </c:extLst>
        </c:ser>
        <c:dLbls>
          <c:dLblPos val="outEnd"/>
          <c:showLegendKey val="0"/>
          <c:showVal val="1"/>
          <c:showCatName val="0"/>
          <c:showSerName val="0"/>
          <c:showPercent val="0"/>
          <c:showBubbleSize val="0"/>
        </c:dLbls>
        <c:gapWidth val="30"/>
        <c:axId val="742130272"/>
        <c:axId val="742133016"/>
      </c:barChart>
      <c:catAx>
        <c:axId val="742130272"/>
        <c:scaling>
          <c:orientation val="minMax"/>
        </c:scaling>
        <c:delete val="0"/>
        <c:axPos val="b"/>
        <c:numFmt formatCode="General" sourceLinked="1"/>
        <c:majorTickMark val="out"/>
        <c:minorTickMark val="none"/>
        <c:tickLblPos val="low"/>
        <c:spPr>
          <a:ln w="6350"/>
        </c:spPr>
        <c:txPr>
          <a:bodyPr rot="-5400000" vert="horz"/>
          <a:lstStyle/>
          <a:p>
            <a:pPr>
              <a:defRPr/>
            </a:pPr>
            <a:endParaRPr lang="lv-LV"/>
          </a:p>
        </c:txPr>
        <c:crossAx val="742133016"/>
        <c:crosses val="autoZero"/>
        <c:auto val="1"/>
        <c:lblAlgn val="ctr"/>
        <c:lblOffset val="0"/>
        <c:noMultiLvlLbl val="0"/>
      </c:catAx>
      <c:valAx>
        <c:axId val="742133016"/>
        <c:scaling>
          <c:orientation val="minMax"/>
          <c:min val="-12"/>
        </c:scaling>
        <c:delete val="1"/>
        <c:axPos val="l"/>
        <c:numFmt formatCode="0" sourceLinked="0"/>
        <c:majorTickMark val="out"/>
        <c:minorTickMark val="none"/>
        <c:tickLblPos val="nextTo"/>
        <c:crossAx val="742130272"/>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142960929069752E-2"/>
          <c:y val="8.2267605405543065E-2"/>
          <c:w val="0.87927470735086222"/>
          <c:h val="0.82145594047142223"/>
        </c:manualLayout>
      </c:layout>
      <c:barChart>
        <c:barDir val="col"/>
        <c:grouping val="clustered"/>
        <c:varyColors val="0"/>
        <c:ser>
          <c:idx val="0"/>
          <c:order val="0"/>
          <c:tx>
            <c:strRef>
              <c:f>Sheet1!$D$1</c:f>
              <c:strCache>
                <c:ptCount val="1"/>
                <c:pt idx="0">
                  <c:v>Produktivitāte </c:v>
                </c:pt>
              </c:strCache>
            </c:strRef>
          </c:tx>
          <c:spPr>
            <a:ln w="3173">
              <a:noFill/>
            </a:ln>
          </c:spPr>
          <c:invertIfNegative val="0"/>
          <c:dPt>
            <c:idx val="3"/>
            <c:invertIfNegative val="0"/>
            <c:bubble3D val="0"/>
            <c:extLst>
              <c:ext xmlns:c16="http://schemas.microsoft.com/office/drawing/2014/chart" uri="{C3380CC4-5D6E-409C-BE32-E72D297353CC}">
                <c16:uniqueId val="{00000000-6649-4B95-9EED-137F9AE22867}"/>
              </c:ext>
            </c:extLst>
          </c:dPt>
          <c:dPt>
            <c:idx val="4"/>
            <c:invertIfNegative val="0"/>
            <c:bubble3D val="0"/>
            <c:extLst>
              <c:ext xmlns:c16="http://schemas.microsoft.com/office/drawing/2014/chart" uri="{C3380CC4-5D6E-409C-BE32-E72D297353CC}">
                <c16:uniqueId val="{00000001-6649-4B95-9EED-137F9AE22867}"/>
              </c:ext>
            </c:extLst>
          </c:dPt>
          <c:dPt>
            <c:idx val="11"/>
            <c:invertIfNegative val="0"/>
            <c:bubble3D val="0"/>
            <c:extLst>
              <c:ext xmlns:c16="http://schemas.microsoft.com/office/drawing/2014/chart" uri="{C3380CC4-5D6E-409C-BE32-E72D297353CC}">
                <c16:uniqueId val="{00000002-6649-4B95-9EED-137F9AE22867}"/>
              </c:ext>
            </c:extLst>
          </c:dPt>
          <c:cat>
            <c:numRef>
              <c:f>Sheet1!$A$2:$C$11</c:f>
              <c:numCache>
                <c:formatCode>General</c:formatCode>
                <c:ptCount val="5"/>
              </c:numCache>
            </c:numRef>
          </c:cat>
          <c:val>
            <c:numRef>
              <c:f>Sheet1!$D$2:$D$11</c:f>
              <c:numCache>
                <c:formatCode>General</c:formatCode>
                <c:ptCount val="5"/>
              </c:numCache>
            </c:numRef>
          </c:val>
          <c:extLst>
            <c:ext xmlns:c16="http://schemas.microsoft.com/office/drawing/2014/chart" uri="{C3380CC4-5D6E-409C-BE32-E72D297353CC}">
              <c16:uniqueId val="{00000003-6649-4B95-9EED-137F9AE22867}"/>
            </c:ext>
          </c:extLst>
        </c:ser>
        <c:ser>
          <c:idx val="1"/>
          <c:order val="1"/>
          <c:tx>
            <c:strRef>
              <c:f>Sheet1!$E$1</c:f>
              <c:strCache>
                <c:ptCount val="1"/>
                <c:pt idx="0">
                  <c:v>Darbaspēka izmaksas </c:v>
                </c:pt>
              </c:strCache>
            </c:strRef>
          </c:tx>
          <c:spPr>
            <a:ln w="3173">
              <a:noFill/>
            </a:ln>
          </c:spPr>
          <c:invertIfNegative val="0"/>
          <c:dPt>
            <c:idx val="0"/>
            <c:invertIfNegative val="0"/>
            <c:bubble3D val="0"/>
            <c:extLst>
              <c:ext xmlns:c16="http://schemas.microsoft.com/office/drawing/2014/chart" uri="{C3380CC4-5D6E-409C-BE32-E72D297353CC}">
                <c16:uniqueId val="{00000004-6649-4B95-9EED-137F9AE22867}"/>
              </c:ext>
            </c:extLst>
          </c:dPt>
          <c:dPt>
            <c:idx val="3"/>
            <c:invertIfNegative val="0"/>
            <c:bubble3D val="0"/>
            <c:extLst>
              <c:ext xmlns:c16="http://schemas.microsoft.com/office/drawing/2014/chart" uri="{C3380CC4-5D6E-409C-BE32-E72D297353CC}">
                <c16:uniqueId val="{00000005-6649-4B95-9EED-137F9AE22867}"/>
              </c:ext>
            </c:extLst>
          </c:dPt>
          <c:cat>
            <c:numRef>
              <c:f>Sheet1!$A$2:$C$11</c:f>
              <c:numCache>
                <c:formatCode>General</c:formatCode>
                <c:ptCount val="5"/>
              </c:numCache>
            </c:numRef>
          </c:cat>
          <c:val>
            <c:numRef>
              <c:f>Sheet1!$E$2:$E$11</c:f>
              <c:numCache>
                <c:formatCode>General</c:formatCode>
                <c:ptCount val="5"/>
              </c:numCache>
            </c:numRef>
          </c:val>
          <c:extLst>
            <c:ext xmlns:c16="http://schemas.microsoft.com/office/drawing/2014/chart" uri="{C3380CC4-5D6E-409C-BE32-E72D297353CC}">
              <c16:uniqueId val="{00000006-6649-4B95-9EED-137F9AE22867}"/>
            </c:ext>
          </c:extLst>
        </c:ser>
        <c:ser>
          <c:idx val="2"/>
          <c:order val="2"/>
          <c:tx>
            <c:strRef>
              <c:f>Sheet1!$F$1</c:f>
              <c:strCache>
                <c:ptCount val="1"/>
                <c:pt idx="0">
                  <c:v>ULC </c:v>
                </c:pt>
              </c:strCache>
            </c:strRef>
          </c:tx>
          <c:spPr>
            <a:ln w="3173">
              <a:noFill/>
            </a:ln>
          </c:spPr>
          <c:invertIfNegative val="0"/>
          <c:dPt>
            <c:idx val="0"/>
            <c:invertIfNegative val="0"/>
            <c:bubble3D val="0"/>
            <c:extLst>
              <c:ext xmlns:c16="http://schemas.microsoft.com/office/drawing/2014/chart" uri="{C3380CC4-5D6E-409C-BE32-E72D297353CC}">
                <c16:uniqueId val="{00000007-6649-4B95-9EED-137F9AE22867}"/>
              </c:ext>
            </c:extLst>
          </c:dPt>
          <c:dPt>
            <c:idx val="3"/>
            <c:invertIfNegative val="0"/>
            <c:bubble3D val="0"/>
            <c:extLst>
              <c:ext xmlns:c16="http://schemas.microsoft.com/office/drawing/2014/chart" uri="{C3380CC4-5D6E-409C-BE32-E72D297353CC}">
                <c16:uniqueId val="{00000008-6649-4B95-9EED-137F9AE22867}"/>
              </c:ext>
            </c:extLst>
          </c:dPt>
          <c:cat>
            <c:numRef>
              <c:f>Sheet1!$A$2:$C$11</c:f>
              <c:numCache>
                <c:formatCode>General</c:formatCode>
                <c:ptCount val="5"/>
              </c:numCache>
            </c:numRef>
          </c:cat>
          <c:val>
            <c:numRef>
              <c:f>Sheet1!$F$2:$F$11</c:f>
              <c:numCache>
                <c:formatCode>General</c:formatCode>
                <c:ptCount val="5"/>
              </c:numCache>
            </c:numRef>
          </c:val>
          <c:extLst>
            <c:ext xmlns:c16="http://schemas.microsoft.com/office/drawing/2014/chart" uri="{C3380CC4-5D6E-409C-BE32-E72D297353CC}">
              <c16:uniqueId val="{00000009-6649-4B95-9EED-137F9AE22867}"/>
            </c:ext>
          </c:extLst>
        </c:ser>
        <c:dLbls>
          <c:showLegendKey val="0"/>
          <c:showVal val="0"/>
          <c:showCatName val="0"/>
          <c:showSerName val="0"/>
          <c:showPercent val="0"/>
          <c:showBubbleSize val="0"/>
        </c:dLbls>
        <c:gapWidth val="40"/>
        <c:overlap val="40"/>
        <c:axId val="249730424"/>
        <c:axId val="1"/>
      </c:barChart>
      <c:catAx>
        <c:axId val="249730424"/>
        <c:scaling>
          <c:orientation val="minMax"/>
        </c:scaling>
        <c:delete val="0"/>
        <c:axPos val="b"/>
        <c:numFmt formatCode="General" sourceLinked="1"/>
        <c:majorTickMark val="out"/>
        <c:minorTickMark val="none"/>
        <c:tickLblPos val="low"/>
        <c:spPr>
          <a:noFill/>
          <a:ln w="3173">
            <a:noFill/>
          </a:ln>
        </c:spPr>
        <c:txPr>
          <a:bodyPr rot="0" vert="horz"/>
          <a:lstStyle/>
          <a:p>
            <a:pPr>
              <a:defRPr/>
            </a:pPr>
            <a:endParaRPr lang="lv-LV"/>
          </a:p>
        </c:txPr>
        <c:crossAx val="1"/>
        <c:crosses val="autoZero"/>
        <c:auto val="0"/>
        <c:lblAlgn val="ctr"/>
        <c:lblOffset val="0"/>
        <c:tickLblSkip val="1"/>
        <c:noMultiLvlLbl val="1"/>
      </c:catAx>
      <c:valAx>
        <c:axId val="1"/>
        <c:scaling>
          <c:orientation val="minMax"/>
          <c:max val="10"/>
          <c:min val="0"/>
        </c:scaling>
        <c:delete val="1"/>
        <c:axPos val="l"/>
        <c:numFmt formatCode="0" sourceLinked="0"/>
        <c:majorTickMark val="out"/>
        <c:minorTickMark val="none"/>
        <c:tickLblPos val="nextTo"/>
        <c:crossAx val="249730424"/>
        <c:crosses val="autoZero"/>
        <c:crossBetween val="between"/>
        <c:majorUnit val="2"/>
      </c:valAx>
      <c:spPr>
        <a:noFill/>
        <a:ln w="25382">
          <a:noFill/>
        </a:ln>
      </c:spPr>
    </c:plotArea>
    <c:legend>
      <c:legendPos val="r"/>
      <c:layout>
        <c:manualLayout>
          <c:xMode val="edge"/>
          <c:yMode val="edge"/>
          <c:x val="1.2769433556488258E-2"/>
          <c:y val="5.6118145591005746E-3"/>
          <c:w val="0.9551340663914808"/>
          <c:h val="0.97749249294440954"/>
        </c:manualLayout>
      </c:layout>
      <c:overlay val="0"/>
    </c:legend>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lv-LV"/>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799676286604449"/>
          <c:y val="4.6983865329094966E-2"/>
          <c:w val="0.79134657131246333"/>
          <c:h val="0.85673968054787031"/>
        </c:manualLayout>
      </c:layout>
      <c:barChart>
        <c:barDir val="col"/>
        <c:grouping val="clustered"/>
        <c:varyColors val="0"/>
        <c:ser>
          <c:idx val="0"/>
          <c:order val="0"/>
          <c:tx>
            <c:strRef>
              <c:f>Sheet1!$D$1</c:f>
              <c:strCache>
                <c:ptCount val="1"/>
                <c:pt idx="0">
                  <c:v>Produktivitāte </c:v>
                </c:pt>
              </c:strCache>
            </c:strRef>
          </c:tx>
          <c:spPr>
            <a:ln w="3173">
              <a:noFill/>
            </a:ln>
          </c:spPr>
          <c:invertIfNegative val="0"/>
          <c:dPt>
            <c:idx val="3"/>
            <c:invertIfNegative val="0"/>
            <c:bubble3D val="0"/>
            <c:extLst>
              <c:ext xmlns:c16="http://schemas.microsoft.com/office/drawing/2014/chart" uri="{C3380CC4-5D6E-409C-BE32-E72D297353CC}">
                <c16:uniqueId val="{00000000-BBBB-4E94-8AF6-79C6CC4EDD58}"/>
              </c:ext>
            </c:extLst>
          </c:dPt>
          <c:dPt>
            <c:idx val="4"/>
            <c:invertIfNegative val="0"/>
            <c:bubble3D val="0"/>
            <c:extLst>
              <c:ext xmlns:c16="http://schemas.microsoft.com/office/drawing/2014/chart" uri="{C3380CC4-5D6E-409C-BE32-E72D297353CC}">
                <c16:uniqueId val="{00000001-BBBB-4E94-8AF6-79C6CC4EDD58}"/>
              </c:ext>
            </c:extLst>
          </c:dPt>
          <c:dPt>
            <c:idx val="11"/>
            <c:invertIfNegative val="0"/>
            <c:bubble3D val="0"/>
            <c:extLst>
              <c:ext xmlns:c16="http://schemas.microsoft.com/office/drawing/2014/chart" uri="{C3380CC4-5D6E-409C-BE32-E72D297353CC}">
                <c16:uniqueId val="{00000002-BBBB-4E94-8AF6-79C6CC4EDD58}"/>
              </c:ext>
            </c:extLst>
          </c:dPt>
          <c:cat>
            <c:strRef>
              <c:f>Sheet1!$A$2:$C$11</c:f>
              <c:strCache>
                <c:ptCount val="2"/>
                <c:pt idx="0">
                  <c:v>2015-2019</c:v>
                </c:pt>
                <c:pt idx="1">
                  <c:v>2020-2023</c:v>
                </c:pt>
              </c:strCache>
            </c:strRef>
          </c:cat>
          <c:val>
            <c:numRef>
              <c:f>Sheet1!$D$2:$D$11</c:f>
              <c:numCache>
                <c:formatCode>0.0</c:formatCode>
                <c:ptCount val="2"/>
                <c:pt idx="0">
                  <c:v>2.6411279975681907</c:v>
                </c:pt>
                <c:pt idx="1">
                  <c:v>1.313420782416415</c:v>
                </c:pt>
              </c:numCache>
            </c:numRef>
          </c:val>
          <c:extLst>
            <c:ext xmlns:c16="http://schemas.microsoft.com/office/drawing/2014/chart" uri="{C3380CC4-5D6E-409C-BE32-E72D297353CC}">
              <c16:uniqueId val="{00000003-BBBB-4E94-8AF6-79C6CC4EDD58}"/>
            </c:ext>
          </c:extLst>
        </c:ser>
        <c:ser>
          <c:idx val="1"/>
          <c:order val="1"/>
          <c:tx>
            <c:strRef>
              <c:f>Sheet1!$E$1</c:f>
              <c:strCache>
                <c:ptCount val="1"/>
                <c:pt idx="0">
                  <c:v>Darbaspēka izmaksas </c:v>
                </c:pt>
              </c:strCache>
            </c:strRef>
          </c:tx>
          <c:spPr>
            <a:ln w="3173">
              <a:noFill/>
            </a:ln>
          </c:spPr>
          <c:invertIfNegative val="0"/>
          <c:dPt>
            <c:idx val="0"/>
            <c:invertIfNegative val="0"/>
            <c:bubble3D val="0"/>
            <c:extLst>
              <c:ext xmlns:c16="http://schemas.microsoft.com/office/drawing/2014/chart" uri="{C3380CC4-5D6E-409C-BE32-E72D297353CC}">
                <c16:uniqueId val="{00000004-BBBB-4E94-8AF6-79C6CC4EDD58}"/>
              </c:ext>
            </c:extLst>
          </c:dPt>
          <c:dPt>
            <c:idx val="3"/>
            <c:invertIfNegative val="0"/>
            <c:bubble3D val="0"/>
            <c:extLst>
              <c:ext xmlns:c16="http://schemas.microsoft.com/office/drawing/2014/chart" uri="{C3380CC4-5D6E-409C-BE32-E72D297353CC}">
                <c16:uniqueId val="{00000005-BBBB-4E94-8AF6-79C6CC4EDD58}"/>
              </c:ext>
            </c:extLst>
          </c:dPt>
          <c:cat>
            <c:strRef>
              <c:f>Sheet1!$A$2:$C$11</c:f>
              <c:strCache>
                <c:ptCount val="2"/>
                <c:pt idx="0">
                  <c:v>2015-2019</c:v>
                </c:pt>
                <c:pt idx="1">
                  <c:v>2020-2023</c:v>
                </c:pt>
              </c:strCache>
            </c:strRef>
          </c:cat>
          <c:val>
            <c:numRef>
              <c:f>Sheet1!$E$2:$E$11</c:f>
              <c:numCache>
                <c:formatCode>0.0</c:formatCode>
                <c:ptCount val="2"/>
                <c:pt idx="0">
                  <c:v>7.1548002106234208</c:v>
                </c:pt>
                <c:pt idx="1">
                  <c:v>9.1359144093518125</c:v>
                </c:pt>
              </c:numCache>
            </c:numRef>
          </c:val>
          <c:extLst>
            <c:ext xmlns:c16="http://schemas.microsoft.com/office/drawing/2014/chart" uri="{C3380CC4-5D6E-409C-BE32-E72D297353CC}">
              <c16:uniqueId val="{00000006-BBBB-4E94-8AF6-79C6CC4EDD58}"/>
            </c:ext>
          </c:extLst>
        </c:ser>
        <c:ser>
          <c:idx val="2"/>
          <c:order val="2"/>
          <c:tx>
            <c:strRef>
              <c:f>Sheet1!$F$1</c:f>
              <c:strCache>
                <c:ptCount val="1"/>
                <c:pt idx="0">
                  <c:v>ULC </c:v>
                </c:pt>
              </c:strCache>
            </c:strRef>
          </c:tx>
          <c:spPr>
            <a:ln w="3173">
              <a:noFill/>
            </a:ln>
          </c:spPr>
          <c:invertIfNegative val="0"/>
          <c:dPt>
            <c:idx val="0"/>
            <c:invertIfNegative val="0"/>
            <c:bubble3D val="0"/>
            <c:extLst>
              <c:ext xmlns:c16="http://schemas.microsoft.com/office/drawing/2014/chart" uri="{C3380CC4-5D6E-409C-BE32-E72D297353CC}">
                <c16:uniqueId val="{00000007-BBBB-4E94-8AF6-79C6CC4EDD58}"/>
              </c:ext>
            </c:extLst>
          </c:dPt>
          <c:dPt>
            <c:idx val="3"/>
            <c:invertIfNegative val="0"/>
            <c:bubble3D val="0"/>
            <c:extLst>
              <c:ext xmlns:c16="http://schemas.microsoft.com/office/drawing/2014/chart" uri="{C3380CC4-5D6E-409C-BE32-E72D297353CC}">
                <c16:uniqueId val="{00000008-BBBB-4E94-8AF6-79C6CC4EDD58}"/>
              </c:ext>
            </c:extLst>
          </c:dPt>
          <c:cat>
            <c:strRef>
              <c:f>Sheet1!$A$2:$C$11</c:f>
              <c:strCache>
                <c:ptCount val="2"/>
                <c:pt idx="0">
                  <c:v>2015-2019</c:v>
                </c:pt>
                <c:pt idx="1">
                  <c:v>2020-2023</c:v>
                </c:pt>
              </c:strCache>
            </c:strRef>
          </c:cat>
          <c:val>
            <c:numRef>
              <c:f>Sheet1!$F$2:$F$11</c:f>
              <c:numCache>
                <c:formatCode>0.0</c:formatCode>
                <c:ptCount val="2"/>
                <c:pt idx="0">
                  <c:v>4.3975278731953864</c:v>
                </c:pt>
                <c:pt idx="1">
                  <c:v>7.7210833140608486</c:v>
                </c:pt>
              </c:numCache>
            </c:numRef>
          </c:val>
          <c:extLst>
            <c:ext xmlns:c16="http://schemas.microsoft.com/office/drawing/2014/chart" uri="{C3380CC4-5D6E-409C-BE32-E72D297353CC}">
              <c16:uniqueId val="{00000009-BBBB-4E94-8AF6-79C6CC4EDD58}"/>
            </c:ext>
          </c:extLst>
        </c:ser>
        <c:dLbls>
          <c:showLegendKey val="0"/>
          <c:showVal val="0"/>
          <c:showCatName val="0"/>
          <c:showSerName val="0"/>
          <c:showPercent val="0"/>
          <c:showBubbleSize val="0"/>
        </c:dLbls>
        <c:gapWidth val="40"/>
        <c:overlap val="40"/>
        <c:axId val="249730424"/>
        <c:axId val="1"/>
      </c:barChart>
      <c:catAx>
        <c:axId val="249730424"/>
        <c:scaling>
          <c:orientation val="minMax"/>
        </c:scaling>
        <c:delete val="0"/>
        <c:axPos val="b"/>
        <c:numFmt formatCode="General" sourceLinked="1"/>
        <c:majorTickMark val="out"/>
        <c:minorTickMark val="none"/>
        <c:tickLblPos val="low"/>
        <c:spPr>
          <a:ln w="3173"/>
        </c:spPr>
        <c:txPr>
          <a:bodyPr rot="0" vert="horz"/>
          <a:lstStyle/>
          <a:p>
            <a:pPr>
              <a:defRPr/>
            </a:pPr>
            <a:endParaRPr lang="lv-LV"/>
          </a:p>
        </c:txPr>
        <c:crossAx val="1"/>
        <c:crosses val="autoZero"/>
        <c:auto val="0"/>
        <c:lblAlgn val="ctr"/>
        <c:lblOffset val="0"/>
        <c:tickLblSkip val="1"/>
        <c:noMultiLvlLbl val="1"/>
      </c:catAx>
      <c:valAx>
        <c:axId val="1"/>
        <c:scaling>
          <c:orientation val="minMax"/>
          <c:max val="10"/>
          <c:min val="0"/>
        </c:scaling>
        <c:delete val="0"/>
        <c:axPos val="l"/>
        <c:numFmt formatCode="0" sourceLinked="0"/>
        <c:majorTickMark val="out"/>
        <c:minorTickMark val="none"/>
        <c:tickLblPos val="nextTo"/>
        <c:spPr>
          <a:ln w="3173">
            <a:noFill/>
          </a:ln>
        </c:spPr>
        <c:txPr>
          <a:bodyPr rot="0" vert="horz"/>
          <a:lstStyle/>
          <a:p>
            <a:pPr>
              <a:defRPr/>
            </a:pPr>
            <a:endParaRPr lang="lv-LV"/>
          </a:p>
        </c:txPr>
        <c:crossAx val="249730424"/>
        <c:crosses val="autoZero"/>
        <c:crossBetween val="between"/>
        <c:majorUnit val="2"/>
      </c:valAx>
      <c:spPr>
        <a:noFill/>
        <a:ln w="25382">
          <a:noFill/>
        </a:ln>
      </c:spPr>
    </c:plotArea>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lv-LV"/>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142960929069752E-2"/>
          <c:y val="4.6983865329094966E-2"/>
          <c:w val="0.87927470735086222"/>
          <c:h val="0.85673968054787031"/>
        </c:manualLayout>
      </c:layout>
      <c:barChart>
        <c:barDir val="col"/>
        <c:grouping val="clustered"/>
        <c:varyColors val="0"/>
        <c:ser>
          <c:idx val="0"/>
          <c:order val="0"/>
          <c:tx>
            <c:strRef>
              <c:f>Sheet1!$D$1</c:f>
              <c:strCache>
                <c:ptCount val="1"/>
                <c:pt idx="0">
                  <c:v>Produktivitāte </c:v>
                </c:pt>
              </c:strCache>
            </c:strRef>
          </c:tx>
          <c:spPr>
            <a:ln w="3173">
              <a:noFill/>
            </a:ln>
          </c:spPr>
          <c:invertIfNegative val="0"/>
          <c:dPt>
            <c:idx val="3"/>
            <c:invertIfNegative val="0"/>
            <c:bubble3D val="0"/>
            <c:extLst>
              <c:ext xmlns:c16="http://schemas.microsoft.com/office/drawing/2014/chart" uri="{C3380CC4-5D6E-409C-BE32-E72D297353CC}">
                <c16:uniqueId val="{00000000-7BA3-4BE4-8328-FDABB8813260}"/>
              </c:ext>
            </c:extLst>
          </c:dPt>
          <c:dPt>
            <c:idx val="4"/>
            <c:invertIfNegative val="0"/>
            <c:bubble3D val="0"/>
            <c:extLst>
              <c:ext xmlns:c16="http://schemas.microsoft.com/office/drawing/2014/chart" uri="{C3380CC4-5D6E-409C-BE32-E72D297353CC}">
                <c16:uniqueId val="{00000001-7BA3-4BE4-8328-FDABB8813260}"/>
              </c:ext>
            </c:extLst>
          </c:dPt>
          <c:dPt>
            <c:idx val="11"/>
            <c:invertIfNegative val="0"/>
            <c:bubble3D val="0"/>
            <c:extLst>
              <c:ext xmlns:c16="http://schemas.microsoft.com/office/drawing/2014/chart" uri="{C3380CC4-5D6E-409C-BE32-E72D297353CC}">
                <c16:uniqueId val="{00000002-7BA3-4BE4-8328-FDABB8813260}"/>
              </c:ext>
            </c:extLst>
          </c:dPt>
          <c:cat>
            <c:strRef>
              <c:f>Sheet1!$A$2:$C$11</c:f>
              <c:strCache>
                <c:ptCount val="2"/>
                <c:pt idx="0">
                  <c:v>2015-2019</c:v>
                </c:pt>
                <c:pt idx="1">
                  <c:v>2020-2023</c:v>
                </c:pt>
              </c:strCache>
            </c:strRef>
          </c:cat>
          <c:val>
            <c:numRef>
              <c:f>Sheet1!$D$2:$D$11</c:f>
              <c:numCache>
                <c:formatCode>0.0</c:formatCode>
                <c:ptCount val="2"/>
                <c:pt idx="0">
                  <c:v>1.7868190586847845</c:v>
                </c:pt>
                <c:pt idx="1">
                  <c:v>2.247118811407617</c:v>
                </c:pt>
              </c:numCache>
            </c:numRef>
          </c:val>
          <c:extLst>
            <c:ext xmlns:c16="http://schemas.microsoft.com/office/drawing/2014/chart" uri="{C3380CC4-5D6E-409C-BE32-E72D297353CC}">
              <c16:uniqueId val="{00000003-7BA3-4BE4-8328-FDABB8813260}"/>
            </c:ext>
          </c:extLst>
        </c:ser>
        <c:ser>
          <c:idx val="1"/>
          <c:order val="1"/>
          <c:tx>
            <c:strRef>
              <c:f>Sheet1!$E$1</c:f>
              <c:strCache>
                <c:ptCount val="1"/>
                <c:pt idx="0">
                  <c:v>Darbaspēka izmaksas </c:v>
                </c:pt>
              </c:strCache>
            </c:strRef>
          </c:tx>
          <c:spPr>
            <a:ln w="3173">
              <a:noFill/>
            </a:ln>
          </c:spPr>
          <c:invertIfNegative val="0"/>
          <c:dPt>
            <c:idx val="0"/>
            <c:invertIfNegative val="0"/>
            <c:bubble3D val="0"/>
            <c:extLst>
              <c:ext xmlns:c16="http://schemas.microsoft.com/office/drawing/2014/chart" uri="{C3380CC4-5D6E-409C-BE32-E72D297353CC}">
                <c16:uniqueId val="{00000004-7BA3-4BE4-8328-FDABB8813260}"/>
              </c:ext>
            </c:extLst>
          </c:dPt>
          <c:dPt>
            <c:idx val="3"/>
            <c:invertIfNegative val="0"/>
            <c:bubble3D val="0"/>
            <c:extLst>
              <c:ext xmlns:c16="http://schemas.microsoft.com/office/drawing/2014/chart" uri="{C3380CC4-5D6E-409C-BE32-E72D297353CC}">
                <c16:uniqueId val="{00000005-7BA3-4BE4-8328-FDABB8813260}"/>
              </c:ext>
            </c:extLst>
          </c:dPt>
          <c:cat>
            <c:strRef>
              <c:f>Sheet1!$A$2:$C$11</c:f>
              <c:strCache>
                <c:ptCount val="2"/>
                <c:pt idx="0">
                  <c:v>2015-2019</c:v>
                </c:pt>
                <c:pt idx="1">
                  <c:v>2020-2023</c:v>
                </c:pt>
              </c:strCache>
            </c:strRef>
          </c:cat>
          <c:val>
            <c:numRef>
              <c:f>Sheet1!$E$2:$E$11</c:f>
              <c:numCache>
                <c:formatCode>0</c:formatCode>
                <c:ptCount val="2"/>
                <c:pt idx="0" formatCode="0.0">
                  <c:v>7.8608298895887998</c:v>
                </c:pt>
                <c:pt idx="1">
                  <c:v>9.4698806665097379</c:v>
                </c:pt>
              </c:numCache>
            </c:numRef>
          </c:val>
          <c:extLst>
            <c:ext xmlns:c16="http://schemas.microsoft.com/office/drawing/2014/chart" uri="{C3380CC4-5D6E-409C-BE32-E72D297353CC}">
              <c16:uniqueId val="{00000006-7BA3-4BE4-8328-FDABB8813260}"/>
            </c:ext>
          </c:extLst>
        </c:ser>
        <c:ser>
          <c:idx val="2"/>
          <c:order val="2"/>
          <c:tx>
            <c:strRef>
              <c:f>Sheet1!$F$1</c:f>
              <c:strCache>
                <c:ptCount val="1"/>
                <c:pt idx="0">
                  <c:v>ULC </c:v>
                </c:pt>
              </c:strCache>
            </c:strRef>
          </c:tx>
          <c:spPr>
            <a:ln w="3173">
              <a:noFill/>
            </a:ln>
          </c:spPr>
          <c:invertIfNegative val="0"/>
          <c:dPt>
            <c:idx val="0"/>
            <c:invertIfNegative val="0"/>
            <c:bubble3D val="0"/>
            <c:extLst>
              <c:ext xmlns:c16="http://schemas.microsoft.com/office/drawing/2014/chart" uri="{C3380CC4-5D6E-409C-BE32-E72D297353CC}">
                <c16:uniqueId val="{00000007-7BA3-4BE4-8328-FDABB8813260}"/>
              </c:ext>
            </c:extLst>
          </c:dPt>
          <c:dPt>
            <c:idx val="3"/>
            <c:invertIfNegative val="0"/>
            <c:bubble3D val="0"/>
            <c:extLst>
              <c:ext xmlns:c16="http://schemas.microsoft.com/office/drawing/2014/chart" uri="{C3380CC4-5D6E-409C-BE32-E72D297353CC}">
                <c16:uniqueId val="{00000008-7BA3-4BE4-8328-FDABB8813260}"/>
              </c:ext>
            </c:extLst>
          </c:dPt>
          <c:cat>
            <c:strRef>
              <c:f>Sheet1!$A$2:$C$11</c:f>
              <c:strCache>
                <c:ptCount val="2"/>
                <c:pt idx="0">
                  <c:v>2015-2019</c:v>
                </c:pt>
                <c:pt idx="1">
                  <c:v>2020-2023</c:v>
                </c:pt>
              </c:strCache>
            </c:strRef>
          </c:cat>
          <c:val>
            <c:numRef>
              <c:f>Sheet1!$F$2:$F$11</c:f>
              <c:numCache>
                <c:formatCode>0.0</c:formatCode>
                <c:ptCount val="2"/>
                <c:pt idx="0">
                  <c:v>5.9673844679261236</c:v>
                </c:pt>
                <c:pt idx="1">
                  <c:v>7.064024824429822</c:v>
                </c:pt>
              </c:numCache>
            </c:numRef>
          </c:val>
          <c:extLst>
            <c:ext xmlns:c16="http://schemas.microsoft.com/office/drawing/2014/chart" uri="{C3380CC4-5D6E-409C-BE32-E72D297353CC}">
              <c16:uniqueId val="{00000009-7BA3-4BE4-8328-FDABB8813260}"/>
            </c:ext>
          </c:extLst>
        </c:ser>
        <c:dLbls>
          <c:showLegendKey val="0"/>
          <c:showVal val="0"/>
          <c:showCatName val="0"/>
          <c:showSerName val="0"/>
          <c:showPercent val="0"/>
          <c:showBubbleSize val="0"/>
        </c:dLbls>
        <c:gapWidth val="40"/>
        <c:overlap val="40"/>
        <c:axId val="249730424"/>
        <c:axId val="1"/>
      </c:barChart>
      <c:catAx>
        <c:axId val="249730424"/>
        <c:scaling>
          <c:orientation val="minMax"/>
        </c:scaling>
        <c:delete val="0"/>
        <c:axPos val="b"/>
        <c:numFmt formatCode="General" sourceLinked="1"/>
        <c:majorTickMark val="out"/>
        <c:minorTickMark val="none"/>
        <c:tickLblPos val="low"/>
        <c:spPr>
          <a:ln w="3173"/>
        </c:spPr>
        <c:txPr>
          <a:bodyPr rot="0" vert="horz"/>
          <a:lstStyle/>
          <a:p>
            <a:pPr>
              <a:defRPr/>
            </a:pPr>
            <a:endParaRPr lang="lv-LV"/>
          </a:p>
        </c:txPr>
        <c:crossAx val="1"/>
        <c:crosses val="autoZero"/>
        <c:auto val="0"/>
        <c:lblAlgn val="ctr"/>
        <c:lblOffset val="0"/>
        <c:tickLblSkip val="1"/>
        <c:noMultiLvlLbl val="1"/>
      </c:catAx>
      <c:valAx>
        <c:axId val="1"/>
        <c:scaling>
          <c:orientation val="minMax"/>
          <c:max val="10"/>
          <c:min val="0"/>
        </c:scaling>
        <c:delete val="1"/>
        <c:axPos val="l"/>
        <c:numFmt formatCode="0" sourceLinked="0"/>
        <c:majorTickMark val="out"/>
        <c:minorTickMark val="none"/>
        <c:tickLblPos val="nextTo"/>
        <c:crossAx val="249730424"/>
        <c:crosses val="autoZero"/>
        <c:crossBetween val="between"/>
        <c:majorUnit val="2"/>
      </c:valAx>
      <c:spPr>
        <a:noFill/>
        <a:ln w="25382">
          <a:noFill/>
        </a:ln>
      </c:spPr>
    </c:plotArea>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lv-LV"/>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1232844118184172E-2"/>
          <c:y val="0.24391668036496902"/>
          <c:w val="0.81133580463412303"/>
          <c:h val="0.66122053032109596"/>
        </c:manualLayout>
      </c:layout>
      <c:barChart>
        <c:barDir val="col"/>
        <c:grouping val="clustered"/>
        <c:varyColors val="0"/>
        <c:ser>
          <c:idx val="0"/>
          <c:order val="1"/>
          <c:tx>
            <c:strRef>
              <c:f>Sheet1!$A$2</c:f>
              <c:strCache>
                <c:ptCount val="1"/>
                <c:pt idx="0">
                  <c:v>Nominālais ULC (izmaiņas procentos, kreisā ass)</c:v>
                </c:pt>
              </c:strCache>
            </c:strRef>
          </c:tx>
          <c:spPr>
            <a:solidFill>
              <a:srgbClr val="4F81BD"/>
            </a:solidFill>
            <a:ln w="25377">
              <a:noFill/>
            </a:ln>
          </c:spPr>
          <c:invertIfNegative val="0"/>
          <c:dLbls>
            <c:spPr>
              <a:noFill/>
              <a:ln w="2537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Sheet1!$B$1:$O$1</c:f>
              <c:numCache>
                <c:formatCode>General</c:formatCode>
                <c:ptCount val="14"/>
                <c:pt idx="1">
                  <c:v>2011</c:v>
                </c:pt>
                <c:pt idx="3">
                  <c:v>2013</c:v>
                </c:pt>
                <c:pt idx="5">
                  <c:v>2015</c:v>
                </c:pt>
                <c:pt idx="7">
                  <c:v>2017</c:v>
                </c:pt>
                <c:pt idx="9">
                  <c:v>2019</c:v>
                </c:pt>
                <c:pt idx="11">
                  <c:v>2021</c:v>
                </c:pt>
                <c:pt idx="13">
                  <c:v>2023</c:v>
                </c:pt>
              </c:numCache>
            </c:numRef>
          </c:cat>
          <c:val>
            <c:numRef>
              <c:f>Sheet1!$B$2:$O$2</c:f>
              <c:numCache>
                <c:formatCode>0.0</c:formatCode>
                <c:ptCount val="14"/>
                <c:pt idx="0">
                  <c:v>-15.531238408107555</c:v>
                </c:pt>
                <c:pt idx="1">
                  <c:v>2.6655767729725426</c:v>
                </c:pt>
                <c:pt idx="2">
                  <c:v>7.9861809650866462</c:v>
                </c:pt>
                <c:pt idx="3">
                  <c:v>6.4062453964657067</c:v>
                </c:pt>
                <c:pt idx="4">
                  <c:v>5.590900331885635</c:v>
                </c:pt>
                <c:pt idx="5">
                  <c:v>2.7965563634199953</c:v>
                </c:pt>
                <c:pt idx="6">
                  <c:v>5.2898972789396055</c:v>
                </c:pt>
                <c:pt idx="7">
                  <c:v>1.8225475240606386</c:v>
                </c:pt>
                <c:pt idx="8">
                  <c:v>3.2532074767063932</c:v>
                </c:pt>
                <c:pt idx="9">
                  <c:v>8.1749846099774572</c:v>
                </c:pt>
                <c:pt idx="10">
                  <c:v>-0.94406646718381637</c:v>
                </c:pt>
                <c:pt idx="11">
                  <c:v>0.21257193631261373</c:v>
                </c:pt>
                <c:pt idx="12">
                  <c:v>13.478615836658307</c:v>
                </c:pt>
                <c:pt idx="13">
                  <c:v>15.991226746830606</c:v>
                </c:pt>
              </c:numCache>
            </c:numRef>
          </c:val>
          <c:extLst>
            <c:ext xmlns:c16="http://schemas.microsoft.com/office/drawing/2014/chart" uri="{C3380CC4-5D6E-409C-BE32-E72D297353CC}">
              <c16:uniqueId val="{00000000-7162-48DF-951D-453C431FB4CA}"/>
            </c:ext>
          </c:extLst>
        </c:ser>
        <c:dLbls>
          <c:showLegendKey val="0"/>
          <c:showVal val="0"/>
          <c:showCatName val="0"/>
          <c:showSerName val="0"/>
          <c:showPercent val="0"/>
          <c:showBubbleSize val="0"/>
        </c:dLbls>
        <c:gapWidth val="50"/>
        <c:axId val="250069832"/>
        <c:axId val="1"/>
      </c:barChart>
      <c:lineChart>
        <c:grouping val="standard"/>
        <c:varyColors val="0"/>
        <c:ser>
          <c:idx val="2"/>
          <c:order val="0"/>
          <c:spPr>
            <a:ln w="28549" cap="rnd" cmpd="sng" algn="ctr">
              <a:solidFill>
                <a:schemeClr val="accent3">
                  <a:shade val="95000"/>
                  <a:satMod val="105000"/>
                </a:schemeClr>
              </a:solidFill>
              <a:prstDash val="solid"/>
              <a:round/>
            </a:ln>
            <a:effectLst/>
          </c:spPr>
          <c:marker>
            <c:symbol val="none"/>
          </c:marker>
          <c:cat>
            <c:numRef>
              <c:f>Sheet1!$B$1:$O$1</c:f>
              <c:numCache>
                <c:formatCode>General</c:formatCode>
                <c:ptCount val="14"/>
                <c:pt idx="1">
                  <c:v>2011</c:v>
                </c:pt>
                <c:pt idx="3">
                  <c:v>2013</c:v>
                </c:pt>
                <c:pt idx="5">
                  <c:v>2015</c:v>
                </c:pt>
                <c:pt idx="7">
                  <c:v>2017</c:v>
                </c:pt>
                <c:pt idx="9">
                  <c:v>2019</c:v>
                </c:pt>
                <c:pt idx="11">
                  <c:v>2021</c:v>
                </c:pt>
                <c:pt idx="13">
                  <c:v>2023</c:v>
                </c:pt>
              </c:numCache>
            </c:numRef>
          </c:cat>
          <c:val>
            <c:numLit>
              <c:formatCode>General</c:formatCode>
              <c:ptCount val="1"/>
              <c:pt idx="0">
                <c:v>0</c:v>
              </c:pt>
            </c:numLit>
          </c:val>
          <c:smooth val="1"/>
          <c:extLst>
            <c:ext xmlns:c16="http://schemas.microsoft.com/office/drawing/2014/chart" uri="{C3380CC4-5D6E-409C-BE32-E72D297353CC}">
              <c16:uniqueId val="{00000001-7162-48DF-951D-453C431FB4CA}"/>
            </c:ext>
          </c:extLst>
        </c:ser>
        <c:dLbls>
          <c:showLegendKey val="0"/>
          <c:showVal val="0"/>
          <c:showCatName val="0"/>
          <c:showSerName val="0"/>
          <c:showPercent val="0"/>
          <c:showBubbleSize val="0"/>
        </c:dLbls>
        <c:marker val="1"/>
        <c:smooth val="0"/>
        <c:axId val="250069832"/>
        <c:axId val="1"/>
      </c:lineChart>
      <c:lineChart>
        <c:grouping val="standard"/>
        <c:varyColors val="0"/>
        <c:ser>
          <c:idx val="1"/>
          <c:order val="2"/>
          <c:tx>
            <c:strRef>
              <c:f>Sheet1!$A$3</c:f>
              <c:strCache>
                <c:ptCount val="1"/>
                <c:pt idx="0">
                  <c:v>Produktivitāte (2010. gads = 100, labā ass)</c:v>
                </c:pt>
              </c:strCache>
            </c:strRef>
          </c:tx>
          <c:spPr>
            <a:ln w="25377" cap="rnd" cmpd="sng" algn="ctr">
              <a:solidFill>
                <a:srgbClr val="C0504D">
                  <a:shade val="95000"/>
                  <a:satMod val="105000"/>
                </a:srgbClr>
              </a:solidFill>
              <a:prstDash val="solid"/>
              <a:round/>
            </a:ln>
            <a:effectLst/>
          </c:spPr>
          <c:marker>
            <c:symbol val="none"/>
          </c:marker>
          <c:cat>
            <c:numRef>
              <c:f>Sheet1!$B$1:$O$1</c:f>
              <c:numCache>
                <c:formatCode>General</c:formatCode>
                <c:ptCount val="14"/>
                <c:pt idx="1">
                  <c:v>2011</c:v>
                </c:pt>
                <c:pt idx="3">
                  <c:v>2013</c:v>
                </c:pt>
                <c:pt idx="5">
                  <c:v>2015</c:v>
                </c:pt>
                <c:pt idx="7">
                  <c:v>2017</c:v>
                </c:pt>
                <c:pt idx="9">
                  <c:v>2019</c:v>
                </c:pt>
                <c:pt idx="11">
                  <c:v>2021</c:v>
                </c:pt>
                <c:pt idx="13">
                  <c:v>2023</c:v>
                </c:pt>
              </c:numCache>
            </c:numRef>
          </c:cat>
          <c:val>
            <c:numRef>
              <c:f>Sheet1!$B$3:$O$3</c:f>
              <c:numCache>
                <c:formatCode>General</c:formatCode>
                <c:ptCount val="14"/>
                <c:pt idx="0">
                  <c:v>100</c:v>
                </c:pt>
                <c:pt idx="1">
                  <c:v>98.887969777722802</c:v>
                </c:pt>
                <c:pt idx="2">
                  <c:v>99.109311860786292</c:v>
                </c:pt>
                <c:pt idx="3">
                  <c:v>98.257537464629934</c:v>
                </c:pt>
                <c:pt idx="4">
                  <c:v>101.77066054837542</c:v>
                </c:pt>
                <c:pt idx="5">
                  <c:v>107.6871393652626</c:v>
                </c:pt>
                <c:pt idx="6">
                  <c:v>109.12553809368224</c:v>
                </c:pt>
                <c:pt idx="7">
                  <c:v>116.52025658752126</c:v>
                </c:pt>
                <c:pt idx="8">
                  <c:v>123.98945894404501</c:v>
                </c:pt>
                <c:pt idx="9">
                  <c:v>124.43650170400491</c:v>
                </c:pt>
                <c:pt idx="10">
                  <c:v>128.92807680615093</c:v>
                </c:pt>
                <c:pt idx="11">
                  <c:v>135.93620248008565</c:v>
                </c:pt>
                <c:pt idx="12">
                  <c:v>136.98960810251091</c:v>
                </c:pt>
                <c:pt idx="13">
                  <c:v>132.43616086021751</c:v>
                </c:pt>
              </c:numCache>
            </c:numRef>
          </c:val>
          <c:smooth val="0"/>
          <c:extLst>
            <c:ext xmlns:c16="http://schemas.microsoft.com/office/drawing/2014/chart" uri="{C3380CC4-5D6E-409C-BE32-E72D297353CC}">
              <c16:uniqueId val="{00000002-7162-48DF-951D-453C431FB4CA}"/>
            </c:ext>
          </c:extLst>
        </c:ser>
        <c:ser>
          <c:idx val="3"/>
          <c:order val="3"/>
          <c:tx>
            <c:strRef>
              <c:f>Sheet1!$A$4</c:f>
              <c:strCache>
                <c:ptCount val="1"/>
                <c:pt idx="0">
                  <c:v>Darbaspēka izmaksas (2010. gads = 100, labā ass)</c:v>
                </c:pt>
              </c:strCache>
            </c:strRef>
          </c:tx>
          <c:spPr>
            <a:ln w="25377"/>
            <a:effectLst/>
          </c:spPr>
          <c:marker>
            <c:symbol val="none"/>
          </c:marker>
          <c:cat>
            <c:numRef>
              <c:f>Sheet1!$B$1:$O$1</c:f>
              <c:numCache>
                <c:formatCode>General</c:formatCode>
                <c:ptCount val="14"/>
                <c:pt idx="1">
                  <c:v>2011</c:v>
                </c:pt>
                <c:pt idx="3">
                  <c:v>2013</c:v>
                </c:pt>
                <c:pt idx="5">
                  <c:v>2015</c:v>
                </c:pt>
                <c:pt idx="7">
                  <c:v>2017</c:v>
                </c:pt>
                <c:pt idx="9">
                  <c:v>2019</c:v>
                </c:pt>
                <c:pt idx="11">
                  <c:v>2021</c:v>
                </c:pt>
                <c:pt idx="13">
                  <c:v>2023</c:v>
                </c:pt>
              </c:numCache>
            </c:numRef>
          </c:cat>
          <c:val>
            <c:numRef>
              <c:f>Sheet1!$B$4:$O$4</c:f>
              <c:numCache>
                <c:formatCode>General</c:formatCode>
                <c:ptCount val="14"/>
                <c:pt idx="0">
                  <c:v>100</c:v>
                </c:pt>
                <c:pt idx="1">
                  <c:v>101.52390453138189</c:v>
                </c:pt>
                <c:pt idx="2">
                  <c:v>109.877177363727</c:v>
                </c:pt>
                <c:pt idx="3">
                  <c:v>115.91136716316099</c:v>
                </c:pt>
                <c:pt idx="4">
                  <c:v>126.76788336072933</c:v>
                </c:pt>
                <c:pt idx="5">
                  <c:v>137.88881910532285</c:v>
                </c:pt>
                <c:pt idx="6">
                  <c:v>147.12223440427752</c:v>
                </c:pt>
                <c:pt idx="7">
                  <c:v>159.95481017107267</c:v>
                </c:pt>
                <c:pt idx="8">
                  <c:v>175.74548996785259</c:v>
                </c:pt>
                <c:pt idx="9">
                  <c:v>190.79810601678622</c:v>
                </c:pt>
                <c:pt idx="10">
                  <c:v>195.81874630548452</c:v>
                </c:pt>
                <c:pt idx="11">
                  <c:v>206.90172092226535</c:v>
                </c:pt>
                <c:pt idx="12">
                  <c:v>236.60865278665744</c:v>
                </c:pt>
                <c:pt idx="13">
                  <c:v>265.32289284306614</c:v>
                </c:pt>
              </c:numCache>
            </c:numRef>
          </c:val>
          <c:smooth val="0"/>
          <c:extLst>
            <c:ext xmlns:c16="http://schemas.microsoft.com/office/drawing/2014/chart" uri="{C3380CC4-5D6E-409C-BE32-E72D297353CC}">
              <c16:uniqueId val="{00000003-7162-48DF-951D-453C431FB4CA}"/>
            </c:ext>
          </c:extLst>
        </c:ser>
        <c:dLbls>
          <c:showLegendKey val="0"/>
          <c:showVal val="0"/>
          <c:showCatName val="0"/>
          <c:showSerName val="0"/>
          <c:showPercent val="0"/>
          <c:showBubbleSize val="0"/>
        </c:dLbls>
        <c:marker val="1"/>
        <c:smooth val="0"/>
        <c:axId val="3"/>
        <c:axId val="4"/>
      </c:lineChart>
      <c:catAx>
        <c:axId val="250069832"/>
        <c:scaling>
          <c:orientation val="minMax"/>
        </c:scaling>
        <c:delete val="0"/>
        <c:axPos val="b"/>
        <c:numFmt formatCode="General" sourceLinked="1"/>
        <c:majorTickMark val="out"/>
        <c:minorTickMark val="none"/>
        <c:tickLblPos val="low"/>
        <c:spPr>
          <a:noFill/>
          <a:ln w="3172"/>
          <a:effectLst/>
        </c:spPr>
        <c:txPr>
          <a:bodyPr rot="0" vert="horz"/>
          <a:lstStyle/>
          <a:p>
            <a:pPr>
              <a:defRPr/>
            </a:pPr>
            <a:endParaRPr lang="lv-LV"/>
          </a:p>
        </c:txPr>
        <c:crossAx val="1"/>
        <c:crosses val="autoZero"/>
        <c:auto val="1"/>
        <c:lblAlgn val="ctr"/>
        <c:lblOffset val="0"/>
        <c:tickLblSkip val="1"/>
        <c:tickMarkSkip val="1"/>
        <c:noMultiLvlLbl val="1"/>
      </c:catAx>
      <c:valAx>
        <c:axId val="1"/>
        <c:scaling>
          <c:orientation val="minMax"/>
          <c:max val="20"/>
          <c:min val="-20"/>
        </c:scaling>
        <c:delete val="0"/>
        <c:axPos val="l"/>
        <c:numFmt formatCode="0" sourceLinked="0"/>
        <c:majorTickMark val="out"/>
        <c:minorTickMark val="none"/>
        <c:tickLblPos val="nextTo"/>
        <c:spPr>
          <a:noFill/>
          <a:ln w="3172" cap="flat" cmpd="sng" algn="ctr">
            <a:noFill/>
            <a:prstDash val="solid"/>
            <a:round/>
          </a:ln>
          <a:effectLst/>
        </c:spPr>
        <c:txPr>
          <a:bodyPr rot="0"/>
          <a:lstStyle/>
          <a:p>
            <a:pPr>
              <a:defRPr/>
            </a:pPr>
            <a:endParaRPr lang="lv-LV"/>
          </a:p>
        </c:txPr>
        <c:crossAx val="250069832"/>
        <c:crosses val="autoZero"/>
        <c:crossBetween val="between"/>
        <c:majorUnit val="1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80"/>
          <c:min val="80"/>
        </c:scaling>
        <c:delete val="0"/>
        <c:axPos val="r"/>
        <c:numFmt formatCode="0" sourceLinked="0"/>
        <c:majorTickMark val="out"/>
        <c:minorTickMark val="none"/>
        <c:tickLblPos val="nextTo"/>
        <c:spPr>
          <a:noFill/>
          <a:ln w="3172" cap="flat" cmpd="sng" algn="ctr">
            <a:noFill/>
            <a:prstDash val="solid"/>
            <a:round/>
          </a:ln>
          <a:effectLst/>
        </c:spPr>
        <c:txPr>
          <a:bodyPr rot="-60000000" vert="horz"/>
          <a:lstStyle/>
          <a:p>
            <a:pPr>
              <a:defRPr/>
            </a:pPr>
            <a:endParaRPr lang="lv-LV"/>
          </a:p>
        </c:txPr>
        <c:crossAx val="3"/>
        <c:crosses val="max"/>
        <c:crossBetween val="between"/>
        <c:majorUnit val="40"/>
      </c:valAx>
      <c:spPr>
        <a:noFill/>
        <a:ln w="25377">
          <a:noFill/>
        </a:ln>
      </c:spPr>
    </c:plotArea>
    <c:legend>
      <c:legendPos val="l"/>
      <c:legendEntry>
        <c:idx val="1"/>
        <c:delete val="1"/>
      </c:legendEntry>
      <c:layout>
        <c:manualLayout>
          <c:xMode val="edge"/>
          <c:yMode val="edge"/>
          <c:x val="2.097303580997012E-2"/>
          <c:y val="1.4838467772173639E-3"/>
          <c:w val="0.93646271831846095"/>
          <c:h val="0.22877986326393118"/>
        </c:manualLayout>
      </c:layout>
      <c:overlay val="0"/>
      <c:spPr>
        <a:noFill/>
        <a:ln w="25377">
          <a:noFill/>
        </a:ln>
      </c:spPr>
      <c:txPr>
        <a:bodyPr rot="0" vert="horz"/>
        <a:lstStyle/>
        <a:p>
          <a:pPr>
            <a:defRPr/>
          </a:pPr>
          <a:endParaRPr lang="lv-LV"/>
        </a:p>
      </c:txPr>
    </c:legend>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lv-LV"/>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923429804095845E-2"/>
          <c:y val="2.9421666666666665E-2"/>
          <c:w val="0.88861368159795739"/>
          <c:h val="0.80938862354055197"/>
        </c:manualLayout>
      </c:layout>
      <c:barChart>
        <c:barDir val="col"/>
        <c:grouping val="clustered"/>
        <c:varyColors val="0"/>
        <c:ser>
          <c:idx val="1"/>
          <c:order val="0"/>
          <c:tx>
            <c:strRef>
              <c:f>Sheet1!$A$2</c:f>
              <c:strCache>
                <c:ptCount val="1"/>
                <c:pt idx="0">
                  <c:v>Tautsaimniecība kopā</c:v>
                </c:pt>
              </c:strCache>
            </c:strRef>
          </c:tx>
          <c:spPr>
            <a:solidFill>
              <a:srgbClr val="9BBB59"/>
            </a:solidFill>
            <a:ln w="25382">
              <a:noFill/>
            </a:ln>
          </c:spPr>
          <c:invertIfNegative val="0"/>
          <c:dPt>
            <c:idx val="0"/>
            <c:invertIfNegative val="0"/>
            <c:bubble3D val="0"/>
            <c:extLst>
              <c:ext xmlns:c16="http://schemas.microsoft.com/office/drawing/2014/chart" uri="{C3380CC4-5D6E-409C-BE32-E72D297353CC}">
                <c16:uniqueId val="{00000000-D047-46AE-A926-C6439601D8B2}"/>
              </c:ext>
            </c:extLst>
          </c:dPt>
          <c:dPt>
            <c:idx val="23"/>
            <c:invertIfNegative val="0"/>
            <c:bubble3D val="0"/>
            <c:extLst>
              <c:ext xmlns:c16="http://schemas.microsoft.com/office/drawing/2014/chart" uri="{C3380CC4-5D6E-409C-BE32-E72D297353CC}">
                <c16:uniqueId val="{00000001-D047-46AE-A926-C6439601D8B2}"/>
              </c:ext>
            </c:extLst>
          </c:dPt>
          <c:dPt>
            <c:idx val="25"/>
            <c:invertIfNegative val="0"/>
            <c:bubble3D val="0"/>
            <c:extLst>
              <c:ext xmlns:c16="http://schemas.microsoft.com/office/drawing/2014/chart" uri="{C3380CC4-5D6E-409C-BE32-E72D297353CC}">
                <c16:uniqueId val="{00000002-D047-46AE-A926-C6439601D8B2}"/>
              </c:ext>
            </c:extLst>
          </c:dPt>
          <c:dLbls>
            <c:numFmt formatCode="#,##0" sourceLinked="0"/>
            <c:spPr>
              <a:noFill/>
              <a:ln w="25382">
                <a:noFill/>
              </a:ln>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Sheet1!$B$1:$N$1</c:f>
              <c:numCache>
                <c:formatCode>General</c:formatCode>
                <c:ptCount val="13"/>
                <c:pt idx="0">
                  <c:v>2004</c:v>
                </c:pt>
                <c:pt idx="1">
                  <c:v>2007</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Sheet1!$B$2:$N$2</c:f>
              <c:numCache>
                <c:formatCode>0.0</c:formatCode>
                <c:ptCount val="13"/>
                <c:pt idx="0">
                  <c:v>23.928241806385792</c:v>
                </c:pt>
                <c:pt idx="1">
                  <c:v>39.419448202026494</c:v>
                </c:pt>
                <c:pt idx="2">
                  <c:v>43.284477999960956</c:v>
                </c:pt>
                <c:pt idx="3">
                  <c:v>44.944443157407946</c:v>
                </c:pt>
                <c:pt idx="4">
                  <c:v>44.873796484189356</c:v>
                </c:pt>
                <c:pt idx="5">
                  <c:v>45.829762864280141</c:v>
                </c:pt>
                <c:pt idx="6">
                  <c:v>47.550926076266968</c:v>
                </c:pt>
                <c:pt idx="7">
                  <c:v>49.636934604472373</c:v>
                </c:pt>
                <c:pt idx="8">
                  <c:v>50.856989135454647</c:v>
                </c:pt>
                <c:pt idx="9">
                  <c:v>52.652758492639464</c:v>
                </c:pt>
                <c:pt idx="10">
                  <c:v>55.876490059952374</c:v>
                </c:pt>
                <c:pt idx="11">
                  <c:v>58.709206582878394</c:v>
                </c:pt>
                <c:pt idx="12">
                  <c:v>58.575336327382722</c:v>
                </c:pt>
              </c:numCache>
            </c:numRef>
          </c:val>
          <c:extLst>
            <c:ext xmlns:c16="http://schemas.microsoft.com/office/drawing/2014/chart" uri="{C3380CC4-5D6E-409C-BE32-E72D297353CC}">
              <c16:uniqueId val="{00000003-D047-46AE-A926-C6439601D8B2}"/>
            </c:ext>
          </c:extLst>
        </c:ser>
        <c:ser>
          <c:idx val="0"/>
          <c:order val="1"/>
          <c:tx>
            <c:strRef>
              <c:f>Sheet1!$A$3</c:f>
              <c:strCache>
                <c:ptCount val="1"/>
                <c:pt idx="0">
                  <c:v>Apstrādes rūpniecība</c:v>
                </c:pt>
              </c:strCache>
            </c:strRef>
          </c:tx>
          <c:spPr>
            <a:solidFill>
              <a:srgbClr val="4F81BD"/>
            </a:solidFill>
            <a:ln w="25382">
              <a:noFill/>
            </a:ln>
          </c:spPr>
          <c:invertIfNegative val="0"/>
          <c:dLbls>
            <c:numFmt formatCode="#,##0" sourceLinked="0"/>
            <c:spPr>
              <a:noFill/>
              <a:ln w="25382">
                <a:noFill/>
              </a:ln>
            </c:spPr>
            <c:txPr>
              <a:bodyPr rot="0" vert="horz"/>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Sheet1!$B$1:$N$1</c:f>
              <c:numCache>
                <c:formatCode>General</c:formatCode>
                <c:ptCount val="13"/>
                <c:pt idx="0">
                  <c:v>2004</c:v>
                </c:pt>
                <c:pt idx="1">
                  <c:v>2007</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Sheet1!$B$3:$N$3</c:f>
              <c:numCache>
                <c:formatCode>0.0</c:formatCode>
                <c:ptCount val="13"/>
                <c:pt idx="0">
                  <c:v>18.583731603638533</c:v>
                </c:pt>
                <c:pt idx="1">
                  <c:v>27.863554477729345</c:v>
                </c:pt>
                <c:pt idx="2">
                  <c:v>34.520457734501939</c:v>
                </c:pt>
                <c:pt idx="3">
                  <c:v>34.452894095413853</c:v>
                </c:pt>
                <c:pt idx="4">
                  <c:v>33.644405181822918</c:v>
                </c:pt>
                <c:pt idx="5">
                  <c:v>33.061839144309211</c:v>
                </c:pt>
                <c:pt idx="6">
                  <c:v>35.525459990238716</c:v>
                </c:pt>
                <c:pt idx="7">
                  <c:v>37.878808497932965</c:v>
                </c:pt>
                <c:pt idx="8">
                  <c:v>39.165877597955394</c:v>
                </c:pt>
                <c:pt idx="9">
                  <c:v>42.797818215510375</c:v>
                </c:pt>
                <c:pt idx="10">
                  <c:v>45.885970243164209</c:v>
                </c:pt>
                <c:pt idx="11">
                  <c:v>50.552270770232397</c:v>
                </c:pt>
                <c:pt idx="12">
                  <c:v>46.217051463719663</c:v>
                </c:pt>
              </c:numCache>
            </c:numRef>
          </c:val>
          <c:extLst>
            <c:ext xmlns:c16="http://schemas.microsoft.com/office/drawing/2014/chart" uri="{C3380CC4-5D6E-409C-BE32-E72D297353CC}">
              <c16:uniqueId val="{00000004-D047-46AE-A926-C6439601D8B2}"/>
            </c:ext>
          </c:extLst>
        </c:ser>
        <c:dLbls>
          <c:showLegendKey val="0"/>
          <c:showVal val="0"/>
          <c:showCatName val="0"/>
          <c:showSerName val="0"/>
          <c:showPercent val="0"/>
          <c:showBubbleSize val="0"/>
        </c:dLbls>
        <c:gapWidth val="30"/>
        <c:overlap val="50"/>
        <c:axId val="248097856"/>
        <c:axId val="1"/>
      </c:barChart>
      <c:catAx>
        <c:axId val="248097856"/>
        <c:scaling>
          <c:orientation val="minMax"/>
        </c:scaling>
        <c:delete val="0"/>
        <c:axPos val="b"/>
        <c:numFmt formatCode="General" sourceLinked="1"/>
        <c:majorTickMark val="out"/>
        <c:minorTickMark val="none"/>
        <c:tickLblPos val="low"/>
        <c:spPr>
          <a:noFill/>
          <a:ln w="3173"/>
          <a:effectLst/>
        </c:spPr>
        <c:txPr>
          <a:bodyPr rot="-5400000" vert="horz"/>
          <a:lstStyle/>
          <a:p>
            <a:pPr>
              <a:defRPr/>
            </a:pPr>
            <a:endParaRPr lang="lv-LV"/>
          </a:p>
        </c:txPr>
        <c:crossAx val="1"/>
        <c:crosses val="autoZero"/>
        <c:auto val="0"/>
        <c:lblAlgn val="ctr"/>
        <c:lblOffset val="100"/>
        <c:tickLblSkip val="1"/>
        <c:tickMarkSkip val="1"/>
        <c:noMultiLvlLbl val="1"/>
      </c:catAx>
      <c:valAx>
        <c:axId val="1"/>
        <c:scaling>
          <c:orientation val="minMax"/>
          <c:max val="70"/>
          <c:min val="0"/>
        </c:scaling>
        <c:delete val="0"/>
        <c:axPos val="l"/>
        <c:numFmt formatCode="#,##0" sourceLinked="0"/>
        <c:majorTickMark val="out"/>
        <c:minorTickMark val="none"/>
        <c:tickLblPos val="nextTo"/>
        <c:spPr>
          <a:noFill/>
          <a:ln w="3173">
            <a:noFill/>
          </a:ln>
          <a:effectLst/>
        </c:spPr>
        <c:txPr>
          <a:bodyPr rot="0"/>
          <a:lstStyle/>
          <a:p>
            <a:pPr>
              <a:defRPr/>
            </a:pPr>
            <a:endParaRPr lang="lv-LV"/>
          </a:p>
        </c:txPr>
        <c:crossAx val="248097856"/>
        <c:crosses val="autoZero"/>
        <c:crossBetween val="between"/>
        <c:majorUnit val="15"/>
      </c:valAx>
      <c:spPr>
        <a:noFill/>
        <a:ln w="25382">
          <a:noFill/>
        </a:ln>
      </c:spPr>
    </c:plotArea>
    <c:legend>
      <c:legendPos val="r"/>
      <c:layout>
        <c:manualLayout>
          <c:xMode val="edge"/>
          <c:yMode val="edge"/>
          <c:x val="6.8088161165284808E-2"/>
          <c:y val="1.9612783696155628E-2"/>
          <c:w val="0.47221011280874658"/>
          <c:h val="0.1543483042273347"/>
        </c:manualLayout>
      </c:layout>
      <c:overlay val="0"/>
      <c:spPr>
        <a:noFill/>
        <a:ln w="25382">
          <a:noFill/>
        </a:ln>
      </c:spPr>
      <c:txPr>
        <a:bodyPr rot="0" vert="horz"/>
        <a:lstStyle/>
        <a:p>
          <a:pPr>
            <a:defRPr/>
          </a:pPr>
          <a:endParaRPr lang="lv-LV"/>
        </a:p>
      </c:txPr>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Garamond"/>
          <a:cs typeface="Segoe UI Light" panose="020B0502040204020203" pitchFamily="34" charset="0"/>
        </a:defRPr>
      </a:pPr>
      <a:endParaRPr lang="lv-LV"/>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091840366701688E-2"/>
          <c:y val="3.5195299205652807E-2"/>
          <c:w val="0.90027589439963907"/>
          <c:h val="0.80048109981547821"/>
        </c:manualLayout>
      </c:layout>
      <c:barChart>
        <c:barDir val="col"/>
        <c:grouping val="clustered"/>
        <c:varyColors val="0"/>
        <c:ser>
          <c:idx val="1"/>
          <c:order val="0"/>
          <c:tx>
            <c:strRef>
              <c:f>Sheet1!$A$2</c:f>
              <c:strCache>
                <c:ptCount val="1"/>
                <c:pt idx="0">
                  <c:v>Tautsaimniecība kopā</c:v>
                </c:pt>
              </c:strCache>
            </c:strRef>
          </c:tx>
          <c:spPr>
            <a:solidFill>
              <a:srgbClr val="9BBB59"/>
            </a:solidFill>
            <a:ln w="25382">
              <a:noFill/>
            </a:ln>
          </c:spPr>
          <c:invertIfNegative val="0"/>
          <c:dPt>
            <c:idx val="0"/>
            <c:invertIfNegative val="0"/>
            <c:bubble3D val="0"/>
            <c:extLst>
              <c:ext xmlns:c16="http://schemas.microsoft.com/office/drawing/2014/chart" uri="{C3380CC4-5D6E-409C-BE32-E72D297353CC}">
                <c16:uniqueId val="{00000000-EA05-47FC-8882-6C844853F93E}"/>
              </c:ext>
            </c:extLst>
          </c:dPt>
          <c:dPt>
            <c:idx val="23"/>
            <c:invertIfNegative val="0"/>
            <c:bubble3D val="0"/>
            <c:extLst>
              <c:ext xmlns:c16="http://schemas.microsoft.com/office/drawing/2014/chart" uri="{C3380CC4-5D6E-409C-BE32-E72D297353CC}">
                <c16:uniqueId val="{00000001-EA05-47FC-8882-6C844853F93E}"/>
              </c:ext>
            </c:extLst>
          </c:dPt>
          <c:dPt>
            <c:idx val="25"/>
            <c:invertIfNegative val="0"/>
            <c:bubble3D val="0"/>
            <c:extLst>
              <c:ext xmlns:c16="http://schemas.microsoft.com/office/drawing/2014/chart" uri="{C3380CC4-5D6E-409C-BE32-E72D297353CC}">
                <c16:uniqueId val="{00000002-EA05-47FC-8882-6C844853F93E}"/>
              </c:ext>
            </c:extLst>
          </c:dPt>
          <c:dLbls>
            <c:numFmt formatCode="#,##0" sourceLinked="0"/>
            <c:spPr>
              <a:noFill/>
              <a:ln w="25382">
                <a:noFill/>
              </a:ln>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Sheet1!$B$1:$N$1</c:f>
              <c:numCache>
                <c:formatCode>General</c:formatCode>
                <c:ptCount val="13"/>
                <c:pt idx="0">
                  <c:v>2004</c:v>
                </c:pt>
                <c:pt idx="1">
                  <c:v>2007</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Sheet1!$B$2:$N$2</c:f>
              <c:numCache>
                <c:formatCode>0.0</c:formatCode>
                <c:ptCount val="13"/>
                <c:pt idx="0">
                  <c:v>16.631833554765812</c:v>
                </c:pt>
                <c:pt idx="1">
                  <c:v>35.974947685312401</c:v>
                </c:pt>
                <c:pt idx="2">
                  <c:v>36.143379573369131</c:v>
                </c:pt>
                <c:pt idx="3">
                  <c:v>38.741565873165982</c:v>
                </c:pt>
                <c:pt idx="4">
                  <c:v>41.112333824890356</c:v>
                </c:pt>
                <c:pt idx="5">
                  <c:v>43.50409638828112</c:v>
                </c:pt>
                <c:pt idx="6">
                  <c:v>45.817961337249315</c:v>
                </c:pt>
                <c:pt idx="7">
                  <c:v>48.334524520862516</c:v>
                </c:pt>
                <c:pt idx="8">
                  <c:v>50.821538760161609</c:v>
                </c:pt>
                <c:pt idx="9">
                  <c:v>53.046844800420864</c:v>
                </c:pt>
                <c:pt idx="10">
                  <c:v>55.168645325945306</c:v>
                </c:pt>
                <c:pt idx="11">
                  <c:v>59.065790235217911</c:v>
                </c:pt>
                <c:pt idx="12">
                  <c:v>62.937211107844092</c:v>
                </c:pt>
              </c:numCache>
            </c:numRef>
          </c:val>
          <c:extLst>
            <c:ext xmlns:c16="http://schemas.microsoft.com/office/drawing/2014/chart" uri="{C3380CC4-5D6E-409C-BE32-E72D297353CC}">
              <c16:uniqueId val="{00000003-EA05-47FC-8882-6C844853F93E}"/>
            </c:ext>
          </c:extLst>
        </c:ser>
        <c:ser>
          <c:idx val="0"/>
          <c:order val="1"/>
          <c:tx>
            <c:strRef>
              <c:f>Sheet1!$A$3</c:f>
              <c:strCache>
                <c:ptCount val="1"/>
                <c:pt idx="0">
                  <c:v>Apstrādes rūpniecība</c:v>
                </c:pt>
              </c:strCache>
            </c:strRef>
          </c:tx>
          <c:spPr>
            <a:solidFill>
              <a:srgbClr val="4F81BD"/>
            </a:solidFill>
            <a:ln w="25382">
              <a:noFill/>
            </a:ln>
          </c:spPr>
          <c:invertIfNegative val="0"/>
          <c:dLbls>
            <c:numFmt formatCode="#,##0" sourceLinked="0"/>
            <c:spPr>
              <a:noFill/>
              <a:ln w="25382">
                <a:noFill/>
              </a:ln>
            </c:spPr>
            <c:txPr>
              <a:bodyPr rot="0" vert="horz"/>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Sheet1!$B$1:$N$1</c:f>
              <c:numCache>
                <c:formatCode>General</c:formatCode>
                <c:ptCount val="13"/>
                <c:pt idx="0">
                  <c:v>2004</c:v>
                </c:pt>
                <c:pt idx="1">
                  <c:v>2007</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Sheet1!$B$3:$N$3</c:f>
              <c:numCache>
                <c:formatCode>0.0</c:formatCode>
                <c:ptCount val="13"/>
                <c:pt idx="0">
                  <c:v>14.044901437606539</c:v>
                </c:pt>
                <c:pt idx="1">
                  <c:v>27.035833141568137</c:v>
                </c:pt>
                <c:pt idx="2">
                  <c:v>28.656311958347175</c:v>
                </c:pt>
                <c:pt idx="3">
                  <c:v>30.811374627623472</c:v>
                </c:pt>
                <c:pt idx="4">
                  <c:v>32.849530802928584</c:v>
                </c:pt>
                <c:pt idx="5">
                  <c:v>34.705498009878724</c:v>
                </c:pt>
                <c:pt idx="6">
                  <c:v>37.023056313642861</c:v>
                </c:pt>
                <c:pt idx="7">
                  <c:v>39.786584290700098</c:v>
                </c:pt>
                <c:pt idx="8">
                  <c:v>42.190070640457435</c:v>
                </c:pt>
                <c:pt idx="9">
                  <c:v>44.018340334668039</c:v>
                </c:pt>
                <c:pt idx="10">
                  <c:v>44.158398921531322</c:v>
                </c:pt>
                <c:pt idx="11">
                  <c:v>48.46916667270402</c:v>
                </c:pt>
                <c:pt idx="12">
                  <c:v>50.93026839815267</c:v>
                </c:pt>
              </c:numCache>
            </c:numRef>
          </c:val>
          <c:extLst>
            <c:ext xmlns:c16="http://schemas.microsoft.com/office/drawing/2014/chart" uri="{C3380CC4-5D6E-409C-BE32-E72D297353CC}">
              <c16:uniqueId val="{00000004-EA05-47FC-8882-6C844853F93E}"/>
            </c:ext>
          </c:extLst>
        </c:ser>
        <c:dLbls>
          <c:showLegendKey val="0"/>
          <c:showVal val="0"/>
          <c:showCatName val="0"/>
          <c:showSerName val="0"/>
          <c:showPercent val="0"/>
          <c:showBubbleSize val="0"/>
        </c:dLbls>
        <c:gapWidth val="30"/>
        <c:overlap val="50"/>
        <c:axId val="203775232"/>
        <c:axId val="1"/>
      </c:barChart>
      <c:catAx>
        <c:axId val="203775232"/>
        <c:scaling>
          <c:orientation val="minMax"/>
        </c:scaling>
        <c:delete val="0"/>
        <c:axPos val="b"/>
        <c:numFmt formatCode="General" sourceLinked="1"/>
        <c:majorTickMark val="out"/>
        <c:minorTickMark val="none"/>
        <c:tickLblPos val="low"/>
        <c:spPr>
          <a:noFill/>
          <a:ln w="3173"/>
          <a:effectLst/>
        </c:spPr>
        <c:txPr>
          <a:bodyPr rot="-5400000" vert="horz"/>
          <a:lstStyle/>
          <a:p>
            <a:pPr>
              <a:defRPr/>
            </a:pPr>
            <a:endParaRPr lang="lv-LV"/>
          </a:p>
        </c:txPr>
        <c:crossAx val="1"/>
        <c:crosses val="autoZero"/>
        <c:auto val="0"/>
        <c:lblAlgn val="ctr"/>
        <c:lblOffset val="100"/>
        <c:tickLblSkip val="1"/>
        <c:tickMarkSkip val="1"/>
        <c:noMultiLvlLbl val="1"/>
      </c:catAx>
      <c:valAx>
        <c:axId val="1"/>
        <c:scaling>
          <c:orientation val="minMax"/>
          <c:max val="70"/>
          <c:min val="0"/>
        </c:scaling>
        <c:delete val="0"/>
        <c:axPos val="l"/>
        <c:numFmt formatCode="#,##0" sourceLinked="0"/>
        <c:majorTickMark val="out"/>
        <c:minorTickMark val="none"/>
        <c:tickLblPos val="nextTo"/>
        <c:spPr>
          <a:noFill/>
          <a:ln w="3173">
            <a:noFill/>
          </a:ln>
          <a:effectLst/>
        </c:spPr>
        <c:txPr>
          <a:bodyPr rot="0"/>
          <a:lstStyle/>
          <a:p>
            <a:pPr>
              <a:defRPr/>
            </a:pPr>
            <a:endParaRPr lang="lv-LV"/>
          </a:p>
        </c:txPr>
        <c:crossAx val="203775232"/>
        <c:crosses val="autoZero"/>
        <c:crossBetween val="between"/>
        <c:majorUnit val="15"/>
      </c:valAx>
      <c:spPr>
        <a:noFill/>
        <a:ln w="25382">
          <a:noFill/>
        </a:ln>
      </c:spPr>
    </c:plotArea>
    <c:legend>
      <c:legendPos val="r"/>
      <c:layout>
        <c:manualLayout>
          <c:xMode val="edge"/>
          <c:yMode val="edge"/>
          <c:x val="9.4646363037219461E-2"/>
          <c:y val="2.5495599814729038E-2"/>
          <c:w val="0.41095424745915571"/>
          <c:h val="0.17199526771885065"/>
        </c:manualLayout>
      </c:layout>
      <c:overlay val="0"/>
      <c:spPr>
        <a:noFill/>
        <a:ln w="25382">
          <a:noFill/>
        </a:ln>
      </c:spPr>
      <c:txPr>
        <a:bodyPr rot="0" vert="horz"/>
        <a:lstStyle/>
        <a:p>
          <a:pPr>
            <a:defRPr/>
          </a:pPr>
          <a:endParaRPr lang="lv-LV"/>
        </a:p>
      </c:txPr>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Garamond"/>
          <a:cs typeface="Segoe UI Light" panose="020B0502040204020203" pitchFamily="34" charset="0"/>
        </a:defRPr>
      </a:pPr>
      <a:endParaRPr lang="lv-LV"/>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8043904351235E-2"/>
          <c:y val="9.3276246256091669E-2"/>
          <c:w val="0.89677230173746891"/>
          <c:h val="0.80722164493023396"/>
        </c:manualLayout>
      </c:layout>
      <c:pieChart>
        <c:varyColors val="1"/>
        <c:ser>
          <c:idx val="0"/>
          <c:order val="0"/>
          <c:tx>
            <c:strRef>
              <c:f>Sheet1!$B$1</c:f>
              <c:strCache>
                <c:ptCount val="1"/>
                <c:pt idx="0">
                  <c:v>2021</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F150-46F1-ABFF-E8277BE35CC1}"/>
              </c:ext>
            </c:extLst>
          </c:dPt>
          <c:dPt>
            <c:idx val="1"/>
            <c:bubble3D val="0"/>
            <c:spPr>
              <a:solidFill>
                <a:schemeClr val="accent2"/>
              </a:solidFill>
              <a:ln w="19050">
                <a:noFill/>
              </a:ln>
              <a:effectLst/>
            </c:spPr>
            <c:extLst>
              <c:ext xmlns:c16="http://schemas.microsoft.com/office/drawing/2014/chart" uri="{C3380CC4-5D6E-409C-BE32-E72D297353CC}">
                <c16:uniqueId val="{00000003-F150-46F1-ABFF-E8277BE35CC1}"/>
              </c:ext>
            </c:extLst>
          </c:dPt>
          <c:dPt>
            <c:idx val="2"/>
            <c:bubble3D val="0"/>
            <c:spPr>
              <a:solidFill>
                <a:schemeClr val="accent3"/>
              </a:solidFill>
              <a:ln w="19050">
                <a:noFill/>
              </a:ln>
              <a:effectLst/>
            </c:spPr>
            <c:extLst>
              <c:ext xmlns:c16="http://schemas.microsoft.com/office/drawing/2014/chart" uri="{C3380CC4-5D6E-409C-BE32-E72D297353CC}">
                <c16:uniqueId val="{00000005-F150-46F1-ABFF-E8277BE35CC1}"/>
              </c:ext>
            </c:extLst>
          </c:dPt>
          <c:dPt>
            <c:idx val="3"/>
            <c:bubble3D val="0"/>
            <c:spPr>
              <a:solidFill>
                <a:schemeClr val="accent4"/>
              </a:solidFill>
              <a:ln w="19050">
                <a:noFill/>
              </a:ln>
              <a:effectLst/>
            </c:spPr>
            <c:extLst>
              <c:ext xmlns:c16="http://schemas.microsoft.com/office/drawing/2014/chart" uri="{C3380CC4-5D6E-409C-BE32-E72D297353CC}">
                <c16:uniqueId val="{00000007-F150-46F1-ABFF-E8277BE35CC1}"/>
              </c:ext>
            </c:extLst>
          </c:dPt>
          <c:dPt>
            <c:idx val="4"/>
            <c:bubble3D val="0"/>
            <c:spPr>
              <a:solidFill>
                <a:schemeClr val="accent5"/>
              </a:solidFill>
              <a:ln w="19050">
                <a:noFill/>
              </a:ln>
              <a:effectLst/>
            </c:spPr>
            <c:extLst>
              <c:ext xmlns:c16="http://schemas.microsoft.com/office/drawing/2014/chart" uri="{C3380CC4-5D6E-409C-BE32-E72D297353CC}">
                <c16:uniqueId val="{00000009-F150-46F1-ABFF-E8277BE35CC1}"/>
              </c:ext>
            </c:extLst>
          </c:dPt>
          <c:dPt>
            <c:idx val="5"/>
            <c:bubble3D val="0"/>
            <c:spPr>
              <a:solidFill>
                <a:schemeClr val="accent6"/>
              </a:solidFill>
              <a:ln w="19050">
                <a:noFill/>
              </a:ln>
              <a:effectLst/>
            </c:spPr>
            <c:extLst>
              <c:ext xmlns:c16="http://schemas.microsoft.com/office/drawing/2014/chart" uri="{C3380CC4-5D6E-409C-BE32-E72D297353CC}">
                <c16:uniqueId val="{0000000B-F150-46F1-ABFF-E8277BE35CC1}"/>
              </c:ext>
            </c:extLst>
          </c:dPt>
          <c:dPt>
            <c:idx val="6"/>
            <c:bubble3D val="0"/>
            <c:spPr>
              <a:solidFill>
                <a:schemeClr val="accent1">
                  <a:lumMod val="60000"/>
                  <a:lumOff val="40000"/>
                </a:schemeClr>
              </a:solidFill>
              <a:ln w="19050">
                <a:noFill/>
              </a:ln>
              <a:effectLst/>
            </c:spPr>
            <c:extLst>
              <c:ext xmlns:c16="http://schemas.microsoft.com/office/drawing/2014/chart" uri="{C3380CC4-5D6E-409C-BE32-E72D297353CC}">
                <c16:uniqueId val="{0000000D-F150-46F1-ABFF-E8277BE35CC1}"/>
              </c:ext>
            </c:extLst>
          </c:dPt>
          <c:dPt>
            <c:idx val="7"/>
            <c:bubble3D val="0"/>
            <c:spPr>
              <a:solidFill>
                <a:schemeClr val="accent6">
                  <a:lumMod val="60000"/>
                  <a:lumOff val="40000"/>
                </a:schemeClr>
              </a:solidFill>
              <a:ln w="19050">
                <a:noFill/>
              </a:ln>
              <a:effectLst/>
            </c:spPr>
            <c:extLst>
              <c:ext xmlns:c16="http://schemas.microsoft.com/office/drawing/2014/chart" uri="{C3380CC4-5D6E-409C-BE32-E72D297353CC}">
                <c16:uniqueId val="{0000000F-F150-46F1-ABFF-E8277BE35CC1}"/>
              </c:ext>
            </c:extLst>
          </c:dPt>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Lauksaimniecība, mežsaimniecība, zivsaimniecība</c:v>
                </c:pt>
                <c:pt idx="1">
                  <c:v>Apstrādes rūpniecība</c:v>
                </c:pt>
                <c:pt idx="2">
                  <c:v>Pārējā rūpniecība</c:v>
                </c:pt>
                <c:pt idx="3">
                  <c:v>Būvniecība</c:v>
                </c:pt>
                <c:pt idx="4">
                  <c:v>Tirdzniecība, izmitināšana</c:v>
                </c:pt>
                <c:pt idx="5">
                  <c:v>Transports un uzglabāšana</c:v>
                </c:pt>
                <c:pt idx="6">
                  <c:v>Citi komercpakalpojumi</c:v>
                </c:pt>
                <c:pt idx="7">
                  <c:v>Sabiedriskie pakalpojumi</c:v>
                </c:pt>
              </c:strCache>
            </c:strRef>
          </c:cat>
          <c:val>
            <c:numRef>
              <c:f>Sheet1!$B$2:$B$9</c:f>
              <c:numCache>
                <c:formatCode>0%</c:formatCode>
                <c:ptCount val="8"/>
                <c:pt idx="0">
                  <c:v>6.7708333333333329E-2</c:v>
                </c:pt>
                <c:pt idx="1">
                  <c:v>0.12638888888888888</c:v>
                </c:pt>
                <c:pt idx="2">
                  <c:v>2.5578703703703704E-2</c:v>
                </c:pt>
                <c:pt idx="3">
                  <c:v>8.368055555555555E-2</c:v>
                </c:pt>
                <c:pt idx="4">
                  <c:v>0.18275462962962963</c:v>
                </c:pt>
                <c:pt idx="5">
                  <c:v>7.7199074074074073E-2</c:v>
                </c:pt>
                <c:pt idx="6">
                  <c:v>0.2013888888888889</c:v>
                </c:pt>
                <c:pt idx="7">
                  <c:v>0.23530092592592594</c:v>
                </c:pt>
              </c:numCache>
            </c:numRef>
          </c:val>
          <c:extLst>
            <c:ext xmlns:c16="http://schemas.microsoft.com/office/drawing/2014/chart" uri="{C3380CC4-5D6E-409C-BE32-E72D297353CC}">
              <c16:uniqueId val="{00000010-F150-46F1-ABFF-E8277BE35CC1}"/>
            </c:ext>
          </c:extLst>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992125984251968E-2"/>
          <c:y val="0.35159817351598172"/>
          <c:w val="4.7244094488188976E-2"/>
          <c:h val="4.1095890410958902E-2"/>
        </c:manualLayout>
      </c:layout>
      <c:pieChart>
        <c:varyColors val="1"/>
        <c:ser>
          <c:idx val="0"/>
          <c:order val="0"/>
          <c:tx>
            <c:strRef>
              <c:f>Sheet1!$B$1</c:f>
              <c:strCache>
                <c:ptCount val="1"/>
                <c:pt idx="0">
                  <c:v>2021</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2EE3-4FA3-8667-703D1B250A82}"/>
              </c:ext>
            </c:extLst>
          </c:dPt>
          <c:dPt>
            <c:idx val="1"/>
            <c:bubble3D val="0"/>
            <c:spPr>
              <a:solidFill>
                <a:schemeClr val="accent2"/>
              </a:solidFill>
              <a:ln w="19050">
                <a:noFill/>
              </a:ln>
              <a:effectLst/>
            </c:spPr>
            <c:extLst>
              <c:ext xmlns:c16="http://schemas.microsoft.com/office/drawing/2014/chart" uri="{C3380CC4-5D6E-409C-BE32-E72D297353CC}">
                <c16:uniqueId val="{00000003-2EE3-4FA3-8667-703D1B250A82}"/>
              </c:ext>
            </c:extLst>
          </c:dPt>
          <c:dPt>
            <c:idx val="2"/>
            <c:bubble3D val="0"/>
            <c:spPr>
              <a:solidFill>
                <a:schemeClr val="accent3"/>
              </a:solidFill>
              <a:ln w="19050">
                <a:noFill/>
              </a:ln>
              <a:effectLst/>
            </c:spPr>
            <c:extLst>
              <c:ext xmlns:c16="http://schemas.microsoft.com/office/drawing/2014/chart" uri="{C3380CC4-5D6E-409C-BE32-E72D297353CC}">
                <c16:uniqueId val="{00000005-2EE3-4FA3-8667-703D1B250A82}"/>
              </c:ext>
            </c:extLst>
          </c:dPt>
          <c:dPt>
            <c:idx val="3"/>
            <c:bubble3D val="0"/>
            <c:spPr>
              <a:solidFill>
                <a:schemeClr val="accent4"/>
              </a:solidFill>
              <a:ln w="19050">
                <a:noFill/>
              </a:ln>
              <a:effectLst/>
            </c:spPr>
            <c:extLst>
              <c:ext xmlns:c16="http://schemas.microsoft.com/office/drawing/2014/chart" uri="{C3380CC4-5D6E-409C-BE32-E72D297353CC}">
                <c16:uniqueId val="{00000007-2EE3-4FA3-8667-703D1B250A82}"/>
              </c:ext>
            </c:extLst>
          </c:dPt>
          <c:dPt>
            <c:idx val="4"/>
            <c:bubble3D val="0"/>
            <c:spPr>
              <a:solidFill>
                <a:schemeClr val="accent5"/>
              </a:solidFill>
              <a:ln w="19050">
                <a:noFill/>
              </a:ln>
              <a:effectLst/>
            </c:spPr>
            <c:extLst>
              <c:ext xmlns:c16="http://schemas.microsoft.com/office/drawing/2014/chart" uri="{C3380CC4-5D6E-409C-BE32-E72D297353CC}">
                <c16:uniqueId val="{00000009-2EE3-4FA3-8667-703D1B250A82}"/>
              </c:ext>
            </c:extLst>
          </c:dPt>
          <c:dPt>
            <c:idx val="5"/>
            <c:bubble3D val="0"/>
            <c:spPr>
              <a:solidFill>
                <a:schemeClr val="accent6"/>
              </a:solidFill>
              <a:ln w="19050">
                <a:noFill/>
              </a:ln>
              <a:effectLst/>
            </c:spPr>
            <c:extLst>
              <c:ext xmlns:c16="http://schemas.microsoft.com/office/drawing/2014/chart" uri="{C3380CC4-5D6E-409C-BE32-E72D297353CC}">
                <c16:uniqueId val="{0000000B-2EE3-4FA3-8667-703D1B250A82}"/>
              </c:ext>
            </c:extLst>
          </c:dPt>
          <c:dPt>
            <c:idx val="6"/>
            <c:bubble3D val="0"/>
            <c:spPr>
              <a:solidFill>
                <a:schemeClr val="accent1">
                  <a:lumMod val="60000"/>
                  <a:lumOff val="40000"/>
                </a:schemeClr>
              </a:solidFill>
              <a:ln w="19050">
                <a:noFill/>
              </a:ln>
              <a:effectLst/>
            </c:spPr>
            <c:extLst>
              <c:ext xmlns:c16="http://schemas.microsoft.com/office/drawing/2014/chart" uri="{C3380CC4-5D6E-409C-BE32-E72D297353CC}">
                <c16:uniqueId val="{0000000D-2EE3-4FA3-8667-703D1B250A82}"/>
              </c:ext>
            </c:extLst>
          </c:dPt>
          <c:dPt>
            <c:idx val="7"/>
            <c:bubble3D val="0"/>
            <c:spPr>
              <a:solidFill>
                <a:schemeClr val="accent6">
                  <a:lumMod val="60000"/>
                  <a:lumOff val="40000"/>
                </a:schemeClr>
              </a:solidFill>
              <a:ln w="19050">
                <a:noFill/>
              </a:ln>
              <a:effectLst/>
            </c:spPr>
            <c:extLst>
              <c:ext xmlns:c16="http://schemas.microsoft.com/office/drawing/2014/chart" uri="{C3380CC4-5D6E-409C-BE32-E72D297353CC}">
                <c16:uniqueId val="{0000000F-2EE3-4FA3-8667-703D1B250A82}"/>
              </c:ext>
            </c:extLst>
          </c:dPt>
          <c:dLbls>
            <c:delete val="1"/>
          </c:dLbls>
          <c:cat>
            <c:strRef>
              <c:f>Sheet1!$A$2:$A$9</c:f>
              <c:strCache>
                <c:ptCount val="8"/>
                <c:pt idx="0">
                  <c:v>Lauksaimniecība, mežsaimniecība, zivsaimniecība</c:v>
                </c:pt>
                <c:pt idx="1">
                  <c:v>Apstrādes rūpniecība</c:v>
                </c:pt>
                <c:pt idx="2">
                  <c:v>Pārējā rūpniecība</c:v>
                </c:pt>
                <c:pt idx="3">
                  <c:v>Būvniecība</c:v>
                </c:pt>
                <c:pt idx="4">
                  <c:v>Tirdzniecība, izmitināšana</c:v>
                </c:pt>
                <c:pt idx="5">
                  <c:v>Transports un uzglabāšana</c:v>
                </c:pt>
                <c:pt idx="6">
                  <c:v>Citi komercpakalpojumi</c:v>
                </c:pt>
                <c:pt idx="7">
                  <c:v>Sabiedriskie pakalpojumi</c:v>
                </c:pt>
              </c:strCache>
            </c:strRef>
          </c:cat>
          <c:val>
            <c:numRef>
              <c:f>Sheet1!$B$2:$B$9</c:f>
              <c:numCache>
                <c:formatCode>0%</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10-2EE3-4FA3-8667-703D1B250A82}"/>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2.1063717746182202E-2"/>
          <c:y val="8.9186981479114644E-4"/>
          <c:w val="0.97157642024604762"/>
          <c:h val="0.9579211648317715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8043904351235E-2"/>
          <c:y val="9.3276246256091669E-2"/>
          <c:w val="0.89677230173746891"/>
          <c:h val="0.80722164493023396"/>
        </c:manualLayout>
      </c:layout>
      <c:pieChart>
        <c:varyColors val="1"/>
        <c:ser>
          <c:idx val="0"/>
          <c:order val="0"/>
          <c:tx>
            <c:strRef>
              <c:f>Sheet1!$B$1</c:f>
              <c:strCache>
                <c:ptCount val="1"/>
                <c:pt idx="0">
                  <c:v>2021</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DABF-4BF2-811B-A2C1B2831B95}"/>
              </c:ext>
            </c:extLst>
          </c:dPt>
          <c:dPt>
            <c:idx val="1"/>
            <c:bubble3D val="0"/>
            <c:spPr>
              <a:solidFill>
                <a:schemeClr val="accent2"/>
              </a:solidFill>
              <a:ln w="19050">
                <a:noFill/>
              </a:ln>
              <a:effectLst/>
            </c:spPr>
            <c:extLst>
              <c:ext xmlns:c16="http://schemas.microsoft.com/office/drawing/2014/chart" uri="{C3380CC4-5D6E-409C-BE32-E72D297353CC}">
                <c16:uniqueId val="{00000003-DABF-4BF2-811B-A2C1B2831B95}"/>
              </c:ext>
            </c:extLst>
          </c:dPt>
          <c:dPt>
            <c:idx val="2"/>
            <c:bubble3D val="0"/>
            <c:spPr>
              <a:solidFill>
                <a:schemeClr val="accent3"/>
              </a:solidFill>
              <a:ln w="19050">
                <a:noFill/>
              </a:ln>
              <a:effectLst/>
            </c:spPr>
            <c:extLst>
              <c:ext xmlns:c16="http://schemas.microsoft.com/office/drawing/2014/chart" uri="{C3380CC4-5D6E-409C-BE32-E72D297353CC}">
                <c16:uniqueId val="{00000005-DABF-4BF2-811B-A2C1B2831B95}"/>
              </c:ext>
            </c:extLst>
          </c:dPt>
          <c:dPt>
            <c:idx val="3"/>
            <c:bubble3D val="0"/>
            <c:spPr>
              <a:solidFill>
                <a:schemeClr val="accent4"/>
              </a:solidFill>
              <a:ln w="19050">
                <a:noFill/>
              </a:ln>
              <a:effectLst/>
            </c:spPr>
            <c:extLst>
              <c:ext xmlns:c16="http://schemas.microsoft.com/office/drawing/2014/chart" uri="{C3380CC4-5D6E-409C-BE32-E72D297353CC}">
                <c16:uniqueId val="{00000007-DABF-4BF2-811B-A2C1B2831B95}"/>
              </c:ext>
            </c:extLst>
          </c:dPt>
          <c:dPt>
            <c:idx val="4"/>
            <c:bubble3D val="0"/>
            <c:spPr>
              <a:solidFill>
                <a:schemeClr val="accent5"/>
              </a:solidFill>
              <a:ln w="19050">
                <a:noFill/>
              </a:ln>
              <a:effectLst/>
            </c:spPr>
            <c:extLst>
              <c:ext xmlns:c16="http://schemas.microsoft.com/office/drawing/2014/chart" uri="{C3380CC4-5D6E-409C-BE32-E72D297353CC}">
                <c16:uniqueId val="{00000009-DABF-4BF2-811B-A2C1B2831B95}"/>
              </c:ext>
            </c:extLst>
          </c:dPt>
          <c:dPt>
            <c:idx val="5"/>
            <c:bubble3D val="0"/>
            <c:spPr>
              <a:solidFill>
                <a:schemeClr val="accent6"/>
              </a:solidFill>
              <a:ln w="19050">
                <a:noFill/>
              </a:ln>
              <a:effectLst/>
            </c:spPr>
            <c:extLst>
              <c:ext xmlns:c16="http://schemas.microsoft.com/office/drawing/2014/chart" uri="{C3380CC4-5D6E-409C-BE32-E72D297353CC}">
                <c16:uniqueId val="{0000000B-DABF-4BF2-811B-A2C1B2831B95}"/>
              </c:ext>
            </c:extLst>
          </c:dPt>
          <c:dPt>
            <c:idx val="6"/>
            <c:bubble3D val="0"/>
            <c:spPr>
              <a:solidFill>
                <a:schemeClr val="accent1">
                  <a:lumMod val="60000"/>
                  <a:lumOff val="40000"/>
                </a:schemeClr>
              </a:solidFill>
              <a:ln w="19050">
                <a:noFill/>
              </a:ln>
              <a:effectLst/>
            </c:spPr>
            <c:extLst>
              <c:ext xmlns:c16="http://schemas.microsoft.com/office/drawing/2014/chart" uri="{C3380CC4-5D6E-409C-BE32-E72D297353CC}">
                <c16:uniqueId val="{0000000D-DABF-4BF2-811B-A2C1B2831B95}"/>
              </c:ext>
            </c:extLst>
          </c:dPt>
          <c:dPt>
            <c:idx val="7"/>
            <c:bubble3D val="0"/>
            <c:spPr>
              <a:solidFill>
                <a:schemeClr val="accent6">
                  <a:lumMod val="60000"/>
                  <a:lumOff val="40000"/>
                </a:schemeClr>
              </a:solidFill>
              <a:ln w="19050">
                <a:noFill/>
              </a:ln>
              <a:effectLst/>
            </c:spPr>
            <c:extLst>
              <c:ext xmlns:c16="http://schemas.microsoft.com/office/drawing/2014/chart" uri="{C3380CC4-5D6E-409C-BE32-E72D297353CC}">
                <c16:uniqueId val="{0000000F-DABF-4BF2-811B-A2C1B2831B95}"/>
              </c:ext>
            </c:extLst>
          </c:dPt>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Lauksaimniecība, mežsaimniecība, zivsaimniecība</c:v>
                </c:pt>
                <c:pt idx="1">
                  <c:v>Apstrādes rūpniecība</c:v>
                </c:pt>
                <c:pt idx="2">
                  <c:v>Pārējā rūpniecība</c:v>
                </c:pt>
                <c:pt idx="3">
                  <c:v>Būvniecība</c:v>
                </c:pt>
                <c:pt idx="4">
                  <c:v>Tirdzniecība, izmitināšana</c:v>
                </c:pt>
                <c:pt idx="5">
                  <c:v>Transports un uzglabāšana</c:v>
                </c:pt>
                <c:pt idx="6">
                  <c:v>Citi komercpakalpojumi</c:v>
                </c:pt>
                <c:pt idx="7">
                  <c:v>Sabiedriskie pakalpojumi</c:v>
                </c:pt>
              </c:strCache>
            </c:strRef>
          </c:cat>
          <c:val>
            <c:numRef>
              <c:f>Sheet1!$B$2:$B$9</c:f>
              <c:numCache>
                <c:formatCode>0%</c:formatCode>
                <c:ptCount val="8"/>
                <c:pt idx="0">
                  <c:v>6.7708333333333329E-2</c:v>
                </c:pt>
                <c:pt idx="1">
                  <c:v>0.12638888888888888</c:v>
                </c:pt>
                <c:pt idx="2">
                  <c:v>0.02</c:v>
                </c:pt>
                <c:pt idx="3">
                  <c:v>8.368055555555555E-2</c:v>
                </c:pt>
                <c:pt idx="4">
                  <c:v>0.18275462962962963</c:v>
                </c:pt>
                <c:pt idx="5">
                  <c:v>7.7199074074074073E-2</c:v>
                </c:pt>
                <c:pt idx="6">
                  <c:v>0.21</c:v>
                </c:pt>
                <c:pt idx="7">
                  <c:v>0.23</c:v>
                </c:pt>
              </c:numCache>
            </c:numRef>
          </c:val>
          <c:extLst>
            <c:ext xmlns:c16="http://schemas.microsoft.com/office/drawing/2014/chart" uri="{C3380CC4-5D6E-409C-BE32-E72D297353CC}">
              <c16:uniqueId val="{00000010-DABF-4BF2-811B-A2C1B2831B95}"/>
            </c:ext>
          </c:extLst>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267923534139999E-2"/>
          <c:y val="3.8806557589592686E-2"/>
          <c:w val="0.95293745502706684"/>
          <c:h val="0.69099685826540136"/>
        </c:manualLayout>
      </c:layout>
      <c:barChart>
        <c:barDir val="col"/>
        <c:grouping val="stacked"/>
        <c:varyColors val="0"/>
        <c:ser>
          <c:idx val="0"/>
          <c:order val="0"/>
          <c:tx>
            <c:strRef>
              <c:f>'Sheet 1'!$B$2</c:f>
              <c:strCache>
                <c:ptCount val="1"/>
                <c:pt idx="0">
                  <c:v>Zināšanu ietilpīgie pakalpojumi</c:v>
                </c:pt>
              </c:strCache>
            </c:strRef>
          </c:tx>
          <c:spPr>
            <a:solidFill>
              <a:schemeClr val="accent6">
                <a:lumMod val="75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1'!$A$3:$A$29</c:f>
              <c:strCache>
                <c:ptCount val="27"/>
                <c:pt idx="0">
                  <c:v>Čehija</c:v>
                </c:pt>
                <c:pt idx="1">
                  <c:v>Ungārija</c:v>
                </c:pt>
                <c:pt idx="2">
                  <c:v>Slovēnija</c:v>
                </c:pt>
                <c:pt idx="3">
                  <c:v>Slovākija</c:v>
                </c:pt>
                <c:pt idx="4">
                  <c:v>Vācija</c:v>
                </c:pt>
                <c:pt idx="5">
                  <c:v>Zviedrija</c:v>
                </c:pt>
                <c:pt idx="6">
                  <c:v>Igaunija</c:v>
                </c:pt>
                <c:pt idx="7">
                  <c:v>Somija</c:v>
                </c:pt>
                <c:pt idx="8">
                  <c:v>Austrja</c:v>
                </c:pt>
                <c:pt idx="9">
                  <c:v>Rumānija</c:v>
                </c:pt>
                <c:pt idx="10">
                  <c:v>Polija</c:v>
                </c:pt>
                <c:pt idx="11">
                  <c:v>Itālija</c:v>
                </c:pt>
                <c:pt idx="12">
                  <c:v>Īrija</c:v>
                </c:pt>
                <c:pt idx="13">
                  <c:v>Bulgārija</c:v>
                </c:pt>
                <c:pt idx="14">
                  <c:v>Dānija</c:v>
                </c:pt>
                <c:pt idx="15">
                  <c:v>Horvātija</c:v>
                </c:pt>
                <c:pt idx="16">
                  <c:v>Francija</c:v>
                </c:pt>
                <c:pt idx="17">
                  <c:v>Luksemburga</c:v>
                </c:pt>
                <c:pt idx="18">
                  <c:v>Latvija</c:v>
                </c:pt>
                <c:pt idx="19">
                  <c:v>Nīderlande</c:v>
                </c:pt>
                <c:pt idx="20">
                  <c:v>Beļģija</c:v>
                </c:pt>
                <c:pt idx="21">
                  <c:v>Spānija</c:v>
                </c:pt>
                <c:pt idx="22">
                  <c:v>Malta</c:v>
                </c:pt>
                <c:pt idx="23">
                  <c:v>Lietuva</c:v>
                </c:pt>
                <c:pt idx="24">
                  <c:v>Portugāle</c:v>
                </c:pt>
                <c:pt idx="25">
                  <c:v>Kipra</c:v>
                </c:pt>
                <c:pt idx="26">
                  <c:v>Grieķija</c:v>
                </c:pt>
              </c:strCache>
            </c:strRef>
          </c:cat>
          <c:val>
            <c:numRef>
              <c:f>'Sheet 1'!$B$3:$B$29</c:f>
              <c:numCache>
                <c:formatCode>General</c:formatCode>
                <c:ptCount val="27"/>
                <c:pt idx="0">
                  <c:v>3.5</c:v>
                </c:pt>
                <c:pt idx="1">
                  <c:v>3.8</c:v>
                </c:pt>
                <c:pt idx="2">
                  <c:v>3.8</c:v>
                </c:pt>
                <c:pt idx="3">
                  <c:v>3.4</c:v>
                </c:pt>
                <c:pt idx="4">
                  <c:v>3.3</c:v>
                </c:pt>
                <c:pt idx="5">
                  <c:v>4.5</c:v>
                </c:pt>
                <c:pt idx="6">
                  <c:v>4.9000000000000004</c:v>
                </c:pt>
                <c:pt idx="7">
                  <c:v>4.3</c:v>
                </c:pt>
                <c:pt idx="8">
                  <c:v>3.1</c:v>
                </c:pt>
                <c:pt idx="9">
                  <c:v>2.4</c:v>
                </c:pt>
                <c:pt idx="10">
                  <c:v>2.8</c:v>
                </c:pt>
                <c:pt idx="11">
                  <c:v>3</c:v>
                </c:pt>
                <c:pt idx="12">
                  <c:v>4.4000000000000004</c:v>
                </c:pt>
                <c:pt idx="13">
                  <c:v>3.6</c:v>
                </c:pt>
                <c:pt idx="14">
                  <c:v>3.6</c:v>
                </c:pt>
                <c:pt idx="15">
                  <c:v>3.1</c:v>
                </c:pt>
                <c:pt idx="16">
                  <c:v>4.5</c:v>
                </c:pt>
                <c:pt idx="17">
                  <c:v>4.8</c:v>
                </c:pt>
                <c:pt idx="18">
                  <c:v>4</c:v>
                </c:pt>
                <c:pt idx="19">
                  <c:v>3.7</c:v>
                </c:pt>
                <c:pt idx="20">
                  <c:v>2.8</c:v>
                </c:pt>
                <c:pt idx="21">
                  <c:v>2.9</c:v>
                </c:pt>
                <c:pt idx="22">
                  <c:v>3.9</c:v>
                </c:pt>
                <c:pt idx="23">
                  <c:v>3</c:v>
                </c:pt>
                <c:pt idx="24">
                  <c:v>2.5</c:v>
                </c:pt>
                <c:pt idx="25">
                  <c:v>3</c:v>
                </c:pt>
                <c:pt idx="26">
                  <c:v>2.2999999999999998</c:v>
                </c:pt>
              </c:numCache>
            </c:numRef>
          </c:val>
          <c:extLst>
            <c:ext xmlns:c16="http://schemas.microsoft.com/office/drawing/2014/chart" uri="{C3380CC4-5D6E-409C-BE32-E72D297353CC}">
              <c16:uniqueId val="{00000000-4EAA-42AD-BD1E-7C97140E95C5}"/>
            </c:ext>
          </c:extLst>
        </c:ser>
        <c:ser>
          <c:idx val="2"/>
          <c:order val="1"/>
          <c:tx>
            <c:strRef>
              <c:f>'Sheet 1'!$D$2</c:f>
              <c:strCache>
                <c:ptCount val="1"/>
                <c:pt idx="0">
                  <c:v>Augsto tehnoloģiju rūpniecība</c:v>
                </c:pt>
              </c:strCache>
            </c:strRef>
          </c:tx>
          <c:spPr>
            <a:solidFill>
              <a:schemeClr val="tx2">
                <a:lumMod val="60000"/>
                <a:lumOff val="40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1'!$A$3:$A$29</c:f>
              <c:strCache>
                <c:ptCount val="27"/>
                <c:pt idx="0">
                  <c:v>Čehija</c:v>
                </c:pt>
                <c:pt idx="1">
                  <c:v>Ungārija</c:v>
                </c:pt>
                <c:pt idx="2">
                  <c:v>Slovēnija</c:v>
                </c:pt>
                <c:pt idx="3">
                  <c:v>Slovākija</c:v>
                </c:pt>
                <c:pt idx="4">
                  <c:v>Vācija</c:v>
                </c:pt>
                <c:pt idx="5">
                  <c:v>Zviedrija</c:v>
                </c:pt>
                <c:pt idx="6">
                  <c:v>Igaunija</c:v>
                </c:pt>
                <c:pt idx="7">
                  <c:v>Somija</c:v>
                </c:pt>
                <c:pt idx="8">
                  <c:v>Austrja</c:v>
                </c:pt>
                <c:pt idx="9">
                  <c:v>Rumānija</c:v>
                </c:pt>
                <c:pt idx="10">
                  <c:v>Polija</c:v>
                </c:pt>
                <c:pt idx="11">
                  <c:v>Itālija</c:v>
                </c:pt>
                <c:pt idx="12">
                  <c:v>Īrija</c:v>
                </c:pt>
                <c:pt idx="13">
                  <c:v>Bulgārija</c:v>
                </c:pt>
                <c:pt idx="14">
                  <c:v>Dānija</c:v>
                </c:pt>
                <c:pt idx="15">
                  <c:v>Horvātija</c:v>
                </c:pt>
                <c:pt idx="16">
                  <c:v>Francija</c:v>
                </c:pt>
                <c:pt idx="17">
                  <c:v>Luksemburga</c:v>
                </c:pt>
                <c:pt idx="18">
                  <c:v>Latvija</c:v>
                </c:pt>
                <c:pt idx="19">
                  <c:v>Nīderlande</c:v>
                </c:pt>
                <c:pt idx="20">
                  <c:v>Beļģija</c:v>
                </c:pt>
                <c:pt idx="21">
                  <c:v>Spānija</c:v>
                </c:pt>
                <c:pt idx="22">
                  <c:v>Malta</c:v>
                </c:pt>
                <c:pt idx="23">
                  <c:v>Lietuva</c:v>
                </c:pt>
                <c:pt idx="24">
                  <c:v>Portugāle</c:v>
                </c:pt>
                <c:pt idx="25">
                  <c:v>Kipra</c:v>
                </c:pt>
                <c:pt idx="26">
                  <c:v>Grieķija</c:v>
                </c:pt>
              </c:strCache>
            </c:strRef>
          </c:cat>
          <c:val>
            <c:numRef>
              <c:f>'Sheet 1'!$D$3:$D$29</c:f>
              <c:numCache>
                <c:formatCode>General</c:formatCode>
                <c:ptCount val="27"/>
                <c:pt idx="0">
                  <c:v>10.9</c:v>
                </c:pt>
                <c:pt idx="1">
                  <c:v>8.1</c:v>
                </c:pt>
                <c:pt idx="2">
                  <c:v>7.7</c:v>
                </c:pt>
                <c:pt idx="3">
                  <c:v>8</c:v>
                </c:pt>
                <c:pt idx="4">
                  <c:v>8.1</c:v>
                </c:pt>
                <c:pt idx="5">
                  <c:v>4.8</c:v>
                </c:pt>
                <c:pt idx="6">
                  <c:v>4.3</c:v>
                </c:pt>
                <c:pt idx="7">
                  <c:v>4.7</c:v>
                </c:pt>
                <c:pt idx="8">
                  <c:v>5.5</c:v>
                </c:pt>
                <c:pt idx="9">
                  <c:v>6.1</c:v>
                </c:pt>
                <c:pt idx="10">
                  <c:v>5.4</c:v>
                </c:pt>
                <c:pt idx="11">
                  <c:v>4.8</c:v>
                </c:pt>
                <c:pt idx="12">
                  <c:v>3.3</c:v>
                </c:pt>
                <c:pt idx="13">
                  <c:v>4.0999999999999996</c:v>
                </c:pt>
                <c:pt idx="14">
                  <c:v>4.0999999999999996</c:v>
                </c:pt>
                <c:pt idx="15">
                  <c:v>3.8</c:v>
                </c:pt>
                <c:pt idx="16">
                  <c:v>2.2999999999999998</c:v>
                </c:pt>
                <c:pt idx="17">
                  <c:v>1.9</c:v>
                </c:pt>
                <c:pt idx="18">
                  <c:v>2.4</c:v>
                </c:pt>
                <c:pt idx="19">
                  <c:v>2.5</c:v>
                </c:pt>
                <c:pt idx="20">
                  <c:v>3.3</c:v>
                </c:pt>
                <c:pt idx="21">
                  <c:v>2.7</c:v>
                </c:pt>
                <c:pt idx="22">
                  <c:v>1.7</c:v>
                </c:pt>
                <c:pt idx="23">
                  <c:v>2.5</c:v>
                </c:pt>
                <c:pt idx="24">
                  <c:v>2.7</c:v>
                </c:pt>
                <c:pt idx="25">
                  <c:v>0.9</c:v>
                </c:pt>
                <c:pt idx="26">
                  <c:v>1.2</c:v>
                </c:pt>
              </c:numCache>
            </c:numRef>
          </c:val>
          <c:extLst>
            <c:ext xmlns:c16="http://schemas.microsoft.com/office/drawing/2014/chart" uri="{C3380CC4-5D6E-409C-BE32-E72D297353CC}">
              <c16:uniqueId val="{00000001-4EAA-42AD-BD1E-7C97140E95C5}"/>
            </c:ext>
          </c:extLst>
        </c:ser>
        <c:dLbls>
          <c:showLegendKey val="0"/>
          <c:showVal val="0"/>
          <c:showCatName val="0"/>
          <c:showSerName val="0"/>
          <c:showPercent val="0"/>
          <c:showBubbleSize val="0"/>
        </c:dLbls>
        <c:gapWidth val="40"/>
        <c:overlap val="100"/>
        <c:axId val="742054224"/>
        <c:axId val="742051872"/>
      </c:barChart>
      <c:catAx>
        <c:axId val="742054224"/>
        <c:scaling>
          <c:orientation val="minMax"/>
        </c:scaling>
        <c:delete val="0"/>
        <c:axPos val="b"/>
        <c:numFmt formatCode="General" sourceLinked="1"/>
        <c:majorTickMark val="none"/>
        <c:minorTickMark val="none"/>
        <c:tickLblPos val="nextTo"/>
        <c:spPr>
          <a:noFill/>
          <a:ln w="6350" cap="flat" cmpd="sng" algn="ctr">
            <a:solidFill>
              <a:schemeClr val="bg1">
                <a:lumMod val="7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51872"/>
        <c:crosses val="autoZero"/>
        <c:auto val="1"/>
        <c:lblAlgn val="ctr"/>
        <c:lblOffset val="100"/>
        <c:noMultiLvlLbl val="0"/>
      </c:catAx>
      <c:valAx>
        <c:axId val="742051872"/>
        <c:scaling>
          <c:orientation val="minMax"/>
          <c:max val="15"/>
          <c:min val="0"/>
        </c:scaling>
        <c:delete val="0"/>
        <c:axPos val="l"/>
        <c:numFmt formatCode="General" sourceLinked="1"/>
        <c:majorTickMark val="none"/>
        <c:minorTickMark val="none"/>
        <c:tickLblPos val="nextTo"/>
        <c:spPr>
          <a:noFill/>
          <a:ln w="6350">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54224"/>
        <c:crosses val="autoZero"/>
        <c:crossBetween val="between"/>
        <c:majorUnit val="5"/>
      </c:valAx>
      <c:spPr>
        <a:noFill/>
        <a:ln w="25400">
          <a:noFill/>
        </a:ln>
        <a:effectLst/>
      </c:spPr>
    </c:plotArea>
    <c:legend>
      <c:legendPos val="b"/>
      <c:layout>
        <c:manualLayout>
          <c:xMode val="edge"/>
          <c:yMode val="edge"/>
          <c:x val="0.60927524059492566"/>
          <c:y val="0.23920234580052499"/>
          <c:w val="0.36800664916885389"/>
          <c:h val="0.1417523786089238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2019</c:v>
                </c:pt>
              </c:strCache>
            </c:strRef>
          </c:tx>
          <c:spPr>
            <a:solidFill>
              <a:schemeClr val="accent6">
                <a:lumMod val="75000"/>
              </a:schemeClr>
            </a:solidFill>
            <a:ln>
              <a:noFill/>
            </a:ln>
          </c:spPr>
          <c:invertIfNegative val="0"/>
          <c:dPt>
            <c:idx val="5"/>
            <c:invertIfNegative val="0"/>
            <c:bubble3D val="0"/>
            <c:extLst>
              <c:ext xmlns:c16="http://schemas.microsoft.com/office/drawing/2014/chart" uri="{C3380CC4-5D6E-409C-BE32-E72D297353CC}">
                <c16:uniqueId val="{00000000-414E-46C5-87C8-389A580583C0}"/>
              </c:ext>
            </c:extLst>
          </c:dPt>
          <c:dPt>
            <c:idx val="7"/>
            <c:invertIfNegative val="0"/>
            <c:bubble3D val="0"/>
            <c:extLst>
              <c:ext xmlns:c16="http://schemas.microsoft.com/office/drawing/2014/chart" uri="{C3380CC4-5D6E-409C-BE32-E72D297353CC}">
                <c16:uniqueId val="{00000001-414E-46C5-87C8-389A580583C0}"/>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4E-46C5-87C8-389A580583C0}"/>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4E-46C5-87C8-389A580583C0}"/>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4E-46C5-87C8-389A580583C0}"/>
                </c:ext>
              </c:extLst>
            </c:dLbl>
            <c:dLbl>
              <c:idx val="5"/>
              <c:layout>
                <c:manualLayout>
                  <c:x val="-8.0869526014771903E-17"/>
                  <c:y val="2.50868253324368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4E-46C5-87C8-389A580583C0}"/>
                </c:ext>
              </c:extLst>
            </c:dLbl>
            <c:spPr>
              <a:noFill/>
              <a:ln>
                <a:noFill/>
              </a:ln>
              <a:effectLst/>
            </c:spPr>
            <c:txPr>
              <a:bodyPr wrap="square" lIns="38100" tIns="19050" rIns="38100" bIns="19050" anchor="ctr">
                <a:spAutoFit/>
              </a:bodyPr>
              <a:lstStyle/>
              <a:p>
                <a:pPr>
                  <a:defRPr sz="800"/>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6"/>
                <c:pt idx="0">
                  <c:v>2018</c:v>
                </c:pt>
                <c:pt idx="1">
                  <c:v>2019</c:v>
                </c:pt>
                <c:pt idx="2">
                  <c:v>2020</c:v>
                </c:pt>
                <c:pt idx="3">
                  <c:v>2021</c:v>
                </c:pt>
                <c:pt idx="4">
                  <c:v>2022</c:v>
                </c:pt>
                <c:pt idx="5">
                  <c:v>2023</c:v>
                </c:pt>
              </c:numCache>
            </c:numRef>
          </c:cat>
          <c:val>
            <c:numRef>
              <c:f>Sheet1!$B$2:$B$9</c:f>
              <c:numCache>
                <c:formatCode>0.0</c:formatCode>
                <c:ptCount val="6"/>
                <c:pt idx="0">
                  <c:v>3</c:v>
                </c:pt>
                <c:pt idx="1">
                  <c:v>0</c:v>
                </c:pt>
                <c:pt idx="2">
                  <c:v>-4.3</c:v>
                </c:pt>
                <c:pt idx="3">
                  <c:v>7.3</c:v>
                </c:pt>
                <c:pt idx="4">
                  <c:v>7.2</c:v>
                </c:pt>
                <c:pt idx="5">
                  <c:v>-1.3</c:v>
                </c:pt>
              </c:numCache>
            </c:numRef>
          </c:val>
          <c:extLst>
            <c:ext xmlns:c16="http://schemas.microsoft.com/office/drawing/2014/chart" uri="{C3380CC4-5D6E-409C-BE32-E72D297353CC}">
              <c16:uniqueId val="{00000005-414E-46C5-87C8-389A580583C0}"/>
            </c:ext>
          </c:extLst>
        </c:ser>
        <c:dLbls>
          <c:dLblPos val="outEnd"/>
          <c:showLegendKey val="0"/>
          <c:showVal val="1"/>
          <c:showCatName val="0"/>
          <c:showSerName val="0"/>
          <c:showPercent val="0"/>
          <c:showBubbleSize val="0"/>
        </c:dLbls>
        <c:gapWidth val="30"/>
        <c:axId val="742135368"/>
        <c:axId val="742124392"/>
      </c:barChart>
      <c:catAx>
        <c:axId val="742135368"/>
        <c:scaling>
          <c:orientation val="minMax"/>
        </c:scaling>
        <c:delete val="0"/>
        <c:axPos val="b"/>
        <c:numFmt formatCode="General" sourceLinked="1"/>
        <c:majorTickMark val="out"/>
        <c:minorTickMark val="none"/>
        <c:tickLblPos val="low"/>
        <c:spPr>
          <a:ln w="6350"/>
        </c:spPr>
        <c:txPr>
          <a:bodyPr rot="-5400000" vert="horz"/>
          <a:lstStyle/>
          <a:p>
            <a:pPr>
              <a:defRPr/>
            </a:pPr>
            <a:endParaRPr lang="lv-LV"/>
          </a:p>
        </c:txPr>
        <c:crossAx val="742124392"/>
        <c:crosses val="autoZero"/>
        <c:auto val="1"/>
        <c:lblAlgn val="ctr"/>
        <c:lblOffset val="0"/>
        <c:noMultiLvlLbl val="0"/>
      </c:catAx>
      <c:valAx>
        <c:axId val="742124392"/>
        <c:scaling>
          <c:orientation val="minMax"/>
        </c:scaling>
        <c:delete val="1"/>
        <c:axPos val="l"/>
        <c:numFmt formatCode="0" sourceLinked="0"/>
        <c:majorTickMark val="out"/>
        <c:minorTickMark val="none"/>
        <c:tickLblPos val="nextTo"/>
        <c:crossAx val="742135368"/>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031703186392842E-3"/>
          <c:y val="2.7647633709547204E-2"/>
          <c:w val="0.98593759026491812"/>
          <c:h val="0.33665650137443903"/>
        </c:manualLayout>
      </c:layout>
      <c:barChart>
        <c:barDir val="col"/>
        <c:grouping val="clustered"/>
        <c:varyColors val="0"/>
        <c:ser>
          <c:idx val="0"/>
          <c:order val="0"/>
          <c:spPr>
            <a:solidFill>
              <a:schemeClr val="accent2">
                <a:lumMod val="75000"/>
              </a:schemeClr>
            </a:solidFill>
          </c:spPr>
          <c:invertIfNegative val="0"/>
          <c:dPt>
            <c:idx val="0"/>
            <c:invertIfNegative val="0"/>
            <c:bubble3D val="0"/>
            <c:spPr>
              <a:solidFill>
                <a:srgbClr val="C00000"/>
              </a:solidFill>
            </c:spPr>
            <c:extLst>
              <c:ext xmlns:c16="http://schemas.microsoft.com/office/drawing/2014/chart" uri="{C3380CC4-5D6E-409C-BE32-E72D297353CC}">
                <c16:uniqueId val="{00000001-AEC8-4EA0-9969-C1E28D83F9B4}"/>
              </c:ext>
            </c:extLst>
          </c:dPt>
          <c:dPt>
            <c:idx val="1"/>
            <c:invertIfNegative val="0"/>
            <c:bubble3D val="0"/>
            <c:spPr>
              <a:solidFill>
                <a:srgbClr val="C00000"/>
              </a:solidFill>
            </c:spPr>
            <c:extLst>
              <c:ext xmlns:c16="http://schemas.microsoft.com/office/drawing/2014/chart" uri="{C3380CC4-5D6E-409C-BE32-E72D297353CC}">
                <c16:uniqueId val="{00000003-AEC8-4EA0-9969-C1E28D83F9B4}"/>
              </c:ext>
            </c:extLst>
          </c:dPt>
          <c:dPt>
            <c:idx val="2"/>
            <c:invertIfNegative val="0"/>
            <c:bubble3D val="0"/>
            <c:spPr>
              <a:solidFill>
                <a:srgbClr val="C00000"/>
              </a:solidFill>
            </c:spPr>
            <c:extLst>
              <c:ext xmlns:c16="http://schemas.microsoft.com/office/drawing/2014/chart" uri="{C3380CC4-5D6E-409C-BE32-E72D297353CC}">
                <c16:uniqueId val="{00000005-AEC8-4EA0-9969-C1E28D83F9B4}"/>
              </c:ext>
            </c:extLst>
          </c:dPt>
          <c:dPt>
            <c:idx val="3"/>
            <c:invertIfNegative val="0"/>
            <c:bubble3D val="0"/>
            <c:spPr>
              <a:solidFill>
                <a:srgbClr val="C00000"/>
              </a:solidFill>
            </c:spPr>
            <c:extLst>
              <c:ext xmlns:c16="http://schemas.microsoft.com/office/drawing/2014/chart" uri="{C3380CC4-5D6E-409C-BE32-E72D297353CC}">
                <c16:uniqueId val="{00000007-AEC8-4EA0-9969-C1E28D83F9B4}"/>
              </c:ext>
            </c:extLst>
          </c:dPt>
          <c:dPt>
            <c:idx val="4"/>
            <c:invertIfNegative val="0"/>
            <c:bubble3D val="0"/>
            <c:spPr>
              <a:solidFill>
                <a:srgbClr val="C00000"/>
              </a:solidFill>
            </c:spPr>
            <c:extLst>
              <c:ext xmlns:c16="http://schemas.microsoft.com/office/drawing/2014/chart" uri="{C3380CC4-5D6E-409C-BE32-E72D297353CC}">
                <c16:uniqueId val="{00000009-AEC8-4EA0-9969-C1E28D83F9B4}"/>
              </c:ext>
            </c:extLst>
          </c:dPt>
          <c:dPt>
            <c:idx val="5"/>
            <c:invertIfNegative val="0"/>
            <c:bubble3D val="0"/>
            <c:spPr>
              <a:solidFill>
                <a:srgbClr val="C00000"/>
              </a:solidFill>
            </c:spPr>
            <c:extLst>
              <c:ext xmlns:c16="http://schemas.microsoft.com/office/drawing/2014/chart" uri="{C3380CC4-5D6E-409C-BE32-E72D297353CC}">
                <c16:uniqueId val="{0000000B-AEC8-4EA0-9969-C1E28D83F9B4}"/>
              </c:ext>
            </c:extLst>
          </c:dPt>
          <c:dPt>
            <c:idx val="6"/>
            <c:invertIfNegative val="0"/>
            <c:bubble3D val="0"/>
            <c:spPr>
              <a:solidFill>
                <a:srgbClr val="C00000"/>
              </a:solidFill>
            </c:spPr>
            <c:extLst>
              <c:ext xmlns:c16="http://schemas.microsoft.com/office/drawing/2014/chart" uri="{C3380CC4-5D6E-409C-BE32-E72D297353CC}">
                <c16:uniqueId val="{0000000D-AEC8-4EA0-9969-C1E28D83F9B4}"/>
              </c:ext>
            </c:extLst>
          </c:dPt>
          <c:dPt>
            <c:idx val="8"/>
            <c:invertIfNegative val="0"/>
            <c:bubble3D val="0"/>
            <c:extLst>
              <c:ext xmlns:c16="http://schemas.microsoft.com/office/drawing/2014/chart" uri="{C3380CC4-5D6E-409C-BE32-E72D297353CC}">
                <c16:uniqueId val="{0000000E-AEC8-4EA0-9969-C1E28D83F9B4}"/>
              </c:ext>
            </c:extLst>
          </c:dPt>
          <c:dPt>
            <c:idx val="10"/>
            <c:invertIfNegative val="0"/>
            <c:bubble3D val="0"/>
            <c:extLst>
              <c:ext xmlns:c16="http://schemas.microsoft.com/office/drawing/2014/chart" uri="{C3380CC4-5D6E-409C-BE32-E72D297353CC}">
                <c16:uniqueId val="{0000000F-AEC8-4EA0-9969-C1E28D83F9B4}"/>
              </c:ext>
            </c:extLst>
          </c:dPt>
          <c:dPt>
            <c:idx val="11"/>
            <c:invertIfNegative val="0"/>
            <c:bubble3D val="0"/>
            <c:extLst>
              <c:ext xmlns:c16="http://schemas.microsoft.com/office/drawing/2014/chart" uri="{C3380CC4-5D6E-409C-BE32-E72D297353CC}">
                <c16:uniqueId val="{00000010-AEC8-4EA0-9969-C1E28D83F9B4}"/>
              </c:ext>
            </c:extLst>
          </c:dPt>
          <c:dPt>
            <c:idx val="12"/>
            <c:invertIfNegative val="0"/>
            <c:bubble3D val="0"/>
            <c:extLst>
              <c:ext xmlns:c16="http://schemas.microsoft.com/office/drawing/2014/chart" uri="{C3380CC4-5D6E-409C-BE32-E72D297353CC}">
                <c16:uniqueId val="{00000011-AEC8-4EA0-9969-C1E28D83F9B4}"/>
              </c:ext>
            </c:extLst>
          </c:dPt>
          <c:dPt>
            <c:idx val="15"/>
            <c:invertIfNegative val="0"/>
            <c:bubble3D val="0"/>
            <c:extLst>
              <c:ext xmlns:c16="http://schemas.microsoft.com/office/drawing/2014/chart" uri="{C3380CC4-5D6E-409C-BE32-E72D297353CC}">
                <c16:uniqueId val="{00000012-AEC8-4EA0-9969-C1E28D83F9B4}"/>
              </c:ext>
            </c:extLst>
          </c:dPt>
          <c:dPt>
            <c:idx val="16"/>
            <c:invertIfNegative val="0"/>
            <c:bubble3D val="0"/>
            <c:extLst>
              <c:ext xmlns:c16="http://schemas.microsoft.com/office/drawing/2014/chart" uri="{C3380CC4-5D6E-409C-BE32-E72D297353CC}">
                <c16:uniqueId val="{00000013-AEC8-4EA0-9969-C1E28D83F9B4}"/>
              </c:ext>
            </c:extLst>
          </c:dPt>
          <c:dPt>
            <c:idx val="17"/>
            <c:invertIfNegative val="0"/>
            <c:bubble3D val="0"/>
            <c:extLst>
              <c:ext xmlns:c16="http://schemas.microsoft.com/office/drawing/2014/chart" uri="{C3380CC4-5D6E-409C-BE32-E72D297353CC}">
                <c16:uniqueId val="{00000014-AEC8-4EA0-9969-C1E28D83F9B4}"/>
              </c:ext>
            </c:extLst>
          </c:dPt>
          <c:dPt>
            <c:idx val="19"/>
            <c:invertIfNegative val="0"/>
            <c:bubble3D val="0"/>
            <c:extLst>
              <c:ext xmlns:c16="http://schemas.microsoft.com/office/drawing/2014/chart" uri="{C3380CC4-5D6E-409C-BE32-E72D297353CC}">
                <c16:uniqueId val="{00000015-AEC8-4EA0-9969-C1E28D83F9B4}"/>
              </c:ext>
            </c:extLst>
          </c:dPt>
          <c:dPt>
            <c:idx val="20"/>
            <c:invertIfNegative val="0"/>
            <c:bubble3D val="0"/>
            <c:extLst>
              <c:ext xmlns:c16="http://schemas.microsoft.com/office/drawing/2014/chart" uri="{C3380CC4-5D6E-409C-BE32-E72D297353CC}">
                <c16:uniqueId val="{00000016-AEC8-4EA0-9969-C1E28D83F9B4}"/>
              </c:ext>
            </c:extLst>
          </c:dPt>
          <c:dPt>
            <c:idx val="21"/>
            <c:invertIfNegative val="0"/>
            <c:bubble3D val="0"/>
            <c:extLst>
              <c:ext xmlns:c16="http://schemas.microsoft.com/office/drawing/2014/chart" uri="{C3380CC4-5D6E-409C-BE32-E72D297353CC}">
                <c16:uniqueId val="{00000017-AEC8-4EA0-9969-C1E28D83F9B4}"/>
              </c:ext>
            </c:extLst>
          </c:dPt>
          <c:dPt>
            <c:idx val="23"/>
            <c:invertIfNegative val="0"/>
            <c:bubble3D val="0"/>
            <c:extLst>
              <c:ext xmlns:c16="http://schemas.microsoft.com/office/drawing/2014/chart" uri="{C3380CC4-5D6E-409C-BE32-E72D297353CC}">
                <c16:uniqueId val="{00000018-AEC8-4EA0-9969-C1E28D83F9B4}"/>
              </c:ext>
            </c:extLst>
          </c:dPt>
          <c:dPt>
            <c:idx val="24"/>
            <c:invertIfNegative val="0"/>
            <c:bubble3D val="0"/>
            <c:extLst>
              <c:ext xmlns:c16="http://schemas.microsoft.com/office/drawing/2014/chart" uri="{C3380CC4-5D6E-409C-BE32-E72D297353CC}">
                <c16:uniqueId val="{00000019-AEC8-4EA0-9969-C1E28D83F9B4}"/>
              </c:ext>
            </c:extLst>
          </c:dPt>
          <c:dPt>
            <c:idx val="26"/>
            <c:invertIfNegative val="0"/>
            <c:bubble3D val="0"/>
            <c:extLst>
              <c:ext xmlns:c16="http://schemas.microsoft.com/office/drawing/2014/chart" uri="{C3380CC4-5D6E-409C-BE32-E72D297353CC}">
                <c16:uniqueId val="{0000001A-AEC8-4EA0-9969-C1E28D83F9B4}"/>
              </c:ext>
            </c:extLst>
          </c:dPt>
          <c:dPt>
            <c:idx val="28"/>
            <c:invertIfNegative val="0"/>
            <c:bubble3D val="0"/>
            <c:extLst>
              <c:ext xmlns:c16="http://schemas.microsoft.com/office/drawing/2014/chart" uri="{C3380CC4-5D6E-409C-BE32-E72D297353CC}">
                <c16:uniqueId val="{0000001B-AEC8-4EA0-9969-C1E28D83F9B4}"/>
              </c:ext>
            </c:extLst>
          </c:dPt>
          <c:dPt>
            <c:idx val="29"/>
            <c:invertIfNegative val="0"/>
            <c:bubble3D val="0"/>
            <c:extLst>
              <c:ext xmlns:c16="http://schemas.microsoft.com/office/drawing/2014/chart" uri="{C3380CC4-5D6E-409C-BE32-E72D297353CC}">
                <c16:uniqueId val="{0000001C-AEC8-4EA0-9969-C1E28D83F9B4}"/>
              </c:ext>
            </c:extLst>
          </c:dPt>
          <c:dPt>
            <c:idx val="30"/>
            <c:invertIfNegative val="0"/>
            <c:bubble3D val="0"/>
            <c:extLst>
              <c:ext xmlns:c16="http://schemas.microsoft.com/office/drawing/2014/chart" uri="{C3380CC4-5D6E-409C-BE32-E72D297353CC}">
                <c16:uniqueId val="{0000001D-AEC8-4EA0-9969-C1E28D83F9B4}"/>
              </c:ext>
            </c:extLst>
          </c:dPt>
          <c:dPt>
            <c:idx val="31"/>
            <c:invertIfNegative val="0"/>
            <c:bubble3D val="0"/>
            <c:extLst>
              <c:ext xmlns:c16="http://schemas.microsoft.com/office/drawing/2014/chart" uri="{C3380CC4-5D6E-409C-BE32-E72D297353CC}">
                <c16:uniqueId val="{0000001E-AEC8-4EA0-9969-C1E28D83F9B4}"/>
              </c:ext>
            </c:extLst>
          </c:dPt>
          <c:dPt>
            <c:idx val="38"/>
            <c:invertIfNegative val="0"/>
            <c:bubble3D val="0"/>
            <c:spPr>
              <a:solidFill>
                <a:srgbClr val="F79646">
                  <a:lumMod val="75000"/>
                </a:srgbClr>
              </a:solidFill>
            </c:spPr>
            <c:extLst>
              <c:ext xmlns:c16="http://schemas.microsoft.com/office/drawing/2014/chart" uri="{C3380CC4-5D6E-409C-BE32-E72D297353CC}">
                <c16:uniqueId val="{00000020-AEC8-4EA0-9969-C1E28D83F9B4}"/>
              </c:ext>
            </c:extLst>
          </c:dPt>
          <c:dPt>
            <c:idx val="39"/>
            <c:invertIfNegative val="0"/>
            <c:bubble3D val="0"/>
            <c:spPr>
              <a:solidFill>
                <a:srgbClr val="F79646">
                  <a:lumMod val="75000"/>
                </a:srgbClr>
              </a:solidFill>
            </c:spPr>
            <c:extLst>
              <c:ext xmlns:c16="http://schemas.microsoft.com/office/drawing/2014/chart" uri="{C3380CC4-5D6E-409C-BE32-E72D297353CC}">
                <c16:uniqueId val="{00000022-AEC8-4EA0-9969-C1E28D83F9B4}"/>
              </c:ext>
            </c:extLst>
          </c:dPt>
          <c:dPt>
            <c:idx val="40"/>
            <c:invertIfNegative val="0"/>
            <c:bubble3D val="0"/>
            <c:spPr>
              <a:solidFill>
                <a:srgbClr val="F79646">
                  <a:lumMod val="75000"/>
                </a:srgbClr>
              </a:solidFill>
            </c:spPr>
            <c:extLst>
              <c:ext xmlns:c16="http://schemas.microsoft.com/office/drawing/2014/chart" uri="{C3380CC4-5D6E-409C-BE32-E72D297353CC}">
                <c16:uniqueId val="{00000024-AEC8-4EA0-9969-C1E28D83F9B4}"/>
              </c:ext>
            </c:extLst>
          </c:dPt>
          <c:dPt>
            <c:idx val="41"/>
            <c:invertIfNegative val="0"/>
            <c:bubble3D val="0"/>
            <c:spPr>
              <a:solidFill>
                <a:srgbClr val="F79646">
                  <a:lumMod val="75000"/>
                </a:srgbClr>
              </a:solidFill>
            </c:spPr>
            <c:extLst>
              <c:ext xmlns:c16="http://schemas.microsoft.com/office/drawing/2014/chart" uri="{C3380CC4-5D6E-409C-BE32-E72D297353CC}">
                <c16:uniqueId val="{00000026-AEC8-4EA0-9969-C1E28D83F9B4}"/>
              </c:ext>
            </c:extLst>
          </c:dPt>
          <c:dPt>
            <c:idx val="42"/>
            <c:invertIfNegative val="0"/>
            <c:bubble3D val="0"/>
            <c:spPr>
              <a:solidFill>
                <a:srgbClr val="F79646">
                  <a:lumMod val="75000"/>
                </a:srgbClr>
              </a:solidFill>
            </c:spPr>
            <c:extLst>
              <c:ext xmlns:c16="http://schemas.microsoft.com/office/drawing/2014/chart" uri="{C3380CC4-5D6E-409C-BE32-E72D297353CC}">
                <c16:uniqueId val="{00000028-AEC8-4EA0-9969-C1E28D83F9B4}"/>
              </c:ext>
            </c:extLst>
          </c:dPt>
          <c:dPt>
            <c:idx val="43"/>
            <c:invertIfNegative val="0"/>
            <c:bubble3D val="0"/>
            <c:spPr>
              <a:solidFill>
                <a:srgbClr val="F79646">
                  <a:lumMod val="75000"/>
                </a:srgbClr>
              </a:solidFill>
            </c:spPr>
            <c:extLst>
              <c:ext xmlns:c16="http://schemas.microsoft.com/office/drawing/2014/chart" uri="{C3380CC4-5D6E-409C-BE32-E72D297353CC}">
                <c16:uniqueId val="{0000002A-AEC8-4EA0-9969-C1E28D83F9B4}"/>
              </c:ext>
            </c:extLst>
          </c:dPt>
          <c:dPt>
            <c:idx val="44"/>
            <c:invertIfNegative val="0"/>
            <c:bubble3D val="0"/>
            <c:spPr>
              <a:solidFill>
                <a:srgbClr val="F79646">
                  <a:lumMod val="75000"/>
                </a:srgbClr>
              </a:solidFill>
            </c:spPr>
            <c:extLst>
              <c:ext xmlns:c16="http://schemas.microsoft.com/office/drawing/2014/chart" uri="{C3380CC4-5D6E-409C-BE32-E72D297353CC}">
                <c16:uniqueId val="{0000002C-AEC8-4EA0-9969-C1E28D83F9B4}"/>
              </c:ext>
            </c:extLst>
          </c:dPt>
          <c:dPt>
            <c:idx val="45"/>
            <c:invertIfNegative val="0"/>
            <c:bubble3D val="0"/>
            <c:spPr>
              <a:solidFill>
                <a:srgbClr val="F79646">
                  <a:lumMod val="75000"/>
                </a:srgbClr>
              </a:solidFill>
            </c:spPr>
            <c:extLst>
              <c:ext xmlns:c16="http://schemas.microsoft.com/office/drawing/2014/chart" uri="{C3380CC4-5D6E-409C-BE32-E72D297353CC}">
                <c16:uniqueId val="{0000002E-AEC8-4EA0-9969-C1E28D83F9B4}"/>
              </c:ext>
            </c:extLst>
          </c:dPt>
          <c:dPt>
            <c:idx val="46"/>
            <c:invertIfNegative val="0"/>
            <c:bubble3D val="0"/>
            <c:spPr>
              <a:solidFill>
                <a:srgbClr val="F79646">
                  <a:lumMod val="75000"/>
                </a:srgbClr>
              </a:solidFill>
            </c:spPr>
            <c:extLst>
              <c:ext xmlns:c16="http://schemas.microsoft.com/office/drawing/2014/chart" uri="{C3380CC4-5D6E-409C-BE32-E72D297353CC}">
                <c16:uniqueId val="{00000030-AEC8-4EA0-9969-C1E28D83F9B4}"/>
              </c:ext>
            </c:extLst>
          </c:dPt>
          <c:dPt>
            <c:idx val="47"/>
            <c:invertIfNegative val="0"/>
            <c:bubble3D val="0"/>
            <c:spPr>
              <a:solidFill>
                <a:srgbClr val="F79646">
                  <a:lumMod val="75000"/>
                </a:srgbClr>
              </a:solidFill>
            </c:spPr>
            <c:extLst>
              <c:ext xmlns:c16="http://schemas.microsoft.com/office/drawing/2014/chart" uri="{C3380CC4-5D6E-409C-BE32-E72D297353CC}">
                <c16:uniqueId val="{00000032-AEC8-4EA0-9969-C1E28D83F9B4}"/>
              </c:ext>
            </c:extLst>
          </c:dPt>
          <c:dPt>
            <c:idx val="48"/>
            <c:invertIfNegative val="0"/>
            <c:bubble3D val="0"/>
            <c:spPr>
              <a:solidFill>
                <a:srgbClr val="F79646">
                  <a:lumMod val="75000"/>
                </a:srgbClr>
              </a:solidFill>
            </c:spPr>
            <c:extLst>
              <c:ext xmlns:c16="http://schemas.microsoft.com/office/drawing/2014/chart" uri="{C3380CC4-5D6E-409C-BE32-E72D297353CC}">
                <c16:uniqueId val="{00000034-AEC8-4EA0-9969-C1E28D83F9B4}"/>
              </c:ext>
            </c:extLst>
          </c:dPt>
          <c:dPt>
            <c:idx val="49"/>
            <c:invertIfNegative val="0"/>
            <c:bubble3D val="0"/>
            <c:spPr>
              <a:solidFill>
                <a:srgbClr val="F79646">
                  <a:lumMod val="75000"/>
                </a:srgbClr>
              </a:solidFill>
            </c:spPr>
            <c:extLst>
              <c:ext xmlns:c16="http://schemas.microsoft.com/office/drawing/2014/chart" uri="{C3380CC4-5D6E-409C-BE32-E72D297353CC}">
                <c16:uniqueId val="{00000036-AEC8-4EA0-9969-C1E28D83F9B4}"/>
              </c:ext>
            </c:extLst>
          </c:dPt>
          <c:dPt>
            <c:idx val="50"/>
            <c:invertIfNegative val="0"/>
            <c:bubble3D val="0"/>
            <c:spPr>
              <a:solidFill>
                <a:srgbClr val="F79646">
                  <a:lumMod val="75000"/>
                </a:srgbClr>
              </a:solidFill>
            </c:spPr>
            <c:extLst>
              <c:ext xmlns:c16="http://schemas.microsoft.com/office/drawing/2014/chart" uri="{C3380CC4-5D6E-409C-BE32-E72D297353CC}">
                <c16:uniqueId val="{00000038-AEC8-4EA0-9969-C1E28D83F9B4}"/>
              </c:ext>
            </c:extLst>
          </c:dPt>
          <c:dPt>
            <c:idx val="51"/>
            <c:invertIfNegative val="0"/>
            <c:bubble3D val="0"/>
            <c:spPr>
              <a:solidFill>
                <a:schemeClr val="accent6">
                  <a:lumMod val="60000"/>
                  <a:lumOff val="40000"/>
                </a:schemeClr>
              </a:solidFill>
            </c:spPr>
            <c:extLst>
              <c:ext xmlns:c16="http://schemas.microsoft.com/office/drawing/2014/chart" uri="{C3380CC4-5D6E-409C-BE32-E72D297353CC}">
                <c16:uniqueId val="{0000003A-AEC8-4EA0-9969-C1E28D83F9B4}"/>
              </c:ext>
            </c:extLst>
          </c:dPt>
          <c:dPt>
            <c:idx val="52"/>
            <c:invertIfNegative val="0"/>
            <c:bubble3D val="0"/>
            <c:spPr>
              <a:solidFill>
                <a:schemeClr val="accent6">
                  <a:lumMod val="60000"/>
                  <a:lumOff val="40000"/>
                </a:schemeClr>
              </a:solidFill>
            </c:spPr>
            <c:extLst>
              <c:ext xmlns:c16="http://schemas.microsoft.com/office/drawing/2014/chart" uri="{C3380CC4-5D6E-409C-BE32-E72D297353CC}">
                <c16:uniqueId val="{0000003C-AEC8-4EA0-9969-C1E28D83F9B4}"/>
              </c:ext>
            </c:extLst>
          </c:dPt>
          <c:dPt>
            <c:idx val="53"/>
            <c:invertIfNegative val="0"/>
            <c:bubble3D val="0"/>
            <c:spPr>
              <a:solidFill>
                <a:schemeClr val="accent6">
                  <a:lumMod val="60000"/>
                  <a:lumOff val="40000"/>
                </a:schemeClr>
              </a:solidFill>
            </c:spPr>
            <c:extLst>
              <c:ext xmlns:c16="http://schemas.microsoft.com/office/drawing/2014/chart" uri="{C3380CC4-5D6E-409C-BE32-E72D297353CC}">
                <c16:uniqueId val="{0000003E-AEC8-4EA0-9969-C1E28D83F9B4}"/>
              </c:ext>
            </c:extLst>
          </c:dPt>
          <c:dPt>
            <c:idx val="54"/>
            <c:invertIfNegative val="0"/>
            <c:bubble3D val="0"/>
            <c:spPr>
              <a:solidFill>
                <a:schemeClr val="accent6">
                  <a:lumMod val="60000"/>
                  <a:lumOff val="40000"/>
                </a:schemeClr>
              </a:solidFill>
            </c:spPr>
            <c:extLst>
              <c:ext xmlns:c16="http://schemas.microsoft.com/office/drawing/2014/chart" uri="{C3380CC4-5D6E-409C-BE32-E72D297353CC}">
                <c16:uniqueId val="{00000040-AEC8-4EA0-9969-C1E28D83F9B4}"/>
              </c:ext>
            </c:extLst>
          </c:dPt>
          <c:dPt>
            <c:idx val="55"/>
            <c:invertIfNegative val="0"/>
            <c:bubble3D val="0"/>
            <c:spPr>
              <a:solidFill>
                <a:schemeClr val="accent6">
                  <a:lumMod val="60000"/>
                  <a:lumOff val="40000"/>
                </a:schemeClr>
              </a:solidFill>
            </c:spPr>
            <c:extLst>
              <c:ext xmlns:c16="http://schemas.microsoft.com/office/drawing/2014/chart" uri="{C3380CC4-5D6E-409C-BE32-E72D297353CC}">
                <c16:uniqueId val="{00000042-AEC8-4EA0-9969-C1E28D83F9B4}"/>
              </c:ext>
            </c:extLst>
          </c:dPt>
          <c:dPt>
            <c:idx val="56"/>
            <c:invertIfNegative val="0"/>
            <c:bubble3D val="0"/>
            <c:spPr>
              <a:solidFill>
                <a:schemeClr val="accent6">
                  <a:lumMod val="60000"/>
                  <a:lumOff val="40000"/>
                </a:schemeClr>
              </a:solidFill>
            </c:spPr>
            <c:extLst>
              <c:ext xmlns:c16="http://schemas.microsoft.com/office/drawing/2014/chart" uri="{C3380CC4-5D6E-409C-BE32-E72D297353CC}">
                <c16:uniqueId val="{00000044-AEC8-4EA0-9969-C1E28D83F9B4}"/>
              </c:ext>
            </c:extLst>
          </c:dPt>
          <c:dPt>
            <c:idx val="57"/>
            <c:invertIfNegative val="0"/>
            <c:bubble3D val="0"/>
            <c:spPr>
              <a:solidFill>
                <a:schemeClr val="accent6">
                  <a:lumMod val="60000"/>
                  <a:lumOff val="40000"/>
                </a:schemeClr>
              </a:solidFill>
            </c:spPr>
            <c:extLst>
              <c:ext xmlns:c16="http://schemas.microsoft.com/office/drawing/2014/chart" uri="{C3380CC4-5D6E-409C-BE32-E72D297353CC}">
                <c16:uniqueId val="{00000046-AEC8-4EA0-9969-C1E28D83F9B4}"/>
              </c:ext>
            </c:extLst>
          </c:dPt>
          <c:dPt>
            <c:idx val="58"/>
            <c:invertIfNegative val="0"/>
            <c:bubble3D val="0"/>
            <c:spPr>
              <a:solidFill>
                <a:schemeClr val="accent6">
                  <a:lumMod val="60000"/>
                  <a:lumOff val="40000"/>
                </a:schemeClr>
              </a:solidFill>
            </c:spPr>
            <c:extLst>
              <c:ext xmlns:c16="http://schemas.microsoft.com/office/drawing/2014/chart" uri="{C3380CC4-5D6E-409C-BE32-E72D297353CC}">
                <c16:uniqueId val="{00000048-AEC8-4EA0-9969-C1E28D83F9B4}"/>
              </c:ext>
            </c:extLst>
          </c:dPt>
          <c:dPt>
            <c:idx val="59"/>
            <c:invertIfNegative val="0"/>
            <c:bubble3D val="0"/>
            <c:spPr>
              <a:solidFill>
                <a:schemeClr val="accent6">
                  <a:lumMod val="60000"/>
                  <a:lumOff val="40000"/>
                </a:schemeClr>
              </a:solidFill>
            </c:spPr>
            <c:extLst>
              <c:ext xmlns:c16="http://schemas.microsoft.com/office/drawing/2014/chart" uri="{C3380CC4-5D6E-409C-BE32-E72D297353CC}">
                <c16:uniqueId val="{0000004A-AEC8-4EA0-9969-C1E28D83F9B4}"/>
              </c:ext>
            </c:extLst>
          </c:dPt>
          <c:dPt>
            <c:idx val="60"/>
            <c:invertIfNegative val="0"/>
            <c:bubble3D val="0"/>
            <c:spPr>
              <a:solidFill>
                <a:schemeClr val="accent6">
                  <a:lumMod val="60000"/>
                  <a:lumOff val="40000"/>
                </a:schemeClr>
              </a:solidFill>
            </c:spPr>
            <c:extLst>
              <c:ext xmlns:c16="http://schemas.microsoft.com/office/drawing/2014/chart" uri="{C3380CC4-5D6E-409C-BE32-E72D297353CC}">
                <c16:uniqueId val="{0000004C-AEC8-4EA0-9969-C1E28D83F9B4}"/>
              </c:ext>
            </c:extLst>
          </c:dPt>
          <c:dPt>
            <c:idx val="61"/>
            <c:invertIfNegative val="0"/>
            <c:bubble3D val="0"/>
            <c:spPr>
              <a:solidFill>
                <a:schemeClr val="accent6">
                  <a:lumMod val="60000"/>
                  <a:lumOff val="40000"/>
                </a:schemeClr>
              </a:solidFill>
            </c:spPr>
            <c:extLst>
              <c:ext xmlns:c16="http://schemas.microsoft.com/office/drawing/2014/chart" uri="{C3380CC4-5D6E-409C-BE32-E72D297353CC}">
                <c16:uniqueId val="{0000004E-AEC8-4EA0-9969-C1E28D83F9B4}"/>
              </c:ext>
            </c:extLst>
          </c:dPt>
          <c:dPt>
            <c:idx val="62"/>
            <c:invertIfNegative val="0"/>
            <c:bubble3D val="0"/>
            <c:spPr>
              <a:solidFill>
                <a:schemeClr val="accent6">
                  <a:lumMod val="60000"/>
                  <a:lumOff val="40000"/>
                </a:schemeClr>
              </a:solidFill>
            </c:spPr>
            <c:extLst>
              <c:ext xmlns:c16="http://schemas.microsoft.com/office/drawing/2014/chart" uri="{C3380CC4-5D6E-409C-BE32-E72D297353CC}">
                <c16:uniqueId val="{00000050-AEC8-4EA0-9969-C1E28D83F9B4}"/>
              </c:ext>
            </c:extLst>
          </c:dPt>
          <c:dPt>
            <c:idx val="63"/>
            <c:invertIfNegative val="0"/>
            <c:bubble3D val="0"/>
            <c:spPr>
              <a:solidFill>
                <a:schemeClr val="accent6">
                  <a:lumMod val="60000"/>
                  <a:lumOff val="40000"/>
                </a:schemeClr>
              </a:solidFill>
            </c:spPr>
            <c:extLst>
              <c:ext xmlns:c16="http://schemas.microsoft.com/office/drawing/2014/chart" uri="{C3380CC4-5D6E-409C-BE32-E72D297353CC}">
                <c16:uniqueId val="{00000052-AEC8-4EA0-9969-C1E28D83F9B4}"/>
              </c:ext>
            </c:extLst>
          </c:dPt>
          <c:dPt>
            <c:idx val="64"/>
            <c:invertIfNegative val="0"/>
            <c:bubble3D val="0"/>
            <c:spPr>
              <a:solidFill>
                <a:schemeClr val="accent6">
                  <a:lumMod val="60000"/>
                  <a:lumOff val="40000"/>
                </a:schemeClr>
              </a:solidFill>
            </c:spPr>
            <c:extLst>
              <c:ext xmlns:c16="http://schemas.microsoft.com/office/drawing/2014/chart" uri="{C3380CC4-5D6E-409C-BE32-E72D297353CC}">
                <c16:uniqueId val="{00000054-AEC8-4EA0-9969-C1E28D83F9B4}"/>
              </c:ext>
            </c:extLst>
          </c:dPt>
          <c:dPt>
            <c:idx val="65"/>
            <c:invertIfNegative val="0"/>
            <c:bubble3D val="0"/>
            <c:spPr>
              <a:solidFill>
                <a:schemeClr val="accent6">
                  <a:lumMod val="60000"/>
                  <a:lumOff val="40000"/>
                </a:schemeClr>
              </a:solidFill>
            </c:spPr>
            <c:extLst>
              <c:ext xmlns:c16="http://schemas.microsoft.com/office/drawing/2014/chart" uri="{C3380CC4-5D6E-409C-BE32-E72D297353CC}">
                <c16:uniqueId val="{00000056-AEC8-4EA0-9969-C1E28D83F9B4}"/>
              </c:ext>
            </c:extLst>
          </c:dPt>
          <c:dPt>
            <c:idx val="66"/>
            <c:invertIfNegative val="0"/>
            <c:bubble3D val="0"/>
            <c:spPr>
              <a:solidFill>
                <a:schemeClr val="accent6">
                  <a:lumMod val="60000"/>
                  <a:lumOff val="40000"/>
                </a:schemeClr>
              </a:solidFill>
            </c:spPr>
            <c:extLst>
              <c:ext xmlns:c16="http://schemas.microsoft.com/office/drawing/2014/chart" uri="{C3380CC4-5D6E-409C-BE32-E72D297353CC}">
                <c16:uniqueId val="{00000058-AEC8-4EA0-9969-C1E28D83F9B4}"/>
              </c:ext>
            </c:extLst>
          </c:dPt>
          <c:dPt>
            <c:idx val="67"/>
            <c:invertIfNegative val="0"/>
            <c:bubble3D val="0"/>
            <c:spPr>
              <a:solidFill>
                <a:schemeClr val="accent6">
                  <a:lumMod val="60000"/>
                  <a:lumOff val="40000"/>
                </a:schemeClr>
              </a:solidFill>
            </c:spPr>
            <c:extLst>
              <c:ext xmlns:c16="http://schemas.microsoft.com/office/drawing/2014/chart" uri="{C3380CC4-5D6E-409C-BE32-E72D297353CC}">
                <c16:uniqueId val="{0000005A-AEC8-4EA0-9969-C1E28D83F9B4}"/>
              </c:ext>
            </c:extLst>
          </c:dPt>
          <c:dPt>
            <c:idx val="68"/>
            <c:invertIfNegative val="0"/>
            <c:bubble3D val="0"/>
            <c:spPr>
              <a:solidFill>
                <a:schemeClr val="accent6">
                  <a:lumMod val="60000"/>
                  <a:lumOff val="40000"/>
                </a:schemeClr>
              </a:solidFill>
            </c:spPr>
            <c:extLst>
              <c:ext xmlns:c16="http://schemas.microsoft.com/office/drawing/2014/chart" uri="{C3380CC4-5D6E-409C-BE32-E72D297353CC}">
                <c16:uniqueId val="{0000005C-AEC8-4EA0-9969-C1E28D83F9B4}"/>
              </c:ext>
            </c:extLst>
          </c:dPt>
          <c:dPt>
            <c:idx val="69"/>
            <c:invertIfNegative val="0"/>
            <c:bubble3D val="0"/>
            <c:spPr>
              <a:solidFill>
                <a:schemeClr val="accent6">
                  <a:lumMod val="60000"/>
                  <a:lumOff val="40000"/>
                </a:schemeClr>
              </a:solidFill>
            </c:spPr>
            <c:extLst>
              <c:ext xmlns:c16="http://schemas.microsoft.com/office/drawing/2014/chart" uri="{C3380CC4-5D6E-409C-BE32-E72D297353CC}">
                <c16:uniqueId val="{0000005E-AEC8-4EA0-9969-C1E28D83F9B4}"/>
              </c:ext>
            </c:extLst>
          </c:dPt>
          <c:dPt>
            <c:idx val="70"/>
            <c:invertIfNegative val="0"/>
            <c:bubble3D val="0"/>
            <c:spPr>
              <a:solidFill>
                <a:schemeClr val="accent6">
                  <a:lumMod val="60000"/>
                  <a:lumOff val="40000"/>
                </a:schemeClr>
              </a:solidFill>
            </c:spPr>
            <c:extLst>
              <c:ext xmlns:c16="http://schemas.microsoft.com/office/drawing/2014/chart" uri="{C3380CC4-5D6E-409C-BE32-E72D297353CC}">
                <c16:uniqueId val="{00000060-AEC8-4EA0-9969-C1E28D83F9B4}"/>
              </c:ext>
            </c:extLst>
          </c:dPt>
          <c:dPt>
            <c:idx val="71"/>
            <c:invertIfNegative val="0"/>
            <c:bubble3D val="0"/>
            <c:spPr>
              <a:solidFill>
                <a:schemeClr val="accent6">
                  <a:lumMod val="60000"/>
                  <a:lumOff val="40000"/>
                </a:schemeClr>
              </a:solidFill>
            </c:spPr>
            <c:extLst>
              <c:ext xmlns:c16="http://schemas.microsoft.com/office/drawing/2014/chart" uri="{C3380CC4-5D6E-409C-BE32-E72D297353CC}">
                <c16:uniqueId val="{00000062-AEC8-4EA0-9969-C1E28D83F9B4}"/>
              </c:ext>
            </c:extLst>
          </c:dPt>
          <c:dPt>
            <c:idx val="72"/>
            <c:invertIfNegative val="0"/>
            <c:bubble3D val="0"/>
            <c:spPr>
              <a:solidFill>
                <a:schemeClr val="accent6">
                  <a:lumMod val="60000"/>
                  <a:lumOff val="40000"/>
                </a:schemeClr>
              </a:solidFill>
            </c:spPr>
            <c:extLst>
              <c:ext xmlns:c16="http://schemas.microsoft.com/office/drawing/2014/chart" uri="{C3380CC4-5D6E-409C-BE32-E72D297353CC}">
                <c16:uniqueId val="{00000064-AEC8-4EA0-9969-C1E28D83F9B4}"/>
              </c:ext>
            </c:extLst>
          </c:dPt>
          <c:dPt>
            <c:idx val="73"/>
            <c:invertIfNegative val="0"/>
            <c:bubble3D val="0"/>
            <c:spPr>
              <a:solidFill>
                <a:schemeClr val="accent6">
                  <a:lumMod val="60000"/>
                  <a:lumOff val="40000"/>
                </a:schemeClr>
              </a:solidFill>
            </c:spPr>
            <c:extLst>
              <c:ext xmlns:c16="http://schemas.microsoft.com/office/drawing/2014/chart" uri="{C3380CC4-5D6E-409C-BE32-E72D297353CC}">
                <c16:uniqueId val="{00000066-AEC8-4EA0-9969-C1E28D83F9B4}"/>
              </c:ext>
            </c:extLst>
          </c:dPt>
          <c:dPt>
            <c:idx val="74"/>
            <c:invertIfNegative val="0"/>
            <c:bubble3D val="0"/>
            <c:spPr>
              <a:solidFill>
                <a:schemeClr val="accent6">
                  <a:lumMod val="60000"/>
                  <a:lumOff val="40000"/>
                </a:schemeClr>
              </a:solidFill>
            </c:spPr>
            <c:extLst>
              <c:ext xmlns:c16="http://schemas.microsoft.com/office/drawing/2014/chart" uri="{C3380CC4-5D6E-409C-BE32-E72D297353CC}">
                <c16:uniqueId val="{00000068-AEC8-4EA0-9969-C1E28D83F9B4}"/>
              </c:ext>
            </c:extLst>
          </c:dPt>
          <c:dPt>
            <c:idx val="75"/>
            <c:invertIfNegative val="0"/>
            <c:bubble3D val="0"/>
            <c:spPr>
              <a:solidFill>
                <a:schemeClr val="accent6">
                  <a:lumMod val="75000"/>
                </a:schemeClr>
              </a:solidFill>
            </c:spPr>
            <c:extLst>
              <c:ext xmlns:c16="http://schemas.microsoft.com/office/drawing/2014/chart" uri="{C3380CC4-5D6E-409C-BE32-E72D297353CC}">
                <c16:uniqueId val="{0000006A-AEC8-4EA0-9969-C1E28D83F9B4}"/>
              </c:ext>
            </c:extLst>
          </c:dPt>
          <c:dPt>
            <c:idx val="76"/>
            <c:invertIfNegative val="0"/>
            <c:bubble3D val="0"/>
            <c:spPr>
              <a:solidFill>
                <a:schemeClr val="accent6">
                  <a:lumMod val="75000"/>
                </a:schemeClr>
              </a:solidFill>
            </c:spPr>
            <c:extLst>
              <c:ext xmlns:c16="http://schemas.microsoft.com/office/drawing/2014/chart" uri="{C3380CC4-5D6E-409C-BE32-E72D297353CC}">
                <c16:uniqueId val="{0000006C-AEC8-4EA0-9969-C1E28D83F9B4}"/>
              </c:ext>
            </c:extLst>
          </c:dPt>
          <c:dPt>
            <c:idx val="77"/>
            <c:invertIfNegative val="0"/>
            <c:bubble3D val="0"/>
            <c:spPr>
              <a:solidFill>
                <a:schemeClr val="accent6">
                  <a:lumMod val="75000"/>
                </a:schemeClr>
              </a:solidFill>
            </c:spPr>
            <c:extLst>
              <c:ext xmlns:c16="http://schemas.microsoft.com/office/drawing/2014/chart" uri="{C3380CC4-5D6E-409C-BE32-E72D297353CC}">
                <c16:uniqueId val="{0000006E-AEC8-4EA0-9969-C1E28D83F9B4}"/>
              </c:ext>
            </c:extLst>
          </c:dPt>
          <c:dPt>
            <c:idx val="78"/>
            <c:invertIfNegative val="0"/>
            <c:bubble3D val="0"/>
            <c:spPr>
              <a:solidFill>
                <a:schemeClr val="accent6">
                  <a:lumMod val="75000"/>
                </a:schemeClr>
              </a:solidFill>
            </c:spPr>
            <c:extLst>
              <c:ext xmlns:c16="http://schemas.microsoft.com/office/drawing/2014/chart" uri="{C3380CC4-5D6E-409C-BE32-E72D297353CC}">
                <c16:uniqueId val="{00000070-AEC8-4EA0-9969-C1E28D83F9B4}"/>
              </c:ext>
            </c:extLst>
          </c:dPt>
          <c:dPt>
            <c:idx val="79"/>
            <c:invertIfNegative val="0"/>
            <c:bubble3D val="0"/>
            <c:spPr>
              <a:solidFill>
                <a:schemeClr val="accent6">
                  <a:lumMod val="75000"/>
                </a:schemeClr>
              </a:solidFill>
            </c:spPr>
            <c:extLst>
              <c:ext xmlns:c16="http://schemas.microsoft.com/office/drawing/2014/chart" uri="{C3380CC4-5D6E-409C-BE32-E72D297353CC}">
                <c16:uniqueId val="{00000072-AEC8-4EA0-9969-C1E28D83F9B4}"/>
              </c:ext>
            </c:extLst>
          </c:dPt>
          <c:dLbls>
            <c:dLbl>
              <c:idx val="8"/>
              <c:numFmt formatCode="#,##0.0" sourceLinked="0"/>
              <c:spPr>
                <a:noFill/>
                <a:ln>
                  <a:noFill/>
                </a:ln>
                <a:effectLst/>
              </c:spPr>
              <c:txPr>
                <a:bodyPr rot="0" vert="horz"/>
                <a:lstStyle/>
                <a:p>
                  <a:pPr>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E-AEC8-4EA0-9969-C1E28D83F9B4}"/>
                </c:ext>
              </c:extLst>
            </c:dLbl>
            <c:dLbl>
              <c:idx val="24"/>
              <c:numFmt formatCode="#,##0.0" sourceLinked="0"/>
              <c:spPr>
                <a:noFill/>
                <a:ln>
                  <a:noFill/>
                </a:ln>
                <a:effectLst/>
              </c:spPr>
              <c:txPr>
                <a:bodyPr rot="0" vert="horz"/>
                <a:lstStyle/>
                <a:p>
                  <a:pPr>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9-AEC8-4EA0-9969-C1E28D83F9B4}"/>
                </c:ext>
              </c:extLst>
            </c:dLbl>
            <c:numFmt formatCode="#,##0.0" sourceLinked="0"/>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Sheet1!$A$2:$A$81</c:f>
              <c:strCache>
                <c:ptCount val="39"/>
                <c:pt idx="0">
                  <c:v>C Apstrādes rūpniecība</c:v>
                </c:pt>
                <c:pt idx="1">
                  <c:v>G47 Mazumtirdzniecība, izņemot automobiļus un motociklus</c:v>
                </c:pt>
                <c:pt idx="2">
                  <c:v>F Būvniecība</c:v>
                </c:pt>
                <c:pt idx="3">
                  <c:v>G Vairumtirdzniecība un mazumtirdzniecība, automobiļu un motociklu remonts</c:v>
                </c:pt>
                <c:pt idx="4">
                  <c:v>H Transports un uzglabāšana</c:v>
                </c:pt>
                <c:pt idx="5">
                  <c:v>C16 Koksnes, koka un korķa izstrādājumu ražošana, izņemot mēbeles, salmu un pīto izstrādājumu ražošana</c:v>
                </c:pt>
                <c:pt idx="6">
                  <c:v>H49 Sauszemes transports un cauruļvadu transports</c:v>
                </c:pt>
                <c:pt idx="7">
                  <c:v>P Izglītība</c:v>
                </c:pt>
                <c:pt idx="8">
                  <c:v>P85 Izglītība</c:v>
                </c:pt>
                <c:pt idx="9">
                  <c:v>C31 Mēbeļu ražošana</c:v>
                </c:pt>
                <c:pt idx="10">
                  <c:v>F43 Specializētie būvdarbi</c:v>
                </c:pt>
                <c:pt idx="11">
                  <c:v>F41 Ēku būvniecība</c:v>
                </c:pt>
                <c:pt idx="12">
                  <c:v>H52 Uzglabāšanas un transporta palīgdarbības</c:v>
                </c:pt>
                <c:pt idx="13">
                  <c:v>H53 Pasta un kurjeru darbība</c:v>
                </c:pt>
                <c:pt idx="14">
                  <c:v>S Citi pakalpojumi</c:v>
                </c:pt>
                <c:pt idx="15">
                  <c:v>C108 Citu pārtikas produktu ražošana</c:v>
                </c:pt>
                <c:pt idx="16">
                  <c:v>C23 Nemetālisko minerālu izstrādājumu ražošana</c:v>
                </c:pt>
                <c:pt idx="17">
                  <c:v>C14 Apģērbu ražošana</c:v>
                </c:pt>
                <c:pt idx="19">
                  <c:v>L Operācijas ar nekustamo īpašumu</c:v>
                </c:pt>
                <c:pt idx="20">
                  <c:v>L68 Operācijas ar nekustamo īpašumu</c:v>
                </c:pt>
                <c:pt idx="21">
                  <c:v>K Finanšu un apdrošināšanas darbības</c:v>
                </c:pt>
                <c:pt idx="22">
                  <c:v>C103 Augļu un dārzeņu pārstrāde un konservēšana</c:v>
                </c:pt>
                <c:pt idx="23">
                  <c:v>N78 Darbaspēka meklēšana un nodrošināšana ar personālu</c:v>
                </c:pt>
                <c:pt idx="24">
                  <c:v>R Māksla, izklaide un atpūta</c:v>
                </c:pt>
                <c:pt idx="25">
                  <c:v>A Lauksaimniecība, mežsaimniecība un zivsaimniecība</c:v>
                </c:pt>
                <c:pt idx="26">
                  <c:v>N81 Būvniecības un ainavu arhitektu pakalpojumi</c:v>
                </c:pt>
                <c:pt idx="27">
                  <c:v>Q87 Sociālā aprūpe ar izmitināšanu</c:v>
                </c:pt>
                <c:pt idx="28">
                  <c:v>A02 Mežsaimniecība un mežizstrāde</c:v>
                </c:pt>
                <c:pt idx="29">
                  <c:v>Q86 Veselības aizsardzība</c:v>
                </c:pt>
                <c:pt idx="30">
                  <c:v>I55 Izmitināšana</c:v>
                </c:pt>
                <c:pt idx="31">
                  <c:v>H51 Gaisa transports</c:v>
                </c:pt>
                <c:pt idx="32">
                  <c:v>N Administratīvo un apkalpojošo dienestu darbība</c:v>
                </c:pt>
                <c:pt idx="33">
                  <c:v>J Informācijas un komunikācijas pakalpojumi</c:v>
                </c:pt>
                <c:pt idx="34">
                  <c:v>J62 Datorprogrammēšana, konsultēšana un saistītas darbības</c:v>
                </c:pt>
                <c:pt idx="35">
                  <c:v>I56 Ēdināšanas pakalpojumi</c:v>
                </c:pt>
                <c:pt idx="36">
                  <c:v>I Izmitināšana un ēdināšanas pakalpojumi</c:v>
                </c:pt>
                <c:pt idx="37">
                  <c:v>Q88 Sociālā aprūpe bez izmitināšanas</c:v>
                </c:pt>
                <c:pt idx="38">
                  <c:v>Q Veselība un sociālā aprūpe</c:v>
                </c:pt>
              </c:strCache>
            </c:strRef>
          </c:cat>
          <c:val>
            <c:numRef>
              <c:f>Sheet1!$B$2:$B$81</c:f>
              <c:numCache>
                <c:formatCode>General</c:formatCode>
                <c:ptCount val="39"/>
                <c:pt idx="0">
                  <c:v>-4.8099999999999881</c:v>
                </c:pt>
                <c:pt idx="1">
                  <c:v>-2.590999999999994</c:v>
                </c:pt>
                <c:pt idx="2">
                  <c:v>-2.1939999999999955</c:v>
                </c:pt>
                <c:pt idx="3">
                  <c:v>-2.0090000000000146</c:v>
                </c:pt>
                <c:pt idx="4">
                  <c:v>-1.909000000000006</c:v>
                </c:pt>
                <c:pt idx="5">
                  <c:v>-1.7330000000000005</c:v>
                </c:pt>
                <c:pt idx="6">
                  <c:v>-1.713000000000001</c:v>
                </c:pt>
                <c:pt idx="7">
                  <c:v>-1.1530000000000058</c:v>
                </c:pt>
                <c:pt idx="8">
                  <c:v>-1.1530000000000058</c:v>
                </c:pt>
                <c:pt idx="9">
                  <c:v>-1.1459999999999999</c:v>
                </c:pt>
                <c:pt idx="10">
                  <c:v>-1.1430000000000007</c:v>
                </c:pt>
                <c:pt idx="11">
                  <c:v>-1.0910000000000011</c:v>
                </c:pt>
                <c:pt idx="12">
                  <c:v>-0.94399999999999906</c:v>
                </c:pt>
                <c:pt idx="13">
                  <c:v>-0.74499999999999966</c:v>
                </c:pt>
                <c:pt idx="14">
                  <c:v>-0.7289999999999992</c:v>
                </c:pt>
                <c:pt idx="15">
                  <c:v>-0.69200000000000017</c:v>
                </c:pt>
                <c:pt idx="16">
                  <c:v>-0.67500000000000071</c:v>
                </c:pt>
                <c:pt idx="17">
                  <c:v>-0.66999999999999993</c:v>
                </c:pt>
              </c:numCache>
            </c:numRef>
          </c:val>
          <c:extLst>
            <c:ext xmlns:c16="http://schemas.microsoft.com/office/drawing/2014/chart" uri="{C3380CC4-5D6E-409C-BE32-E72D297353CC}">
              <c16:uniqueId val="{00000073-AEC8-4EA0-9969-C1E28D83F9B4}"/>
            </c:ext>
          </c:extLst>
        </c:ser>
        <c:ser>
          <c:idx val="1"/>
          <c:order val="1"/>
          <c:tx>
            <c:strRef>
              <c:f>Sheet1!$C$1</c:f>
              <c:strCache>
                <c:ptCount val="1"/>
              </c:strCache>
            </c:strRef>
          </c:tx>
          <c:spPr>
            <a:solidFill>
              <a:srgbClr val="9BBB59"/>
            </a:solidFill>
          </c:spPr>
          <c:invertIfNegative val="0"/>
          <c:dLbls>
            <c:dLbl>
              <c:idx val="38"/>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74-AEC8-4EA0-9969-C1E28D83F9B4}"/>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Sheet1!$C$2:$C$81</c:f>
              <c:numCache>
                <c:formatCode>General</c:formatCode>
                <c:ptCount val="39"/>
                <c:pt idx="19">
                  <c:v>0.54499999999999815</c:v>
                </c:pt>
                <c:pt idx="20">
                  <c:v>0.54499999999999815</c:v>
                </c:pt>
                <c:pt idx="21">
                  <c:v>0.60800000000000054</c:v>
                </c:pt>
                <c:pt idx="22">
                  <c:v>0.61599999999999988</c:v>
                </c:pt>
                <c:pt idx="23">
                  <c:v>0.67199999999999971</c:v>
                </c:pt>
                <c:pt idx="24">
                  <c:v>0.72299999999999898</c:v>
                </c:pt>
                <c:pt idx="25">
                  <c:v>0.90299999999999869</c:v>
                </c:pt>
                <c:pt idx="26">
                  <c:v>1.0060000000000002</c:v>
                </c:pt>
                <c:pt idx="27">
                  <c:v>1.0270000000000001</c:v>
                </c:pt>
                <c:pt idx="28">
                  <c:v>1.2700000000000014</c:v>
                </c:pt>
                <c:pt idx="29">
                  <c:v>1.3299999999999983</c:v>
                </c:pt>
                <c:pt idx="30">
                  <c:v>1.3649999999999993</c:v>
                </c:pt>
                <c:pt idx="31">
                  <c:v>1.4410000000000001</c:v>
                </c:pt>
                <c:pt idx="32">
                  <c:v>1.5859999999999985</c:v>
                </c:pt>
                <c:pt idx="33">
                  <c:v>1.6229999999999976</c:v>
                </c:pt>
                <c:pt idx="34">
                  <c:v>1.9230000000000018</c:v>
                </c:pt>
                <c:pt idx="35">
                  <c:v>3.2210000000000001</c:v>
                </c:pt>
                <c:pt idx="36">
                  <c:v>4.5860000000000021</c:v>
                </c:pt>
                <c:pt idx="37">
                  <c:v>4.9230000000000018</c:v>
                </c:pt>
                <c:pt idx="38">
                  <c:v>7.2800000000000011</c:v>
                </c:pt>
              </c:numCache>
            </c:numRef>
          </c:val>
          <c:extLst>
            <c:ext xmlns:c16="http://schemas.microsoft.com/office/drawing/2014/chart" uri="{C3380CC4-5D6E-409C-BE32-E72D297353CC}">
              <c16:uniqueId val="{00000075-AEC8-4EA0-9969-C1E28D83F9B4}"/>
            </c:ext>
          </c:extLst>
        </c:ser>
        <c:dLbls>
          <c:showLegendKey val="0"/>
          <c:showVal val="0"/>
          <c:showCatName val="0"/>
          <c:showSerName val="0"/>
          <c:showPercent val="0"/>
          <c:showBubbleSize val="0"/>
        </c:dLbls>
        <c:gapWidth val="20"/>
        <c:overlap val="100"/>
        <c:axId val="265297168"/>
        <c:axId val="265297952"/>
      </c:barChart>
      <c:catAx>
        <c:axId val="265297168"/>
        <c:scaling>
          <c:orientation val="minMax"/>
        </c:scaling>
        <c:delete val="0"/>
        <c:axPos val="b"/>
        <c:numFmt formatCode="General" sourceLinked="1"/>
        <c:majorTickMark val="none"/>
        <c:minorTickMark val="none"/>
        <c:tickLblPos val="low"/>
        <c:spPr>
          <a:noFill/>
          <a:ln w="3175"/>
        </c:spPr>
        <c:txPr>
          <a:bodyPr rot="-5400000" vert="horz"/>
          <a:lstStyle/>
          <a:p>
            <a:pPr>
              <a:defRPr/>
            </a:pPr>
            <a:endParaRPr lang="lv-LV"/>
          </a:p>
        </c:txPr>
        <c:crossAx val="265297952"/>
        <c:crosses val="autoZero"/>
        <c:auto val="1"/>
        <c:lblAlgn val="ctr"/>
        <c:lblOffset val="200"/>
        <c:tickLblSkip val="1"/>
        <c:noMultiLvlLbl val="1"/>
      </c:catAx>
      <c:valAx>
        <c:axId val="265297952"/>
        <c:scaling>
          <c:orientation val="minMax"/>
          <c:max val="8"/>
        </c:scaling>
        <c:delete val="1"/>
        <c:axPos val="l"/>
        <c:numFmt formatCode="0" sourceLinked="0"/>
        <c:majorTickMark val="out"/>
        <c:minorTickMark val="none"/>
        <c:tickLblPos val="nextTo"/>
        <c:crossAx val="265297168"/>
        <c:crosses val="autoZero"/>
        <c:crossBetween val="between"/>
        <c:majorUnit val="1"/>
      </c:valAx>
      <c:spPr>
        <a:noFill/>
        <a:ln w="24758">
          <a:noFill/>
        </a:ln>
      </c:spPr>
    </c:plotArea>
    <c:plotVisOnly val="1"/>
    <c:dispBlanksAs val="gap"/>
    <c:showDLblsOverMax val="0"/>
  </c:chart>
  <c:spPr>
    <a:noFill/>
    <a:ln>
      <a:noFill/>
    </a:ln>
  </c:spPr>
  <c:txPr>
    <a:bodyPr/>
    <a:lstStyle/>
    <a:p>
      <a:pPr>
        <a:defRPr sz="600" b="0" i="0" u="none" strike="noStrike" baseline="0">
          <a:solidFill>
            <a:sysClr val="windowText" lastClr="000000"/>
          </a:solidFill>
          <a:latin typeface="Segoe UI Light" panose="020B0502040204020203" pitchFamily="34" charset="0"/>
          <a:ea typeface="Arial"/>
          <a:cs typeface="Segoe UI Light" panose="020B0502040204020203" pitchFamily="34" charset="0"/>
        </a:defRPr>
      </a:pPr>
      <a:endParaRPr lang="lv-LV"/>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162736781375878E-2"/>
          <c:y val="7.7628793225123505E-2"/>
          <c:w val="0.92901120738469423"/>
          <c:h val="0.7334026083719069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43B5-42C3-BFF3-341A220E7E48}"/>
              </c:ext>
            </c:extLst>
          </c:dPt>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3-43B5-42C3-BFF3-341A220E7E48}"/>
              </c:ext>
            </c:extLst>
          </c:dPt>
          <c:dPt>
            <c:idx val="2"/>
            <c:invertIfNegative val="0"/>
            <c:bubble3D val="0"/>
            <c:spPr>
              <a:solidFill>
                <a:srgbClr val="FFC000"/>
              </a:solidFill>
              <a:ln>
                <a:noFill/>
              </a:ln>
              <a:effectLst/>
            </c:spPr>
            <c:extLst>
              <c:ext xmlns:c16="http://schemas.microsoft.com/office/drawing/2014/chart" uri="{C3380CC4-5D6E-409C-BE32-E72D297353CC}">
                <c16:uniqueId val="{00000005-43B5-42C3-BFF3-341A220E7E48}"/>
              </c:ext>
            </c:extLst>
          </c:dPt>
          <c:dPt>
            <c:idx val="3"/>
            <c:invertIfNegative val="0"/>
            <c:bubble3D val="0"/>
            <c:spPr>
              <a:solidFill>
                <a:schemeClr val="bg2">
                  <a:lumMod val="75000"/>
                </a:schemeClr>
              </a:solidFill>
              <a:ln>
                <a:noFill/>
              </a:ln>
              <a:effectLst/>
            </c:spPr>
            <c:extLst>
              <c:ext xmlns:c16="http://schemas.microsoft.com/office/drawing/2014/chart" uri="{C3380CC4-5D6E-409C-BE32-E72D297353CC}">
                <c16:uniqueId val="{00000007-43B5-42C3-BFF3-341A220E7E48}"/>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Augstākās kvalifikācijas profesijas</c:v>
                </c:pt>
                <c:pt idx="1">
                  <c:v>Vidējās kvalifikācijas profesijas</c:v>
                </c:pt>
                <c:pt idx="2">
                  <c:v>Vienkāršās profesijas</c:v>
                </c:pt>
              </c:strCache>
            </c:strRef>
          </c:cat>
          <c:val>
            <c:numRef>
              <c:f>Sheet1!$B$2:$B$4</c:f>
              <c:numCache>
                <c:formatCode>0.0</c:formatCode>
                <c:ptCount val="3"/>
                <c:pt idx="0">
                  <c:v>3.7</c:v>
                </c:pt>
                <c:pt idx="1">
                  <c:v>13.3</c:v>
                </c:pt>
                <c:pt idx="2">
                  <c:v>2.8</c:v>
                </c:pt>
              </c:numCache>
            </c:numRef>
          </c:val>
          <c:extLst>
            <c:ext xmlns:c16="http://schemas.microsoft.com/office/drawing/2014/chart" uri="{C3380CC4-5D6E-409C-BE32-E72D297353CC}">
              <c16:uniqueId val="{00000008-43B5-42C3-BFF3-341A220E7E48}"/>
            </c:ext>
          </c:extLst>
        </c:ser>
        <c:dLbls>
          <c:showLegendKey val="0"/>
          <c:showVal val="0"/>
          <c:showCatName val="0"/>
          <c:showSerName val="0"/>
          <c:showPercent val="0"/>
          <c:showBubbleSize val="0"/>
        </c:dLbls>
        <c:gapWidth val="60"/>
        <c:overlap val="-27"/>
        <c:axId val="376322032"/>
        <c:axId val="376322688"/>
      </c:barChart>
      <c:catAx>
        <c:axId val="376322032"/>
        <c:scaling>
          <c:orientation val="minMax"/>
        </c:scaling>
        <c:delete val="0"/>
        <c:axPos val="b"/>
        <c:numFmt formatCode="General" sourceLinked="1"/>
        <c:majorTickMark val="none"/>
        <c:minorTickMark val="none"/>
        <c:tickLblPos val="low"/>
        <c:spPr>
          <a:noFill/>
          <a:ln w="6350" cap="flat" cmpd="sng" algn="ctr">
            <a:solidFill>
              <a:schemeClr val="bg1">
                <a:lumMod val="75000"/>
              </a:schemeClr>
            </a:solidFill>
            <a:round/>
          </a:ln>
          <a:effectLst/>
        </c:spPr>
        <c:txPr>
          <a:bodyPr rot="0" spcFirstLastPara="1" vertOverflow="ellipsis"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376322688"/>
        <c:crosses val="autoZero"/>
        <c:auto val="1"/>
        <c:lblAlgn val="ctr"/>
        <c:lblOffset val="100"/>
        <c:noMultiLvlLbl val="0"/>
      </c:catAx>
      <c:valAx>
        <c:axId val="376322688"/>
        <c:scaling>
          <c:orientation val="minMax"/>
        </c:scaling>
        <c:delete val="1"/>
        <c:axPos val="l"/>
        <c:numFmt formatCode="0.0" sourceLinked="1"/>
        <c:majorTickMark val="none"/>
        <c:minorTickMark val="none"/>
        <c:tickLblPos val="nextTo"/>
        <c:crossAx val="3763220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186808657448248E-2"/>
          <c:y val="1.8693839740620648E-2"/>
          <c:w val="0.90783571689946174"/>
          <c:h val="0.76330399876486021"/>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CC6600"/>
              </a:solidFill>
              <a:ln>
                <a:noFill/>
              </a:ln>
              <a:effectLst/>
            </c:spPr>
            <c:extLst>
              <c:ext xmlns:c16="http://schemas.microsoft.com/office/drawing/2014/chart" uri="{C3380CC4-5D6E-409C-BE32-E72D297353CC}">
                <c16:uniqueId val="{00000001-772E-4BFE-B8EB-01AAD88B07E2}"/>
              </c:ext>
            </c:extLst>
          </c:dPt>
          <c:dPt>
            <c:idx val="1"/>
            <c:invertIfNegative val="0"/>
            <c:bubble3D val="0"/>
            <c:spPr>
              <a:solidFill>
                <a:srgbClr val="008000"/>
              </a:solidFill>
              <a:ln>
                <a:noFill/>
              </a:ln>
              <a:effectLst/>
            </c:spPr>
            <c:extLst>
              <c:ext xmlns:c16="http://schemas.microsoft.com/office/drawing/2014/chart" uri="{C3380CC4-5D6E-409C-BE32-E72D297353CC}">
                <c16:uniqueId val="{00000003-772E-4BFE-B8EB-01AAD88B07E2}"/>
              </c:ext>
            </c:extLst>
          </c:dPt>
          <c:dPt>
            <c:idx val="2"/>
            <c:invertIfNegative val="0"/>
            <c:bubble3D val="0"/>
            <c:spPr>
              <a:solidFill>
                <a:srgbClr val="CCCC00"/>
              </a:solidFill>
              <a:ln>
                <a:noFill/>
              </a:ln>
              <a:effectLst/>
            </c:spPr>
            <c:extLst>
              <c:ext xmlns:c16="http://schemas.microsoft.com/office/drawing/2014/chart" uri="{C3380CC4-5D6E-409C-BE32-E72D297353CC}">
                <c16:uniqueId val="{00000005-772E-4BFE-B8EB-01AAD88B07E2}"/>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7-772E-4BFE-B8EB-01AAD88B07E2}"/>
              </c:ext>
            </c:extLst>
          </c:dPt>
          <c:dLbls>
            <c:numFmt formatCode="#,##0.0" sourceLinked="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Augstākā izglītība (ISCED 5.-8. līmenis)</c:v>
                </c:pt>
                <c:pt idx="1">
                  <c:v>Arodizglītība vai profesionālā vidējā izglītība (ISCED 3. un 4. līmenis)</c:v>
                </c:pt>
                <c:pt idx="2">
                  <c:v>Vispārējā vidējā izglītība (ISCED 3. līmenis)</c:v>
                </c:pt>
                <c:pt idx="3">
                  <c:v>Pamatizglītība un zemāks izglītības līmenis (ISCED 0.-2. līmenis)</c:v>
                </c:pt>
              </c:strCache>
            </c:strRef>
          </c:cat>
          <c:val>
            <c:numRef>
              <c:f>Sheet1!$B$2:$B$5</c:f>
              <c:numCache>
                <c:formatCode>General</c:formatCode>
                <c:ptCount val="4"/>
                <c:pt idx="0">
                  <c:v>6.1999999999999886</c:v>
                </c:pt>
                <c:pt idx="1">
                  <c:v>-11.600000000000023</c:v>
                </c:pt>
                <c:pt idx="2">
                  <c:v>16.900000000000006</c:v>
                </c:pt>
                <c:pt idx="3">
                  <c:v>8.3000000000000416</c:v>
                </c:pt>
              </c:numCache>
            </c:numRef>
          </c:val>
          <c:extLst>
            <c:ext xmlns:c16="http://schemas.microsoft.com/office/drawing/2014/chart" uri="{C3380CC4-5D6E-409C-BE32-E72D297353CC}">
              <c16:uniqueId val="{00000008-772E-4BFE-B8EB-01AAD88B07E2}"/>
            </c:ext>
          </c:extLst>
        </c:ser>
        <c:dLbls>
          <c:showLegendKey val="0"/>
          <c:showVal val="0"/>
          <c:showCatName val="0"/>
          <c:showSerName val="0"/>
          <c:showPercent val="0"/>
          <c:showBubbleSize val="0"/>
        </c:dLbls>
        <c:gapWidth val="93"/>
        <c:overlap val="-27"/>
        <c:axId val="663213088"/>
        <c:axId val="663210792"/>
      </c:barChart>
      <c:catAx>
        <c:axId val="663213088"/>
        <c:scaling>
          <c:orientation val="minMax"/>
        </c:scaling>
        <c:delete val="0"/>
        <c:axPos val="b"/>
        <c:numFmt formatCode="General" sourceLinked="1"/>
        <c:majorTickMark val="none"/>
        <c:minorTickMark val="none"/>
        <c:tickLblPos val="low"/>
        <c:spPr>
          <a:noFill/>
          <a:ln w="6350" cap="flat" cmpd="sng" algn="ctr">
            <a:solidFill>
              <a:schemeClr val="bg1">
                <a:lumMod val="7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63210792"/>
        <c:crosses val="autoZero"/>
        <c:auto val="1"/>
        <c:lblAlgn val="ctr"/>
        <c:lblOffset val="100"/>
        <c:noMultiLvlLbl val="0"/>
      </c:catAx>
      <c:valAx>
        <c:axId val="663210792"/>
        <c:scaling>
          <c:orientation val="minMax"/>
        </c:scaling>
        <c:delete val="1"/>
        <c:axPos val="l"/>
        <c:numFmt formatCode="General" sourceLinked="1"/>
        <c:majorTickMark val="out"/>
        <c:minorTickMark val="none"/>
        <c:tickLblPos val="nextTo"/>
        <c:crossAx val="663213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803073437943856E-2"/>
          <c:y val="4.3650793650793648E-2"/>
          <c:w val="0.93473393497373092"/>
          <c:h val="0.79220378702662164"/>
        </c:manualLayout>
      </c:layout>
      <c:barChart>
        <c:barDir val="col"/>
        <c:grouping val="stacked"/>
        <c:varyColors val="0"/>
        <c:ser>
          <c:idx val="2"/>
          <c:order val="0"/>
          <c:tx>
            <c:strRef>
              <c:f>Sheet1!$D$1</c:f>
              <c:strCache>
                <c:ptCount val="1"/>
                <c:pt idx="0">
                  <c:v>Vienkāršās profesijas</c:v>
                </c:pt>
              </c:strCache>
            </c:strRef>
          </c:tx>
          <c:spPr>
            <a:solidFill>
              <a:schemeClr val="bg1">
                <a:lumMod val="65000"/>
              </a:schemeClr>
            </a:solidFill>
            <a:ln>
              <a:noFill/>
            </a:ln>
            <a:effectLst/>
          </c:spPr>
          <c:invertIfNegative val="0"/>
          <c:cat>
            <c:strRef>
              <c:f>Sheet1!$A$2:$A$29</c:f>
              <c:strCache>
                <c:ptCount val="28"/>
                <c:pt idx="0">
                  <c:v>Horvātija</c:v>
                </c:pt>
                <c:pt idx="1">
                  <c:v>Kipra</c:v>
                </c:pt>
                <c:pt idx="2">
                  <c:v>Lietuva</c:v>
                </c:pt>
                <c:pt idx="3">
                  <c:v>Polija</c:v>
                </c:pt>
                <c:pt idx="4">
                  <c:v>Austrija</c:v>
                </c:pt>
                <c:pt idx="5">
                  <c:v>Somija</c:v>
                </c:pt>
                <c:pt idx="6">
                  <c:v>Zviedrija</c:v>
                </c:pt>
                <c:pt idx="7">
                  <c:v>Nīderlande</c:v>
                </c:pt>
                <c:pt idx="8">
                  <c:v>Itālija</c:v>
                </c:pt>
                <c:pt idx="9">
                  <c:v>Francija</c:v>
                </c:pt>
                <c:pt idx="10">
                  <c:v>ES27</c:v>
                </c:pt>
                <c:pt idx="11">
                  <c:v>Slovākija</c:v>
                </c:pt>
                <c:pt idx="12">
                  <c:v>Čehija</c:v>
                </c:pt>
                <c:pt idx="13">
                  <c:v>Vācija</c:v>
                </c:pt>
                <c:pt idx="14">
                  <c:v>Īrija</c:v>
                </c:pt>
                <c:pt idx="15">
                  <c:v>Dānija</c:v>
                </c:pt>
                <c:pt idx="16">
                  <c:v>Spānija</c:v>
                </c:pt>
                <c:pt idx="17">
                  <c:v>Bulgārija</c:v>
                </c:pt>
                <c:pt idx="18">
                  <c:v>Grieķija</c:v>
                </c:pt>
                <c:pt idx="19">
                  <c:v>Luksemburga</c:v>
                </c:pt>
                <c:pt idx="20">
                  <c:v>Rumānija</c:v>
                </c:pt>
                <c:pt idx="21">
                  <c:v>Ungārija</c:v>
                </c:pt>
                <c:pt idx="22">
                  <c:v>Latvija</c:v>
                </c:pt>
                <c:pt idx="23">
                  <c:v>Beļģija</c:v>
                </c:pt>
                <c:pt idx="24">
                  <c:v>Igaunija</c:v>
                </c:pt>
                <c:pt idx="25">
                  <c:v>Portugāle</c:v>
                </c:pt>
                <c:pt idx="26">
                  <c:v>Malta</c:v>
                </c:pt>
                <c:pt idx="27">
                  <c:v>Slovēnija</c:v>
                </c:pt>
              </c:strCache>
            </c:strRef>
          </c:cat>
          <c:val>
            <c:numRef>
              <c:f>Sheet1!$D$2:$D$29</c:f>
              <c:numCache>
                <c:formatCode>0.0</c:formatCode>
                <c:ptCount val="28"/>
                <c:pt idx="0">
                  <c:v>-5.019583143632822E-2</c:v>
                </c:pt>
                <c:pt idx="1">
                  <c:v>-0.49648220767628259</c:v>
                </c:pt>
                <c:pt idx="2">
                  <c:v>0.59289922958839636</c:v>
                </c:pt>
                <c:pt idx="3">
                  <c:v>-0.74856227192468816</c:v>
                </c:pt>
                <c:pt idx="4">
                  <c:v>-0.19000166870263013</c:v>
                </c:pt>
                <c:pt idx="5">
                  <c:v>0.10573831788122795</c:v>
                </c:pt>
                <c:pt idx="6">
                  <c:v>-0.12742569012319446</c:v>
                </c:pt>
                <c:pt idx="7">
                  <c:v>-0.35853255296734582</c:v>
                </c:pt>
                <c:pt idx="8">
                  <c:v>-0.50606659815305566</c:v>
                </c:pt>
                <c:pt idx="9">
                  <c:v>-0.25556289363056067</c:v>
                </c:pt>
                <c:pt idx="10">
                  <c:v>-0.15998472322494017</c:v>
                </c:pt>
                <c:pt idx="11">
                  <c:v>0.35707798445980959</c:v>
                </c:pt>
                <c:pt idx="12">
                  <c:v>-0.30309009269054232</c:v>
                </c:pt>
                <c:pt idx="13">
                  <c:v>-0.11684174215476489</c:v>
                </c:pt>
                <c:pt idx="14">
                  <c:v>0.10788819951111639</c:v>
                </c:pt>
                <c:pt idx="15">
                  <c:v>0.14916322119823133</c:v>
                </c:pt>
                <c:pt idx="16">
                  <c:v>-0.134066444944618</c:v>
                </c:pt>
                <c:pt idx="17">
                  <c:v>-0.16180560774362307</c:v>
                </c:pt>
                <c:pt idx="18">
                  <c:v>0.25645155021526284</c:v>
                </c:pt>
                <c:pt idx="19">
                  <c:v>0.58137705949431884</c:v>
                </c:pt>
                <c:pt idx="20">
                  <c:v>-0.16288716734320502</c:v>
                </c:pt>
                <c:pt idx="21">
                  <c:v>0.17238660736363653</c:v>
                </c:pt>
                <c:pt idx="22">
                  <c:v>8.0945486563981095E-2</c:v>
                </c:pt>
                <c:pt idx="23">
                  <c:v>0.15446496015397576</c:v>
                </c:pt>
                <c:pt idx="24">
                  <c:v>0.31775453462200565</c:v>
                </c:pt>
                <c:pt idx="25">
                  <c:v>0.69763553208222473</c:v>
                </c:pt>
                <c:pt idx="26">
                  <c:v>0.69252205651152698</c:v>
                </c:pt>
                <c:pt idx="27">
                  <c:v>2.3463651418936111</c:v>
                </c:pt>
              </c:numCache>
            </c:numRef>
          </c:val>
          <c:extLst>
            <c:ext xmlns:c16="http://schemas.microsoft.com/office/drawing/2014/chart" uri="{C3380CC4-5D6E-409C-BE32-E72D297353CC}">
              <c16:uniqueId val="{00000000-1EAA-47E4-9CD7-5EE91B30D144}"/>
            </c:ext>
          </c:extLst>
        </c:ser>
        <c:ser>
          <c:idx val="1"/>
          <c:order val="1"/>
          <c:tx>
            <c:strRef>
              <c:f>Sheet1!$C$1</c:f>
              <c:strCache>
                <c:ptCount val="1"/>
                <c:pt idx="0">
                  <c:v>Vidējās kvalifikācijas profesijas</c:v>
                </c:pt>
              </c:strCache>
            </c:strRef>
          </c:tx>
          <c:spPr>
            <a:solidFill>
              <a:srgbClr val="00B050"/>
            </a:solidFill>
            <a:ln>
              <a:noFill/>
            </a:ln>
            <a:effectLst/>
          </c:spPr>
          <c:invertIfNegative val="0"/>
          <c:cat>
            <c:strRef>
              <c:f>Sheet1!$A$2:$A$29</c:f>
              <c:strCache>
                <c:ptCount val="28"/>
                <c:pt idx="0">
                  <c:v>Horvātija</c:v>
                </c:pt>
                <c:pt idx="1">
                  <c:v>Kipra</c:v>
                </c:pt>
                <c:pt idx="2">
                  <c:v>Lietuva</c:v>
                </c:pt>
                <c:pt idx="3">
                  <c:v>Polija</c:v>
                </c:pt>
                <c:pt idx="4">
                  <c:v>Austrija</c:v>
                </c:pt>
                <c:pt idx="5">
                  <c:v>Somija</c:v>
                </c:pt>
                <c:pt idx="6">
                  <c:v>Zviedrija</c:v>
                </c:pt>
                <c:pt idx="7">
                  <c:v>Nīderlande</c:v>
                </c:pt>
                <c:pt idx="8">
                  <c:v>Itālija</c:v>
                </c:pt>
                <c:pt idx="9">
                  <c:v>Francija</c:v>
                </c:pt>
                <c:pt idx="10">
                  <c:v>ES27</c:v>
                </c:pt>
                <c:pt idx="11">
                  <c:v>Slovākija</c:v>
                </c:pt>
                <c:pt idx="12">
                  <c:v>Čehija</c:v>
                </c:pt>
                <c:pt idx="13">
                  <c:v>Vācija</c:v>
                </c:pt>
                <c:pt idx="14">
                  <c:v>Īrija</c:v>
                </c:pt>
                <c:pt idx="15">
                  <c:v>Dānija</c:v>
                </c:pt>
                <c:pt idx="16">
                  <c:v>Spānija</c:v>
                </c:pt>
                <c:pt idx="17">
                  <c:v>Bulgārija</c:v>
                </c:pt>
                <c:pt idx="18">
                  <c:v>Grieķija</c:v>
                </c:pt>
                <c:pt idx="19">
                  <c:v>Luksemburga</c:v>
                </c:pt>
                <c:pt idx="20">
                  <c:v>Rumānija</c:v>
                </c:pt>
                <c:pt idx="21">
                  <c:v>Ungārija</c:v>
                </c:pt>
                <c:pt idx="22">
                  <c:v>Latvija</c:v>
                </c:pt>
                <c:pt idx="23">
                  <c:v>Beļģija</c:v>
                </c:pt>
                <c:pt idx="24">
                  <c:v>Igaunija</c:v>
                </c:pt>
                <c:pt idx="25">
                  <c:v>Portugāle</c:v>
                </c:pt>
                <c:pt idx="26">
                  <c:v>Malta</c:v>
                </c:pt>
                <c:pt idx="27">
                  <c:v>Slovēnija</c:v>
                </c:pt>
              </c:strCache>
            </c:strRef>
          </c:cat>
          <c:val>
            <c:numRef>
              <c:f>Sheet1!$C$2:$C$29</c:f>
              <c:numCache>
                <c:formatCode>0.0</c:formatCode>
                <c:ptCount val="28"/>
                <c:pt idx="0">
                  <c:v>-3.6631886719542983</c:v>
                </c:pt>
                <c:pt idx="1">
                  <c:v>-2.6775537855288354</c:v>
                </c:pt>
                <c:pt idx="2">
                  <c:v>-2.9835276487690798</c:v>
                </c:pt>
                <c:pt idx="3">
                  <c:v>-1.309829878061608</c:v>
                </c:pt>
                <c:pt idx="4">
                  <c:v>-1.5675145125709666</c:v>
                </c:pt>
                <c:pt idx="5">
                  <c:v>-1.4709677470257698</c:v>
                </c:pt>
                <c:pt idx="6">
                  <c:v>-1.1508160341424822</c:v>
                </c:pt>
                <c:pt idx="7">
                  <c:v>-0.89991881831462672</c:v>
                </c:pt>
                <c:pt idx="8">
                  <c:v>-0.48345330547080456</c:v>
                </c:pt>
                <c:pt idx="9">
                  <c:v>-0.62967851854091594</c:v>
                </c:pt>
                <c:pt idx="10">
                  <c:v>-0.61707141926763964</c:v>
                </c:pt>
                <c:pt idx="11">
                  <c:v>-1.1131216645729913</c:v>
                </c:pt>
                <c:pt idx="12">
                  <c:v>-0.34443106882898755</c:v>
                </c:pt>
                <c:pt idx="13">
                  <c:v>-0.46990277380080103</c:v>
                </c:pt>
                <c:pt idx="14">
                  <c:v>-0.66724968422302577</c:v>
                </c:pt>
                <c:pt idx="15">
                  <c:v>-0.70171224190495596</c:v>
                </c:pt>
                <c:pt idx="16">
                  <c:v>-0.30315944281876783</c:v>
                </c:pt>
                <c:pt idx="17">
                  <c:v>-0.1943684747863994</c:v>
                </c:pt>
                <c:pt idx="18">
                  <c:v>-0.44465563228507365</c:v>
                </c:pt>
                <c:pt idx="19">
                  <c:v>-0.7364371567509409</c:v>
                </c:pt>
                <c:pt idx="20">
                  <c:v>0.10483169345155696</c:v>
                </c:pt>
                <c:pt idx="21">
                  <c:v>-5.5794467789582747E-3</c:v>
                </c:pt>
                <c:pt idx="22">
                  <c:v>0.52871278865838645</c:v>
                </c:pt>
                <c:pt idx="23">
                  <c:v>0.59212345657961296</c:v>
                </c:pt>
                <c:pt idx="24">
                  <c:v>0.87434759280035079</c:v>
                </c:pt>
                <c:pt idx="25">
                  <c:v>0.54851552245116508</c:v>
                </c:pt>
                <c:pt idx="26">
                  <c:v>0.84922450271378014</c:v>
                </c:pt>
                <c:pt idx="27">
                  <c:v>4.3814004446463439</c:v>
                </c:pt>
              </c:numCache>
            </c:numRef>
          </c:val>
          <c:extLst>
            <c:ext xmlns:c16="http://schemas.microsoft.com/office/drawing/2014/chart" uri="{C3380CC4-5D6E-409C-BE32-E72D297353CC}">
              <c16:uniqueId val="{00000001-1EAA-47E4-9CD7-5EE91B30D144}"/>
            </c:ext>
          </c:extLst>
        </c:ser>
        <c:ser>
          <c:idx val="0"/>
          <c:order val="2"/>
          <c:tx>
            <c:strRef>
              <c:f>Sheet1!$B$1</c:f>
              <c:strCache>
                <c:ptCount val="1"/>
                <c:pt idx="0">
                  <c:v>Augstākās kvalifikācijas profesijas</c:v>
                </c:pt>
              </c:strCache>
            </c:strRef>
          </c:tx>
          <c:spPr>
            <a:solidFill>
              <a:schemeClr val="accent6">
                <a:lumMod val="75000"/>
              </a:schemeClr>
            </a:solidFill>
            <a:ln>
              <a:noFill/>
            </a:ln>
            <a:effectLst/>
          </c:spPr>
          <c:invertIfNegative val="0"/>
          <c:cat>
            <c:strRef>
              <c:f>Sheet1!$A$2:$A$29</c:f>
              <c:strCache>
                <c:ptCount val="28"/>
                <c:pt idx="0">
                  <c:v>Horvātija</c:v>
                </c:pt>
                <c:pt idx="1">
                  <c:v>Kipra</c:v>
                </c:pt>
                <c:pt idx="2">
                  <c:v>Lietuva</c:v>
                </c:pt>
                <c:pt idx="3">
                  <c:v>Polija</c:v>
                </c:pt>
                <c:pt idx="4">
                  <c:v>Austrija</c:v>
                </c:pt>
                <c:pt idx="5">
                  <c:v>Somija</c:v>
                </c:pt>
                <c:pt idx="6">
                  <c:v>Zviedrija</c:v>
                </c:pt>
                <c:pt idx="7">
                  <c:v>Nīderlande</c:v>
                </c:pt>
                <c:pt idx="8">
                  <c:v>Itālija</c:v>
                </c:pt>
                <c:pt idx="9">
                  <c:v>Francija</c:v>
                </c:pt>
                <c:pt idx="10">
                  <c:v>ES27</c:v>
                </c:pt>
                <c:pt idx="11">
                  <c:v>Slovākija</c:v>
                </c:pt>
                <c:pt idx="12">
                  <c:v>Čehija</c:v>
                </c:pt>
                <c:pt idx="13">
                  <c:v>Vācija</c:v>
                </c:pt>
                <c:pt idx="14">
                  <c:v>Īrija</c:v>
                </c:pt>
                <c:pt idx="15">
                  <c:v>Dānija</c:v>
                </c:pt>
                <c:pt idx="16">
                  <c:v>Spānija</c:v>
                </c:pt>
                <c:pt idx="17">
                  <c:v>Bulgārija</c:v>
                </c:pt>
                <c:pt idx="18">
                  <c:v>Grieķija</c:v>
                </c:pt>
                <c:pt idx="19">
                  <c:v>Luksemburga</c:v>
                </c:pt>
                <c:pt idx="20">
                  <c:v>Rumānija</c:v>
                </c:pt>
                <c:pt idx="21">
                  <c:v>Ungārija</c:v>
                </c:pt>
                <c:pt idx="22">
                  <c:v>Latvija</c:v>
                </c:pt>
                <c:pt idx="23">
                  <c:v>Beļģija</c:v>
                </c:pt>
                <c:pt idx="24">
                  <c:v>Igaunija</c:v>
                </c:pt>
                <c:pt idx="25">
                  <c:v>Portugāle</c:v>
                </c:pt>
                <c:pt idx="26">
                  <c:v>Malta</c:v>
                </c:pt>
                <c:pt idx="27">
                  <c:v>Slovēnija</c:v>
                </c:pt>
              </c:strCache>
            </c:strRef>
          </c:cat>
          <c:val>
            <c:numRef>
              <c:f>Sheet1!$B$2:$B$29</c:f>
              <c:numCache>
                <c:formatCode>0.0</c:formatCode>
                <c:ptCount val="28"/>
                <c:pt idx="0">
                  <c:v>3.7133845033906376</c:v>
                </c:pt>
                <c:pt idx="1">
                  <c:v>3.1740359932051323</c:v>
                </c:pt>
                <c:pt idx="2">
                  <c:v>2.3906284191806684</c:v>
                </c:pt>
                <c:pt idx="3">
                  <c:v>2.0583921499862825</c:v>
                </c:pt>
                <c:pt idx="4">
                  <c:v>1.7575161812735995</c:v>
                </c:pt>
                <c:pt idx="5">
                  <c:v>1.3652294291445488</c:v>
                </c:pt>
                <c:pt idx="6">
                  <c:v>1.2782417242656718</c:v>
                </c:pt>
                <c:pt idx="7">
                  <c:v>1.2584513712819878</c:v>
                </c:pt>
                <c:pt idx="8">
                  <c:v>0.98951990362385334</c:v>
                </c:pt>
                <c:pt idx="9">
                  <c:v>0.88524141217147245</c:v>
                </c:pt>
                <c:pt idx="10">
                  <c:v>0.77705614249257704</c:v>
                </c:pt>
                <c:pt idx="11">
                  <c:v>0.75604368011318868</c:v>
                </c:pt>
                <c:pt idx="12">
                  <c:v>0.64752116151952088</c:v>
                </c:pt>
                <c:pt idx="13">
                  <c:v>0.58674451595556731</c:v>
                </c:pt>
                <c:pt idx="14">
                  <c:v>0.55936148471188996</c:v>
                </c:pt>
                <c:pt idx="15">
                  <c:v>0.5525490207067274</c:v>
                </c:pt>
                <c:pt idx="16">
                  <c:v>0.43722588776340943</c:v>
                </c:pt>
                <c:pt idx="17">
                  <c:v>0.3561740825300308</c:v>
                </c:pt>
                <c:pt idx="18">
                  <c:v>0.18820408206978723</c:v>
                </c:pt>
                <c:pt idx="19">
                  <c:v>0.15506009725662073</c:v>
                </c:pt>
                <c:pt idx="20">
                  <c:v>5.8055473891666098E-2</c:v>
                </c:pt>
                <c:pt idx="21">
                  <c:v>-0.16680716058466438</c:v>
                </c:pt>
                <c:pt idx="22">
                  <c:v>-0.60965827522236893</c:v>
                </c:pt>
                <c:pt idx="23">
                  <c:v>-0.74658841673360121</c:v>
                </c:pt>
                <c:pt idx="24">
                  <c:v>-1.192102127422362</c:v>
                </c:pt>
                <c:pt idx="25">
                  <c:v>-1.2461510545333954</c:v>
                </c:pt>
                <c:pt idx="26">
                  <c:v>-1.5417465592252988</c:v>
                </c:pt>
                <c:pt idx="27">
                  <c:v>-6.7277655865399577</c:v>
                </c:pt>
              </c:numCache>
            </c:numRef>
          </c:val>
          <c:extLst>
            <c:ext xmlns:c16="http://schemas.microsoft.com/office/drawing/2014/chart" uri="{C3380CC4-5D6E-409C-BE32-E72D297353CC}">
              <c16:uniqueId val="{00000002-1EAA-47E4-9CD7-5EE91B30D144}"/>
            </c:ext>
          </c:extLst>
        </c:ser>
        <c:dLbls>
          <c:showLegendKey val="0"/>
          <c:showVal val="0"/>
          <c:showCatName val="0"/>
          <c:showSerName val="0"/>
          <c:showPercent val="0"/>
          <c:showBubbleSize val="0"/>
        </c:dLbls>
        <c:gapWidth val="60"/>
        <c:overlap val="100"/>
        <c:axId val="458555264"/>
        <c:axId val="458559528"/>
      </c:barChart>
      <c:catAx>
        <c:axId val="458555264"/>
        <c:scaling>
          <c:orientation val="minMax"/>
        </c:scaling>
        <c:delete val="0"/>
        <c:axPos val="b"/>
        <c:numFmt formatCode="General" sourceLinked="1"/>
        <c:majorTickMark val="none"/>
        <c:minorTickMark val="none"/>
        <c:tickLblPos val="low"/>
        <c:spPr>
          <a:noFill/>
          <a:ln w="6350" cap="flat" cmpd="sng" algn="ctr">
            <a:solidFill>
              <a:schemeClr val="bg1">
                <a:lumMod val="75000"/>
              </a:schemeClr>
            </a:solidFill>
            <a:round/>
          </a:ln>
          <a:effectLst/>
        </c:spPr>
        <c:txPr>
          <a:bodyPr rot="-5400000" spcFirstLastPara="1" vertOverflow="ellipsis" wrap="square" anchor="ctr" anchorCtr="1"/>
          <a:lstStyle/>
          <a:p>
            <a:pPr>
              <a:defRPr sz="7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crossAx val="458559528"/>
        <c:crosses val="autoZero"/>
        <c:auto val="1"/>
        <c:lblAlgn val="ctr"/>
        <c:lblOffset val="100"/>
        <c:noMultiLvlLbl val="0"/>
      </c:catAx>
      <c:valAx>
        <c:axId val="458559528"/>
        <c:scaling>
          <c:orientation val="minMax"/>
        </c:scaling>
        <c:delete val="0"/>
        <c:axPos val="l"/>
        <c:numFmt formatCode="0" sourceLinked="0"/>
        <c:majorTickMark val="none"/>
        <c:minorTickMark val="none"/>
        <c:tickLblPos val="nextTo"/>
        <c:spPr>
          <a:noFill/>
          <a:ln w="6350">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458555264"/>
        <c:crosses val="autoZero"/>
        <c:crossBetween val="between"/>
      </c:valAx>
      <c:spPr>
        <a:noFill/>
        <a:ln>
          <a:noFill/>
        </a:ln>
        <a:effectLst/>
      </c:spPr>
    </c:plotArea>
    <c:legend>
      <c:legendPos val="b"/>
      <c:layout>
        <c:manualLayout>
          <c:xMode val="edge"/>
          <c:yMode val="edge"/>
          <c:x val="0.14704359871682707"/>
          <c:y val="0.10289639699755808"/>
          <c:w val="0.75456405265832038"/>
          <c:h val="6.9706500842227515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744631851380693E-2"/>
          <c:y val="4.7032021614763608E-2"/>
          <c:w val="0.89189568574123224"/>
          <c:h val="0.77703639735418251"/>
        </c:manualLayout>
      </c:layout>
      <c:barChart>
        <c:barDir val="col"/>
        <c:grouping val="clustered"/>
        <c:varyColors val="0"/>
        <c:ser>
          <c:idx val="2"/>
          <c:order val="0"/>
          <c:tx>
            <c:strRef>
              <c:f>Sheet1!$A$2</c:f>
              <c:strCache>
                <c:ptCount val="1"/>
                <c:pt idx="0">
                  <c:v>2021.gads</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Sheet1!$B$1:$C$1</c:f>
              <c:strCache>
                <c:ptCount val="2"/>
                <c:pt idx="0">
                  <c:v>Privātais sektors</c:v>
                </c:pt>
                <c:pt idx="1">
                  <c:v>Sabiedriskais sektors</c:v>
                </c:pt>
              </c:strCache>
            </c:strRef>
          </c:cat>
          <c:val>
            <c:numRef>
              <c:f>Sheet1!$B$2:$C$2</c:f>
              <c:numCache>
                <c:formatCode>0</c:formatCode>
                <c:ptCount val="2"/>
                <c:pt idx="0">
                  <c:v>605</c:v>
                </c:pt>
                <c:pt idx="1">
                  <c:v>287</c:v>
                </c:pt>
              </c:numCache>
            </c:numRef>
          </c:val>
          <c:extLst>
            <c:ext xmlns:c16="http://schemas.microsoft.com/office/drawing/2014/chart" uri="{C3380CC4-5D6E-409C-BE32-E72D297353CC}">
              <c16:uniqueId val="{00000000-20CC-4196-AC86-67C837F92E7D}"/>
            </c:ext>
          </c:extLst>
        </c:ser>
        <c:ser>
          <c:idx val="3"/>
          <c:order val="1"/>
          <c:tx>
            <c:strRef>
              <c:f>Sheet1!$A$3</c:f>
              <c:strCache>
                <c:ptCount val="1"/>
                <c:pt idx="0">
                  <c:v>2023.gads</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Sheet1!$B$1:$C$1</c:f>
              <c:strCache>
                <c:ptCount val="2"/>
                <c:pt idx="0">
                  <c:v>Privātais sektors</c:v>
                </c:pt>
                <c:pt idx="1">
                  <c:v>Sabiedriskais sektors</c:v>
                </c:pt>
              </c:strCache>
            </c:strRef>
          </c:cat>
          <c:val>
            <c:numRef>
              <c:f>Sheet1!$B$3:$C$3</c:f>
              <c:numCache>
                <c:formatCode>0</c:formatCode>
                <c:ptCount val="2"/>
                <c:pt idx="0">
                  <c:v>599</c:v>
                </c:pt>
                <c:pt idx="1">
                  <c:v>287</c:v>
                </c:pt>
              </c:numCache>
            </c:numRef>
          </c:val>
          <c:extLst>
            <c:ext xmlns:c16="http://schemas.microsoft.com/office/drawing/2014/chart" uri="{C3380CC4-5D6E-409C-BE32-E72D297353CC}">
              <c16:uniqueId val="{00000001-20CC-4196-AC86-67C837F92E7D}"/>
            </c:ext>
          </c:extLst>
        </c:ser>
        <c:dLbls>
          <c:showLegendKey val="0"/>
          <c:showVal val="0"/>
          <c:showCatName val="0"/>
          <c:showSerName val="0"/>
          <c:showPercent val="0"/>
          <c:showBubbleSize val="0"/>
        </c:dLbls>
        <c:gapWidth val="60"/>
        <c:axId val="742049912"/>
        <c:axId val="742055008"/>
      </c:barChart>
      <c:catAx>
        <c:axId val="742049912"/>
        <c:scaling>
          <c:orientation val="minMax"/>
        </c:scaling>
        <c:delete val="0"/>
        <c:axPos val="b"/>
        <c:numFmt formatCode="General" sourceLinked="1"/>
        <c:majorTickMark val="out"/>
        <c:minorTickMark val="none"/>
        <c:tickLblPos val="low"/>
        <c:spPr>
          <a:ln w="6350"/>
        </c:spPr>
        <c:txPr>
          <a:bodyPr rot="0" vert="horz"/>
          <a:lstStyle/>
          <a:p>
            <a:pPr>
              <a:defRPr/>
            </a:pPr>
            <a:endParaRPr lang="lv-LV"/>
          </a:p>
        </c:txPr>
        <c:crossAx val="742055008"/>
        <c:crosses val="autoZero"/>
        <c:auto val="0"/>
        <c:lblAlgn val="ctr"/>
        <c:lblOffset val="0"/>
        <c:noMultiLvlLbl val="1"/>
      </c:catAx>
      <c:valAx>
        <c:axId val="742055008"/>
        <c:scaling>
          <c:orientation val="minMax"/>
          <c:max val="800"/>
          <c:min val="0"/>
        </c:scaling>
        <c:delete val="1"/>
        <c:axPos val="l"/>
        <c:numFmt formatCode="0" sourceLinked="0"/>
        <c:majorTickMark val="out"/>
        <c:minorTickMark val="none"/>
        <c:tickLblPos val="nextTo"/>
        <c:crossAx val="742049912"/>
        <c:crosses val="autoZero"/>
        <c:crossBetween val="between"/>
        <c:majorUnit val="100"/>
      </c:valAx>
      <c:spPr>
        <a:noFill/>
        <a:ln w="24631">
          <a:noFill/>
        </a:ln>
      </c:spPr>
    </c:plotArea>
    <c:legend>
      <c:legendPos val="l"/>
      <c:layout>
        <c:manualLayout>
          <c:xMode val="edge"/>
          <c:yMode val="edge"/>
          <c:x val="3.2347720981282281E-2"/>
          <c:y val="7.1083771100209067E-2"/>
          <c:w val="0.9300473413474396"/>
          <c:h val="0.10978197704704729"/>
        </c:manualLayout>
      </c:layout>
      <c:overlay val="1"/>
    </c:legend>
    <c:plotVisOnly val="1"/>
    <c:dispBlanksAs val="gap"/>
    <c:showDLblsOverMax val="0"/>
  </c:chart>
  <c:spPr>
    <a:noFill/>
    <a:ln>
      <a:noFill/>
    </a:ln>
  </c:spPr>
  <c:txPr>
    <a:bodyPr/>
    <a:lstStyle/>
    <a:p>
      <a:pPr>
        <a:defRPr sz="800" b="0" i="0" u="none" strike="noStrike" baseline="0">
          <a:solidFill>
            <a:sysClr val="windowText" lastClr="000000"/>
          </a:solidFill>
          <a:latin typeface="Segoe UI Light" panose="020B0502040204020203" pitchFamily="34" charset="0"/>
          <a:ea typeface="Arial"/>
          <a:cs typeface="Arial"/>
        </a:defRPr>
      </a:pPr>
      <a:endParaRPr lang="lv-LV"/>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226274862278106E-2"/>
          <c:y val="6.7257719351880157E-2"/>
          <c:w val="0.46728666486878767"/>
          <c:h val="0.78546087425406275"/>
        </c:manualLayout>
      </c:layout>
      <c:lineChart>
        <c:grouping val="standard"/>
        <c:varyColors val="0"/>
        <c:ser>
          <c:idx val="0"/>
          <c:order val="0"/>
          <c:tx>
            <c:strRef>
              <c:f>Sheet1!$A$2</c:f>
              <c:strCache>
                <c:ptCount val="1"/>
                <c:pt idx="0">
                  <c:v>Sabiedriskie pakalpojumi</c:v>
                </c:pt>
              </c:strCache>
            </c:strRef>
          </c:tx>
          <c:spPr>
            <a:ln w="28575" cap="rnd">
              <a:solidFill>
                <a:schemeClr val="accent1"/>
              </a:solidFill>
              <a:round/>
            </a:ln>
            <a:effectLst/>
          </c:spPr>
          <c:marker>
            <c:symbol val="none"/>
          </c:marker>
          <c:cat>
            <c:strRef>
              <c:f>Sheet1!$B$1:$O$1</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Sheet1!$B$2:$O$2</c:f>
              <c:numCache>
                <c:formatCode>General</c:formatCode>
                <c:ptCount val="14"/>
                <c:pt idx="0">
                  <c:v>214.17</c:v>
                </c:pt>
                <c:pt idx="1">
                  <c:v>215.04599999999999</c:v>
                </c:pt>
                <c:pt idx="2">
                  <c:v>212.82499999999999</c:v>
                </c:pt>
                <c:pt idx="3">
                  <c:v>216.47399999999999</c:v>
                </c:pt>
                <c:pt idx="4">
                  <c:v>222.13499999999999</c:v>
                </c:pt>
                <c:pt idx="5">
                  <c:v>224.346</c:v>
                </c:pt>
                <c:pt idx="6">
                  <c:v>225.41499999999999</c:v>
                </c:pt>
                <c:pt idx="7">
                  <c:v>228.26599999999999</c:v>
                </c:pt>
                <c:pt idx="8">
                  <c:v>230.24</c:v>
                </c:pt>
                <c:pt idx="9">
                  <c:v>231.69399999999999</c:v>
                </c:pt>
                <c:pt idx="10">
                  <c:v>234.916</c:v>
                </c:pt>
                <c:pt idx="11">
                  <c:v>238.57400000000001</c:v>
                </c:pt>
                <c:pt idx="12">
                  <c:v>238.142</c:v>
                </c:pt>
                <c:pt idx="13">
                  <c:v>241.21799999999999</c:v>
                </c:pt>
              </c:numCache>
            </c:numRef>
          </c:val>
          <c:smooth val="0"/>
          <c:extLst>
            <c:ext xmlns:c16="http://schemas.microsoft.com/office/drawing/2014/chart" uri="{C3380CC4-5D6E-409C-BE32-E72D297353CC}">
              <c16:uniqueId val="{00000000-3302-40BB-8D40-E26A83434DDF}"/>
            </c:ext>
          </c:extLst>
        </c:ser>
        <c:ser>
          <c:idx val="1"/>
          <c:order val="1"/>
          <c:tx>
            <c:strRef>
              <c:f>Sheet1!$A$3</c:f>
              <c:strCache>
                <c:ptCount val="1"/>
                <c:pt idx="0">
                  <c:v>Citi komercpakalpojumi</c:v>
                </c:pt>
              </c:strCache>
            </c:strRef>
          </c:tx>
          <c:spPr>
            <a:ln w="28575" cap="rnd">
              <a:solidFill>
                <a:schemeClr val="accent2"/>
              </a:solidFill>
              <a:round/>
            </a:ln>
            <a:effectLst/>
          </c:spPr>
          <c:marker>
            <c:symbol val="none"/>
          </c:marker>
          <c:cat>
            <c:strRef>
              <c:f>Sheet1!$B$1:$O$1</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Sheet1!$B$3:$O$3</c:f>
              <c:numCache>
                <c:formatCode>General</c:formatCode>
                <c:ptCount val="14"/>
                <c:pt idx="0">
                  <c:v>148.386</c:v>
                </c:pt>
                <c:pt idx="1">
                  <c:v>157.02600000000001</c:v>
                </c:pt>
                <c:pt idx="2">
                  <c:v>168.464</c:v>
                </c:pt>
                <c:pt idx="3">
                  <c:v>176.16</c:v>
                </c:pt>
                <c:pt idx="4">
                  <c:v>180.24100000000001</c:v>
                </c:pt>
                <c:pt idx="5">
                  <c:v>188.27799999999999</c:v>
                </c:pt>
                <c:pt idx="6">
                  <c:v>194.68100000000001</c:v>
                </c:pt>
                <c:pt idx="7">
                  <c:v>196.256</c:v>
                </c:pt>
                <c:pt idx="8">
                  <c:v>200.04</c:v>
                </c:pt>
                <c:pt idx="9">
                  <c:v>202.41399999999999</c:v>
                </c:pt>
                <c:pt idx="10">
                  <c:v>196.274</c:v>
                </c:pt>
                <c:pt idx="11">
                  <c:v>195.42599999999999</c:v>
                </c:pt>
                <c:pt idx="12">
                  <c:v>194.76900000000001</c:v>
                </c:pt>
                <c:pt idx="13">
                  <c:v>195.70599999999999</c:v>
                </c:pt>
              </c:numCache>
            </c:numRef>
          </c:val>
          <c:smooth val="0"/>
          <c:extLst>
            <c:ext xmlns:c16="http://schemas.microsoft.com/office/drawing/2014/chart" uri="{C3380CC4-5D6E-409C-BE32-E72D297353CC}">
              <c16:uniqueId val="{00000001-3302-40BB-8D40-E26A83434DDF}"/>
            </c:ext>
          </c:extLst>
        </c:ser>
        <c:ser>
          <c:idx val="2"/>
          <c:order val="2"/>
          <c:tx>
            <c:strRef>
              <c:f>Sheet1!$A$4</c:f>
              <c:strCache>
                <c:ptCount val="1"/>
                <c:pt idx="0">
                  <c:v>Tirdzniecība, izmitināšana</c:v>
                </c:pt>
              </c:strCache>
            </c:strRef>
          </c:tx>
          <c:spPr>
            <a:ln w="28575" cap="rnd">
              <a:solidFill>
                <a:schemeClr val="accent3"/>
              </a:solidFill>
              <a:round/>
            </a:ln>
            <a:effectLst/>
          </c:spPr>
          <c:marker>
            <c:symbol val="none"/>
          </c:marker>
          <c:cat>
            <c:strRef>
              <c:f>Sheet1!$B$1:$O$1</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Sheet1!$B$4:$O$4</c:f>
              <c:numCache>
                <c:formatCode>General</c:formatCode>
                <c:ptCount val="14"/>
                <c:pt idx="0">
                  <c:v>159.72</c:v>
                </c:pt>
                <c:pt idx="1">
                  <c:v>162.77099999999999</c:v>
                </c:pt>
                <c:pt idx="2">
                  <c:v>170.672</c:v>
                </c:pt>
                <c:pt idx="3">
                  <c:v>173.935</c:v>
                </c:pt>
                <c:pt idx="4">
                  <c:v>176.03</c:v>
                </c:pt>
                <c:pt idx="5">
                  <c:v>179.00800000000001</c:v>
                </c:pt>
                <c:pt idx="6">
                  <c:v>179.25700000000001</c:v>
                </c:pt>
                <c:pt idx="7">
                  <c:v>178.15100000000001</c:v>
                </c:pt>
                <c:pt idx="8">
                  <c:v>178.577</c:v>
                </c:pt>
                <c:pt idx="9">
                  <c:v>181.71299999999999</c:v>
                </c:pt>
                <c:pt idx="10">
                  <c:v>168.76</c:v>
                </c:pt>
                <c:pt idx="11">
                  <c:v>167.81899999999999</c:v>
                </c:pt>
                <c:pt idx="12">
                  <c:v>169.82300000000001</c:v>
                </c:pt>
                <c:pt idx="13">
                  <c:v>169.56299999999999</c:v>
                </c:pt>
              </c:numCache>
            </c:numRef>
          </c:val>
          <c:smooth val="0"/>
          <c:extLst>
            <c:ext xmlns:c16="http://schemas.microsoft.com/office/drawing/2014/chart" uri="{C3380CC4-5D6E-409C-BE32-E72D297353CC}">
              <c16:uniqueId val="{00000002-3302-40BB-8D40-E26A83434DDF}"/>
            </c:ext>
          </c:extLst>
        </c:ser>
        <c:ser>
          <c:idx val="3"/>
          <c:order val="3"/>
          <c:tx>
            <c:strRef>
              <c:f>Sheet1!$A$5</c:f>
              <c:strCache>
                <c:ptCount val="1"/>
                <c:pt idx="0">
                  <c:v>Rūpniecība</c:v>
                </c:pt>
              </c:strCache>
            </c:strRef>
          </c:tx>
          <c:spPr>
            <a:ln w="28575" cap="rnd">
              <a:solidFill>
                <a:schemeClr val="accent4"/>
              </a:solidFill>
              <a:round/>
            </a:ln>
            <a:effectLst/>
          </c:spPr>
          <c:marker>
            <c:symbol val="none"/>
          </c:marker>
          <c:cat>
            <c:strRef>
              <c:f>Sheet1!$B$1:$O$1</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Sheet1!$B$5:$O$5</c:f>
              <c:numCache>
                <c:formatCode>General</c:formatCode>
                <c:ptCount val="14"/>
                <c:pt idx="0">
                  <c:v>104.381</c:v>
                </c:pt>
                <c:pt idx="1">
                  <c:v>111.895</c:v>
                </c:pt>
                <c:pt idx="2">
                  <c:v>117.52300000000001</c:v>
                </c:pt>
                <c:pt idx="3">
                  <c:v>120.267</c:v>
                </c:pt>
                <c:pt idx="4">
                  <c:v>117.411</c:v>
                </c:pt>
                <c:pt idx="5">
                  <c:v>114.31099999999999</c:v>
                </c:pt>
                <c:pt idx="6">
                  <c:v>114.46300000000001</c:v>
                </c:pt>
                <c:pt idx="7">
                  <c:v>114.991</c:v>
                </c:pt>
                <c:pt idx="8">
                  <c:v>116.036</c:v>
                </c:pt>
                <c:pt idx="9">
                  <c:v>116.014</c:v>
                </c:pt>
                <c:pt idx="10">
                  <c:v>114.38800000000001</c:v>
                </c:pt>
                <c:pt idx="11">
                  <c:v>119.648</c:v>
                </c:pt>
                <c:pt idx="12">
                  <c:v>118.703</c:v>
                </c:pt>
                <c:pt idx="13">
                  <c:v>115.52200000000001</c:v>
                </c:pt>
              </c:numCache>
            </c:numRef>
          </c:val>
          <c:smooth val="0"/>
          <c:extLst>
            <c:ext xmlns:c16="http://schemas.microsoft.com/office/drawing/2014/chart" uri="{C3380CC4-5D6E-409C-BE32-E72D297353CC}">
              <c16:uniqueId val="{00000003-3302-40BB-8D40-E26A83434DDF}"/>
            </c:ext>
          </c:extLst>
        </c:ser>
        <c:ser>
          <c:idx val="4"/>
          <c:order val="4"/>
          <c:tx>
            <c:strRef>
              <c:f>Sheet1!$A$6</c:f>
              <c:strCache>
                <c:ptCount val="1"/>
                <c:pt idx="0">
                  <c:v>Transports un uzglabāšana</c:v>
                </c:pt>
              </c:strCache>
            </c:strRef>
          </c:tx>
          <c:spPr>
            <a:ln w="28575" cap="rnd">
              <a:solidFill>
                <a:schemeClr val="accent5"/>
              </a:solidFill>
              <a:round/>
            </a:ln>
            <a:effectLst/>
          </c:spPr>
          <c:marker>
            <c:symbol val="none"/>
          </c:marker>
          <c:cat>
            <c:strRef>
              <c:f>Sheet1!$B$1:$O$1</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Sheet1!$B$6:$O$6</c:f>
              <c:numCache>
                <c:formatCode>General</c:formatCode>
                <c:ptCount val="14"/>
                <c:pt idx="0">
                  <c:v>66.751999999999995</c:v>
                </c:pt>
                <c:pt idx="1">
                  <c:v>68.801000000000002</c:v>
                </c:pt>
                <c:pt idx="2">
                  <c:v>72.665999999999997</c:v>
                </c:pt>
                <c:pt idx="3">
                  <c:v>75.248000000000005</c:v>
                </c:pt>
                <c:pt idx="4">
                  <c:v>75.864000000000004</c:v>
                </c:pt>
                <c:pt idx="5">
                  <c:v>76.698999999999998</c:v>
                </c:pt>
                <c:pt idx="6">
                  <c:v>76.781999999999996</c:v>
                </c:pt>
                <c:pt idx="7">
                  <c:v>77.009</c:v>
                </c:pt>
                <c:pt idx="8">
                  <c:v>76.078000000000003</c:v>
                </c:pt>
                <c:pt idx="9">
                  <c:v>76.418000000000006</c:v>
                </c:pt>
                <c:pt idx="10">
                  <c:v>71.004999999999995</c:v>
                </c:pt>
                <c:pt idx="11">
                  <c:v>69.138999999999996</c:v>
                </c:pt>
                <c:pt idx="12">
                  <c:v>67.366</c:v>
                </c:pt>
                <c:pt idx="13">
                  <c:v>66.792000000000002</c:v>
                </c:pt>
              </c:numCache>
            </c:numRef>
          </c:val>
          <c:smooth val="0"/>
          <c:extLst>
            <c:ext xmlns:c16="http://schemas.microsoft.com/office/drawing/2014/chart" uri="{C3380CC4-5D6E-409C-BE32-E72D297353CC}">
              <c16:uniqueId val="{00000004-3302-40BB-8D40-E26A83434DDF}"/>
            </c:ext>
          </c:extLst>
        </c:ser>
        <c:ser>
          <c:idx val="5"/>
          <c:order val="5"/>
          <c:tx>
            <c:strRef>
              <c:f>Sheet1!$A$7</c:f>
              <c:strCache>
                <c:ptCount val="1"/>
                <c:pt idx="0">
                  <c:v>Būvniecība</c:v>
                </c:pt>
              </c:strCache>
            </c:strRef>
          </c:tx>
          <c:spPr>
            <a:ln w="28575" cap="rnd">
              <a:solidFill>
                <a:schemeClr val="accent6"/>
              </a:solidFill>
              <a:round/>
            </a:ln>
            <a:effectLst/>
          </c:spPr>
          <c:marker>
            <c:symbol val="none"/>
          </c:marker>
          <c:cat>
            <c:strRef>
              <c:f>Sheet1!$B$1:$O$1</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Sheet1!$B$7:$O$7</c:f>
              <c:numCache>
                <c:formatCode>General</c:formatCode>
                <c:ptCount val="14"/>
                <c:pt idx="0">
                  <c:v>46.008000000000003</c:v>
                </c:pt>
                <c:pt idx="1">
                  <c:v>50.908000000000001</c:v>
                </c:pt>
                <c:pt idx="2">
                  <c:v>55.691000000000003</c:v>
                </c:pt>
                <c:pt idx="3">
                  <c:v>60.62</c:v>
                </c:pt>
                <c:pt idx="4">
                  <c:v>60.307000000000002</c:v>
                </c:pt>
                <c:pt idx="5">
                  <c:v>58.731000000000002</c:v>
                </c:pt>
                <c:pt idx="6">
                  <c:v>54.161999999999999</c:v>
                </c:pt>
                <c:pt idx="7">
                  <c:v>58.122999999999998</c:v>
                </c:pt>
                <c:pt idx="8">
                  <c:v>62.417999999999999</c:v>
                </c:pt>
                <c:pt idx="9">
                  <c:v>63.94</c:v>
                </c:pt>
                <c:pt idx="10">
                  <c:v>62.543999999999997</c:v>
                </c:pt>
                <c:pt idx="11">
                  <c:v>62.139000000000003</c:v>
                </c:pt>
                <c:pt idx="12">
                  <c:v>59.804000000000002</c:v>
                </c:pt>
                <c:pt idx="13">
                  <c:v>58.335999999999999</c:v>
                </c:pt>
              </c:numCache>
            </c:numRef>
          </c:val>
          <c:smooth val="0"/>
          <c:extLst>
            <c:ext xmlns:c16="http://schemas.microsoft.com/office/drawing/2014/chart" uri="{C3380CC4-5D6E-409C-BE32-E72D297353CC}">
              <c16:uniqueId val="{00000005-3302-40BB-8D40-E26A83434DDF}"/>
            </c:ext>
          </c:extLst>
        </c:ser>
        <c:ser>
          <c:idx val="6"/>
          <c:order val="6"/>
          <c:tx>
            <c:strRef>
              <c:f>Sheet1!$A$8</c:f>
              <c:strCache>
                <c:ptCount val="1"/>
                <c:pt idx="0">
                  <c:v>Lauksaimniecība, mežsaimniecība, zivsaimniecība</c:v>
                </c:pt>
              </c:strCache>
            </c:strRef>
          </c:tx>
          <c:spPr>
            <a:ln w="28575" cap="rnd">
              <a:solidFill>
                <a:schemeClr val="accent1">
                  <a:lumMod val="60000"/>
                </a:schemeClr>
              </a:solidFill>
              <a:round/>
            </a:ln>
            <a:effectLst/>
          </c:spPr>
          <c:marker>
            <c:symbol val="none"/>
          </c:marker>
          <c:cat>
            <c:strRef>
              <c:f>Sheet1!$B$1:$O$1</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Sheet1!$B$8:$O$8</c:f>
              <c:numCache>
                <c:formatCode>General</c:formatCode>
                <c:ptCount val="14"/>
                <c:pt idx="0">
                  <c:v>17.47</c:v>
                </c:pt>
                <c:pt idx="1">
                  <c:v>18.952999999999999</c:v>
                </c:pt>
                <c:pt idx="2">
                  <c:v>20.567</c:v>
                </c:pt>
                <c:pt idx="3">
                  <c:v>21.169</c:v>
                </c:pt>
                <c:pt idx="4">
                  <c:v>21.498000000000001</c:v>
                </c:pt>
                <c:pt idx="5">
                  <c:v>21.626000000000001</c:v>
                </c:pt>
                <c:pt idx="6">
                  <c:v>21.379000000000001</c:v>
                </c:pt>
                <c:pt idx="7">
                  <c:v>21.745999999999999</c:v>
                </c:pt>
                <c:pt idx="8">
                  <c:v>21.759</c:v>
                </c:pt>
                <c:pt idx="9">
                  <c:v>22.189</c:v>
                </c:pt>
                <c:pt idx="10">
                  <c:v>21.98</c:v>
                </c:pt>
                <c:pt idx="11">
                  <c:v>21.434000000000001</c:v>
                </c:pt>
                <c:pt idx="12">
                  <c:v>21.587</c:v>
                </c:pt>
                <c:pt idx="13">
                  <c:v>22.125</c:v>
                </c:pt>
              </c:numCache>
            </c:numRef>
          </c:val>
          <c:smooth val="0"/>
          <c:extLst>
            <c:ext xmlns:c16="http://schemas.microsoft.com/office/drawing/2014/chart" uri="{C3380CC4-5D6E-409C-BE32-E72D297353CC}">
              <c16:uniqueId val="{00000006-3302-40BB-8D40-E26A83434DDF}"/>
            </c:ext>
          </c:extLst>
        </c:ser>
        <c:dLbls>
          <c:showLegendKey val="0"/>
          <c:showVal val="0"/>
          <c:showCatName val="0"/>
          <c:showSerName val="0"/>
          <c:showPercent val="0"/>
          <c:showBubbleSize val="0"/>
        </c:dLbls>
        <c:smooth val="0"/>
        <c:axId val="637074768"/>
        <c:axId val="637069848"/>
      </c:lineChart>
      <c:catAx>
        <c:axId val="637074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37069848"/>
        <c:crosses val="autoZero"/>
        <c:auto val="1"/>
        <c:lblAlgn val="ctr"/>
        <c:lblOffset val="100"/>
        <c:tickLblSkip val="1"/>
        <c:noMultiLvlLbl val="0"/>
      </c:catAx>
      <c:valAx>
        <c:axId val="637069848"/>
        <c:scaling>
          <c:orientation val="minMax"/>
          <c:max val="250"/>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37074768"/>
        <c:crosses val="autoZero"/>
        <c:crossBetween val="between"/>
      </c:valAx>
      <c:spPr>
        <a:noFill/>
        <a:ln>
          <a:noFill/>
        </a:ln>
        <a:effectLst/>
      </c:spPr>
    </c:plotArea>
    <c:legend>
      <c:legendPos val="r"/>
      <c:layout>
        <c:manualLayout>
          <c:xMode val="edge"/>
          <c:yMode val="edge"/>
          <c:x val="0.55256328357499607"/>
          <c:y val="5.5759422309788469E-2"/>
          <c:w val="0.4261336807424192"/>
          <c:h val="0.8233270899943739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955195374558334"/>
          <c:y val="4.7032080353913347E-2"/>
          <c:w val="0.48400923699311565"/>
          <c:h val="0.89025346553523477"/>
        </c:manualLayout>
      </c:layout>
      <c:barChart>
        <c:barDir val="bar"/>
        <c:grouping val="clustered"/>
        <c:varyColors val="0"/>
        <c:ser>
          <c:idx val="2"/>
          <c:order val="0"/>
          <c:tx>
            <c:strRef>
              <c:f>Sheet1!$B$1</c:f>
              <c:strCache>
                <c:ptCount val="1"/>
                <c:pt idx="0">
                  <c:v>2023 pret 2021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Sheet1!$A$2:$A$20</c:f>
              <c:strCache>
                <c:ptCount val="19"/>
                <c:pt idx="0">
                  <c:v>Apstrādes rūpniecība</c:v>
                </c:pt>
                <c:pt idx="1">
                  <c:v>Būvniecība</c:v>
                </c:pt>
                <c:pt idx="2">
                  <c:v>Izglītība</c:v>
                </c:pt>
                <c:pt idx="3">
                  <c:v>Transports un uzglabāšana</c:v>
                </c:pt>
                <c:pt idx="4">
                  <c:v>Tirdzniecība, automobiļu un motociklu remonts</c:v>
                </c:pt>
                <c:pt idx="5">
                  <c:v>Citi pakalpojumi</c:v>
                </c:pt>
                <c:pt idx="6">
                  <c:v>Valsts pārvalde un aizsardzība, obligātā sociālā apdrošināšana</c:v>
                </c:pt>
                <c:pt idx="7">
                  <c:v>Profesionālie, zinātniskie un tehniskie pakalpojumi</c:v>
                </c:pt>
                <c:pt idx="8">
                  <c:v>Elektroenerģija, gāzes apgāde, siltumapgāde</c:v>
                </c:pt>
                <c:pt idx="9">
                  <c:v>Māksla, izklaide un atpūta</c:v>
                </c:pt>
                <c:pt idx="10">
                  <c:v>Ūdens apgāde, notekūdeņu, atkritumu apsaimniekošana</c:v>
                </c:pt>
                <c:pt idx="11">
                  <c:v>Ieguves rūpniecība un karjeru izstrāde</c:v>
                </c:pt>
                <c:pt idx="12">
                  <c:v>Operācijas ar nekustamo īpašumu</c:v>
                </c:pt>
                <c:pt idx="13">
                  <c:v>Lauksaimniecība, mežsaimniecība un zivsaimniecība</c:v>
                </c:pt>
                <c:pt idx="14">
                  <c:v>Informācijas un komunikācijas pakalpojumi</c:v>
                </c:pt>
                <c:pt idx="15">
                  <c:v>Finanšu un apdrošināšanas darbības</c:v>
                </c:pt>
                <c:pt idx="16">
                  <c:v>Administratīvo un apkalpojošo dienestu darbība</c:v>
                </c:pt>
                <c:pt idx="17">
                  <c:v>Izmitināšana un ēdināšanas pakalpojumi</c:v>
                </c:pt>
                <c:pt idx="18">
                  <c:v>Veselība un sociālā aprūpe</c:v>
                </c:pt>
              </c:strCache>
            </c:strRef>
          </c:cat>
          <c:val>
            <c:numRef>
              <c:f>Sheet1!$B$2:$B$20</c:f>
              <c:numCache>
                <c:formatCode>0.0</c:formatCode>
                <c:ptCount val="19"/>
                <c:pt idx="0">
                  <c:v>-3.9672499999999999</c:v>
                </c:pt>
                <c:pt idx="1">
                  <c:v>-3.8022499999999999</c:v>
                </c:pt>
                <c:pt idx="2">
                  <c:v>-3.1382500000000002</c:v>
                </c:pt>
                <c:pt idx="3">
                  <c:v>-2.347</c:v>
                </c:pt>
                <c:pt idx="4">
                  <c:v>-2.294</c:v>
                </c:pt>
                <c:pt idx="5">
                  <c:v>-1.6025</c:v>
                </c:pt>
                <c:pt idx="6">
                  <c:v>-1.3955</c:v>
                </c:pt>
                <c:pt idx="7">
                  <c:v>-1.02325</c:v>
                </c:pt>
                <c:pt idx="8">
                  <c:v>-0.89749999999999996</c:v>
                </c:pt>
                <c:pt idx="9">
                  <c:v>-0.42825000000000002</c:v>
                </c:pt>
                <c:pt idx="10">
                  <c:v>-0.36849999999999999</c:v>
                </c:pt>
                <c:pt idx="11">
                  <c:v>-0.15925</c:v>
                </c:pt>
                <c:pt idx="12">
                  <c:v>0.18625</c:v>
                </c:pt>
                <c:pt idx="13">
                  <c:v>0.69025000000000003</c:v>
                </c:pt>
                <c:pt idx="14">
                  <c:v>0.81950000000000001</c:v>
                </c:pt>
                <c:pt idx="15">
                  <c:v>0.94</c:v>
                </c:pt>
                <c:pt idx="16">
                  <c:v>1.3872500000000001</c:v>
                </c:pt>
                <c:pt idx="17">
                  <c:v>4.03775</c:v>
                </c:pt>
                <c:pt idx="18">
                  <c:v>7.1777499999999996</c:v>
                </c:pt>
              </c:numCache>
            </c:numRef>
          </c:val>
          <c:extLst>
            <c:ext xmlns:c16="http://schemas.microsoft.com/office/drawing/2014/chart" uri="{C3380CC4-5D6E-409C-BE32-E72D297353CC}">
              <c16:uniqueId val="{00000000-3A3F-484B-B640-B78F81105B1D}"/>
            </c:ext>
          </c:extLst>
        </c:ser>
        <c:dLbls>
          <c:showLegendKey val="0"/>
          <c:showVal val="0"/>
          <c:showCatName val="0"/>
          <c:showSerName val="0"/>
          <c:showPercent val="0"/>
          <c:showBubbleSize val="0"/>
        </c:dLbls>
        <c:gapWidth val="40"/>
        <c:axId val="742055792"/>
        <c:axId val="742057360"/>
      </c:barChart>
      <c:catAx>
        <c:axId val="742055792"/>
        <c:scaling>
          <c:orientation val="minMax"/>
        </c:scaling>
        <c:delete val="0"/>
        <c:axPos val="l"/>
        <c:numFmt formatCode="General" sourceLinked="1"/>
        <c:majorTickMark val="out"/>
        <c:minorTickMark val="none"/>
        <c:tickLblPos val="low"/>
        <c:txPr>
          <a:bodyPr rot="0" vert="horz"/>
          <a:lstStyle/>
          <a:p>
            <a:pPr>
              <a:defRPr/>
            </a:pPr>
            <a:endParaRPr lang="lv-LV"/>
          </a:p>
        </c:txPr>
        <c:crossAx val="742057360"/>
        <c:crosses val="autoZero"/>
        <c:auto val="0"/>
        <c:lblAlgn val="ctr"/>
        <c:lblOffset val="0"/>
        <c:noMultiLvlLbl val="1"/>
      </c:catAx>
      <c:valAx>
        <c:axId val="742057360"/>
        <c:scaling>
          <c:orientation val="minMax"/>
          <c:max val="8"/>
          <c:min val="-6"/>
        </c:scaling>
        <c:delete val="0"/>
        <c:axPos val="b"/>
        <c:numFmt formatCode="0" sourceLinked="0"/>
        <c:majorTickMark val="out"/>
        <c:minorTickMark val="none"/>
        <c:tickLblPos val="nextTo"/>
        <c:spPr>
          <a:ln w="3175">
            <a:noFill/>
          </a:ln>
        </c:spPr>
        <c:txPr>
          <a:bodyPr rot="0" vert="horz"/>
          <a:lstStyle/>
          <a:p>
            <a:pPr>
              <a:defRPr/>
            </a:pPr>
            <a:endParaRPr lang="lv-LV"/>
          </a:p>
        </c:txPr>
        <c:crossAx val="742055792"/>
        <c:crosses val="autoZero"/>
        <c:crossBetween val="between"/>
        <c:majorUnit val="2"/>
      </c:valAx>
      <c:spPr>
        <a:noFill/>
        <a:ln w="24631">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132188021951796E-2"/>
          <c:y val="4.2520726805510944E-2"/>
          <c:w val="0.69392883836540298"/>
          <c:h val="0.87181445012699077"/>
        </c:manualLayout>
      </c:layout>
      <c:barChart>
        <c:barDir val="col"/>
        <c:grouping val="stacked"/>
        <c:varyColors val="0"/>
        <c:ser>
          <c:idx val="4"/>
          <c:order val="0"/>
          <c:tx>
            <c:strRef>
              <c:f>Sheet1!$A$2</c:f>
              <c:strCache>
                <c:ptCount val="1"/>
                <c:pt idx="0">
                  <c:v>0-14</c:v>
                </c:pt>
              </c:strCache>
            </c:strRef>
          </c:tx>
          <c:invertIfNegative val="0"/>
          <c:dLbls>
            <c:numFmt formatCode="#,##0" sourceLinked="0"/>
            <c:spPr>
              <a:noFill/>
              <a:ln>
                <a:noFill/>
              </a:ln>
              <a:effectLst/>
            </c:spPr>
            <c:txPr>
              <a:bodyPr wrap="square" lIns="38100" tIns="19050" rIns="38100" bIns="19050" anchor="ctr">
                <a:spAutoFit/>
              </a:bodyPr>
              <a:lstStyle/>
              <a:p>
                <a:pPr>
                  <a:defRPr>
                    <a:solidFill>
                      <a:schemeClr val="bg1"/>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2000</c:v>
                </c:pt>
                <c:pt idx="1">
                  <c:v>2011</c:v>
                </c:pt>
                <c:pt idx="2">
                  <c:v>2019</c:v>
                </c:pt>
                <c:pt idx="3">
                  <c:v>2020</c:v>
                </c:pt>
                <c:pt idx="4">
                  <c:v>2021</c:v>
                </c:pt>
                <c:pt idx="5">
                  <c:v>2022</c:v>
                </c:pt>
                <c:pt idx="6">
                  <c:v>2023</c:v>
                </c:pt>
              </c:strCache>
            </c:strRef>
          </c:cat>
          <c:val>
            <c:numRef>
              <c:f>Sheet1!$B$2:$H$2</c:f>
              <c:numCache>
                <c:formatCode>0.0</c:formatCode>
                <c:ptCount val="7"/>
                <c:pt idx="0">
                  <c:v>430.22399999999999</c:v>
                </c:pt>
                <c:pt idx="1">
                  <c:v>294.14999999999998</c:v>
                </c:pt>
                <c:pt idx="2">
                  <c:v>305.08</c:v>
                </c:pt>
                <c:pt idx="3">
                  <c:v>305.18799999999999</c:v>
                </c:pt>
                <c:pt idx="4">
                  <c:v>302.97800000000001</c:v>
                </c:pt>
                <c:pt idx="5">
                  <c:v>299.99200000000002</c:v>
                </c:pt>
                <c:pt idx="6">
                  <c:v>300.47699999999998</c:v>
                </c:pt>
              </c:numCache>
            </c:numRef>
          </c:val>
          <c:extLst>
            <c:ext xmlns:c16="http://schemas.microsoft.com/office/drawing/2014/chart" uri="{C3380CC4-5D6E-409C-BE32-E72D297353CC}">
              <c16:uniqueId val="{00000000-2793-49BF-A128-3E27B239E542}"/>
            </c:ext>
          </c:extLst>
        </c:ser>
        <c:ser>
          <c:idx val="2"/>
          <c:order val="1"/>
          <c:tx>
            <c:strRef>
              <c:f>Sheet1!$A$3</c:f>
              <c:strCache>
                <c:ptCount val="1"/>
                <c:pt idx="0">
                  <c:v>15-64</c:v>
                </c:pt>
              </c:strCache>
            </c:strRef>
          </c:tx>
          <c:invertIfNegative val="0"/>
          <c:dLbls>
            <c:numFmt formatCode="0" sourceLinked="0"/>
            <c:spPr>
              <a:noFill/>
              <a:ln>
                <a:noFill/>
              </a:ln>
              <a:effectLst/>
            </c:spPr>
            <c:txPr>
              <a:bodyPr wrap="square" lIns="38100" tIns="19050" rIns="38100" bIns="19050" anchor="ctr">
                <a:spAutoFit/>
              </a:bodyPr>
              <a:lstStyle/>
              <a:p>
                <a:pPr>
                  <a:defRPr>
                    <a:solidFill>
                      <a:schemeClr val="bg1"/>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2000</c:v>
                </c:pt>
                <c:pt idx="1">
                  <c:v>2011</c:v>
                </c:pt>
                <c:pt idx="2">
                  <c:v>2019</c:v>
                </c:pt>
                <c:pt idx="3">
                  <c:v>2020</c:v>
                </c:pt>
                <c:pt idx="4">
                  <c:v>2021</c:v>
                </c:pt>
                <c:pt idx="5">
                  <c:v>2022</c:v>
                </c:pt>
                <c:pt idx="6">
                  <c:v>2023</c:v>
                </c:pt>
              </c:strCache>
            </c:strRef>
          </c:cat>
          <c:val>
            <c:numRef>
              <c:f>Sheet1!$B$3:$H$3</c:f>
              <c:numCache>
                <c:formatCode>0.0</c:formatCode>
                <c:ptCount val="7"/>
                <c:pt idx="0">
                  <c:v>1594.807</c:v>
                </c:pt>
                <c:pt idx="1">
                  <c:v>1395.7650000000001</c:v>
                </c:pt>
                <c:pt idx="2">
                  <c:v>1225.9090000000001</c:v>
                </c:pt>
                <c:pt idx="3">
                  <c:v>1211.0740000000001</c:v>
                </c:pt>
                <c:pt idx="4">
                  <c:v>1196.547</c:v>
                </c:pt>
                <c:pt idx="5">
                  <c:v>1184.1420000000001</c:v>
                </c:pt>
                <c:pt idx="6">
                  <c:v>1187.6130000000001</c:v>
                </c:pt>
              </c:numCache>
            </c:numRef>
          </c:val>
          <c:extLst>
            <c:ext xmlns:c16="http://schemas.microsoft.com/office/drawing/2014/chart" uri="{C3380CC4-5D6E-409C-BE32-E72D297353CC}">
              <c16:uniqueId val="{00000001-2793-49BF-A128-3E27B239E542}"/>
            </c:ext>
          </c:extLst>
        </c:ser>
        <c:ser>
          <c:idx val="1"/>
          <c:order val="2"/>
          <c:tx>
            <c:strRef>
              <c:f>Sheet1!$A$4</c:f>
              <c:strCache>
                <c:ptCount val="1"/>
                <c:pt idx="0">
                  <c:v>65+</c:v>
                </c:pt>
              </c:strCache>
            </c:strRef>
          </c:tx>
          <c:invertIfNegative val="0"/>
          <c:dLbls>
            <c:numFmt formatCode="#,##0" sourceLinked="0"/>
            <c:spPr>
              <a:noFill/>
              <a:ln>
                <a:noFill/>
              </a:ln>
              <a:effectLst/>
            </c:spPr>
            <c:txPr>
              <a:bodyPr wrap="square" lIns="38100" tIns="19050" rIns="38100" bIns="19050" anchor="ctr">
                <a:spAutoFit/>
              </a:bodyPr>
              <a:lstStyle/>
              <a:p>
                <a:pPr>
                  <a:defRPr>
                    <a:solidFill>
                      <a:schemeClr val="bg1"/>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2000</c:v>
                </c:pt>
                <c:pt idx="1">
                  <c:v>2011</c:v>
                </c:pt>
                <c:pt idx="2">
                  <c:v>2019</c:v>
                </c:pt>
                <c:pt idx="3">
                  <c:v>2020</c:v>
                </c:pt>
                <c:pt idx="4">
                  <c:v>2021</c:v>
                </c:pt>
                <c:pt idx="5">
                  <c:v>2022</c:v>
                </c:pt>
                <c:pt idx="6">
                  <c:v>2023</c:v>
                </c:pt>
              </c:strCache>
            </c:strRef>
          </c:cat>
          <c:val>
            <c:numRef>
              <c:f>Sheet1!$B$4:$H$4</c:f>
              <c:numCache>
                <c:formatCode>0.0</c:formatCode>
                <c:ptCount val="7"/>
                <c:pt idx="0">
                  <c:v>351.95699999999999</c:v>
                </c:pt>
                <c:pt idx="1">
                  <c:v>380.45499999999998</c:v>
                </c:pt>
                <c:pt idx="2">
                  <c:v>388.97899999999998</c:v>
                </c:pt>
                <c:pt idx="3">
                  <c:v>391.41300000000001</c:v>
                </c:pt>
                <c:pt idx="4">
                  <c:v>393.69799999999998</c:v>
                </c:pt>
                <c:pt idx="5">
                  <c:v>391.62299999999999</c:v>
                </c:pt>
                <c:pt idx="6">
                  <c:v>394.91800000000001</c:v>
                </c:pt>
              </c:numCache>
            </c:numRef>
          </c:val>
          <c:extLst>
            <c:ext xmlns:c16="http://schemas.microsoft.com/office/drawing/2014/chart" uri="{C3380CC4-5D6E-409C-BE32-E72D297353CC}">
              <c16:uniqueId val="{00000002-2793-49BF-A128-3E27B239E542}"/>
            </c:ext>
          </c:extLst>
        </c:ser>
        <c:dLbls>
          <c:showLegendKey val="0"/>
          <c:showVal val="0"/>
          <c:showCatName val="0"/>
          <c:showSerName val="0"/>
          <c:showPercent val="0"/>
          <c:showBubbleSize val="0"/>
        </c:dLbls>
        <c:gapWidth val="40"/>
        <c:overlap val="100"/>
        <c:axId val="742058144"/>
        <c:axId val="742059320"/>
      </c:barChart>
      <c:catAx>
        <c:axId val="742058144"/>
        <c:scaling>
          <c:orientation val="minMax"/>
        </c:scaling>
        <c:delete val="0"/>
        <c:axPos val="b"/>
        <c:numFmt formatCode="General" sourceLinked="1"/>
        <c:majorTickMark val="out"/>
        <c:minorTickMark val="none"/>
        <c:tickLblPos val="nextTo"/>
        <c:spPr>
          <a:ln w="3175"/>
        </c:spPr>
        <c:crossAx val="742059320"/>
        <c:crosses val="autoZero"/>
        <c:auto val="1"/>
        <c:lblAlgn val="ctr"/>
        <c:lblOffset val="100"/>
        <c:noMultiLvlLbl val="0"/>
      </c:catAx>
      <c:valAx>
        <c:axId val="742059320"/>
        <c:scaling>
          <c:orientation val="minMax"/>
          <c:max val="2400"/>
          <c:min val="0"/>
        </c:scaling>
        <c:delete val="0"/>
        <c:axPos val="l"/>
        <c:numFmt formatCode="0" sourceLinked="0"/>
        <c:majorTickMark val="out"/>
        <c:minorTickMark val="none"/>
        <c:tickLblPos val="nextTo"/>
        <c:spPr>
          <a:ln w="3175">
            <a:noFill/>
          </a:ln>
        </c:spPr>
        <c:crossAx val="742058144"/>
        <c:crosses val="autoZero"/>
        <c:crossBetween val="between"/>
        <c:majorUnit val="600"/>
      </c:valAx>
    </c:plotArea>
    <c:legend>
      <c:legendPos val="r"/>
      <c:layout>
        <c:manualLayout>
          <c:xMode val="edge"/>
          <c:yMode val="edge"/>
          <c:x val="0.82279953416418972"/>
          <c:y val="5.739784180781151E-2"/>
          <c:w val="0.1726852390419224"/>
          <c:h val="0.90237713670576181"/>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0828406577415116E-2"/>
          <c:y val="4.1032354227984354E-2"/>
          <c:w val="0.87565465636968753"/>
          <c:h val="0.8847855263957497"/>
        </c:manualLayout>
      </c:layout>
      <c:barChart>
        <c:barDir val="bar"/>
        <c:grouping val="stacked"/>
        <c:varyColors val="0"/>
        <c:ser>
          <c:idx val="0"/>
          <c:order val="0"/>
          <c:tx>
            <c:strRef>
              <c:f>Sheet1!$B$1</c:f>
              <c:strCache>
                <c:ptCount val="1"/>
                <c:pt idx="0">
                  <c:v>Vīrieši</c:v>
                </c:pt>
              </c:strCache>
            </c:strRef>
          </c:tx>
          <c:invertIfNegative val="0"/>
          <c:cat>
            <c:strRef>
              <c:f>Sheet1!$A$2:$A$102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Sheet1!$B$2:$B$102</c:f>
              <c:numCache>
                <c:formatCode>0.0</c:formatCode>
                <c:ptCount val="101"/>
                <c:pt idx="0">
                  <c:v>-8.8949999999999996</c:v>
                </c:pt>
                <c:pt idx="1">
                  <c:v>-9.0299999999999994</c:v>
                </c:pt>
                <c:pt idx="2">
                  <c:v>-9.6479999999999997</c:v>
                </c:pt>
                <c:pt idx="3">
                  <c:v>-10.063000000000001</c:v>
                </c:pt>
                <c:pt idx="4">
                  <c:v>-10.858000000000001</c:v>
                </c:pt>
                <c:pt idx="5">
                  <c:v>-11.483000000000001</c:v>
                </c:pt>
                <c:pt idx="6">
                  <c:v>-11.467000000000001</c:v>
                </c:pt>
                <c:pt idx="7">
                  <c:v>-11.307</c:v>
                </c:pt>
                <c:pt idx="8">
                  <c:v>-10.500999999999999</c:v>
                </c:pt>
                <c:pt idx="9">
                  <c:v>-10.272</c:v>
                </c:pt>
                <c:pt idx="10">
                  <c:v>-9.49</c:v>
                </c:pt>
                <c:pt idx="11">
                  <c:v>-9.702</c:v>
                </c:pt>
                <c:pt idx="12">
                  <c:v>-10.217000000000001</c:v>
                </c:pt>
                <c:pt idx="13">
                  <c:v>-11.105</c:v>
                </c:pt>
                <c:pt idx="14">
                  <c:v>-10.691000000000001</c:v>
                </c:pt>
                <c:pt idx="15">
                  <c:v>-10.125</c:v>
                </c:pt>
                <c:pt idx="16">
                  <c:v>-9.8089999999999993</c:v>
                </c:pt>
                <c:pt idx="17">
                  <c:v>-9.2149999999999999</c:v>
                </c:pt>
                <c:pt idx="18">
                  <c:v>-9.4700000000000006</c:v>
                </c:pt>
                <c:pt idx="19">
                  <c:v>-9.0449999999999999</c:v>
                </c:pt>
                <c:pt idx="20">
                  <c:v>-8.7240000000000002</c:v>
                </c:pt>
                <c:pt idx="21">
                  <c:v>-9.0879999999999992</c:v>
                </c:pt>
                <c:pt idx="22">
                  <c:v>-8.6180000000000003</c:v>
                </c:pt>
                <c:pt idx="23">
                  <c:v>-8.0429999999999993</c:v>
                </c:pt>
                <c:pt idx="24">
                  <c:v>-8.266</c:v>
                </c:pt>
                <c:pt idx="25">
                  <c:v>-8.4429999999999996</c:v>
                </c:pt>
                <c:pt idx="26">
                  <c:v>-9.2420000000000009</c:v>
                </c:pt>
                <c:pt idx="27">
                  <c:v>-9.8239999999999998</c:v>
                </c:pt>
                <c:pt idx="28">
                  <c:v>-10.608000000000001</c:v>
                </c:pt>
                <c:pt idx="29">
                  <c:v>-12.372999999999999</c:v>
                </c:pt>
                <c:pt idx="30">
                  <c:v>-12.808</c:v>
                </c:pt>
                <c:pt idx="31">
                  <c:v>-13.436</c:v>
                </c:pt>
                <c:pt idx="32">
                  <c:v>-13.782999999999999</c:v>
                </c:pt>
                <c:pt idx="33">
                  <c:v>-14.355</c:v>
                </c:pt>
                <c:pt idx="34">
                  <c:v>-14.497</c:v>
                </c:pt>
                <c:pt idx="35">
                  <c:v>-14.427</c:v>
                </c:pt>
                <c:pt idx="36">
                  <c:v>-13.978999999999999</c:v>
                </c:pt>
                <c:pt idx="37">
                  <c:v>-13.91</c:v>
                </c:pt>
                <c:pt idx="38">
                  <c:v>-14.169</c:v>
                </c:pt>
                <c:pt idx="39">
                  <c:v>-13.137</c:v>
                </c:pt>
                <c:pt idx="40">
                  <c:v>-12.712</c:v>
                </c:pt>
                <c:pt idx="41">
                  <c:v>-12.433</c:v>
                </c:pt>
                <c:pt idx="42">
                  <c:v>-12.03</c:v>
                </c:pt>
                <c:pt idx="43">
                  <c:v>-11.837999999999999</c:v>
                </c:pt>
                <c:pt idx="44">
                  <c:v>-12.145</c:v>
                </c:pt>
                <c:pt idx="45">
                  <c:v>-12.45</c:v>
                </c:pt>
                <c:pt idx="46">
                  <c:v>-12.494</c:v>
                </c:pt>
                <c:pt idx="47">
                  <c:v>-12.574999999999999</c:v>
                </c:pt>
                <c:pt idx="48">
                  <c:v>-12.499000000000001</c:v>
                </c:pt>
                <c:pt idx="49">
                  <c:v>-12.875999999999999</c:v>
                </c:pt>
                <c:pt idx="50">
                  <c:v>-12.821999999999999</c:v>
                </c:pt>
                <c:pt idx="51">
                  <c:v>-12.442</c:v>
                </c:pt>
                <c:pt idx="52">
                  <c:v>-12.081</c:v>
                </c:pt>
                <c:pt idx="53">
                  <c:v>-12.095000000000001</c:v>
                </c:pt>
                <c:pt idx="54">
                  <c:v>-11.835000000000001</c:v>
                </c:pt>
                <c:pt idx="55">
                  <c:v>-11.683999999999999</c:v>
                </c:pt>
                <c:pt idx="56">
                  <c:v>-11.571999999999999</c:v>
                </c:pt>
                <c:pt idx="57">
                  <c:v>-11.868</c:v>
                </c:pt>
                <c:pt idx="58">
                  <c:v>-12.093</c:v>
                </c:pt>
                <c:pt idx="59">
                  <c:v>-12.303000000000001</c:v>
                </c:pt>
                <c:pt idx="60">
                  <c:v>-12.484</c:v>
                </c:pt>
                <c:pt idx="61">
                  <c:v>-12.196</c:v>
                </c:pt>
                <c:pt idx="62">
                  <c:v>-11.741</c:v>
                </c:pt>
                <c:pt idx="63">
                  <c:v>-11.779</c:v>
                </c:pt>
                <c:pt idx="64">
                  <c:v>-11.054</c:v>
                </c:pt>
                <c:pt idx="65">
                  <c:v>-10.057</c:v>
                </c:pt>
                <c:pt idx="66">
                  <c:v>-9.7850000000000001</c:v>
                </c:pt>
                <c:pt idx="67">
                  <c:v>-9.0960000000000001</c:v>
                </c:pt>
                <c:pt idx="68">
                  <c:v>-8.2479999999999993</c:v>
                </c:pt>
                <c:pt idx="69">
                  <c:v>-8.0310000000000006</c:v>
                </c:pt>
                <c:pt idx="70">
                  <c:v>-7.718</c:v>
                </c:pt>
                <c:pt idx="71">
                  <c:v>-7.3490000000000002</c:v>
                </c:pt>
                <c:pt idx="72">
                  <c:v>-7.3230000000000004</c:v>
                </c:pt>
                <c:pt idx="73">
                  <c:v>-6.6950000000000003</c:v>
                </c:pt>
                <c:pt idx="74">
                  <c:v>-5.8959999999999999</c:v>
                </c:pt>
                <c:pt idx="75">
                  <c:v>-4.8499999999999996</c:v>
                </c:pt>
                <c:pt idx="76">
                  <c:v>-4.2919999999999998</c:v>
                </c:pt>
                <c:pt idx="77">
                  <c:v>-4.2770000000000001</c:v>
                </c:pt>
                <c:pt idx="78">
                  <c:v>-4.3579999999999997</c:v>
                </c:pt>
                <c:pt idx="79">
                  <c:v>-4.1929999999999996</c:v>
                </c:pt>
                <c:pt idx="80">
                  <c:v>-4.4630000000000001</c:v>
                </c:pt>
                <c:pt idx="81">
                  <c:v>-3.9119999999999999</c:v>
                </c:pt>
                <c:pt idx="82">
                  <c:v>-3.6920000000000002</c:v>
                </c:pt>
                <c:pt idx="83">
                  <c:v>-3.222</c:v>
                </c:pt>
                <c:pt idx="84">
                  <c:v>-2.8450000000000002</c:v>
                </c:pt>
                <c:pt idx="85">
                  <c:v>-2.2690000000000001</c:v>
                </c:pt>
                <c:pt idx="86">
                  <c:v>-1.8160000000000001</c:v>
                </c:pt>
                <c:pt idx="87">
                  <c:v>-1.3340000000000001</c:v>
                </c:pt>
                <c:pt idx="88">
                  <c:v>-1.2150000000000001</c:v>
                </c:pt>
                <c:pt idx="89">
                  <c:v>-0.96699999999999997</c:v>
                </c:pt>
                <c:pt idx="90">
                  <c:v>-0.83</c:v>
                </c:pt>
                <c:pt idx="91">
                  <c:v>-0.66</c:v>
                </c:pt>
                <c:pt idx="92">
                  <c:v>-0.48199999999999998</c:v>
                </c:pt>
                <c:pt idx="93">
                  <c:v>-0.34699999999999998</c:v>
                </c:pt>
                <c:pt idx="94">
                  <c:v>-0.249</c:v>
                </c:pt>
                <c:pt idx="95">
                  <c:v>-0.128</c:v>
                </c:pt>
                <c:pt idx="96">
                  <c:v>-8.3000000000000004E-2</c:v>
                </c:pt>
                <c:pt idx="97">
                  <c:v>-6.2E-2</c:v>
                </c:pt>
                <c:pt idx="98">
                  <c:v>-0.04</c:v>
                </c:pt>
                <c:pt idx="99">
                  <c:v>-1.9E-2</c:v>
                </c:pt>
                <c:pt idx="100">
                  <c:v>-0.03</c:v>
                </c:pt>
              </c:numCache>
            </c:numRef>
          </c:val>
          <c:extLst>
            <c:ext xmlns:c16="http://schemas.microsoft.com/office/drawing/2014/chart" uri="{C3380CC4-5D6E-409C-BE32-E72D297353CC}">
              <c16:uniqueId val="{00000000-EEF1-432B-8AD0-C493CB2F1FB5}"/>
            </c:ext>
          </c:extLst>
        </c:ser>
        <c:ser>
          <c:idx val="1"/>
          <c:order val="1"/>
          <c:tx>
            <c:strRef>
              <c:f>Sheet1!$C$1</c:f>
              <c:strCache>
                <c:ptCount val="1"/>
                <c:pt idx="0">
                  <c:v>Sievietes</c:v>
                </c:pt>
              </c:strCache>
            </c:strRef>
          </c:tx>
          <c:invertIfNegative val="0"/>
          <c:cat>
            <c:strRef>
              <c:f>Sheet1!$A$2:$A$102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Sheet1!$C$2:$C$102</c:f>
              <c:numCache>
                <c:formatCode>0.0</c:formatCode>
                <c:ptCount val="101"/>
                <c:pt idx="0">
                  <c:v>8.3780000000000001</c:v>
                </c:pt>
                <c:pt idx="1">
                  <c:v>8.4700000000000006</c:v>
                </c:pt>
                <c:pt idx="2">
                  <c:v>9.1340000000000003</c:v>
                </c:pt>
                <c:pt idx="3">
                  <c:v>9.3109999999999999</c:v>
                </c:pt>
                <c:pt idx="4">
                  <c:v>10.003</c:v>
                </c:pt>
                <c:pt idx="5">
                  <c:v>10.522</c:v>
                </c:pt>
                <c:pt idx="6">
                  <c:v>10.587999999999999</c:v>
                </c:pt>
                <c:pt idx="7">
                  <c:v>10.512</c:v>
                </c:pt>
                <c:pt idx="8">
                  <c:v>10.125999999999999</c:v>
                </c:pt>
                <c:pt idx="9">
                  <c:v>9.5410000000000004</c:v>
                </c:pt>
                <c:pt idx="10">
                  <c:v>8.9600000000000009</c:v>
                </c:pt>
                <c:pt idx="11">
                  <c:v>8.8919999999999995</c:v>
                </c:pt>
                <c:pt idx="12">
                  <c:v>9.89</c:v>
                </c:pt>
                <c:pt idx="13">
                  <c:v>10.635</c:v>
                </c:pt>
                <c:pt idx="14">
                  <c:v>10.301</c:v>
                </c:pt>
                <c:pt idx="15">
                  <c:v>9.7349999999999994</c:v>
                </c:pt>
                <c:pt idx="16">
                  <c:v>9.3109999999999999</c:v>
                </c:pt>
                <c:pt idx="17">
                  <c:v>8.6769999999999996</c:v>
                </c:pt>
                <c:pt idx="18">
                  <c:v>8.8390000000000004</c:v>
                </c:pt>
                <c:pt idx="19">
                  <c:v>8.6210000000000004</c:v>
                </c:pt>
                <c:pt idx="20">
                  <c:v>8.3930000000000007</c:v>
                </c:pt>
                <c:pt idx="21">
                  <c:v>8.6389999999999993</c:v>
                </c:pt>
                <c:pt idx="22">
                  <c:v>8.0050000000000008</c:v>
                </c:pt>
                <c:pt idx="23">
                  <c:v>7.5449999999999999</c:v>
                </c:pt>
                <c:pt idx="24">
                  <c:v>7.5620000000000003</c:v>
                </c:pt>
                <c:pt idx="25">
                  <c:v>7.6820000000000004</c:v>
                </c:pt>
                <c:pt idx="26">
                  <c:v>8.3650000000000002</c:v>
                </c:pt>
                <c:pt idx="27">
                  <c:v>9.1920000000000002</c:v>
                </c:pt>
                <c:pt idx="28">
                  <c:v>10.016999999999999</c:v>
                </c:pt>
                <c:pt idx="29">
                  <c:v>11.433999999999999</c:v>
                </c:pt>
                <c:pt idx="30">
                  <c:v>11.798</c:v>
                </c:pt>
                <c:pt idx="31">
                  <c:v>12.702999999999999</c:v>
                </c:pt>
                <c:pt idx="32">
                  <c:v>12.727</c:v>
                </c:pt>
                <c:pt idx="33">
                  <c:v>13.19</c:v>
                </c:pt>
                <c:pt idx="34">
                  <c:v>13.638999999999999</c:v>
                </c:pt>
                <c:pt idx="35">
                  <c:v>13.589</c:v>
                </c:pt>
                <c:pt idx="36">
                  <c:v>12.986000000000001</c:v>
                </c:pt>
                <c:pt idx="37">
                  <c:v>13.315</c:v>
                </c:pt>
                <c:pt idx="38">
                  <c:v>13.358000000000001</c:v>
                </c:pt>
                <c:pt idx="39">
                  <c:v>12.532999999999999</c:v>
                </c:pt>
                <c:pt idx="40">
                  <c:v>12.215999999999999</c:v>
                </c:pt>
                <c:pt idx="41">
                  <c:v>12.026</c:v>
                </c:pt>
                <c:pt idx="42">
                  <c:v>12.154</c:v>
                </c:pt>
                <c:pt idx="43">
                  <c:v>12.09</c:v>
                </c:pt>
                <c:pt idx="44">
                  <c:v>12.319000000000001</c:v>
                </c:pt>
                <c:pt idx="45">
                  <c:v>12.661</c:v>
                </c:pt>
                <c:pt idx="46">
                  <c:v>12.965999999999999</c:v>
                </c:pt>
                <c:pt idx="47">
                  <c:v>13.129</c:v>
                </c:pt>
                <c:pt idx="48">
                  <c:v>13.131</c:v>
                </c:pt>
                <c:pt idx="49">
                  <c:v>13.366</c:v>
                </c:pt>
                <c:pt idx="50">
                  <c:v>13.93</c:v>
                </c:pt>
                <c:pt idx="51">
                  <c:v>13.632999999999999</c:v>
                </c:pt>
                <c:pt idx="52">
                  <c:v>13.303000000000001</c:v>
                </c:pt>
                <c:pt idx="53">
                  <c:v>13.247999999999999</c:v>
                </c:pt>
                <c:pt idx="54">
                  <c:v>13.314</c:v>
                </c:pt>
                <c:pt idx="55">
                  <c:v>13.48</c:v>
                </c:pt>
                <c:pt idx="56">
                  <c:v>13</c:v>
                </c:pt>
                <c:pt idx="57">
                  <c:v>13.917999999999999</c:v>
                </c:pt>
                <c:pt idx="58">
                  <c:v>14.372</c:v>
                </c:pt>
                <c:pt idx="59">
                  <c:v>14.94</c:v>
                </c:pt>
                <c:pt idx="60">
                  <c:v>15.365</c:v>
                </c:pt>
                <c:pt idx="61">
                  <c:v>15.489000000000001</c:v>
                </c:pt>
                <c:pt idx="62">
                  <c:v>15.311999999999999</c:v>
                </c:pt>
                <c:pt idx="63">
                  <c:v>14.927</c:v>
                </c:pt>
                <c:pt idx="64">
                  <c:v>14.503</c:v>
                </c:pt>
                <c:pt idx="65">
                  <c:v>14.112</c:v>
                </c:pt>
                <c:pt idx="66">
                  <c:v>13.999000000000001</c:v>
                </c:pt>
                <c:pt idx="67">
                  <c:v>13.621</c:v>
                </c:pt>
                <c:pt idx="68">
                  <c:v>12.488</c:v>
                </c:pt>
                <c:pt idx="69">
                  <c:v>12.816000000000001</c:v>
                </c:pt>
                <c:pt idx="70">
                  <c:v>12.711</c:v>
                </c:pt>
                <c:pt idx="71">
                  <c:v>12.257999999999999</c:v>
                </c:pt>
                <c:pt idx="72">
                  <c:v>13.196</c:v>
                </c:pt>
                <c:pt idx="73">
                  <c:v>11.923999999999999</c:v>
                </c:pt>
                <c:pt idx="74">
                  <c:v>10.943</c:v>
                </c:pt>
                <c:pt idx="75">
                  <c:v>9.6720000000000006</c:v>
                </c:pt>
                <c:pt idx="76">
                  <c:v>8.9309999999999992</c:v>
                </c:pt>
                <c:pt idx="77">
                  <c:v>9.3699999999999992</c:v>
                </c:pt>
                <c:pt idx="78">
                  <c:v>9.6329999999999991</c:v>
                </c:pt>
                <c:pt idx="79">
                  <c:v>10.428000000000001</c:v>
                </c:pt>
                <c:pt idx="80">
                  <c:v>10.566000000000001</c:v>
                </c:pt>
                <c:pt idx="81">
                  <c:v>10.113</c:v>
                </c:pt>
                <c:pt idx="82">
                  <c:v>9.6479999999999997</c:v>
                </c:pt>
                <c:pt idx="83">
                  <c:v>8.9489999999999998</c:v>
                </c:pt>
                <c:pt idx="84">
                  <c:v>8.0419999999999998</c:v>
                </c:pt>
                <c:pt idx="85">
                  <c:v>6.8259999999999996</c:v>
                </c:pt>
                <c:pt idx="86">
                  <c:v>5.6260000000000003</c:v>
                </c:pt>
                <c:pt idx="87">
                  <c:v>4.5979999999999999</c:v>
                </c:pt>
                <c:pt idx="88">
                  <c:v>4.1449999999999996</c:v>
                </c:pt>
                <c:pt idx="89">
                  <c:v>3.722</c:v>
                </c:pt>
                <c:pt idx="90">
                  <c:v>3.02</c:v>
                </c:pt>
                <c:pt idx="91">
                  <c:v>2.5310000000000001</c:v>
                </c:pt>
                <c:pt idx="92">
                  <c:v>1.8979999999999999</c:v>
                </c:pt>
                <c:pt idx="93">
                  <c:v>1.569</c:v>
                </c:pt>
                <c:pt idx="94">
                  <c:v>1.1739999999999999</c:v>
                </c:pt>
                <c:pt idx="95">
                  <c:v>0.82099999999999995</c:v>
                </c:pt>
                <c:pt idx="96">
                  <c:v>0.52500000000000002</c:v>
                </c:pt>
                <c:pt idx="97">
                  <c:v>0.38300000000000001</c:v>
                </c:pt>
                <c:pt idx="98">
                  <c:v>0.23699999999999999</c:v>
                </c:pt>
                <c:pt idx="99">
                  <c:v>0.13300000000000001</c:v>
                </c:pt>
                <c:pt idx="100">
                  <c:v>0.16200000000000001</c:v>
                </c:pt>
              </c:numCache>
            </c:numRef>
          </c:val>
          <c:extLst>
            <c:ext xmlns:c16="http://schemas.microsoft.com/office/drawing/2014/chart" uri="{C3380CC4-5D6E-409C-BE32-E72D297353CC}">
              <c16:uniqueId val="{00000001-EEF1-432B-8AD0-C493CB2F1FB5}"/>
            </c:ext>
          </c:extLst>
        </c:ser>
        <c:dLbls>
          <c:showLegendKey val="0"/>
          <c:showVal val="0"/>
          <c:showCatName val="0"/>
          <c:showSerName val="0"/>
          <c:showPercent val="0"/>
          <c:showBubbleSize val="0"/>
        </c:dLbls>
        <c:gapWidth val="0"/>
        <c:overlap val="100"/>
        <c:axId val="742072256"/>
        <c:axId val="742067552"/>
      </c:barChart>
      <c:catAx>
        <c:axId val="742072256"/>
        <c:scaling>
          <c:orientation val="minMax"/>
        </c:scaling>
        <c:delete val="0"/>
        <c:axPos val="l"/>
        <c:numFmt formatCode="General" sourceLinked="0"/>
        <c:majorTickMark val="out"/>
        <c:minorTickMark val="none"/>
        <c:tickLblPos val="nextTo"/>
        <c:spPr>
          <a:ln w="3175">
            <a:noFill/>
          </a:ln>
        </c:spPr>
        <c:crossAx val="742067552"/>
        <c:crossesAt val="-120"/>
        <c:auto val="1"/>
        <c:lblAlgn val="ctr"/>
        <c:lblOffset val="100"/>
        <c:tickLblSkip val="20"/>
        <c:tickMarkSkip val="10"/>
        <c:noMultiLvlLbl val="0"/>
      </c:catAx>
      <c:valAx>
        <c:axId val="742067552"/>
        <c:scaling>
          <c:orientation val="minMax"/>
          <c:max val="18"/>
          <c:min val="-18"/>
        </c:scaling>
        <c:delete val="0"/>
        <c:axPos val="b"/>
        <c:numFmt formatCode="#,##0_ ;#,##0\ " sourceLinked="0"/>
        <c:majorTickMark val="out"/>
        <c:minorTickMark val="none"/>
        <c:tickLblPos val="nextTo"/>
        <c:spPr>
          <a:ln w="3175"/>
        </c:spPr>
        <c:crossAx val="742072256"/>
        <c:crosses val="autoZero"/>
        <c:crossBetween val="between"/>
        <c:majorUnit val="6"/>
      </c:valAx>
    </c:plotArea>
    <c:legend>
      <c:legendPos val="r"/>
      <c:legendEntry>
        <c:idx val="1"/>
        <c:txPr>
          <a:bodyPr/>
          <a:lstStyle/>
          <a:p>
            <a:pPr>
              <a:defRPr b="0">
                <a:solidFill>
                  <a:schemeClr val="bg1"/>
                </a:solidFill>
              </a:defRPr>
            </a:pPr>
            <a:endParaRPr lang="lv-LV"/>
          </a:p>
        </c:txPr>
      </c:legendEntry>
      <c:layout>
        <c:manualLayout>
          <c:xMode val="edge"/>
          <c:yMode val="edge"/>
          <c:x val="0.20421378845659724"/>
          <c:y val="0.5171799390566808"/>
          <c:w val="0.65209400149484631"/>
          <c:h val="7.8203060243446934E-2"/>
        </c:manualLayout>
      </c:layout>
      <c:overlay val="0"/>
      <c:txPr>
        <a:bodyPr/>
        <a:lstStyle/>
        <a:p>
          <a:pPr>
            <a:defRPr b="0"/>
          </a:pPr>
          <a:endParaRPr lang="lv-LV"/>
        </a:p>
      </c:txPr>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80063832113558"/>
          <c:y val="0.13370592715898752"/>
          <c:w val="0.823709169922197"/>
          <c:h val="0.83499433932122791"/>
        </c:manualLayout>
      </c:layout>
      <c:barChart>
        <c:barDir val="col"/>
        <c:grouping val="stacked"/>
        <c:varyColors val="0"/>
        <c:ser>
          <c:idx val="0"/>
          <c:order val="0"/>
          <c:tx>
            <c:strRef>
              <c:f>Sheet1!$B$1</c:f>
              <c:strCache>
                <c:ptCount val="1"/>
                <c:pt idx="0">
                  <c:v>Dabiskais pieaugums</c:v>
                </c:pt>
              </c:strCache>
            </c:strRef>
          </c:tx>
          <c:spPr>
            <a:solidFill>
              <a:schemeClr val="accent1"/>
            </a:solidFill>
            <a:ln>
              <a:noFill/>
            </a:ln>
            <a:effectLst/>
          </c:spPr>
          <c:invertIfNegative val="0"/>
          <c:cat>
            <c:strRef>
              <c:f>Sheet1!$A$8:$A$26</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Sheet1!$B$8:$B$26</c:f>
              <c:numCache>
                <c:formatCode>General</c:formatCode>
                <c:ptCount val="19"/>
                <c:pt idx="0">
                  <c:v>-10898</c:v>
                </c:pt>
                <c:pt idx="1">
                  <c:v>-10227</c:v>
                </c:pt>
                <c:pt idx="2">
                  <c:v>-9084</c:v>
                </c:pt>
                <c:pt idx="3">
                  <c:v>-6609</c:v>
                </c:pt>
                <c:pt idx="4">
                  <c:v>-7853</c:v>
                </c:pt>
                <c:pt idx="5">
                  <c:v>-10259</c:v>
                </c:pt>
                <c:pt idx="6">
                  <c:v>-9715</c:v>
                </c:pt>
                <c:pt idx="7">
                  <c:v>-9128</c:v>
                </c:pt>
                <c:pt idx="8">
                  <c:v>-8095</c:v>
                </c:pt>
                <c:pt idx="9">
                  <c:v>-6720</c:v>
                </c:pt>
                <c:pt idx="10">
                  <c:v>-6499</c:v>
                </c:pt>
                <c:pt idx="11">
                  <c:v>-6612</c:v>
                </c:pt>
                <c:pt idx="12">
                  <c:v>-7929</c:v>
                </c:pt>
                <c:pt idx="13">
                  <c:v>-9506</c:v>
                </c:pt>
                <c:pt idx="14">
                  <c:v>-8933</c:v>
                </c:pt>
                <c:pt idx="15">
                  <c:v>-11302</c:v>
                </c:pt>
                <c:pt idx="16">
                  <c:v>-17180</c:v>
                </c:pt>
                <c:pt idx="17">
                  <c:v>-14777</c:v>
                </c:pt>
                <c:pt idx="18" formatCode="0">
                  <c:v>-13541</c:v>
                </c:pt>
              </c:numCache>
            </c:numRef>
          </c:val>
          <c:extLst>
            <c:ext xmlns:c16="http://schemas.microsoft.com/office/drawing/2014/chart" uri="{C3380CC4-5D6E-409C-BE32-E72D297353CC}">
              <c16:uniqueId val="{00000000-B25B-4F37-A348-9DBF76590FDE}"/>
            </c:ext>
          </c:extLst>
        </c:ser>
        <c:ser>
          <c:idx val="1"/>
          <c:order val="1"/>
          <c:tx>
            <c:strRef>
              <c:f>Sheet1!$C$1</c:f>
              <c:strCache>
                <c:ptCount val="1"/>
                <c:pt idx="0">
                  <c:v>Migrācijas saldo</c:v>
                </c:pt>
              </c:strCache>
            </c:strRef>
          </c:tx>
          <c:invertIfNegative val="0"/>
          <c:cat>
            <c:strRef>
              <c:f>Sheet1!$A$8:$A$26</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Sheet1!$C$8:$C$26</c:f>
              <c:numCache>
                <c:formatCode>General</c:formatCode>
                <c:ptCount val="19"/>
                <c:pt idx="0">
                  <c:v>-10952</c:v>
                </c:pt>
                <c:pt idx="1">
                  <c:v>-8807</c:v>
                </c:pt>
                <c:pt idx="2">
                  <c:v>-7946</c:v>
                </c:pt>
                <c:pt idx="3">
                  <c:v>-22367</c:v>
                </c:pt>
                <c:pt idx="4">
                  <c:v>-34477</c:v>
                </c:pt>
                <c:pt idx="5">
                  <c:v>-35640</c:v>
                </c:pt>
                <c:pt idx="6">
                  <c:v>-20077</c:v>
                </c:pt>
                <c:pt idx="7">
                  <c:v>-11860</c:v>
                </c:pt>
                <c:pt idx="8">
                  <c:v>-14262</c:v>
                </c:pt>
                <c:pt idx="9">
                  <c:v>-8652</c:v>
                </c:pt>
                <c:pt idx="10">
                  <c:v>-10640</c:v>
                </c:pt>
                <c:pt idx="11">
                  <c:v>-12229</c:v>
                </c:pt>
                <c:pt idx="12">
                  <c:v>-7808</c:v>
                </c:pt>
                <c:pt idx="13">
                  <c:v>-4905</c:v>
                </c:pt>
                <c:pt idx="14">
                  <c:v>-3360</c:v>
                </c:pt>
                <c:pt idx="15">
                  <c:v>-3150</c:v>
                </c:pt>
                <c:pt idx="16">
                  <c:v>-286</c:v>
                </c:pt>
                <c:pt idx="17">
                  <c:v>22028</c:v>
                </c:pt>
                <c:pt idx="18" formatCode="0">
                  <c:v>2415</c:v>
                </c:pt>
              </c:numCache>
            </c:numRef>
          </c:val>
          <c:extLst>
            <c:ext xmlns:c16="http://schemas.microsoft.com/office/drawing/2014/chart" uri="{C3380CC4-5D6E-409C-BE32-E72D297353CC}">
              <c16:uniqueId val="{00000001-B25B-4F37-A348-9DBF76590FDE}"/>
            </c:ext>
          </c:extLst>
        </c:ser>
        <c:dLbls>
          <c:showLegendKey val="0"/>
          <c:showVal val="0"/>
          <c:showCatName val="0"/>
          <c:showSerName val="0"/>
          <c:showPercent val="0"/>
          <c:showBubbleSize val="0"/>
        </c:dLbls>
        <c:gapWidth val="40"/>
        <c:overlap val="100"/>
        <c:axId val="742061280"/>
        <c:axId val="742070688"/>
      </c:barChart>
      <c:catAx>
        <c:axId val="742061280"/>
        <c:scaling>
          <c:orientation val="minMax"/>
        </c:scaling>
        <c:delete val="0"/>
        <c:axPos val="b"/>
        <c:numFmt formatCode="General" sourceLinked="1"/>
        <c:majorTickMark val="out"/>
        <c:minorTickMark val="none"/>
        <c:tickLblPos val="low"/>
        <c:spPr>
          <a:noFill/>
          <a:ln w="3175" cap="flat" cmpd="sng" algn="ctr">
            <a:solidFill>
              <a:sysClr val="windowText" lastClr="000000">
                <a:tint val="75000"/>
                <a:shade val="95000"/>
                <a:satMod val="105000"/>
              </a:sysClr>
            </a:solidFill>
            <a:prstDash val="solid"/>
            <a:round/>
          </a:ln>
          <a:effectLst/>
        </c:spPr>
        <c:txPr>
          <a:bodyPr rot="-60000000" vert="horz"/>
          <a:lstStyle/>
          <a:p>
            <a:pPr>
              <a:defRPr/>
            </a:pPr>
            <a:endParaRPr lang="lv-LV"/>
          </a:p>
        </c:txPr>
        <c:crossAx val="742070688"/>
        <c:crosses val="autoZero"/>
        <c:auto val="1"/>
        <c:lblAlgn val="ctr"/>
        <c:lblOffset val="0"/>
        <c:noMultiLvlLbl val="0"/>
      </c:catAx>
      <c:valAx>
        <c:axId val="742070688"/>
        <c:scaling>
          <c:orientation val="minMax"/>
          <c:max val="24000"/>
          <c:min val="-48000"/>
        </c:scaling>
        <c:delete val="0"/>
        <c:axPos val="l"/>
        <c:numFmt formatCode="General" sourceLinked="1"/>
        <c:majorTickMark val="out"/>
        <c:minorTickMark val="none"/>
        <c:tickLblPos val="nextTo"/>
        <c:spPr>
          <a:noFill/>
          <a:ln w="9525" cap="flat" cmpd="sng" algn="ctr">
            <a:noFill/>
            <a:prstDash val="solid"/>
            <a:round/>
          </a:ln>
          <a:effectLst/>
        </c:spPr>
        <c:txPr>
          <a:bodyPr rot="-60000000" vert="horz"/>
          <a:lstStyle/>
          <a:p>
            <a:pPr>
              <a:defRPr/>
            </a:pPr>
            <a:endParaRPr lang="lv-LV"/>
          </a:p>
        </c:txPr>
        <c:crossAx val="742061280"/>
        <c:crosses val="autoZero"/>
        <c:crossBetween val="between"/>
        <c:majorUnit val="12000"/>
        <c:minorUnit val="2500"/>
        <c:dispUnits>
          <c:builtInUnit val="thousands"/>
        </c:dispUnits>
      </c:valAx>
      <c:spPr>
        <a:noFill/>
        <a:ln w="25400">
          <a:noFill/>
        </a:ln>
        <a:effectLst/>
      </c:spPr>
    </c:plotArea>
    <c:legend>
      <c:legendPos val="b"/>
      <c:layout>
        <c:manualLayout>
          <c:xMode val="edge"/>
          <c:yMode val="edge"/>
          <c:x val="0.19314056428421436"/>
          <c:y val="8.3503462390635455E-2"/>
          <c:w val="0.46534582670223318"/>
          <c:h val="0.16782419251401279"/>
        </c:manualLayout>
      </c:layout>
      <c:overlay val="0"/>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800">
          <a:solidFill>
            <a:sysClr val="windowText" lastClr="000000"/>
          </a:solidFill>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500342914688034E-2"/>
          <c:y val="4.8511576626240352E-2"/>
          <c:w val="0.92124386877219178"/>
          <c:h val="0.69434685603660073"/>
        </c:manualLayout>
      </c:layout>
      <c:barChart>
        <c:barDir val="col"/>
        <c:grouping val="clustered"/>
        <c:varyColors val="0"/>
        <c:ser>
          <c:idx val="0"/>
          <c:order val="0"/>
          <c:tx>
            <c:v>2010.gads</c:v>
          </c:tx>
          <c:spPr>
            <a:solidFill>
              <a:schemeClr val="accent1">
                <a:lumMod val="40000"/>
                <a:lumOff val="60000"/>
              </a:schemeClr>
            </a:solidFill>
            <a:ln>
              <a:noFill/>
            </a:ln>
            <a:effectLst/>
          </c:spPr>
          <c:invertIfNegative val="0"/>
          <c:cat>
            <c:strRef>
              <c:f>'konverģence IKP uz iedz.'!$B$74:$B$100</c:f>
              <c:strCache>
                <c:ptCount val="27"/>
                <c:pt idx="0">
                  <c:v>Luksemburga</c:v>
                </c:pt>
                <c:pt idx="1">
                  <c:v>Īrija</c:v>
                </c:pt>
                <c:pt idx="2">
                  <c:v>Dānija</c:v>
                </c:pt>
                <c:pt idx="3">
                  <c:v>Nīderlande</c:v>
                </c:pt>
                <c:pt idx="4">
                  <c:v>Austrija</c:v>
                </c:pt>
                <c:pt idx="5">
                  <c:v>Beļģija</c:v>
                </c:pt>
                <c:pt idx="6">
                  <c:v>Zviedrija</c:v>
                </c:pt>
                <c:pt idx="7">
                  <c:v>Vācija</c:v>
                </c:pt>
                <c:pt idx="8">
                  <c:v>Somija</c:v>
                </c:pt>
                <c:pt idx="9">
                  <c:v>Malta</c:v>
                </c:pt>
                <c:pt idx="10">
                  <c:v>Francija</c:v>
                </c:pt>
                <c:pt idx="11">
                  <c:v>Itālija</c:v>
                </c:pt>
                <c:pt idx="12">
                  <c:v>Kipra</c:v>
                </c:pt>
                <c:pt idx="13">
                  <c:v>Čehija</c:v>
                </c:pt>
                <c:pt idx="14">
                  <c:v>Slovēnija</c:v>
                </c:pt>
                <c:pt idx="15">
                  <c:v>Lietuva</c:v>
                </c:pt>
                <c:pt idx="16">
                  <c:v>Spānija</c:v>
                </c:pt>
                <c:pt idx="17">
                  <c:v>Igaunija</c:v>
                </c:pt>
                <c:pt idx="18">
                  <c:v>Polija</c:v>
                </c:pt>
                <c:pt idx="19">
                  <c:v>Portugāle</c:v>
                </c:pt>
                <c:pt idx="20">
                  <c:v>Ungārija</c:v>
                </c:pt>
                <c:pt idx="21">
                  <c:v>Rumānija</c:v>
                </c:pt>
                <c:pt idx="22">
                  <c:v>Horvātija</c:v>
                </c:pt>
                <c:pt idx="23">
                  <c:v>Latvija</c:v>
                </c:pt>
                <c:pt idx="24">
                  <c:v>Slovākija</c:v>
                </c:pt>
                <c:pt idx="25">
                  <c:v>Grieķija</c:v>
                </c:pt>
                <c:pt idx="26">
                  <c:v>Bulgārija</c:v>
                </c:pt>
              </c:strCache>
            </c:strRef>
          </c:cat>
          <c:val>
            <c:numRef>
              <c:f>'konverģence IKP uz iedz.'!$C$74:$C$100</c:f>
              <c:numCache>
                <c:formatCode>0.00</c:formatCode>
                <c:ptCount val="27"/>
                <c:pt idx="0">
                  <c:v>2.74289500632492</c:v>
                </c:pt>
                <c:pt idx="1">
                  <c:v>1.313250205810895</c:v>
                </c:pt>
                <c:pt idx="2">
                  <c:v>1.3070056020721643</c:v>
                </c:pt>
                <c:pt idx="3">
                  <c:v>1.3688934401542077</c:v>
                </c:pt>
                <c:pt idx="4">
                  <c:v>1.2770033933698772</c:v>
                </c:pt>
                <c:pt idx="5">
                  <c:v>1.2106740557797722</c:v>
                </c:pt>
                <c:pt idx="6">
                  <c:v>1.2831636648394675</c:v>
                </c:pt>
                <c:pt idx="7">
                  <c:v>1.2057667208802683</c:v>
                </c:pt>
                <c:pt idx="8">
                  <c:v>1.1838604100154611</c:v>
                </c:pt>
                <c:pt idx="9">
                  <c:v>0.87295142862879749</c:v>
                </c:pt>
                <c:pt idx="10">
                  <c:v>1.0913519265907676</c:v>
                </c:pt>
                <c:pt idx="11">
                  <c:v>1.058767544123848</c:v>
                </c:pt>
                <c:pt idx="12">
                  <c:v>1.0184004979619703</c:v>
                </c:pt>
                <c:pt idx="13">
                  <c:v>0.84386884324237488</c:v>
                </c:pt>
                <c:pt idx="14">
                  <c:v>0.84554745698050326</c:v>
                </c:pt>
                <c:pt idx="15">
                  <c:v>0.6107342931148726</c:v>
                </c:pt>
                <c:pt idx="16">
                  <c:v>0.96311868762925923</c:v>
                </c:pt>
                <c:pt idx="17">
                  <c:v>0.65610505391241492</c:v>
                </c:pt>
                <c:pt idx="18">
                  <c:v>0.62704656346003251</c:v>
                </c:pt>
                <c:pt idx="19">
                  <c:v>0.82847619621307955</c:v>
                </c:pt>
                <c:pt idx="20">
                  <c:v>0.66075136035981774</c:v>
                </c:pt>
                <c:pt idx="21">
                  <c:v>0.52744212196052453</c:v>
                </c:pt>
                <c:pt idx="22">
                  <c:v>0.61044113808405109</c:v>
                </c:pt>
                <c:pt idx="23">
                  <c:v>0.53817641507539704</c:v>
                </c:pt>
                <c:pt idx="24">
                  <c:v>0.76650402586189581</c:v>
                </c:pt>
                <c:pt idx="25">
                  <c:v>0.84826215288235651</c:v>
                </c:pt>
                <c:pt idx="26">
                  <c:v>0.44621408348894642</c:v>
                </c:pt>
              </c:numCache>
            </c:numRef>
          </c:val>
          <c:extLst>
            <c:ext xmlns:c16="http://schemas.microsoft.com/office/drawing/2014/chart" uri="{C3380CC4-5D6E-409C-BE32-E72D297353CC}">
              <c16:uniqueId val="{00000000-A751-4942-8FD4-0600C6FD878D}"/>
            </c:ext>
          </c:extLst>
        </c:ser>
        <c:ser>
          <c:idx val="1"/>
          <c:order val="1"/>
          <c:tx>
            <c:v>2015.gads</c:v>
          </c:tx>
          <c:spPr>
            <a:solidFill>
              <a:schemeClr val="accent3">
                <a:lumMod val="75000"/>
              </a:schemeClr>
            </a:solidFill>
            <a:ln>
              <a:noFill/>
            </a:ln>
            <a:effectLst/>
          </c:spPr>
          <c:invertIfNegative val="0"/>
          <c:cat>
            <c:strRef>
              <c:f>'konverģence IKP uz iedz.'!$B$74:$B$100</c:f>
              <c:strCache>
                <c:ptCount val="27"/>
                <c:pt idx="0">
                  <c:v>Luksemburga</c:v>
                </c:pt>
                <c:pt idx="1">
                  <c:v>Īrija</c:v>
                </c:pt>
                <c:pt idx="2">
                  <c:v>Dānija</c:v>
                </c:pt>
                <c:pt idx="3">
                  <c:v>Nīderlande</c:v>
                </c:pt>
                <c:pt idx="4">
                  <c:v>Austrija</c:v>
                </c:pt>
                <c:pt idx="5">
                  <c:v>Beļģija</c:v>
                </c:pt>
                <c:pt idx="6">
                  <c:v>Zviedrija</c:v>
                </c:pt>
                <c:pt idx="7">
                  <c:v>Vācija</c:v>
                </c:pt>
                <c:pt idx="8">
                  <c:v>Somija</c:v>
                </c:pt>
                <c:pt idx="9">
                  <c:v>Malta</c:v>
                </c:pt>
                <c:pt idx="10">
                  <c:v>Francija</c:v>
                </c:pt>
                <c:pt idx="11">
                  <c:v>Itālija</c:v>
                </c:pt>
                <c:pt idx="12">
                  <c:v>Kipra</c:v>
                </c:pt>
                <c:pt idx="13">
                  <c:v>Čehija</c:v>
                </c:pt>
                <c:pt idx="14">
                  <c:v>Slovēnija</c:v>
                </c:pt>
                <c:pt idx="15">
                  <c:v>Lietuva</c:v>
                </c:pt>
                <c:pt idx="16">
                  <c:v>Spānija</c:v>
                </c:pt>
                <c:pt idx="17">
                  <c:v>Igaunija</c:v>
                </c:pt>
                <c:pt idx="18">
                  <c:v>Polija</c:v>
                </c:pt>
                <c:pt idx="19">
                  <c:v>Portugāle</c:v>
                </c:pt>
                <c:pt idx="20">
                  <c:v>Ungārija</c:v>
                </c:pt>
                <c:pt idx="21">
                  <c:v>Rumānija</c:v>
                </c:pt>
                <c:pt idx="22">
                  <c:v>Horvātija</c:v>
                </c:pt>
                <c:pt idx="23">
                  <c:v>Latvija</c:v>
                </c:pt>
                <c:pt idx="24">
                  <c:v>Slovākija</c:v>
                </c:pt>
                <c:pt idx="25">
                  <c:v>Grieķija</c:v>
                </c:pt>
                <c:pt idx="26">
                  <c:v>Bulgārija</c:v>
                </c:pt>
              </c:strCache>
            </c:strRef>
          </c:cat>
          <c:val>
            <c:numRef>
              <c:f>'konverģence IKP uz iedz.'!$D$74:$D$100</c:f>
              <c:numCache>
                <c:formatCode>0.00</c:formatCode>
                <c:ptCount val="27"/>
                <c:pt idx="0">
                  <c:v>2.8203396856217204</c:v>
                </c:pt>
                <c:pt idx="1">
                  <c:v>1.8115766547038568</c:v>
                </c:pt>
                <c:pt idx="2">
                  <c:v>1.2823223122766063</c:v>
                </c:pt>
                <c:pt idx="3">
                  <c:v>1.3144800904664766</c:v>
                </c:pt>
                <c:pt idx="4">
                  <c:v>1.3054261705554888</c:v>
                </c:pt>
                <c:pt idx="5">
                  <c:v>1.2076583799664751</c:v>
                </c:pt>
                <c:pt idx="6">
                  <c:v>1.2835004126987588</c:v>
                </c:pt>
                <c:pt idx="7">
                  <c:v>1.2444558375966752</c:v>
                </c:pt>
                <c:pt idx="8">
                  <c:v>1.1106505368719979</c:v>
                </c:pt>
                <c:pt idx="9">
                  <c:v>0.98047044022412988</c:v>
                </c:pt>
                <c:pt idx="10">
                  <c:v>1.0672498990978805</c:v>
                </c:pt>
                <c:pt idx="11">
                  <c:v>0.97252917071184175</c:v>
                </c:pt>
                <c:pt idx="12">
                  <c:v>0.83441507677651361</c:v>
                </c:pt>
                <c:pt idx="13">
                  <c:v>0.88634967038640955</c:v>
                </c:pt>
                <c:pt idx="14">
                  <c:v>0.82681923794356016</c:v>
                </c:pt>
                <c:pt idx="15">
                  <c:v>0.75370065340940084</c:v>
                </c:pt>
                <c:pt idx="16">
                  <c:v>0.91343507175867844</c:v>
                </c:pt>
                <c:pt idx="17">
                  <c:v>0.76384904315701818</c:v>
                </c:pt>
                <c:pt idx="18">
                  <c:v>0.69257033150436875</c:v>
                </c:pt>
                <c:pt idx="19">
                  <c:v>0.77530279726128004</c:v>
                </c:pt>
                <c:pt idx="20">
                  <c:v>0.70048978434217268</c:v>
                </c:pt>
                <c:pt idx="21">
                  <c:v>0.56504823303117235</c:v>
                </c:pt>
                <c:pt idx="22">
                  <c:v>0.61077961886269672</c:v>
                </c:pt>
                <c:pt idx="23">
                  <c:v>0.65283125893120098</c:v>
                </c:pt>
                <c:pt idx="24">
                  <c:v>0.78578934546340429</c:v>
                </c:pt>
                <c:pt idx="25">
                  <c:v>0.69948258120348039</c:v>
                </c:pt>
                <c:pt idx="26">
                  <c:v>0.48058861387758661</c:v>
                </c:pt>
              </c:numCache>
            </c:numRef>
          </c:val>
          <c:extLst>
            <c:ext xmlns:c16="http://schemas.microsoft.com/office/drawing/2014/chart" uri="{C3380CC4-5D6E-409C-BE32-E72D297353CC}">
              <c16:uniqueId val="{00000001-A751-4942-8FD4-0600C6FD878D}"/>
            </c:ext>
          </c:extLst>
        </c:ser>
        <c:ser>
          <c:idx val="2"/>
          <c:order val="2"/>
          <c:tx>
            <c:v>2022.gads</c:v>
          </c:tx>
          <c:spPr>
            <a:solidFill>
              <a:schemeClr val="accent2">
                <a:lumMod val="75000"/>
              </a:schemeClr>
            </a:solidFill>
            <a:ln>
              <a:noFill/>
            </a:ln>
            <a:effectLst/>
          </c:spPr>
          <c:invertIfNegative val="0"/>
          <c:cat>
            <c:strRef>
              <c:f>'konverģence IKP uz iedz.'!$B$74:$B$100</c:f>
              <c:strCache>
                <c:ptCount val="27"/>
                <c:pt idx="0">
                  <c:v>Luksemburga</c:v>
                </c:pt>
                <c:pt idx="1">
                  <c:v>Īrija</c:v>
                </c:pt>
                <c:pt idx="2">
                  <c:v>Dānija</c:v>
                </c:pt>
                <c:pt idx="3">
                  <c:v>Nīderlande</c:v>
                </c:pt>
                <c:pt idx="4">
                  <c:v>Austrija</c:v>
                </c:pt>
                <c:pt idx="5">
                  <c:v>Beļģija</c:v>
                </c:pt>
                <c:pt idx="6">
                  <c:v>Zviedrija</c:v>
                </c:pt>
                <c:pt idx="7">
                  <c:v>Vācija</c:v>
                </c:pt>
                <c:pt idx="8">
                  <c:v>Somija</c:v>
                </c:pt>
                <c:pt idx="9">
                  <c:v>Malta</c:v>
                </c:pt>
                <c:pt idx="10">
                  <c:v>Francija</c:v>
                </c:pt>
                <c:pt idx="11">
                  <c:v>Itālija</c:v>
                </c:pt>
                <c:pt idx="12">
                  <c:v>Kipra</c:v>
                </c:pt>
                <c:pt idx="13">
                  <c:v>Čehija</c:v>
                </c:pt>
                <c:pt idx="14">
                  <c:v>Slovēnija</c:v>
                </c:pt>
                <c:pt idx="15">
                  <c:v>Lietuva</c:v>
                </c:pt>
                <c:pt idx="16">
                  <c:v>Spānija</c:v>
                </c:pt>
                <c:pt idx="17">
                  <c:v>Igaunija</c:v>
                </c:pt>
                <c:pt idx="18">
                  <c:v>Polija</c:v>
                </c:pt>
                <c:pt idx="19">
                  <c:v>Portugāle</c:v>
                </c:pt>
                <c:pt idx="20">
                  <c:v>Ungārija</c:v>
                </c:pt>
                <c:pt idx="21">
                  <c:v>Rumānija</c:v>
                </c:pt>
                <c:pt idx="22">
                  <c:v>Horvātija</c:v>
                </c:pt>
                <c:pt idx="23">
                  <c:v>Latvija</c:v>
                </c:pt>
                <c:pt idx="24">
                  <c:v>Slovākija</c:v>
                </c:pt>
                <c:pt idx="25">
                  <c:v>Grieķija</c:v>
                </c:pt>
                <c:pt idx="26">
                  <c:v>Bulgārija</c:v>
                </c:pt>
              </c:strCache>
            </c:strRef>
          </c:cat>
          <c:val>
            <c:numRef>
              <c:f>'konverģence IKP uz iedz.'!$E$74:$E$100</c:f>
              <c:numCache>
                <c:formatCode>0.00</c:formatCode>
                <c:ptCount val="27"/>
                <c:pt idx="0">
                  <c:v>2.5550798941888471</c:v>
                </c:pt>
                <c:pt idx="1">
                  <c:v>2.3481418185304883</c:v>
                </c:pt>
                <c:pt idx="2">
                  <c:v>1.3638132624917512</c:v>
                </c:pt>
                <c:pt idx="3">
                  <c:v>1.3047767305707372</c:v>
                </c:pt>
                <c:pt idx="4">
                  <c:v>1.2408500989864466</c:v>
                </c:pt>
                <c:pt idx="5">
                  <c:v>1.1953022329763052</c:v>
                </c:pt>
                <c:pt idx="6">
                  <c:v>1.1918109161463533</c:v>
                </c:pt>
                <c:pt idx="7">
                  <c:v>1.1660434186703665</c:v>
                </c:pt>
                <c:pt idx="8">
                  <c:v>1.095576913314946</c:v>
                </c:pt>
                <c:pt idx="9">
                  <c:v>1.0361540240387599</c:v>
                </c:pt>
                <c:pt idx="10">
                  <c:v>1.0008742392708281</c:v>
                </c:pt>
                <c:pt idx="11">
                  <c:v>0.97740232491243495</c:v>
                </c:pt>
                <c:pt idx="12">
                  <c:v>0.94146263050136203</c:v>
                </c:pt>
                <c:pt idx="13">
                  <c:v>0.90365319210138917</c:v>
                </c:pt>
                <c:pt idx="14">
                  <c:v>0.89908176675296259</c:v>
                </c:pt>
                <c:pt idx="15">
                  <c:v>0.89215835575334046</c:v>
                </c:pt>
                <c:pt idx="16">
                  <c:v>0.85511035155699189</c:v>
                </c:pt>
                <c:pt idx="17">
                  <c:v>0.849907217832225</c:v>
                </c:pt>
                <c:pt idx="18">
                  <c:v>0.79417305425359708</c:v>
                </c:pt>
                <c:pt idx="19">
                  <c:v>0.78702967337292784</c:v>
                </c:pt>
                <c:pt idx="20">
                  <c:v>0.76100272424237292</c:v>
                </c:pt>
                <c:pt idx="21">
                  <c:v>0.75210804469336756</c:v>
                </c:pt>
                <c:pt idx="22">
                  <c:v>0.72829489500668376</c:v>
                </c:pt>
                <c:pt idx="23">
                  <c:v>0.71691850397919876</c:v>
                </c:pt>
                <c:pt idx="24">
                  <c:v>0.71042375223495036</c:v>
                </c:pt>
                <c:pt idx="25">
                  <c:v>0.67153138518982269</c:v>
                </c:pt>
                <c:pt idx="26">
                  <c:v>0.62086216912863723</c:v>
                </c:pt>
              </c:numCache>
            </c:numRef>
          </c:val>
          <c:extLst>
            <c:ext xmlns:c16="http://schemas.microsoft.com/office/drawing/2014/chart" uri="{C3380CC4-5D6E-409C-BE32-E72D297353CC}">
              <c16:uniqueId val="{00000002-A751-4942-8FD4-0600C6FD878D}"/>
            </c:ext>
          </c:extLst>
        </c:ser>
        <c:dLbls>
          <c:showLegendKey val="0"/>
          <c:showVal val="0"/>
          <c:showCatName val="0"/>
          <c:showSerName val="0"/>
          <c:showPercent val="0"/>
          <c:showBubbleSize val="0"/>
        </c:dLbls>
        <c:gapWidth val="40"/>
        <c:axId val="587914696"/>
        <c:axId val="587915024"/>
      </c:barChart>
      <c:lineChart>
        <c:grouping val="standard"/>
        <c:varyColors val="0"/>
        <c:ser>
          <c:idx val="3"/>
          <c:order val="3"/>
          <c:tx>
            <c:strRef>
              <c:f>'konverģence IKP uz iedz.'!$F$73</c:f>
              <c:strCache>
                <c:ptCount val="1"/>
                <c:pt idx="0">
                  <c:v>2022.gads, ES vidēji</c:v>
                </c:pt>
              </c:strCache>
            </c:strRef>
          </c:tx>
          <c:spPr>
            <a:ln w="19050" cap="rnd">
              <a:solidFill>
                <a:schemeClr val="accent1"/>
              </a:solidFill>
              <a:prstDash val="solid"/>
              <a:round/>
            </a:ln>
            <a:effectLst/>
          </c:spPr>
          <c:marker>
            <c:symbol val="none"/>
          </c:marker>
          <c:cat>
            <c:strRef>
              <c:f>'konverģence IKP uz iedz.'!$B$74:$B$100</c:f>
              <c:strCache>
                <c:ptCount val="27"/>
                <c:pt idx="0">
                  <c:v>Luksemburga</c:v>
                </c:pt>
                <c:pt idx="1">
                  <c:v>Īrija</c:v>
                </c:pt>
                <c:pt idx="2">
                  <c:v>Dānija</c:v>
                </c:pt>
                <c:pt idx="3">
                  <c:v>Nīderlande</c:v>
                </c:pt>
                <c:pt idx="4">
                  <c:v>Austrija</c:v>
                </c:pt>
                <c:pt idx="5">
                  <c:v>Beļģija</c:v>
                </c:pt>
                <c:pt idx="6">
                  <c:v>Zviedrija</c:v>
                </c:pt>
                <c:pt idx="7">
                  <c:v>Vācija</c:v>
                </c:pt>
                <c:pt idx="8">
                  <c:v>Somija</c:v>
                </c:pt>
                <c:pt idx="9">
                  <c:v>Malta</c:v>
                </c:pt>
                <c:pt idx="10">
                  <c:v>Francija</c:v>
                </c:pt>
                <c:pt idx="11">
                  <c:v>Itālija</c:v>
                </c:pt>
                <c:pt idx="12">
                  <c:v>Kipra</c:v>
                </c:pt>
                <c:pt idx="13">
                  <c:v>Čehija</c:v>
                </c:pt>
                <c:pt idx="14">
                  <c:v>Slovēnija</c:v>
                </c:pt>
                <c:pt idx="15">
                  <c:v>Lietuva</c:v>
                </c:pt>
                <c:pt idx="16">
                  <c:v>Spānija</c:v>
                </c:pt>
                <c:pt idx="17">
                  <c:v>Igaunija</c:v>
                </c:pt>
                <c:pt idx="18">
                  <c:v>Polija</c:v>
                </c:pt>
                <c:pt idx="19">
                  <c:v>Portugāle</c:v>
                </c:pt>
                <c:pt idx="20">
                  <c:v>Ungārija</c:v>
                </c:pt>
                <c:pt idx="21">
                  <c:v>Rumānija</c:v>
                </c:pt>
                <c:pt idx="22">
                  <c:v>Horvātija</c:v>
                </c:pt>
                <c:pt idx="23">
                  <c:v>Latvija</c:v>
                </c:pt>
                <c:pt idx="24">
                  <c:v>Slovākija</c:v>
                </c:pt>
                <c:pt idx="25">
                  <c:v>Grieķija</c:v>
                </c:pt>
                <c:pt idx="26">
                  <c:v>Bulgārija</c:v>
                </c:pt>
              </c:strCache>
            </c:strRef>
          </c:cat>
          <c:val>
            <c:numRef>
              <c:f>'konverģence IKP uz iedz.'!$F$74:$F$100</c:f>
              <c:numCache>
                <c:formatCode>General</c:formatCode>
                <c:ptCount val="27"/>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numCache>
            </c:numRef>
          </c:val>
          <c:smooth val="0"/>
          <c:extLst>
            <c:ext xmlns:c16="http://schemas.microsoft.com/office/drawing/2014/chart" uri="{C3380CC4-5D6E-409C-BE32-E72D297353CC}">
              <c16:uniqueId val="{00000003-A751-4942-8FD4-0600C6FD878D}"/>
            </c:ext>
          </c:extLst>
        </c:ser>
        <c:dLbls>
          <c:showLegendKey val="0"/>
          <c:showVal val="0"/>
          <c:showCatName val="0"/>
          <c:showSerName val="0"/>
          <c:showPercent val="0"/>
          <c:showBubbleSize val="0"/>
        </c:dLbls>
        <c:marker val="1"/>
        <c:smooth val="0"/>
        <c:axId val="587914696"/>
        <c:axId val="587915024"/>
      </c:lineChart>
      <c:catAx>
        <c:axId val="587914696"/>
        <c:scaling>
          <c:orientation val="minMax"/>
        </c:scaling>
        <c:delete val="0"/>
        <c:axPos val="b"/>
        <c:numFmt formatCode="General" sourceLinked="1"/>
        <c:majorTickMark val="out"/>
        <c:minorTickMark val="none"/>
        <c:tickLblPos val="nextTo"/>
        <c:spPr>
          <a:noFill/>
          <a:ln w="6350"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87915024"/>
        <c:crosses val="autoZero"/>
        <c:auto val="1"/>
        <c:lblAlgn val="ctr"/>
        <c:lblOffset val="100"/>
        <c:noMultiLvlLbl val="0"/>
      </c:catAx>
      <c:valAx>
        <c:axId val="587915024"/>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87914696"/>
        <c:crosses val="autoZero"/>
        <c:crossBetween val="between"/>
      </c:valAx>
      <c:spPr>
        <a:noFill/>
        <a:ln>
          <a:noFill/>
        </a:ln>
        <a:effectLst/>
      </c:spPr>
    </c:plotArea>
    <c:legend>
      <c:legendPos val="b"/>
      <c:layout>
        <c:manualLayout>
          <c:xMode val="edge"/>
          <c:yMode val="edge"/>
          <c:x val="0.55857712107926971"/>
          <c:y val="0.10236602453359261"/>
          <c:w val="0.20699129257133927"/>
          <c:h val="0.262573335995624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842864327086398E-2"/>
          <c:y val="5.8181127829471178E-2"/>
          <c:w val="0.86406684649010213"/>
          <c:h val="0.82711847140836303"/>
        </c:manualLayout>
      </c:layout>
      <c:barChart>
        <c:barDir val="col"/>
        <c:grouping val="stacked"/>
        <c:varyColors val="0"/>
        <c:ser>
          <c:idx val="0"/>
          <c:order val="0"/>
          <c:tx>
            <c:strRef>
              <c:f>Sheet1!$A$2</c:f>
              <c:strCache>
                <c:ptCount val="1"/>
                <c:pt idx="0">
                  <c:v>Latvijas pilsoņi</c:v>
                </c:pt>
              </c:strCache>
            </c:strRef>
          </c:tx>
          <c:invertIfNegative val="0"/>
          <c:cat>
            <c:strRef>
              <c:f>Sheet1!$B$1:$N$1</c:f>
              <c:strCach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strCache>
            </c:strRef>
          </c:cat>
          <c:val>
            <c:numRef>
              <c:f>Sheet1!$B$2:$N$2</c:f>
              <c:numCache>
                <c:formatCode>0.0</c:formatCode>
                <c:ptCount val="13"/>
                <c:pt idx="0">
                  <c:v>7.3730000000000002</c:v>
                </c:pt>
                <c:pt idx="1">
                  <c:v>9.6370000000000005</c:v>
                </c:pt>
                <c:pt idx="2">
                  <c:v>4.774</c:v>
                </c:pt>
                <c:pt idx="3">
                  <c:v>5.8639999999999999</c:v>
                </c:pt>
                <c:pt idx="4">
                  <c:v>4.9740000000000002</c:v>
                </c:pt>
                <c:pt idx="5">
                  <c:v>4.8970000000000002</c:v>
                </c:pt>
                <c:pt idx="6">
                  <c:v>4.78</c:v>
                </c:pt>
                <c:pt idx="7">
                  <c:v>4.3460000000000001</c:v>
                </c:pt>
                <c:pt idx="8">
                  <c:v>4.5780000000000003</c:v>
                </c:pt>
                <c:pt idx="9">
                  <c:v>4.25</c:v>
                </c:pt>
                <c:pt idx="10">
                  <c:v>6.21</c:v>
                </c:pt>
                <c:pt idx="11">
                  <c:v>8.0299999999999994</c:v>
                </c:pt>
                <c:pt idx="12">
                  <c:v>7.19</c:v>
                </c:pt>
              </c:numCache>
            </c:numRef>
          </c:val>
          <c:extLst>
            <c:ext xmlns:c16="http://schemas.microsoft.com/office/drawing/2014/chart" uri="{C3380CC4-5D6E-409C-BE32-E72D297353CC}">
              <c16:uniqueId val="{00000000-903A-4A0C-AA1B-49031076A352}"/>
            </c:ext>
          </c:extLst>
        </c:ser>
        <c:ser>
          <c:idx val="1"/>
          <c:order val="1"/>
          <c:tx>
            <c:strRef>
              <c:f>Sheet1!$A$3</c:f>
              <c:strCache>
                <c:ptCount val="1"/>
                <c:pt idx="0">
                  <c:v>Latvijas nepilsoņi</c:v>
                </c:pt>
              </c:strCache>
            </c:strRef>
          </c:tx>
          <c:invertIfNegative val="0"/>
          <c:cat>
            <c:strRef>
              <c:f>Sheet1!$B$1:$N$1</c:f>
              <c:strCach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strCache>
            </c:strRef>
          </c:cat>
          <c:val>
            <c:numRef>
              <c:f>Sheet1!$B$3:$N$3</c:f>
              <c:numCache>
                <c:formatCode>0.0</c:formatCode>
                <c:ptCount val="13"/>
                <c:pt idx="0">
                  <c:v>1.054</c:v>
                </c:pt>
                <c:pt idx="1">
                  <c:v>1.506</c:v>
                </c:pt>
                <c:pt idx="2">
                  <c:v>0.61699999999999999</c:v>
                </c:pt>
                <c:pt idx="3">
                  <c:v>0.71899999999999997</c:v>
                </c:pt>
                <c:pt idx="4">
                  <c:v>0.48199999999999998</c:v>
                </c:pt>
                <c:pt idx="5">
                  <c:v>0.379</c:v>
                </c:pt>
                <c:pt idx="6">
                  <c:v>0.52500000000000002</c:v>
                </c:pt>
                <c:pt idx="7">
                  <c:v>0.36699999999999999</c:v>
                </c:pt>
                <c:pt idx="8">
                  <c:v>0.32700000000000001</c:v>
                </c:pt>
                <c:pt idx="9">
                  <c:v>0.36699999999999999</c:v>
                </c:pt>
                <c:pt idx="10">
                  <c:v>0.57699999999999996</c:v>
                </c:pt>
                <c:pt idx="11">
                  <c:v>0.88700000000000001</c:v>
                </c:pt>
                <c:pt idx="12">
                  <c:v>0.79100000000000004</c:v>
                </c:pt>
              </c:numCache>
            </c:numRef>
          </c:val>
          <c:extLst>
            <c:ext xmlns:c16="http://schemas.microsoft.com/office/drawing/2014/chart" uri="{C3380CC4-5D6E-409C-BE32-E72D297353CC}">
              <c16:uniqueId val="{00000001-903A-4A0C-AA1B-49031076A352}"/>
            </c:ext>
          </c:extLst>
        </c:ser>
        <c:ser>
          <c:idx val="2"/>
          <c:order val="2"/>
          <c:tx>
            <c:strRef>
              <c:f>Sheet1!$A$4</c:f>
              <c:strCache>
                <c:ptCount val="1"/>
                <c:pt idx="0">
                  <c:v>Citu valstu pilsoņi</c:v>
                </c:pt>
              </c:strCache>
            </c:strRef>
          </c:tx>
          <c:invertIfNegative val="0"/>
          <c:cat>
            <c:strRef>
              <c:f>Sheet1!$B$1:$N$1</c:f>
              <c:strCach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strCache>
            </c:strRef>
          </c:cat>
          <c:val>
            <c:numRef>
              <c:f>Sheet1!$B$4:$N$4</c:f>
              <c:numCache>
                <c:formatCode>0.0</c:formatCode>
                <c:ptCount val="13"/>
                <c:pt idx="0">
                  <c:v>1.8069999999999999</c:v>
                </c:pt>
                <c:pt idx="1">
                  <c:v>2.16</c:v>
                </c:pt>
                <c:pt idx="2">
                  <c:v>2.9079999999999999</c:v>
                </c:pt>
                <c:pt idx="3">
                  <c:v>3.782</c:v>
                </c:pt>
                <c:pt idx="4">
                  <c:v>4.0229999999999997</c:v>
                </c:pt>
                <c:pt idx="5">
                  <c:v>3.069</c:v>
                </c:pt>
                <c:pt idx="6">
                  <c:v>4.6109999999999998</c:v>
                </c:pt>
                <c:pt idx="7">
                  <c:v>6.1959999999999997</c:v>
                </c:pt>
                <c:pt idx="8">
                  <c:v>6.306</c:v>
                </c:pt>
                <c:pt idx="9">
                  <c:v>4.2229999999999999</c:v>
                </c:pt>
                <c:pt idx="10">
                  <c:v>5.9020000000000001</c:v>
                </c:pt>
                <c:pt idx="11">
                  <c:v>29.791</c:v>
                </c:pt>
                <c:pt idx="12">
                  <c:v>10.728999999999999</c:v>
                </c:pt>
              </c:numCache>
            </c:numRef>
          </c:val>
          <c:extLst>
            <c:ext xmlns:c16="http://schemas.microsoft.com/office/drawing/2014/chart" uri="{C3380CC4-5D6E-409C-BE32-E72D297353CC}">
              <c16:uniqueId val="{00000002-903A-4A0C-AA1B-49031076A352}"/>
            </c:ext>
          </c:extLst>
        </c:ser>
        <c:dLbls>
          <c:showLegendKey val="0"/>
          <c:showVal val="0"/>
          <c:showCatName val="0"/>
          <c:showSerName val="0"/>
          <c:showPercent val="0"/>
          <c:showBubbleSize val="0"/>
        </c:dLbls>
        <c:gapWidth val="60"/>
        <c:overlap val="100"/>
        <c:axId val="1710881536"/>
        <c:axId val="1710869056"/>
      </c:barChart>
      <c:catAx>
        <c:axId val="1710881536"/>
        <c:scaling>
          <c:orientation val="minMax"/>
        </c:scaling>
        <c:delete val="0"/>
        <c:axPos val="b"/>
        <c:numFmt formatCode="General" sourceLinked="1"/>
        <c:majorTickMark val="out"/>
        <c:minorTickMark val="none"/>
        <c:tickLblPos val="nextTo"/>
        <c:txPr>
          <a:bodyPr rot="0" vert="horz"/>
          <a:lstStyle/>
          <a:p>
            <a:pPr>
              <a:defRPr/>
            </a:pPr>
            <a:endParaRPr lang="lv-LV"/>
          </a:p>
        </c:txPr>
        <c:crossAx val="1710869056"/>
        <c:crosses val="autoZero"/>
        <c:auto val="1"/>
        <c:lblAlgn val="ctr"/>
        <c:lblOffset val="100"/>
        <c:noMultiLvlLbl val="0"/>
      </c:catAx>
      <c:valAx>
        <c:axId val="1710869056"/>
        <c:scaling>
          <c:orientation val="minMax"/>
          <c:max val="40"/>
        </c:scaling>
        <c:delete val="0"/>
        <c:axPos val="l"/>
        <c:majorGridlines>
          <c:spPr>
            <a:ln>
              <a:noFill/>
            </a:ln>
          </c:spPr>
        </c:majorGridlines>
        <c:numFmt formatCode="0" sourceLinked="0"/>
        <c:majorTickMark val="out"/>
        <c:minorTickMark val="none"/>
        <c:tickLblPos val="nextTo"/>
        <c:spPr>
          <a:ln>
            <a:noFill/>
          </a:ln>
        </c:spPr>
        <c:crossAx val="1710881536"/>
        <c:crosses val="autoZero"/>
        <c:crossBetween val="between"/>
        <c:majorUnit val="10"/>
      </c:valAx>
      <c:spPr>
        <a:ln>
          <a:noFill/>
        </a:ln>
      </c:spPr>
    </c:plotArea>
    <c:legend>
      <c:legendPos val="r"/>
      <c:layout>
        <c:manualLayout>
          <c:xMode val="edge"/>
          <c:yMode val="edge"/>
          <c:x val="0.30967705633490772"/>
          <c:y val="6.0083764154590935E-2"/>
          <c:w val="0.3893196132975561"/>
          <c:h val="0.2270832802765281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48771209329231E-2"/>
          <c:y val="2.3924296477346139E-2"/>
          <c:w val="0.89329538870626268"/>
          <c:h val="0.87623170075119861"/>
        </c:manualLayout>
      </c:layout>
      <c:barChart>
        <c:barDir val="col"/>
        <c:grouping val="clustered"/>
        <c:varyColors val="0"/>
        <c:ser>
          <c:idx val="0"/>
          <c:order val="1"/>
          <c:tx>
            <c:strRef>
              <c:f>Sheet1!$A$3</c:f>
              <c:strCache>
                <c:ptCount val="1"/>
                <c:pt idx="0">
                  <c:v>Ekonomiskās aktivitātes līmenis, % (labā ass)</c:v>
                </c:pt>
              </c:strCache>
            </c:strRef>
          </c:tx>
          <c:spPr>
            <a:solidFill>
              <a:schemeClr val="accent6"/>
            </a:solidFill>
            <a:ln>
              <a:noFill/>
            </a:ln>
            <a:effectLst/>
          </c:spPr>
          <c:invertIfNegative val="0"/>
          <c:dPt>
            <c:idx val="8"/>
            <c:invertIfNegative val="0"/>
            <c:bubble3D val="0"/>
            <c:spPr>
              <a:solidFill>
                <a:schemeClr val="accent6"/>
              </a:solidFill>
              <a:ln>
                <a:noFill/>
              </a:ln>
              <a:effectLst/>
            </c:spPr>
            <c:extLst>
              <c:ext xmlns:c16="http://schemas.microsoft.com/office/drawing/2014/chart" uri="{C3380CC4-5D6E-409C-BE32-E72D297353CC}">
                <c16:uniqueId val="{00000001-4CA6-40B4-9506-831179266A88}"/>
              </c:ext>
            </c:extLst>
          </c:dPt>
          <c:dPt>
            <c:idx val="9"/>
            <c:invertIfNegative val="0"/>
            <c:bubble3D val="0"/>
            <c:spPr>
              <a:solidFill>
                <a:schemeClr val="accent6"/>
              </a:solidFill>
              <a:ln>
                <a:noFill/>
              </a:ln>
              <a:effectLst/>
            </c:spPr>
            <c:extLst>
              <c:ext xmlns:c16="http://schemas.microsoft.com/office/drawing/2014/chart" uri="{C3380CC4-5D6E-409C-BE32-E72D297353CC}">
                <c16:uniqueId val="{00000003-4CA6-40B4-9506-831179266A88}"/>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5-4CA6-40B4-9506-831179266A88}"/>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7-4CA6-40B4-9506-831179266A88}"/>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9-4CA6-40B4-9506-831179266A88}"/>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B-4CA6-40B4-9506-831179266A88}"/>
              </c:ext>
            </c:extLst>
          </c:dPt>
          <c:dPt>
            <c:idx val="14"/>
            <c:invertIfNegative val="0"/>
            <c:bubble3D val="0"/>
            <c:spPr>
              <a:solidFill>
                <a:schemeClr val="accent6"/>
              </a:solidFill>
              <a:ln>
                <a:noFill/>
              </a:ln>
              <a:effectLst/>
            </c:spPr>
            <c:extLst>
              <c:ext xmlns:c16="http://schemas.microsoft.com/office/drawing/2014/chart" uri="{C3380CC4-5D6E-409C-BE32-E72D297353CC}">
                <c16:uniqueId val="{0000000D-4CA6-40B4-9506-831179266A88}"/>
              </c:ext>
            </c:extLst>
          </c:dPt>
          <c:dPt>
            <c:idx val="15"/>
            <c:invertIfNegative val="0"/>
            <c:bubble3D val="0"/>
            <c:spPr>
              <a:solidFill>
                <a:schemeClr val="accent6"/>
              </a:solidFill>
              <a:ln>
                <a:noFill/>
              </a:ln>
              <a:effectLst/>
            </c:spPr>
            <c:extLst>
              <c:ext xmlns:c16="http://schemas.microsoft.com/office/drawing/2014/chart" uri="{C3380CC4-5D6E-409C-BE32-E72D297353CC}">
                <c16:uniqueId val="{0000000F-4CA6-40B4-9506-831179266A88}"/>
              </c:ext>
            </c:extLst>
          </c:dPt>
          <c:cat>
            <c:numRef>
              <c:f>Sheet1!$B$1:$T$1</c:f>
              <c:numCache>
                <c:formatCode>General</c:formatCod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numCache>
            </c:numRef>
          </c:cat>
          <c:val>
            <c:numRef>
              <c:f>Sheet1!$B$3:$T$3</c:f>
              <c:numCache>
                <c:formatCode>0.0</c:formatCode>
                <c:ptCount val="19"/>
                <c:pt idx="0">
                  <c:v>62.1</c:v>
                </c:pt>
                <c:pt idx="1">
                  <c:v>64.2</c:v>
                </c:pt>
                <c:pt idx="2">
                  <c:v>65.599999999999994</c:v>
                </c:pt>
                <c:pt idx="3">
                  <c:v>67.2</c:v>
                </c:pt>
                <c:pt idx="4">
                  <c:v>65.8</c:v>
                </c:pt>
                <c:pt idx="5">
                  <c:v>64.599999999999994</c:v>
                </c:pt>
                <c:pt idx="6">
                  <c:v>64.5</c:v>
                </c:pt>
                <c:pt idx="7">
                  <c:v>66.099999999999994</c:v>
                </c:pt>
                <c:pt idx="8">
                  <c:v>66</c:v>
                </c:pt>
                <c:pt idx="9">
                  <c:v>66.3</c:v>
                </c:pt>
                <c:pt idx="10">
                  <c:v>67.5</c:v>
                </c:pt>
                <c:pt idx="11">
                  <c:v>68.2</c:v>
                </c:pt>
                <c:pt idx="12">
                  <c:v>68.900000000000006</c:v>
                </c:pt>
                <c:pt idx="13">
                  <c:v>69.599999999999994</c:v>
                </c:pt>
                <c:pt idx="14">
                  <c:v>69.400000000000006</c:v>
                </c:pt>
                <c:pt idx="15">
                  <c:v>69.900000000000006</c:v>
                </c:pt>
                <c:pt idx="16">
                  <c:v>67.7</c:v>
                </c:pt>
                <c:pt idx="17">
                  <c:v>68.599999999999994</c:v>
                </c:pt>
                <c:pt idx="18">
                  <c:v>68.599999999999994</c:v>
                </c:pt>
              </c:numCache>
            </c:numRef>
          </c:val>
          <c:extLst>
            <c:ext xmlns:c16="http://schemas.microsoft.com/office/drawing/2014/chart" uri="{C3380CC4-5D6E-409C-BE32-E72D297353CC}">
              <c16:uniqueId val="{00000010-4CA6-40B4-9506-831179266A88}"/>
            </c:ext>
          </c:extLst>
        </c:ser>
        <c:dLbls>
          <c:showLegendKey val="0"/>
          <c:showVal val="0"/>
          <c:showCatName val="0"/>
          <c:showSerName val="0"/>
          <c:showPercent val="0"/>
          <c:showBubbleSize val="0"/>
        </c:dLbls>
        <c:gapWidth val="50"/>
        <c:axId val="742060888"/>
        <c:axId val="742073040"/>
      </c:barChart>
      <c:lineChart>
        <c:grouping val="standard"/>
        <c:varyColors val="0"/>
        <c:ser>
          <c:idx val="1"/>
          <c:order val="0"/>
          <c:tx>
            <c:strRef>
              <c:f>Sheet1!$A$2</c:f>
              <c:strCache>
                <c:ptCount val="1"/>
                <c:pt idx="0">
                  <c:v>Ekonomiski aktīvie iedzīvotāji, tūkstošos (kreisā ass)</c:v>
                </c:pt>
              </c:strCache>
            </c:strRef>
          </c:tx>
          <c:spPr>
            <a:ln w="28575" cap="rnd" cmpd="sng" algn="ctr">
              <a:solidFill>
                <a:schemeClr val="accent5">
                  <a:shade val="95000"/>
                  <a:satMod val="105000"/>
                </a:schemeClr>
              </a:solidFill>
              <a:prstDash val="solid"/>
              <a:round/>
            </a:ln>
            <a:effectLst/>
          </c:spPr>
          <c:marker>
            <c:symbol val="none"/>
          </c:marker>
          <c:dPt>
            <c:idx val="0"/>
            <c:bubble3D val="0"/>
            <c:extLst>
              <c:ext xmlns:c16="http://schemas.microsoft.com/office/drawing/2014/chart" uri="{C3380CC4-5D6E-409C-BE32-E72D297353CC}">
                <c16:uniqueId val="{00000011-4CA6-40B4-9506-831179266A88}"/>
              </c:ext>
            </c:extLst>
          </c:dPt>
          <c:dPt>
            <c:idx val="8"/>
            <c:bubble3D val="0"/>
            <c:extLst>
              <c:ext xmlns:c16="http://schemas.microsoft.com/office/drawing/2014/chart" uri="{C3380CC4-5D6E-409C-BE32-E72D297353CC}">
                <c16:uniqueId val="{00000012-4CA6-40B4-9506-831179266A88}"/>
              </c:ext>
            </c:extLst>
          </c:dPt>
          <c:dPt>
            <c:idx val="9"/>
            <c:bubble3D val="0"/>
            <c:extLst>
              <c:ext xmlns:c16="http://schemas.microsoft.com/office/drawing/2014/chart" uri="{C3380CC4-5D6E-409C-BE32-E72D297353CC}">
                <c16:uniqueId val="{00000013-4CA6-40B4-9506-831179266A88}"/>
              </c:ext>
            </c:extLst>
          </c:dPt>
          <c:dPt>
            <c:idx val="10"/>
            <c:bubble3D val="0"/>
            <c:extLst>
              <c:ext xmlns:c16="http://schemas.microsoft.com/office/drawing/2014/chart" uri="{C3380CC4-5D6E-409C-BE32-E72D297353CC}">
                <c16:uniqueId val="{00000014-4CA6-40B4-9506-831179266A88}"/>
              </c:ext>
            </c:extLst>
          </c:dPt>
          <c:dPt>
            <c:idx val="11"/>
            <c:bubble3D val="0"/>
            <c:extLst>
              <c:ext xmlns:c16="http://schemas.microsoft.com/office/drawing/2014/chart" uri="{C3380CC4-5D6E-409C-BE32-E72D297353CC}">
                <c16:uniqueId val="{00000015-4CA6-40B4-9506-831179266A88}"/>
              </c:ext>
            </c:extLst>
          </c:dPt>
          <c:dPt>
            <c:idx val="12"/>
            <c:bubble3D val="0"/>
            <c:extLst>
              <c:ext xmlns:c16="http://schemas.microsoft.com/office/drawing/2014/chart" uri="{C3380CC4-5D6E-409C-BE32-E72D297353CC}">
                <c16:uniqueId val="{00000016-4CA6-40B4-9506-831179266A88}"/>
              </c:ext>
            </c:extLst>
          </c:dPt>
          <c:dPt>
            <c:idx val="13"/>
            <c:bubble3D val="0"/>
            <c:extLst>
              <c:ext xmlns:c16="http://schemas.microsoft.com/office/drawing/2014/chart" uri="{C3380CC4-5D6E-409C-BE32-E72D297353CC}">
                <c16:uniqueId val="{00000017-4CA6-40B4-9506-831179266A88}"/>
              </c:ext>
            </c:extLst>
          </c:dPt>
          <c:dPt>
            <c:idx val="14"/>
            <c:bubble3D val="0"/>
            <c:extLst>
              <c:ext xmlns:c16="http://schemas.microsoft.com/office/drawing/2014/chart" uri="{C3380CC4-5D6E-409C-BE32-E72D297353CC}">
                <c16:uniqueId val="{00000018-4CA6-40B4-9506-831179266A88}"/>
              </c:ext>
            </c:extLst>
          </c:dPt>
          <c:dPt>
            <c:idx val="15"/>
            <c:bubble3D val="0"/>
            <c:extLst>
              <c:ext xmlns:c16="http://schemas.microsoft.com/office/drawing/2014/chart" uri="{C3380CC4-5D6E-409C-BE32-E72D297353CC}">
                <c16:uniqueId val="{00000019-4CA6-40B4-9506-831179266A88}"/>
              </c:ext>
            </c:extLst>
          </c:dPt>
          <c:dLbls>
            <c:delete val="1"/>
          </c:dLbls>
          <c:cat>
            <c:numRef>
              <c:f>Sheet1!$B$1:$T$1</c:f>
              <c:numCache>
                <c:formatCode>General</c:formatCod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numCache>
            </c:numRef>
          </c:cat>
          <c:val>
            <c:numRef>
              <c:f>Sheet1!$B$2:$T$2</c:f>
              <c:numCache>
                <c:formatCode>0.0</c:formatCode>
                <c:ptCount val="19"/>
                <c:pt idx="0">
                  <c:v>1080.8</c:v>
                </c:pt>
                <c:pt idx="1">
                  <c:v>1108.9000000000001</c:v>
                </c:pt>
                <c:pt idx="2">
                  <c:v>1125.5</c:v>
                </c:pt>
                <c:pt idx="3">
                  <c:v>1143.4000000000001</c:v>
                </c:pt>
                <c:pt idx="4">
                  <c:v>1101.4000000000001</c:v>
                </c:pt>
                <c:pt idx="5">
                  <c:v>1056.5</c:v>
                </c:pt>
                <c:pt idx="6">
                  <c:v>1028.2</c:v>
                </c:pt>
                <c:pt idx="7">
                  <c:v>1030.7</c:v>
                </c:pt>
                <c:pt idx="8">
                  <c:v>1014.3</c:v>
                </c:pt>
                <c:pt idx="9">
                  <c:v>992.3</c:v>
                </c:pt>
                <c:pt idx="10">
                  <c:v>994.2</c:v>
                </c:pt>
                <c:pt idx="11">
                  <c:v>988.6</c:v>
                </c:pt>
                <c:pt idx="12">
                  <c:v>980.3</c:v>
                </c:pt>
                <c:pt idx="13">
                  <c:v>982.2</c:v>
                </c:pt>
                <c:pt idx="14">
                  <c:v>971.3</c:v>
                </c:pt>
                <c:pt idx="15">
                  <c:v>971.7</c:v>
                </c:pt>
                <c:pt idx="16">
                  <c:v>934.6</c:v>
                </c:pt>
                <c:pt idx="17">
                  <c:v>951.3</c:v>
                </c:pt>
                <c:pt idx="18">
                  <c:v>945.7</c:v>
                </c:pt>
              </c:numCache>
            </c:numRef>
          </c:val>
          <c:smooth val="1"/>
          <c:extLst>
            <c:ext xmlns:c16="http://schemas.microsoft.com/office/drawing/2014/chart" uri="{C3380CC4-5D6E-409C-BE32-E72D297353CC}">
              <c16:uniqueId val="{0000001A-4CA6-40B4-9506-831179266A88}"/>
            </c:ext>
          </c:extLst>
        </c:ser>
        <c:dLbls>
          <c:showLegendKey val="0"/>
          <c:showVal val="1"/>
          <c:showCatName val="0"/>
          <c:showSerName val="0"/>
          <c:showPercent val="0"/>
          <c:showBubbleSize val="0"/>
        </c:dLbls>
        <c:marker val="1"/>
        <c:smooth val="0"/>
        <c:axId val="742071472"/>
        <c:axId val="742063240"/>
      </c:lineChart>
      <c:catAx>
        <c:axId val="742071472"/>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742063240"/>
        <c:crosses val="autoZero"/>
        <c:auto val="0"/>
        <c:lblAlgn val="ctr"/>
        <c:lblOffset val="100"/>
        <c:tickLblSkip val="1"/>
        <c:tickMarkSkip val="1"/>
        <c:noMultiLvlLbl val="0"/>
      </c:catAx>
      <c:valAx>
        <c:axId val="742063240"/>
        <c:scaling>
          <c:orientation val="minMax"/>
          <c:max val="1200"/>
          <c:min val="900"/>
        </c:scaling>
        <c:delete val="0"/>
        <c:axPos val="l"/>
        <c:numFmt formatCode="0" sourceLinked="0"/>
        <c:majorTickMark val="out"/>
        <c:minorTickMark val="none"/>
        <c:tickLblPos val="nextTo"/>
        <c:spPr>
          <a:noFill/>
          <a:ln w="3175" cap="flat" cmpd="sng" algn="ctr">
            <a:noFill/>
            <a:prstDash val="solid"/>
            <a:round/>
          </a:ln>
          <a:effectLst/>
        </c:spPr>
        <c:txPr>
          <a:bodyPr rot="0"/>
          <a:lstStyle/>
          <a:p>
            <a:pPr>
              <a:defRPr/>
            </a:pPr>
            <a:endParaRPr lang="lv-LV"/>
          </a:p>
        </c:txPr>
        <c:crossAx val="742071472"/>
        <c:crosses val="autoZero"/>
        <c:crossBetween val="between"/>
        <c:majorUnit val="50"/>
      </c:valAx>
      <c:valAx>
        <c:axId val="742073040"/>
        <c:scaling>
          <c:orientation val="minMax"/>
          <c:max val="72"/>
          <c:min val="60"/>
        </c:scaling>
        <c:delete val="0"/>
        <c:axPos val="r"/>
        <c:numFmt formatCode="0" sourceLinked="0"/>
        <c:majorTickMark val="out"/>
        <c:minorTickMark val="none"/>
        <c:tickLblPos val="nextTo"/>
        <c:spPr>
          <a:noFill/>
          <a:ln w="3175" cap="flat" cmpd="sng" algn="ctr">
            <a:noFill/>
            <a:prstDash val="solid"/>
            <a:round/>
          </a:ln>
          <a:effectLst/>
        </c:spPr>
        <c:txPr>
          <a:bodyPr rot="-60000000" vert="horz"/>
          <a:lstStyle/>
          <a:p>
            <a:pPr>
              <a:defRPr/>
            </a:pPr>
            <a:endParaRPr lang="lv-LV"/>
          </a:p>
        </c:txPr>
        <c:crossAx val="742060888"/>
        <c:crosses val="max"/>
        <c:crossBetween val="between"/>
        <c:majorUnit val="3"/>
      </c:valAx>
      <c:catAx>
        <c:axId val="742060888"/>
        <c:scaling>
          <c:orientation val="minMax"/>
        </c:scaling>
        <c:delete val="1"/>
        <c:axPos val="b"/>
        <c:numFmt formatCode="General" sourceLinked="1"/>
        <c:majorTickMark val="out"/>
        <c:minorTickMark val="none"/>
        <c:tickLblPos val="nextTo"/>
        <c:crossAx val="742073040"/>
        <c:crosses val="autoZero"/>
        <c:auto val="1"/>
        <c:lblAlgn val="ctr"/>
        <c:lblOffset val="100"/>
        <c:noMultiLvlLbl val="0"/>
      </c:catAx>
      <c:spPr>
        <a:solidFill>
          <a:schemeClr val="bg1"/>
        </a:solidFill>
        <a:ln w="25799">
          <a:noFill/>
        </a:ln>
        <a:effectLst/>
      </c:spPr>
    </c:plotArea>
    <c:legend>
      <c:legendPos val="l"/>
      <c:layout>
        <c:manualLayout>
          <c:xMode val="edge"/>
          <c:yMode val="edge"/>
          <c:x val="8.1389889659602907E-2"/>
          <c:y val="3.2960199292936074E-2"/>
          <c:w val="0.88872930574968112"/>
          <c:h val="0.1153759778851519"/>
        </c:manualLayout>
      </c:layout>
      <c:overlay val="1"/>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0"/>
          <c:tx>
            <c:strRef>
              <c:f>Sheet1!$C$1</c:f>
              <c:strCache>
                <c:ptCount val="1"/>
                <c:pt idx="0">
                  <c:v>2023.gads</c:v>
                </c:pt>
              </c:strCache>
            </c:strRef>
          </c:tx>
          <c:spPr>
            <a:solidFill>
              <a:srgbClr val="4BACC6">
                <a:lumMod val="75000"/>
              </a:srgbClr>
            </a:solidFill>
            <a:ln w="6350">
              <a:noFill/>
            </a:ln>
          </c:spPr>
          <c:invertIfNegative val="0"/>
          <c:dPt>
            <c:idx val="4"/>
            <c:invertIfNegative val="0"/>
            <c:bubble3D val="0"/>
            <c:extLst>
              <c:ext xmlns:c16="http://schemas.microsoft.com/office/drawing/2014/chart" uri="{C3380CC4-5D6E-409C-BE32-E72D297353CC}">
                <c16:uniqueId val="{00000000-7846-4DA6-8C47-974EF2C053C7}"/>
              </c:ext>
            </c:extLst>
          </c:dPt>
          <c:dPt>
            <c:idx val="5"/>
            <c:invertIfNegative val="0"/>
            <c:bubble3D val="0"/>
            <c:extLst>
              <c:ext xmlns:c16="http://schemas.microsoft.com/office/drawing/2014/chart" uri="{C3380CC4-5D6E-409C-BE32-E72D297353CC}">
                <c16:uniqueId val="{00000001-7846-4DA6-8C47-974EF2C053C7}"/>
              </c:ext>
            </c:extLst>
          </c:dPt>
          <c:dPt>
            <c:idx val="7"/>
            <c:invertIfNegative val="0"/>
            <c:bubble3D val="0"/>
            <c:extLst>
              <c:ext xmlns:c16="http://schemas.microsoft.com/office/drawing/2014/chart" uri="{C3380CC4-5D6E-409C-BE32-E72D297353CC}">
                <c16:uniqueId val="{00000002-7846-4DA6-8C47-974EF2C053C7}"/>
              </c:ext>
            </c:extLst>
          </c:dPt>
          <c:dPt>
            <c:idx val="9"/>
            <c:invertIfNegative val="0"/>
            <c:bubble3D val="0"/>
            <c:extLst>
              <c:ext xmlns:c16="http://schemas.microsoft.com/office/drawing/2014/chart" uri="{C3380CC4-5D6E-409C-BE32-E72D297353CC}">
                <c16:uniqueId val="{00000003-7846-4DA6-8C47-974EF2C053C7}"/>
              </c:ext>
            </c:extLst>
          </c:dPt>
          <c:dPt>
            <c:idx val="10"/>
            <c:invertIfNegative val="0"/>
            <c:bubble3D val="0"/>
            <c:extLst>
              <c:ext xmlns:c16="http://schemas.microsoft.com/office/drawing/2014/chart" uri="{C3380CC4-5D6E-409C-BE32-E72D297353CC}">
                <c16:uniqueId val="{00000004-7846-4DA6-8C47-974EF2C053C7}"/>
              </c:ext>
            </c:extLst>
          </c:dPt>
          <c:dPt>
            <c:idx val="11"/>
            <c:invertIfNegative val="0"/>
            <c:bubble3D val="0"/>
            <c:spPr>
              <a:solidFill>
                <a:srgbClr val="C0504D">
                  <a:lumMod val="75000"/>
                </a:srgbClr>
              </a:solidFill>
              <a:ln w="6350">
                <a:noFill/>
              </a:ln>
            </c:spPr>
            <c:extLst>
              <c:ext xmlns:c16="http://schemas.microsoft.com/office/drawing/2014/chart" uri="{C3380CC4-5D6E-409C-BE32-E72D297353CC}">
                <c16:uniqueId val="{00000006-7846-4DA6-8C47-974EF2C053C7}"/>
              </c:ext>
            </c:extLst>
          </c:dPt>
          <c:dPt>
            <c:idx val="15"/>
            <c:invertIfNegative val="0"/>
            <c:bubble3D val="0"/>
            <c:extLst>
              <c:ext xmlns:c16="http://schemas.microsoft.com/office/drawing/2014/chart" uri="{C3380CC4-5D6E-409C-BE32-E72D297353CC}">
                <c16:uniqueId val="{00000007-7846-4DA6-8C47-974EF2C053C7}"/>
              </c:ext>
            </c:extLst>
          </c:dPt>
          <c:dPt>
            <c:idx val="16"/>
            <c:invertIfNegative val="0"/>
            <c:bubble3D val="0"/>
            <c:extLst>
              <c:ext xmlns:c16="http://schemas.microsoft.com/office/drawing/2014/chart" uri="{C3380CC4-5D6E-409C-BE32-E72D297353CC}">
                <c16:uniqueId val="{00000008-7846-4DA6-8C47-974EF2C053C7}"/>
              </c:ext>
            </c:extLst>
          </c:dPt>
          <c:dPt>
            <c:idx val="17"/>
            <c:invertIfNegative val="0"/>
            <c:bubble3D val="0"/>
            <c:spPr>
              <a:solidFill>
                <a:srgbClr val="4F81BD">
                  <a:lumMod val="75000"/>
                </a:srgbClr>
              </a:solidFill>
              <a:ln w="6350">
                <a:noFill/>
              </a:ln>
            </c:spPr>
            <c:extLst>
              <c:ext xmlns:c16="http://schemas.microsoft.com/office/drawing/2014/chart" uri="{C3380CC4-5D6E-409C-BE32-E72D297353CC}">
                <c16:uniqueId val="{0000000A-7846-4DA6-8C47-974EF2C053C7}"/>
              </c:ext>
            </c:extLst>
          </c:dPt>
          <c:dPt>
            <c:idx val="19"/>
            <c:invertIfNegative val="0"/>
            <c:bubble3D val="0"/>
            <c:extLst>
              <c:ext xmlns:c16="http://schemas.microsoft.com/office/drawing/2014/chart" uri="{C3380CC4-5D6E-409C-BE32-E72D297353CC}">
                <c16:uniqueId val="{0000000B-7846-4DA6-8C47-974EF2C053C7}"/>
              </c:ext>
            </c:extLst>
          </c:dPt>
          <c:dLbls>
            <c:numFmt formatCode="#,##0" sourceLinked="0"/>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Nīderlande</c:v>
                </c:pt>
                <c:pt idx="1">
                  <c:v>Zviedrija</c:v>
                </c:pt>
                <c:pt idx="2">
                  <c:v>Igaunija</c:v>
                </c:pt>
                <c:pt idx="3">
                  <c:v>Dānija</c:v>
                </c:pt>
                <c:pt idx="4">
                  <c:v>Malta</c:v>
                </c:pt>
                <c:pt idx="5">
                  <c:v>Kipra</c:v>
                </c:pt>
                <c:pt idx="6">
                  <c:v>Īrija</c:v>
                </c:pt>
                <c:pt idx="7">
                  <c:v>Lietuva</c:v>
                </c:pt>
                <c:pt idx="8">
                  <c:v>Vācija</c:v>
                </c:pt>
                <c:pt idx="9">
                  <c:v>Austrija</c:v>
                </c:pt>
                <c:pt idx="10">
                  <c:v>Somija</c:v>
                </c:pt>
                <c:pt idx="11">
                  <c:v>Latvija</c:v>
                </c:pt>
                <c:pt idx="12">
                  <c:v>Portugāle</c:v>
                </c:pt>
                <c:pt idx="13">
                  <c:v>Ungārija</c:v>
                </c:pt>
                <c:pt idx="14">
                  <c:v>Luksemburga</c:v>
                </c:pt>
                <c:pt idx="15">
                  <c:v>Čehija</c:v>
                </c:pt>
                <c:pt idx="16">
                  <c:v>Slovākija</c:v>
                </c:pt>
                <c:pt idx="17">
                  <c:v>ES27</c:v>
                </c:pt>
                <c:pt idx="18">
                  <c:v>Spānija</c:v>
                </c:pt>
                <c:pt idx="19">
                  <c:v>Slovēnija</c:v>
                </c:pt>
                <c:pt idx="20">
                  <c:v>Francija</c:v>
                </c:pt>
                <c:pt idx="21">
                  <c:v>Polija</c:v>
                </c:pt>
                <c:pt idx="22">
                  <c:v>Bulgārija</c:v>
                </c:pt>
                <c:pt idx="23">
                  <c:v>Beļģija</c:v>
                </c:pt>
                <c:pt idx="24">
                  <c:v>Grieķija</c:v>
                </c:pt>
                <c:pt idx="25">
                  <c:v>Horvātija</c:v>
                </c:pt>
                <c:pt idx="26">
                  <c:v>Itālija</c:v>
                </c:pt>
                <c:pt idx="27">
                  <c:v>Rumānija</c:v>
                </c:pt>
              </c:strCache>
            </c:strRef>
          </c:cat>
          <c:val>
            <c:numRef>
              <c:f>Sheet1!$C$2:$C$29</c:f>
              <c:numCache>
                <c:formatCode>#,##0.0</c:formatCode>
                <c:ptCount val="28"/>
                <c:pt idx="0">
                  <c:v>75.8</c:v>
                </c:pt>
                <c:pt idx="1">
                  <c:v>75.2</c:v>
                </c:pt>
                <c:pt idx="2">
                  <c:v>73.900000000000006</c:v>
                </c:pt>
                <c:pt idx="3">
                  <c:v>72.099999999999994</c:v>
                </c:pt>
                <c:pt idx="4">
                  <c:v>71.599999999999994</c:v>
                </c:pt>
                <c:pt idx="5">
                  <c:v>71.2</c:v>
                </c:pt>
                <c:pt idx="6">
                  <c:v>71</c:v>
                </c:pt>
                <c:pt idx="7">
                  <c:v>70.5</c:v>
                </c:pt>
                <c:pt idx="8">
                  <c:v>70</c:v>
                </c:pt>
                <c:pt idx="9">
                  <c:v>68.900000000000006</c:v>
                </c:pt>
                <c:pt idx="10">
                  <c:v>68.900000000000006</c:v>
                </c:pt>
                <c:pt idx="11">
                  <c:v>68.599999999999994</c:v>
                </c:pt>
                <c:pt idx="12">
                  <c:v>67.900000000000006</c:v>
                </c:pt>
                <c:pt idx="13">
                  <c:v>67.400000000000006</c:v>
                </c:pt>
                <c:pt idx="14">
                  <c:v>67.3</c:v>
                </c:pt>
                <c:pt idx="15">
                  <c:v>66.7</c:v>
                </c:pt>
                <c:pt idx="16">
                  <c:v>66.5</c:v>
                </c:pt>
                <c:pt idx="17">
                  <c:v>65.3</c:v>
                </c:pt>
                <c:pt idx="18">
                  <c:v>65.2</c:v>
                </c:pt>
                <c:pt idx="19">
                  <c:v>64.900000000000006</c:v>
                </c:pt>
                <c:pt idx="20">
                  <c:v>63.6</c:v>
                </c:pt>
                <c:pt idx="21">
                  <c:v>63.6</c:v>
                </c:pt>
                <c:pt idx="22">
                  <c:v>62.8</c:v>
                </c:pt>
                <c:pt idx="23">
                  <c:v>61.4</c:v>
                </c:pt>
                <c:pt idx="24">
                  <c:v>60.4</c:v>
                </c:pt>
                <c:pt idx="25">
                  <c:v>58.7</c:v>
                </c:pt>
                <c:pt idx="26">
                  <c:v>57.8</c:v>
                </c:pt>
                <c:pt idx="27">
                  <c:v>56.6</c:v>
                </c:pt>
              </c:numCache>
            </c:numRef>
          </c:val>
          <c:extLst>
            <c:ext xmlns:c16="http://schemas.microsoft.com/office/drawing/2014/chart" uri="{C3380CC4-5D6E-409C-BE32-E72D297353CC}">
              <c16:uniqueId val="{0000000C-7846-4DA6-8C47-974EF2C053C7}"/>
            </c:ext>
          </c:extLst>
        </c:ser>
        <c:dLbls>
          <c:showLegendKey val="0"/>
          <c:showVal val="0"/>
          <c:showCatName val="0"/>
          <c:showSerName val="0"/>
          <c:showPercent val="0"/>
          <c:showBubbleSize val="0"/>
        </c:dLbls>
        <c:gapWidth val="40"/>
        <c:axId val="742147520"/>
        <c:axId val="742148304"/>
      </c:barChart>
      <c:lineChart>
        <c:grouping val="stacked"/>
        <c:varyColors val="0"/>
        <c:ser>
          <c:idx val="1"/>
          <c:order val="1"/>
          <c:tx>
            <c:strRef>
              <c:f>Sheet1!$B$1</c:f>
              <c:strCache>
                <c:ptCount val="1"/>
                <c:pt idx="0">
                  <c:v>2010.gads</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Nīderlande</c:v>
                </c:pt>
                <c:pt idx="1">
                  <c:v>Zviedrija</c:v>
                </c:pt>
                <c:pt idx="2">
                  <c:v>Igaunija</c:v>
                </c:pt>
                <c:pt idx="3">
                  <c:v>Dānija</c:v>
                </c:pt>
                <c:pt idx="4">
                  <c:v>Malta</c:v>
                </c:pt>
                <c:pt idx="5">
                  <c:v>Kipra</c:v>
                </c:pt>
                <c:pt idx="6">
                  <c:v>Īrija</c:v>
                </c:pt>
                <c:pt idx="7">
                  <c:v>Lietuva</c:v>
                </c:pt>
                <c:pt idx="8">
                  <c:v>Vācija</c:v>
                </c:pt>
                <c:pt idx="9">
                  <c:v>Austrija</c:v>
                </c:pt>
                <c:pt idx="10">
                  <c:v>Somija</c:v>
                </c:pt>
                <c:pt idx="11">
                  <c:v>Latvija</c:v>
                </c:pt>
                <c:pt idx="12">
                  <c:v>Portugāle</c:v>
                </c:pt>
                <c:pt idx="13">
                  <c:v>Ungārija</c:v>
                </c:pt>
                <c:pt idx="14">
                  <c:v>Luksemburga</c:v>
                </c:pt>
                <c:pt idx="15">
                  <c:v>Čehija</c:v>
                </c:pt>
                <c:pt idx="16">
                  <c:v>Slovākija</c:v>
                </c:pt>
                <c:pt idx="17">
                  <c:v>ES27</c:v>
                </c:pt>
                <c:pt idx="18">
                  <c:v>Spānija</c:v>
                </c:pt>
                <c:pt idx="19">
                  <c:v>Slovēnija</c:v>
                </c:pt>
                <c:pt idx="20">
                  <c:v>Francija</c:v>
                </c:pt>
                <c:pt idx="21">
                  <c:v>Polija</c:v>
                </c:pt>
                <c:pt idx="22">
                  <c:v>Bulgārija</c:v>
                </c:pt>
                <c:pt idx="23">
                  <c:v>Beļģija</c:v>
                </c:pt>
                <c:pt idx="24">
                  <c:v>Grieķija</c:v>
                </c:pt>
                <c:pt idx="25">
                  <c:v>Horvātija</c:v>
                </c:pt>
                <c:pt idx="26">
                  <c:v>Itālija</c:v>
                </c:pt>
                <c:pt idx="27">
                  <c:v>Rumānija</c:v>
                </c:pt>
              </c:strCache>
            </c:strRef>
          </c:cat>
          <c:val>
            <c:numRef>
              <c:f>Sheet1!$B$2:$B$29</c:f>
              <c:numCache>
                <c:formatCode>0.0</c:formatCode>
                <c:ptCount val="28"/>
                <c:pt idx="0">
                  <c:v>70.2</c:v>
                </c:pt>
                <c:pt idx="1">
                  <c:v>70.5</c:v>
                </c:pt>
                <c:pt idx="2">
                  <c:v>66.599999999999994</c:v>
                </c:pt>
                <c:pt idx="3">
                  <c:v>69.5</c:v>
                </c:pt>
                <c:pt idx="4">
                  <c:v>54.3</c:v>
                </c:pt>
                <c:pt idx="5">
                  <c:v>68</c:v>
                </c:pt>
                <c:pt idx="6">
                  <c:v>66.5</c:v>
                </c:pt>
                <c:pt idx="7">
                  <c:v>62.5</c:v>
                </c:pt>
                <c:pt idx="8">
                  <c:v>65.8</c:v>
                </c:pt>
                <c:pt idx="9">
                  <c:v>66.099999999999994</c:v>
                </c:pt>
                <c:pt idx="10">
                  <c:v>66.400000000000006</c:v>
                </c:pt>
                <c:pt idx="11">
                  <c:v>64.599999999999994</c:v>
                </c:pt>
                <c:pt idx="12">
                  <c:v>67.099999999999994</c:v>
                </c:pt>
                <c:pt idx="13">
                  <c:v>54.8</c:v>
                </c:pt>
                <c:pt idx="14">
                  <c:v>61</c:v>
                </c:pt>
                <c:pt idx="15">
                  <c:v>63.1</c:v>
                </c:pt>
                <c:pt idx="16">
                  <c:v>62.8</c:v>
                </c:pt>
                <c:pt idx="17">
                  <c:v>62.5</c:v>
                </c:pt>
                <c:pt idx="18">
                  <c:v>66.099999999999994</c:v>
                </c:pt>
                <c:pt idx="19">
                  <c:v>64.3</c:v>
                </c:pt>
                <c:pt idx="20">
                  <c:v>62.9</c:v>
                </c:pt>
                <c:pt idx="21">
                  <c:v>59.7</c:v>
                </c:pt>
                <c:pt idx="22">
                  <c:v>58.8</c:v>
                </c:pt>
                <c:pt idx="23">
                  <c:v>60.3</c:v>
                </c:pt>
                <c:pt idx="24">
                  <c:v>60</c:v>
                </c:pt>
                <c:pt idx="25">
                  <c:v>57.8</c:v>
                </c:pt>
                <c:pt idx="26">
                  <c:v>54.3</c:v>
                </c:pt>
                <c:pt idx="27">
                  <c:v>60</c:v>
                </c:pt>
              </c:numCache>
            </c:numRef>
          </c:val>
          <c:smooth val="0"/>
          <c:extLst>
            <c:ext xmlns:c16="http://schemas.microsoft.com/office/drawing/2014/chart" uri="{C3380CC4-5D6E-409C-BE32-E72D297353CC}">
              <c16:uniqueId val="{0000000D-7846-4DA6-8C47-974EF2C053C7}"/>
            </c:ext>
          </c:extLst>
        </c:ser>
        <c:dLbls>
          <c:showLegendKey val="0"/>
          <c:showVal val="0"/>
          <c:showCatName val="0"/>
          <c:showSerName val="0"/>
          <c:showPercent val="0"/>
          <c:showBubbleSize val="0"/>
        </c:dLbls>
        <c:marker val="1"/>
        <c:smooth val="0"/>
        <c:axId val="742147520"/>
        <c:axId val="742148304"/>
      </c:lineChart>
      <c:catAx>
        <c:axId val="742147520"/>
        <c:scaling>
          <c:orientation val="minMax"/>
        </c:scaling>
        <c:delete val="0"/>
        <c:axPos val="b"/>
        <c:numFmt formatCode="General" sourceLinked="1"/>
        <c:majorTickMark val="out"/>
        <c:minorTickMark val="none"/>
        <c:tickLblPos val="low"/>
        <c:spPr>
          <a:ln/>
        </c:spPr>
        <c:txPr>
          <a:bodyPr rot="-5400000" vert="horz"/>
          <a:lstStyle/>
          <a:p>
            <a:pPr>
              <a:defRPr>
                <a:solidFill>
                  <a:sysClr val="windowText" lastClr="000000"/>
                </a:solidFill>
              </a:defRPr>
            </a:pPr>
            <a:endParaRPr lang="lv-LV"/>
          </a:p>
        </c:txPr>
        <c:crossAx val="742148304"/>
        <c:crosses val="autoZero"/>
        <c:auto val="0"/>
        <c:lblAlgn val="ctr"/>
        <c:lblOffset val="0"/>
        <c:tickLblSkip val="1"/>
        <c:noMultiLvlLbl val="0"/>
      </c:catAx>
      <c:valAx>
        <c:axId val="742148304"/>
        <c:scaling>
          <c:orientation val="minMax"/>
          <c:min val="50"/>
        </c:scaling>
        <c:delete val="0"/>
        <c:axPos val="l"/>
        <c:numFmt formatCode="#,##0" sourceLinked="0"/>
        <c:majorTickMark val="out"/>
        <c:minorTickMark val="none"/>
        <c:tickLblPos val="nextTo"/>
        <c:spPr>
          <a:ln w="6350">
            <a:noFill/>
          </a:ln>
        </c:spPr>
        <c:txPr>
          <a:bodyPr rot="0" vert="horz"/>
          <a:lstStyle/>
          <a:p>
            <a:pPr>
              <a:defRPr/>
            </a:pPr>
            <a:endParaRPr lang="lv-LV"/>
          </a:p>
        </c:txPr>
        <c:crossAx val="742147520"/>
        <c:crosses val="autoZero"/>
        <c:crossBetween val="between"/>
      </c:valAx>
      <c:spPr>
        <a:noFill/>
        <a:ln w="6350">
          <a:noFill/>
        </a:ln>
      </c:spPr>
    </c:plotArea>
    <c:legend>
      <c:legendPos val="t"/>
      <c:layout>
        <c:manualLayout>
          <c:xMode val="edge"/>
          <c:yMode val="edge"/>
          <c:x val="0.72095035179426104"/>
          <c:y val="7.4607977736978706E-2"/>
          <c:w val="0.1368575124360833"/>
          <c:h val="0.17486797537546853"/>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589170840965731E-2"/>
          <c:y val="2.9322738259412468E-2"/>
          <c:w val="0.74799086718349839"/>
          <c:h val="0.85858406618687544"/>
        </c:manualLayout>
      </c:layout>
      <c:barChart>
        <c:barDir val="col"/>
        <c:grouping val="percentStacked"/>
        <c:varyColors val="0"/>
        <c:ser>
          <c:idx val="0"/>
          <c:order val="0"/>
          <c:tx>
            <c:strRef>
              <c:f>Sheet1!$A$2</c:f>
              <c:strCache>
                <c:ptCount val="1"/>
                <c:pt idx="0">
                  <c:v>Pamata izglītība</c:v>
                </c:pt>
              </c:strCache>
            </c:strRef>
          </c:tx>
          <c:invertIfNegative val="0"/>
          <c:dLbls>
            <c:spPr>
              <a:noFill/>
              <a:ln>
                <a:noFill/>
              </a:ln>
              <a:effectLst/>
            </c:spPr>
            <c:txPr>
              <a:bodyPr/>
              <a:lstStyle/>
              <a:p>
                <a:pPr>
                  <a:defRPr>
                    <a:solidFill>
                      <a:schemeClr val="bg1"/>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Sheet1!$B$1:$W$1</c:f>
              <c:numCache>
                <c:formatCode>0</c:formatCode>
                <c:ptCount val="22"/>
                <c:pt idx="0" formatCode="General">
                  <c:v>2002</c:v>
                </c:pt>
                <c:pt idx="1">
                  <c:v>2003</c:v>
                </c:pt>
                <c:pt idx="2" formatCode="General">
                  <c:v>2004</c:v>
                </c:pt>
                <c:pt idx="3" formatCode="General">
                  <c:v>2005</c:v>
                </c:pt>
                <c:pt idx="4" formatCode="General">
                  <c:v>2006</c:v>
                </c:pt>
                <c:pt idx="5" formatCode="General">
                  <c:v>2007</c:v>
                </c:pt>
                <c:pt idx="6" formatCode="General">
                  <c:v>2008</c:v>
                </c:pt>
                <c:pt idx="7" formatCode="General">
                  <c:v>2009</c:v>
                </c:pt>
                <c:pt idx="8" formatCode="General">
                  <c:v>2010</c:v>
                </c:pt>
                <c:pt idx="9" formatCode="General">
                  <c:v>2011</c:v>
                </c:pt>
                <c:pt idx="10" formatCode="General">
                  <c:v>2012</c:v>
                </c:pt>
                <c:pt idx="11" formatCode="General">
                  <c:v>2013</c:v>
                </c:pt>
                <c:pt idx="12" formatCode="General">
                  <c:v>2014</c:v>
                </c:pt>
                <c:pt idx="13" formatCode="General">
                  <c:v>2015</c:v>
                </c:pt>
                <c:pt idx="14" formatCode="General">
                  <c:v>2016</c:v>
                </c:pt>
                <c:pt idx="15" formatCode="General">
                  <c:v>2017</c:v>
                </c:pt>
                <c:pt idx="16" formatCode="General">
                  <c:v>2018</c:v>
                </c:pt>
                <c:pt idx="17" formatCode="General">
                  <c:v>2019</c:v>
                </c:pt>
                <c:pt idx="18" formatCode="General">
                  <c:v>2020</c:v>
                </c:pt>
                <c:pt idx="19" formatCode="General">
                  <c:v>2021</c:v>
                </c:pt>
                <c:pt idx="20" formatCode="General">
                  <c:v>2022</c:v>
                </c:pt>
                <c:pt idx="21" formatCode="General">
                  <c:v>2023</c:v>
                </c:pt>
              </c:numCache>
            </c:numRef>
          </c:cat>
          <c:val>
            <c:numRef>
              <c:f>Sheet1!$B$2:$W$2</c:f>
              <c:numCache>
                <c:formatCode>0</c:formatCode>
                <c:ptCount val="22"/>
                <c:pt idx="0">
                  <c:v>15.91096455070074</c:v>
                </c:pt>
                <c:pt idx="1">
                  <c:v>15.319617927994123</c:v>
                </c:pt>
                <c:pt idx="2">
                  <c:v>14.440069590696822</c:v>
                </c:pt>
                <c:pt idx="3">
                  <c:v>14.498519615099925</c:v>
                </c:pt>
                <c:pt idx="4">
                  <c:v>15.204256470376047</c:v>
                </c:pt>
                <c:pt idx="5">
                  <c:v>14.80231008440693</c:v>
                </c:pt>
                <c:pt idx="6">
                  <c:v>13.41612733951373</c:v>
                </c:pt>
                <c:pt idx="7">
                  <c:v>12.520428545487562</c:v>
                </c:pt>
                <c:pt idx="8">
                  <c:v>11.140558447704686</c:v>
                </c:pt>
                <c:pt idx="9">
                  <c:v>11.184594436879983</c:v>
                </c:pt>
                <c:pt idx="10">
                  <c:v>10.20665567090327</c:v>
                </c:pt>
                <c:pt idx="11">
                  <c:v>9.5533865720201128</c:v>
                </c:pt>
                <c:pt idx="12">
                  <c:v>9.3419328832006467</c:v>
                </c:pt>
                <c:pt idx="13">
                  <c:v>9.112854556427278</c:v>
                </c:pt>
                <c:pt idx="14">
                  <c:v>8.6587092858587908</c:v>
                </c:pt>
                <c:pt idx="15">
                  <c:v>8.6300112210547795</c:v>
                </c:pt>
                <c:pt idx="16">
                  <c:v>8.2467929138668303</c:v>
                </c:pt>
                <c:pt idx="17">
                  <c:v>8.0613610624935657</c:v>
                </c:pt>
                <c:pt idx="18">
                  <c:v>8.0168776371308024</c:v>
                </c:pt>
                <c:pt idx="19">
                  <c:v>7.0083458163920396</c:v>
                </c:pt>
                <c:pt idx="20">
                  <c:v>7.2006727635866712</c:v>
                </c:pt>
                <c:pt idx="21">
                  <c:v>7.7893409019236843</c:v>
                </c:pt>
              </c:numCache>
            </c:numRef>
          </c:val>
          <c:extLst>
            <c:ext xmlns:c16="http://schemas.microsoft.com/office/drawing/2014/chart" uri="{C3380CC4-5D6E-409C-BE32-E72D297353CC}">
              <c16:uniqueId val="{00000000-C25A-4604-B46C-0276354DCF40}"/>
            </c:ext>
          </c:extLst>
        </c:ser>
        <c:ser>
          <c:idx val="1"/>
          <c:order val="1"/>
          <c:tx>
            <c:strRef>
              <c:f>Sheet1!$A$3</c:f>
              <c:strCache>
                <c:ptCount val="1"/>
                <c:pt idx="0">
                  <c:v>Vidējā vispārējā izglītība</c:v>
                </c:pt>
              </c:strCache>
            </c:strRef>
          </c:tx>
          <c:invertIfNegative val="0"/>
          <c:dLbls>
            <c:spPr>
              <a:noFill/>
              <a:ln>
                <a:noFill/>
              </a:ln>
              <a:effectLst/>
            </c:spPr>
            <c:txPr>
              <a:bodyPr/>
              <a:lstStyle/>
              <a:p>
                <a:pPr>
                  <a:defRPr>
                    <a:solidFill>
                      <a:schemeClr val="bg1"/>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Sheet1!$B$1:$W$1</c:f>
              <c:numCache>
                <c:formatCode>0</c:formatCode>
                <c:ptCount val="22"/>
                <c:pt idx="0" formatCode="General">
                  <c:v>2002</c:v>
                </c:pt>
                <c:pt idx="1">
                  <c:v>2003</c:v>
                </c:pt>
                <c:pt idx="2" formatCode="General">
                  <c:v>2004</c:v>
                </c:pt>
                <c:pt idx="3" formatCode="General">
                  <c:v>2005</c:v>
                </c:pt>
                <c:pt idx="4" formatCode="General">
                  <c:v>2006</c:v>
                </c:pt>
                <c:pt idx="5" formatCode="General">
                  <c:v>2007</c:v>
                </c:pt>
                <c:pt idx="6" formatCode="General">
                  <c:v>2008</c:v>
                </c:pt>
                <c:pt idx="7" formatCode="General">
                  <c:v>2009</c:v>
                </c:pt>
                <c:pt idx="8" formatCode="General">
                  <c:v>2010</c:v>
                </c:pt>
                <c:pt idx="9" formatCode="General">
                  <c:v>2011</c:v>
                </c:pt>
                <c:pt idx="10" formatCode="General">
                  <c:v>2012</c:v>
                </c:pt>
                <c:pt idx="11" formatCode="General">
                  <c:v>2013</c:v>
                </c:pt>
                <c:pt idx="12" formatCode="General">
                  <c:v>2014</c:v>
                </c:pt>
                <c:pt idx="13" formatCode="General">
                  <c:v>2015</c:v>
                </c:pt>
                <c:pt idx="14" formatCode="General">
                  <c:v>2016</c:v>
                </c:pt>
                <c:pt idx="15" formatCode="General">
                  <c:v>2017</c:v>
                </c:pt>
                <c:pt idx="16" formatCode="General">
                  <c:v>2018</c:v>
                </c:pt>
                <c:pt idx="17" formatCode="General">
                  <c:v>2019</c:v>
                </c:pt>
                <c:pt idx="18" formatCode="General">
                  <c:v>2020</c:v>
                </c:pt>
                <c:pt idx="19" formatCode="General">
                  <c:v>2021</c:v>
                </c:pt>
                <c:pt idx="20" formatCode="General">
                  <c:v>2022</c:v>
                </c:pt>
                <c:pt idx="21" formatCode="General">
                  <c:v>2023</c:v>
                </c:pt>
              </c:numCache>
            </c:numRef>
          </c:cat>
          <c:val>
            <c:numRef>
              <c:f>Sheet1!$B$3:$W$3</c:f>
              <c:numCache>
                <c:formatCode>0</c:formatCode>
                <c:ptCount val="22"/>
                <c:pt idx="0">
                  <c:v>24.777869378034257</c:v>
                </c:pt>
                <c:pt idx="1">
                  <c:v>25.551065393093314</c:v>
                </c:pt>
                <c:pt idx="2">
                  <c:v>26.069041296584562</c:v>
                </c:pt>
                <c:pt idx="3">
                  <c:v>26.054774241302741</c:v>
                </c:pt>
                <c:pt idx="4">
                  <c:v>25.547840202001982</c:v>
                </c:pt>
                <c:pt idx="5">
                  <c:v>26.352732119058196</c:v>
                </c:pt>
                <c:pt idx="6">
                  <c:v>25.651565506384465</c:v>
                </c:pt>
                <c:pt idx="7">
                  <c:v>25.685491193027055</c:v>
                </c:pt>
                <c:pt idx="8">
                  <c:v>25.177472787505916</c:v>
                </c:pt>
                <c:pt idx="9">
                  <c:v>24.265707060883095</c:v>
                </c:pt>
                <c:pt idx="10">
                  <c:v>24.381488308916271</c:v>
                </c:pt>
                <c:pt idx="11">
                  <c:v>24.312333629103815</c:v>
                </c:pt>
                <c:pt idx="12">
                  <c:v>24.538949914340421</c:v>
                </c:pt>
                <c:pt idx="13">
                  <c:v>23.305169985918326</c:v>
                </c:pt>
                <c:pt idx="14">
                  <c:v>23.477645154764311</c:v>
                </c:pt>
                <c:pt idx="15">
                  <c:v>25.237172294195659</c:v>
                </c:pt>
                <c:pt idx="16">
                  <c:v>25.066177967827326</c:v>
                </c:pt>
                <c:pt idx="17">
                  <c:v>24.637084319983529</c:v>
                </c:pt>
                <c:pt idx="18">
                  <c:v>23.381702171452094</c:v>
                </c:pt>
                <c:pt idx="19">
                  <c:v>21.132035095227906</c:v>
                </c:pt>
                <c:pt idx="20">
                  <c:v>21.623042152843478</c:v>
                </c:pt>
                <c:pt idx="21">
                  <c:v>22.358877325764741</c:v>
                </c:pt>
              </c:numCache>
            </c:numRef>
          </c:val>
          <c:extLst>
            <c:ext xmlns:c16="http://schemas.microsoft.com/office/drawing/2014/chart" uri="{C3380CC4-5D6E-409C-BE32-E72D297353CC}">
              <c16:uniqueId val="{00000001-C25A-4604-B46C-0276354DCF40}"/>
            </c:ext>
          </c:extLst>
        </c:ser>
        <c:ser>
          <c:idx val="2"/>
          <c:order val="2"/>
          <c:tx>
            <c:strRef>
              <c:f>Sheet1!$A$4</c:f>
              <c:strCache>
                <c:ptCount val="1"/>
                <c:pt idx="0">
                  <c:v>Vidējā profesionālā izglītība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Sheet1!$B$1:$W$1</c:f>
              <c:numCache>
                <c:formatCode>0</c:formatCode>
                <c:ptCount val="22"/>
                <c:pt idx="0" formatCode="General">
                  <c:v>2002</c:v>
                </c:pt>
                <c:pt idx="1">
                  <c:v>2003</c:v>
                </c:pt>
                <c:pt idx="2" formatCode="General">
                  <c:v>2004</c:v>
                </c:pt>
                <c:pt idx="3" formatCode="General">
                  <c:v>2005</c:v>
                </c:pt>
                <c:pt idx="4" formatCode="General">
                  <c:v>2006</c:v>
                </c:pt>
                <c:pt idx="5" formatCode="General">
                  <c:v>2007</c:v>
                </c:pt>
                <c:pt idx="6" formatCode="General">
                  <c:v>2008</c:v>
                </c:pt>
                <c:pt idx="7" formatCode="General">
                  <c:v>2009</c:v>
                </c:pt>
                <c:pt idx="8" formatCode="General">
                  <c:v>2010</c:v>
                </c:pt>
                <c:pt idx="9" formatCode="General">
                  <c:v>2011</c:v>
                </c:pt>
                <c:pt idx="10" formatCode="General">
                  <c:v>2012</c:v>
                </c:pt>
                <c:pt idx="11" formatCode="General">
                  <c:v>2013</c:v>
                </c:pt>
                <c:pt idx="12" formatCode="General">
                  <c:v>2014</c:v>
                </c:pt>
                <c:pt idx="13" formatCode="General">
                  <c:v>2015</c:v>
                </c:pt>
                <c:pt idx="14" formatCode="General">
                  <c:v>2016</c:v>
                </c:pt>
                <c:pt idx="15" formatCode="General">
                  <c:v>2017</c:v>
                </c:pt>
                <c:pt idx="16" formatCode="General">
                  <c:v>2018</c:v>
                </c:pt>
                <c:pt idx="17" formatCode="General">
                  <c:v>2019</c:v>
                </c:pt>
                <c:pt idx="18" formatCode="General">
                  <c:v>2020</c:v>
                </c:pt>
                <c:pt idx="19" formatCode="General">
                  <c:v>2021</c:v>
                </c:pt>
                <c:pt idx="20" formatCode="General">
                  <c:v>2022</c:v>
                </c:pt>
                <c:pt idx="21" formatCode="General">
                  <c:v>2023</c:v>
                </c:pt>
              </c:numCache>
            </c:numRef>
          </c:cat>
          <c:val>
            <c:numRef>
              <c:f>Sheet1!$B$4:$W$4</c:f>
              <c:numCache>
                <c:formatCode>0</c:formatCode>
                <c:ptCount val="22"/>
                <c:pt idx="0">
                  <c:v>39.241549876339647</c:v>
                </c:pt>
                <c:pt idx="1">
                  <c:v>40.236958119030128</c:v>
                </c:pt>
                <c:pt idx="2">
                  <c:v>38.430546653236888</c:v>
                </c:pt>
                <c:pt idx="3">
                  <c:v>37.629533678756474</c:v>
                </c:pt>
                <c:pt idx="4">
                  <c:v>36.793218504824601</c:v>
                </c:pt>
                <c:pt idx="5">
                  <c:v>35.450910706352737</c:v>
                </c:pt>
                <c:pt idx="6">
                  <c:v>35.175791499037949</c:v>
                </c:pt>
                <c:pt idx="7">
                  <c:v>35.364082077356088</c:v>
                </c:pt>
                <c:pt idx="8">
                  <c:v>35.65546616185518</c:v>
                </c:pt>
                <c:pt idx="9">
                  <c:v>35.158529468974905</c:v>
                </c:pt>
                <c:pt idx="10">
                  <c:v>34.306781798777529</c:v>
                </c:pt>
                <c:pt idx="11">
                  <c:v>33.106575963718825</c:v>
                </c:pt>
                <c:pt idx="12">
                  <c:v>33.890960395041823</c:v>
                </c:pt>
                <c:pt idx="13">
                  <c:v>34.148058740696037</c:v>
                </c:pt>
                <c:pt idx="14">
                  <c:v>32.652235484523565</c:v>
                </c:pt>
                <c:pt idx="15">
                  <c:v>30.653881464857697</c:v>
                </c:pt>
                <c:pt idx="16">
                  <c:v>30.737120749338214</c:v>
                </c:pt>
                <c:pt idx="17">
                  <c:v>29.620096777514672</c:v>
                </c:pt>
                <c:pt idx="18">
                  <c:v>29.649068642585164</c:v>
                </c:pt>
                <c:pt idx="19">
                  <c:v>31.35031029317355</c:v>
                </c:pt>
                <c:pt idx="20">
                  <c:v>30.768422159150639</c:v>
                </c:pt>
                <c:pt idx="21">
                  <c:v>29.275727951224638</c:v>
                </c:pt>
              </c:numCache>
            </c:numRef>
          </c:val>
          <c:extLst>
            <c:ext xmlns:c16="http://schemas.microsoft.com/office/drawing/2014/chart" uri="{C3380CC4-5D6E-409C-BE32-E72D297353CC}">
              <c16:uniqueId val="{00000002-C25A-4604-B46C-0276354DCF40}"/>
            </c:ext>
          </c:extLst>
        </c:ser>
        <c:ser>
          <c:idx val="3"/>
          <c:order val="3"/>
          <c:tx>
            <c:strRef>
              <c:f>Sheet1!$A$5</c:f>
              <c:strCache>
                <c:ptCount val="1"/>
                <c:pt idx="0">
                  <c:v>Augstākā izglītība</c:v>
                </c:pt>
              </c:strCache>
            </c:strRef>
          </c:tx>
          <c:invertIfNegative val="0"/>
          <c:dLbls>
            <c:spPr>
              <a:noFill/>
              <a:ln>
                <a:noFill/>
              </a:ln>
              <a:effectLst/>
            </c:spPr>
            <c:txPr>
              <a:bodyPr/>
              <a:lstStyle/>
              <a:p>
                <a:pPr>
                  <a:defRPr>
                    <a:solidFill>
                      <a:schemeClr val="bg1"/>
                    </a:solidFill>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Sheet1!$B$1:$W$1</c:f>
              <c:numCache>
                <c:formatCode>0</c:formatCode>
                <c:ptCount val="22"/>
                <c:pt idx="0" formatCode="General">
                  <c:v>2002</c:v>
                </c:pt>
                <c:pt idx="1">
                  <c:v>2003</c:v>
                </c:pt>
                <c:pt idx="2" formatCode="General">
                  <c:v>2004</c:v>
                </c:pt>
                <c:pt idx="3" formatCode="General">
                  <c:v>2005</c:v>
                </c:pt>
                <c:pt idx="4" formatCode="General">
                  <c:v>2006</c:v>
                </c:pt>
                <c:pt idx="5" formatCode="General">
                  <c:v>2007</c:v>
                </c:pt>
                <c:pt idx="6" formatCode="General">
                  <c:v>2008</c:v>
                </c:pt>
                <c:pt idx="7" formatCode="General">
                  <c:v>2009</c:v>
                </c:pt>
                <c:pt idx="8" formatCode="General">
                  <c:v>2010</c:v>
                </c:pt>
                <c:pt idx="9" formatCode="General">
                  <c:v>2011</c:v>
                </c:pt>
                <c:pt idx="10" formatCode="General">
                  <c:v>2012</c:v>
                </c:pt>
                <c:pt idx="11" formatCode="General">
                  <c:v>2013</c:v>
                </c:pt>
                <c:pt idx="12" formatCode="General">
                  <c:v>2014</c:v>
                </c:pt>
                <c:pt idx="13" formatCode="General">
                  <c:v>2015</c:v>
                </c:pt>
                <c:pt idx="14" formatCode="General">
                  <c:v>2016</c:v>
                </c:pt>
                <c:pt idx="15" formatCode="General">
                  <c:v>2017</c:v>
                </c:pt>
                <c:pt idx="16" formatCode="General">
                  <c:v>2018</c:v>
                </c:pt>
                <c:pt idx="17" formatCode="General">
                  <c:v>2019</c:v>
                </c:pt>
                <c:pt idx="18" formatCode="General">
                  <c:v>2020</c:v>
                </c:pt>
                <c:pt idx="19" formatCode="General">
                  <c:v>2021</c:v>
                </c:pt>
                <c:pt idx="20" formatCode="General">
                  <c:v>2022</c:v>
                </c:pt>
                <c:pt idx="21" formatCode="General">
                  <c:v>2023</c:v>
                </c:pt>
              </c:numCache>
            </c:numRef>
          </c:cat>
          <c:val>
            <c:numRef>
              <c:f>Sheet1!$B$5:$W$5</c:f>
              <c:numCache>
                <c:formatCode>0</c:formatCode>
                <c:ptCount val="22"/>
                <c:pt idx="0">
                  <c:v>20.060456169277273</c:v>
                </c:pt>
                <c:pt idx="1">
                  <c:v>18.892358559882439</c:v>
                </c:pt>
                <c:pt idx="2">
                  <c:v>21.069499130116291</c:v>
                </c:pt>
                <c:pt idx="3">
                  <c:v>21.817172464840862</c:v>
                </c:pt>
                <c:pt idx="4">
                  <c:v>22.418613039949498</c:v>
                </c:pt>
                <c:pt idx="5">
                  <c:v>23.180808529542425</c:v>
                </c:pt>
                <c:pt idx="6">
                  <c:v>25.739023963617282</c:v>
                </c:pt>
                <c:pt idx="7">
                  <c:v>26.429998184129289</c:v>
                </c:pt>
                <c:pt idx="8">
                  <c:v>27.979176526265974</c:v>
                </c:pt>
                <c:pt idx="9">
                  <c:v>29.361991830383189</c:v>
                </c:pt>
                <c:pt idx="10">
                  <c:v>31.075967788881343</c:v>
                </c:pt>
                <c:pt idx="11">
                  <c:v>32.978408754806274</c:v>
                </c:pt>
                <c:pt idx="12">
                  <c:v>32.127380832409557</c:v>
                </c:pt>
                <c:pt idx="13">
                  <c:v>33.313216656608326</c:v>
                </c:pt>
                <c:pt idx="14">
                  <c:v>35.029334412300223</c:v>
                </c:pt>
                <c:pt idx="15">
                  <c:v>35.336121595429972</c:v>
                </c:pt>
                <c:pt idx="16">
                  <c:v>35.848096110771735</c:v>
                </c:pt>
                <c:pt idx="17">
                  <c:v>37.650571399155766</c:v>
                </c:pt>
                <c:pt idx="18">
                  <c:v>38.921477822373156</c:v>
                </c:pt>
                <c:pt idx="19">
                  <c:v>40.509308795206508</c:v>
                </c:pt>
                <c:pt idx="20">
                  <c:v>40.397350993377486</c:v>
                </c:pt>
                <c:pt idx="21">
                  <c:v>39.934826027541263</c:v>
                </c:pt>
              </c:numCache>
            </c:numRef>
          </c:val>
          <c:extLst>
            <c:ext xmlns:c16="http://schemas.microsoft.com/office/drawing/2014/chart" uri="{C3380CC4-5D6E-409C-BE32-E72D297353CC}">
              <c16:uniqueId val="{00000003-C25A-4604-B46C-0276354DCF40}"/>
            </c:ext>
          </c:extLst>
        </c:ser>
        <c:dLbls>
          <c:showLegendKey val="0"/>
          <c:showVal val="0"/>
          <c:showCatName val="0"/>
          <c:showSerName val="0"/>
          <c:showPercent val="0"/>
          <c:showBubbleSize val="0"/>
        </c:dLbls>
        <c:gapWidth val="20"/>
        <c:overlap val="100"/>
        <c:axId val="742061672"/>
        <c:axId val="742064416"/>
      </c:barChart>
      <c:catAx>
        <c:axId val="742061672"/>
        <c:scaling>
          <c:orientation val="minMax"/>
        </c:scaling>
        <c:delete val="0"/>
        <c:axPos val="b"/>
        <c:numFmt formatCode="General" sourceLinked="1"/>
        <c:majorTickMark val="out"/>
        <c:minorTickMark val="none"/>
        <c:tickLblPos val="nextTo"/>
        <c:spPr>
          <a:ln w="3175"/>
        </c:spPr>
        <c:txPr>
          <a:bodyPr rot="-5400000" vert="horz"/>
          <a:lstStyle/>
          <a:p>
            <a:pPr>
              <a:defRPr/>
            </a:pPr>
            <a:endParaRPr lang="lv-LV"/>
          </a:p>
        </c:txPr>
        <c:crossAx val="742064416"/>
        <c:crosses val="autoZero"/>
        <c:auto val="1"/>
        <c:lblAlgn val="ctr"/>
        <c:lblOffset val="100"/>
        <c:noMultiLvlLbl val="0"/>
      </c:catAx>
      <c:valAx>
        <c:axId val="742064416"/>
        <c:scaling>
          <c:orientation val="minMax"/>
        </c:scaling>
        <c:delete val="0"/>
        <c:axPos val="l"/>
        <c:numFmt formatCode="0%" sourceLinked="1"/>
        <c:majorTickMark val="out"/>
        <c:minorTickMark val="none"/>
        <c:tickLblPos val="nextTo"/>
        <c:spPr>
          <a:ln w="3175">
            <a:noFill/>
          </a:ln>
        </c:spPr>
        <c:txPr>
          <a:bodyPr rot="0" vert="horz"/>
          <a:lstStyle/>
          <a:p>
            <a:pPr>
              <a:defRPr/>
            </a:pPr>
            <a:endParaRPr lang="lv-LV"/>
          </a:p>
        </c:txPr>
        <c:crossAx val="742061672"/>
        <c:crosses val="autoZero"/>
        <c:crossBetween val="between"/>
        <c:majorUnit val="0.2"/>
      </c:valAx>
    </c:plotArea>
    <c:legend>
      <c:legendPos val="r"/>
      <c:layout>
        <c:manualLayout>
          <c:xMode val="edge"/>
          <c:yMode val="edge"/>
          <c:x val="0.81737527020809275"/>
          <c:y val="4.7480245504448688E-2"/>
          <c:w val="0.17804564671973885"/>
          <c:h val="0.9300441972833370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35202389117016375"/>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(Sheet1!$B$1,Sheet1!$I$1,Sheet1!$Q$1)</c:f>
              <c:numCache>
                <c:formatCode>General</c:formatCode>
                <c:ptCount val="3"/>
                <c:pt idx="0">
                  <c:v>2008</c:v>
                </c:pt>
                <c:pt idx="1">
                  <c:v>2015</c:v>
                </c:pt>
                <c:pt idx="2">
                  <c:v>2023</c:v>
                </c:pt>
              </c:numCache>
            </c:numRef>
          </c:cat>
          <c:val>
            <c:numRef>
              <c:f>(Sheet1!$B$2,Sheet1!$I$2,Sheet1!$Q$2)</c:f>
              <c:numCache>
                <c:formatCode>0</c:formatCode>
                <c:ptCount val="3"/>
                <c:pt idx="0">
                  <c:v>47608.893790000002</c:v>
                </c:pt>
                <c:pt idx="1">
                  <c:v>46715.290000000008</c:v>
                </c:pt>
                <c:pt idx="2">
                  <c:v>46420</c:v>
                </c:pt>
              </c:numCache>
            </c:numRef>
          </c:val>
          <c:extLst>
            <c:ext xmlns:c16="http://schemas.microsoft.com/office/drawing/2014/chart" uri="{C3380CC4-5D6E-409C-BE32-E72D297353CC}">
              <c16:uniqueId val="{00000000-0771-49A3-9495-0755EFB6C63B}"/>
            </c:ext>
          </c:extLst>
        </c:ser>
        <c:ser>
          <c:idx val="1"/>
          <c:order val="1"/>
          <c:tx>
            <c:strRef>
              <c:f>Sheet1!$A$3</c:f>
              <c:strCache>
                <c:ptCount val="1"/>
                <c:pt idx="0">
                  <c:v>Humanitārās zinātnes</c:v>
                </c:pt>
              </c:strCache>
            </c:strRef>
          </c:tx>
          <c:invertIfNegative val="0"/>
          <c:cat>
            <c:numRef>
              <c:f>(Sheet1!$B$1,Sheet1!$I$1,Sheet1!$Q$1)</c:f>
              <c:numCache>
                <c:formatCode>General</c:formatCode>
                <c:ptCount val="3"/>
                <c:pt idx="0">
                  <c:v>2008</c:v>
                </c:pt>
                <c:pt idx="1">
                  <c:v>2015</c:v>
                </c:pt>
                <c:pt idx="2">
                  <c:v>2023</c:v>
                </c:pt>
              </c:numCache>
            </c:numRef>
          </c:cat>
          <c:val>
            <c:numRef>
              <c:f>(Sheet1!$B$3,Sheet1!$I$3,Sheet1!$Q$3)</c:f>
              <c:numCache>
                <c:formatCode>0</c:formatCode>
                <c:ptCount val="3"/>
                <c:pt idx="0">
                  <c:v>20491.25056</c:v>
                </c:pt>
                <c:pt idx="1">
                  <c:v>17122.060000000001</c:v>
                </c:pt>
                <c:pt idx="2">
                  <c:v>25714</c:v>
                </c:pt>
              </c:numCache>
            </c:numRef>
          </c:val>
          <c:extLst>
            <c:ext xmlns:c16="http://schemas.microsoft.com/office/drawing/2014/chart" uri="{C3380CC4-5D6E-409C-BE32-E72D297353CC}">
              <c16:uniqueId val="{00000001-0771-49A3-9495-0755EFB6C63B}"/>
            </c:ext>
          </c:extLst>
        </c:ser>
        <c:ser>
          <c:idx val="2"/>
          <c:order val="2"/>
          <c:tx>
            <c:strRef>
              <c:f>Sheet1!$A$4</c:f>
              <c:strCache>
                <c:ptCount val="1"/>
                <c:pt idx="0">
                  <c:v>Sociālās zinātnes</c:v>
                </c:pt>
              </c:strCache>
            </c:strRef>
          </c:tx>
          <c:invertIfNegative val="0"/>
          <c:cat>
            <c:numRef>
              <c:f>(Sheet1!$B$1,Sheet1!$I$1,Sheet1!$Q$1)</c:f>
              <c:numCache>
                <c:formatCode>General</c:formatCode>
                <c:ptCount val="3"/>
                <c:pt idx="0">
                  <c:v>2008</c:v>
                </c:pt>
                <c:pt idx="1">
                  <c:v>2015</c:v>
                </c:pt>
                <c:pt idx="2">
                  <c:v>2023</c:v>
                </c:pt>
              </c:numCache>
            </c:numRef>
          </c:cat>
          <c:val>
            <c:numRef>
              <c:f>(Sheet1!$B$4,Sheet1!$I$4,Sheet1!$Q$4)</c:f>
              <c:numCache>
                <c:formatCode>0</c:formatCode>
                <c:ptCount val="3"/>
                <c:pt idx="0">
                  <c:v>104186.07766999998</c:v>
                </c:pt>
                <c:pt idx="1">
                  <c:v>148349.77000000002</c:v>
                </c:pt>
                <c:pt idx="2">
                  <c:v>150632</c:v>
                </c:pt>
              </c:numCache>
            </c:numRef>
          </c:val>
          <c:extLst>
            <c:ext xmlns:c16="http://schemas.microsoft.com/office/drawing/2014/chart" uri="{C3380CC4-5D6E-409C-BE32-E72D297353CC}">
              <c16:uniqueId val="{00000002-0771-49A3-9495-0755EFB6C63B}"/>
            </c:ext>
          </c:extLst>
        </c:ser>
        <c:ser>
          <c:idx val="3"/>
          <c:order val="3"/>
          <c:tx>
            <c:strRef>
              <c:f>Sheet1!$A$5</c:f>
              <c:strCache>
                <c:ptCount val="1"/>
                <c:pt idx="0">
                  <c:v>Dabas zinātnes, matemātika</c:v>
                </c:pt>
              </c:strCache>
            </c:strRef>
          </c:tx>
          <c:invertIfNegative val="0"/>
          <c:cat>
            <c:numRef>
              <c:f>(Sheet1!$B$1,Sheet1!$I$1,Sheet1!$Q$1)</c:f>
              <c:numCache>
                <c:formatCode>General</c:formatCode>
                <c:ptCount val="3"/>
                <c:pt idx="0">
                  <c:v>2008</c:v>
                </c:pt>
                <c:pt idx="1">
                  <c:v>2015</c:v>
                </c:pt>
                <c:pt idx="2">
                  <c:v>2023</c:v>
                </c:pt>
              </c:numCache>
            </c:numRef>
          </c:cat>
          <c:val>
            <c:numRef>
              <c:f>(Sheet1!$B$5,Sheet1!$I$5,Sheet1!$Q$5)</c:f>
              <c:numCache>
                <c:formatCode>0</c:formatCode>
                <c:ptCount val="3"/>
                <c:pt idx="0">
                  <c:v>17229.941220000001</c:v>
                </c:pt>
                <c:pt idx="1">
                  <c:v>20618.010000000002</c:v>
                </c:pt>
                <c:pt idx="2">
                  <c:v>28425</c:v>
                </c:pt>
              </c:numCache>
            </c:numRef>
          </c:val>
          <c:extLst>
            <c:ext xmlns:c16="http://schemas.microsoft.com/office/drawing/2014/chart" uri="{C3380CC4-5D6E-409C-BE32-E72D297353CC}">
              <c16:uniqueId val="{00000003-0771-49A3-9495-0755EFB6C63B}"/>
            </c:ext>
          </c:extLst>
        </c:ser>
        <c:ser>
          <c:idx val="4"/>
          <c:order val="4"/>
          <c:tx>
            <c:strRef>
              <c:f>Sheet1!$A$6</c:f>
              <c:strCache>
                <c:ptCount val="1"/>
                <c:pt idx="0">
                  <c:v>Inženierzinātnes</c:v>
                </c:pt>
              </c:strCache>
            </c:strRef>
          </c:tx>
          <c:invertIfNegative val="0"/>
          <c:cat>
            <c:numRef>
              <c:f>(Sheet1!$B$1,Sheet1!$I$1,Sheet1!$Q$1)</c:f>
              <c:numCache>
                <c:formatCode>General</c:formatCode>
                <c:ptCount val="3"/>
                <c:pt idx="0">
                  <c:v>2008</c:v>
                </c:pt>
                <c:pt idx="1">
                  <c:v>2015</c:v>
                </c:pt>
                <c:pt idx="2">
                  <c:v>2023</c:v>
                </c:pt>
              </c:numCache>
            </c:numRef>
          </c:cat>
          <c:val>
            <c:numRef>
              <c:f>(Sheet1!$B$6,Sheet1!$I$6,Sheet1!$Q$6)</c:f>
              <c:numCache>
                <c:formatCode>0</c:formatCode>
                <c:ptCount val="3"/>
                <c:pt idx="0">
                  <c:v>65941.271389999994</c:v>
                </c:pt>
                <c:pt idx="1">
                  <c:v>49021.02</c:v>
                </c:pt>
                <c:pt idx="2">
                  <c:v>53072</c:v>
                </c:pt>
              </c:numCache>
            </c:numRef>
          </c:val>
          <c:extLst>
            <c:ext xmlns:c16="http://schemas.microsoft.com/office/drawing/2014/chart" uri="{C3380CC4-5D6E-409C-BE32-E72D297353CC}">
              <c16:uniqueId val="{00000004-0771-49A3-9495-0755EFB6C63B}"/>
            </c:ext>
          </c:extLst>
        </c:ser>
        <c:ser>
          <c:idx val="5"/>
          <c:order val="5"/>
          <c:tx>
            <c:strRef>
              <c:f>Sheet1!$A$7</c:f>
              <c:strCache>
                <c:ptCount val="1"/>
                <c:pt idx="0">
                  <c:v>Lauksaimniecība</c:v>
                </c:pt>
              </c:strCache>
            </c:strRef>
          </c:tx>
          <c:invertIfNegative val="0"/>
          <c:cat>
            <c:numRef>
              <c:f>(Sheet1!$B$1,Sheet1!$I$1,Sheet1!$Q$1)</c:f>
              <c:numCache>
                <c:formatCode>General</c:formatCode>
                <c:ptCount val="3"/>
                <c:pt idx="0">
                  <c:v>2008</c:v>
                </c:pt>
                <c:pt idx="1">
                  <c:v>2015</c:v>
                </c:pt>
                <c:pt idx="2">
                  <c:v>2023</c:v>
                </c:pt>
              </c:numCache>
            </c:numRef>
          </c:cat>
          <c:val>
            <c:numRef>
              <c:f>(Sheet1!$B$7,Sheet1!$I$7,Sheet1!$Q$7)</c:f>
              <c:numCache>
                <c:formatCode>0</c:formatCode>
                <c:ptCount val="3"/>
                <c:pt idx="0">
                  <c:v>11277.161829999997</c:v>
                </c:pt>
                <c:pt idx="1">
                  <c:v>8728.8600000000024</c:v>
                </c:pt>
                <c:pt idx="2">
                  <c:v>6113</c:v>
                </c:pt>
              </c:numCache>
            </c:numRef>
          </c:val>
          <c:extLst>
            <c:ext xmlns:c16="http://schemas.microsoft.com/office/drawing/2014/chart" uri="{C3380CC4-5D6E-409C-BE32-E72D297353CC}">
              <c16:uniqueId val="{00000005-0771-49A3-9495-0755EFB6C63B}"/>
            </c:ext>
          </c:extLst>
        </c:ser>
        <c:ser>
          <c:idx val="6"/>
          <c:order val="6"/>
          <c:tx>
            <c:strRef>
              <c:f>Sheet1!$A$8</c:f>
              <c:strCache>
                <c:ptCount val="1"/>
                <c:pt idx="0">
                  <c:v>Veselības aprūpe</c:v>
                </c:pt>
              </c:strCache>
            </c:strRef>
          </c:tx>
          <c:invertIfNegative val="0"/>
          <c:cat>
            <c:numRef>
              <c:f>(Sheet1!$B$1,Sheet1!$I$1,Sheet1!$Q$1)</c:f>
              <c:numCache>
                <c:formatCode>General</c:formatCode>
                <c:ptCount val="3"/>
                <c:pt idx="0">
                  <c:v>2008</c:v>
                </c:pt>
                <c:pt idx="1">
                  <c:v>2015</c:v>
                </c:pt>
                <c:pt idx="2">
                  <c:v>2023</c:v>
                </c:pt>
              </c:numCache>
            </c:numRef>
          </c:cat>
          <c:val>
            <c:numRef>
              <c:f>(Sheet1!$B$8,Sheet1!$I$8,Sheet1!$Q$8)</c:f>
              <c:numCache>
                <c:formatCode>0</c:formatCode>
                <c:ptCount val="3"/>
                <c:pt idx="0">
                  <c:v>17941.423999999995</c:v>
                </c:pt>
                <c:pt idx="1">
                  <c:v>25516.680000000004</c:v>
                </c:pt>
                <c:pt idx="2">
                  <c:v>37453</c:v>
                </c:pt>
              </c:numCache>
            </c:numRef>
          </c:val>
          <c:extLst>
            <c:ext xmlns:c16="http://schemas.microsoft.com/office/drawing/2014/chart" uri="{C3380CC4-5D6E-409C-BE32-E72D297353CC}">
              <c16:uniqueId val="{00000006-0771-49A3-9495-0755EFB6C63B}"/>
            </c:ext>
          </c:extLst>
        </c:ser>
        <c:ser>
          <c:idx val="7"/>
          <c:order val="7"/>
          <c:tx>
            <c:strRef>
              <c:f>Sheet1!$A$9</c:f>
              <c:strCache>
                <c:ptCount val="1"/>
                <c:pt idx="0">
                  <c:v>Pakalpojumi</c:v>
                </c:pt>
              </c:strCache>
            </c:strRef>
          </c:tx>
          <c:invertIfNegative val="0"/>
          <c:cat>
            <c:numRef>
              <c:f>(Sheet1!$B$1,Sheet1!$I$1,Sheet1!$Q$1)</c:f>
              <c:numCache>
                <c:formatCode>General</c:formatCode>
                <c:ptCount val="3"/>
                <c:pt idx="0">
                  <c:v>2008</c:v>
                </c:pt>
                <c:pt idx="1">
                  <c:v>2015</c:v>
                </c:pt>
                <c:pt idx="2">
                  <c:v>2023</c:v>
                </c:pt>
              </c:numCache>
            </c:numRef>
          </c:cat>
          <c:val>
            <c:numRef>
              <c:f>(Sheet1!$B$9,Sheet1!$I$9,Sheet1!$Q$9)</c:f>
              <c:numCache>
                <c:formatCode>0</c:formatCode>
                <c:ptCount val="3"/>
                <c:pt idx="0">
                  <c:v>9360.6910500000013</c:v>
                </c:pt>
                <c:pt idx="1">
                  <c:v>13543.99</c:v>
                </c:pt>
                <c:pt idx="2">
                  <c:v>23871</c:v>
                </c:pt>
              </c:numCache>
            </c:numRef>
          </c:val>
          <c:extLst>
            <c:ext xmlns:c16="http://schemas.microsoft.com/office/drawing/2014/chart" uri="{C3380CC4-5D6E-409C-BE32-E72D297353CC}">
              <c16:uniqueId val="{00000007-0771-49A3-9495-0755EFB6C63B}"/>
            </c:ext>
          </c:extLst>
        </c:ser>
        <c:ser>
          <c:idx val="8"/>
          <c:order val="8"/>
          <c:tx>
            <c:strRef>
              <c:f>Sheet1!$A$10</c:f>
              <c:strCache>
                <c:ptCount val="1"/>
                <c:pt idx="0">
                  <c:v>Pārējās grupas</c:v>
                </c:pt>
              </c:strCache>
            </c:strRef>
          </c:tx>
          <c:invertIfNegative val="0"/>
          <c:cat>
            <c:numRef>
              <c:f>(Sheet1!$B$1,Sheet1!$I$1,Sheet1!$Q$1)</c:f>
              <c:numCache>
                <c:formatCode>General</c:formatCode>
                <c:ptCount val="3"/>
                <c:pt idx="0">
                  <c:v>2008</c:v>
                </c:pt>
                <c:pt idx="1">
                  <c:v>2015</c:v>
                </c:pt>
                <c:pt idx="2">
                  <c:v>2023</c:v>
                </c:pt>
              </c:numCache>
            </c:numRef>
          </c:cat>
          <c:val>
            <c:numRef>
              <c:f>(Sheet1!$B$10,Sheet1!$I$10,Sheet1!$Q$10)</c:f>
              <c:numCache>
                <c:formatCode>0</c:formatCode>
                <c:ptCount val="3"/>
                <c:pt idx="0">
                  <c:v>280.25945999999999</c:v>
                </c:pt>
                <c:pt idx="1">
                  <c:v>1593.58</c:v>
                </c:pt>
                <c:pt idx="2">
                  <c:v>8188</c:v>
                </c:pt>
              </c:numCache>
            </c:numRef>
          </c:val>
          <c:extLst>
            <c:ext xmlns:c16="http://schemas.microsoft.com/office/drawing/2014/chart" uri="{C3380CC4-5D6E-409C-BE32-E72D297353CC}">
              <c16:uniqueId val="{00000008-0771-49A3-9495-0755EFB6C63B}"/>
            </c:ext>
          </c:extLst>
        </c:ser>
        <c:dLbls>
          <c:showLegendKey val="0"/>
          <c:showVal val="0"/>
          <c:showCatName val="0"/>
          <c:showSerName val="0"/>
          <c:showPercent val="0"/>
          <c:showBubbleSize val="0"/>
        </c:dLbls>
        <c:gapWidth val="40"/>
        <c:overlap val="100"/>
        <c:axId val="742071080"/>
        <c:axId val="742063632"/>
      </c:barChart>
      <c:catAx>
        <c:axId val="742071080"/>
        <c:scaling>
          <c:orientation val="minMax"/>
        </c:scaling>
        <c:delete val="0"/>
        <c:axPos val="b"/>
        <c:numFmt formatCode="General" sourceLinked="1"/>
        <c:majorTickMark val="out"/>
        <c:minorTickMark val="none"/>
        <c:tickLblPos val="nextTo"/>
        <c:spPr>
          <a:ln w="3175"/>
        </c:spPr>
        <c:txPr>
          <a:bodyPr rot="0" vert="horz"/>
          <a:lstStyle/>
          <a:p>
            <a:pPr>
              <a:defRPr/>
            </a:pPr>
            <a:endParaRPr lang="lv-LV"/>
          </a:p>
        </c:txPr>
        <c:crossAx val="742063632"/>
        <c:crosses val="autoZero"/>
        <c:auto val="1"/>
        <c:lblAlgn val="ctr"/>
        <c:lblOffset val="100"/>
        <c:noMultiLvlLbl val="0"/>
      </c:catAx>
      <c:valAx>
        <c:axId val="742063632"/>
        <c:scaling>
          <c:orientation val="minMax"/>
        </c:scaling>
        <c:delete val="0"/>
        <c:axPos val="l"/>
        <c:numFmt formatCode="0%" sourceLinked="1"/>
        <c:majorTickMark val="out"/>
        <c:minorTickMark val="none"/>
        <c:tickLblPos val="nextTo"/>
        <c:spPr>
          <a:noFill/>
          <a:ln w="3175">
            <a:noFill/>
          </a:ln>
        </c:spPr>
        <c:txPr>
          <a:bodyPr rot="0" vert="horz"/>
          <a:lstStyle/>
          <a:p>
            <a:pPr>
              <a:defRPr/>
            </a:pPr>
            <a:endParaRPr lang="lv-LV"/>
          </a:p>
        </c:txPr>
        <c:crossAx val="742071080"/>
        <c:crosses val="autoZero"/>
        <c:crossBetween val="between"/>
        <c:majorUnit val="0.2"/>
      </c:valAx>
    </c:plotArea>
    <c:legend>
      <c:legendPos val="r"/>
      <c:layout>
        <c:manualLayout>
          <c:xMode val="edge"/>
          <c:yMode val="edge"/>
          <c:x val="0.49033918169269636"/>
          <c:y val="2.4582394710217236E-2"/>
          <c:w val="0.4784151264443654"/>
          <c:h val="0.9345694990125645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36923108977419716"/>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(Sheet1!$B$1:$I$1,Sheet1!$Q$1)</c:f>
              <c:numCache>
                <c:formatCode>General</c:formatCode>
                <c:ptCount val="3"/>
                <c:pt idx="0">
                  <c:v>2008</c:v>
                </c:pt>
                <c:pt idx="1">
                  <c:v>2015</c:v>
                </c:pt>
                <c:pt idx="2">
                  <c:v>2023</c:v>
                </c:pt>
              </c:numCache>
            </c:numRef>
          </c:cat>
          <c:val>
            <c:numRef>
              <c:f>(Sheet1!$B$2:$I$2,Sheet1!$Q$2)</c:f>
              <c:numCache>
                <c:formatCode>0</c:formatCode>
                <c:ptCount val="3"/>
                <c:pt idx="0">
                  <c:v>7245.0423300000002</c:v>
                </c:pt>
                <c:pt idx="1">
                  <c:v>5028.9799999999996</c:v>
                </c:pt>
                <c:pt idx="2" formatCode="#,##0">
                  <c:v>2530</c:v>
                </c:pt>
              </c:numCache>
            </c:numRef>
          </c:val>
          <c:extLst>
            <c:ext xmlns:c16="http://schemas.microsoft.com/office/drawing/2014/chart" uri="{C3380CC4-5D6E-409C-BE32-E72D297353CC}">
              <c16:uniqueId val="{00000000-8C7A-4589-9D94-50D024D21F08}"/>
            </c:ext>
          </c:extLst>
        </c:ser>
        <c:ser>
          <c:idx val="1"/>
          <c:order val="1"/>
          <c:tx>
            <c:strRef>
              <c:f>Sheet1!$A$3</c:f>
              <c:strCache>
                <c:ptCount val="1"/>
                <c:pt idx="0">
                  <c:v>Humanitārās zinātnes</c:v>
                </c:pt>
              </c:strCache>
            </c:strRef>
          </c:tx>
          <c:invertIfNegative val="0"/>
          <c:cat>
            <c:numRef>
              <c:f>(Sheet1!$B$1:$I$1,Sheet1!$Q$1)</c:f>
              <c:numCache>
                <c:formatCode>General</c:formatCode>
                <c:ptCount val="3"/>
                <c:pt idx="0">
                  <c:v>2008</c:v>
                </c:pt>
                <c:pt idx="1">
                  <c:v>2015</c:v>
                </c:pt>
                <c:pt idx="2">
                  <c:v>2023</c:v>
                </c:pt>
              </c:numCache>
            </c:numRef>
          </c:cat>
          <c:val>
            <c:numRef>
              <c:f>(Sheet1!$B$3:$I$3,Sheet1!$Q$3)</c:f>
              <c:numCache>
                <c:formatCode>0</c:formatCode>
                <c:ptCount val="3"/>
                <c:pt idx="0">
                  <c:v>12828.938230000002</c:v>
                </c:pt>
                <c:pt idx="1">
                  <c:v>8779.3599999999988</c:v>
                </c:pt>
                <c:pt idx="2" formatCode="#,##0">
                  <c:v>10576</c:v>
                </c:pt>
              </c:numCache>
            </c:numRef>
          </c:val>
          <c:extLst>
            <c:ext xmlns:c16="http://schemas.microsoft.com/office/drawing/2014/chart" uri="{C3380CC4-5D6E-409C-BE32-E72D297353CC}">
              <c16:uniqueId val="{00000001-8C7A-4589-9D94-50D024D21F08}"/>
            </c:ext>
          </c:extLst>
        </c:ser>
        <c:ser>
          <c:idx val="2"/>
          <c:order val="2"/>
          <c:tx>
            <c:strRef>
              <c:f>Sheet1!$A$4</c:f>
              <c:strCache>
                <c:ptCount val="1"/>
                <c:pt idx="0">
                  <c:v>Sociālās zinātnes</c:v>
                </c:pt>
              </c:strCache>
            </c:strRef>
          </c:tx>
          <c:invertIfNegative val="0"/>
          <c:cat>
            <c:numRef>
              <c:f>(Sheet1!$B$1:$I$1,Sheet1!$Q$1)</c:f>
              <c:numCache>
                <c:formatCode>General</c:formatCode>
                <c:ptCount val="3"/>
                <c:pt idx="0">
                  <c:v>2008</c:v>
                </c:pt>
                <c:pt idx="1">
                  <c:v>2015</c:v>
                </c:pt>
                <c:pt idx="2">
                  <c:v>2023</c:v>
                </c:pt>
              </c:numCache>
            </c:numRef>
          </c:cat>
          <c:val>
            <c:numRef>
              <c:f>(Sheet1!$B$4:$I$4,Sheet1!$Q$4)</c:f>
              <c:numCache>
                <c:formatCode>0</c:formatCode>
                <c:ptCount val="3"/>
                <c:pt idx="0">
                  <c:v>46421.810759999993</c:v>
                </c:pt>
                <c:pt idx="1">
                  <c:v>36526.840000000004</c:v>
                </c:pt>
                <c:pt idx="2" formatCode="#,##0">
                  <c:v>24128</c:v>
                </c:pt>
              </c:numCache>
            </c:numRef>
          </c:val>
          <c:extLst>
            <c:ext xmlns:c16="http://schemas.microsoft.com/office/drawing/2014/chart" uri="{C3380CC4-5D6E-409C-BE32-E72D297353CC}">
              <c16:uniqueId val="{00000002-8C7A-4589-9D94-50D024D21F08}"/>
            </c:ext>
          </c:extLst>
        </c:ser>
        <c:ser>
          <c:idx val="3"/>
          <c:order val="3"/>
          <c:tx>
            <c:strRef>
              <c:f>Sheet1!$A$5</c:f>
              <c:strCache>
                <c:ptCount val="1"/>
                <c:pt idx="0">
                  <c:v>Dabas zinātnes, matemātika</c:v>
                </c:pt>
              </c:strCache>
            </c:strRef>
          </c:tx>
          <c:invertIfNegative val="0"/>
          <c:cat>
            <c:numRef>
              <c:f>(Sheet1!$B$1:$I$1,Sheet1!$Q$1)</c:f>
              <c:numCache>
                <c:formatCode>General</c:formatCode>
                <c:ptCount val="3"/>
                <c:pt idx="0">
                  <c:v>2008</c:v>
                </c:pt>
                <c:pt idx="1">
                  <c:v>2015</c:v>
                </c:pt>
                <c:pt idx="2">
                  <c:v>2023</c:v>
                </c:pt>
              </c:numCache>
            </c:numRef>
          </c:cat>
          <c:val>
            <c:numRef>
              <c:f>(Sheet1!$B$5:$I$5,Sheet1!$Q$5)</c:f>
              <c:numCache>
                <c:formatCode>0</c:formatCode>
                <c:ptCount val="3"/>
                <c:pt idx="0">
                  <c:v>6955.4266200000002</c:v>
                </c:pt>
                <c:pt idx="1">
                  <c:v>6539.1</c:v>
                </c:pt>
                <c:pt idx="2" formatCode="#,##0">
                  <c:v>7368</c:v>
                </c:pt>
              </c:numCache>
            </c:numRef>
          </c:val>
          <c:extLst>
            <c:ext xmlns:c16="http://schemas.microsoft.com/office/drawing/2014/chart" uri="{C3380CC4-5D6E-409C-BE32-E72D297353CC}">
              <c16:uniqueId val="{00000003-8C7A-4589-9D94-50D024D21F08}"/>
            </c:ext>
          </c:extLst>
        </c:ser>
        <c:ser>
          <c:idx val="4"/>
          <c:order val="4"/>
          <c:tx>
            <c:strRef>
              <c:f>Sheet1!$A$6</c:f>
              <c:strCache>
                <c:ptCount val="1"/>
                <c:pt idx="0">
                  <c:v>Inženierzinātnes</c:v>
                </c:pt>
              </c:strCache>
            </c:strRef>
          </c:tx>
          <c:invertIfNegative val="0"/>
          <c:cat>
            <c:numRef>
              <c:f>(Sheet1!$B$1:$I$1,Sheet1!$Q$1)</c:f>
              <c:numCache>
                <c:formatCode>General</c:formatCode>
                <c:ptCount val="3"/>
                <c:pt idx="0">
                  <c:v>2008</c:v>
                </c:pt>
                <c:pt idx="1">
                  <c:v>2015</c:v>
                </c:pt>
                <c:pt idx="2">
                  <c:v>2023</c:v>
                </c:pt>
              </c:numCache>
            </c:numRef>
          </c:cat>
          <c:val>
            <c:numRef>
              <c:f>(Sheet1!$B$6:$I$6,Sheet1!$Q$6)</c:f>
              <c:numCache>
                <c:formatCode>0</c:formatCode>
                <c:ptCount val="3"/>
                <c:pt idx="0">
                  <c:v>226025.69081000003</c:v>
                </c:pt>
                <c:pt idx="1">
                  <c:v>199753.64999999991</c:v>
                </c:pt>
                <c:pt idx="2" formatCode="#,##0">
                  <c:v>130819</c:v>
                </c:pt>
              </c:numCache>
            </c:numRef>
          </c:val>
          <c:extLst>
            <c:ext xmlns:c16="http://schemas.microsoft.com/office/drawing/2014/chart" uri="{C3380CC4-5D6E-409C-BE32-E72D297353CC}">
              <c16:uniqueId val="{00000004-8C7A-4589-9D94-50D024D21F08}"/>
            </c:ext>
          </c:extLst>
        </c:ser>
        <c:ser>
          <c:idx val="5"/>
          <c:order val="5"/>
          <c:tx>
            <c:strRef>
              <c:f>Sheet1!$A$7</c:f>
              <c:strCache>
                <c:ptCount val="1"/>
                <c:pt idx="0">
                  <c:v>Lauksaimniecība</c:v>
                </c:pt>
              </c:strCache>
            </c:strRef>
          </c:tx>
          <c:invertIfNegative val="0"/>
          <c:cat>
            <c:numRef>
              <c:f>(Sheet1!$B$1:$I$1,Sheet1!$Q$1)</c:f>
              <c:numCache>
                <c:formatCode>General</c:formatCode>
                <c:ptCount val="3"/>
                <c:pt idx="0">
                  <c:v>2008</c:v>
                </c:pt>
                <c:pt idx="1">
                  <c:v>2015</c:v>
                </c:pt>
                <c:pt idx="2">
                  <c:v>2023</c:v>
                </c:pt>
              </c:numCache>
            </c:numRef>
          </c:cat>
          <c:val>
            <c:numRef>
              <c:f>(Sheet1!$B$7:$I$7,Sheet1!$Q$7)</c:f>
              <c:numCache>
                <c:formatCode>0</c:formatCode>
                <c:ptCount val="3"/>
                <c:pt idx="0">
                  <c:v>24593.317440000006</c:v>
                </c:pt>
                <c:pt idx="1">
                  <c:v>21043.949999999997</c:v>
                </c:pt>
                <c:pt idx="2" formatCode="#,##0">
                  <c:v>11506</c:v>
                </c:pt>
              </c:numCache>
            </c:numRef>
          </c:val>
          <c:extLst>
            <c:ext xmlns:c16="http://schemas.microsoft.com/office/drawing/2014/chart" uri="{C3380CC4-5D6E-409C-BE32-E72D297353CC}">
              <c16:uniqueId val="{00000005-8C7A-4589-9D94-50D024D21F08}"/>
            </c:ext>
          </c:extLst>
        </c:ser>
        <c:ser>
          <c:idx val="6"/>
          <c:order val="6"/>
          <c:tx>
            <c:strRef>
              <c:f>Sheet1!$A$8</c:f>
              <c:strCache>
                <c:ptCount val="1"/>
                <c:pt idx="0">
                  <c:v>Veselības aprūpe</c:v>
                </c:pt>
              </c:strCache>
            </c:strRef>
          </c:tx>
          <c:invertIfNegative val="0"/>
          <c:cat>
            <c:numRef>
              <c:f>(Sheet1!$B$1:$I$1,Sheet1!$Q$1)</c:f>
              <c:numCache>
                <c:formatCode>General</c:formatCode>
                <c:ptCount val="3"/>
                <c:pt idx="0">
                  <c:v>2008</c:v>
                </c:pt>
                <c:pt idx="1">
                  <c:v>2015</c:v>
                </c:pt>
                <c:pt idx="2">
                  <c:v>2023</c:v>
                </c:pt>
              </c:numCache>
            </c:numRef>
          </c:cat>
          <c:val>
            <c:numRef>
              <c:f>(Sheet1!$B$8:$I$8,Sheet1!$Q$8)</c:f>
              <c:numCache>
                <c:formatCode>0</c:formatCode>
                <c:ptCount val="3"/>
                <c:pt idx="0">
                  <c:v>28034.067350000005</c:v>
                </c:pt>
                <c:pt idx="1">
                  <c:v>15660.489999999987</c:v>
                </c:pt>
                <c:pt idx="2" formatCode="#,##0">
                  <c:v>11950</c:v>
                </c:pt>
              </c:numCache>
            </c:numRef>
          </c:val>
          <c:extLst>
            <c:ext xmlns:c16="http://schemas.microsoft.com/office/drawing/2014/chart" uri="{C3380CC4-5D6E-409C-BE32-E72D297353CC}">
              <c16:uniqueId val="{00000006-8C7A-4589-9D94-50D024D21F08}"/>
            </c:ext>
          </c:extLst>
        </c:ser>
        <c:ser>
          <c:idx val="7"/>
          <c:order val="7"/>
          <c:tx>
            <c:strRef>
              <c:f>Sheet1!$A$9</c:f>
              <c:strCache>
                <c:ptCount val="1"/>
                <c:pt idx="0">
                  <c:v>Pakalpojumi</c:v>
                </c:pt>
              </c:strCache>
            </c:strRef>
          </c:tx>
          <c:invertIfNegative val="0"/>
          <c:cat>
            <c:numRef>
              <c:f>(Sheet1!$B$1:$I$1,Sheet1!$Q$1)</c:f>
              <c:numCache>
                <c:formatCode>General</c:formatCode>
                <c:ptCount val="3"/>
                <c:pt idx="0">
                  <c:v>2008</c:v>
                </c:pt>
                <c:pt idx="1">
                  <c:v>2015</c:v>
                </c:pt>
                <c:pt idx="2">
                  <c:v>2023</c:v>
                </c:pt>
              </c:numCache>
            </c:numRef>
          </c:cat>
          <c:val>
            <c:numRef>
              <c:f>(Sheet1!$B$9:$I$9,Sheet1!$Q$9)</c:f>
              <c:numCache>
                <c:formatCode>0</c:formatCode>
                <c:ptCount val="3"/>
                <c:pt idx="0">
                  <c:v>34825.01427</c:v>
                </c:pt>
                <c:pt idx="1">
                  <c:v>40277.269999999997</c:v>
                </c:pt>
                <c:pt idx="2" formatCode="#,##0">
                  <c:v>50488</c:v>
                </c:pt>
              </c:numCache>
            </c:numRef>
          </c:val>
          <c:extLst>
            <c:ext xmlns:c16="http://schemas.microsoft.com/office/drawing/2014/chart" uri="{C3380CC4-5D6E-409C-BE32-E72D297353CC}">
              <c16:uniqueId val="{00000007-8C7A-4589-9D94-50D024D21F08}"/>
            </c:ext>
          </c:extLst>
        </c:ser>
        <c:ser>
          <c:idx val="9"/>
          <c:order val="8"/>
          <c:tx>
            <c:strRef>
              <c:f>Sheet1!$A$11</c:f>
              <c:strCache>
                <c:ptCount val="1"/>
                <c:pt idx="0">
                  <c:v>Vispārējā izglītība</c:v>
                </c:pt>
              </c:strCache>
            </c:strRef>
          </c:tx>
          <c:invertIfNegative val="0"/>
          <c:cat>
            <c:numRef>
              <c:f>(Sheet1!$B$1:$I$1,Sheet1!$Q$1)</c:f>
              <c:numCache>
                <c:formatCode>General</c:formatCode>
                <c:ptCount val="3"/>
                <c:pt idx="0">
                  <c:v>2008</c:v>
                </c:pt>
                <c:pt idx="1">
                  <c:v>2015</c:v>
                </c:pt>
                <c:pt idx="2">
                  <c:v>2023</c:v>
                </c:pt>
              </c:numCache>
            </c:numRef>
          </c:cat>
          <c:val>
            <c:numRef>
              <c:f>(Sheet1!$B$11:$I$11,Sheet1!$Q$11)</c:f>
              <c:numCache>
                <c:formatCode>0</c:formatCode>
                <c:ptCount val="3"/>
                <c:pt idx="0">
                  <c:v>293300</c:v>
                </c:pt>
                <c:pt idx="1">
                  <c:v>231700</c:v>
                </c:pt>
                <c:pt idx="2" formatCode="#,##0">
                  <c:v>212656</c:v>
                </c:pt>
              </c:numCache>
            </c:numRef>
          </c:val>
          <c:extLst>
            <c:ext xmlns:c16="http://schemas.microsoft.com/office/drawing/2014/chart" uri="{C3380CC4-5D6E-409C-BE32-E72D297353CC}">
              <c16:uniqueId val="{00000008-8C7A-4589-9D94-50D024D21F08}"/>
            </c:ext>
          </c:extLst>
        </c:ser>
        <c:dLbls>
          <c:showLegendKey val="0"/>
          <c:showVal val="0"/>
          <c:showCatName val="0"/>
          <c:showSerName val="0"/>
          <c:showPercent val="0"/>
          <c:showBubbleSize val="0"/>
        </c:dLbls>
        <c:gapWidth val="40"/>
        <c:overlap val="100"/>
        <c:axId val="742069120"/>
        <c:axId val="742066768"/>
      </c:barChart>
      <c:catAx>
        <c:axId val="742069120"/>
        <c:scaling>
          <c:orientation val="minMax"/>
        </c:scaling>
        <c:delete val="0"/>
        <c:axPos val="b"/>
        <c:numFmt formatCode="General" sourceLinked="1"/>
        <c:majorTickMark val="out"/>
        <c:minorTickMark val="none"/>
        <c:tickLblPos val="nextTo"/>
        <c:spPr>
          <a:ln w="3175"/>
        </c:spPr>
        <c:txPr>
          <a:bodyPr rot="0" vert="horz"/>
          <a:lstStyle/>
          <a:p>
            <a:pPr>
              <a:defRPr sz="700"/>
            </a:pPr>
            <a:endParaRPr lang="lv-LV"/>
          </a:p>
        </c:txPr>
        <c:crossAx val="742066768"/>
        <c:crosses val="autoZero"/>
        <c:auto val="1"/>
        <c:lblAlgn val="ctr"/>
        <c:lblOffset val="100"/>
        <c:noMultiLvlLbl val="0"/>
      </c:catAx>
      <c:valAx>
        <c:axId val="742066768"/>
        <c:scaling>
          <c:orientation val="minMax"/>
        </c:scaling>
        <c:delete val="0"/>
        <c:axPos val="l"/>
        <c:numFmt formatCode="0%" sourceLinked="1"/>
        <c:majorTickMark val="out"/>
        <c:minorTickMark val="none"/>
        <c:tickLblPos val="nextTo"/>
        <c:spPr>
          <a:ln w="3175">
            <a:noFill/>
          </a:ln>
        </c:spPr>
        <c:txPr>
          <a:bodyPr rot="0" vert="horz"/>
          <a:lstStyle/>
          <a:p>
            <a:pPr>
              <a:defRPr/>
            </a:pPr>
            <a:endParaRPr lang="lv-LV"/>
          </a:p>
        </c:txPr>
        <c:crossAx val="742069120"/>
        <c:crosses val="autoZero"/>
        <c:crossBetween val="between"/>
        <c:majorUnit val="0.2"/>
      </c:valAx>
    </c:plotArea>
    <c:legend>
      <c:legendPos val="r"/>
      <c:layout>
        <c:manualLayout>
          <c:xMode val="edge"/>
          <c:yMode val="edge"/>
          <c:x val="0.50514094227747441"/>
          <c:y val="5.7574543846529609E-3"/>
          <c:w val="0.42608894946566073"/>
          <c:h val="0.9345694990125645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4.8895494665989331E-2"/>
          <c:y val="1.1883542334985902E-2"/>
          <c:w val="0.90009644081788165"/>
          <c:h val="0.93620444662870328"/>
        </c:manualLayout>
      </c:layout>
      <c:barChart>
        <c:barDir val="bar"/>
        <c:grouping val="clustered"/>
        <c:varyColors val="0"/>
        <c:ser>
          <c:idx val="2"/>
          <c:order val="0"/>
          <c:tx>
            <c:strRef>
              <c:f>Sheet1!$B$1</c:f>
              <c:strCache>
                <c:ptCount val="1"/>
                <c:pt idx="0">
                  <c:v>2021</c:v>
                </c:pt>
              </c:strCache>
            </c:strRef>
          </c:tx>
          <c:spPr>
            <a:solidFill>
              <a:schemeClr val="accent2"/>
            </a:solidFill>
          </c:spPr>
          <c:invertIfNegative val="0"/>
          <c:dLbls>
            <c:dLbl>
              <c:idx val="9"/>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F0-418B-A15F-51A2B4756028}"/>
                </c:ext>
              </c:extLst>
            </c:dLbl>
            <c:dLbl>
              <c:idx val="10"/>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F0-418B-A15F-51A2B4756028}"/>
                </c:ext>
              </c:extLst>
            </c:dLbl>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Sheet1!$A$2:$A$16</c:f>
              <c:numCache>
                <c:formatCode>General</c:formatCode>
                <c:ptCount val="15"/>
              </c:numCache>
            </c:numRef>
          </c:cat>
          <c:val>
            <c:numRef>
              <c:f>Sheet1!$B$2:$B$16</c:f>
              <c:numCache>
                <c:formatCode>0.0</c:formatCode>
                <c:ptCount val="15"/>
                <c:pt idx="0">
                  <c:v>7.5026899559958409</c:v>
                </c:pt>
                <c:pt idx="1">
                  <c:v>8.9737342318156337</c:v>
                </c:pt>
                <c:pt idx="2">
                  <c:v>24.266873527088499</c:v>
                </c:pt>
                <c:pt idx="3">
                  <c:v>25.803137069674491</c:v>
                </c:pt>
                <c:pt idx="4">
                  <c:v>25.91758609234785</c:v>
                </c:pt>
                <c:pt idx="5">
                  <c:v>30.540396879665536</c:v>
                </c:pt>
                <c:pt idx="6">
                  <c:v>32.563511810055665</c:v>
                </c:pt>
                <c:pt idx="7">
                  <c:v>33.429450564207066</c:v>
                </c:pt>
                <c:pt idx="8">
                  <c:v>34.224228897476458</c:v>
                </c:pt>
                <c:pt idx="9">
                  <c:v>36.768398814327938</c:v>
                </c:pt>
                <c:pt idx="10">
                  <c:v>38.282365061094616</c:v>
                </c:pt>
                <c:pt idx="11">
                  <c:v>43.442377887741429</c:v>
                </c:pt>
                <c:pt idx="12">
                  <c:v>45.535849432594674</c:v>
                </c:pt>
                <c:pt idx="13">
                  <c:v>45.995830160510856</c:v>
                </c:pt>
                <c:pt idx="14">
                  <c:v>47.02245077951693</c:v>
                </c:pt>
              </c:numCache>
            </c:numRef>
          </c:val>
          <c:extLst>
            <c:ext xmlns:c16="http://schemas.microsoft.com/office/drawing/2014/chart" uri="{C3380CC4-5D6E-409C-BE32-E72D297353CC}">
              <c16:uniqueId val="{00000002-F1F0-418B-A15F-51A2B4756028}"/>
            </c:ext>
          </c:extLst>
        </c:ser>
        <c:dLbls>
          <c:showLegendKey val="0"/>
          <c:showVal val="0"/>
          <c:showCatName val="0"/>
          <c:showSerName val="0"/>
          <c:showPercent val="0"/>
          <c:showBubbleSize val="0"/>
        </c:dLbls>
        <c:gapWidth val="40"/>
        <c:axId val="742064024"/>
        <c:axId val="742068728"/>
      </c:barChart>
      <c:catAx>
        <c:axId val="742064024"/>
        <c:scaling>
          <c:orientation val="minMax"/>
        </c:scaling>
        <c:delete val="0"/>
        <c:axPos val="l"/>
        <c:numFmt formatCode="General" sourceLinked="1"/>
        <c:majorTickMark val="out"/>
        <c:minorTickMark val="none"/>
        <c:tickLblPos val="nextTo"/>
        <c:txPr>
          <a:bodyPr rot="0" vert="horz"/>
          <a:lstStyle/>
          <a:p>
            <a:pPr>
              <a:defRPr/>
            </a:pPr>
            <a:endParaRPr lang="lv-LV"/>
          </a:p>
        </c:txPr>
        <c:crossAx val="742068728"/>
        <c:crosses val="autoZero"/>
        <c:auto val="1"/>
        <c:lblAlgn val="ctr"/>
        <c:lblOffset val="100"/>
        <c:noMultiLvlLbl val="0"/>
      </c:catAx>
      <c:valAx>
        <c:axId val="742068728"/>
        <c:scaling>
          <c:orientation val="minMax"/>
          <c:max val="55"/>
          <c:min val="0"/>
        </c:scaling>
        <c:delete val="0"/>
        <c:axPos val="b"/>
        <c:numFmt formatCode="0" sourceLinked="0"/>
        <c:majorTickMark val="out"/>
        <c:minorTickMark val="none"/>
        <c:tickLblPos val="nextTo"/>
        <c:spPr>
          <a:ln>
            <a:noFill/>
          </a:ln>
        </c:spPr>
        <c:crossAx val="742064024"/>
        <c:crosses val="autoZero"/>
        <c:crossBetween val="between"/>
        <c:majorUnit val="10"/>
        <c:minorUnit val="3"/>
      </c:valAx>
    </c:plotArea>
    <c:plotVisOnly val="1"/>
    <c:dispBlanksAs val="zero"/>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6.4364517994572698E-2"/>
          <c:y val="8.8196383948258121E-3"/>
          <c:w val="0.85984162996574576"/>
          <c:h val="0.93540598693721277"/>
        </c:manualLayout>
      </c:layout>
      <c:barChart>
        <c:barDir val="bar"/>
        <c:grouping val="clustered"/>
        <c:varyColors val="0"/>
        <c:ser>
          <c:idx val="2"/>
          <c:order val="0"/>
          <c:tx>
            <c:strRef>
              <c:f>Sheet1!$B$1</c:f>
              <c:strCache>
                <c:ptCount val="1"/>
                <c:pt idx="0">
                  <c:v>2022</c:v>
                </c:pt>
              </c:strCache>
            </c:strRef>
          </c:tx>
          <c:spPr>
            <a:solidFill>
              <a:schemeClr val="accent2"/>
            </a:solidFill>
          </c:spPr>
          <c:invertIfNegative val="0"/>
          <c:dLbls>
            <c:dLbl>
              <c:idx val="10"/>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FD-475F-A9A5-1D7C12136163}"/>
                </c:ext>
              </c:extLst>
            </c:dLbl>
            <c:dLbl>
              <c:idx val="11"/>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FD-475F-A9A5-1D7C12136163}"/>
                </c:ext>
              </c:extLst>
            </c:dLbl>
            <c:dLbl>
              <c:idx val="12"/>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FD-475F-A9A5-1D7C12136163}"/>
                </c:ext>
              </c:extLst>
            </c:dLbl>
            <c:dLbl>
              <c:idx val="13"/>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FD-475F-A9A5-1D7C12136163}"/>
                </c:ext>
              </c:extLst>
            </c:dLbl>
            <c:dLbl>
              <c:idx val="14"/>
              <c:layout>
                <c:manualLayout>
                  <c:x val="-0.11545862732520847"/>
                  <c:y val="-2.93987946494193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FD-475F-A9A5-1D7C12136163}"/>
                </c:ext>
              </c:extLst>
            </c:dLbl>
            <c:dLbl>
              <c:idx val="15"/>
              <c:layout>
                <c:manualLayout>
                  <c:x val="-9.214214643952065E-2"/>
                  <c:y val="-2.694858378296162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FD-475F-A9A5-1D7C12136163}"/>
                </c:ext>
              </c:extLst>
            </c:dLbl>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Sheet1!$A$2:$A$20</c:f>
              <c:numCache>
                <c:formatCode>General</c:formatCode>
                <c:ptCount val="19"/>
              </c:numCache>
            </c:numRef>
          </c:cat>
          <c:val>
            <c:numRef>
              <c:f>Sheet1!$B$2:$B$20</c:f>
              <c:numCache>
                <c:formatCode>0.0</c:formatCode>
                <c:ptCount val="19"/>
                <c:pt idx="0">
                  <c:v>17.824206390113428</c:v>
                </c:pt>
                <c:pt idx="1">
                  <c:v>23.114936523263257</c:v>
                </c:pt>
                <c:pt idx="2">
                  <c:v>28.466111993257137</c:v>
                </c:pt>
                <c:pt idx="3">
                  <c:v>30.190991894845322</c:v>
                </c:pt>
                <c:pt idx="4">
                  <c:v>34.719206404261911</c:v>
                </c:pt>
                <c:pt idx="5">
                  <c:v>34.721257874675615</c:v>
                </c:pt>
                <c:pt idx="6">
                  <c:v>34.740384651988812</c:v>
                </c:pt>
                <c:pt idx="7">
                  <c:v>35.529514501338326</c:v>
                </c:pt>
                <c:pt idx="8">
                  <c:v>36.595234186307707</c:v>
                </c:pt>
                <c:pt idx="9">
                  <c:v>38.094423918826621</c:v>
                </c:pt>
                <c:pt idx="10">
                  <c:v>39.72337526412484</c:v>
                </c:pt>
                <c:pt idx="11">
                  <c:v>41.518865767062451</c:v>
                </c:pt>
                <c:pt idx="12">
                  <c:v>44.829251956598277</c:v>
                </c:pt>
                <c:pt idx="13">
                  <c:v>46.430913470082182</c:v>
                </c:pt>
                <c:pt idx="14">
                  <c:v>51.139173112403483</c:v>
                </c:pt>
                <c:pt idx="15">
                  <c:v>51.260881363402646</c:v>
                </c:pt>
                <c:pt idx="16">
                  <c:v>51.91062700187058</c:v>
                </c:pt>
                <c:pt idx="17">
                  <c:v>53.178275481379067</c:v>
                </c:pt>
                <c:pt idx="18">
                  <c:v>55.539824995954802</c:v>
                </c:pt>
              </c:numCache>
            </c:numRef>
          </c:val>
          <c:extLst>
            <c:ext xmlns:c16="http://schemas.microsoft.com/office/drawing/2014/chart" uri="{C3380CC4-5D6E-409C-BE32-E72D297353CC}">
              <c16:uniqueId val="{00000006-EBFD-475F-A9A5-1D7C12136163}"/>
            </c:ext>
          </c:extLst>
        </c:ser>
        <c:dLbls>
          <c:showLegendKey val="0"/>
          <c:showVal val="0"/>
          <c:showCatName val="0"/>
          <c:showSerName val="0"/>
          <c:showPercent val="0"/>
          <c:showBubbleSize val="0"/>
        </c:dLbls>
        <c:gapWidth val="40"/>
        <c:axId val="742069512"/>
        <c:axId val="742069904"/>
      </c:barChart>
      <c:catAx>
        <c:axId val="742069512"/>
        <c:scaling>
          <c:orientation val="minMax"/>
        </c:scaling>
        <c:delete val="0"/>
        <c:axPos val="l"/>
        <c:numFmt formatCode="General" sourceLinked="1"/>
        <c:majorTickMark val="out"/>
        <c:minorTickMark val="none"/>
        <c:tickLblPos val="nextTo"/>
        <c:txPr>
          <a:bodyPr rot="0" vert="horz"/>
          <a:lstStyle/>
          <a:p>
            <a:pPr>
              <a:defRPr/>
            </a:pPr>
            <a:endParaRPr lang="lv-LV"/>
          </a:p>
        </c:txPr>
        <c:crossAx val="742069904"/>
        <c:crosses val="autoZero"/>
        <c:auto val="1"/>
        <c:lblAlgn val="ctr"/>
        <c:lblOffset val="100"/>
        <c:noMultiLvlLbl val="0"/>
      </c:catAx>
      <c:valAx>
        <c:axId val="742069904"/>
        <c:scaling>
          <c:orientation val="minMax"/>
          <c:max val="60"/>
          <c:min val="0"/>
        </c:scaling>
        <c:delete val="0"/>
        <c:axPos val="b"/>
        <c:numFmt formatCode="0" sourceLinked="0"/>
        <c:majorTickMark val="out"/>
        <c:minorTickMark val="none"/>
        <c:tickLblPos val="nextTo"/>
        <c:spPr>
          <a:ln>
            <a:noFill/>
          </a:ln>
        </c:spPr>
        <c:crossAx val="742069512"/>
        <c:crosses val="autoZero"/>
        <c:crossBetween val="between"/>
        <c:majorUnit val="20"/>
        <c:minorUnit val="3"/>
      </c:valAx>
    </c:plotArea>
    <c:plotVisOnly val="1"/>
    <c:dispBlanksAs val="zero"/>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24631507926125E-2"/>
          <c:y val="3.2382323864912382E-2"/>
          <c:w val="0.68202015817482564"/>
          <c:h val="0.84650971113174212"/>
        </c:manualLayout>
      </c:layout>
      <c:lineChart>
        <c:grouping val="standard"/>
        <c:varyColors val="0"/>
        <c:ser>
          <c:idx val="0"/>
          <c:order val="0"/>
          <c:tx>
            <c:strRef>
              <c:f>Sheet1!$E$1</c:f>
              <c:strCache>
                <c:ptCount val="1"/>
                <c:pt idx="0">
                  <c:v>Ar pamata izglītību </c:v>
                </c:pt>
              </c:strCache>
            </c:strRef>
          </c:tx>
          <c:marker>
            <c:symbol val="none"/>
          </c:marker>
          <c:cat>
            <c:numRef>
              <c:f>Sheet1!$A$2:$A$17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Sheet1!$E$2:$E$17</c:f>
              <c:numCache>
                <c:formatCode>0.0</c:formatCode>
                <c:ptCount val="16"/>
                <c:pt idx="0">
                  <c:v>15.448275862068964</c:v>
                </c:pt>
                <c:pt idx="1">
                  <c:v>31.036983321247273</c:v>
                </c:pt>
                <c:pt idx="2">
                  <c:v>32.880203908241299</c:v>
                </c:pt>
                <c:pt idx="3">
                  <c:v>29.217391304347828</c:v>
                </c:pt>
                <c:pt idx="4">
                  <c:v>26.615969581749049</c:v>
                </c:pt>
                <c:pt idx="5">
                  <c:v>25.077399380804955</c:v>
                </c:pt>
                <c:pt idx="6">
                  <c:v>23.948220064724918</c:v>
                </c:pt>
                <c:pt idx="7">
                  <c:v>21.964679911699779</c:v>
                </c:pt>
                <c:pt idx="8">
                  <c:v>20.677570093457945</c:v>
                </c:pt>
                <c:pt idx="9">
                  <c:v>18.794326241134755</c:v>
                </c:pt>
                <c:pt idx="10">
                  <c:v>16.419753086419753</c:v>
                </c:pt>
                <c:pt idx="11">
                  <c:v>13.665389527458494</c:v>
                </c:pt>
                <c:pt idx="12">
                  <c:v>18.356867779204109</c:v>
                </c:pt>
                <c:pt idx="13">
                  <c:v>14.503816793893129</c:v>
                </c:pt>
                <c:pt idx="14">
                  <c:v>14.890510948905108</c:v>
                </c:pt>
                <c:pt idx="15">
                  <c:v>13.225371120107965</c:v>
                </c:pt>
              </c:numCache>
            </c:numRef>
          </c:val>
          <c:smooth val="0"/>
          <c:extLst>
            <c:ext xmlns:c16="http://schemas.microsoft.com/office/drawing/2014/chart" uri="{C3380CC4-5D6E-409C-BE32-E72D297353CC}">
              <c16:uniqueId val="{00000000-5968-49F4-A89E-0666F24A4294}"/>
            </c:ext>
          </c:extLst>
        </c:ser>
        <c:ser>
          <c:idx val="2"/>
          <c:order val="1"/>
          <c:tx>
            <c:strRef>
              <c:f>Sheet1!$D$1</c:f>
              <c:strCache>
                <c:ptCount val="1"/>
                <c:pt idx="0">
                  <c:v>Ar vidējo vispārējo izglītību</c:v>
                </c:pt>
              </c:strCache>
            </c:strRef>
          </c:tx>
          <c:spPr>
            <a:ln w="28575" cap="rnd" cmpd="sng" algn="ctr">
              <a:solidFill>
                <a:schemeClr val="accent3">
                  <a:shade val="95000"/>
                  <a:satMod val="105000"/>
                </a:schemeClr>
              </a:solidFill>
              <a:prstDash val="solid"/>
              <a:round/>
            </a:ln>
            <a:effectLst/>
          </c:spPr>
          <c:marker>
            <c:symbol val="none"/>
          </c:marker>
          <c:cat>
            <c:numRef>
              <c:f>Sheet1!$A$2:$A$17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Sheet1!$D$2:$D$17</c:f>
              <c:numCache>
                <c:formatCode>0.0</c:formatCode>
                <c:ptCount val="16"/>
                <c:pt idx="0">
                  <c:v>8.3391730903994397</c:v>
                </c:pt>
                <c:pt idx="1">
                  <c:v>21.562389536938849</c:v>
                </c:pt>
                <c:pt idx="2">
                  <c:v>23.796992481203006</c:v>
                </c:pt>
                <c:pt idx="3">
                  <c:v>21.563126252505008</c:v>
                </c:pt>
                <c:pt idx="4">
                  <c:v>20.135296458416235</c:v>
                </c:pt>
                <c:pt idx="5">
                  <c:v>15.004055150040552</c:v>
                </c:pt>
                <c:pt idx="6">
                  <c:v>13.305954825462013</c:v>
                </c:pt>
                <c:pt idx="7">
                  <c:v>12.084592145015106</c:v>
                </c:pt>
                <c:pt idx="8">
                  <c:v>13.270142180094787</c:v>
                </c:pt>
                <c:pt idx="9">
                  <c:v>12.085691188358933</c:v>
                </c:pt>
                <c:pt idx="10">
                  <c:v>9.626320064987814</c:v>
                </c:pt>
                <c:pt idx="11">
                  <c:v>7.0622649394066013</c:v>
                </c:pt>
                <c:pt idx="12">
                  <c:v>9.330985915492958</c:v>
                </c:pt>
                <c:pt idx="13">
                  <c:v>10.379746835443038</c:v>
                </c:pt>
                <c:pt idx="14">
                  <c:v>8.4589207583859984</c:v>
                </c:pt>
                <c:pt idx="15">
                  <c:v>8.8387400094029154</c:v>
                </c:pt>
              </c:numCache>
            </c:numRef>
          </c:val>
          <c:smooth val="0"/>
          <c:extLst>
            <c:ext xmlns:c16="http://schemas.microsoft.com/office/drawing/2014/chart" uri="{C3380CC4-5D6E-409C-BE32-E72D297353CC}">
              <c16:uniqueId val="{00000001-5968-49F4-A89E-0666F24A4294}"/>
            </c:ext>
          </c:extLst>
        </c:ser>
        <c:ser>
          <c:idx val="4"/>
          <c:order val="2"/>
          <c:tx>
            <c:strRef>
              <c:f>Sheet1!$C$1</c:f>
              <c:strCache>
                <c:ptCount val="1"/>
                <c:pt idx="0">
                  <c:v>Ar vidējo profesionālo izglītību</c:v>
                </c:pt>
              </c:strCache>
            </c:strRef>
          </c:tx>
          <c:spPr>
            <a:ln w="28575" cap="rnd" cmpd="sng" algn="ctr">
              <a:solidFill>
                <a:schemeClr val="accent5">
                  <a:shade val="95000"/>
                  <a:satMod val="105000"/>
                </a:schemeClr>
              </a:solidFill>
              <a:prstDash val="solid"/>
              <a:round/>
            </a:ln>
            <a:effectLst/>
          </c:spPr>
          <c:marker>
            <c:symbol val="none"/>
          </c:marker>
          <c:cat>
            <c:numRef>
              <c:f>Sheet1!$A$2:$A$17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Sheet1!$C$2:$C$17</c:f>
              <c:numCache>
                <c:formatCode>0.0</c:formatCode>
                <c:ptCount val="16"/>
                <c:pt idx="0">
                  <c:v>7.708172209332302</c:v>
                </c:pt>
                <c:pt idx="1">
                  <c:v>16.974833076527993</c:v>
                </c:pt>
                <c:pt idx="2">
                  <c:v>19.166445447305549</c:v>
                </c:pt>
                <c:pt idx="3">
                  <c:v>15.961272475795299</c:v>
                </c:pt>
                <c:pt idx="4">
                  <c:v>15.780542986425338</c:v>
                </c:pt>
                <c:pt idx="5">
                  <c:v>11.673615247170936</c:v>
                </c:pt>
                <c:pt idx="6">
                  <c:v>10.496580434136186</c:v>
                </c:pt>
                <c:pt idx="7">
                  <c:v>9.9852724594992637</c:v>
                </c:pt>
                <c:pt idx="8">
                  <c:v>9.8822800495662939</c:v>
                </c:pt>
                <c:pt idx="9">
                  <c:v>8.6522462562396019</c:v>
                </c:pt>
                <c:pt idx="10">
                  <c:v>7.5852931434249742</c:v>
                </c:pt>
                <c:pt idx="11">
                  <c:v>7.0907194994786229</c:v>
                </c:pt>
                <c:pt idx="12">
                  <c:v>8.2957306490801805</c:v>
                </c:pt>
                <c:pt idx="13">
                  <c:v>7.8498293515358366</c:v>
                </c:pt>
                <c:pt idx="14">
                  <c:v>7.3454048513836687</c:v>
                </c:pt>
                <c:pt idx="15">
                  <c:v>7.2172351885098758</c:v>
                </c:pt>
              </c:numCache>
            </c:numRef>
          </c:val>
          <c:smooth val="0"/>
          <c:extLst>
            <c:ext xmlns:c16="http://schemas.microsoft.com/office/drawing/2014/chart" uri="{C3380CC4-5D6E-409C-BE32-E72D297353CC}">
              <c16:uniqueId val="{00000002-5968-49F4-A89E-0666F24A4294}"/>
            </c:ext>
          </c:extLst>
        </c:ser>
        <c:ser>
          <c:idx val="5"/>
          <c:order val="3"/>
          <c:tx>
            <c:strRef>
              <c:f>Sheet1!$B$1</c:f>
              <c:strCache>
                <c:ptCount val="1"/>
                <c:pt idx="0">
                  <c:v>Ar augstāko izglītību</c:v>
                </c:pt>
              </c:strCache>
            </c:strRef>
          </c:tx>
          <c:spPr>
            <a:ln w="28575" cap="rnd" cmpd="sng" algn="ctr">
              <a:solidFill>
                <a:schemeClr val="accent6">
                  <a:shade val="95000"/>
                  <a:satMod val="105000"/>
                </a:schemeClr>
              </a:solidFill>
              <a:prstDash val="solid"/>
              <a:round/>
            </a:ln>
            <a:effectLst/>
          </c:spPr>
          <c:marker>
            <c:symbol val="none"/>
          </c:marker>
          <c:cat>
            <c:numRef>
              <c:f>Sheet1!$A$2:$A$17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Sheet1!$B$2:$B$17</c:f>
              <c:numCache>
                <c:formatCode>0.0</c:formatCode>
                <c:ptCount val="16"/>
                <c:pt idx="0">
                  <c:v>4.3072505384063167</c:v>
                </c:pt>
                <c:pt idx="1">
                  <c:v>7.869415807560137</c:v>
                </c:pt>
                <c:pt idx="2">
                  <c:v>10.656292286874153</c:v>
                </c:pt>
                <c:pt idx="3">
                  <c:v>7.1215634315998688</c:v>
                </c:pt>
                <c:pt idx="4">
                  <c:v>6.4314704964096165</c:v>
                </c:pt>
                <c:pt idx="5">
                  <c:v>5.9192825112107625</c:v>
                </c:pt>
                <c:pt idx="6">
                  <c:v>5.5520702634880799</c:v>
                </c:pt>
                <c:pt idx="7">
                  <c:v>4.9516908212560384</c:v>
                </c:pt>
                <c:pt idx="8">
                  <c:v>4.2737510828761192</c:v>
                </c:pt>
                <c:pt idx="9">
                  <c:v>3.8972286374133955</c:v>
                </c:pt>
                <c:pt idx="10">
                  <c:v>3.6637318943481962</c:v>
                </c:pt>
                <c:pt idx="11">
                  <c:v>3.6095159967186214</c:v>
                </c:pt>
                <c:pt idx="12">
                  <c:v>5.0766790058170281</c:v>
                </c:pt>
                <c:pt idx="13">
                  <c:v>4.6487057580559963</c:v>
                </c:pt>
                <c:pt idx="14">
                  <c:v>4.1894353369763211</c:v>
                </c:pt>
                <c:pt idx="15">
                  <c:v>3.3429849960515927</c:v>
                </c:pt>
              </c:numCache>
            </c:numRef>
          </c:val>
          <c:smooth val="0"/>
          <c:extLst>
            <c:ext xmlns:c16="http://schemas.microsoft.com/office/drawing/2014/chart" uri="{C3380CC4-5D6E-409C-BE32-E72D297353CC}">
              <c16:uniqueId val="{00000003-5968-49F4-A89E-0666F24A4294}"/>
            </c:ext>
          </c:extLst>
        </c:ser>
        <c:dLbls>
          <c:showLegendKey val="0"/>
          <c:showVal val="0"/>
          <c:showCatName val="0"/>
          <c:showSerName val="0"/>
          <c:showPercent val="0"/>
          <c:showBubbleSize val="0"/>
        </c:dLbls>
        <c:smooth val="0"/>
        <c:axId val="742065592"/>
        <c:axId val="742062848"/>
      </c:lineChart>
      <c:catAx>
        <c:axId val="742065592"/>
        <c:scaling>
          <c:orientation val="minMax"/>
        </c:scaling>
        <c:delete val="0"/>
        <c:axPos val="b"/>
        <c:numFmt formatCode="General" sourceLinked="1"/>
        <c:majorTickMark val="out"/>
        <c:minorTickMark val="none"/>
        <c:tickLblPos val="nextTo"/>
        <c:spPr>
          <a:noFill/>
          <a:ln w="6350" cap="flat" cmpd="sng" algn="ctr">
            <a:solidFill>
              <a:schemeClr val="tx1">
                <a:tint val="75000"/>
                <a:shade val="95000"/>
                <a:satMod val="105000"/>
              </a:schemeClr>
            </a:solidFill>
            <a:prstDash val="solid"/>
            <a:round/>
          </a:ln>
          <a:effectLst/>
        </c:spPr>
        <c:txPr>
          <a:bodyPr rot="-60000000" vert="horz"/>
          <a:lstStyle/>
          <a:p>
            <a:pPr>
              <a:defRPr/>
            </a:pPr>
            <a:endParaRPr lang="lv-LV"/>
          </a:p>
        </c:txPr>
        <c:crossAx val="742062848"/>
        <c:crosses val="autoZero"/>
        <c:auto val="1"/>
        <c:lblAlgn val="ctr"/>
        <c:lblOffset val="100"/>
        <c:noMultiLvlLbl val="0"/>
      </c:catAx>
      <c:valAx>
        <c:axId val="742062848"/>
        <c:scaling>
          <c:orientation val="minMax"/>
          <c:max val="35"/>
          <c:min val="0"/>
        </c:scaling>
        <c:delete val="0"/>
        <c:axPos val="l"/>
        <c:numFmt formatCode="0" sourceLinked="0"/>
        <c:majorTickMark val="out"/>
        <c:minorTickMark val="none"/>
        <c:tickLblPos val="nextTo"/>
        <c:spPr>
          <a:noFill/>
          <a:ln w="9525" cap="flat" cmpd="sng" algn="ctr">
            <a:noFill/>
            <a:prstDash val="solid"/>
            <a:round/>
          </a:ln>
          <a:effectLst/>
        </c:spPr>
        <c:txPr>
          <a:bodyPr rot="-60000000" vert="horz"/>
          <a:lstStyle/>
          <a:p>
            <a:pPr>
              <a:defRPr/>
            </a:pPr>
            <a:endParaRPr lang="lv-LV"/>
          </a:p>
        </c:txPr>
        <c:crossAx val="742065592"/>
        <c:crosses val="autoZero"/>
        <c:crossBetween val="between"/>
        <c:majorUnit val="7"/>
      </c:valAx>
      <c:spPr>
        <a:solidFill>
          <a:schemeClr val="bg1"/>
        </a:solidFill>
        <a:ln>
          <a:noFill/>
        </a:ln>
        <a:effectLst/>
      </c:spPr>
    </c:plotArea>
    <c:legend>
      <c:legendPos val="l"/>
      <c:layout>
        <c:manualLayout>
          <c:xMode val="edge"/>
          <c:yMode val="edge"/>
          <c:x val="0.76108274227573813"/>
          <c:y val="4.5838301379631283E-2"/>
          <c:w val="0.22515952044031981"/>
          <c:h val="0.86916724353883879"/>
        </c:manualLayout>
      </c:layout>
      <c:overlay val="1"/>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27712743131443E-2"/>
          <c:y val="3.3478893740902474E-2"/>
          <c:w val="0.9026045711653381"/>
          <c:h val="0.78687092957837779"/>
        </c:manualLayout>
      </c:layout>
      <c:barChart>
        <c:barDir val="col"/>
        <c:grouping val="clustered"/>
        <c:varyColors val="0"/>
        <c:ser>
          <c:idx val="0"/>
          <c:order val="0"/>
          <c:tx>
            <c:strRef>
              <c:f>Sheet1!$B$1</c:f>
              <c:strCache>
                <c:ptCount val="1"/>
                <c:pt idx="0">
                  <c:v>Profesiju kvalifikācijas pakāpe</c:v>
                </c:pt>
              </c:strCache>
            </c:strRef>
          </c:tx>
          <c:spPr>
            <a:solidFill>
              <a:schemeClr val="accent2"/>
            </a:solidFill>
          </c:spPr>
          <c:invertIfNegative val="0"/>
          <c:cat>
            <c:strRef>
              <c:f>Sheet1!$A$2:$A$4</c:f>
              <c:strCache>
                <c:ptCount val="3"/>
                <c:pt idx="0">
                  <c:v>Augstas kvalifikācijas profesijas / augstākā izglītība</c:v>
                </c:pt>
                <c:pt idx="1">
                  <c:v>Vidējas kvalifikācijas profesijas /                                                   vidējā izglītība</c:v>
                </c:pt>
                <c:pt idx="2">
                  <c:v>Zemas kvalifikācijas profesijas / pamatizglītība un zemāka izglītība</c:v>
                </c:pt>
              </c:strCache>
            </c:strRef>
          </c:cat>
          <c:val>
            <c:numRef>
              <c:f>Sheet1!$B$2:$B$4</c:f>
              <c:numCache>
                <c:formatCode>0.0</c:formatCode>
                <c:ptCount val="3"/>
                <c:pt idx="0">
                  <c:v>395.50322920000002</c:v>
                </c:pt>
                <c:pt idx="1">
                  <c:v>376.908318925</c:v>
                </c:pt>
                <c:pt idx="2">
                  <c:v>111.75496185</c:v>
                </c:pt>
              </c:numCache>
            </c:numRef>
          </c:val>
          <c:extLst>
            <c:ext xmlns:c16="http://schemas.microsoft.com/office/drawing/2014/chart" uri="{C3380CC4-5D6E-409C-BE32-E72D297353CC}">
              <c16:uniqueId val="{00000000-E381-40FC-83A4-09794378CBD7}"/>
            </c:ext>
          </c:extLst>
        </c:ser>
        <c:ser>
          <c:idx val="1"/>
          <c:order val="1"/>
          <c:tx>
            <c:strRef>
              <c:f>Sheet1!$C$1</c:f>
              <c:strCache>
                <c:ptCount val="1"/>
                <c:pt idx="0">
                  <c:v>Izglītības līmenis</c:v>
                </c:pt>
              </c:strCache>
            </c:strRef>
          </c:tx>
          <c:spPr>
            <a:solidFill>
              <a:schemeClr val="accent4">
                <a:lumMod val="60000"/>
                <a:lumOff val="40000"/>
              </a:schemeClr>
            </a:solidFill>
          </c:spPr>
          <c:invertIfNegative val="0"/>
          <c:cat>
            <c:strRef>
              <c:f>Sheet1!$A$2:$A$4</c:f>
              <c:strCache>
                <c:ptCount val="3"/>
                <c:pt idx="0">
                  <c:v>Augstas kvalifikācijas profesijas / augstākā izglītība</c:v>
                </c:pt>
                <c:pt idx="1">
                  <c:v>Vidējas kvalifikācijas profesijas /                                                   vidējā izglītība</c:v>
                </c:pt>
                <c:pt idx="2">
                  <c:v>Zemas kvalifikācijas profesijas / pamatizglītība un zemāka izglītība</c:v>
                </c:pt>
              </c:strCache>
            </c:strRef>
          </c:cat>
          <c:val>
            <c:numRef>
              <c:f>Sheet1!$C$2:$C$4</c:f>
              <c:numCache>
                <c:formatCode>0.0</c:formatCode>
                <c:ptCount val="3"/>
                <c:pt idx="0">
                  <c:v>367.19846492500062</c:v>
                </c:pt>
                <c:pt idx="1">
                  <c:v>452.25952685000107</c:v>
                </c:pt>
                <c:pt idx="2">
                  <c:v>64.708518199999972</c:v>
                </c:pt>
              </c:numCache>
            </c:numRef>
          </c:val>
          <c:extLst>
            <c:ext xmlns:c16="http://schemas.microsoft.com/office/drawing/2014/chart" uri="{C3380CC4-5D6E-409C-BE32-E72D297353CC}">
              <c16:uniqueId val="{00000001-E381-40FC-83A4-09794378CBD7}"/>
            </c:ext>
          </c:extLst>
        </c:ser>
        <c:dLbls>
          <c:showLegendKey val="0"/>
          <c:showVal val="0"/>
          <c:showCatName val="0"/>
          <c:showSerName val="0"/>
          <c:showPercent val="0"/>
          <c:showBubbleSize val="0"/>
        </c:dLbls>
        <c:gapWidth val="180"/>
        <c:axId val="742066376"/>
        <c:axId val="742085192"/>
      </c:barChart>
      <c:catAx>
        <c:axId val="742066376"/>
        <c:scaling>
          <c:orientation val="minMax"/>
        </c:scaling>
        <c:delete val="0"/>
        <c:axPos val="b"/>
        <c:numFmt formatCode="General" sourceLinked="1"/>
        <c:majorTickMark val="out"/>
        <c:minorTickMark val="none"/>
        <c:tickLblPos val="nextTo"/>
        <c:spPr>
          <a:ln w="3175"/>
        </c:spPr>
        <c:txPr>
          <a:bodyPr/>
          <a:lstStyle/>
          <a:p>
            <a:pPr algn="just">
              <a:defRPr/>
            </a:pPr>
            <a:endParaRPr lang="lv-LV"/>
          </a:p>
        </c:txPr>
        <c:crossAx val="742085192"/>
        <c:crosses val="autoZero"/>
        <c:auto val="1"/>
        <c:lblAlgn val="ctr"/>
        <c:lblOffset val="100"/>
        <c:tickLblSkip val="1"/>
        <c:noMultiLvlLbl val="0"/>
      </c:catAx>
      <c:valAx>
        <c:axId val="742085192"/>
        <c:scaling>
          <c:orientation val="minMax"/>
          <c:max val="450"/>
        </c:scaling>
        <c:delete val="0"/>
        <c:axPos val="l"/>
        <c:numFmt formatCode="0" sourceLinked="0"/>
        <c:majorTickMark val="out"/>
        <c:minorTickMark val="none"/>
        <c:tickLblPos val="nextTo"/>
        <c:spPr>
          <a:ln w="3175">
            <a:noFill/>
          </a:ln>
        </c:spPr>
        <c:crossAx val="742066376"/>
        <c:crosses val="autoZero"/>
        <c:crossBetween val="between"/>
        <c:majorUnit val="150"/>
      </c:valAx>
    </c:plotArea>
    <c:legend>
      <c:legendPos val="r"/>
      <c:layout>
        <c:manualLayout>
          <c:xMode val="edge"/>
          <c:yMode val="edge"/>
          <c:x val="0.66980267213015121"/>
          <c:y val="5.906090612534063E-2"/>
          <c:w val="0.30040160084730311"/>
          <c:h val="0.19746901675514614"/>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185394364971391E-2"/>
          <c:y val="3.8375336058888695E-2"/>
          <c:w val="0.9122183287298512"/>
          <c:h val="0.84614117665735333"/>
        </c:manualLayout>
      </c:layout>
      <c:lineChart>
        <c:grouping val="standard"/>
        <c:varyColors val="0"/>
        <c:ser>
          <c:idx val="3"/>
          <c:order val="1"/>
          <c:tx>
            <c:v>Lietuva</c:v>
          </c:tx>
          <c:spPr>
            <a:ln w="28575" cap="rnd">
              <a:solidFill>
                <a:srgbClr val="00B050"/>
              </a:solidFill>
              <a:round/>
            </a:ln>
            <a:effectLst/>
          </c:spPr>
          <c:marker>
            <c:symbol val="none"/>
          </c:marker>
          <c:val>
            <c:numRef>
              <c:f>'konverģence IKP uz iedz.'!$BA$22:$BM$22</c:f>
              <c:numCache>
                <c:formatCode>0.00</c:formatCode>
                <c:ptCount val="13"/>
                <c:pt idx="0">
                  <c:v>-38.92657068851274</c:v>
                </c:pt>
                <c:pt idx="1">
                  <c:v>-33.538358396283058</c:v>
                </c:pt>
                <c:pt idx="2">
                  <c:v>-29.218697855629443</c:v>
                </c:pt>
                <c:pt idx="3">
                  <c:v>-25.875098984400822</c:v>
                </c:pt>
                <c:pt idx="4">
                  <c:v>-24.019351513623945</c:v>
                </c:pt>
                <c:pt idx="5">
                  <c:v>-24.629934659059913</c:v>
                </c:pt>
                <c:pt idx="6">
                  <c:v>-23.794910365527002</c:v>
                </c:pt>
                <c:pt idx="7">
                  <c:v>-20.922737999427071</c:v>
                </c:pt>
                <c:pt idx="8">
                  <c:v>-18.578143671065746</c:v>
                </c:pt>
                <c:pt idx="9">
                  <c:v>-15.721390174490466</c:v>
                </c:pt>
                <c:pt idx="10">
                  <c:v>-12.49322015286684</c:v>
                </c:pt>
                <c:pt idx="11">
                  <c:v>-10.701315865959728</c:v>
                </c:pt>
                <c:pt idx="12">
                  <c:v>-10.78416442466596</c:v>
                </c:pt>
              </c:numCache>
            </c:numRef>
          </c:val>
          <c:smooth val="0"/>
          <c:extLst>
            <c:ext xmlns:c16="http://schemas.microsoft.com/office/drawing/2014/chart" uri="{C3380CC4-5D6E-409C-BE32-E72D297353CC}">
              <c16:uniqueId val="{00000003-FDAD-46DC-8702-CE188A466451}"/>
            </c:ext>
          </c:extLst>
        </c:ser>
        <c:ser>
          <c:idx val="2"/>
          <c:order val="2"/>
          <c:tx>
            <c:v>Igaunija</c:v>
          </c:tx>
          <c:spPr>
            <a:ln w="28575" cap="rnd">
              <a:solidFill>
                <a:schemeClr val="tx2">
                  <a:lumMod val="60000"/>
                  <a:lumOff val="40000"/>
                </a:schemeClr>
              </a:solidFill>
              <a:round/>
            </a:ln>
            <a:effectLst/>
          </c:spPr>
          <c:marker>
            <c:symbol val="none"/>
          </c:marker>
          <c:val>
            <c:numRef>
              <c:f>'konverģence IKP uz iedz.'!$BA$13:$BM$13</c:f>
              <c:numCache>
                <c:formatCode>0.00</c:formatCode>
                <c:ptCount val="13"/>
                <c:pt idx="0">
                  <c:v>-34.389494608758511</c:v>
                </c:pt>
                <c:pt idx="1">
                  <c:v>-28.802513311037842</c:v>
                </c:pt>
                <c:pt idx="2">
                  <c:v>-25.656388485746874</c:v>
                </c:pt>
                <c:pt idx="3">
                  <c:v>-23.941539620668721</c:v>
                </c:pt>
                <c:pt idx="4">
                  <c:v>-22.042066217990438</c:v>
                </c:pt>
                <c:pt idx="5">
                  <c:v>-23.615095684298183</c:v>
                </c:pt>
                <c:pt idx="6">
                  <c:v>-22.845881213480112</c:v>
                </c:pt>
                <c:pt idx="7">
                  <c:v>-20.674814824919167</c:v>
                </c:pt>
                <c:pt idx="8">
                  <c:v>-18.327270566643122</c:v>
                </c:pt>
                <c:pt idx="9">
                  <c:v>-17.116547369227959</c:v>
                </c:pt>
                <c:pt idx="10">
                  <c:v>-14.839463202483657</c:v>
                </c:pt>
                <c:pt idx="11">
                  <c:v>-13.79655323275928</c:v>
                </c:pt>
                <c:pt idx="12">
                  <c:v>-15.009278216777503</c:v>
                </c:pt>
              </c:numCache>
            </c:numRef>
          </c:val>
          <c:smooth val="0"/>
          <c:extLst>
            <c:ext xmlns:c16="http://schemas.microsoft.com/office/drawing/2014/chart" uri="{C3380CC4-5D6E-409C-BE32-E72D297353CC}">
              <c16:uniqueId val="{00000002-FDAD-46DC-8702-CE188A466451}"/>
            </c:ext>
          </c:extLst>
        </c:ser>
        <c:ser>
          <c:idx val="0"/>
          <c:order val="3"/>
          <c:tx>
            <c:v>Latvija</c:v>
          </c:tx>
          <c:spPr>
            <a:ln w="28575" cap="rnd">
              <a:solidFill>
                <a:srgbClr val="C00000"/>
              </a:solidFill>
              <a:round/>
            </a:ln>
            <a:effectLst/>
          </c:spPr>
          <c:marker>
            <c:symbol val="none"/>
          </c:marker>
          <c:cat>
            <c:strRef>
              <c:f>'konverģence IKP uz iedz.'!$BO$6:$CA$6</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'konverģence IKP uz iedz.'!$BA$21:$BM$21</c:f>
              <c:numCache>
                <c:formatCode>0.00</c:formatCode>
                <c:ptCount val="13"/>
                <c:pt idx="0">
                  <c:v>-46.182358492460295</c:v>
                </c:pt>
                <c:pt idx="1">
                  <c:v>-44.074931593348779</c:v>
                </c:pt>
                <c:pt idx="2">
                  <c:v>-38.978183765492936</c:v>
                </c:pt>
                <c:pt idx="3">
                  <c:v>-37.205064926078833</c:v>
                </c:pt>
                <c:pt idx="4">
                  <c:v>-35.811586079249409</c:v>
                </c:pt>
                <c:pt idx="5">
                  <c:v>-34.716874106879899</c:v>
                </c:pt>
                <c:pt idx="6">
                  <c:v>-34.145891502020461</c:v>
                </c:pt>
                <c:pt idx="7">
                  <c:v>-32.803271085405612</c:v>
                </c:pt>
                <c:pt idx="8">
                  <c:v>-30.854420978273083</c:v>
                </c:pt>
                <c:pt idx="9">
                  <c:v>-30.825691589770116</c:v>
                </c:pt>
                <c:pt idx="10">
                  <c:v>-28.312974381328544</c:v>
                </c:pt>
                <c:pt idx="11">
                  <c:v>-28.988517914562024</c:v>
                </c:pt>
                <c:pt idx="12">
                  <c:v>-28.308149602080121</c:v>
                </c:pt>
              </c:numCache>
            </c:numRef>
          </c:val>
          <c:smooth val="0"/>
          <c:extLst>
            <c:ext xmlns:c16="http://schemas.microsoft.com/office/drawing/2014/chart" uri="{C3380CC4-5D6E-409C-BE32-E72D297353CC}">
              <c16:uniqueId val="{00000001-FDAD-46DC-8702-CE188A466451}"/>
            </c:ext>
          </c:extLst>
        </c:ser>
        <c:dLbls>
          <c:showLegendKey val="0"/>
          <c:showVal val="0"/>
          <c:showCatName val="0"/>
          <c:showSerName val="0"/>
          <c:showPercent val="0"/>
          <c:showBubbleSize val="0"/>
        </c:dLbls>
        <c:smooth val="0"/>
        <c:axId val="583684032"/>
        <c:axId val="583677800"/>
        <c:extLst>
          <c:ext xmlns:c15="http://schemas.microsoft.com/office/drawing/2012/chart" uri="{02D57815-91ED-43cb-92C2-25804820EDAC}">
            <c15:filteredLineSeries>
              <c15:ser>
                <c:idx val="1"/>
                <c:order val="0"/>
                <c:tx>
                  <c:v>ES vidējais IKP uz 1 iedz. 2022.g.</c:v>
                </c:tx>
                <c:spPr>
                  <a:ln w="28575" cap="rnd">
                    <a:solidFill>
                      <a:schemeClr val="accent2"/>
                    </a:solidFill>
                    <a:round/>
                  </a:ln>
                  <a:effectLst/>
                </c:spPr>
                <c:marker>
                  <c:symbol val="none"/>
                </c:marker>
                <c:val>
                  <c:numRef>
                    <c:extLst>
                      <c:ext uri="{02D57815-91ED-43cb-92C2-25804820EDAC}">
                        <c15:formulaRef>
                          <c15:sqref>'konverģence IKP uz iedz.'!$BO$7:$CA$7</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0-FDAD-46DC-8702-CE188A466451}"/>
                  </c:ext>
                </c:extLst>
              </c15:ser>
            </c15:filteredLineSeries>
          </c:ext>
        </c:extLst>
      </c:lineChart>
      <c:catAx>
        <c:axId val="583684032"/>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83677800"/>
        <c:crosses val="autoZero"/>
        <c:auto val="1"/>
        <c:lblAlgn val="ctr"/>
        <c:lblOffset val="100"/>
        <c:noMultiLvlLbl val="0"/>
      </c:catAx>
      <c:valAx>
        <c:axId val="583677800"/>
        <c:scaling>
          <c:orientation val="minMax"/>
          <c:max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83684032"/>
        <c:crosses val="autoZero"/>
        <c:crossBetween val="between"/>
        <c:majorUnit val="10"/>
      </c:valAx>
      <c:spPr>
        <a:noFill/>
        <a:ln>
          <a:noFill/>
        </a:ln>
        <a:effectLst/>
      </c:spPr>
    </c:plotArea>
    <c:legend>
      <c:legendPos val="b"/>
      <c:layout>
        <c:manualLayout>
          <c:xMode val="edge"/>
          <c:yMode val="edge"/>
          <c:x val="0.40970648238981155"/>
          <c:y val="7.9917687960375919E-2"/>
          <c:w val="0.18776185226019851"/>
          <c:h val="0.2306800863601727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2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r>
              <a:rPr lang="lv-LV"/>
              <a:t>Augstākā izglītība</a:t>
            </a:r>
          </a:p>
        </c:rich>
      </c:tx>
      <c:overlay val="0"/>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title>
    <c:autoTitleDeleted val="0"/>
    <c:plotArea>
      <c:layout>
        <c:manualLayout>
          <c:layoutTarget val="inner"/>
          <c:xMode val="edge"/>
          <c:yMode val="edge"/>
          <c:x val="0.47297757617254366"/>
          <c:y val="0.112109103428362"/>
          <c:w val="0.44738879254320296"/>
          <c:h val="0.70382728252057347"/>
        </c:manualLayout>
      </c:layout>
      <c:barChart>
        <c:barDir val="bar"/>
        <c:grouping val="stacked"/>
        <c:varyColors val="0"/>
        <c:ser>
          <c:idx val="0"/>
          <c:order val="0"/>
          <c:tx>
            <c:strRef>
              <c:f>Sheet1!$B$19</c:f>
              <c:strCache>
                <c:ptCount val="1"/>
                <c:pt idx="0">
                  <c:v>1. līmeņa profesionālā augstākā izglītība</c:v>
                </c:pt>
              </c:strCache>
            </c:strRef>
          </c:tx>
          <c:spPr>
            <a:solidFill>
              <a:schemeClr val="accent1"/>
            </a:solidFill>
            <a:ln>
              <a:noFill/>
            </a:ln>
            <a:effectLst/>
          </c:spPr>
          <c:invertIfNegative val="0"/>
          <c:cat>
            <c:strRef>
              <c:f>Sheet1!$A$20:$A$27</c:f>
              <c:strCache>
                <c:ptCount val="8"/>
                <c:pt idx="0">
                  <c:v>Veselības aprūpe un sociālā labklājība</c:v>
                </c:pt>
                <c:pt idx="1">
                  <c:v>Dabaszinātnes, matemātika un informācijas tehnoloģijas</c:v>
                </c:pt>
                <c:pt idx="2">
                  <c:v>Lauksaimniecība</c:v>
                </c:pt>
                <c:pt idx="3">
                  <c:v>Inženierzinātnes, ražošana un būvniecība</c:v>
                </c:pt>
                <c:pt idx="4">
                  <c:v>Pakalpojumi</c:v>
                </c:pt>
                <c:pt idx="5">
                  <c:v>Izglītība</c:v>
                </c:pt>
                <c:pt idx="6">
                  <c:v>Humanitārās zinātnes un māksla</c:v>
                </c:pt>
                <c:pt idx="7">
                  <c:v>Sociālās zinātnes, komerczinības un tiesības</c:v>
                </c:pt>
              </c:strCache>
            </c:strRef>
          </c:cat>
          <c:val>
            <c:numRef>
              <c:f>Sheet1!$B$20:$B$27</c:f>
              <c:numCache>
                <c:formatCode>0.0%</c:formatCode>
                <c:ptCount val="8"/>
                <c:pt idx="0">
                  <c:v>1.332737030411449E-2</c:v>
                </c:pt>
                <c:pt idx="1">
                  <c:v>7.7062556663644605E-3</c:v>
                </c:pt>
                <c:pt idx="2">
                  <c:v>1.1142061281337047E-2</c:v>
                </c:pt>
                <c:pt idx="3">
                  <c:v>7.3519927769895525E-3</c:v>
                </c:pt>
                <c:pt idx="4">
                  <c:v>9.6170659206154929E-3</c:v>
                </c:pt>
                <c:pt idx="5">
                  <c:v>1.3975726369988967E-2</c:v>
                </c:pt>
                <c:pt idx="6">
                  <c:v>3.0237580993520518E-3</c:v>
                </c:pt>
                <c:pt idx="7">
                  <c:v>9.1530054644808744E-3</c:v>
                </c:pt>
              </c:numCache>
            </c:numRef>
          </c:val>
          <c:extLst>
            <c:ext xmlns:c16="http://schemas.microsoft.com/office/drawing/2014/chart" uri="{C3380CC4-5D6E-409C-BE32-E72D297353CC}">
              <c16:uniqueId val="{00000000-366F-4A33-BBA4-AD26CFBB2A8F}"/>
            </c:ext>
          </c:extLst>
        </c:ser>
        <c:ser>
          <c:idx val="1"/>
          <c:order val="1"/>
          <c:tx>
            <c:strRef>
              <c:f>Sheet1!$C$19</c:f>
              <c:strCache>
                <c:ptCount val="1"/>
                <c:pt idx="0">
                  <c:v>Akadēmiskā un profesionālā bakalaura grāds</c:v>
                </c:pt>
              </c:strCache>
            </c:strRef>
          </c:tx>
          <c:spPr>
            <a:solidFill>
              <a:schemeClr val="accent2"/>
            </a:solidFill>
            <a:ln>
              <a:noFill/>
            </a:ln>
            <a:effectLst/>
          </c:spPr>
          <c:invertIfNegative val="0"/>
          <c:cat>
            <c:strRef>
              <c:f>Sheet1!$A$20:$A$27</c:f>
              <c:strCache>
                <c:ptCount val="8"/>
                <c:pt idx="0">
                  <c:v>Veselības aprūpe un sociālā labklājība</c:v>
                </c:pt>
                <c:pt idx="1">
                  <c:v>Dabaszinātnes, matemātika un informācijas tehnoloģijas</c:v>
                </c:pt>
                <c:pt idx="2">
                  <c:v>Lauksaimniecība</c:v>
                </c:pt>
                <c:pt idx="3">
                  <c:v>Inženierzinātnes, ražošana un būvniecība</c:v>
                </c:pt>
                <c:pt idx="4">
                  <c:v>Pakalpojumi</c:v>
                </c:pt>
                <c:pt idx="5">
                  <c:v>Izglītība</c:v>
                </c:pt>
                <c:pt idx="6">
                  <c:v>Humanitārās zinātnes un māksla</c:v>
                </c:pt>
                <c:pt idx="7">
                  <c:v>Sociālās zinātnes, komerczinības un tiesības</c:v>
                </c:pt>
              </c:strCache>
            </c:strRef>
          </c:cat>
          <c:val>
            <c:numRef>
              <c:f>Sheet1!$C$20:$C$27</c:f>
              <c:numCache>
                <c:formatCode>0.0%</c:formatCode>
                <c:ptCount val="8"/>
                <c:pt idx="0">
                  <c:v>7.871198568872988E-3</c:v>
                </c:pt>
                <c:pt idx="1">
                  <c:v>1.7452402538531277E-2</c:v>
                </c:pt>
                <c:pt idx="2">
                  <c:v>1.8570102135561744E-2</c:v>
                </c:pt>
                <c:pt idx="3">
                  <c:v>2.1669031342706049E-2</c:v>
                </c:pt>
                <c:pt idx="4">
                  <c:v>2.1856968001398847E-2</c:v>
                </c:pt>
                <c:pt idx="5">
                  <c:v>2.0044133872747335E-2</c:v>
                </c:pt>
                <c:pt idx="6">
                  <c:v>3.26133909287257E-2</c:v>
                </c:pt>
                <c:pt idx="7">
                  <c:v>2.9417122040072859E-2</c:v>
                </c:pt>
              </c:numCache>
            </c:numRef>
          </c:val>
          <c:extLst>
            <c:ext xmlns:c16="http://schemas.microsoft.com/office/drawing/2014/chart" uri="{C3380CC4-5D6E-409C-BE32-E72D297353CC}">
              <c16:uniqueId val="{00000001-366F-4A33-BBA4-AD26CFBB2A8F}"/>
            </c:ext>
          </c:extLst>
        </c:ser>
        <c:ser>
          <c:idx val="2"/>
          <c:order val="2"/>
          <c:tx>
            <c:strRef>
              <c:f>Sheet1!$D$19</c:f>
              <c:strCache>
                <c:ptCount val="1"/>
                <c:pt idx="0">
                  <c:v>Akadēmiskā un profesionālā maģistra grāds</c:v>
                </c:pt>
              </c:strCache>
            </c:strRef>
          </c:tx>
          <c:spPr>
            <a:solidFill>
              <a:schemeClr val="accent3"/>
            </a:solidFill>
            <a:ln>
              <a:noFill/>
            </a:ln>
            <a:effectLst/>
          </c:spPr>
          <c:invertIfNegative val="0"/>
          <c:cat>
            <c:strRef>
              <c:f>Sheet1!$A$20:$A$27</c:f>
              <c:strCache>
                <c:ptCount val="8"/>
                <c:pt idx="0">
                  <c:v>Veselības aprūpe un sociālā labklājība</c:v>
                </c:pt>
                <c:pt idx="1">
                  <c:v>Dabaszinātnes, matemātika un informācijas tehnoloģijas</c:v>
                </c:pt>
                <c:pt idx="2">
                  <c:v>Lauksaimniecība</c:v>
                </c:pt>
                <c:pt idx="3">
                  <c:v>Inženierzinātnes, ražošana un būvniecība</c:v>
                </c:pt>
                <c:pt idx="4">
                  <c:v>Pakalpojumi</c:v>
                </c:pt>
                <c:pt idx="5">
                  <c:v>Izglītība</c:v>
                </c:pt>
                <c:pt idx="6">
                  <c:v>Humanitārās zinātnes un māksla</c:v>
                </c:pt>
                <c:pt idx="7">
                  <c:v>Sociālās zinātnes, komerczinības un tiesības</c:v>
                </c:pt>
              </c:strCache>
            </c:strRef>
          </c:cat>
          <c:val>
            <c:numRef>
              <c:f>Sheet1!$D$20:$D$27</c:f>
              <c:numCache>
                <c:formatCode>0.0%</c:formatCode>
                <c:ptCount val="8"/>
                <c:pt idx="0">
                  <c:v>5.2772808586762079E-3</c:v>
                </c:pt>
                <c:pt idx="1">
                  <c:v>6.5729827742520399E-3</c:v>
                </c:pt>
                <c:pt idx="2">
                  <c:v>4.642525533890436E-3</c:v>
                </c:pt>
                <c:pt idx="3">
                  <c:v>7.3519927769895525E-3</c:v>
                </c:pt>
                <c:pt idx="4">
                  <c:v>5.9450952963804862E-3</c:v>
                </c:pt>
                <c:pt idx="5">
                  <c:v>8.826774549466716E-3</c:v>
                </c:pt>
                <c:pt idx="6">
                  <c:v>1.1447084233261339E-2</c:v>
                </c:pt>
                <c:pt idx="7">
                  <c:v>1.1065573770491803E-2</c:v>
                </c:pt>
              </c:numCache>
            </c:numRef>
          </c:val>
          <c:extLst>
            <c:ext xmlns:c16="http://schemas.microsoft.com/office/drawing/2014/chart" uri="{C3380CC4-5D6E-409C-BE32-E72D297353CC}">
              <c16:uniqueId val="{00000002-366F-4A33-BBA4-AD26CFBB2A8F}"/>
            </c:ext>
          </c:extLst>
        </c:ser>
        <c:ser>
          <c:idx val="3"/>
          <c:order val="3"/>
          <c:tx>
            <c:strRef>
              <c:f>Sheet1!$E$19</c:f>
              <c:strCache>
                <c:ptCount val="1"/>
                <c:pt idx="0">
                  <c:v>Doktora grāds</c:v>
                </c:pt>
              </c:strCache>
            </c:strRef>
          </c:tx>
          <c:spPr>
            <a:solidFill>
              <a:schemeClr val="accent4"/>
            </a:solidFill>
            <a:ln>
              <a:noFill/>
            </a:ln>
            <a:effectLst/>
          </c:spPr>
          <c:invertIfNegative val="0"/>
          <c:cat>
            <c:strRef>
              <c:f>Sheet1!$A$20:$A$27</c:f>
              <c:strCache>
                <c:ptCount val="8"/>
                <c:pt idx="0">
                  <c:v>Veselības aprūpe un sociālā labklājība</c:v>
                </c:pt>
                <c:pt idx="1">
                  <c:v>Dabaszinātnes, matemātika un informācijas tehnoloģijas</c:v>
                </c:pt>
                <c:pt idx="2">
                  <c:v>Lauksaimniecība</c:v>
                </c:pt>
                <c:pt idx="3">
                  <c:v>Inženierzinātnes, ražošana un būvniecība</c:v>
                </c:pt>
                <c:pt idx="4">
                  <c:v>Pakalpojumi</c:v>
                </c:pt>
                <c:pt idx="5">
                  <c:v>Izglītība</c:v>
                </c:pt>
                <c:pt idx="6">
                  <c:v>Humanitārās zinātnes un māksla</c:v>
                </c:pt>
                <c:pt idx="7">
                  <c:v>Sociālās zinātnes, komerczinības un tiesības</c:v>
                </c:pt>
              </c:strCache>
            </c:strRef>
          </c:cat>
          <c:val>
            <c:numRef>
              <c:f>Sheet1!$E$20:$E$27</c:f>
              <c:numCache>
                <c:formatCode>0.0%</c:formatCode>
                <c:ptCount val="8"/>
                <c:pt idx="0">
                  <c:v>0</c:v>
                </c:pt>
                <c:pt idx="1">
                  <c:v>2.2665457842248413E-4</c:v>
                </c:pt>
                <c:pt idx="2">
                  <c:v>0</c:v>
                </c:pt>
                <c:pt idx="3">
                  <c:v>1.2898232942086933E-4</c:v>
                </c:pt>
                <c:pt idx="4">
                  <c:v>1.7485574401119076E-4</c:v>
                </c:pt>
                <c:pt idx="5">
                  <c:v>0</c:v>
                </c:pt>
                <c:pt idx="6">
                  <c:v>2.1598272138228941E-4</c:v>
                </c:pt>
                <c:pt idx="7">
                  <c:v>1.366120218579235E-4</c:v>
                </c:pt>
              </c:numCache>
            </c:numRef>
          </c:val>
          <c:extLst>
            <c:ext xmlns:c16="http://schemas.microsoft.com/office/drawing/2014/chart" uri="{C3380CC4-5D6E-409C-BE32-E72D297353CC}">
              <c16:uniqueId val="{00000003-366F-4A33-BBA4-AD26CFBB2A8F}"/>
            </c:ext>
          </c:extLst>
        </c:ser>
        <c:dLbls>
          <c:showLegendKey val="0"/>
          <c:showVal val="0"/>
          <c:showCatName val="0"/>
          <c:showSerName val="0"/>
          <c:showPercent val="0"/>
          <c:showBubbleSize val="0"/>
        </c:dLbls>
        <c:gapWidth val="50"/>
        <c:overlap val="100"/>
        <c:axId val="652776248"/>
        <c:axId val="652775072"/>
      </c:barChart>
      <c:barChart>
        <c:barDir val="bar"/>
        <c:grouping val="stacked"/>
        <c:varyColors val="0"/>
        <c:ser>
          <c:idx val="4"/>
          <c:order val="4"/>
          <c:tx>
            <c:strRef>
              <c:f>Sheet1!$F$19</c:f>
              <c:strCache>
                <c:ptCount val="1"/>
                <c:pt idx="0">
                  <c:v>Kopā</c:v>
                </c:pt>
              </c:strCache>
            </c:strRef>
          </c:tx>
          <c:spPr>
            <a:noFill/>
            <a:ln>
              <a:noFill/>
            </a:ln>
            <a:effectLst/>
          </c:spPr>
          <c:invertIfNegative val="0"/>
          <c:dLbls>
            <c:dLbl>
              <c:idx val="0"/>
              <c:layout>
                <c:manualLayout>
                  <c:x val="0.12613972159088868"/>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6F-4A33-BBA4-AD26CFBB2A8F}"/>
                </c:ext>
              </c:extLst>
            </c:dLbl>
            <c:dLbl>
              <c:idx val="1"/>
              <c:layout>
                <c:manualLayout>
                  <c:x val="0.13677184941434567"/>
                  <c:y val="-9.2033742708578267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6F-4A33-BBA4-AD26CFBB2A8F}"/>
                </c:ext>
              </c:extLst>
            </c:dLbl>
            <c:dLbl>
              <c:idx val="2"/>
              <c:layout>
                <c:manualLayout>
                  <c:x val="0.1448365129731916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66F-4A33-BBA4-AD26CFBB2A8F}"/>
                </c:ext>
              </c:extLst>
            </c:dLbl>
            <c:dLbl>
              <c:idx val="3"/>
              <c:layout>
                <c:manualLayout>
                  <c:x val="0.16941506378866822"/>
                  <c:y val="-2.5100401606425737E-3"/>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8.4224873010276702E-2"/>
                      <c:h val="5.0100401606425697E-2"/>
                    </c:manualLayout>
                  </c15:layout>
                </c:ext>
                <c:ext xmlns:c16="http://schemas.microsoft.com/office/drawing/2014/chart" uri="{C3380CC4-5D6E-409C-BE32-E72D297353CC}">
                  <c16:uniqueId val="{00000007-366F-4A33-BBA4-AD26CFBB2A8F}"/>
                </c:ext>
              </c:extLst>
            </c:dLbl>
            <c:dLbl>
              <c:idx val="4"/>
              <c:layout>
                <c:manualLayout>
                  <c:x val="0.169377870173889"/>
                  <c:y val="-5.171543454879771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66F-4A33-BBA4-AD26CFBB2A8F}"/>
                </c:ext>
              </c:extLst>
            </c:dLbl>
            <c:dLbl>
              <c:idx val="5"/>
              <c:layout>
                <c:manualLayout>
                  <c:x val="0.17828452018053148"/>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66F-4A33-BBA4-AD26CFBB2A8F}"/>
                </c:ext>
              </c:extLst>
            </c:dLbl>
            <c:dLbl>
              <c:idx val="6"/>
              <c:layout>
                <c:manualLayout>
                  <c:x val="0.19338733479108544"/>
                  <c:y val="-2.5857717274398856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66F-4A33-BBA4-AD26CFBB2A8F}"/>
                </c:ext>
              </c:extLst>
            </c:dLbl>
            <c:dLbl>
              <c:idx val="7"/>
              <c:layout>
                <c:manualLayout>
                  <c:x val="0.2013198760551648"/>
                  <c:y val="-5.020268094132803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66F-4A33-BBA4-AD26CFBB2A8F}"/>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Sheet1!$A$20:$A$27</c:f>
              <c:strCache>
                <c:ptCount val="8"/>
                <c:pt idx="0">
                  <c:v>Veselības aprūpe un sociālā labklājība</c:v>
                </c:pt>
                <c:pt idx="1">
                  <c:v>Dabaszinātnes, matemātika un informācijas tehnoloģijas</c:v>
                </c:pt>
                <c:pt idx="2">
                  <c:v>Lauksaimniecība</c:v>
                </c:pt>
                <c:pt idx="3">
                  <c:v>Inženierzinātnes, ražošana un būvniecība</c:v>
                </c:pt>
                <c:pt idx="4">
                  <c:v>Pakalpojumi</c:v>
                </c:pt>
                <c:pt idx="5">
                  <c:v>Izglītība</c:v>
                </c:pt>
                <c:pt idx="6">
                  <c:v>Humanitārās zinātnes un māksla</c:v>
                </c:pt>
                <c:pt idx="7">
                  <c:v>Sociālās zinātnes, komerczinības un tiesības</c:v>
                </c:pt>
              </c:strCache>
            </c:strRef>
          </c:cat>
          <c:val>
            <c:numRef>
              <c:f>Sheet1!$F$20:$F$27</c:f>
              <c:numCache>
                <c:formatCode>0.0%</c:formatCode>
                <c:ptCount val="8"/>
                <c:pt idx="0">
                  <c:v>2.6475849731663687E-2</c:v>
                </c:pt>
                <c:pt idx="1">
                  <c:v>3.1958295557570265E-2</c:v>
                </c:pt>
                <c:pt idx="2">
                  <c:v>3.4354688950789226E-2</c:v>
                </c:pt>
                <c:pt idx="3">
                  <c:v>3.6501999226106023E-2</c:v>
                </c:pt>
                <c:pt idx="4">
                  <c:v>3.7593984962406013E-2</c:v>
                </c:pt>
                <c:pt idx="5">
                  <c:v>4.284663479220302E-2</c:v>
                </c:pt>
                <c:pt idx="6">
                  <c:v>4.7300215982721376E-2</c:v>
                </c:pt>
                <c:pt idx="7">
                  <c:v>4.9772313296903466E-2</c:v>
                </c:pt>
              </c:numCache>
            </c:numRef>
          </c:val>
          <c:extLst>
            <c:ext xmlns:c16="http://schemas.microsoft.com/office/drawing/2014/chart" uri="{C3380CC4-5D6E-409C-BE32-E72D297353CC}">
              <c16:uniqueId val="{0000000C-366F-4A33-BBA4-AD26CFBB2A8F}"/>
            </c:ext>
          </c:extLst>
        </c:ser>
        <c:dLbls>
          <c:showLegendKey val="0"/>
          <c:showVal val="0"/>
          <c:showCatName val="0"/>
          <c:showSerName val="0"/>
          <c:showPercent val="0"/>
          <c:showBubbleSize val="0"/>
        </c:dLbls>
        <c:gapWidth val="50"/>
        <c:overlap val="100"/>
        <c:axId val="652774288"/>
        <c:axId val="652773896"/>
      </c:barChart>
      <c:catAx>
        <c:axId val="652776248"/>
        <c:scaling>
          <c:orientation val="minMax"/>
        </c:scaling>
        <c:delete val="0"/>
        <c:axPos val="l"/>
        <c:numFmt formatCode="General" sourceLinked="1"/>
        <c:majorTickMark val="none"/>
        <c:minorTickMark val="none"/>
        <c:tickLblPos val="nextTo"/>
        <c:spPr>
          <a:noFill/>
          <a:ln w="3175" cap="flat" cmpd="sng" algn="ctr">
            <a:solidFill>
              <a:sysClr val="windowText" lastClr="000000">
                <a:tint val="75000"/>
                <a:shade val="95000"/>
                <a:satMod val="105000"/>
              </a:sys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75072"/>
        <c:crosses val="autoZero"/>
        <c:auto val="1"/>
        <c:lblAlgn val="ctr"/>
        <c:lblOffset val="100"/>
        <c:noMultiLvlLbl val="0"/>
      </c:catAx>
      <c:valAx>
        <c:axId val="652775072"/>
        <c:scaling>
          <c:orientation val="minMax"/>
          <c:max val="7.0000000000000007E-2"/>
          <c:min val="0"/>
        </c:scaling>
        <c:delete val="1"/>
        <c:axPos val="b"/>
        <c:numFmt formatCode="0%" sourceLinked="0"/>
        <c:majorTickMark val="out"/>
        <c:minorTickMark val="none"/>
        <c:tickLblPos val="nextTo"/>
        <c:crossAx val="652776248"/>
        <c:crosses val="autoZero"/>
        <c:crossBetween val="between"/>
      </c:valAx>
      <c:valAx>
        <c:axId val="652773896"/>
        <c:scaling>
          <c:orientation val="minMax"/>
        </c:scaling>
        <c:delete val="1"/>
        <c:axPos val="t"/>
        <c:numFmt formatCode="0.0%" sourceLinked="1"/>
        <c:majorTickMark val="out"/>
        <c:minorTickMark val="none"/>
        <c:tickLblPos val="nextTo"/>
        <c:crossAx val="652774288"/>
        <c:crosses val="max"/>
        <c:crossBetween val="between"/>
      </c:valAx>
      <c:catAx>
        <c:axId val="652774288"/>
        <c:scaling>
          <c:orientation val="minMax"/>
        </c:scaling>
        <c:delete val="1"/>
        <c:axPos val="l"/>
        <c:numFmt formatCode="General" sourceLinked="1"/>
        <c:majorTickMark val="out"/>
        <c:minorTickMark val="none"/>
        <c:tickLblPos val="nextTo"/>
        <c:crossAx val="652773896"/>
        <c:crosses val="autoZero"/>
        <c:auto val="1"/>
        <c:lblAlgn val="ctr"/>
        <c:lblOffset val="100"/>
        <c:noMultiLvlLbl val="0"/>
      </c:catAx>
      <c:spPr>
        <a:noFill/>
        <a:ln>
          <a:noFill/>
        </a:ln>
        <a:effectLst/>
      </c:spPr>
    </c:plotArea>
    <c:legend>
      <c:legendPos val="b"/>
      <c:legendEntry>
        <c:idx val="3"/>
        <c:delete val="1"/>
      </c:legendEntry>
      <c:legendEntry>
        <c:idx val="4"/>
        <c:delete val="1"/>
      </c:legendEntry>
      <c:layout>
        <c:manualLayout>
          <c:xMode val="edge"/>
          <c:yMode val="edge"/>
          <c:x val="0"/>
          <c:y val="0.82762635629643599"/>
          <c:w val="1"/>
          <c:h val="0.16233355174749842"/>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r>
              <a:rPr lang="lv-LV"/>
              <a:t>Vidējā profesionālā izglītība</a:t>
            </a:r>
          </a:p>
        </c:rich>
      </c:tx>
      <c:overlay val="0"/>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title>
    <c:autoTitleDeleted val="0"/>
    <c:plotArea>
      <c:layout>
        <c:manualLayout>
          <c:layoutTarget val="inner"/>
          <c:xMode val="edge"/>
          <c:yMode val="edge"/>
          <c:x val="0.50575499817979219"/>
          <c:y val="0.12992478881316305"/>
          <c:w val="0.46541549708304769"/>
          <c:h val="0.81307615959769719"/>
        </c:manualLayout>
      </c:layout>
      <c:barChart>
        <c:barDir val="bar"/>
        <c:grouping val="stacked"/>
        <c:varyColors val="0"/>
        <c:ser>
          <c:idx val="0"/>
          <c:order val="0"/>
          <c:tx>
            <c:strRef>
              <c:f>Sheet1!$B$19</c:f>
              <c:strCache>
                <c:ptCount val="1"/>
                <c:pt idx="0">
                  <c:v>Kopā</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bg1"/>
                    </a:solidFill>
                    <a:latin typeface="Segoe UI Light" panose="020B0502040204020203" pitchFamily="34" charset="0"/>
                    <a:ea typeface="+mn-ea"/>
                    <a:cs typeface="Segoe UI Light" panose="020B0502040204020203"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Sheet1!$A$21:$A$25</c:f>
              <c:strCache>
                <c:ptCount val="5"/>
                <c:pt idx="0">
                  <c:v>Inženierzinātnes, ražošana un būvniecība</c:v>
                </c:pt>
                <c:pt idx="1">
                  <c:v>Sociālās zinātnes, komerczinības un tiesības</c:v>
                </c:pt>
                <c:pt idx="2">
                  <c:v>Humanitārās zinātnes un māksla</c:v>
                </c:pt>
                <c:pt idx="3">
                  <c:v>Lauksaimniecība</c:v>
                </c:pt>
                <c:pt idx="4">
                  <c:v>Pakalpojumi</c:v>
                </c:pt>
              </c:strCache>
            </c:strRef>
          </c:cat>
          <c:val>
            <c:numRef>
              <c:f>Sheet1!$B$21:$B$25</c:f>
              <c:numCache>
                <c:formatCode>0.00%</c:formatCode>
                <c:ptCount val="5"/>
                <c:pt idx="0">
                  <c:v>7.8899999999999998E-2</c:v>
                </c:pt>
                <c:pt idx="1">
                  <c:v>8.8300000000000003E-2</c:v>
                </c:pt>
                <c:pt idx="2">
                  <c:v>9.1600000000000001E-2</c:v>
                </c:pt>
                <c:pt idx="3">
                  <c:v>0.1074</c:v>
                </c:pt>
                <c:pt idx="4">
                  <c:v>0.1123</c:v>
                </c:pt>
              </c:numCache>
            </c:numRef>
          </c:val>
          <c:extLst>
            <c:ext xmlns:c16="http://schemas.microsoft.com/office/drawing/2014/chart" uri="{C3380CC4-5D6E-409C-BE32-E72D297353CC}">
              <c16:uniqueId val="{00000000-4846-46B1-86F1-670E589D3088}"/>
            </c:ext>
          </c:extLst>
        </c:ser>
        <c:dLbls>
          <c:showLegendKey val="0"/>
          <c:showVal val="0"/>
          <c:showCatName val="0"/>
          <c:showSerName val="0"/>
          <c:showPercent val="0"/>
          <c:showBubbleSize val="0"/>
        </c:dLbls>
        <c:gapWidth val="50"/>
        <c:overlap val="100"/>
        <c:axId val="652776248"/>
        <c:axId val="652775072"/>
      </c:barChart>
      <c:catAx>
        <c:axId val="652776248"/>
        <c:scaling>
          <c:orientation val="minMax"/>
        </c:scaling>
        <c:delete val="0"/>
        <c:axPos val="l"/>
        <c:numFmt formatCode="General" sourceLinked="1"/>
        <c:majorTickMark val="none"/>
        <c:minorTickMark val="none"/>
        <c:tickLblPos val="nextTo"/>
        <c:spPr>
          <a:noFill/>
          <a:ln w="6350" cap="flat" cmpd="sng" algn="ctr">
            <a:solidFill>
              <a:schemeClr val="bg1">
                <a:lumMod val="7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75072"/>
        <c:crosses val="autoZero"/>
        <c:auto val="1"/>
        <c:lblAlgn val="ctr"/>
        <c:lblOffset val="100"/>
        <c:noMultiLvlLbl val="0"/>
      </c:catAx>
      <c:valAx>
        <c:axId val="652775072"/>
        <c:scaling>
          <c:orientation val="minMax"/>
          <c:max val="0.12000000000000001"/>
          <c:min val="2.0000000000000004E-2"/>
        </c:scaling>
        <c:delete val="0"/>
        <c:axPos val="b"/>
        <c:numFmt formatCode="0%" sourceLinked="0"/>
        <c:majorTickMark val="none"/>
        <c:minorTickMark val="none"/>
        <c:tickLblPos val="nextTo"/>
        <c:spPr>
          <a:noFill/>
          <a:ln w="6350">
            <a:solidFill>
              <a:schemeClr val="bg1">
                <a:lumMod val="75000"/>
              </a:schemeClr>
            </a:solid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76248"/>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344033918837075E-2"/>
          <c:y val="4.9696319717268927E-2"/>
          <c:w val="0.94978444122268624"/>
          <c:h val="0.63512133319256048"/>
        </c:manualLayout>
      </c:layout>
      <c:barChart>
        <c:barDir val="col"/>
        <c:grouping val="clustered"/>
        <c:varyColors val="0"/>
        <c:ser>
          <c:idx val="0"/>
          <c:order val="0"/>
          <c:tx>
            <c:strRef>
              <c:f>Sheet1!$B$1</c:f>
              <c:strCache>
                <c:ptCount val="1"/>
                <c:pt idx="0">
                  <c:v>Augstākā izglītība</c:v>
                </c:pt>
              </c:strCache>
            </c:strRef>
          </c:tx>
          <c:spPr>
            <a:solidFill>
              <a:srgbClr val="F79646">
                <a:lumMod val="75000"/>
              </a:srgb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Izglītība</c:v>
                </c:pt>
                <c:pt idx="1">
                  <c:v>Veselības aprūpe un sociālā labklājība</c:v>
                </c:pt>
                <c:pt idx="2">
                  <c:v>Sociālās zinātnes, komerczinības un tiesības</c:v>
                </c:pt>
                <c:pt idx="3">
                  <c:v>Dabaszinātnes, matemātika un informācijas tehnoloģijas</c:v>
                </c:pt>
                <c:pt idx="4">
                  <c:v>Pakalpojumi</c:v>
                </c:pt>
                <c:pt idx="5">
                  <c:v>Inženierzinātnes, ražošana un būvniecība</c:v>
                </c:pt>
                <c:pt idx="6">
                  <c:v>Lauksaimniecība</c:v>
                </c:pt>
                <c:pt idx="7">
                  <c:v>Humanitārās zinātnes un māksla</c:v>
                </c:pt>
              </c:strCache>
              <c:extLst/>
            </c:strRef>
          </c:cat>
          <c:val>
            <c:numRef>
              <c:f>Sheet1!$B$2:$B$9</c:f>
              <c:numCache>
                <c:formatCode>0.0%</c:formatCode>
                <c:ptCount val="8"/>
                <c:pt idx="0">
                  <c:v>0.84589999999999999</c:v>
                </c:pt>
                <c:pt idx="1">
                  <c:v>0.84519999999999995</c:v>
                </c:pt>
                <c:pt idx="2">
                  <c:v>0.83020000000000005</c:v>
                </c:pt>
                <c:pt idx="3">
                  <c:v>0.78680000000000005</c:v>
                </c:pt>
                <c:pt idx="4">
                  <c:v>0.66220000000000001</c:v>
                </c:pt>
                <c:pt idx="5">
                  <c:v>0.61180000000000001</c:v>
                </c:pt>
                <c:pt idx="6">
                  <c:v>0.57999999999999996</c:v>
                </c:pt>
                <c:pt idx="7">
                  <c:v>0.46339999999999998</c:v>
                </c:pt>
              </c:numCache>
            </c:numRef>
          </c:val>
          <c:extLst>
            <c:ext xmlns:c16="http://schemas.microsoft.com/office/drawing/2014/chart" uri="{C3380CC4-5D6E-409C-BE32-E72D297353CC}">
              <c16:uniqueId val="{00000000-B6AA-4EAE-B823-8786DD0F87F0}"/>
            </c:ext>
          </c:extLst>
        </c:ser>
        <c:ser>
          <c:idx val="1"/>
          <c:order val="1"/>
          <c:tx>
            <c:strRef>
              <c:f>Sheet1!$C$1</c:f>
              <c:strCache>
                <c:ptCount val="1"/>
                <c:pt idx="0">
                  <c:v>Vidējā profesionālā izglītība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Sheet1!$C$2:$C$9</c:f>
              <c:numCache>
                <c:formatCode>0.0%</c:formatCode>
                <c:ptCount val="8"/>
                <c:pt idx="1">
                  <c:v>0.83660000000000001</c:v>
                </c:pt>
                <c:pt idx="2">
                  <c:v>0.63439999999999996</c:v>
                </c:pt>
                <c:pt idx="3">
                  <c:v>0.50209999999999999</c:v>
                </c:pt>
                <c:pt idx="4">
                  <c:v>0.5252</c:v>
                </c:pt>
                <c:pt idx="5">
                  <c:v>0.51370000000000005</c:v>
                </c:pt>
                <c:pt idx="6">
                  <c:v>0.24660000000000001</c:v>
                </c:pt>
                <c:pt idx="7">
                  <c:v>0.28289999999999998</c:v>
                </c:pt>
              </c:numCache>
            </c:numRef>
          </c:val>
          <c:extLst>
            <c:ext xmlns:c16="http://schemas.microsoft.com/office/drawing/2014/chart" uri="{C3380CC4-5D6E-409C-BE32-E72D297353CC}">
              <c16:uniqueId val="{00000001-A07D-4D36-8D32-EAD69CE7605A}"/>
            </c:ext>
          </c:extLst>
        </c:ser>
        <c:dLbls>
          <c:showLegendKey val="0"/>
          <c:showVal val="0"/>
          <c:showCatName val="0"/>
          <c:showSerName val="0"/>
          <c:showPercent val="0"/>
          <c:showBubbleSize val="0"/>
        </c:dLbls>
        <c:gapWidth val="70"/>
        <c:overlap val="-27"/>
        <c:axId val="433549720"/>
        <c:axId val="616371920"/>
      </c:barChart>
      <c:catAx>
        <c:axId val="433549720"/>
        <c:scaling>
          <c:orientation val="minMax"/>
        </c:scaling>
        <c:delete val="0"/>
        <c:axPos val="b"/>
        <c:numFmt formatCode="General" sourceLinked="1"/>
        <c:majorTickMark val="none"/>
        <c:minorTickMark val="none"/>
        <c:tickLblPos val="nextTo"/>
        <c:spPr>
          <a:noFill/>
          <a:ln w="3175" cap="flat" cmpd="sng" algn="ctr">
            <a:solidFill>
              <a:sysClr val="windowText" lastClr="000000">
                <a:tint val="75000"/>
                <a:shade val="95000"/>
                <a:satMod val="105000"/>
              </a:sys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16371920"/>
        <c:crosses val="autoZero"/>
        <c:auto val="1"/>
        <c:lblAlgn val="ctr"/>
        <c:lblOffset val="100"/>
        <c:noMultiLvlLbl val="0"/>
      </c:catAx>
      <c:valAx>
        <c:axId val="616371920"/>
        <c:scaling>
          <c:orientation val="minMax"/>
        </c:scaling>
        <c:delete val="1"/>
        <c:axPos val="l"/>
        <c:numFmt formatCode="0%" sourceLinked="0"/>
        <c:majorTickMark val="none"/>
        <c:minorTickMark val="none"/>
        <c:tickLblPos val="nextTo"/>
        <c:crossAx val="43354972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394993857246163E-2"/>
          <c:y val="3.8948248199348494E-2"/>
          <c:w val="0.93808659714736065"/>
          <c:h val="0.65734950581927043"/>
        </c:manualLayout>
      </c:layout>
      <c:barChart>
        <c:barDir val="col"/>
        <c:grouping val="clustered"/>
        <c:varyColors val="0"/>
        <c:ser>
          <c:idx val="0"/>
          <c:order val="0"/>
          <c:tx>
            <c:strRef>
              <c:f>Sheet1!$B$1</c:f>
              <c:strCache>
                <c:ptCount val="1"/>
                <c:pt idx="0">
                  <c:v>Avots: Cedefop</c:v>
                </c:pt>
              </c:strCache>
            </c:strRef>
          </c:tx>
          <c:spPr>
            <a:solidFill>
              <a:schemeClr val="accent2">
                <a:lumMod val="75000"/>
              </a:schemeClr>
            </a:solidFill>
            <a:ln>
              <a:noFill/>
            </a:ln>
            <a:effectLst/>
          </c:spPr>
          <c:invertIfNegative val="0"/>
          <c:dPt>
            <c:idx val="13"/>
            <c:invertIfNegative val="0"/>
            <c:bubble3D val="0"/>
            <c:spPr>
              <a:solidFill>
                <a:srgbClr val="B85808"/>
              </a:solidFill>
              <a:ln>
                <a:noFill/>
              </a:ln>
              <a:effectLst/>
            </c:spPr>
            <c:extLst>
              <c:ext xmlns:c16="http://schemas.microsoft.com/office/drawing/2014/chart" uri="{C3380CC4-5D6E-409C-BE32-E72D297353CC}">
                <c16:uniqueId val="{00000001-0654-4F56-AAE6-31DA961A812C}"/>
              </c:ext>
            </c:extLst>
          </c:dPt>
          <c:dPt>
            <c:idx val="14"/>
            <c:invertIfNegative val="0"/>
            <c:bubble3D val="0"/>
            <c:spPr>
              <a:solidFill>
                <a:srgbClr val="C00000"/>
              </a:solidFill>
              <a:ln>
                <a:noFill/>
              </a:ln>
              <a:effectLst/>
            </c:spPr>
            <c:extLst>
              <c:ext xmlns:c16="http://schemas.microsoft.com/office/drawing/2014/chart" uri="{C3380CC4-5D6E-409C-BE32-E72D297353CC}">
                <c16:uniqueId val="{00000003-0654-4F56-AAE6-31DA961A812C}"/>
              </c:ext>
            </c:extLst>
          </c:dPt>
          <c:dPt>
            <c:idx val="18"/>
            <c:invertIfNegative val="0"/>
            <c:bubble3D val="0"/>
            <c:spPr>
              <a:solidFill>
                <a:srgbClr val="CD6209"/>
              </a:solidFill>
              <a:ln>
                <a:noFill/>
              </a:ln>
              <a:effectLst/>
            </c:spPr>
            <c:extLst>
              <c:ext xmlns:c16="http://schemas.microsoft.com/office/drawing/2014/chart" uri="{C3380CC4-5D6E-409C-BE32-E72D297353CC}">
                <c16:uniqueId val="{00000005-0654-4F56-AAE6-31DA961A812C}"/>
              </c:ext>
            </c:extLst>
          </c:dPt>
          <c:dPt>
            <c:idx val="20"/>
            <c:invertIfNegative val="0"/>
            <c:bubble3D val="0"/>
            <c:spPr>
              <a:solidFill>
                <a:srgbClr val="CD6209"/>
              </a:solidFill>
              <a:ln>
                <a:noFill/>
              </a:ln>
              <a:effectLst/>
            </c:spPr>
            <c:extLst>
              <c:ext xmlns:c16="http://schemas.microsoft.com/office/drawing/2014/chart" uri="{C3380CC4-5D6E-409C-BE32-E72D297353CC}">
                <c16:uniqueId val="{00000007-0654-4F56-AAE6-31DA961A812C}"/>
              </c:ext>
            </c:extLst>
          </c:dPt>
          <c:dLbls>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54-4F56-AAE6-31DA961A812C}"/>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Sheet1!$A$2:$A$28</c:f>
              <c:strCache>
                <c:ptCount val="27"/>
                <c:pt idx="0">
                  <c:v>Čehija</c:v>
                </c:pt>
                <c:pt idx="1">
                  <c:v>Zviedrija</c:v>
                </c:pt>
                <c:pt idx="2">
                  <c:v>Dānija</c:v>
                </c:pt>
                <c:pt idx="3">
                  <c:v>Somija</c:v>
                </c:pt>
                <c:pt idx="4">
                  <c:v>Slovēnija</c:v>
                </c:pt>
                <c:pt idx="5">
                  <c:v>Igaunija</c:v>
                </c:pt>
                <c:pt idx="6">
                  <c:v>Luksemburga</c:v>
                </c:pt>
                <c:pt idx="7">
                  <c:v>Polija</c:v>
                </c:pt>
                <c:pt idx="8">
                  <c:v>Malta</c:v>
                </c:pt>
                <c:pt idx="9">
                  <c:v>Nīderlande</c:v>
                </c:pt>
                <c:pt idx="10">
                  <c:v>Ungārija</c:v>
                </c:pt>
                <c:pt idx="11">
                  <c:v>Horvātija</c:v>
                </c:pt>
                <c:pt idx="12">
                  <c:v>Austrija</c:v>
                </c:pt>
                <c:pt idx="13">
                  <c:v>Vācija</c:v>
                </c:pt>
                <c:pt idx="14">
                  <c:v>Latvija</c:v>
                </c:pt>
                <c:pt idx="15">
                  <c:v>Slovākija</c:v>
                </c:pt>
                <c:pt idx="16">
                  <c:v>Lietuva</c:v>
                </c:pt>
                <c:pt idx="17">
                  <c:v>Beļģija</c:v>
                </c:pt>
                <c:pt idx="18">
                  <c:v>Īrija</c:v>
                </c:pt>
                <c:pt idx="19">
                  <c:v>Francija</c:v>
                </c:pt>
                <c:pt idx="20">
                  <c:v>Portugāle</c:v>
                </c:pt>
                <c:pt idx="21">
                  <c:v>Bulgārija</c:v>
                </c:pt>
                <c:pt idx="22">
                  <c:v>Kipra</c:v>
                </c:pt>
                <c:pt idx="23">
                  <c:v>Rumānija</c:v>
                </c:pt>
                <c:pt idx="24">
                  <c:v>Grieķija</c:v>
                </c:pt>
                <c:pt idx="25">
                  <c:v>Itālija</c:v>
                </c:pt>
                <c:pt idx="26">
                  <c:v>Spānija</c:v>
                </c:pt>
              </c:strCache>
            </c:strRef>
          </c:cat>
          <c:val>
            <c:numRef>
              <c:f>Sheet1!$B$2:$B$28</c:f>
              <c:numCache>
                <c:formatCode>0.0</c:formatCode>
                <c:ptCount val="27"/>
                <c:pt idx="0">
                  <c:v>70.366799999999998</c:v>
                </c:pt>
                <c:pt idx="1">
                  <c:v>67.3489</c:v>
                </c:pt>
                <c:pt idx="2">
                  <c:v>66.7149</c:v>
                </c:pt>
                <c:pt idx="3">
                  <c:v>66.6006</c:v>
                </c:pt>
                <c:pt idx="4">
                  <c:v>65.316599999999994</c:v>
                </c:pt>
                <c:pt idx="5">
                  <c:v>64.760099999999994</c:v>
                </c:pt>
                <c:pt idx="6">
                  <c:v>63.902200000000001</c:v>
                </c:pt>
                <c:pt idx="7">
                  <c:v>63.664000000000001</c:v>
                </c:pt>
                <c:pt idx="8">
                  <c:v>63.3367</c:v>
                </c:pt>
                <c:pt idx="9">
                  <c:v>63.008899999999997</c:v>
                </c:pt>
                <c:pt idx="10">
                  <c:v>62.1447</c:v>
                </c:pt>
                <c:pt idx="11">
                  <c:v>61.825200000000002</c:v>
                </c:pt>
                <c:pt idx="12">
                  <c:v>59.978000000000002</c:v>
                </c:pt>
                <c:pt idx="13">
                  <c:v>59.934899999999999</c:v>
                </c:pt>
                <c:pt idx="14">
                  <c:v>58.651699999999998</c:v>
                </c:pt>
                <c:pt idx="15">
                  <c:v>55.423400000000001</c:v>
                </c:pt>
                <c:pt idx="16">
                  <c:v>54.395699999999998</c:v>
                </c:pt>
                <c:pt idx="17">
                  <c:v>50.454700000000003</c:v>
                </c:pt>
                <c:pt idx="18">
                  <c:v>47.756799999999998</c:v>
                </c:pt>
                <c:pt idx="19">
                  <c:v>46.410400000000003</c:v>
                </c:pt>
                <c:pt idx="20">
                  <c:v>45.342599999999997</c:v>
                </c:pt>
                <c:pt idx="21">
                  <c:v>40.984200000000001</c:v>
                </c:pt>
                <c:pt idx="22">
                  <c:v>39.057899999999997</c:v>
                </c:pt>
                <c:pt idx="23">
                  <c:v>32.8078</c:v>
                </c:pt>
                <c:pt idx="24">
                  <c:v>28.069600000000001</c:v>
                </c:pt>
                <c:pt idx="25">
                  <c:v>26.033999999999999</c:v>
                </c:pt>
                <c:pt idx="26">
                  <c:v>24.185400000000001</c:v>
                </c:pt>
              </c:numCache>
            </c:numRef>
          </c:val>
          <c:extLst>
            <c:ext xmlns:c16="http://schemas.microsoft.com/office/drawing/2014/chart" uri="{C3380CC4-5D6E-409C-BE32-E72D297353CC}">
              <c16:uniqueId val="{00000008-0654-4F56-AAE6-31DA961A812C}"/>
            </c:ext>
          </c:extLst>
        </c:ser>
        <c:dLbls>
          <c:showLegendKey val="0"/>
          <c:showVal val="0"/>
          <c:showCatName val="0"/>
          <c:showSerName val="0"/>
          <c:showPercent val="0"/>
          <c:showBubbleSize val="0"/>
        </c:dLbls>
        <c:gapWidth val="60"/>
        <c:overlap val="-27"/>
        <c:axId val="742073432"/>
        <c:axId val="742075392"/>
      </c:barChart>
      <c:catAx>
        <c:axId val="742073432"/>
        <c:scaling>
          <c:orientation val="minMax"/>
        </c:scaling>
        <c:delete val="0"/>
        <c:axPos val="b"/>
        <c:numFmt formatCode="General" sourceLinked="1"/>
        <c:majorTickMark val="none"/>
        <c:minorTickMark val="none"/>
        <c:tickLblPos val="nextTo"/>
        <c:spPr>
          <a:noFill/>
          <a:ln w="6350" cap="flat" cmpd="sng" algn="ctr">
            <a:solidFill>
              <a:sysClr val="window" lastClr="FFFFFF">
                <a:lumMod val="75000"/>
              </a:sys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75392"/>
        <c:crosses val="autoZero"/>
        <c:auto val="1"/>
        <c:lblAlgn val="ctr"/>
        <c:lblOffset val="100"/>
        <c:noMultiLvlLbl val="0"/>
      </c:catAx>
      <c:valAx>
        <c:axId val="742075392"/>
        <c:scaling>
          <c:orientation val="minMax"/>
          <c:max val="80"/>
        </c:scaling>
        <c:delete val="0"/>
        <c:axPos val="l"/>
        <c:numFmt formatCode="0" sourceLinked="0"/>
        <c:majorTickMark val="none"/>
        <c:minorTickMark val="none"/>
        <c:tickLblPos val="nextTo"/>
        <c:spPr>
          <a:noFill/>
          <a:ln w="6350">
            <a:solidFill>
              <a:sysClr val="window" lastClr="FFFFFF">
                <a:lumMod val="75000"/>
              </a:sys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73432"/>
        <c:crosses val="autoZero"/>
        <c:crossBetween val="between"/>
        <c:majorUnit val="20"/>
        <c:min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89406942976753E-2"/>
          <c:y val="5.1607794835701402E-2"/>
          <c:w val="0.63968486574238859"/>
          <c:h val="0.76067252105101091"/>
        </c:manualLayout>
      </c:layout>
      <c:barChart>
        <c:barDir val="col"/>
        <c:grouping val="stacked"/>
        <c:varyColors val="0"/>
        <c:ser>
          <c:idx val="2"/>
          <c:order val="0"/>
          <c:tx>
            <c:strRef>
              <c:f>Sheet1!$A$4</c:f>
              <c:strCache>
                <c:ptCount val="1"/>
                <c:pt idx="0">
                  <c:v>Pamatizglītība un zemāks izglītības līmenis</c:v>
                </c:pt>
              </c:strCache>
            </c:strRef>
          </c:tx>
          <c:spPr>
            <a:solidFill>
              <a:schemeClr val="accent3"/>
            </a:solidFill>
          </c:spPr>
          <c:invertIfNegative val="0"/>
          <c:dLbls>
            <c:dLbl>
              <c:idx val="1"/>
              <c:layout>
                <c:manualLayout>
                  <c:x val="-2.2031865363444244E-3"/>
                  <c:y val="-1.94522208654170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D2-4534-A601-27361D63449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Kopā</c:v>
                </c:pt>
                <c:pt idx="1">
                  <c:v>Augstas kvalifikācijas profesijas</c:v>
                </c:pt>
                <c:pt idx="2">
                  <c:v>Vidējas kvalifikācijas profesijas</c:v>
                </c:pt>
                <c:pt idx="3">
                  <c:v>Zemas kvalifikācijas profesijas</c:v>
                </c:pt>
              </c:strCache>
            </c:strRef>
          </c:cat>
          <c:val>
            <c:numRef>
              <c:f>Sheet1!$B$4:$E$4</c:f>
              <c:numCache>
                <c:formatCode>0</c:formatCode>
                <c:ptCount val="4"/>
                <c:pt idx="0">
                  <c:v>7.2490054788223377</c:v>
                </c:pt>
                <c:pt idx="1">
                  <c:v>0.65258918082430839</c:v>
                </c:pt>
                <c:pt idx="2">
                  <c:v>10.55674461855472</c:v>
                </c:pt>
                <c:pt idx="3">
                  <c:v>19.181413532020283</c:v>
                </c:pt>
              </c:numCache>
            </c:numRef>
          </c:val>
          <c:extLst>
            <c:ext xmlns:c16="http://schemas.microsoft.com/office/drawing/2014/chart" uri="{C3380CC4-5D6E-409C-BE32-E72D297353CC}">
              <c16:uniqueId val="{00000001-48D2-4534-A601-27361D63449E}"/>
            </c:ext>
          </c:extLst>
        </c:ser>
        <c:ser>
          <c:idx val="1"/>
          <c:order val="1"/>
          <c:tx>
            <c:strRef>
              <c:f>Sheet1!$A$3</c:f>
              <c:strCache>
                <c:ptCount val="1"/>
                <c:pt idx="0">
                  <c:v>Vidējā izglītība</c:v>
                </c:pt>
              </c:strCache>
            </c:strRef>
          </c:tx>
          <c:spPr>
            <a:solidFill>
              <a:schemeClr val="accent4">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Kopā</c:v>
                </c:pt>
                <c:pt idx="1">
                  <c:v>Augstas kvalifikācijas profesijas</c:v>
                </c:pt>
                <c:pt idx="2">
                  <c:v>Vidējas kvalifikācijas profesijas</c:v>
                </c:pt>
                <c:pt idx="3">
                  <c:v>Zemas kvalifikācijas profesijas</c:v>
                </c:pt>
              </c:strCache>
            </c:strRef>
          </c:cat>
          <c:val>
            <c:numRef>
              <c:f>Sheet1!$B$3:$E$3</c:f>
              <c:numCache>
                <c:formatCode>0</c:formatCode>
                <c:ptCount val="4"/>
                <c:pt idx="0">
                  <c:v>51.150945183706128</c:v>
                </c:pt>
                <c:pt idx="1">
                  <c:v>24.817237988161544</c:v>
                </c:pt>
                <c:pt idx="2">
                  <c:v>72.443214991583247</c:v>
                </c:pt>
                <c:pt idx="3">
                  <c:v>71</c:v>
                </c:pt>
              </c:numCache>
            </c:numRef>
          </c:val>
          <c:extLst>
            <c:ext xmlns:c16="http://schemas.microsoft.com/office/drawing/2014/chart" uri="{C3380CC4-5D6E-409C-BE32-E72D297353CC}">
              <c16:uniqueId val="{00000002-48D2-4534-A601-27361D63449E}"/>
            </c:ext>
          </c:extLst>
        </c:ser>
        <c:ser>
          <c:idx val="0"/>
          <c:order val="2"/>
          <c:tx>
            <c:strRef>
              <c:f>Sheet1!$A$2</c:f>
              <c:strCache>
                <c:ptCount val="1"/>
                <c:pt idx="0">
                  <c:v>Augstākā izglītība</c:v>
                </c:pt>
              </c:strCache>
            </c:strRef>
          </c:tx>
          <c:spPr>
            <a:solidFill>
              <a:schemeClr val="accent2"/>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Kopā</c:v>
                </c:pt>
                <c:pt idx="1">
                  <c:v>Augstas kvalifikācijas profesijas</c:v>
                </c:pt>
                <c:pt idx="2">
                  <c:v>Vidējas kvalifikācijas profesijas</c:v>
                </c:pt>
                <c:pt idx="3">
                  <c:v>Zemas kvalifikācijas profesijas</c:v>
                </c:pt>
              </c:strCache>
            </c:strRef>
          </c:cat>
          <c:val>
            <c:numRef>
              <c:f>Sheet1!$B$2:$E$2</c:f>
              <c:numCache>
                <c:formatCode>0</c:formatCode>
                <c:ptCount val="4"/>
                <c:pt idx="0">
                  <c:v>41.53046522146407</c:v>
                </c:pt>
                <c:pt idx="1">
                  <c:v>74</c:v>
                </c:pt>
                <c:pt idx="2">
                  <c:v>16.917269312829351</c:v>
                </c:pt>
                <c:pt idx="3">
                  <c:v>10.188930483716145</c:v>
                </c:pt>
              </c:numCache>
            </c:numRef>
          </c:val>
          <c:extLst>
            <c:ext xmlns:c16="http://schemas.microsoft.com/office/drawing/2014/chart" uri="{C3380CC4-5D6E-409C-BE32-E72D297353CC}">
              <c16:uniqueId val="{00000003-48D2-4534-A601-27361D63449E}"/>
            </c:ext>
          </c:extLst>
        </c:ser>
        <c:dLbls>
          <c:showLegendKey val="0"/>
          <c:showVal val="0"/>
          <c:showCatName val="0"/>
          <c:showSerName val="0"/>
          <c:showPercent val="0"/>
          <c:showBubbleSize val="0"/>
        </c:dLbls>
        <c:gapWidth val="50"/>
        <c:overlap val="100"/>
        <c:axId val="742082840"/>
        <c:axId val="742082056"/>
      </c:barChart>
      <c:catAx>
        <c:axId val="742082840"/>
        <c:scaling>
          <c:orientation val="minMax"/>
        </c:scaling>
        <c:delete val="0"/>
        <c:axPos val="b"/>
        <c:numFmt formatCode="General" sourceLinked="1"/>
        <c:majorTickMark val="out"/>
        <c:minorTickMark val="none"/>
        <c:tickLblPos val="nextTo"/>
        <c:spPr>
          <a:ln>
            <a:solidFill>
              <a:schemeClr val="bg1">
                <a:lumMod val="65000"/>
              </a:schemeClr>
            </a:solidFill>
          </a:ln>
        </c:spPr>
        <c:crossAx val="742082056"/>
        <c:crosses val="autoZero"/>
        <c:auto val="1"/>
        <c:lblAlgn val="ctr"/>
        <c:lblOffset val="100"/>
        <c:tickLblSkip val="1"/>
        <c:noMultiLvlLbl val="0"/>
      </c:catAx>
      <c:valAx>
        <c:axId val="742082056"/>
        <c:scaling>
          <c:orientation val="minMax"/>
          <c:max val="100"/>
        </c:scaling>
        <c:delete val="0"/>
        <c:axPos val="l"/>
        <c:numFmt formatCode="0" sourceLinked="1"/>
        <c:majorTickMark val="out"/>
        <c:minorTickMark val="none"/>
        <c:tickLblPos val="nextTo"/>
        <c:spPr>
          <a:ln>
            <a:noFill/>
          </a:ln>
        </c:spPr>
        <c:crossAx val="742082840"/>
        <c:crosses val="autoZero"/>
        <c:crossBetween val="between"/>
        <c:majorUnit val="20"/>
      </c:valAx>
    </c:plotArea>
    <c:legend>
      <c:legendPos val="r"/>
      <c:layout>
        <c:manualLayout>
          <c:xMode val="edge"/>
          <c:yMode val="edge"/>
          <c:x val="0.71149450034291462"/>
          <c:y val="3.5539801864666945E-2"/>
          <c:w val="0.27788608287249644"/>
          <c:h val="0.83006665478194219"/>
        </c:manualLayout>
      </c:layout>
      <c:overlay val="0"/>
    </c:legend>
    <c:plotVisOnly val="1"/>
    <c:dispBlanksAs val="gap"/>
    <c:showDLblsOverMax val="0"/>
  </c:chart>
  <c:spPr>
    <a:ln>
      <a:noFill/>
    </a:ln>
  </c:spPr>
  <c:txPr>
    <a:bodyPr/>
    <a:lstStyle/>
    <a:p>
      <a:pPr>
        <a:defRPr sz="800">
          <a:latin typeface="Segoe UI Light" panose="020B0502040204020203" pitchFamily="34" charset="0"/>
          <a:ea typeface="Segoe UI" panose="020B0502040204020203" pitchFamily="34" charset="0"/>
          <a:cs typeface="Segoe UI" panose="020B0502040204020203" pitchFamily="34" charset="0"/>
        </a:defRPr>
      </a:pPr>
      <a:endParaRPr lang="lv-LV"/>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24631507926125E-2"/>
          <c:y val="3.2382323864912382E-2"/>
          <c:w val="0.93200945882823971"/>
          <c:h val="0.86415144875958516"/>
        </c:manualLayout>
      </c:layout>
      <c:lineChart>
        <c:grouping val="standard"/>
        <c:varyColors val="0"/>
        <c:ser>
          <c:idx val="1"/>
          <c:order val="0"/>
          <c:tx>
            <c:strRef>
              <c:f>Sheet1!$B$1</c:f>
              <c:strCache>
                <c:ptCount val="1"/>
                <c:pt idx="0">
                  <c:v>Profesionālās izglītības iestādēs</c:v>
                </c:pt>
              </c:strCache>
            </c:strRef>
          </c:tx>
          <c:spPr>
            <a:effectLst/>
          </c:spPr>
          <c:marker>
            <c:symbol val="circle"/>
            <c:size val="7"/>
          </c:marker>
          <c:cat>
            <c:numRef>
              <c:f>Sheet1!$A$2:$A$17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Sheet1!$B$2:$B$17</c:f>
              <c:numCache>
                <c:formatCode>0.0</c:formatCode>
                <c:ptCount val="16"/>
                <c:pt idx="0">
                  <c:v>13.882999999999999</c:v>
                </c:pt>
                <c:pt idx="1">
                  <c:v>11.367000000000001</c:v>
                </c:pt>
                <c:pt idx="2">
                  <c:v>11.914</c:v>
                </c:pt>
                <c:pt idx="3">
                  <c:v>11.923999999999999</c:v>
                </c:pt>
                <c:pt idx="4">
                  <c:v>11.366</c:v>
                </c:pt>
                <c:pt idx="5">
                  <c:v>11.506</c:v>
                </c:pt>
                <c:pt idx="6">
                  <c:v>11.702999999999999</c:v>
                </c:pt>
                <c:pt idx="7">
                  <c:v>11.048</c:v>
                </c:pt>
                <c:pt idx="8">
                  <c:v>12.484999999999999</c:v>
                </c:pt>
                <c:pt idx="9">
                  <c:v>11.625</c:v>
                </c:pt>
                <c:pt idx="10">
                  <c:v>11.68</c:v>
                </c:pt>
                <c:pt idx="11">
                  <c:v>11.138999999999999</c:v>
                </c:pt>
                <c:pt idx="12">
                  <c:v>10.923999999999999</c:v>
                </c:pt>
                <c:pt idx="13">
                  <c:v>10.606999999999999</c:v>
                </c:pt>
                <c:pt idx="14">
                  <c:v>10.628</c:v>
                </c:pt>
                <c:pt idx="15">
                  <c:v>10.975</c:v>
                </c:pt>
              </c:numCache>
            </c:numRef>
          </c:val>
          <c:smooth val="0"/>
          <c:extLst>
            <c:ext xmlns:c16="http://schemas.microsoft.com/office/drawing/2014/chart" uri="{C3380CC4-5D6E-409C-BE32-E72D297353CC}">
              <c16:uniqueId val="{00000000-33BE-45D0-A4FF-0DBF5453FBC1}"/>
            </c:ext>
          </c:extLst>
        </c:ser>
        <c:ser>
          <c:idx val="2"/>
          <c:order val="1"/>
          <c:tx>
            <c:strRef>
              <c:f>Sheet1!$C$1</c:f>
              <c:strCache>
                <c:ptCount val="1"/>
                <c:pt idx="0">
                  <c:v>Augstskolās un koledžās</c:v>
                </c:pt>
              </c:strCache>
            </c:strRef>
          </c:tx>
          <c:spPr>
            <a:effectLst/>
          </c:spPr>
          <c:marker>
            <c:symbol val="circle"/>
            <c:size val="7"/>
          </c:marker>
          <c:cat>
            <c:numRef>
              <c:f>Sheet1!$A$2:$A$17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Sheet1!$C$2:$C$17</c:f>
              <c:numCache>
                <c:formatCode>0.0</c:formatCode>
                <c:ptCount val="16"/>
                <c:pt idx="0">
                  <c:v>41.576999999999998</c:v>
                </c:pt>
                <c:pt idx="1">
                  <c:v>31.529</c:v>
                </c:pt>
                <c:pt idx="2">
                  <c:v>31.012</c:v>
                </c:pt>
                <c:pt idx="3">
                  <c:v>31.945</c:v>
                </c:pt>
                <c:pt idx="4">
                  <c:v>33.319000000000003</c:v>
                </c:pt>
                <c:pt idx="5">
                  <c:v>31.219000000000001</c:v>
                </c:pt>
                <c:pt idx="6">
                  <c:v>29.137</c:v>
                </c:pt>
                <c:pt idx="7">
                  <c:v>29.082999999999998</c:v>
                </c:pt>
                <c:pt idx="8">
                  <c:v>28.588000000000001</c:v>
                </c:pt>
                <c:pt idx="9">
                  <c:v>27.128</c:v>
                </c:pt>
                <c:pt idx="10">
                  <c:v>27.652000000000001</c:v>
                </c:pt>
                <c:pt idx="11">
                  <c:v>29.399000000000001</c:v>
                </c:pt>
                <c:pt idx="12">
                  <c:v>28.704999999999998</c:v>
                </c:pt>
                <c:pt idx="13">
                  <c:v>29.036999999999999</c:v>
                </c:pt>
                <c:pt idx="14">
                  <c:v>26.46</c:v>
                </c:pt>
                <c:pt idx="15">
                  <c:v>28.911999999999999</c:v>
                </c:pt>
              </c:numCache>
            </c:numRef>
          </c:val>
          <c:smooth val="0"/>
          <c:extLst>
            <c:ext xmlns:c16="http://schemas.microsoft.com/office/drawing/2014/chart" uri="{C3380CC4-5D6E-409C-BE32-E72D297353CC}">
              <c16:uniqueId val="{00000001-33BE-45D0-A4FF-0DBF5453FBC1}"/>
            </c:ext>
          </c:extLst>
        </c:ser>
        <c:ser>
          <c:idx val="3"/>
          <c:order val="2"/>
          <c:tx>
            <c:strRef>
              <c:f>Sheet1!$D$1</c:f>
              <c:strCache>
                <c:ptCount val="1"/>
                <c:pt idx="0">
                  <c:v>Vidusskolās</c:v>
                </c:pt>
              </c:strCache>
            </c:strRef>
          </c:tx>
          <c:spPr>
            <a:effectLst/>
          </c:spPr>
          <c:marker>
            <c:symbol val="circle"/>
            <c:size val="7"/>
          </c:marker>
          <c:cat>
            <c:numRef>
              <c:f>Sheet1!$A$2:$A$17</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Sheet1!$D$2:$D$17</c:f>
              <c:numCache>
                <c:formatCode>0.0</c:formatCode>
                <c:ptCount val="16"/>
                <c:pt idx="0">
                  <c:v>20.856000000000002</c:v>
                </c:pt>
                <c:pt idx="1">
                  <c:v>20.152000000000001</c:v>
                </c:pt>
                <c:pt idx="2">
                  <c:v>16.702999999999999</c:v>
                </c:pt>
                <c:pt idx="3">
                  <c:v>15.205</c:v>
                </c:pt>
                <c:pt idx="4">
                  <c:v>13.773999999999999</c:v>
                </c:pt>
                <c:pt idx="5">
                  <c:v>13.298</c:v>
                </c:pt>
                <c:pt idx="6">
                  <c:v>12.42</c:v>
                </c:pt>
                <c:pt idx="7">
                  <c:v>12.917</c:v>
                </c:pt>
                <c:pt idx="8">
                  <c:v>13.188000000000001</c:v>
                </c:pt>
                <c:pt idx="9">
                  <c:v>12.507</c:v>
                </c:pt>
                <c:pt idx="10">
                  <c:v>12.464</c:v>
                </c:pt>
                <c:pt idx="11">
                  <c:v>12.336</c:v>
                </c:pt>
                <c:pt idx="12">
                  <c:v>11.872999999999999</c:v>
                </c:pt>
                <c:pt idx="13">
                  <c:v>12.086</c:v>
                </c:pt>
                <c:pt idx="14">
                  <c:v>12.292999999999999</c:v>
                </c:pt>
                <c:pt idx="15">
                  <c:v>12.8</c:v>
                </c:pt>
              </c:numCache>
            </c:numRef>
          </c:val>
          <c:smooth val="0"/>
          <c:extLst>
            <c:ext xmlns:c16="http://schemas.microsoft.com/office/drawing/2014/chart" uri="{C3380CC4-5D6E-409C-BE32-E72D297353CC}">
              <c16:uniqueId val="{00000002-33BE-45D0-A4FF-0DBF5453FBC1}"/>
            </c:ext>
          </c:extLst>
        </c:ser>
        <c:dLbls>
          <c:showLegendKey val="0"/>
          <c:showVal val="0"/>
          <c:showCatName val="0"/>
          <c:showSerName val="0"/>
          <c:showPercent val="0"/>
          <c:showBubbleSize val="0"/>
        </c:dLbls>
        <c:marker val="1"/>
        <c:smooth val="0"/>
        <c:axId val="742078920"/>
        <c:axId val="742075784"/>
      </c:lineChart>
      <c:catAx>
        <c:axId val="74207892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vert="horz"/>
          <a:lstStyle/>
          <a:p>
            <a:pPr>
              <a:defRPr/>
            </a:pPr>
            <a:endParaRPr lang="lv-LV"/>
          </a:p>
        </c:txPr>
        <c:crossAx val="742075784"/>
        <c:crosses val="autoZero"/>
        <c:auto val="1"/>
        <c:lblAlgn val="ctr"/>
        <c:lblOffset val="100"/>
        <c:noMultiLvlLbl val="0"/>
      </c:catAx>
      <c:valAx>
        <c:axId val="742075784"/>
        <c:scaling>
          <c:orientation val="minMax"/>
          <c:max val="50"/>
          <c:min val="0"/>
        </c:scaling>
        <c:delete val="0"/>
        <c:axPos val="l"/>
        <c:numFmt formatCode="0" sourceLinked="0"/>
        <c:majorTickMark val="out"/>
        <c:minorTickMark val="none"/>
        <c:tickLblPos val="nextTo"/>
        <c:spPr>
          <a:noFill/>
          <a:ln w="9525" cap="flat" cmpd="sng" algn="ctr">
            <a:noFill/>
            <a:prstDash val="solid"/>
            <a:round/>
          </a:ln>
          <a:effectLst/>
        </c:spPr>
        <c:txPr>
          <a:bodyPr rot="-60000000" vert="horz"/>
          <a:lstStyle/>
          <a:p>
            <a:pPr>
              <a:defRPr/>
            </a:pPr>
            <a:endParaRPr lang="lv-LV"/>
          </a:p>
        </c:txPr>
        <c:crossAx val="742078920"/>
        <c:crosses val="autoZero"/>
        <c:crossBetween val="between"/>
        <c:majorUnit val="10"/>
      </c:valAx>
      <c:spPr>
        <a:solidFill>
          <a:schemeClr val="bg1"/>
        </a:solidFill>
        <a:ln>
          <a:noFill/>
        </a:ln>
        <a:effectLst/>
      </c:spPr>
    </c:plotArea>
    <c:legend>
      <c:legendPos val="l"/>
      <c:layout>
        <c:manualLayout>
          <c:xMode val="edge"/>
          <c:yMode val="edge"/>
          <c:x val="0.49785656616517204"/>
          <c:y val="2.8597425027840338E-3"/>
          <c:w val="0.29477502192049582"/>
          <c:h val="0.29177013708334976"/>
        </c:manualLayout>
      </c:layout>
      <c:overlay val="1"/>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885739968286"/>
          <c:y val="8.6450848134884004E-2"/>
          <c:w val="0.87375237947106399"/>
          <c:h val="0.77313984619677201"/>
        </c:manualLayout>
      </c:layout>
      <c:barChart>
        <c:barDir val="col"/>
        <c:grouping val="clustered"/>
        <c:varyColors val="0"/>
        <c:ser>
          <c:idx val="0"/>
          <c:order val="0"/>
          <c:tx>
            <c:strRef>
              <c:f>Sheet1!$A$2</c:f>
              <c:strCache>
                <c:ptCount val="1"/>
                <c:pt idx="0">
                  <c:v>..mācības turpina profesionālās izglītības iestādēs</c:v>
                </c:pt>
              </c:strCache>
            </c:strRef>
          </c:tx>
          <c:spPr>
            <a:solidFill>
              <a:schemeClr val="bg1">
                <a:lumMod val="50000"/>
              </a:schemeClr>
            </a:solidFill>
            <a:ln>
              <a:noFill/>
            </a:ln>
          </c:spPr>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Sheet1!$B$1:$Z$1</c:f>
              <c:strCache>
                <c:ptCount val="18"/>
                <c:pt idx="0">
                  <c:v>2000</c:v>
                </c:pt>
                <c:pt idx="1">
                  <c:v>2002</c:v>
                </c:pt>
                <c:pt idx="2">
                  <c:v>2004</c:v>
                </c:pt>
                <c:pt idx="3">
                  <c:v>2006</c:v>
                </c:pt>
                <c:pt idx="4">
                  <c:v>2008</c:v>
                </c:pt>
                <c:pt idx="5">
                  <c:v>2010</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strCache>
            </c:strRef>
          </c:cat>
          <c:val>
            <c:numRef>
              <c:f>Sheet1!$B$2:$Z$2</c:f>
              <c:numCache>
                <c:formatCode>0.0</c:formatCode>
                <c:ptCount val="18"/>
                <c:pt idx="0" formatCode="0.00">
                  <c:v>34.799999999999997</c:v>
                </c:pt>
                <c:pt idx="1">
                  <c:v>31.4</c:v>
                </c:pt>
                <c:pt idx="2">
                  <c:v>29.6</c:v>
                </c:pt>
                <c:pt idx="3">
                  <c:v>30.4</c:v>
                </c:pt>
                <c:pt idx="4">
                  <c:v>32.700000000000003</c:v>
                </c:pt>
                <c:pt idx="5">
                  <c:v>33.799999999999997</c:v>
                </c:pt>
                <c:pt idx="6">
                  <c:v>33.799999999999997</c:v>
                </c:pt>
                <c:pt idx="7">
                  <c:v>33.4</c:v>
                </c:pt>
                <c:pt idx="8">
                  <c:v>33.799999999999997</c:v>
                </c:pt>
                <c:pt idx="9">
                  <c:v>32.299999999999997</c:v>
                </c:pt>
                <c:pt idx="10">
                  <c:v>34.6</c:v>
                </c:pt>
                <c:pt idx="11">
                  <c:v>35.700000000000003</c:v>
                </c:pt>
                <c:pt idx="12">
                  <c:v>34.5</c:v>
                </c:pt>
                <c:pt idx="13">
                  <c:v>34.6</c:v>
                </c:pt>
                <c:pt idx="14">
                  <c:v>37.4</c:v>
                </c:pt>
                <c:pt idx="15">
                  <c:v>36.9</c:v>
                </c:pt>
                <c:pt idx="16">
                  <c:v>37</c:v>
                </c:pt>
                <c:pt idx="17">
                  <c:v>35.9</c:v>
                </c:pt>
              </c:numCache>
            </c:numRef>
          </c:val>
          <c:extLst>
            <c:ext xmlns:c16="http://schemas.microsoft.com/office/drawing/2014/chart" uri="{C3380CC4-5D6E-409C-BE32-E72D297353CC}">
              <c16:uniqueId val="{00000000-2F79-49DB-8E6D-C4BE5F76368A}"/>
            </c:ext>
          </c:extLst>
        </c:ser>
        <c:dLbls>
          <c:showLegendKey val="0"/>
          <c:showVal val="0"/>
          <c:showCatName val="0"/>
          <c:showSerName val="0"/>
          <c:showPercent val="0"/>
          <c:showBubbleSize val="0"/>
        </c:dLbls>
        <c:gapWidth val="40"/>
        <c:axId val="742080096"/>
        <c:axId val="742076176"/>
      </c:barChart>
      <c:catAx>
        <c:axId val="742080096"/>
        <c:scaling>
          <c:orientation val="minMax"/>
        </c:scaling>
        <c:delete val="0"/>
        <c:axPos val="b"/>
        <c:numFmt formatCode="General" sourceLinked="0"/>
        <c:majorTickMark val="out"/>
        <c:minorTickMark val="none"/>
        <c:tickLblPos val="low"/>
        <c:crossAx val="742076176"/>
        <c:crosses val="autoZero"/>
        <c:auto val="1"/>
        <c:lblAlgn val="ctr"/>
        <c:lblOffset val="100"/>
        <c:noMultiLvlLbl val="0"/>
      </c:catAx>
      <c:valAx>
        <c:axId val="742076176"/>
        <c:scaling>
          <c:orientation val="minMax"/>
          <c:max val="38"/>
          <c:min val="23"/>
        </c:scaling>
        <c:delete val="0"/>
        <c:axPos val="l"/>
        <c:numFmt formatCode="0" sourceLinked="0"/>
        <c:majorTickMark val="out"/>
        <c:minorTickMark val="none"/>
        <c:tickLblPos val="low"/>
        <c:spPr>
          <a:ln>
            <a:noFill/>
          </a:ln>
        </c:spPr>
        <c:crossAx val="742080096"/>
        <c:crosses val="autoZero"/>
        <c:crossBetween val="between"/>
        <c:majorUnit val="3"/>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885739968286"/>
          <c:y val="8.6450848134884004E-2"/>
          <c:w val="0.87375237947106399"/>
          <c:h val="0.77313984619677201"/>
        </c:manualLayout>
      </c:layout>
      <c:barChart>
        <c:barDir val="col"/>
        <c:grouping val="clustered"/>
        <c:varyColors val="0"/>
        <c:ser>
          <c:idx val="0"/>
          <c:order val="0"/>
          <c:tx>
            <c:strRef>
              <c:f>Sheet1!$A$2</c:f>
              <c:strCache>
                <c:ptCount val="1"/>
                <c:pt idx="0">
                  <c:v>..mācības turpina profesionālās izglītības iestādēs</c:v>
                </c:pt>
              </c:strCache>
            </c:strRef>
          </c:tx>
          <c:spPr>
            <a:solidFill>
              <a:schemeClr val="accent5">
                <a:lumMod val="75000"/>
              </a:schemeClr>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Sheet1!$B$1:$Z$1</c:f>
              <c:strCache>
                <c:ptCount val="18"/>
                <c:pt idx="0">
                  <c:v>2000</c:v>
                </c:pt>
                <c:pt idx="1">
                  <c:v>2002</c:v>
                </c:pt>
                <c:pt idx="2">
                  <c:v>2004</c:v>
                </c:pt>
                <c:pt idx="3">
                  <c:v>2006</c:v>
                </c:pt>
                <c:pt idx="4">
                  <c:v>2008</c:v>
                </c:pt>
                <c:pt idx="5">
                  <c:v>2010</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strCache>
            </c:strRef>
          </c:cat>
          <c:val>
            <c:numRef>
              <c:f>Sheet1!$B$2:$Z$2</c:f>
              <c:numCache>
                <c:formatCode>0.0</c:formatCode>
                <c:ptCount val="18"/>
                <c:pt idx="0">
                  <c:v>12</c:v>
                </c:pt>
                <c:pt idx="1">
                  <c:v>10</c:v>
                </c:pt>
                <c:pt idx="2">
                  <c:v>7.5</c:v>
                </c:pt>
                <c:pt idx="3">
                  <c:v>3.2</c:v>
                </c:pt>
                <c:pt idx="4">
                  <c:v>2.8</c:v>
                </c:pt>
                <c:pt idx="5">
                  <c:v>4.2</c:v>
                </c:pt>
                <c:pt idx="6">
                  <c:v>6.4</c:v>
                </c:pt>
                <c:pt idx="7">
                  <c:v>7.6</c:v>
                </c:pt>
                <c:pt idx="8">
                  <c:v>7.3</c:v>
                </c:pt>
                <c:pt idx="9">
                  <c:v>7.6</c:v>
                </c:pt>
                <c:pt idx="10">
                  <c:v>8.3000000000000007</c:v>
                </c:pt>
                <c:pt idx="11">
                  <c:v>6.3</c:v>
                </c:pt>
                <c:pt idx="12">
                  <c:v>5.7</c:v>
                </c:pt>
                <c:pt idx="13">
                  <c:v>5.2</c:v>
                </c:pt>
                <c:pt idx="14">
                  <c:v>6.7</c:v>
                </c:pt>
                <c:pt idx="15" formatCode="General">
                  <c:v>5.6</c:v>
                </c:pt>
                <c:pt idx="16">
                  <c:v>3.7</c:v>
                </c:pt>
                <c:pt idx="17">
                  <c:v>3.1</c:v>
                </c:pt>
              </c:numCache>
            </c:numRef>
          </c:val>
          <c:extLst>
            <c:ext xmlns:c16="http://schemas.microsoft.com/office/drawing/2014/chart" uri="{C3380CC4-5D6E-409C-BE32-E72D297353CC}">
              <c16:uniqueId val="{00000000-BFC0-41CF-9A7F-F17E355C3E43}"/>
            </c:ext>
          </c:extLst>
        </c:ser>
        <c:dLbls>
          <c:showLegendKey val="0"/>
          <c:showVal val="0"/>
          <c:showCatName val="0"/>
          <c:showSerName val="0"/>
          <c:showPercent val="0"/>
          <c:showBubbleSize val="0"/>
        </c:dLbls>
        <c:gapWidth val="40"/>
        <c:axId val="742084800"/>
        <c:axId val="742080880"/>
      </c:barChart>
      <c:catAx>
        <c:axId val="742084800"/>
        <c:scaling>
          <c:orientation val="minMax"/>
        </c:scaling>
        <c:delete val="0"/>
        <c:axPos val="b"/>
        <c:numFmt formatCode="General" sourceLinked="0"/>
        <c:majorTickMark val="out"/>
        <c:minorTickMark val="none"/>
        <c:tickLblPos val="low"/>
        <c:crossAx val="742080880"/>
        <c:crosses val="autoZero"/>
        <c:auto val="1"/>
        <c:lblAlgn val="ctr"/>
        <c:lblOffset val="100"/>
        <c:noMultiLvlLbl val="0"/>
      </c:catAx>
      <c:valAx>
        <c:axId val="742080880"/>
        <c:scaling>
          <c:orientation val="minMax"/>
          <c:max val="12"/>
          <c:min val="0"/>
        </c:scaling>
        <c:delete val="0"/>
        <c:axPos val="l"/>
        <c:numFmt formatCode="0" sourceLinked="0"/>
        <c:majorTickMark val="out"/>
        <c:minorTickMark val="none"/>
        <c:tickLblPos val="low"/>
        <c:spPr>
          <a:ln>
            <a:noFill/>
          </a:ln>
        </c:spPr>
        <c:crossAx val="742084800"/>
        <c:crosses val="autoZero"/>
        <c:crossBetween val="between"/>
        <c:majorUnit val="3"/>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98261118683205"/>
          <c:y val="3.2516032383797001E-2"/>
          <c:w val="0.79547560965022701"/>
          <c:h val="0.86466716991630921"/>
        </c:manualLayout>
      </c:layout>
      <c:barChart>
        <c:barDir val="col"/>
        <c:grouping val="percentStacked"/>
        <c:varyColors val="0"/>
        <c:ser>
          <c:idx val="0"/>
          <c:order val="0"/>
          <c:tx>
            <c:strRef>
              <c:f>Sheet1!$A$2</c:f>
              <c:strCache>
                <c:ptCount val="1"/>
                <c:pt idx="0">
                  <c:v>Izglītība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(Sheet1!$B$2,Sheet1!$F$2,Sheet1!$I$2,Sheet1!$L$2,Sheet1!$O$2,Sheet1!$P$2,Sheet1!$Q$2)</c:f>
              <c:numCache>
                <c:formatCode>0</c:formatCode>
                <c:ptCount val="7"/>
                <c:pt idx="0">
                  <c:v>8.1391153762897748</c:v>
                </c:pt>
                <c:pt idx="1">
                  <c:v>6.3717398481346983</c:v>
                </c:pt>
                <c:pt idx="2">
                  <c:v>6.4780112092975282</c:v>
                </c:pt>
                <c:pt idx="3">
                  <c:v>6.0067987848980184</c:v>
                </c:pt>
                <c:pt idx="4">
                  <c:v>5.5756448668939624</c:v>
                </c:pt>
                <c:pt idx="5">
                  <c:v>6.0234138972809665</c:v>
                </c:pt>
                <c:pt idx="6">
                  <c:v>6.5059490868843382</c:v>
                </c:pt>
              </c:numCache>
            </c:numRef>
          </c:val>
          <c:extLst>
            <c:ext xmlns:c16="http://schemas.microsoft.com/office/drawing/2014/chart" uri="{C3380CC4-5D6E-409C-BE32-E72D297353CC}">
              <c16:uniqueId val="{00000000-8971-47E0-863C-4587D9996AFF}"/>
            </c:ext>
          </c:extLst>
        </c:ser>
        <c:ser>
          <c:idx val="1"/>
          <c:order val="1"/>
          <c:tx>
            <c:strRef>
              <c:f>Sheet1!$A$3</c:f>
              <c:strCache>
                <c:ptCount val="1"/>
                <c:pt idx="0">
                  <c:v>Humanitārās zinātnes un māksla</c:v>
                </c:pt>
              </c:strCache>
            </c:strRef>
          </c:tx>
          <c:invertIfNegative val="0"/>
          <c:dLbls>
            <c:dLbl>
              <c:idx val="2"/>
              <c:tx>
                <c:rich>
                  <a:bodyPr/>
                  <a:lstStyle/>
                  <a:p>
                    <a:r>
                      <a:rPr lang="en-US" strike="noStrike"/>
                      <a:t>9</a:t>
                    </a:r>
                    <a:endParaRPr lang="en-US" strike="sngStrike"/>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71-47E0-863C-4587D9996AF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(Sheet1!$B$3,Sheet1!$F$3,Sheet1!$I$3,Sheet1!$L$3,Sheet1!$O$3,Sheet1!$P$3,Sheet1!$Q$3)</c:f>
              <c:numCache>
                <c:formatCode>0</c:formatCode>
                <c:ptCount val="7"/>
                <c:pt idx="0">
                  <c:v>8.2593741732207704</c:v>
                </c:pt>
                <c:pt idx="1">
                  <c:v>8.6497193793331135</c:v>
                </c:pt>
                <c:pt idx="2">
                  <c:v>8.4138500154729563</c:v>
                </c:pt>
                <c:pt idx="3">
                  <c:v>7.9090120063648195</c:v>
                </c:pt>
                <c:pt idx="4">
                  <c:v>7.7935048386541306</c:v>
                </c:pt>
                <c:pt idx="5">
                  <c:v>8.0777945619335352</c:v>
                </c:pt>
                <c:pt idx="6">
                  <c:v>7.3775594908688431</c:v>
                </c:pt>
              </c:numCache>
            </c:numRef>
          </c:val>
          <c:extLst>
            <c:ext xmlns:c16="http://schemas.microsoft.com/office/drawing/2014/chart" uri="{C3380CC4-5D6E-409C-BE32-E72D297353CC}">
              <c16:uniqueId val="{00000002-8971-47E0-863C-4587D9996AFF}"/>
            </c:ext>
          </c:extLst>
        </c:ser>
        <c:ser>
          <c:idx val="2"/>
          <c:order val="2"/>
          <c:tx>
            <c:strRef>
              <c:f>Sheet1!$A$4</c:f>
              <c:strCache>
                <c:ptCount val="1"/>
                <c:pt idx="0">
                  <c:v>Sociālās zinātnes, komerczinības un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(Sheet1!$B$4,Sheet1!$F$4,Sheet1!$I$4,Sheet1!$L$4,Sheet1!$O$4,Sheet1!$P$4,Sheet1!$Q$4)</c:f>
              <c:numCache>
                <c:formatCode>0</c:formatCode>
                <c:ptCount val="7"/>
                <c:pt idx="0">
                  <c:v>50.386030738148492</c:v>
                </c:pt>
                <c:pt idx="1">
                  <c:v>39.986194063447286</c:v>
                </c:pt>
                <c:pt idx="2">
                  <c:v>34.876044424577934</c:v>
                </c:pt>
                <c:pt idx="3">
                  <c:v>34.814841602777378</c:v>
                </c:pt>
                <c:pt idx="4">
                  <c:v>36.14354099941454</c:v>
                </c:pt>
                <c:pt idx="5">
                  <c:v>33.972809667673715</c:v>
                </c:pt>
                <c:pt idx="6">
                  <c:v>35.850166021029331</c:v>
                </c:pt>
              </c:numCache>
            </c:numRef>
          </c:val>
          <c:extLst>
            <c:ext xmlns:c16="http://schemas.microsoft.com/office/drawing/2014/chart" uri="{C3380CC4-5D6E-409C-BE32-E72D297353CC}">
              <c16:uniqueId val="{00000003-8971-47E0-863C-4587D9996AFF}"/>
            </c:ext>
          </c:extLst>
        </c:ser>
        <c:ser>
          <c:idx val="3"/>
          <c:order val="3"/>
          <c:tx>
            <c:strRef>
              <c:f>Sheet1!$A$5</c:f>
              <c:strCache>
                <c:ptCount val="1"/>
                <c:pt idx="0">
                  <c:v>Dabas zinātnes, matemātika un informācijas tehnoloģijas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(Sheet1!$B$5,Sheet1!$F$5,Sheet1!$I$5,Sheet1!$L$5,Sheet1!$O$5,Sheet1!$P$5,Sheet1!$Q$5)</c:f>
              <c:numCache>
                <c:formatCode>0</c:formatCode>
                <c:ptCount val="7"/>
                <c:pt idx="0">
                  <c:v>5.668999687327128</c:v>
                </c:pt>
                <c:pt idx="1">
                  <c:v>8.1725141810978723</c:v>
                </c:pt>
                <c:pt idx="2">
                  <c:v>9.6173022040367222</c:v>
                </c:pt>
                <c:pt idx="3">
                  <c:v>10.234341096484883</c:v>
                </c:pt>
                <c:pt idx="4">
                  <c:v>11.023866101870027</c:v>
                </c:pt>
                <c:pt idx="5">
                  <c:v>12.764350453172204</c:v>
                </c:pt>
                <c:pt idx="6">
                  <c:v>11.168372993912563</c:v>
                </c:pt>
              </c:numCache>
            </c:numRef>
          </c:val>
          <c:extLst>
            <c:ext xmlns:c16="http://schemas.microsoft.com/office/drawing/2014/chart" uri="{C3380CC4-5D6E-409C-BE32-E72D297353CC}">
              <c16:uniqueId val="{00000004-8971-47E0-863C-4587D9996AFF}"/>
            </c:ext>
          </c:extLst>
        </c:ser>
        <c:ser>
          <c:idx val="4"/>
          <c:order val="4"/>
          <c:tx>
            <c:strRef>
              <c:f>Sheet1!$A$6</c:f>
              <c:strCache>
                <c:ptCount val="1"/>
                <c:pt idx="0">
                  <c:v>Inženierzinātnes, ražošana  un būvniecība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(Sheet1!$B$6,Sheet1!$F$6,Sheet1!$I$6,Sheet1!$L$6,Sheet1!$O$6,Sheet1!$P$6,Sheet1!$Q$6)</c:f>
              <c:numCache>
                <c:formatCode>0</c:formatCode>
                <c:ptCount val="7"/>
                <c:pt idx="0">
                  <c:v>13.050484642951632</c:v>
                </c:pt>
                <c:pt idx="1">
                  <c:v>15.927848975059275</c:v>
                </c:pt>
                <c:pt idx="2">
                  <c:v>17.302204036722486</c:v>
                </c:pt>
                <c:pt idx="3">
                  <c:v>16.020541009691886</c:v>
                </c:pt>
                <c:pt idx="4">
                  <c:v>14.495299101146813</c:v>
                </c:pt>
                <c:pt idx="5">
                  <c:v>13.95392749244713</c:v>
                </c:pt>
                <c:pt idx="6">
                  <c:v>15.353486441615939</c:v>
                </c:pt>
              </c:numCache>
            </c:numRef>
          </c:val>
          <c:extLst>
            <c:ext xmlns:c16="http://schemas.microsoft.com/office/drawing/2014/chart" uri="{C3380CC4-5D6E-409C-BE32-E72D297353CC}">
              <c16:uniqueId val="{00000005-8971-47E0-863C-4587D9996AFF}"/>
            </c:ext>
          </c:extLst>
        </c:ser>
        <c:ser>
          <c:idx val="5"/>
          <c:order val="5"/>
          <c:tx>
            <c:strRef>
              <c:f>Sheet1!$A$7</c:f>
              <c:strCache>
                <c:ptCount val="1"/>
                <c:pt idx="0">
                  <c:v>Lauksaimniecība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(Sheet1!$B$7,Sheet1!$F$7,Sheet1!$I$7,Sheet1!$L$7,Sheet1!$O$7,Sheet1!$P$7,Sheet1!$Q$7)</c:f>
              <c:numCache>
                <c:formatCode>0</c:formatCode>
                <c:ptCount val="7"/>
                <c:pt idx="0">
                  <c:v>0.84662193039420841</c:v>
                </c:pt>
                <c:pt idx="1">
                  <c:v>1.5516672169032684</c:v>
                </c:pt>
                <c:pt idx="2">
                  <c:v>1.6470102809201252</c:v>
                </c:pt>
                <c:pt idx="3">
                  <c:v>1.4537827281932592</c:v>
                </c:pt>
                <c:pt idx="4">
                  <c:v>1.5497468746771361</c:v>
                </c:pt>
                <c:pt idx="5">
                  <c:v>1.5747734138972809</c:v>
                </c:pt>
                <c:pt idx="6">
                  <c:v>1.552988378527947</c:v>
                </c:pt>
              </c:numCache>
            </c:numRef>
          </c:val>
          <c:extLst>
            <c:ext xmlns:c16="http://schemas.microsoft.com/office/drawing/2014/chart" uri="{C3380CC4-5D6E-409C-BE32-E72D297353CC}">
              <c16:uniqueId val="{00000006-8971-47E0-863C-4587D9996AFF}"/>
            </c:ext>
          </c:extLst>
        </c:ser>
        <c:ser>
          <c:idx val="6"/>
          <c:order val="6"/>
          <c:tx>
            <c:strRef>
              <c:f>Sheet1!$A$8</c:f>
              <c:strCache>
                <c:ptCount val="1"/>
                <c:pt idx="0">
                  <c:v>Veselības aprūpe un sociālā labklājība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(Sheet1!$B$8,Sheet1!$F$8,Sheet1!$I$8,Sheet1!$L$8,Sheet1!$O$8,Sheet1!$P$8,Sheet1!$Q$8)</c:f>
              <c:numCache>
                <c:formatCode>0</c:formatCode>
                <c:ptCount val="7"/>
                <c:pt idx="0">
                  <c:v>7.0832431392356359</c:v>
                </c:pt>
                <c:pt idx="1">
                  <c:v>11.816080914793362</c:v>
                </c:pt>
                <c:pt idx="2">
                  <c:v>12.887253722105699</c:v>
                </c:pt>
                <c:pt idx="3">
                  <c:v>15.253869521191957</c:v>
                </c:pt>
                <c:pt idx="4">
                  <c:v>16.368770878534285</c:v>
                </c:pt>
                <c:pt idx="5">
                  <c:v>17.095921450151057</c:v>
                </c:pt>
                <c:pt idx="6">
                  <c:v>15.363862755949087</c:v>
                </c:pt>
              </c:numCache>
            </c:numRef>
          </c:val>
          <c:extLst>
            <c:ext xmlns:c16="http://schemas.microsoft.com/office/drawing/2014/chart" uri="{C3380CC4-5D6E-409C-BE32-E72D297353CC}">
              <c16:uniqueId val="{00000007-8971-47E0-863C-4587D9996AFF}"/>
            </c:ext>
          </c:extLst>
        </c:ser>
        <c:ser>
          <c:idx val="7"/>
          <c:order val="7"/>
          <c:tx>
            <c:strRef>
              <c:f>Sheet1!$A$9</c:f>
              <c:strCache>
                <c:ptCount val="1"/>
                <c:pt idx="0">
                  <c:v>Pakalpojumi</c:v>
                </c:pt>
              </c:strCache>
            </c:strRef>
          </c:tx>
          <c:invertIfNegative val="0"/>
          <c:dPt>
            <c:idx val="0"/>
            <c:invertIfNegative val="0"/>
            <c:bubble3D val="0"/>
            <c:extLst>
              <c:ext xmlns:c16="http://schemas.microsoft.com/office/drawing/2014/chart" uri="{C3380CC4-5D6E-409C-BE32-E72D297353CC}">
                <c16:uniqueId val="{00000008-8971-47E0-863C-4587D9996AFF}"/>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(Sheet1!$B$9,Sheet1!$F$9,Sheet1!$I$9,Sheet1!$L$9,Sheet1!$O$9,Sheet1!$P$9,Sheet1!$Q$9)</c:f>
              <c:numCache>
                <c:formatCode>0</c:formatCode>
                <c:ptCount val="7"/>
                <c:pt idx="0">
                  <c:v>6.501190562089616</c:v>
                </c:pt>
                <c:pt idx="1">
                  <c:v>7.4912212251268038</c:v>
                </c:pt>
                <c:pt idx="2">
                  <c:v>8.7783241068665543</c:v>
                </c:pt>
                <c:pt idx="3">
                  <c:v>8.3068132503978021</c:v>
                </c:pt>
                <c:pt idx="4">
                  <c:v>7.0496263388091061</c:v>
                </c:pt>
                <c:pt idx="5">
                  <c:v>6.5370090634441089</c:v>
                </c:pt>
                <c:pt idx="6">
                  <c:v>6.8276148312119531</c:v>
                </c:pt>
              </c:numCache>
            </c:numRef>
          </c:val>
          <c:extLst>
            <c:ext xmlns:c16="http://schemas.microsoft.com/office/drawing/2014/chart" uri="{C3380CC4-5D6E-409C-BE32-E72D297353CC}">
              <c16:uniqueId val="{00000009-8971-47E0-863C-4587D9996AFF}"/>
            </c:ext>
          </c:extLst>
        </c:ser>
        <c:dLbls>
          <c:showLegendKey val="0"/>
          <c:showVal val="0"/>
          <c:showCatName val="0"/>
          <c:showSerName val="0"/>
          <c:showPercent val="0"/>
          <c:showBubbleSize val="0"/>
        </c:dLbls>
        <c:gapWidth val="50"/>
        <c:overlap val="100"/>
        <c:axId val="742078136"/>
        <c:axId val="742077352"/>
      </c:barChart>
      <c:catAx>
        <c:axId val="742078136"/>
        <c:scaling>
          <c:orientation val="minMax"/>
        </c:scaling>
        <c:delete val="0"/>
        <c:axPos val="b"/>
        <c:numFmt formatCode="General" sourceLinked="1"/>
        <c:majorTickMark val="out"/>
        <c:minorTickMark val="none"/>
        <c:tickLblPos val="nextTo"/>
        <c:spPr>
          <a:ln w="3175"/>
        </c:spPr>
        <c:txPr>
          <a:bodyPr rot="0" vert="horz"/>
          <a:lstStyle/>
          <a:p>
            <a:pPr>
              <a:defRPr/>
            </a:pPr>
            <a:endParaRPr lang="lv-LV"/>
          </a:p>
        </c:txPr>
        <c:crossAx val="742077352"/>
        <c:crosses val="autoZero"/>
        <c:auto val="1"/>
        <c:lblAlgn val="ctr"/>
        <c:lblOffset val="100"/>
        <c:noMultiLvlLbl val="0"/>
      </c:catAx>
      <c:valAx>
        <c:axId val="742077352"/>
        <c:scaling>
          <c:orientation val="minMax"/>
        </c:scaling>
        <c:delete val="0"/>
        <c:axPos val="l"/>
        <c:numFmt formatCode="0%" sourceLinked="1"/>
        <c:majorTickMark val="out"/>
        <c:minorTickMark val="none"/>
        <c:tickLblPos val="nextTo"/>
        <c:spPr>
          <a:ln w="3175"/>
        </c:spPr>
        <c:txPr>
          <a:bodyPr rot="0" vert="horz"/>
          <a:lstStyle/>
          <a:p>
            <a:pPr>
              <a:defRPr/>
            </a:pPr>
            <a:endParaRPr lang="lv-LV"/>
          </a:p>
        </c:txPr>
        <c:crossAx val="742078136"/>
        <c:crosses val="autoZero"/>
        <c:crossBetween val="between"/>
        <c:majorUnit val="0.2"/>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83329554037277864"/>
          <c:h val="0.87181445012699077"/>
        </c:manualLayout>
      </c:layout>
      <c:barChart>
        <c:barDir val="col"/>
        <c:grouping val="percentStacked"/>
        <c:varyColors val="0"/>
        <c:ser>
          <c:idx val="0"/>
          <c:order val="0"/>
          <c:tx>
            <c:strRef>
              <c:f>Sheet1!$A$2</c:f>
              <c:strCache>
                <c:ptCount val="1"/>
                <c:pt idx="0">
                  <c:v>Izglītība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(Sheet1!$B$1,Sheet1!$F$1,Sheet1!$I$1,Sheet1!$L$1,Sheet1!$O$1:$Q$1)</c:f>
              <c:numCache>
                <c:formatCode>General</c:formatCode>
                <c:ptCount val="7"/>
                <c:pt idx="0">
                  <c:v>2008</c:v>
                </c:pt>
                <c:pt idx="1">
                  <c:v>2012</c:v>
                </c:pt>
                <c:pt idx="2">
                  <c:v>2015</c:v>
                </c:pt>
                <c:pt idx="3">
                  <c:v>2018</c:v>
                </c:pt>
                <c:pt idx="4">
                  <c:v>2021</c:v>
                </c:pt>
                <c:pt idx="5">
                  <c:v>2022</c:v>
                </c:pt>
                <c:pt idx="6">
                  <c:v>2023</c:v>
                </c:pt>
              </c:numCache>
            </c:numRef>
          </c:cat>
          <c:val>
            <c:numRef>
              <c:f>(Sheet1!$B$2,Sheet1!$F$2,Sheet1!$I$2,Sheet1!$L$2,Sheet1!$O$2:$Q$2)</c:f>
              <c:numCache>
                <c:formatCode>0.0</c:formatCode>
                <c:ptCount val="7"/>
                <c:pt idx="0">
                  <c:v>10.314439387670667</c:v>
                </c:pt>
                <c:pt idx="1">
                  <c:v>7.581967213114754</c:v>
                </c:pt>
                <c:pt idx="2">
                  <c:v>6.7504846953762989</c:v>
                </c:pt>
                <c:pt idx="3">
                  <c:v>7.7198463841697578</c:v>
                </c:pt>
                <c:pt idx="4">
                  <c:v>8.8053307948595911</c:v>
                </c:pt>
                <c:pt idx="5">
                  <c:v>9.5887349128296826</c:v>
                </c:pt>
                <c:pt idx="6">
                  <c:v>8.9273011808223064</c:v>
                </c:pt>
              </c:numCache>
            </c:numRef>
          </c:val>
          <c:extLst>
            <c:ext xmlns:c16="http://schemas.microsoft.com/office/drawing/2014/chart" uri="{C3380CC4-5D6E-409C-BE32-E72D297353CC}">
              <c16:uniqueId val="{00000000-0A57-41F1-8B73-908BB32A511B}"/>
            </c:ext>
          </c:extLst>
        </c:ser>
        <c:ser>
          <c:idx val="1"/>
          <c:order val="1"/>
          <c:tx>
            <c:strRef>
              <c:f>Sheet1!$A$3</c:f>
              <c:strCache>
                <c:ptCount val="1"/>
                <c:pt idx="0">
                  <c:v>Humanitārās zinātnes un māksla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(Sheet1!$B$1,Sheet1!$F$1,Sheet1!$I$1,Sheet1!$L$1,Sheet1!$O$1:$Q$1)</c:f>
              <c:numCache>
                <c:formatCode>General</c:formatCode>
                <c:ptCount val="7"/>
                <c:pt idx="0">
                  <c:v>2008</c:v>
                </c:pt>
                <c:pt idx="1">
                  <c:v>2012</c:v>
                </c:pt>
                <c:pt idx="2">
                  <c:v>2015</c:v>
                </c:pt>
                <c:pt idx="3">
                  <c:v>2018</c:v>
                </c:pt>
                <c:pt idx="4">
                  <c:v>2021</c:v>
                </c:pt>
                <c:pt idx="5">
                  <c:v>2022</c:v>
                </c:pt>
                <c:pt idx="6">
                  <c:v>2023</c:v>
                </c:pt>
              </c:numCache>
            </c:numRef>
          </c:cat>
          <c:val>
            <c:numRef>
              <c:f>(Sheet1!$B$3,Sheet1!$F$3,Sheet1!$I$3,Sheet1!$L$3,Sheet1!$O$3:$Q$3)</c:f>
              <c:numCache>
                <c:formatCode>0.0</c:formatCode>
                <c:ptCount val="7"/>
                <c:pt idx="0">
                  <c:v>7.1452213487794793</c:v>
                </c:pt>
                <c:pt idx="1">
                  <c:v>8.0383755588673633</c:v>
                </c:pt>
                <c:pt idx="2">
                  <c:v>9.1181481699077604</c:v>
                </c:pt>
                <c:pt idx="3">
                  <c:v>7.9867213434876003</c:v>
                </c:pt>
                <c:pt idx="4">
                  <c:v>7.6902155436186854</c:v>
                </c:pt>
                <c:pt idx="5">
                  <c:v>8.0464908359409915</c:v>
                </c:pt>
                <c:pt idx="6">
                  <c:v>7.5046237018068007</c:v>
                </c:pt>
              </c:numCache>
            </c:numRef>
          </c:val>
          <c:extLst>
            <c:ext xmlns:c16="http://schemas.microsoft.com/office/drawing/2014/chart" uri="{C3380CC4-5D6E-409C-BE32-E72D297353CC}">
              <c16:uniqueId val="{00000001-0A57-41F1-8B73-908BB32A511B}"/>
            </c:ext>
          </c:extLst>
        </c:ser>
        <c:ser>
          <c:idx val="2"/>
          <c:order val="2"/>
          <c:tx>
            <c:strRef>
              <c:f>Sheet1!$A$4</c:f>
              <c:strCache>
                <c:ptCount val="1"/>
                <c:pt idx="0">
                  <c:v>Sociālās zinātnes, komerczinības un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(Sheet1!$B$1,Sheet1!$F$1,Sheet1!$I$1,Sheet1!$L$1,Sheet1!$O$1:$Q$1)</c:f>
              <c:numCache>
                <c:formatCode>General</c:formatCode>
                <c:ptCount val="7"/>
                <c:pt idx="0">
                  <c:v>2008</c:v>
                </c:pt>
                <c:pt idx="1">
                  <c:v>2012</c:v>
                </c:pt>
                <c:pt idx="2">
                  <c:v>2015</c:v>
                </c:pt>
                <c:pt idx="3">
                  <c:v>2018</c:v>
                </c:pt>
                <c:pt idx="4">
                  <c:v>2021</c:v>
                </c:pt>
                <c:pt idx="5">
                  <c:v>2022</c:v>
                </c:pt>
                <c:pt idx="6">
                  <c:v>2023</c:v>
                </c:pt>
              </c:numCache>
            </c:numRef>
          </c:cat>
          <c:val>
            <c:numRef>
              <c:f>(Sheet1!$B$4,Sheet1!$F$4,Sheet1!$I$4,Sheet1!$L$4,Sheet1!$O$4:$Q$4)</c:f>
              <c:numCache>
                <c:formatCode>0.0</c:formatCode>
                <c:ptCount val="7"/>
                <c:pt idx="0">
                  <c:v>55.035167563094745</c:v>
                </c:pt>
                <c:pt idx="1">
                  <c:v>47.038002980625933</c:v>
                </c:pt>
                <c:pt idx="2">
                  <c:v>40.079901298396095</c:v>
                </c:pt>
                <c:pt idx="3">
                  <c:v>36.418668228861549</c:v>
                </c:pt>
                <c:pt idx="4">
                  <c:v>35.928469436322843</c:v>
                </c:pt>
                <c:pt idx="5">
                  <c:v>34.465802413947252</c:v>
                </c:pt>
                <c:pt idx="6">
                  <c:v>35.268174704794426</c:v>
                </c:pt>
              </c:numCache>
            </c:numRef>
          </c:val>
          <c:extLst>
            <c:ext xmlns:c16="http://schemas.microsoft.com/office/drawing/2014/chart" uri="{C3380CC4-5D6E-409C-BE32-E72D297353CC}">
              <c16:uniqueId val="{00000002-0A57-41F1-8B73-908BB32A511B}"/>
            </c:ext>
          </c:extLst>
        </c:ser>
        <c:ser>
          <c:idx val="3"/>
          <c:order val="3"/>
          <c:tx>
            <c:strRef>
              <c:f>Sheet1!$A$5</c:f>
              <c:strCache>
                <c:ptCount val="1"/>
                <c:pt idx="0">
                  <c:v>Dabas zinātnes, matemātika un informācijas tehnoloģijas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(Sheet1!$B$1,Sheet1!$F$1,Sheet1!$I$1,Sheet1!$L$1,Sheet1!$O$1:$Q$1)</c:f>
              <c:numCache>
                <c:formatCode>General</c:formatCode>
                <c:ptCount val="7"/>
                <c:pt idx="0">
                  <c:v>2008</c:v>
                </c:pt>
                <c:pt idx="1">
                  <c:v>2012</c:v>
                </c:pt>
                <c:pt idx="2">
                  <c:v>2015</c:v>
                </c:pt>
                <c:pt idx="3">
                  <c:v>2018</c:v>
                </c:pt>
                <c:pt idx="4">
                  <c:v>2021</c:v>
                </c:pt>
                <c:pt idx="5">
                  <c:v>2022</c:v>
                </c:pt>
                <c:pt idx="6">
                  <c:v>2023</c:v>
                </c:pt>
              </c:numCache>
            </c:numRef>
          </c:cat>
          <c:val>
            <c:numRef>
              <c:f>(Sheet1!$B$5,Sheet1!$F$5,Sheet1!$I$5,Sheet1!$L$5,Sheet1!$O$5:$Q$5)</c:f>
              <c:numCache>
                <c:formatCode>0.0</c:formatCode>
                <c:ptCount val="7"/>
                <c:pt idx="0">
                  <c:v>5.0682664460074474</c:v>
                </c:pt>
                <c:pt idx="1">
                  <c:v>6.3198584202682566</c:v>
                </c:pt>
                <c:pt idx="2">
                  <c:v>7.138240996416191</c:v>
                </c:pt>
                <c:pt idx="3">
                  <c:v>6.8150751806287841</c:v>
                </c:pt>
                <c:pt idx="4">
                  <c:v>7.2550486163051611</c:v>
                </c:pt>
                <c:pt idx="5">
                  <c:v>7.9421844732528681</c:v>
                </c:pt>
                <c:pt idx="6">
                  <c:v>8.5218380993028884</c:v>
                </c:pt>
              </c:numCache>
            </c:numRef>
          </c:val>
          <c:extLst>
            <c:ext xmlns:c16="http://schemas.microsoft.com/office/drawing/2014/chart" uri="{C3380CC4-5D6E-409C-BE32-E72D297353CC}">
              <c16:uniqueId val="{00000003-0A57-41F1-8B73-908BB32A511B}"/>
            </c:ext>
          </c:extLst>
        </c:ser>
        <c:ser>
          <c:idx val="4"/>
          <c:order val="4"/>
          <c:tx>
            <c:strRef>
              <c:f>Sheet1!$A$6</c:f>
              <c:strCache>
                <c:ptCount val="1"/>
                <c:pt idx="0">
                  <c:v>Inženierzinātnes, ražošana  un būvniecība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(Sheet1!$B$1,Sheet1!$F$1,Sheet1!$I$1,Sheet1!$L$1,Sheet1!$O$1:$Q$1)</c:f>
              <c:numCache>
                <c:formatCode>General</c:formatCode>
                <c:ptCount val="7"/>
                <c:pt idx="0">
                  <c:v>2008</c:v>
                </c:pt>
                <c:pt idx="1">
                  <c:v>2012</c:v>
                </c:pt>
                <c:pt idx="2">
                  <c:v>2015</c:v>
                </c:pt>
                <c:pt idx="3">
                  <c:v>2018</c:v>
                </c:pt>
                <c:pt idx="4">
                  <c:v>2021</c:v>
                </c:pt>
                <c:pt idx="5">
                  <c:v>2022</c:v>
                </c:pt>
                <c:pt idx="6">
                  <c:v>2023</c:v>
                </c:pt>
              </c:numCache>
            </c:numRef>
          </c:cat>
          <c:val>
            <c:numRef>
              <c:f>(Sheet1!$B$6,Sheet1!$F$6,Sheet1!$I$6,Sheet1!$L$6,Sheet1!$O$6:$Q$6)</c:f>
              <c:numCache>
                <c:formatCode>0.0</c:formatCode>
                <c:ptCount val="7"/>
                <c:pt idx="0">
                  <c:v>7.5879189077368636</c:v>
                </c:pt>
                <c:pt idx="1">
                  <c:v>12.439456035767511</c:v>
                </c:pt>
                <c:pt idx="2">
                  <c:v>12.48457787439046</c:v>
                </c:pt>
                <c:pt idx="3">
                  <c:v>12.770943175161101</c:v>
                </c:pt>
                <c:pt idx="4">
                  <c:v>11.341538043108724</c:v>
                </c:pt>
                <c:pt idx="5">
                  <c:v>11.50350171360453</c:v>
                </c:pt>
                <c:pt idx="6">
                  <c:v>11.039977237160334</c:v>
                </c:pt>
              </c:numCache>
            </c:numRef>
          </c:val>
          <c:extLst>
            <c:ext xmlns:c16="http://schemas.microsoft.com/office/drawing/2014/chart" uri="{C3380CC4-5D6E-409C-BE32-E72D297353CC}">
              <c16:uniqueId val="{00000004-0A57-41F1-8B73-908BB32A511B}"/>
            </c:ext>
          </c:extLst>
        </c:ser>
        <c:ser>
          <c:idx val="5"/>
          <c:order val="5"/>
          <c:tx>
            <c:strRef>
              <c:f>Sheet1!$A$7</c:f>
              <c:strCache>
                <c:ptCount val="1"/>
                <c:pt idx="0">
                  <c:v>Lauksaimniecība</c:v>
                </c:pt>
              </c:strCache>
            </c:strRef>
          </c:tx>
          <c:invertIfNegative val="0"/>
          <c:cat>
            <c:numRef>
              <c:f>(Sheet1!$B$1,Sheet1!$F$1,Sheet1!$I$1,Sheet1!$L$1,Sheet1!$O$1:$Q$1)</c:f>
              <c:numCache>
                <c:formatCode>General</c:formatCode>
                <c:ptCount val="7"/>
                <c:pt idx="0">
                  <c:v>2008</c:v>
                </c:pt>
                <c:pt idx="1">
                  <c:v>2012</c:v>
                </c:pt>
                <c:pt idx="2">
                  <c:v>2015</c:v>
                </c:pt>
                <c:pt idx="3">
                  <c:v>2018</c:v>
                </c:pt>
                <c:pt idx="4">
                  <c:v>2021</c:v>
                </c:pt>
                <c:pt idx="5">
                  <c:v>2022</c:v>
                </c:pt>
                <c:pt idx="6">
                  <c:v>2023</c:v>
                </c:pt>
              </c:numCache>
            </c:numRef>
          </c:cat>
          <c:val>
            <c:numRef>
              <c:f>(Sheet1!$B$7,Sheet1!$F$7,Sheet1!$I$7,Sheet1!$L$7,Sheet1!$O$7:$Q$7)</c:f>
              <c:numCache>
                <c:formatCode>0.0</c:formatCode>
                <c:ptCount val="7"/>
                <c:pt idx="0">
                  <c:v>0.74472486553578821</c:v>
                </c:pt>
                <c:pt idx="1">
                  <c:v>1.0758196721311475</c:v>
                </c:pt>
                <c:pt idx="2">
                  <c:v>1.6861523999764996</c:v>
                </c:pt>
                <c:pt idx="3">
                  <c:v>2.2000911280348889</c:v>
                </c:pt>
                <c:pt idx="4">
                  <c:v>1.2579043992656558</c:v>
                </c:pt>
                <c:pt idx="5">
                  <c:v>1.3485322604678887</c:v>
                </c:pt>
                <c:pt idx="6">
                  <c:v>1.3799971546450418</c:v>
                </c:pt>
              </c:numCache>
            </c:numRef>
          </c:val>
          <c:extLst>
            <c:ext xmlns:c16="http://schemas.microsoft.com/office/drawing/2014/chart" uri="{C3380CC4-5D6E-409C-BE32-E72D297353CC}">
              <c16:uniqueId val="{00000005-0A57-41F1-8B73-908BB32A511B}"/>
            </c:ext>
          </c:extLst>
        </c:ser>
        <c:ser>
          <c:idx val="6"/>
          <c:order val="6"/>
          <c:tx>
            <c:strRef>
              <c:f>Sheet1!$A$8</c:f>
              <c:strCache>
                <c:ptCount val="1"/>
                <c:pt idx="0">
                  <c:v>Veselības aprūpe un sociālā labklājība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(Sheet1!$B$1,Sheet1!$F$1,Sheet1!$I$1,Sheet1!$L$1,Sheet1!$O$1:$Q$1)</c:f>
              <c:numCache>
                <c:formatCode>General</c:formatCode>
                <c:ptCount val="7"/>
                <c:pt idx="0">
                  <c:v>2008</c:v>
                </c:pt>
                <c:pt idx="1">
                  <c:v>2012</c:v>
                </c:pt>
                <c:pt idx="2">
                  <c:v>2015</c:v>
                </c:pt>
                <c:pt idx="3">
                  <c:v>2018</c:v>
                </c:pt>
                <c:pt idx="4">
                  <c:v>2021</c:v>
                </c:pt>
                <c:pt idx="5">
                  <c:v>2022</c:v>
                </c:pt>
                <c:pt idx="6">
                  <c:v>2023</c:v>
                </c:pt>
              </c:numCache>
            </c:numRef>
          </c:cat>
          <c:val>
            <c:numRef>
              <c:f>(Sheet1!$B$8,Sheet1!$F$8,Sheet1!$I$8,Sheet1!$L$8,Sheet1!$O$8:$Q$8)</c:f>
              <c:numCache>
                <c:formatCode>0.0</c:formatCode>
                <c:ptCount val="7"/>
                <c:pt idx="0">
                  <c:v>7.9313198179561439</c:v>
                </c:pt>
                <c:pt idx="1">
                  <c:v>10.716281669150522</c:v>
                </c:pt>
                <c:pt idx="2">
                  <c:v>13.994477410257916</c:v>
                </c:pt>
                <c:pt idx="3">
                  <c:v>17.483564407993228</c:v>
                </c:pt>
                <c:pt idx="4">
                  <c:v>18.487794927585504</c:v>
                </c:pt>
                <c:pt idx="5">
                  <c:v>18.842199374161826</c:v>
                </c:pt>
                <c:pt idx="6">
                  <c:v>19.597382273438612</c:v>
                </c:pt>
              </c:numCache>
            </c:numRef>
          </c:val>
          <c:extLst>
            <c:ext xmlns:c16="http://schemas.microsoft.com/office/drawing/2014/chart" uri="{C3380CC4-5D6E-409C-BE32-E72D297353CC}">
              <c16:uniqueId val="{00000006-0A57-41F1-8B73-908BB32A511B}"/>
            </c:ext>
          </c:extLst>
        </c:ser>
        <c:ser>
          <c:idx val="7"/>
          <c:order val="7"/>
          <c:tx>
            <c:strRef>
              <c:f>Sheet1!$A$9</c:f>
              <c:strCache>
                <c:ptCount val="1"/>
                <c:pt idx="0">
                  <c:v>Pakalpojumi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(Sheet1!$B$1,Sheet1!$F$1,Sheet1!$I$1,Sheet1!$L$1,Sheet1!$O$1:$Q$1)</c:f>
              <c:numCache>
                <c:formatCode>General</c:formatCode>
                <c:ptCount val="7"/>
                <c:pt idx="0">
                  <c:v>2008</c:v>
                </c:pt>
                <c:pt idx="1">
                  <c:v>2012</c:v>
                </c:pt>
                <c:pt idx="2">
                  <c:v>2015</c:v>
                </c:pt>
                <c:pt idx="3">
                  <c:v>2018</c:v>
                </c:pt>
                <c:pt idx="4">
                  <c:v>2021</c:v>
                </c:pt>
                <c:pt idx="5">
                  <c:v>2022</c:v>
                </c:pt>
                <c:pt idx="6">
                  <c:v>2023</c:v>
                </c:pt>
              </c:numCache>
            </c:numRef>
          </c:cat>
          <c:val>
            <c:numRef>
              <c:f>(Sheet1!$B$9,Sheet1!$F$9,Sheet1!$I$9,Sheet1!$L$9,Sheet1!$O$9:$Q$9)</c:f>
              <c:numCache>
                <c:formatCode>0.0</c:formatCode>
                <c:ptCount val="7"/>
                <c:pt idx="0">
                  <c:v>6.0322714108398845</c:v>
                </c:pt>
                <c:pt idx="1">
                  <c:v>6.790238450074515</c:v>
                </c:pt>
                <c:pt idx="2">
                  <c:v>8.748017155278772</c:v>
                </c:pt>
                <c:pt idx="3">
                  <c:v>8.6050901516630862</c:v>
                </c:pt>
                <c:pt idx="4">
                  <c:v>9.2336982389338402</c:v>
                </c:pt>
                <c:pt idx="5">
                  <c:v>8.2625540157949633</c:v>
                </c:pt>
                <c:pt idx="6">
                  <c:v>7.7607056480295924</c:v>
                </c:pt>
              </c:numCache>
            </c:numRef>
          </c:val>
          <c:extLst>
            <c:ext xmlns:c16="http://schemas.microsoft.com/office/drawing/2014/chart" uri="{C3380CC4-5D6E-409C-BE32-E72D297353CC}">
              <c16:uniqueId val="{00000007-0A57-41F1-8B73-908BB32A511B}"/>
            </c:ext>
          </c:extLst>
        </c:ser>
        <c:dLbls>
          <c:showLegendKey val="0"/>
          <c:showVal val="0"/>
          <c:showCatName val="0"/>
          <c:showSerName val="0"/>
          <c:showPercent val="0"/>
          <c:showBubbleSize val="0"/>
        </c:dLbls>
        <c:gapWidth val="50"/>
        <c:overlap val="100"/>
        <c:axId val="742080488"/>
        <c:axId val="742081272"/>
      </c:barChart>
      <c:catAx>
        <c:axId val="742080488"/>
        <c:scaling>
          <c:orientation val="minMax"/>
        </c:scaling>
        <c:delete val="0"/>
        <c:axPos val="b"/>
        <c:numFmt formatCode="General" sourceLinked="1"/>
        <c:majorTickMark val="out"/>
        <c:minorTickMark val="none"/>
        <c:tickLblPos val="nextTo"/>
        <c:spPr>
          <a:ln w="3175"/>
        </c:spPr>
        <c:txPr>
          <a:bodyPr rot="0" vert="horz"/>
          <a:lstStyle/>
          <a:p>
            <a:pPr>
              <a:defRPr/>
            </a:pPr>
            <a:endParaRPr lang="lv-LV"/>
          </a:p>
        </c:txPr>
        <c:crossAx val="742081272"/>
        <c:crosses val="autoZero"/>
        <c:auto val="1"/>
        <c:lblAlgn val="ctr"/>
        <c:lblOffset val="100"/>
        <c:noMultiLvlLbl val="0"/>
      </c:catAx>
      <c:valAx>
        <c:axId val="742081272"/>
        <c:scaling>
          <c:orientation val="minMax"/>
        </c:scaling>
        <c:delete val="0"/>
        <c:axPos val="l"/>
        <c:numFmt formatCode="0%" sourceLinked="1"/>
        <c:majorTickMark val="out"/>
        <c:minorTickMark val="none"/>
        <c:tickLblPos val="nextTo"/>
        <c:spPr>
          <a:ln w="3175"/>
        </c:spPr>
        <c:txPr>
          <a:bodyPr rot="0" vert="horz"/>
          <a:lstStyle/>
          <a:p>
            <a:pPr>
              <a:defRPr/>
            </a:pPr>
            <a:endParaRPr lang="lv-LV"/>
          </a:p>
        </c:txPr>
        <c:crossAx val="742080488"/>
        <c:crosses val="autoZero"/>
        <c:crossBetween val="between"/>
        <c:majorUnit val="0.2"/>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321445624148115E-2"/>
          <c:y val="4.7032080353913347E-2"/>
          <c:w val="0.84871775695609286"/>
          <c:h val="0.85727773443197575"/>
        </c:manualLayout>
      </c:layout>
      <c:barChart>
        <c:barDir val="col"/>
        <c:grouping val="clustered"/>
        <c:varyColors val="0"/>
        <c:ser>
          <c:idx val="2"/>
          <c:order val="0"/>
          <c:tx>
            <c:strRef>
              <c:f>Sheet1!$A$2</c:f>
              <c:strCache>
                <c:ptCount val="1"/>
                <c:pt idx="0">
                  <c:v>Ekonomiski aktīvie iedzīvotāji</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Sheet1!$B$1:$O$1</c:f>
              <c:strCache>
                <c:ptCount val="8"/>
                <c:pt idx="0">
                  <c:v>2010</c:v>
                </c:pt>
                <c:pt idx="1">
                  <c:v>2012</c:v>
                </c:pt>
                <c:pt idx="2">
                  <c:v>2014</c:v>
                </c:pt>
                <c:pt idx="3">
                  <c:v>2016</c:v>
                </c:pt>
                <c:pt idx="4">
                  <c:v>2019</c:v>
                </c:pt>
                <c:pt idx="5">
                  <c:v>2021</c:v>
                </c:pt>
                <c:pt idx="6">
                  <c:v>2022</c:v>
                </c:pt>
                <c:pt idx="7">
                  <c:v>2023</c:v>
                </c:pt>
              </c:strCache>
            </c:strRef>
          </c:cat>
          <c:val>
            <c:numRef>
              <c:f>Sheet1!$B$2:$O$2</c:f>
              <c:numCache>
                <c:formatCode>0</c:formatCode>
                <c:ptCount val="8"/>
                <c:pt idx="0">
                  <c:v>1056.5</c:v>
                </c:pt>
                <c:pt idx="1">
                  <c:v>1030.7</c:v>
                </c:pt>
                <c:pt idx="2">
                  <c:v>992.3</c:v>
                </c:pt>
                <c:pt idx="3">
                  <c:v>988.6</c:v>
                </c:pt>
                <c:pt idx="4">
                  <c:v>971.3</c:v>
                </c:pt>
                <c:pt idx="5">
                  <c:v>934.6</c:v>
                </c:pt>
                <c:pt idx="6">
                  <c:v>951.3</c:v>
                </c:pt>
                <c:pt idx="7">
                  <c:v>945.7</c:v>
                </c:pt>
              </c:numCache>
            </c:numRef>
          </c:val>
          <c:extLst>
            <c:ext xmlns:c16="http://schemas.microsoft.com/office/drawing/2014/chart" uri="{C3380CC4-5D6E-409C-BE32-E72D297353CC}">
              <c16:uniqueId val="{00000000-13A0-4B3E-B212-88490528D841}"/>
            </c:ext>
          </c:extLst>
        </c:ser>
        <c:ser>
          <c:idx val="3"/>
          <c:order val="1"/>
          <c:tx>
            <c:strRef>
              <c:f>Sheet1!$A$3</c:f>
              <c:strCache>
                <c:ptCount val="1"/>
                <c:pt idx="0">
                  <c:v>Nodarbinātie iedzīvotāji</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Sheet1!$B$1:$O$1</c:f>
              <c:strCache>
                <c:ptCount val="8"/>
                <c:pt idx="0">
                  <c:v>2010</c:v>
                </c:pt>
                <c:pt idx="1">
                  <c:v>2012</c:v>
                </c:pt>
                <c:pt idx="2">
                  <c:v>2014</c:v>
                </c:pt>
                <c:pt idx="3">
                  <c:v>2016</c:v>
                </c:pt>
                <c:pt idx="4">
                  <c:v>2019</c:v>
                </c:pt>
                <c:pt idx="5">
                  <c:v>2021</c:v>
                </c:pt>
                <c:pt idx="6">
                  <c:v>2022</c:v>
                </c:pt>
                <c:pt idx="7">
                  <c:v>2023</c:v>
                </c:pt>
              </c:strCache>
            </c:strRef>
          </c:cat>
          <c:val>
            <c:numRef>
              <c:f>Sheet1!$B$3:$O$3</c:f>
              <c:numCache>
                <c:formatCode>0</c:formatCode>
                <c:ptCount val="8"/>
                <c:pt idx="0">
                  <c:v>850.7</c:v>
                </c:pt>
                <c:pt idx="1">
                  <c:v>875.6</c:v>
                </c:pt>
                <c:pt idx="2">
                  <c:v>884.6</c:v>
                </c:pt>
                <c:pt idx="3">
                  <c:v>893.3</c:v>
                </c:pt>
                <c:pt idx="4">
                  <c:v>910</c:v>
                </c:pt>
                <c:pt idx="5">
                  <c:v>864</c:v>
                </c:pt>
                <c:pt idx="6">
                  <c:v>886.2</c:v>
                </c:pt>
                <c:pt idx="7">
                  <c:v>884.2</c:v>
                </c:pt>
              </c:numCache>
            </c:numRef>
          </c:val>
          <c:extLst>
            <c:ext xmlns:c16="http://schemas.microsoft.com/office/drawing/2014/chart" uri="{C3380CC4-5D6E-409C-BE32-E72D297353CC}">
              <c16:uniqueId val="{00000001-13A0-4B3E-B212-88490528D841}"/>
            </c:ext>
          </c:extLst>
        </c:ser>
        <c:dLbls>
          <c:showLegendKey val="0"/>
          <c:showVal val="0"/>
          <c:showCatName val="0"/>
          <c:showSerName val="0"/>
          <c:showPercent val="0"/>
          <c:showBubbleSize val="0"/>
        </c:dLbls>
        <c:gapWidth val="40"/>
        <c:overlap val="80"/>
        <c:axId val="742143600"/>
        <c:axId val="742139288"/>
      </c:barChart>
      <c:catAx>
        <c:axId val="742143600"/>
        <c:scaling>
          <c:orientation val="minMax"/>
        </c:scaling>
        <c:delete val="0"/>
        <c:axPos val="b"/>
        <c:numFmt formatCode="General" sourceLinked="1"/>
        <c:majorTickMark val="out"/>
        <c:minorTickMark val="none"/>
        <c:tickLblPos val="low"/>
        <c:txPr>
          <a:bodyPr rot="0" vert="horz"/>
          <a:lstStyle/>
          <a:p>
            <a:pPr>
              <a:defRPr/>
            </a:pPr>
            <a:endParaRPr lang="lv-LV"/>
          </a:p>
        </c:txPr>
        <c:crossAx val="742139288"/>
        <c:crosses val="autoZero"/>
        <c:auto val="0"/>
        <c:lblAlgn val="ctr"/>
        <c:lblOffset val="0"/>
        <c:noMultiLvlLbl val="1"/>
      </c:catAx>
      <c:valAx>
        <c:axId val="742139288"/>
        <c:scaling>
          <c:orientation val="minMax"/>
          <c:min val="700"/>
        </c:scaling>
        <c:delete val="0"/>
        <c:axPos val="l"/>
        <c:numFmt formatCode="0" sourceLinked="0"/>
        <c:majorTickMark val="out"/>
        <c:minorTickMark val="none"/>
        <c:tickLblPos val="nextTo"/>
        <c:spPr>
          <a:ln w="3175">
            <a:noFill/>
          </a:ln>
        </c:spPr>
        <c:txPr>
          <a:bodyPr rot="0" vert="horz"/>
          <a:lstStyle/>
          <a:p>
            <a:pPr>
              <a:defRPr/>
            </a:pPr>
            <a:endParaRPr lang="lv-LV"/>
          </a:p>
        </c:txPr>
        <c:crossAx val="742143600"/>
        <c:crosses val="autoZero"/>
        <c:crossBetween val="between"/>
        <c:majorUnit val="100"/>
      </c:valAx>
      <c:spPr>
        <a:noFill/>
        <a:ln w="24631">
          <a:noFill/>
        </a:ln>
      </c:spPr>
    </c:plotArea>
    <c:legend>
      <c:legendPos val="l"/>
      <c:layout>
        <c:manualLayout>
          <c:xMode val="edge"/>
          <c:yMode val="edge"/>
          <c:x val="0.42183889086631537"/>
          <c:y val="2.9919407677686277E-2"/>
          <c:w val="0.52988531891065982"/>
          <c:h val="0.15094656938314965"/>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3790778137209829"/>
          <c:y val="2.9322738259412468E-2"/>
          <c:w val="3.6856226305045203E-2"/>
          <c:h val="6.1313601603974706E-2"/>
        </c:manualLayout>
      </c:layout>
      <c:barChart>
        <c:barDir val="col"/>
        <c:grouping val="percentStacked"/>
        <c:varyColors val="0"/>
        <c:ser>
          <c:idx val="0"/>
          <c:order val="0"/>
          <c:tx>
            <c:strRef>
              <c:f>Sheet1!$A$2</c:f>
              <c:strCache>
                <c:ptCount val="1"/>
                <c:pt idx="0">
                  <c:v>Izglītība</c:v>
                </c:pt>
              </c:strCache>
            </c:strRef>
          </c:tx>
          <c:invertIfNegative val="0"/>
          <c:cat>
            <c:numRef>
              <c:f>(Sheet1!$B$1;Sheet1!$D$1;Sheet1!$G$1)</c:f>
              <c:numCache>
                <c:formatCode>General</c:formatCode>
                <c:ptCount val="3"/>
                <c:pt idx="0">
                  <c:v>2008</c:v>
                </c:pt>
                <c:pt idx="1">
                  <c:v>2010</c:v>
                </c:pt>
                <c:pt idx="2">
                  <c:v>2013</c:v>
                </c:pt>
              </c:numCache>
            </c:numRef>
          </c:cat>
          <c:val>
            <c:numRef>
              <c:f>(Sheet1!$B$2;Sheet1!$D$2;Sheet1!$G$2)</c:f>
              <c:numCache>
                <c:formatCode>0.0</c:formatCode>
                <c:ptCount val="3"/>
                <c:pt idx="0">
                  <c:v>10.314439387670667</c:v>
                </c:pt>
                <c:pt idx="1">
                  <c:v>8.3104162742512706</c:v>
                </c:pt>
                <c:pt idx="2">
                  <c:v>7.487274409995373</c:v>
                </c:pt>
              </c:numCache>
            </c:numRef>
          </c:val>
          <c:extLst>
            <c:ext xmlns:c16="http://schemas.microsoft.com/office/drawing/2014/chart" uri="{C3380CC4-5D6E-409C-BE32-E72D297353CC}">
              <c16:uniqueId val="{00000000-997E-435E-A6F7-4222AB920F88}"/>
            </c:ext>
          </c:extLst>
        </c:ser>
        <c:ser>
          <c:idx val="1"/>
          <c:order val="1"/>
          <c:tx>
            <c:strRef>
              <c:f>Sheet1!$A$3</c:f>
              <c:strCache>
                <c:ptCount val="1"/>
                <c:pt idx="0">
                  <c:v>Humanitārās zinātnes un māksla</c:v>
                </c:pt>
              </c:strCache>
            </c:strRef>
          </c:tx>
          <c:invertIfNegative val="0"/>
          <c:cat>
            <c:numRef>
              <c:f>(Sheet1!$B$1;Sheet1!$D$1;Sheet1!$G$1)</c:f>
              <c:numCache>
                <c:formatCode>General</c:formatCode>
                <c:ptCount val="3"/>
                <c:pt idx="0">
                  <c:v>2008</c:v>
                </c:pt>
                <c:pt idx="1">
                  <c:v>2010</c:v>
                </c:pt>
                <c:pt idx="2">
                  <c:v>2013</c:v>
                </c:pt>
              </c:numCache>
            </c:numRef>
          </c:cat>
          <c:val>
            <c:numRef>
              <c:f>(Sheet1!$B$3;Sheet1!$D$3;Sheet1!$G$3)</c:f>
              <c:numCache>
                <c:formatCode>0.0</c:formatCode>
                <c:ptCount val="3"/>
                <c:pt idx="0">
                  <c:v>7.1452213487794793</c:v>
                </c:pt>
                <c:pt idx="1">
                  <c:v>7.2216990016952352</c:v>
                </c:pt>
                <c:pt idx="2">
                  <c:v>8.2415548357242017</c:v>
                </c:pt>
              </c:numCache>
            </c:numRef>
          </c:val>
          <c:extLst>
            <c:ext xmlns:c16="http://schemas.microsoft.com/office/drawing/2014/chart" uri="{C3380CC4-5D6E-409C-BE32-E72D297353CC}">
              <c16:uniqueId val="{00000001-997E-435E-A6F7-4222AB920F88}"/>
            </c:ext>
          </c:extLst>
        </c:ser>
        <c:ser>
          <c:idx val="2"/>
          <c:order val="2"/>
          <c:tx>
            <c:strRef>
              <c:f>Sheet1!$A$4</c:f>
              <c:strCache>
                <c:ptCount val="1"/>
                <c:pt idx="0">
                  <c:v>Sociālās zinātnes, komerczinības un tiesības</c:v>
                </c:pt>
              </c:strCache>
            </c:strRef>
          </c:tx>
          <c:invertIfNegative val="0"/>
          <c:cat>
            <c:numRef>
              <c:f>(Sheet1!$B$1;Sheet1!$D$1;Sheet1!$G$1)</c:f>
              <c:numCache>
                <c:formatCode>General</c:formatCode>
                <c:ptCount val="3"/>
                <c:pt idx="0">
                  <c:v>2008</c:v>
                </c:pt>
                <c:pt idx="1">
                  <c:v>2010</c:v>
                </c:pt>
                <c:pt idx="2">
                  <c:v>2013</c:v>
                </c:pt>
              </c:numCache>
            </c:numRef>
          </c:cat>
          <c:val>
            <c:numRef>
              <c:f>(Sheet1!$B$4;Sheet1!$D$4;Sheet1!$G$4)</c:f>
              <c:numCache>
                <c:formatCode>0.0</c:formatCode>
                <c:ptCount val="3"/>
                <c:pt idx="0">
                  <c:v>55.035167563094745</c:v>
                </c:pt>
                <c:pt idx="1">
                  <c:v>54.311546430589566</c:v>
                </c:pt>
                <c:pt idx="2">
                  <c:v>39.861175381767701</c:v>
                </c:pt>
              </c:numCache>
            </c:numRef>
          </c:val>
          <c:extLst>
            <c:ext xmlns:c16="http://schemas.microsoft.com/office/drawing/2014/chart" uri="{C3380CC4-5D6E-409C-BE32-E72D297353CC}">
              <c16:uniqueId val="{00000002-997E-435E-A6F7-4222AB920F88}"/>
            </c:ext>
          </c:extLst>
        </c:ser>
        <c:ser>
          <c:idx val="3"/>
          <c:order val="3"/>
          <c:tx>
            <c:strRef>
              <c:f>Sheet1!$A$5</c:f>
              <c:strCache>
                <c:ptCount val="1"/>
                <c:pt idx="0">
                  <c:v>Dabas zinātnes, matemātika un informācijas tehnoloģijas</c:v>
                </c:pt>
              </c:strCache>
            </c:strRef>
          </c:tx>
          <c:invertIfNegative val="0"/>
          <c:cat>
            <c:numRef>
              <c:f>(Sheet1!$B$1;Sheet1!$D$1;Sheet1!$G$1)</c:f>
              <c:numCache>
                <c:formatCode>General</c:formatCode>
                <c:ptCount val="3"/>
                <c:pt idx="0">
                  <c:v>2008</c:v>
                </c:pt>
                <c:pt idx="1">
                  <c:v>2010</c:v>
                </c:pt>
                <c:pt idx="2">
                  <c:v>2013</c:v>
                </c:pt>
              </c:numCache>
            </c:numRef>
          </c:cat>
          <c:val>
            <c:numRef>
              <c:f>(Sheet1!$B$5;Sheet1!$D$5;Sheet1!$G$5)</c:f>
              <c:numCache>
                <c:formatCode>0.0</c:formatCode>
                <c:ptCount val="3"/>
                <c:pt idx="0">
                  <c:v>5.0682664460074474</c:v>
                </c:pt>
                <c:pt idx="1">
                  <c:v>5.0329628932002262</c:v>
                </c:pt>
                <c:pt idx="2">
                  <c:v>5.9602036094400743</c:v>
                </c:pt>
              </c:numCache>
            </c:numRef>
          </c:val>
          <c:extLst>
            <c:ext xmlns:c16="http://schemas.microsoft.com/office/drawing/2014/chart" uri="{C3380CC4-5D6E-409C-BE32-E72D297353CC}">
              <c16:uniqueId val="{00000003-997E-435E-A6F7-4222AB920F88}"/>
            </c:ext>
          </c:extLst>
        </c:ser>
        <c:ser>
          <c:idx val="4"/>
          <c:order val="4"/>
          <c:tx>
            <c:strRef>
              <c:f>Sheet1!$A$6</c:f>
              <c:strCache>
                <c:ptCount val="1"/>
                <c:pt idx="0">
                  <c:v>Inženierzinātnes, ražošana  un būvniecība</c:v>
                </c:pt>
              </c:strCache>
            </c:strRef>
          </c:tx>
          <c:invertIfNegative val="0"/>
          <c:cat>
            <c:numRef>
              <c:f>(Sheet1!$B$1;Sheet1!$D$1;Sheet1!$G$1)</c:f>
              <c:numCache>
                <c:formatCode>General</c:formatCode>
                <c:ptCount val="3"/>
                <c:pt idx="0">
                  <c:v>2008</c:v>
                </c:pt>
                <c:pt idx="1">
                  <c:v>2010</c:v>
                </c:pt>
                <c:pt idx="2">
                  <c:v>2013</c:v>
                </c:pt>
              </c:numCache>
            </c:numRef>
          </c:cat>
          <c:val>
            <c:numRef>
              <c:f>(Sheet1!$B$6;Sheet1!$D$6;Sheet1!$G$6)</c:f>
              <c:numCache>
                <c:formatCode>0.0</c:formatCode>
                <c:ptCount val="3"/>
                <c:pt idx="0">
                  <c:v>7.5879189077368636</c:v>
                </c:pt>
                <c:pt idx="1">
                  <c:v>9.2861179129779625</c:v>
                </c:pt>
                <c:pt idx="2">
                  <c:v>11.943544655252198</c:v>
                </c:pt>
              </c:numCache>
            </c:numRef>
          </c:val>
          <c:extLst>
            <c:ext xmlns:c16="http://schemas.microsoft.com/office/drawing/2014/chart" uri="{C3380CC4-5D6E-409C-BE32-E72D297353CC}">
              <c16:uniqueId val="{00000004-997E-435E-A6F7-4222AB920F88}"/>
            </c:ext>
          </c:extLst>
        </c:ser>
        <c:ser>
          <c:idx val="5"/>
          <c:order val="5"/>
          <c:tx>
            <c:strRef>
              <c:f>Sheet1!$A$7</c:f>
              <c:strCache>
                <c:ptCount val="1"/>
                <c:pt idx="0">
                  <c:v>Lauksaimniecība</c:v>
                </c:pt>
              </c:strCache>
            </c:strRef>
          </c:tx>
          <c:invertIfNegative val="0"/>
          <c:cat>
            <c:numRef>
              <c:f>(Sheet1!$B$1;Sheet1!$D$1;Sheet1!$G$1)</c:f>
              <c:numCache>
                <c:formatCode>General</c:formatCode>
                <c:ptCount val="3"/>
                <c:pt idx="0">
                  <c:v>2008</c:v>
                </c:pt>
                <c:pt idx="1">
                  <c:v>2010</c:v>
                </c:pt>
                <c:pt idx="2">
                  <c:v>2013</c:v>
                </c:pt>
              </c:numCache>
            </c:numRef>
          </c:cat>
          <c:val>
            <c:numRef>
              <c:f>(Sheet1!$B$7;Sheet1!$D$7;Sheet1!$G$7)</c:f>
              <c:numCache>
                <c:formatCode>0.0</c:formatCode>
                <c:ptCount val="3"/>
                <c:pt idx="0">
                  <c:v>0.74472486553578821</c:v>
                </c:pt>
                <c:pt idx="1">
                  <c:v>0.86268600489734415</c:v>
                </c:pt>
                <c:pt idx="2">
                  <c:v>1.073577047663119</c:v>
                </c:pt>
              </c:numCache>
            </c:numRef>
          </c:val>
          <c:extLst>
            <c:ext xmlns:c16="http://schemas.microsoft.com/office/drawing/2014/chart" uri="{C3380CC4-5D6E-409C-BE32-E72D297353CC}">
              <c16:uniqueId val="{00000005-997E-435E-A6F7-4222AB920F88}"/>
            </c:ext>
          </c:extLst>
        </c:ser>
        <c:ser>
          <c:idx val="6"/>
          <c:order val="6"/>
          <c:tx>
            <c:strRef>
              <c:f>Sheet1!$A$8</c:f>
              <c:strCache>
                <c:ptCount val="1"/>
                <c:pt idx="0">
                  <c:v>Veselības aprūpe un sociālā labklājība</c:v>
                </c:pt>
              </c:strCache>
            </c:strRef>
          </c:tx>
          <c:invertIfNegative val="0"/>
          <c:cat>
            <c:numRef>
              <c:f>(Sheet1!$B$1;Sheet1!$D$1;Sheet1!$G$1)</c:f>
              <c:numCache>
                <c:formatCode>General</c:formatCode>
                <c:ptCount val="3"/>
                <c:pt idx="0">
                  <c:v>2008</c:v>
                </c:pt>
                <c:pt idx="1">
                  <c:v>2010</c:v>
                </c:pt>
                <c:pt idx="2">
                  <c:v>2013</c:v>
                </c:pt>
              </c:numCache>
            </c:numRef>
          </c:cat>
          <c:val>
            <c:numRef>
              <c:f>(Sheet1!$B$8;Sheet1!$D$8;Sheet1!$G$8)</c:f>
              <c:numCache>
                <c:formatCode>0.0</c:formatCode>
                <c:ptCount val="3"/>
                <c:pt idx="0">
                  <c:v>7.9313198179561439</c:v>
                </c:pt>
                <c:pt idx="1">
                  <c:v>9.2522132228291589</c:v>
                </c:pt>
                <c:pt idx="2">
                  <c:v>18.232299861175385</c:v>
                </c:pt>
              </c:numCache>
            </c:numRef>
          </c:val>
          <c:extLst>
            <c:ext xmlns:c16="http://schemas.microsoft.com/office/drawing/2014/chart" uri="{C3380CC4-5D6E-409C-BE32-E72D297353CC}">
              <c16:uniqueId val="{00000006-997E-435E-A6F7-4222AB920F88}"/>
            </c:ext>
          </c:extLst>
        </c:ser>
        <c:ser>
          <c:idx val="7"/>
          <c:order val="7"/>
          <c:tx>
            <c:strRef>
              <c:f>Sheet1!$A$9</c:f>
              <c:strCache>
                <c:ptCount val="1"/>
                <c:pt idx="0">
                  <c:v>Pakalpojumi</c:v>
                </c:pt>
              </c:strCache>
            </c:strRef>
          </c:tx>
          <c:invertIfNegative val="0"/>
          <c:cat>
            <c:numRef>
              <c:f>(Sheet1!$B$1;Sheet1!$D$1;Sheet1!$G$1)</c:f>
              <c:numCache>
                <c:formatCode>General</c:formatCode>
                <c:ptCount val="3"/>
                <c:pt idx="0">
                  <c:v>2008</c:v>
                </c:pt>
                <c:pt idx="1">
                  <c:v>2010</c:v>
                </c:pt>
                <c:pt idx="2">
                  <c:v>2013</c:v>
                </c:pt>
              </c:numCache>
            </c:numRef>
          </c:cat>
          <c:val>
            <c:numRef>
              <c:f>(Sheet1!$B$9;Sheet1!$D$9;Sheet1!$G$9)</c:f>
              <c:numCache>
                <c:formatCode>0.0</c:formatCode>
                <c:ptCount val="3"/>
                <c:pt idx="0">
                  <c:v>6.0322714108398845</c:v>
                </c:pt>
                <c:pt idx="1">
                  <c:v>5.6507816914673192</c:v>
                </c:pt>
                <c:pt idx="2">
                  <c:v>7.2003701989819522</c:v>
                </c:pt>
              </c:numCache>
            </c:numRef>
          </c:val>
          <c:extLst>
            <c:ext xmlns:c16="http://schemas.microsoft.com/office/drawing/2014/chart" uri="{C3380CC4-5D6E-409C-BE32-E72D297353CC}">
              <c16:uniqueId val="{00000007-997E-435E-A6F7-4222AB920F88}"/>
            </c:ext>
          </c:extLst>
        </c:ser>
        <c:dLbls>
          <c:showLegendKey val="0"/>
          <c:showVal val="0"/>
          <c:showCatName val="0"/>
          <c:showSerName val="0"/>
          <c:showPercent val="0"/>
          <c:showBubbleSize val="0"/>
        </c:dLbls>
        <c:gapWidth val="40"/>
        <c:overlap val="100"/>
        <c:axId val="742095384"/>
        <c:axId val="742089896"/>
      </c:barChart>
      <c:catAx>
        <c:axId val="742095384"/>
        <c:scaling>
          <c:orientation val="minMax"/>
        </c:scaling>
        <c:delete val="1"/>
        <c:axPos val="b"/>
        <c:numFmt formatCode="General" sourceLinked="1"/>
        <c:majorTickMark val="out"/>
        <c:minorTickMark val="none"/>
        <c:tickLblPos val="nextTo"/>
        <c:crossAx val="742089896"/>
        <c:crosses val="autoZero"/>
        <c:auto val="1"/>
        <c:lblAlgn val="ctr"/>
        <c:lblOffset val="100"/>
        <c:noMultiLvlLbl val="0"/>
      </c:catAx>
      <c:valAx>
        <c:axId val="742089896"/>
        <c:scaling>
          <c:orientation val="minMax"/>
        </c:scaling>
        <c:delete val="1"/>
        <c:axPos val="l"/>
        <c:numFmt formatCode="0%" sourceLinked="1"/>
        <c:majorTickMark val="out"/>
        <c:minorTickMark val="none"/>
        <c:tickLblPos val="nextTo"/>
        <c:crossAx val="742095384"/>
        <c:crosses val="autoZero"/>
        <c:crossBetween val="between"/>
        <c:majorUnit val="0.2"/>
      </c:valAx>
    </c:plotArea>
    <c:legend>
      <c:legendPos val="r"/>
      <c:layout>
        <c:manualLayout>
          <c:xMode val="edge"/>
          <c:yMode val="edge"/>
          <c:x val="2.8714373768328569E-2"/>
          <c:y val="1.533660896094961E-2"/>
          <c:w val="0.96908055456684228"/>
          <c:h val="0.98466298095716753"/>
        </c:manualLayout>
      </c:layout>
      <c:overlay val="0"/>
      <c:spPr>
        <a:solidFill>
          <a:schemeClr val="bg1"/>
        </a:solidFill>
      </c:spPr>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4077040085898354"/>
          <c:y val="4.5743840973127406E-2"/>
          <c:w val="0.42696303587051615"/>
          <c:h val="0.84898281422555189"/>
        </c:manualLayout>
      </c:layout>
      <c:barChart>
        <c:barDir val="bar"/>
        <c:grouping val="stacked"/>
        <c:varyColors val="0"/>
        <c:ser>
          <c:idx val="0"/>
          <c:order val="0"/>
          <c:tx>
            <c:strRef>
              <c:f>Sheet1!$C$1</c:f>
              <c:strCache>
                <c:ptCount val="1"/>
                <c:pt idx="0">
                  <c:v>Par budžeta līdzekļiem</c:v>
                </c:pt>
              </c:strCache>
            </c:strRef>
          </c:tx>
          <c:spPr>
            <a:solidFill>
              <a:srgbClr val="70AD47"/>
            </a:solidFill>
            <a:ln>
              <a:noFill/>
            </a:ln>
          </c:spPr>
          <c:invertIfNegative val="0"/>
          <c:cat>
            <c:strRef>
              <c:f>Sheet1!$B$2:$B$9</c:f>
              <c:strCache>
                <c:ptCount val="8"/>
                <c:pt idx="0">
                  <c:v>Pakalpojumi</c:v>
                </c:pt>
                <c:pt idx="1">
                  <c:v>Veselības aprūpe un sociālā labklājība</c:v>
                </c:pt>
                <c:pt idx="2">
                  <c:v>Lauksaimniecība</c:v>
                </c:pt>
                <c:pt idx="3">
                  <c:v>Inženierzinātnes, ražošana un būvniecība</c:v>
                </c:pt>
                <c:pt idx="4">
                  <c:v>Dabaszinātnes, matemātika un informācijas tehnoloģijas</c:v>
                </c:pt>
                <c:pt idx="5">
                  <c:v>Sociālās zinātnes, komerczinības un tiesības</c:v>
                </c:pt>
                <c:pt idx="6">
                  <c:v>Humanitārās zinātnes un mākslas</c:v>
                </c:pt>
                <c:pt idx="7">
                  <c:v>Izglītība</c:v>
                </c:pt>
              </c:strCache>
            </c:strRef>
          </c:cat>
          <c:val>
            <c:numRef>
              <c:f>Sheet1!$C$2:$C$9</c:f>
              <c:numCache>
                <c:formatCode>General</c:formatCode>
                <c:ptCount val="8"/>
                <c:pt idx="0">
                  <c:v>2.0419999999999998</c:v>
                </c:pt>
                <c:pt idx="1">
                  <c:v>7.3029999999999999</c:v>
                </c:pt>
                <c:pt idx="2">
                  <c:v>0.72799999999999998</c:v>
                </c:pt>
                <c:pt idx="3">
                  <c:v>6.4459999999999997</c:v>
                </c:pt>
                <c:pt idx="4">
                  <c:v>4.5910000000000002</c:v>
                </c:pt>
                <c:pt idx="5">
                  <c:v>4.1849999999999996</c:v>
                </c:pt>
                <c:pt idx="6">
                  <c:v>3.423</c:v>
                </c:pt>
                <c:pt idx="7">
                  <c:v>1.4390000000000001</c:v>
                </c:pt>
              </c:numCache>
            </c:numRef>
          </c:val>
          <c:extLst>
            <c:ext xmlns:c16="http://schemas.microsoft.com/office/drawing/2014/chart" uri="{C3380CC4-5D6E-409C-BE32-E72D297353CC}">
              <c16:uniqueId val="{00000000-440C-430C-8E68-FD805A41B92A}"/>
            </c:ext>
          </c:extLst>
        </c:ser>
        <c:ser>
          <c:idx val="1"/>
          <c:order val="1"/>
          <c:tx>
            <c:strRef>
              <c:f>Sheet1!$D$1</c:f>
              <c:strCache>
                <c:ptCount val="1"/>
                <c:pt idx="0">
                  <c:v>Par maksu</c:v>
                </c:pt>
              </c:strCache>
            </c:strRef>
          </c:tx>
          <c:spPr>
            <a:solidFill>
              <a:srgbClr val="4472C4"/>
            </a:solidFill>
          </c:spPr>
          <c:invertIfNegative val="0"/>
          <c:val>
            <c:numRef>
              <c:f>Sheet1!$D$2:$D$9</c:f>
              <c:numCache>
                <c:formatCode>General</c:formatCode>
                <c:ptCount val="8"/>
                <c:pt idx="0">
                  <c:v>3.2160000000000002</c:v>
                </c:pt>
                <c:pt idx="1">
                  <c:v>6.8419999999999996</c:v>
                </c:pt>
                <c:pt idx="2">
                  <c:v>0.72799999999999998</c:v>
                </c:pt>
                <c:pt idx="3">
                  <c:v>3.4470000000000001</c:v>
                </c:pt>
                <c:pt idx="4">
                  <c:v>3.4239999999999999</c:v>
                </c:pt>
                <c:pt idx="5">
                  <c:v>20.85</c:v>
                </c:pt>
                <c:pt idx="6">
                  <c:v>2.105</c:v>
                </c:pt>
                <c:pt idx="7">
                  <c:v>3.2480000000000002</c:v>
                </c:pt>
              </c:numCache>
            </c:numRef>
          </c:val>
          <c:extLst>
            <c:ext xmlns:c16="http://schemas.microsoft.com/office/drawing/2014/chart" uri="{C3380CC4-5D6E-409C-BE32-E72D297353CC}">
              <c16:uniqueId val="{00000001-440C-430C-8E68-FD805A41B92A}"/>
            </c:ext>
          </c:extLst>
        </c:ser>
        <c:dLbls>
          <c:showLegendKey val="0"/>
          <c:showVal val="0"/>
          <c:showCatName val="0"/>
          <c:showSerName val="0"/>
          <c:showPercent val="0"/>
          <c:showBubbleSize val="0"/>
        </c:dLbls>
        <c:gapWidth val="40"/>
        <c:overlap val="100"/>
        <c:axId val="742090288"/>
        <c:axId val="742087152"/>
      </c:barChart>
      <c:catAx>
        <c:axId val="742090288"/>
        <c:scaling>
          <c:orientation val="minMax"/>
        </c:scaling>
        <c:delete val="0"/>
        <c:axPos val="l"/>
        <c:numFmt formatCode="General" sourceLinked="1"/>
        <c:majorTickMark val="out"/>
        <c:minorTickMark val="none"/>
        <c:tickLblPos val="nextTo"/>
        <c:spPr>
          <a:ln w="3175"/>
        </c:spPr>
        <c:txPr>
          <a:bodyPr rot="0" vert="horz"/>
          <a:lstStyle/>
          <a:p>
            <a:pPr>
              <a:defRPr sz="800"/>
            </a:pPr>
            <a:endParaRPr lang="lv-LV"/>
          </a:p>
        </c:txPr>
        <c:crossAx val="742087152"/>
        <c:crosses val="autoZero"/>
        <c:auto val="1"/>
        <c:lblAlgn val="ctr"/>
        <c:lblOffset val="100"/>
        <c:noMultiLvlLbl val="0"/>
      </c:catAx>
      <c:valAx>
        <c:axId val="742087152"/>
        <c:scaling>
          <c:orientation val="minMax"/>
          <c:max val="28"/>
          <c:min val="0"/>
        </c:scaling>
        <c:delete val="0"/>
        <c:axPos val="b"/>
        <c:numFmt formatCode="#,##0" sourceLinked="0"/>
        <c:majorTickMark val="out"/>
        <c:minorTickMark val="none"/>
        <c:tickLblPos val="nextTo"/>
        <c:spPr>
          <a:ln>
            <a:noFill/>
          </a:ln>
        </c:spPr>
        <c:crossAx val="742090288"/>
        <c:crosses val="autoZero"/>
        <c:crossBetween val="between"/>
        <c:majorUnit val="5"/>
      </c:valAx>
      <c:spPr>
        <a:ln w="25400">
          <a:noFill/>
        </a:ln>
      </c:spPr>
    </c:plotArea>
    <c:legend>
      <c:legendPos val="r"/>
      <c:layout>
        <c:manualLayout>
          <c:xMode val="edge"/>
          <c:yMode val="edge"/>
          <c:x val="0.6857705996977651"/>
          <c:y val="5.1391091550192509E-2"/>
          <c:w val="0.31084193311063391"/>
          <c:h val="0.16525385076644897"/>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28368160154181E-2"/>
          <c:y val="4.2275661488259911E-2"/>
          <c:w val="0.90836138867426575"/>
          <c:h val="0.8600463585932685"/>
        </c:manualLayout>
      </c:layout>
      <c:barChart>
        <c:barDir val="bar"/>
        <c:grouping val="clustered"/>
        <c:varyColors val="0"/>
        <c:ser>
          <c:idx val="0"/>
          <c:order val="0"/>
          <c:tx>
            <c:strRef>
              <c:f>Sheet1!$B$1</c:f>
              <c:strCache>
                <c:ptCount val="1"/>
                <c:pt idx="0">
                  <c:v>Kopā </c:v>
                </c:pt>
              </c:strCache>
            </c:strRef>
          </c:tx>
          <c:spPr>
            <a:solidFill>
              <a:srgbClr val="4F81BD">
                <a:lumMod val="40000"/>
                <a:lumOff val="60000"/>
              </a:srgbClr>
            </a:solidFill>
            <a:ln>
              <a:noFill/>
            </a:ln>
          </c:spPr>
          <c:invertIfNegative val="0"/>
          <c:dPt>
            <c:idx val="3"/>
            <c:invertIfNegative val="0"/>
            <c:bubble3D val="0"/>
            <c:spPr>
              <a:solidFill>
                <a:srgbClr val="B9CDE5"/>
              </a:solidFill>
              <a:ln>
                <a:noFill/>
              </a:ln>
            </c:spPr>
            <c:extLst>
              <c:ext xmlns:c16="http://schemas.microsoft.com/office/drawing/2014/chart" uri="{C3380CC4-5D6E-409C-BE32-E72D297353CC}">
                <c16:uniqueId val="{00000001-4879-4338-B954-3DA192A8867C}"/>
              </c:ext>
            </c:extLst>
          </c:dPt>
          <c:dPt>
            <c:idx val="4"/>
            <c:invertIfNegative val="0"/>
            <c:bubble3D val="0"/>
            <c:spPr>
              <a:solidFill>
                <a:srgbClr val="C0504D"/>
              </a:solidFill>
              <a:ln>
                <a:noFill/>
              </a:ln>
            </c:spPr>
            <c:extLst>
              <c:ext xmlns:c16="http://schemas.microsoft.com/office/drawing/2014/chart" uri="{C3380CC4-5D6E-409C-BE32-E72D297353CC}">
                <c16:uniqueId val="{00000003-4879-4338-B954-3DA192A8867C}"/>
              </c:ext>
            </c:extLst>
          </c:dPt>
          <c:dLbls>
            <c:numFmt formatCode="#,##0" sourceLinked="0"/>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8"/>
              </c:numCache>
            </c:numRef>
          </c:cat>
          <c:val>
            <c:numRef>
              <c:f>Sheet1!$B$2:$B$9</c:f>
              <c:numCache>
                <c:formatCode>0.0</c:formatCode>
                <c:ptCount val="8"/>
                <c:pt idx="0">
                  <c:v>15.276296138254747</c:v>
                </c:pt>
                <c:pt idx="1">
                  <c:v>15.352947083040466</c:v>
                </c:pt>
                <c:pt idx="2">
                  <c:v>21.134134650836959</c:v>
                </c:pt>
                <c:pt idx="3">
                  <c:v>20.594882921978122</c:v>
                </c:pt>
                <c:pt idx="4">
                  <c:v>28.061794897855474</c:v>
                </c:pt>
                <c:pt idx="5">
                  <c:v>14.883401920438958</c:v>
                </c:pt>
                <c:pt idx="6">
                  <c:v>14.135238656452564</c:v>
                </c:pt>
                <c:pt idx="7">
                  <c:v>22.832002902757619</c:v>
                </c:pt>
              </c:numCache>
            </c:numRef>
          </c:val>
          <c:extLst>
            <c:ext xmlns:c16="http://schemas.microsoft.com/office/drawing/2014/chart" uri="{C3380CC4-5D6E-409C-BE32-E72D297353CC}">
              <c16:uniqueId val="{00000004-4879-4338-B954-3DA192A8867C}"/>
            </c:ext>
          </c:extLst>
        </c:ser>
        <c:dLbls>
          <c:showLegendKey val="0"/>
          <c:showVal val="0"/>
          <c:showCatName val="0"/>
          <c:showSerName val="0"/>
          <c:showPercent val="0"/>
          <c:showBubbleSize val="0"/>
        </c:dLbls>
        <c:gapWidth val="40"/>
        <c:overlap val="100"/>
        <c:axId val="742092248"/>
        <c:axId val="742096168"/>
      </c:barChart>
      <c:catAx>
        <c:axId val="742092248"/>
        <c:scaling>
          <c:orientation val="minMax"/>
        </c:scaling>
        <c:delete val="0"/>
        <c:axPos val="l"/>
        <c:numFmt formatCode="General" sourceLinked="1"/>
        <c:majorTickMark val="out"/>
        <c:minorTickMark val="none"/>
        <c:tickLblPos val="nextTo"/>
        <c:spPr>
          <a:ln w="3175"/>
        </c:spPr>
        <c:txPr>
          <a:bodyPr rot="0" vert="horz"/>
          <a:lstStyle/>
          <a:p>
            <a:pPr>
              <a:defRPr/>
            </a:pPr>
            <a:endParaRPr lang="lv-LV"/>
          </a:p>
        </c:txPr>
        <c:crossAx val="742096168"/>
        <c:crosses val="autoZero"/>
        <c:auto val="1"/>
        <c:lblAlgn val="ctr"/>
        <c:lblOffset val="100"/>
        <c:tickLblSkip val="1"/>
        <c:noMultiLvlLbl val="0"/>
      </c:catAx>
      <c:valAx>
        <c:axId val="742096168"/>
        <c:scaling>
          <c:orientation val="minMax"/>
          <c:max val="40"/>
          <c:min val="0"/>
        </c:scaling>
        <c:delete val="0"/>
        <c:axPos val="b"/>
        <c:numFmt formatCode="#,##0" sourceLinked="0"/>
        <c:majorTickMark val="out"/>
        <c:minorTickMark val="none"/>
        <c:tickLblPos val="nextTo"/>
        <c:spPr>
          <a:ln>
            <a:noFill/>
          </a:ln>
        </c:spPr>
        <c:crossAx val="742092248"/>
        <c:crosses val="autoZero"/>
        <c:crossBetween val="between"/>
        <c:majorUnit val="10"/>
      </c:valAx>
      <c:spPr>
        <a:ln w="25400">
          <a:noFill/>
        </a:ln>
      </c:spPr>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84060454363734338"/>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(Sheet1!$B$2,Sheet1!$F$2,Sheet1!$I$2,Sheet1!$L$2,Sheet1!$O$2,Sheet1!$P$2,Sheet1!$Q$2)</c:f>
              <c:numCache>
                <c:formatCode>0</c:formatCode>
                <c:ptCount val="7"/>
                <c:pt idx="0">
                  <c:v>2.4850536627530073</c:v>
                </c:pt>
                <c:pt idx="1">
                  <c:v>1.3813126869611121</c:v>
                </c:pt>
                <c:pt idx="2">
                  <c:v>0.91793647879566731</c:v>
                </c:pt>
                <c:pt idx="3">
                  <c:v>0</c:v>
                </c:pt>
                <c:pt idx="4">
                  <c:v>0</c:v>
                </c:pt>
                <c:pt idx="5">
                  <c:v>0</c:v>
                </c:pt>
                <c:pt idx="6">
                  <c:v>0</c:v>
                </c:pt>
              </c:numCache>
            </c:numRef>
          </c:val>
          <c:extLst>
            <c:ext xmlns:c16="http://schemas.microsoft.com/office/drawing/2014/chart" uri="{C3380CC4-5D6E-409C-BE32-E72D297353CC}">
              <c16:uniqueId val="{00000000-5A7A-4A70-8661-A16A4EC8BF7B}"/>
            </c:ext>
          </c:extLst>
        </c:ser>
        <c:ser>
          <c:idx val="1"/>
          <c:order val="1"/>
          <c:tx>
            <c:strRef>
              <c:f>Sheet1!$A$3</c:f>
              <c:strCache>
                <c:ptCount val="1"/>
                <c:pt idx="0">
                  <c:v>Humanitārās zinātnes un māksla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(Sheet1!$B$3,Sheet1!$F$3,Sheet1!$I$3,Sheet1!$L$3,Sheet1!$O$3,Sheet1!$P$3,Sheet1!$Q$3)</c:f>
              <c:numCache>
                <c:formatCode>0</c:formatCode>
                <c:ptCount val="7"/>
                <c:pt idx="0">
                  <c:v>7.2462724195058712</c:v>
                </c:pt>
                <c:pt idx="1">
                  <c:v>8.5254267112440605</c:v>
                </c:pt>
                <c:pt idx="2">
                  <c:v>9.4455663668074177</c:v>
                </c:pt>
                <c:pt idx="3">
                  <c:v>12.799657534246576</c:v>
                </c:pt>
                <c:pt idx="4">
                  <c:v>12.449652142072502</c:v>
                </c:pt>
                <c:pt idx="5">
                  <c:v>12.316522393677079</c:v>
                </c:pt>
                <c:pt idx="6">
                  <c:v>13.056947608200456</c:v>
                </c:pt>
              </c:numCache>
            </c:numRef>
          </c:val>
          <c:extLst>
            <c:ext xmlns:c16="http://schemas.microsoft.com/office/drawing/2014/chart" uri="{C3380CC4-5D6E-409C-BE32-E72D297353CC}">
              <c16:uniqueId val="{00000001-5A7A-4A70-8661-A16A4EC8BF7B}"/>
            </c:ext>
          </c:extLst>
        </c:ser>
        <c:ser>
          <c:idx val="2"/>
          <c:order val="2"/>
          <c:tx>
            <c:strRef>
              <c:f>Sheet1!$A$4</c:f>
              <c:strCache>
                <c:ptCount val="1"/>
                <c:pt idx="0">
                  <c:v>Sociālās zinātnes, komerczinības un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(Sheet1!$B$4,Sheet1!$F$4,Sheet1!$I$4,Sheet1!$L$4,Sheet1!$O$4,Sheet1!$P$4,Sheet1!$Q$4)</c:f>
              <c:numCache>
                <c:formatCode>0</c:formatCode>
                <c:ptCount val="7"/>
                <c:pt idx="0">
                  <c:v>14.852697543758552</c:v>
                </c:pt>
                <c:pt idx="1">
                  <c:v>12.757346471933836</c:v>
                </c:pt>
                <c:pt idx="2">
                  <c:v>11.465026620157886</c:v>
                </c:pt>
                <c:pt idx="3">
                  <c:v>10.736301369863014</c:v>
                </c:pt>
                <c:pt idx="4">
                  <c:v>9.9414134016843647</c:v>
                </c:pt>
                <c:pt idx="5">
                  <c:v>7.7154685735792246</c:v>
                </c:pt>
                <c:pt idx="6">
                  <c:v>6.7608200455580869</c:v>
                </c:pt>
              </c:numCache>
            </c:numRef>
          </c:val>
          <c:extLst>
            <c:ext xmlns:c16="http://schemas.microsoft.com/office/drawing/2014/chart" uri="{C3380CC4-5D6E-409C-BE32-E72D297353CC}">
              <c16:uniqueId val="{00000002-5A7A-4A70-8661-A16A4EC8BF7B}"/>
            </c:ext>
          </c:extLst>
        </c:ser>
        <c:ser>
          <c:idx val="3"/>
          <c:order val="3"/>
          <c:tx>
            <c:strRef>
              <c:f>Sheet1!$A$5</c:f>
              <c:strCache>
                <c:ptCount val="1"/>
                <c:pt idx="0">
                  <c:v>Dabas zinātnes, matemātika un informācijas tehnoloģijas</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5A7A-4A70-8661-A16A4EC8BF7B}"/>
                </c:ext>
              </c:extLst>
            </c:dLbl>
            <c:dLbl>
              <c:idx val="1"/>
              <c:delete val="1"/>
              <c:extLst>
                <c:ext xmlns:c15="http://schemas.microsoft.com/office/drawing/2012/chart" uri="{CE6537A1-D6FC-4f65-9D91-7224C49458BB}"/>
                <c:ext xmlns:c16="http://schemas.microsoft.com/office/drawing/2014/chart" uri="{C3380CC4-5D6E-409C-BE32-E72D297353CC}">
                  <c16:uniqueId val="{00000004-5A7A-4A70-8661-A16A4EC8BF7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(Sheet1!$B$5,Sheet1!$F$5,Sheet1!$I$5,Sheet1!$L$5,Sheet1!$O$5,Sheet1!$P$5,Sheet1!$Q$5)</c:f>
              <c:numCache>
                <c:formatCode>0</c:formatCode>
                <c:ptCount val="7"/>
                <c:pt idx="0">
                  <c:v>5.3662753007275086</c:v>
                </c:pt>
                <c:pt idx="1">
                  <c:v>5.1469294386767555</c:v>
                </c:pt>
                <c:pt idx="2">
                  <c:v>6.3429410684780612</c:v>
                </c:pt>
                <c:pt idx="3">
                  <c:v>6.9606164383561637</c:v>
                </c:pt>
                <c:pt idx="4">
                  <c:v>9.3921640424752848</c:v>
                </c:pt>
                <c:pt idx="5">
                  <c:v>9.9266089574708332</c:v>
                </c:pt>
                <c:pt idx="6">
                  <c:v>9.5216400911161738</c:v>
                </c:pt>
              </c:numCache>
            </c:numRef>
          </c:val>
          <c:extLst>
            <c:ext xmlns:c16="http://schemas.microsoft.com/office/drawing/2014/chart" uri="{C3380CC4-5D6E-409C-BE32-E72D297353CC}">
              <c16:uniqueId val="{00000005-5A7A-4A70-8661-A16A4EC8BF7B}"/>
            </c:ext>
          </c:extLst>
        </c:ser>
        <c:ser>
          <c:idx val="4"/>
          <c:order val="4"/>
          <c:tx>
            <c:strRef>
              <c:f>Sheet1!$A$6</c:f>
              <c:strCache>
                <c:ptCount val="1"/>
                <c:pt idx="0">
                  <c:v>Inženierzinātnes, ražošana  un būvniecība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(Sheet1!$B$6,Sheet1!$F$6,Sheet1!$I$6,Sheet1!$L$6,Sheet1!$O$6,Sheet1!$P$6,Sheet1!$Q$6)</c:f>
              <c:numCache>
                <c:formatCode>0</c:formatCode>
                <c:ptCount val="7"/>
                <c:pt idx="0">
                  <c:v>41.813729021104947</c:v>
                </c:pt>
                <c:pt idx="1">
                  <c:v>37.594580327291922</c:v>
                </c:pt>
                <c:pt idx="2">
                  <c:v>33.853497337984209</c:v>
                </c:pt>
                <c:pt idx="3">
                  <c:v>32.859589041095887</c:v>
                </c:pt>
                <c:pt idx="4">
                  <c:v>33.147198828268031</c:v>
                </c:pt>
                <c:pt idx="5">
                  <c:v>38.23861497929996</c:v>
                </c:pt>
                <c:pt idx="6">
                  <c:v>38.195899772209572</c:v>
                </c:pt>
              </c:numCache>
            </c:numRef>
          </c:val>
          <c:extLst>
            <c:ext xmlns:c16="http://schemas.microsoft.com/office/drawing/2014/chart" uri="{C3380CC4-5D6E-409C-BE32-E72D297353CC}">
              <c16:uniqueId val="{00000006-5A7A-4A70-8661-A16A4EC8BF7B}"/>
            </c:ext>
          </c:extLst>
        </c:ser>
        <c:ser>
          <c:idx val="5"/>
          <c:order val="5"/>
          <c:tx>
            <c:strRef>
              <c:f>Sheet1!$A$7</c:f>
              <c:strCache>
                <c:ptCount val="1"/>
                <c:pt idx="0">
                  <c:v>Lauksaimniecība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(Sheet1!$B$7,Sheet1!$F$7,Sheet1!$I$7,Sheet1!$L$7,Sheet1!$O$7,Sheet1!$P$7,Sheet1!$Q$7)</c:f>
              <c:numCache>
                <c:formatCode>0</c:formatCode>
                <c:ptCount val="7"/>
                <c:pt idx="0">
                  <c:v>2.593099474177051</c:v>
                </c:pt>
                <c:pt idx="1">
                  <c:v>2.5338729544254797</c:v>
                </c:pt>
                <c:pt idx="2">
                  <c:v>3.8369744813658895</c:v>
                </c:pt>
                <c:pt idx="3">
                  <c:v>3.4160958904109591</c:v>
                </c:pt>
                <c:pt idx="4">
                  <c:v>6.6184547784694248</c:v>
                </c:pt>
                <c:pt idx="5">
                  <c:v>5.8336469702672185</c:v>
                </c:pt>
                <c:pt idx="6">
                  <c:v>5.548974943052392</c:v>
                </c:pt>
              </c:numCache>
            </c:numRef>
          </c:val>
          <c:extLst>
            <c:ext xmlns:c16="http://schemas.microsoft.com/office/drawing/2014/chart" uri="{C3380CC4-5D6E-409C-BE32-E72D297353CC}">
              <c16:uniqueId val="{00000007-5A7A-4A70-8661-A16A4EC8BF7B}"/>
            </c:ext>
          </c:extLst>
        </c:ser>
        <c:ser>
          <c:idx val="6"/>
          <c:order val="6"/>
          <c:tx>
            <c:strRef>
              <c:f>Sheet1!$A$8</c:f>
              <c:strCache>
                <c:ptCount val="1"/>
                <c:pt idx="0">
                  <c:v>Veselības aprūpe un sociālā labklājība</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5A7A-4A70-8661-A16A4EC8BF7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(Sheet1!$B$8,Sheet1!$F$8,Sheet1!$I$8,Sheet1!$L$8,Sheet1!$O$8,Sheet1!$P$8,Sheet1!$Q$8)</c:f>
              <c:numCache>
                <c:formatCode>0</c:formatCode>
                <c:ptCount val="7"/>
                <c:pt idx="0">
                  <c:v>3.6015270474681262</c:v>
                </c:pt>
                <c:pt idx="1">
                  <c:v>5.8595812071089215</c:v>
                </c:pt>
                <c:pt idx="2">
                  <c:v>6.8386267670277228</c:v>
                </c:pt>
                <c:pt idx="3">
                  <c:v>6.6523972602739718</c:v>
                </c:pt>
                <c:pt idx="4">
                  <c:v>5.6938850238008056</c:v>
                </c:pt>
                <c:pt idx="5">
                  <c:v>6.369966127211141</c:v>
                </c:pt>
                <c:pt idx="6">
                  <c:v>5.9407744874715265</c:v>
                </c:pt>
              </c:numCache>
            </c:numRef>
          </c:val>
          <c:extLst>
            <c:ext xmlns:c16="http://schemas.microsoft.com/office/drawing/2014/chart" uri="{C3380CC4-5D6E-409C-BE32-E72D297353CC}">
              <c16:uniqueId val="{00000009-5A7A-4A70-8661-A16A4EC8BF7B}"/>
            </c:ext>
          </c:extLst>
        </c:ser>
        <c:ser>
          <c:idx val="7"/>
          <c:order val="7"/>
          <c:tx>
            <c:strRef>
              <c:f>Sheet1!$A$9</c:f>
              <c:strCache>
                <c:ptCount val="1"/>
                <c:pt idx="0">
                  <c:v>Pakalpojumi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(Sheet1!$B$9,Sheet1!$F$9,Sheet1!$I$9,Sheet1!$L$9,Sheet1!$O$9,Sheet1!$P$9,Sheet1!$Q$9)</c:f>
              <c:numCache>
                <c:formatCode>0</c:formatCode>
                <c:ptCount val="7"/>
                <c:pt idx="0">
                  <c:v>22.041345530504934</c:v>
                </c:pt>
                <c:pt idx="1">
                  <c:v>26.200950202357909</c:v>
                </c:pt>
                <c:pt idx="2">
                  <c:v>27.299430879383145</c:v>
                </c:pt>
                <c:pt idx="3">
                  <c:v>26.575342465753426</c:v>
                </c:pt>
                <c:pt idx="4">
                  <c:v>19.855364335408275</c:v>
                </c:pt>
                <c:pt idx="5">
                  <c:v>19.599171998494544</c:v>
                </c:pt>
                <c:pt idx="6">
                  <c:v>20.974943052391801</c:v>
                </c:pt>
              </c:numCache>
            </c:numRef>
          </c:val>
          <c:extLst>
            <c:ext xmlns:c16="http://schemas.microsoft.com/office/drawing/2014/chart" uri="{C3380CC4-5D6E-409C-BE32-E72D297353CC}">
              <c16:uniqueId val="{0000000A-5A7A-4A70-8661-A16A4EC8BF7B}"/>
            </c:ext>
          </c:extLst>
        </c:ser>
        <c:dLbls>
          <c:showLegendKey val="0"/>
          <c:showVal val="0"/>
          <c:showCatName val="0"/>
          <c:showSerName val="0"/>
          <c:showPercent val="0"/>
          <c:showBubbleSize val="0"/>
        </c:dLbls>
        <c:gapWidth val="50"/>
        <c:overlap val="100"/>
        <c:axId val="742094992"/>
        <c:axId val="742085976"/>
      </c:barChart>
      <c:catAx>
        <c:axId val="742094992"/>
        <c:scaling>
          <c:orientation val="minMax"/>
        </c:scaling>
        <c:delete val="0"/>
        <c:axPos val="b"/>
        <c:numFmt formatCode="General" sourceLinked="1"/>
        <c:majorTickMark val="out"/>
        <c:minorTickMark val="none"/>
        <c:tickLblPos val="nextTo"/>
        <c:txPr>
          <a:bodyPr rot="0" vert="horz"/>
          <a:lstStyle/>
          <a:p>
            <a:pPr>
              <a:defRPr/>
            </a:pPr>
            <a:endParaRPr lang="lv-LV"/>
          </a:p>
        </c:txPr>
        <c:crossAx val="742085976"/>
        <c:crosses val="autoZero"/>
        <c:auto val="1"/>
        <c:lblAlgn val="ctr"/>
        <c:lblOffset val="100"/>
        <c:noMultiLvlLbl val="0"/>
      </c:catAx>
      <c:valAx>
        <c:axId val="742085976"/>
        <c:scaling>
          <c:orientation val="minMax"/>
        </c:scaling>
        <c:delete val="0"/>
        <c:axPos val="l"/>
        <c:numFmt formatCode="0%" sourceLinked="1"/>
        <c:majorTickMark val="out"/>
        <c:minorTickMark val="none"/>
        <c:tickLblPos val="nextTo"/>
        <c:spPr>
          <a:ln>
            <a:noFill/>
          </a:ln>
        </c:spPr>
        <c:txPr>
          <a:bodyPr rot="0" vert="horz"/>
          <a:lstStyle/>
          <a:p>
            <a:pPr>
              <a:defRPr/>
            </a:pPr>
            <a:endParaRPr lang="lv-LV"/>
          </a:p>
        </c:txPr>
        <c:crossAx val="742094992"/>
        <c:crosses val="autoZero"/>
        <c:crossBetween val="between"/>
        <c:majorUnit val="0.2"/>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84376040743251468"/>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(Sheet1!$B$2,Sheet1!$F$2,Sheet1!$I$2,Sheet1!$L$2,Sheet1!$O$2,Sheet1!$P$2,Sheet1!$Q$2)</c:f>
              <c:numCache>
                <c:formatCode>0</c:formatCode>
                <c:ptCount val="7"/>
                <c:pt idx="0">
                  <c:v>2.9065200314218385</c:v>
                </c:pt>
                <c:pt idx="1">
                  <c:v>1.3300960624934024</c:v>
                </c:pt>
                <c:pt idx="2">
                  <c:v>1.4632361907084501</c:v>
                </c:pt>
                <c:pt idx="3">
                  <c:v>0</c:v>
                </c:pt>
                <c:pt idx="4">
                  <c:v>0</c:v>
                </c:pt>
                <c:pt idx="5">
                  <c:v>0</c:v>
                </c:pt>
                <c:pt idx="6">
                  <c:v>0</c:v>
                </c:pt>
              </c:numCache>
            </c:numRef>
          </c:val>
          <c:extLst>
            <c:ext xmlns:c16="http://schemas.microsoft.com/office/drawing/2014/chart" uri="{C3380CC4-5D6E-409C-BE32-E72D297353CC}">
              <c16:uniqueId val="{00000000-11BE-4DBE-BB0B-F88C1D9839D1}"/>
            </c:ext>
          </c:extLst>
        </c:ser>
        <c:ser>
          <c:idx val="1"/>
          <c:order val="1"/>
          <c:tx>
            <c:strRef>
              <c:f>Sheet1!$A$3</c:f>
              <c:strCache>
                <c:ptCount val="1"/>
                <c:pt idx="0">
                  <c:v>Humanitārās zinātnes un māksla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(Sheet1!$B$3,Sheet1!$F$3,Sheet1!$I$3,Sheet1!$L$3,Sheet1!$O$3,Sheet1!$P$3,Sheet1!$Q$3)</c:f>
              <c:numCache>
                <c:formatCode>0</c:formatCode>
                <c:ptCount val="7"/>
                <c:pt idx="0">
                  <c:v>6.1945909549994393</c:v>
                </c:pt>
                <c:pt idx="1">
                  <c:v>7.0516203948062923</c:v>
                </c:pt>
                <c:pt idx="2">
                  <c:v>8.1819290330447512</c:v>
                </c:pt>
                <c:pt idx="3">
                  <c:v>8.6048020765736535</c:v>
                </c:pt>
                <c:pt idx="4">
                  <c:v>13.4</c:v>
                </c:pt>
                <c:pt idx="5">
                  <c:v>14.78463329452852</c:v>
                </c:pt>
                <c:pt idx="6">
                  <c:v>15.357203461734262</c:v>
                </c:pt>
              </c:numCache>
            </c:numRef>
          </c:val>
          <c:extLst>
            <c:ext xmlns:c16="http://schemas.microsoft.com/office/drawing/2014/chart" uri="{C3380CC4-5D6E-409C-BE32-E72D297353CC}">
              <c16:uniqueId val="{00000001-11BE-4DBE-BB0B-F88C1D9839D1}"/>
            </c:ext>
          </c:extLst>
        </c:ser>
        <c:ser>
          <c:idx val="2"/>
          <c:order val="2"/>
          <c:tx>
            <c:strRef>
              <c:f>Sheet1!$A$4</c:f>
              <c:strCache>
                <c:ptCount val="1"/>
                <c:pt idx="0">
                  <c:v>Sociālās zinātnes, komerczinības un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(Sheet1!$B$4,Sheet1!$F$4,Sheet1!$I$4,Sheet1!$L$4,Sheet1!$O$4,Sheet1!$P$4,Sheet1!$Q$4)</c:f>
              <c:numCache>
                <c:formatCode>0</c:formatCode>
                <c:ptCount val="7"/>
                <c:pt idx="0">
                  <c:v>15.318146111547525</c:v>
                </c:pt>
                <c:pt idx="1">
                  <c:v>15.581125303494142</c:v>
                </c:pt>
                <c:pt idx="2">
                  <c:v>13.034995732227777</c:v>
                </c:pt>
                <c:pt idx="3">
                  <c:v>12.134977287475666</c:v>
                </c:pt>
                <c:pt idx="4">
                  <c:v>11.716666666666667</c:v>
                </c:pt>
                <c:pt idx="5">
                  <c:v>10.31099284882754</c:v>
                </c:pt>
                <c:pt idx="6">
                  <c:v>7.0252842355336842</c:v>
                </c:pt>
              </c:numCache>
            </c:numRef>
          </c:val>
          <c:extLst>
            <c:ext xmlns:c16="http://schemas.microsoft.com/office/drawing/2014/chart" uri="{C3380CC4-5D6E-409C-BE32-E72D297353CC}">
              <c16:uniqueId val="{00000002-11BE-4DBE-BB0B-F88C1D9839D1}"/>
            </c:ext>
          </c:extLst>
        </c:ser>
        <c:ser>
          <c:idx val="3"/>
          <c:order val="3"/>
          <c:tx>
            <c:strRef>
              <c:f>Sheet1!$A$5</c:f>
              <c:strCache>
                <c:ptCount val="1"/>
                <c:pt idx="0">
                  <c:v>Dabas zinātnes, matemātika un informācijas tehnoloģijas</c:v>
                </c:pt>
              </c:strCache>
            </c:strRef>
          </c:tx>
          <c:invertIfNegative val="0"/>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(Sheet1!$B$5,Sheet1!$F$5,Sheet1!$I$5,Sheet1!$L$5,Sheet1!$O$5,Sheet1!$P$5,Sheet1!$Q$5)</c:f>
              <c:numCache>
                <c:formatCode>0</c:formatCode>
                <c:ptCount val="7"/>
                <c:pt idx="0">
                  <c:v>5.7344854673998427</c:v>
                </c:pt>
                <c:pt idx="1">
                  <c:v>5.6265174707062178</c:v>
                </c:pt>
                <c:pt idx="2">
                  <c:v>4.523838556273625</c:v>
                </c:pt>
                <c:pt idx="3">
                  <c:v>4.4776119402985071</c:v>
                </c:pt>
                <c:pt idx="4">
                  <c:v>6.7833333333333332</c:v>
                </c:pt>
                <c:pt idx="5">
                  <c:v>7.2343256278064194</c:v>
                </c:pt>
                <c:pt idx="6">
                  <c:v>8.0434413711182771</c:v>
                </c:pt>
              </c:numCache>
            </c:numRef>
          </c:val>
          <c:extLst>
            <c:ext xmlns:c16="http://schemas.microsoft.com/office/drawing/2014/chart" uri="{C3380CC4-5D6E-409C-BE32-E72D297353CC}">
              <c16:uniqueId val="{00000003-11BE-4DBE-BB0B-F88C1D9839D1}"/>
            </c:ext>
          </c:extLst>
        </c:ser>
        <c:ser>
          <c:idx val="4"/>
          <c:order val="4"/>
          <c:tx>
            <c:strRef>
              <c:f>Sheet1!$A$6</c:f>
              <c:strCache>
                <c:ptCount val="1"/>
                <c:pt idx="0">
                  <c:v>Inženierzinātnes, ražošana  un būvniecība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(Sheet1!$B$6,Sheet1!$F$6,Sheet1!$I$6,Sheet1!$L$6,Sheet1!$O$6,Sheet1!$P$6,Sheet1!$Q$6)</c:f>
              <c:numCache>
                <c:formatCode>0</c:formatCode>
                <c:ptCount val="7"/>
                <c:pt idx="0">
                  <c:v>41.263606778139376</c:v>
                </c:pt>
                <c:pt idx="1">
                  <c:v>39.322284387205741</c:v>
                </c:pt>
                <c:pt idx="2">
                  <c:v>33.288623338617242</c:v>
                </c:pt>
                <c:pt idx="3">
                  <c:v>33.510707332900715</c:v>
                </c:pt>
                <c:pt idx="4">
                  <c:v>36.06666666666667</c:v>
                </c:pt>
                <c:pt idx="5">
                  <c:v>32.246798603026775</c:v>
                </c:pt>
                <c:pt idx="6">
                  <c:v>32.954352621754623</c:v>
                </c:pt>
              </c:numCache>
            </c:numRef>
          </c:val>
          <c:extLst>
            <c:ext xmlns:c16="http://schemas.microsoft.com/office/drawing/2014/chart" uri="{C3380CC4-5D6E-409C-BE32-E72D297353CC}">
              <c16:uniqueId val="{00000004-11BE-4DBE-BB0B-F88C1D9839D1}"/>
            </c:ext>
          </c:extLst>
        </c:ser>
        <c:ser>
          <c:idx val="5"/>
          <c:order val="5"/>
          <c:tx>
            <c:strRef>
              <c:f>Sheet1!$A$7</c:f>
              <c:strCache>
                <c:ptCount val="1"/>
                <c:pt idx="0">
                  <c:v>Lauksaimniecība</c:v>
                </c:pt>
              </c:strCache>
            </c:strRef>
          </c:tx>
          <c:invertIfNegative val="0"/>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(Sheet1!$B$7,Sheet1!$F$7,Sheet1!$I$7,Sheet1!$L$7,Sheet1!$O$7,Sheet1!$P$7,Sheet1!$Q$7)</c:f>
              <c:numCache>
                <c:formatCode>0</c:formatCode>
                <c:ptCount val="7"/>
                <c:pt idx="0">
                  <c:v>1.7843115250813602</c:v>
                </c:pt>
                <c:pt idx="1">
                  <c:v>1.8473556423519475</c:v>
                </c:pt>
                <c:pt idx="2">
                  <c:v>4.2677722228996462</c:v>
                </c:pt>
                <c:pt idx="3">
                  <c:v>5.2693056456846206</c:v>
                </c:pt>
                <c:pt idx="4">
                  <c:v>4.55</c:v>
                </c:pt>
                <c:pt idx="5">
                  <c:v>5.4382171960751711</c:v>
                </c:pt>
                <c:pt idx="6">
                  <c:v>5.1756321058883419</c:v>
                </c:pt>
              </c:numCache>
            </c:numRef>
          </c:val>
          <c:extLst>
            <c:ext xmlns:c16="http://schemas.microsoft.com/office/drawing/2014/chart" uri="{C3380CC4-5D6E-409C-BE32-E72D297353CC}">
              <c16:uniqueId val="{00000005-11BE-4DBE-BB0B-F88C1D9839D1}"/>
            </c:ext>
          </c:extLst>
        </c:ser>
        <c:ser>
          <c:idx val="6"/>
          <c:order val="6"/>
          <c:tx>
            <c:strRef>
              <c:f>Sheet1!$A$8</c:f>
              <c:strCache>
                <c:ptCount val="1"/>
                <c:pt idx="0">
                  <c:v>Veselības aprūpe un sociālā labklājība</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11BE-4DBE-BB0B-F88C1D9839D1}"/>
                </c:ext>
              </c:extLst>
            </c:dLbl>
            <c:dLbl>
              <c:idx val="1"/>
              <c:delete val="1"/>
              <c:extLst>
                <c:ext xmlns:c15="http://schemas.microsoft.com/office/drawing/2012/chart" uri="{CE6537A1-D6FC-4f65-9D91-7224C49458BB}"/>
                <c:ext xmlns:c16="http://schemas.microsoft.com/office/drawing/2014/chart" uri="{C3380CC4-5D6E-409C-BE32-E72D297353CC}">
                  <c16:uniqueId val="{00000007-11BE-4DBE-BB0B-F88C1D9839D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(Sheet1!$B$8,Sheet1!$F$8,Sheet1!$I$8,Sheet1!$L$8,Sheet1!$O$8,Sheet1!$P$8,Sheet1!$Q$8)</c:f>
              <c:numCache>
                <c:formatCode>0</c:formatCode>
                <c:ptCount val="7"/>
                <c:pt idx="0">
                  <c:v>4.1858377286499833</c:v>
                </c:pt>
                <c:pt idx="1">
                  <c:v>5.1303705267602657</c:v>
                </c:pt>
                <c:pt idx="2">
                  <c:v>7.7429581758322152</c:v>
                </c:pt>
                <c:pt idx="3">
                  <c:v>8.9811810512654127</c:v>
                </c:pt>
                <c:pt idx="4">
                  <c:v>8.35</c:v>
                </c:pt>
                <c:pt idx="5">
                  <c:v>7.4505238649592549</c:v>
                </c:pt>
                <c:pt idx="6">
                  <c:v>8.0264720855251994</c:v>
                </c:pt>
              </c:numCache>
            </c:numRef>
          </c:val>
          <c:extLst>
            <c:ext xmlns:c16="http://schemas.microsoft.com/office/drawing/2014/chart" uri="{C3380CC4-5D6E-409C-BE32-E72D297353CC}">
              <c16:uniqueId val="{00000008-11BE-4DBE-BB0B-F88C1D9839D1}"/>
            </c:ext>
          </c:extLst>
        </c:ser>
        <c:ser>
          <c:idx val="7"/>
          <c:order val="7"/>
          <c:tx>
            <c:strRef>
              <c:f>Sheet1!$A$9</c:f>
              <c:strCache>
                <c:ptCount val="1"/>
                <c:pt idx="0">
                  <c:v>Pakalpojumi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(Sheet1!$B$1,Sheet1!$F$1,Sheet1!$I$1,Sheet1!$L$1,Sheet1!$O$1,Sheet1!$P$1,Sheet1!$Q$1)</c:f>
              <c:numCache>
                <c:formatCode>General</c:formatCode>
                <c:ptCount val="7"/>
                <c:pt idx="0">
                  <c:v>2008</c:v>
                </c:pt>
                <c:pt idx="1">
                  <c:v>2012</c:v>
                </c:pt>
                <c:pt idx="2">
                  <c:v>2015</c:v>
                </c:pt>
                <c:pt idx="3">
                  <c:v>2018</c:v>
                </c:pt>
                <c:pt idx="4">
                  <c:v>2021</c:v>
                </c:pt>
                <c:pt idx="5">
                  <c:v>2022</c:v>
                </c:pt>
                <c:pt idx="6">
                  <c:v>2023</c:v>
                </c:pt>
              </c:numCache>
            </c:numRef>
          </c:cat>
          <c:val>
            <c:numRef>
              <c:f>(Sheet1!$B$9,Sheet1!$F$9,Sheet1!$I$9,Sheet1!$L$9,Sheet1!$O$9,Sheet1!$P$9,Sheet1!$Q$9)</c:f>
              <c:numCache>
                <c:formatCode>0</c:formatCode>
                <c:ptCount val="7"/>
                <c:pt idx="0">
                  <c:v>22.612501402760632</c:v>
                </c:pt>
                <c:pt idx="1">
                  <c:v>24.110630212181992</c:v>
                </c:pt>
                <c:pt idx="2">
                  <c:v>27.496646750396291</c:v>
                </c:pt>
                <c:pt idx="3">
                  <c:v>27.02141466580143</c:v>
                </c:pt>
                <c:pt idx="4">
                  <c:v>24.416666666666668</c:v>
                </c:pt>
                <c:pt idx="5">
                  <c:v>22.534508564776317</c:v>
                </c:pt>
                <c:pt idx="6">
                  <c:v>23.417614118445613</c:v>
                </c:pt>
              </c:numCache>
            </c:numRef>
          </c:val>
          <c:extLst>
            <c:ext xmlns:c16="http://schemas.microsoft.com/office/drawing/2014/chart" uri="{C3380CC4-5D6E-409C-BE32-E72D297353CC}">
              <c16:uniqueId val="{00000009-11BE-4DBE-BB0B-F88C1D9839D1}"/>
            </c:ext>
          </c:extLst>
        </c:ser>
        <c:dLbls>
          <c:showLegendKey val="0"/>
          <c:showVal val="0"/>
          <c:showCatName val="0"/>
          <c:showSerName val="0"/>
          <c:showPercent val="0"/>
          <c:showBubbleSize val="0"/>
        </c:dLbls>
        <c:gapWidth val="50"/>
        <c:overlap val="100"/>
        <c:axId val="742091856"/>
        <c:axId val="742087936"/>
      </c:barChart>
      <c:catAx>
        <c:axId val="742091856"/>
        <c:scaling>
          <c:orientation val="minMax"/>
        </c:scaling>
        <c:delete val="0"/>
        <c:axPos val="b"/>
        <c:numFmt formatCode="General" sourceLinked="1"/>
        <c:majorTickMark val="out"/>
        <c:minorTickMark val="none"/>
        <c:tickLblPos val="nextTo"/>
        <c:txPr>
          <a:bodyPr rot="0" vert="horz"/>
          <a:lstStyle/>
          <a:p>
            <a:pPr>
              <a:defRPr/>
            </a:pPr>
            <a:endParaRPr lang="lv-LV"/>
          </a:p>
        </c:txPr>
        <c:crossAx val="742087936"/>
        <c:crosses val="autoZero"/>
        <c:auto val="1"/>
        <c:lblAlgn val="ctr"/>
        <c:lblOffset val="100"/>
        <c:noMultiLvlLbl val="0"/>
      </c:catAx>
      <c:valAx>
        <c:axId val="742087936"/>
        <c:scaling>
          <c:orientation val="minMax"/>
        </c:scaling>
        <c:delete val="0"/>
        <c:axPos val="l"/>
        <c:numFmt formatCode="0%" sourceLinked="1"/>
        <c:majorTickMark val="out"/>
        <c:minorTickMark val="none"/>
        <c:tickLblPos val="nextTo"/>
        <c:spPr>
          <a:ln>
            <a:noFill/>
          </a:ln>
        </c:spPr>
        <c:txPr>
          <a:bodyPr rot="0" vert="horz"/>
          <a:lstStyle/>
          <a:p>
            <a:pPr>
              <a:defRPr/>
            </a:pPr>
            <a:endParaRPr lang="lv-LV"/>
          </a:p>
        </c:txPr>
        <c:crossAx val="742091856"/>
        <c:crosses val="autoZero"/>
        <c:crossBetween val="between"/>
        <c:majorUnit val="0.2"/>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2408868202444777"/>
          <c:y val="2.9322738259412468E-2"/>
          <c:w val="2.4619779670398335E-2"/>
          <c:h val="6.2573160428212302E-2"/>
        </c:manualLayout>
      </c:layout>
      <c:barChart>
        <c:barDir val="col"/>
        <c:grouping val="percentStacked"/>
        <c:varyColors val="0"/>
        <c:ser>
          <c:idx val="0"/>
          <c:order val="0"/>
          <c:tx>
            <c:strRef>
              <c:f>Sheet1!$A$2</c:f>
              <c:strCache>
                <c:ptCount val="1"/>
                <c:pt idx="0">
                  <c:v>Izglītība</c:v>
                </c:pt>
              </c:strCache>
            </c:strRef>
          </c:tx>
          <c:invertIfNegative val="0"/>
          <c:cat>
            <c:numRef>
              <c:f>(Sheet1!$B$1;Sheet1!$D$1;Sheet1!$G$1)</c:f>
              <c:numCache>
                <c:formatCode>General</c:formatCode>
                <c:ptCount val="3"/>
                <c:pt idx="0">
                  <c:v>2008</c:v>
                </c:pt>
                <c:pt idx="1">
                  <c:v>2010</c:v>
                </c:pt>
                <c:pt idx="2">
                  <c:v>2013</c:v>
                </c:pt>
              </c:numCache>
            </c:numRef>
          </c:cat>
          <c:val>
            <c:numRef>
              <c:f>(Sheet1!$B$2;Sheet1!$D$2;Sheet1!$G$2)</c:f>
              <c:numCache>
                <c:formatCode>0.0</c:formatCode>
                <c:ptCount val="3"/>
                <c:pt idx="0">
                  <c:v>10.314439387670667</c:v>
                </c:pt>
                <c:pt idx="1">
                  <c:v>8.3104162742512706</c:v>
                </c:pt>
                <c:pt idx="2">
                  <c:v>7.487274409995373</c:v>
                </c:pt>
              </c:numCache>
            </c:numRef>
          </c:val>
          <c:extLst>
            <c:ext xmlns:c16="http://schemas.microsoft.com/office/drawing/2014/chart" uri="{C3380CC4-5D6E-409C-BE32-E72D297353CC}">
              <c16:uniqueId val="{00000000-8379-4640-A79A-B0D5FA3DF10A}"/>
            </c:ext>
          </c:extLst>
        </c:ser>
        <c:ser>
          <c:idx val="1"/>
          <c:order val="1"/>
          <c:tx>
            <c:strRef>
              <c:f>Sheet1!$A$3</c:f>
              <c:strCache>
                <c:ptCount val="1"/>
                <c:pt idx="0">
                  <c:v>Humanitārās zinātnes un māksla</c:v>
                </c:pt>
              </c:strCache>
            </c:strRef>
          </c:tx>
          <c:invertIfNegative val="0"/>
          <c:cat>
            <c:numRef>
              <c:f>(Sheet1!$B$1;Sheet1!$D$1;Sheet1!$G$1)</c:f>
              <c:numCache>
                <c:formatCode>General</c:formatCode>
                <c:ptCount val="3"/>
                <c:pt idx="0">
                  <c:v>2008</c:v>
                </c:pt>
                <c:pt idx="1">
                  <c:v>2010</c:v>
                </c:pt>
                <c:pt idx="2">
                  <c:v>2013</c:v>
                </c:pt>
              </c:numCache>
            </c:numRef>
          </c:cat>
          <c:val>
            <c:numRef>
              <c:f>(Sheet1!$B$3;Sheet1!$D$3;Sheet1!$G$3)</c:f>
              <c:numCache>
                <c:formatCode>0.0</c:formatCode>
                <c:ptCount val="3"/>
                <c:pt idx="0">
                  <c:v>7.1452213487794793</c:v>
                </c:pt>
                <c:pt idx="1">
                  <c:v>7.2216990016952352</c:v>
                </c:pt>
                <c:pt idx="2">
                  <c:v>8.2415548357242017</c:v>
                </c:pt>
              </c:numCache>
            </c:numRef>
          </c:val>
          <c:extLst>
            <c:ext xmlns:c16="http://schemas.microsoft.com/office/drawing/2014/chart" uri="{C3380CC4-5D6E-409C-BE32-E72D297353CC}">
              <c16:uniqueId val="{00000001-8379-4640-A79A-B0D5FA3DF10A}"/>
            </c:ext>
          </c:extLst>
        </c:ser>
        <c:ser>
          <c:idx val="2"/>
          <c:order val="2"/>
          <c:tx>
            <c:strRef>
              <c:f>Sheet1!$A$4</c:f>
              <c:strCache>
                <c:ptCount val="1"/>
                <c:pt idx="0">
                  <c:v>Sociālās zinātnes, komerczinības un tiesības</c:v>
                </c:pt>
              </c:strCache>
            </c:strRef>
          </c:tx>
          <c:invertIfNegative val="0"/>
          <c:cat>
            <c:numRef>
              <c:f>(Sheet1!$B$1;Sheet1!$D$1;Sheet1!$G$1)</c:f>
              <c:numCache>
                <c:formatCode>General</c:formatCode>
                <c:ptCount val="3"/>
                <c:pt idx="0">
                  <c:v>2008</c:v>
                </c:pt>
                <c:pt idx="1">
                  <c:v>2010</c:v>
                </c:pt>
                <c:pt idx="2">
                  <c:v>2013</c:v>
                </c:pt>
              </c:numCache>
            </c:numRef>
          </c:cat>
          <c:val>
            <c:numRef>
              <c:f>(Sheet1!$B$4;Sheet1!$D$4;Sheet1!$G$4)</c:f>
              <c:numCache>
                <c:formatCode>0.0</c:formatCode>
                <c:ptCount val="3"/>
                <c:pt idx="0">
                  <c:v>55.035167563094745</c:v>
                </c:pt>
                <c:pt idx="1">
                  <c:v>54.311546430589566</c:v>
                </c:pt>
                <c:pt idx="2">
                  <c:v>39.861175381767701</c:v>
                </c:pt>
              </c:numCache>
            </c:numRef>
          </c:val>
          <c:extLst>
            <c:ext xmlns:c16="http://schemas.microsoft.com/office/drawing/2014/chart" uri="{C3380CC4-5D6E-409C-BE32-E72D297353CC}">
              <c16:uniqueId val="{00000002-8379-4640-A79A-B0D5FA3DF10A}"/>
            </c:ext>
          </c:extLst>
        </c:ser>
        <c:ser>
          <c:idx val="3"/>
          <c:order val="3"/>
          <c:tx>
            <c:strRef>
              <c:f>Sheet1!$A$5</c:f>
              <c:strCache>
                <c:ptCount val="1"/>
                <c:pt idx="0">
                  <c:v>Dabas zinātnes, matemātika un informācijas tehnoloģijas</c:v>
                </c:pt>
              </c:strCache>
            </c:strRef>
          </c:tx>
          <c:invertIfNegative val="0"/>
          <c:cat>
            <c:numRef>
              <c:f>(Sheet1!$B$1;Sheet1!$D$1;Sheet1!$G$1)</c:f>
              <c:numCache>
                <c:formatCode>General</c:formatCode>
                <c:ptCount val="3"/>
                <c:pt idx="0">
                  <c:v>2008</c:v>
                </c:pt>
                <c:pt idx="1">
                  <c:v>2010</c:v>
                </c:pt>
                <c:pt idx="2">
                  <c:v>2013</c:v>
                </c:pt>
              </c:numCache>
            </c:numRef>
          </c:cat>
          <c:val>
            <c:numRef>
              <c:f>(Sheet1!$B$5;Sheet1!$D$5;Sheet1!$G$5)</c:f>
              <c:numCache>
                <c:formatCode>0.0</c:formatCode>
                <c:ptCount val="3"/>
                <c:pt idx="0">
                  <c:v>5.0682664460074474</c:v>
                </c:pt>
                <c:pt idx="1">
                  <c:v>5.0329628932002262</c:v>
                </c:pt>
                <c:pt idx="2">
                  <c:v>5.9602036094400743</c:v>
                </c:pt>
              </c:numCache>
            </c:numRef>
          </c:val>
          <c:extLst>
            <c:ext xmlns:c16="http://schemas.microsoft.com/office/drawing/2014/chart" uri="{C3380CC4-5D6E-409C-BE32-E72D297353CC}">
              <c16:uniqueId val="{00000003-8379-4640-A79A-B0D5FA3DF10A}"/>
            </c:ext>
          </c:extLst>
        </c:ser>
        <c:ser>
          <c:idx val="4"/>
          <c:order val="4"/>
          <c:tx>
            <c:strRef>
              <c:f>Sheet1!$A$6</c:f>
              <c:strCache>
                <c:ptCount val="1"/>
                <c:pt idx="0">
                  <c:v>Inženierzinātnes, ražošana  un būvniecība</c:v>
                </c:pt>
              </c:strCache>
            </c:strRef>
          </c:tx>
          <c:invertIfNegative val="0"/>
          <c:cat>
            <c:numRef>
              <c:f>(Sheet1!$B$1;Sheet1!$D$1;Sheet1!$G$1)</c:f>
              <c:numCache>
                <c:formatCode>General</c:formatCode>
                <c:ptCount val="3"/>
                <c:pt idx="0">
                  <c:v>2008</c:v>
                </c:pt>
                <c:pt idx="1">
                  <c:v>2010</c:v>
                </c:pt>
                <c:pt idx="2">
                  <c:v>2013</c:v>
                </c:pt>
              </c:numCache>
            </c:numRef>
          </c:cat>
          <c:val>
            <c:numRef>
              <c:f>(Sheet1!$B$6;Sheet1!$D$6;Sheet1!$G$6)</c:f>
              <c:numCache>
                <c:formatCode>0.0</c:formatCode>
                <c:ptCount val="3"/>
                <c:pt idx="0">
                  <c:v>7.5879189077368636</c:v>
                </c:pt>
                <c:pt idx="1">
                  <c:v>9.2861179129779625</c:v>
                </c:pt>
                <c:pt idx="2">
                  <c:v>11.943544655252198</c:v>
                </c:pt>
              </c:numCache>
            </c:numRef>
          </c:val>
          <c:extLst>
            <c:ext xmlns:c16="http://schemas.microsoft.com/office/drawing/2014/chart" uri="{C3380CC4-5D6E-409C-BE32-E72D297353CC}">
              <c16:uniqueId val="{00000004-8379-4640-A79A-B0D5FA3DF10A}"/>
            </c:ext>
          </c:extLst>
        </c:ser>
        <c:ser>
          <c:idx val="5"/>
          <c:order val="5"/>
          <c:tx>
            <c:strRef>
              <c:f>Sheet1!$A$7</c:f>
              <c:strCache>
                <c:ptCount val="1"/>
                <c:pt idx="0">
                  <c:v>Lauksaimniecība</c:v>
                </c:pt>
              </c:strCache>
            </c:strRef>
          </c:tx>
          <c:invertIfNegative val="0"/>
          <c:cat>
            <c:numRef>
              <c:f>(Sheet1!$B$1;Sheet1!$D$1;Sheet1!$G$1)</c:f>
              <c:numCache>
                <c:formatCode>General</c:formatCode>
                <c:ptCount val="3"/>
                <c:pt idx="0">
                  <c:v>2008</c:v>
                </c:pt>
                <c:pt idx="1">
                  <c:v>2010</c:v>
                </c:pt>
                <c:pt idx="2">
                  <c:v>2013</c:v>
                </c:pt>
              </c:numCache>
            </c:numRef>
          </c:cat>
          <c:val>
            <c:numRef>
              <c:f>(Sheet1!$B$7;Sheet1!$D$7;Sheet1!$G$7)</c:f>
              <c:numCache>
                <c:formatCode>0.0</c:formatCode>
                <c:ptCount val="3"/>
                <c:pt idx="0">
                  <c:v>0.74472486553578821</c:v>
                </c:pt>
                <c:pt idx="1">
                  <c:v>0.86268600489734415</c:v>
                </c:pt>
                <c:pt idx="2">
                  <c:v>1.073577047663119</c:v>
                </c:pt>
              </c:numCache>
            </c:numRef>
          </c:val>
          <c:extLst>
            <c:ext xmlns:c16="http://schemas.microsoft.com/office/drawing/2014/chart" uri="{C3380CC4-5D6E-409C-BE32-E72D297353CC}">
              <c16:uniqueId val="{00000005-8379-4640-A79A-B0D5FA3DF10A}"/>
            </c:ext>
          </c:extLst>
        </c:ser>
        <c:ser>
          <c:idx val="6"/>
          <c:order val="6"/>
          <c:tx>
            <c:strRef>
              <c:f>Sheet1!$A$8</c:f>
              <c:strCache>
                <c:ptCount val="1"/>
                <c:pt idx="0">
                  <c:v>Veselības aprūpe un sociālā labklājība</c:v>
                </c:pt>
              </c:strCache>
            </c:strRef>
          </c:tx>
          <c:invertIfNegative val="0"/>
          <c:cat>
            <c:numRef>
              <c:f>(Sheet1!$B$1;Sheet1!$D$1;Sheet1!$G$1)</c:f>
              <c:numCache>
                <c:formatCode>General</c:formatCode>
                <c:ptCount val="3"/>
                <c:pt idx="0">
                  <c:v>2008</c:v>
                </c:pt>
                <c:pt idx="1">
                  <c:v>2010</c:v>
                </c:pt>
                <c:pt idx="2">
                  <c:v>2013</c:v>
                </c:pt>
              </c:numCache>
            </c:numRef>
          </c:cat>
          <c:val>
            <c:numRef>
              <c:f>(Sheet1!$B$8;Sheet1!$D$8;Sheet1!$G$8)</c:f>
              <c:numCache>
                <c:formatCode>0.0</c:formatCode>
                <c:ptCount val="3"/>
                <c:pt idx="0">
                  <c:v>7.9313198179561439</c:v>
                </c:pt>
                <c:pt idx="1">
                  <c:v>9.2522132228291589</c:v>
                </c:pt>
                <c:pt idx="2">
                  <c:v>18.232299861175385</c:v>
                </c:pt>
              </c:numCache>
            </c:numRef>
          </c:val>
          <c:extLst>
            <c:ext xmlns:c16="http://schemas.microsoft.com/office/drawing/2014/chart" uri="{C3380CC4-5D6E-409C-BE32-E72D297353CC}">
              <c16:uniqueId val="{00000006-8379-4640-A79A-B0D5FA3DF10A}"/>
            </c:ext>
          </c:extLst>
        </c:ser>
        <c:ser>
          <c:idx val="7"/>
          <c:order val="7"/>
          <c:tx>
            <c:strRef>
              <c:f>Sheet1!$A$9</c:f>
              <c:strCache>
                <c:ptCount val="1"/>
                <c:pt idx="0">
                  <c:v>Pakalpojumi</c:v>
                </c:pt>
              </c:strCache>
            </c:strRef>
          </c:tx>
          <c:invertIfNegative val="0"/>
          <c:cat>
            <c:numRef>
              <c:f>(Sheet1!$B$1;Sheet1!$D$1;Sheet1!$G$1)</c:f>
              <c:numCache>
                <c:formatCode>General</c:formatCode>
                <c:ptCount val="3"/>
                <c:pt idx="0">
                  <c:v>2008</c:v>
                </c:pt>
                <c:pt idx="1">
                  <c:v>2010</c:v>
                </c:pt>
                <c:pt idx="2">
                  <c:v>2013</c:v>
                </c:pt>
              </c:numCache>
            </c:numRef>
          </c:cat>
          <c:val>
            <c:numRef>
              <c:f>(Sheet1!$B$9;Sheet1!$D$9;Sheet1!$G$9)</c:f>
              <c:numCache>
                <c:formatCode>0.0</c:formatCode>
                <c:ptCount val="3"/>
                <c:pt idx="0">
                  <c:v>6.0322714108398845</c:v>
                </c:pt>
                <c:pt idx="1">
                  <c:v>5.6507816914673192</c:v>
                </c:pt>
                <c:pt idx="2">
                  <c:v>7.2003701989819522</c:v>
                </c:pt>
              </c:numCache>
            </c:numRef>
          </c:val>
          <c:extLst>
            <c:ext xmlns:c16="http://schemas.microsoft.com/office/drawing/2014/chart" uri="{C3380CC4-5D6E-409C-BE32-E72D297353CC}">
              <c16:uniqueId val="{00000007-8379-4640-A79A-B0D5FA3DF10A}"/>
            </c:ext>
          </c:extLst>
        </c:ser>
        <c:dLbls>
          <c:showLegendKey val="0"/>
          <c:showVal val="0"/>
          <c:showCatName val="0"/>
          <c:showSerName val="0"/>
          <c:showPercent val="0"/>
          <c:showBubbleSize val="0"/>
        </c:dLbls>
        <c:gapWidth val="40"/>
        <c:overlap val="100"/>
        <c:axId val="742087544"/>
        <c:axId val="742088328"/>
      </c:barChart>
      <c:catAx>
        <c:axId val="742087544"/>
        <c:scaling>
          <c:orientation val="minMax"/>
        </c:scaling>
        <c:delete val="1"/>
        <c:axPos val="b"/>
        <c:numFmt formatCode="General" sourceLinked="1"/>
        <c:majorTickMark val="out"/>
        <c:minorTickMark val="none"/>
        <c:tickLblPos val="nextTo"/>
        <c:crossAx val="742088328"/>
        <c:crosses val="autoZero"/>
        <c:auto val="1"/>
        <c:lblAlgn val="ctr"/>
        <c:lblOffset val="100"/>
        <c:noMultiLvlLbl val="0"/>
      </c:catAx>
      <c:valAx>
        <c:axId val="742088328"/>
        <c:scaling>
          <c:orientation val="minMax"/>
        </c:scaling>
        <c:delete val="1"/>
        <c:axPos val="l"/>
        <c:numFmt formatCode="0%" sourceLinked="1"/>
        <c:majorTickMark val="out"/>
        <c:minorTickMark val="none"/>
        <c:tickLblPos val="nextTo"/>
        <c:crossAx val="742087544"/>
        <c:crosses val="autoZero"/>
        <c:crossBetween val="between"/>
        <c:majorUnit val="0.2"/>
      </c:valAx>
    </c:plotArea>
    <c:legend>
      <c:legendPos val="r"/>
      <c:layout>
        <c:manualLayout>
          <c:xMode val="edge"/>
          <c:yMode val="edge"/>
          <c:x val="7.5237739714729718E-2"/>
          <c:y val="4.535377473226263E-3"/>
          <c:w val="0.92368993567094082"/>
          <c:h val="0.97590163097317117"/>
        </c:manualLayout>
      </c:layout>
      <c:overlay val="0"/>
      <c:spPr>
        <a:solidFill>
          <a:schemeClr val="bg1"/>
        </a:solidFill>
      </c:spPr>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1"/>
          <c:tx>
            <c:strRef>
              <c:f>Sheet1!$C$1</c:f>
              <c:strCache>
                <c:ptCount val="1"/>
                <c:pt idx="0">
                  <c:v>2023</c:v>
                </c:pt>
              </c:strCache>
            </c:strRef>
          </c:tx>
          <c:spPr>
            <a:solidFill>
              <a:srgbClr val="4BACC6">
                <a:lumMod val="75000"/>
              </a:srgbClr>
            </a:solidFill>
            <a:ln w="6350">
              <a:noFill/>
            </a:ln>
          </c:spPr>
          <c:invertIfNegative val="0"/>
          <c:dPt>
            <c:idx val="2"/>
            <c:invertIfNegative val="0"/>
            <c:bubble3D val="0"/>
            <c:extLst>
              <c:ext xmlns:c16="http://schemas.microsoft.com/office/drawing/2014/chart" uri="{C3380CC4-5D6E-409C-BE32-E72D297353CC}">
                <c16:uniqueId val="{00000000-48F6-49A8-B897-57C309B17D18}"/>
              </c:ext>
            </c:extLst>
          </c:dPt>
          <c:dPt>
            <c:idx val="7"/>
            <c:invertIfNegative val="0"/>
            <c:bubble3D val="0"/>
            <c:extLst>
              <c:ext xmlns:c16="http://schemas.microsoft.com/office/drawing/2014/chart" uri="{C3380CC4-5D6E-409C-BE32-E72D297353CC}">
                <c16:uniqueId val="{00000001-48F6-49A8-B897-57C309B17D18}"/>
              </c:ext>
            </c:extLst>
          </c:dPt>
          <c:dPt>
            <c:idx val="10"/>
            <c:invertIfNegative val="0"/>
            <c:bubble3D val="0"/>
            <c:extLst>
              <c:ext xmlns:c16="http://schemas.microsoft.com/office/drawing/2014/chart" uri="{C3380CC4-5D6E-409C-BE32-E72D297353CC}">
                <c16:uniqueId val="{00000002-48F6-49A8-B897-57C309B17D18}"/>
              </c:ext>
            </c:extLst>
          </c:dPt>
          <c:dPt>
            <c:idx val="11"/>
            <c:invertIfNegative val="0"/>
            <c:bubble3D val="0"/>
            <c:extLst>
              <c:ext xmlns:c16="http://schemas.microsoft.com/office/drawing/2014/chart" uri="{C3380CC4-5D6E-409C-BE32-E72D297353CC}">
                <c16:uniqueId val="{00000003-48F6-49A8-B897-57C309B17D18}"/>
              </c:ext>
            </c:extLst>
          </c:dPt>
          <c:dPt>
            <c:idx val="13"/>
            <c:invertIfNegative val="0"/>
            <c:bubble3D val="0"/>
            <c:spPr>
              <a:solidFill>
                <a:srgbClr val="0070C0"/>
              </a:solidFill>
              <a:ln w="6350">
                <a:noFill/>
              </a:ln>
            </c:spPr>
            <c:extLst>
              <c:ext xmlns:c16="http://schemas.microsoft.com/office/drawing/2014/chart" uri="{C3380CC4-5D6E-409C-BE32-E72D297353CC}">
                <c16:uniqueId val="{00000005-48F6-49A8-B897-57C309B17D18}"/>
              </c:ext>
            </c:extLst>
          </c:dPt>
          <c:dPt>
            <c:idx val="14"/>
            <c:invertIfNegative val="0"/>
            <c:bubble3D val="0"/>
            <c:spPr>
              <a:solidFill>
                <a:srgbClr val="31859C"/>
              </a:solidFill>
              <a:ln w="6350">
                <a:noFill/>
              </a:ln>
            </c:spPr>
            <c:extLst>
              <c:ext xmlns:c16="http://schemas.microsoft.com/office/drawing/2014/chart" uri="{C3380CC4-5D6E-409C-BE32-E72D297353CC}">
                <c16:uniqueId val="{00000007-48F6-49A8-B897-57C309B17D18}"/>
              </c:ext>
            </c:extLst>
          </c:dPt>
          <c:dPt>
            <c:idx val="15"/>
            <c:invertIfNegative val="0"/>
            <c:bubble3D val="0"/>
            <c:extLst>
              <c:ext xmlns:c16="http://schemas.microsoft.com/office/drawing/2014/chart" uri="{C3380CC4-5D6E-409C-BE32-E72D297353CC}">
                <c16:uniqueId val="{00000008-48F6-49A8-B897-57C309B17D18}"/>
              </c:ext>
            </c:extLst>
          </c:dPt>
          <c:dPt>
            <c:idx val="17"/>
            <c:invertIfNegative val="0"/>
            <c:bubble3D val="0"/>
            <c:spPr>
              <a:solidFill>
                <a:srgbClr val="C00000"/>
              </a:solidFill>
              <a:ln w="6350">
                <a:noFill/>
              </a:ln>
            </c:spPr>
            <c:extLst>
              <c:ext xmlns:c16="http://schemas.microsoft.com/office/drawing/2014/chart" uri="{C3380CC4-5D6E-409C-BE32-E72D297353CC}">
                <c16:uniqueId val="{0000000A-48F6-49A8-B897-57C309B17D18}"/>
              </c:ext>
            </c:extLst>
          </c:dPt>
          <c:dPt>
            <c:idx val="18"/>
            <c:invertIfNegative val="0"/>
            <c:bubble3D val="0"/>
            <c:spPr>
              <a:solidFill>
                <a:srgbClr val="31859C"/>
              </a:solidFill>
              <a:ln w="6350">
                <a:noFill/>
              </a:ln>
            </c:spPr>
            <c:extLst>
              <c:ext xmlns:c16="http://schemas.microsoft.com/office/drawing/2014/chart" uri="{C3380CC4-5D6E-409C-BE32-E72D297353CC}">
                <c16:uniqueId val="{0000000C-48F6-49A8-B897-57C309B17D18}"/>
              </c:ext>
            </c:extLst>
          </c:dPt>
          <c:dPt>
            <c:idx val="20"/>
            <c:invertIfNegative val="0"/>
            <c:bubble3D val="0"/>
            <c:extLst>
              <c:ext xmlns:c16="http://schemas.microsoft.com/office/drawing/2014/chart" uri="{C3380CC4-5D6E-409C-BE32-E72D297353CC}">
                <c16:uniqueId val="{0000000D-48F6-49A8-B897-57C309B17D18}"/>
              </c:ext>
            </c:extLst>
          </c:dPt>
          <c:dLbls>
            <c:dLbl>
              <c:idx val="25"/>
              <c:layout>
                <c:manualLayout>
                  <c:x val="0"/>
                  <c:y val="7.59239408511160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8F6-49A8-B897-57C309B17D18}"/>
                </c:ext>
              </c:extLst>
            </c:dLbl>
            <c:numFmt formatCode="#,##0" sourceLinked="0"/>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Zviedrija</c:v>
                </c:pt>
                <c:pt idx="1">
                  <c:v>Dānija</c:v>
                </c:pt>
                <c:pt idx="2">
                  <c:v>Nīderlande</c:v>
                </c:pt>
                <c:pt idx="3">
                  <c:v>Somija</c:v>
                </c:pt>
                <c:pt idx="4">
                  <c:v>Slovēnija</c:v>
                </c:pt>
                <c:pt idx="5">
                  <c:v>Igaunija</c:v>
                </c:pt>
                <c:pt idx="6">
                  <c:v>Luksemburga</c:v>
                </c:pt>
                <c:pt idx="7">
                  <c:v>Austrija</c:v>
                </c:pt>
                <c:pt idx="8">
                  <c:v>Spānija</c:v>
                </c:pt>
                <c:pt idx="9">
                  <c:v>Portugāle</c:v>
                </c:pt>
                <c:pt idx="10">
                  <c:v>Francija</c:v>
                </c:pt>
                <c:pt idx="11">
                  <c:v>Malta</c:v>
                </c:pt>
                <c:pt idx="12">
                  <c:v>Slovākija</c:v>
                </c:pt>
                <c:pt idx="13">
                  <c:v>ES27</c:v>
                </c:pt>
                <c:pt idx="14">
                  <c:v>Īrija</c:v>
                </c:pt>
                <c:pt idx="15">
                  <c:v>Kipra</c:v>
                </c:pt>
                <c:pt idx="16">
                  <c:v>Beļģija</c:v>
                </c:pt>
                <c:pt idx="17">
                  <c:v>Latvija</c:v>
                </c:pt>
                <c:pt idx="18">
                  <c:v>Itālija</c:v>
                </c:pt>
                <c:pt idx="19">
                  <c:v>Čehija</c:v>
                </c:pt>
                <c:pt idx="20">
                  <c:v>Lietuva</c:v>
                </c:pt>
                <c:pt idx="21">
                  <c:v>Vācija</c:v>
                </c:pt>
                <c:pt idx="22">
                  <c:v>Ungārija</c:v>
                </c:pt>
                <c:pt idx="23">
                  <c:v>Polija</c:v>
                </c:pt>
                <c:pt idx="24">
                  <c:v>Rumānija</c:v>
                </c:pt>
                <c:pt idx="25">
                  <c:v>Horvātija</c:v>
                </c:pt>
                <c:pt idx="26">
                  <c:v>Grieķija</c:v>
                </c:pt>
                <c:pt idx="27">
                  <c:v>Bulgārija</c:v>
                </c:pt>
              </c:strCache>
            </c:strRef>
          </c:cat>
          <c:val>
            <c:numRef>
              <c:f>Sheet1!$C$2:$C$29</c:f>
              <c:numCache>
                <c:formatCode>0.0</c:formatCode>
                <c:ptCount val="28"/>
                <c:pt idx="0">
                  <c:v>38.799999999999997</c:v>
                </c:pt>
                <c:pt idx="1">
                  <c:v>30.5</c:v>
                </c:pt>
                <c:pt idx="2">
                  <c:v>24.4</c:v>
                </c:pt>
                <c:pt idx="3">
                  <c:v>26.1</c:v>
                </c:pt>
                <c:pt idx="4">
                  <c:v>19.899999999999999</c:v>
                </c:pt>
                <c:pt idx="5">
                  <c:v>23.2</c:v>
                </c:pt>
                <c:pt idx="6">
                  <c:v>16.2</c:v>
                </c:pt>
                <c:pt idx="7">
                  <c:v>17.100000000000001</c:v>
                </c:pt>
                <c:pt idx="8">
                  <c:v>15.8</c:v>
                </c:pt>
                <c:pt idx="9">
                  <c:v>13.4</c:v>
                </c:pt>
                <c:pt idx="10">
                  <c:v>14.9</c:v>
                </c:pt>
                <c:pt idx="11">
                  <c:v>16.5</c:v>
                </c:pt>
                <c:pt idx="12">
                  <c:v>10.5</c:v>
                </c:pt>
                <c:pt idx="13">
                  <c:v>12.7</c:v>
                </c:pt>
                <c:pt idx="14">
                  <c:v>12.3</c:v>
                </c:pt>
                <c:pt idx="15">
                  <c:v>11</c:v>
                </c:pt>
                <c:pt idx="16">
                  <c:v>11.1</c:v>
                </c:pt>
                <c:pt idx="17">
                  <c:v>10.7</c:v>
                </c:pt>
                <c:pt idx="18">
                  <c:v>11.6</c:v>
                </c:pt>
                <c:pt idx="19">
                  <c:v>9.9</c:v>
                </c:pt>
                <c:pt idx="20">
                  <c:v>10.7</c:v>
                </c:pt>
                <c:pt idx="21">
                  <c:v>8.3000000000000007</c:v>
                </c:pt>
                <c:pt idx="22">
                  <c:v>9.6</c:v>
                </c:pt>
                <c:pt idx="23">
                  <c:v>8.6999999999999993</c:v>
                </c:pt>
                <c:pt idx="24">
                  <c:v>6.7</c:v>
                </c:pt>
                <c:pt idx="25">
                  <c:v>6.4</c:v>
                </c:pt>
                <c:pt idx="26">
                  <c:v>3.4</c:v>
                </c:pt>
                <c:pt idx="27">
                  <c:v>1.4</c:v>
                </c:pt>
              </c:numCache>
            </c:numRef>
          </c:val>
          <c:extLst>
            <c:ext xmlns:c16="http://schemas.microsoft.com/office/drawing/2014/chart" uri="{C3380CC4-5D6E-409C-BE32-E72D297353CC}">
              <c16:uniqueId val="{0000000F-48F6-49A8-B897-57C309B17D18}"/>
            </c:ext>
          </c:extLst>
        </c:ser>
        <c:dLbls>
          <c:showLegendKey val="0"/>
          <c:showVal val="0"/>
          <c:showCatName val="0"/>
          <c:showSerName val="0"/>
          <c:showPercent val="0"/>
          <c:showBubbleSize val="0"/>
        </c:dLbls>
        <c:gapWidth val="40"/>
        <c:axId val="742093816"/>
        <c:axId val="742098912"/>
      </c:barChart>
      <c:lineChart>
        <c:grouping val="stacked"/>
        <c:varyColors val="0"/>
        <c:ser>
          <c:idx val="1"/>
          <c:order val="0"/>
          <c:tx>
            <c:strRef>
              <c:f>Sheet1!$B$1</c:f>
              <c:strCache>
                <c:ptCount val="1"/>
                <c:pt idx="0">
                  <c:v>2010</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Zviedrija</c:v>
                </c:pt>
                <c:pt idx="1">
                  <c:v>Dānija</c:v>
                </c:pt>
                <c:pt idx="2">
                  <c:v>Nīderlande</c:v>
                </c:pt>
                <c:pt idx="3">
                  <c:v>Somija</c:v>
                </c:pt>
                <c:pt idx="4">
                  <c:v>Slovēnija</c:v>
                </c:pt>
                <c:pt idx="5">
                  <c:v>Igaunija</c:v>
                </c:pt>
                <c:pt idx="6">
                  <c:v>Luksemburga</c:v>
                </c:pt>
                <c:pt idx="7">
                  <c:v>Austrija</c:v>
                </c:pt>
                <c:pt idx="8">
                  <c:v>Spānija</c:v>
                </c:pt>
                <c:pt idx="9">
                  <c:v>Portugāle</c:v>
                </c:pt>
                <c:pt idx="10">
                  <c:v>Francija</c:v>
                </c:pt>
                <c:pt idx="11">
                  <c:v>Malta</c:v>
                </c:pt>
                <c:pt idx="12">
                  <c:v>Slovākija</c:v>
                </c:pt>
                <c:pt idx="13">
                  <c:v>ES27</c:v>
                </c:pt>
                <c:pt idx="14">
                  <c:v>Īrija</c:v>
                </c:pt>
                <c:pt idx="15">
                  <c:v>Kipra</c:v>
                </c:pt>
                <c:pt idx="16">
                  <c:v>Beļģija</c:v>
                </c:pt>
                <c:pt idx="17">
                  <c:v>Latvija</c:v>
                </c:pt>
                <c:pt idx="18">
                  <c:v>Itālija</c:v>
                </c:pt>
                <c:pt idx="19">
                  <c:v>Čehija</c:v>
                </c:pt>
                <c:pt idx="20">
                  <c:v>Lietuva</c:v>
                </c:pt>
                <c:pt idx="21">
                  <c:v>Vācija</c:v>
                </c:pt>
                <c:pt idx="22">
                  <c:v>Ungārija</c:v>
                </c:pt>
                <c:pt idx="23">
                  <c:v>Polija</c:v>
                </c:pt>
                <c:pt idx="24">
                  <c:v>Rumānija</c:v>
                </c:pt>
                <c:pt idx="25">
                  <c:v>Horvātija</c:v>
                </c:pt>
                <c:pt idx="26">
                  <c:v>Grieķija</c:v>
                </c:pt>
                <c:pt idx="27">
                  <c:v>Bulgārija</c:v>
                </c:pt>
              </c:strCache>
            </c:strRef>
          </c:cat>
          <c:val>
            <c:numRef>
              <c:f>Sheet1!$B$2:$B$29</c:f>
              <c:numCache>
                <c:formatCode>0.0</c:formatCode>
                <c:ptCount val="28"/>
                <c:pt idx="0">
                  <c:v>24.7</c:v>
                </c:pt>
                <c:pt idx="1">
                  <c:v>32.700000000000003</c:v>
                </c:pt>
                <c:pt idx="2">
                  <c:v>17</c:v>
                </c:pt>
                <c:pt idx="3">
                  <c:v>23</c:v>
                </c:pt>
                <c:pt idx="4">
                  <c:v>16.399999999999999</c:v>
                </c:pt>
                <c:pt idx="5">
                  <c:v>11</c:v>
                </c:pt>
                <c:pt idx="6">
                  <c:v>13.5</c:v>
                </c:pt>
                <c:pt idx="7">
                  <c:v>13.8</c:v>
                </c:pt>
                <c:pt idx="8">
                  <c:v>11.2</c:v>
                </c:pt>
                <c:pt idx="9">
                  <c:v>5.7</c:v>
                </c:pt>
                <c:pt idx="10">
                  <c:v>5</c:v>
                </c:pt>
                <c:pt idx="11">
                  <c:v>6.2</c:v>
                </c:pt>
                <c:pt idx="12">
                  <c:v>3.1</c:v>
                </c:pt>
                <c:pt idx="13">
                  <c:v>7.8</c:v>
                </c:pt>
                <c:pt idx="14">
                  <c:v>7.1</c:v>
                </c:pt>
                <c:pt idx="15">
                  <c:v>8.1</c:v>
                </c:pt>
                <c:pt idx="16">
                  <c:v>7.4</c:v>
                </c:pt>
                <c:pt idx="17">
                  <c:v>5.4</c:v>
                </c:pt>
                <c:pt idx="18">
                  <c:v>6.2</c:v>
                </c:pt>
                <c:pt idx="19">
                  <c:v>7.8</c:v>
                </c:pt>
                <c:pt idx="20">
                  <c:v>4.4000000000000004</c:v>
                </c:pt>
                <c:pt idx="21">
                  <c:v>7.8</c:v>
                </c:pt>
                <c:pt idx="22">
                  <c:v>3</c:v>
                </c:pt>
                <c:pt idx="23">
                  <c:v>5.2</c:v>
                </c:pt>
                <c:pt idx="24">
                  <c:v>1.4</c:v>
                </c:pt>
                <c:pt idx="25">
                  <c:v>3</c:v>
                </c:pt>
                <c:pt idx="26">
                  <c:v>3.3</c:v>
                </c:pt>
                <c:pt idx="27">
                  <c:v>1.6</c:v>
                </c:pt>
              </c:numCache>
            </c:numRef>
          </c:val>
          <c:smooth val="0"/>
          <c:extLst>
            <c:ext xmlns:c16="http://schemas.microsoft.com/office/drawing/2014/chart" uri="{C3380CC4-5D6E-409C-BE32-E72D297353CC}">
              <c16:uniqueId val="{00000010-48F6-49A8-B897-57C309B17D18}"/>
            </c:ext>
          </c:extLst>
        </c:ser>
        <c:dLbls>
          <c:showLegendKey val="0"/>
          <c:showVal val="0"/>
          <c:showCatName val="0"/>
          <c:showSerName val="0"/>
          <c:showPercent val="0"/>
          <c:showBubbleSize val="0"/>
        </c:dLbls>
        <c:marker val="1"/>
        <c:smooth val="0"/>
        <c:axId val="742093816"/>
        <c:axId val="742098912"/>
      </c:lineChart>
      <c:catAx>
        <c:axId val="742093816"/>
        <c:scaling>
          <c:orientation val="minMax"/>
        </c:scaling>
        <c:delete val="0"/>
        <c:axPos val="b"/>
        <c:numFmt formatCode="General" sourceLinked="1"/>
        <c:majorTickMark val="out"/>
        <c:minorTickMark val="none"/>
        <c:tickLblPos val="low"/>
        <c:spPr>
          <a:ln/>
        </c:spPr>
        <c:txPr>
          <a:bodyPr rot="-5400000" vert="horz"/>
          <a:lstStyle/>
          <a:p>
            <a:pPr>
              <a:defRPr/>
            </a:pPr>
            <a:endParaRPr lang="lv-LV"/>
          </a:p>
        </c:txPr>
        <c:crossAx val="742098912"/>
        <c:crosses val="autoZero"/>
        <c:auto val="0"/>
        <c:lblAlgn val="ctr"/>
        <c:lblOffset val="100"/>
        <c:tickLblSkip val="1"/>
        <c:noMultiLvlLbl val="0"/>
      </c:catAx>
      <c:valAx>
        <c:axId val="742098912"/>
        <c:scaling>
          <c:orientation val="minMax"/>
          <c:max val="40"/>
        </c:scaling>
        <c:delete val="0"/>
        <c:axPos val="l"/>
        <c:numFmt formatCode="#,##0" sourceLinked="0"/>
        <c:majorTickMark val="out"/>
        <c:minorTickMark val="none"/>
        <c:tickLblPos val="nextTo"/>
        <c:spPr>
          <a:ln w="6350">
            <a:noFill/>
          </a:ln>
        </c:spPr>
        <c:txPr>
          <a:bodyPr rot="0" vert="horz"/>
          <a:lstStyle/>
          <a:p>
            <a:pPr>
              <a:defRPr/>
            </a:pPr>
            <a:endParaRPr lang="lv-LV"/>
          </a:p>
        </c:txPr>
        <c:crossAx val="742093816"/>
        <c:crosses val="autoZero"/>
        <c:crossBetween val="between"/>
        <c:majorUnit val="10"/>
      </c:valAx>
      <c:spPr>
        <a:noFill/>
        <a:ln w="6350">
          <a:noFill/>
        </a:ln>
      </c:spPr>
    </c:plotArea>
    <c:legend>
      <c:legendPos val="t"/>
      <c:layout>
        <c:manualLayout>
          <c:xMode val="edge"/>
          <c:yMode val="edge"/>
          <c:x val="0.71870945543571763"/>
          <c:y val="6.8432397141183571E-2"/>
          <c:w val="9.6429867435258595E-2"/>
          <c:h val="0.19250984541369259"/>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598407834081375E-2"/>
          <c:y val="9.2637876307802028E-2"/>
          <c:w val="0.88785213865907331"/>
          <c:h val="0.6917571719295158"/>
        </c:manualLayout>
      </c:layout>
      <c:barChart>
        <c:barDir val="col"/>
        <c:grouping val="clustered"/>
        <c:varyColors val="0"/>
        <c:ser>
          <c:idx val="1"/>
          <c:order val="0"/>
          <c:tx>
            <c:strRef>
              <c:f>Sheet1!$B$1</c:f>
              <c:strCache>
                <c:ptCount val="1"/>
                <c:pt idx="0">
                  <c:v>Kopā</c:v>
                </c:pt>
              </c:strCache>
            </c:strRef>
          </c:tx>
          <c:spPr>
            <a:solidFill>
              <a:schemeClr val="accent1"/>
            </a:solidFill>
            <a:ln>
              <a:noFill/>
            </a:ln>
            <a:effectLst/>
          </c:spPr>
          <c:invertIfNegative val="0"/>
          <c:dPt>
            <c:idx val="8"/>
            <c:invertIfNegative val="0"/>
            <c:bubble3D val="0"/>
            <c:extLst>
              <c:ext xmlns:c16="http://schemas.microsoft.com/office/drawing/2014/chart" uri="{C3380CC4-5D6E-409C-BE32-E72D297353CC}">
                <c16:uniqueId val="{00000000-8D76-47FF-AB59-7149CFB43306}"/>
              </c:ext>
            </c:extLst>
          </c:dPt>
          <c:cat>
            <c:strRef>
              <c:f>Sheet1!$A$2:$A$8</c:f>
              <c:strCache>
                <c:ptCount val="7"/>
                <c:pt idx="0">
                  <c:v>Francija</c:v>
                </c:pt>
                <c:pt idx="1">
                  <c:v>Zviedrija</c:v>
                </c:pt>
                <c:pt idx="2">
                  <c:v>Īrija</c:v>
                </c:pt>
                <c:pt idx="3">
                  <c:v>ES vid.</c:v>
                </c:pt>
                <c:pt idx="4">
                  <c:v>Igaunija</c:v>
                </c:pt>
                <c:pt idx="5">
                  <c:v>Latvija</c:v>
                </c:pt>
                <c:pt idx="6">
                  <c:v>Lietuva</c:v>
                </c:pt>
              </c:strCache>
            </c:strRef>
          </c:cat>
          <c:val>
            <c:numRef>
              <c:f>Sheet1!$B$2:$B$8</c:f>
              <c:numCache>
                <c:formatCode>#,##0</c:formatCode>
                <c:ptCount val="7"/>
                <c:pt idx="0">
                  <c:v>91</c:v>
                </c:pt>
                <c:pt idx="1">
                  <c:v>87</c:v>
                </c:pt>
                <c:pt idx="2">
                  <c:v>86</c:v>
                </c:pt>
                <c:pt idx="3">
                  <c:v>64</c:v>
                </c:pt>
                <c:pt idx="4">
                  <c:v>41</c:v>
                </c:pt>
                <c:pt idx="5">
                  <c:v>25</c:v>
                </c:pt>
                <c:pt idx="6">
                  <c:v>21</c:v>
                </c:pt>
              </c:numCache>
            </c:numRef>
          </c:val>
          <c:extLst>
            <c:ext xmlns:c16="http://schemas.microsoft.com/office/drawing/2014/chart" uri="{C3380CC4-5D6E-409C-BE32-E72D297353CC}">
              <c16:uniqueId val="{00000001-8D76-47FF-AB59-7149CFB43306}"/>
            </c:ext>
          </c:extLst>
        </c:ser>
        <c:ser>
          <c:idx val="0"/>
          <c:order val="1"/>
          <c:tx>
            <c:strRef>
              <c:f>Sheet1!$C$1</c:f>
              <c:strCache>
                <c:ptCount val="1"/>
                <c:pt idx="0">
                  <c:v>10-49 darbinieki</c:v>
                </c:pt>
              </c:strCache>
            </c:strRef>
          </c:tx>
          <c:spPr>
            <a:solidFill>
              <a:schemeClr val="bg1">
                <a:lumMod val="75000"/>
              </a:schemeClr>
            </a:solidFill>
            <a:ln>
              <a:noFill/>
            </a:ln>
            <a:effectLst/>
          </c:spPr>
          <c:invertIfNegative val="0"/>
          <c:cat>
            <c:strRef>
              <c:f>Sheet1!$A$2:$A$8</c:f>
              <c:strCache>
                <c:ptCount val="7"/>
                <c:pt idx="0">
                  <c:v>Francija</c:v>
                </c:pt>
                <c:pt idx="1">
                  <c:v>Zviedrija</c:v>
                </c:pt>
                <c:pt idx="2">
                  <c:v>Īrija</c:v>
                </c:pt>
                <c:pt idx="3">
                  <c:v>ES vid.</c:v>
                </c:pt>
                <c:pt idx="4">
                  <c:v>Igaunija</c:v>
                </c:pt>
                <c:pt idx="5">
                  <c:v>Latvija</c:v>
                </c:pt>
                <c:pt idx="6">
                  <c:v>Lietuva</c:v>
                </c:pt>
              </c:strCache>
            </c:strRef>
          </c:cat>
          <c:val>
            <c:numRef>
              <c:f>Sheet1!$C$2:$C$8</c:f>
              <c:numCache>
                <c:formatCode>#,##0</c:formatCode>
                <c:ptCount val="7"/>
                <c:pt idx="0">
                  <c:v>57</c:v>
                </c:pt>
                <c:pt idx="1">
                  <c:v>91</c:v>
                </c:pt>
                <c:pt idx="2">
                  <c:v>64</c:v>
                </c:pt>
                <c:pt idx="3">
                  <c:v>59</c:v>
                </c:pt>
                <c:pt idx="4">
                  <c:v>39</c:v>
                </c:pt>
                <c:pt idx="5">
                  <c:v>26</c:v>
                </c:pt>
                <c:pt idx="6">
                  <c:v>24</c:v>
                </c:pt>
              </c:numCache>
            </c:numRef>
          </c:val>
          <c:extLst>
            <c:ext xmlns:c16="http://schemas.microsoft.com/office/drawing/2014/chart" uri="{C3380CC4-5D6E-409C-BE32-E72D297353CC}">
              <c16:uniqueId val="{00000002-8D76-47FF-AB59-7149CFB43306}"/>
            </c:ext>
          </c:extLst>
        </c:ser>
        <c:ser>
          <c:idx val="2"/>
          <c:order val="2"/>
          <c:tx>
            <c:strRef>
              <c:f>Sheet1!$D$1</c:f>
              <c:strCache>
                <c:ptCount val="1"/>
                <c:pt idx="0">
                  <c:v>50-249 darbinieki</c:v>
                </c:pt>
              </c:strCache>
            </c:strRef>
          </c:tx>
          <c:spPr>
            <a:solidFill>
              <a:schemeClr val="accent3"/>
            </a:solidFill>
            <a:ln>
              <a:noFill/>
            </a:ln>
            <a:effectLst/>
          </c:spPr>
          <c:invertIfNegative val="0"/>
          <c:cat>
            <c:strRef>
              <c:f>Sheet1!$A$2:$A$8</c:f>
              <c:strCache>
                <c:ptCount val="7"/>
                <c:pt idx="0">
                  <c:v>Francija</c:v>
                </c:pt>
                <c:pt idx="1">
                  <c:v>Zviedrija</c:v>
                </c:pt>
                <c:pt idx="2">
                  <c:v>Īrija</c:v>
                </c:pt>
                <c:pt idx="3">
                  <c:v>ES vid.</c:v>
                </c:pt>
                <c:pt idx="4">
                  <c:v>Igaunija</c:v>
                </c:pt>
                <c:pt idx="5">
                  <c:v>Latvija</c:v>
                </c:pt>
                <c:pt idx="6">
                  <c:v>Lietuva</c:v>
                </c:pt>
              </c:strCache>
            </c:strRef>
          </c:cat>
          <c:val>
            <c:numRef>
              <c:f>Sheet1!$D$2:$D$8</c:f>
              <c:numCache>
                <c:formatCode>#,##0</c:formatCode>
                <c:ptCount val="7"/>
                <c:pt idx="0">
                  <c:v>81</c:v>
                </c:pt>
                <c:pt idx="1">
                  <c:v>89</c:v>
                </c:pt>
                <c:pt idx="2">
                  <c:v>68</c:v>
                </c:pt>
                <c:pt idx="3">
                  <c:v>61</c:v>
                </c:pt>
                <c:pt idx="4">
                  <c:v>41</c:v>
                </c:pt>
                <c:pt idx="5">
                  <c:v>24</c:v>
                </c:pt>
                <c:pt idx="6">
                  <c:v>21</c:v>
                </c:pt>
              </c:numCache>
            </c:numRef>
          </c:val>
          <c:extLst>
            <c:ext xmlns:c16="http://schemas.microsoft.com/office/drawing/2014/chart" uri="{C3380CC4-5D6E-409C-BE32-E72D297353CC}">
              <c16:uniqueId val="{00000003-8D76-47FF-AB59-7149CFB43306}"/>
            </c:ext>
          </c:extLst>
        </c:ser>
        <c:ser>
          <c:idx val="3"/>
          <c:order val="3"/>
          <c:tx>
            <c:strRef>
              <c:f>Sheet1!$E$1</c:f>
              <c:strCache>
                <c:ptCount val="1"/>
                <c:pt idx="0">
                  <c:v>Vairāk kā 250 darbinieki</c:v>
                </c:pt>
              </c:strCache>
            </c:strRef>
          </c:tx>
          <c:spPr>
            <a:solidFill>
              <a:schemeClr val="accent4"/>
            </a:solidFill>
            <a:ln>
              <a:noFill/>
            </a:ln>
            <a:effectLst/>
          </c:spPr>
          <c:invertIfNegative val="0"/>
          <c:cat>
            <c:strRef>
              <c:f>Sheet1!$A$2:$A$8</c:f>
              <c:strCache>
                <c:ptCount val="7"/>
                <c:pt idx="0">
                  <c:v>Francija</c:v>
                </c:pt>
                <c:pt idx="1">
                  <c:v>Zviedrija</c:v>
                </c:pt>
                <c:pt idx="2">
                  <c:v>Īrija</c:v>
                </c:pt>
                <c:pt idx="3">
                  <c:v>ES vid.</c:v>
                </c:pt>
                <c:pt idx="4">
                  <c:v>Igaunija</c:v>
                </c:pt>
                <c:pt idx="5">
                  <c:v>Latvija</c:v>
                </c:pt>
                <c:pt idx="6">
                  <c:v>Lietuva</c:v>
                </c:pt>
              </c:strCache>
            </c:strRef>
          </c:cat>
          <c:val>
            <c:numRef>
              <c:f>Sheet1!$E$2:$E$8</c:f>
              <c:numCache>
                <c:formatCode>#,##0</c:formatCode>
                <c:ptCount val="7"/>
                <c:pt idx="0">
                  <c:v>104</c:v>
                </c:pt>
                <c:pt idx="1">
                  <c:v>85</c:v>
                </c:pt>
                <c:pt idx="2">
                  <c:v>106</c:v>
                </c:pt>
                <c:pt idx="3">
                  <c:v>66</c:v>
                </c:pt>
                <c:pt idx="4">
                  <c:v>41</c:v>
                </c:pt>
                <c:pt idx="5">
                  <c:v>25</c:v>
                </c:pt>
                <c:pt idx="6">
                  <c:v>20</c:v>
                </c:pt>
              </c:numCache>
            </c:numRef>
          </c:val>
          <c:extLst>
            <c:ext xmlns:c16="http://schemas.microsoft.com/office/drawing/2014/chart" uri="{C3380CC4-5D6E-409C-BE32-E72D297353CC}">
              <c16:uniqueId val="{00000004-8D76-47FF-AB59-7149CFB43306}"/>
            </c:ext>
          </c:extLst>
        </c:ser>
        <c:dLbls>
          <c:showLegendKey val="0"/>
          <c:showVal val="0"/>
          <c:showCatName val="0"/>
          <c:showSerName val="0"/>
          <c:showPercent val="0"/>
          <c:showBubbleSize val="0"/>
        </c:dLbls>
        <c:gapWidth val="250"/>
        <c:axId val="742089112"/>
        <c:axId val="742090680"/>
      </c:barChart>
      <c:catAx>
        <c:axId val="74208911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prstDash val="solid"/>
            <a:round/>
          </a:ln>
          <a:effectLst/>
        </c:spPr>
        <c:txPr>
          <a:bodyPr rot="-5400000" spcFirstLastPara="1" vertOverflow="ellipsis"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90680"/>
        <c:crosses val="autoZero"/>
        <c:auto val="1"/>
        <c:lblAlgn val="ctr"/>
        <c:lblOffset val="100"/>
        <c:tickLblSkip val="1"/>
        <c:noMultiLvlLbl val="1"/>
      </c:catAx>
      <c:valAx>
        <c:axId val="742090680"/>
        <c:scaling>
          <c:orientation val="minMax"/>
          <c:max val="100"/>
          <c:min val="0"/>
        </c:scaling>
        <c:delete val="0"/>
        <c:axPos val="l"/>
        <c:numFmt formatCode="0" sourceLinked="0"/>
        <c:majorTickMark val="none"/>
        <c:minorTickMark val="none"/>
        <c:tickLblPos val="nextTo"/>
        <c:spPr>
          <a:noFill/>
          <a:ln w="9525" cap="flat" cmpd="sng" algn="ctr">
            <a:solidFill>
              <a:schemeClr val="bg1">
                <a:lumMod val="75000"/>
              </a:schemeClr>
            </a:solidFill>
            <a:prstDash val="solid"/>
            <a:round/>
          </a:ln>
          <a:effectLst/>
        </c:spPr>
        <c:txPr>
          <a:bodyPr rot="-6000000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89112"/>
        <c:crosses val="autoZero"/>
        <c:crossBetween val="between"/>
        <c:majorUnit val="20"/>
      </c:valAx>
      <c:spPr>
        <a:noFill/>
        <a:ln>
          <a:noFill/>
        </a:ln>
        <a:effectLst/>
      </c:spPr>
    </c:plotArea>
    <c:legend>
      <c:legendPos val="r"/>
      <c:layout>
        <c:manualLayout>
          <c:xMode val="edge"/>
          <c:yMode val="edge"/>
          <c:x val="0.63746746651155917"/>
          <c:y val="5.1796715648709149E-2"/>
          <c:w val="0.355383934229831"/>
          <c:h val="0.2694506247583503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legend>
    <c:plotVisOnly val="1"/>
    <c:dispBlanksAs val="gap"/>
    <c:showDLblsOverMax val="0"/>
  </c:chart>
  <c:spPr>
    <a:noFill/>
    <a:ln w="9525" cap="flat" cmpd="sng" algn="ctr">
      <a:noFill/>
      <a:prstDash val="solid"/>
      <a:round/>
    </a:ln>
    <a:effectLst/>
  </c:spPr>
  <c:txPr>
    <a:bodyPr/>
    <a:lstStyle/>
    <a:p>
      <a:pPr>
        <a:defRPr sz="700" baseline="0">
          <a:latin typeface="Segoe UI Light" panose="020B0502040204020203" pitchFamily="34" charset="0"/>
          <a:cs typeface="Segoe UI Semilight" panose="020B0402040204020203" pitchFamily="34" charset="0"/>
        </a:defRPr>
      </a:pPr>
      <a:endParaRPr lang="lv-LV"/>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598407834081375E-2"/>
          <c:y val="0.14304117983235967"/>
          <c:w val="0.88785213865907331"/>
          <c:h val="0.41001912941325885"/>
        </c:manualLayout>
      </c:layout>
      <c:barChart>
        <c:barDir val="col"/>
        <c:grouping val="clustered"/>
        <c:varyColors val="0"/>
        <c:ser>
          <c:idx val="1"/>
          <c:order val="0"/>
          <c:tx>
            <c:strRef>
              <c:f>Sheet1!$B$1</c:f>
              <c:strCache>
                <c:ptCount val="1"/>
                <c:pt idx="0">
                  <c:v>Kopā</c:v>
                </c:pt>
              </c:strCache>
            </c:strRef>
          </c:tx>
          <c:spPr>
            <a:solidFill>
              <a:schemeClr val="accent1"/>
            </a:solidFill>
            <a:ln>
              <a:noFill/>
            </a:ln>
            <a:effectLst/>
          </c:spPr>
          <c:invertIfNegative val="0"/>
          <c:dPt>
            <c:idx val="8"/>
            <c:invertIfNegative val="0"/>
            <c:bubble3D val="0"/>
            <c:extLst>
              <c:ext xmlns:c16="http://schemas.microsoft.com/office/drawing/2014/chart" uri="{C3380CC4-5D6E-409C-BE32-E72D297353CC}">
                <c16:uniqueId val="{00000000-58CA-4E77-8652-8D224DC918B0}"/>
              </c:ext>
            </c:extLst>
          </c:dPt>
          <c:cat>
            <c:strRef>
              <c:f>Sheet1!$A$2:$A$7</c:f>
              <c:strCache>
                <c:ptCount val="6"/>
                <c:pt idx="0">
                  <c:v>Profesionālās apmācības tālākizglītības kursi</c:v>
                </c:pt>
                <c:pt idx="1">
                  <c:v>Apmācība darba vietā</c:v>
                </c:pt>
                <c:pt idx="2">
                  <c:v>Darba rotācija, apmaiņa vai norīkojumi</c:v>
                </c:pt>
                <c:pt idx="3">
                  <c:v>Apmācība konferencēs, semināros, gadatirgos un lekcijās</c:v>
                </c:pt>
                <c:pt idx="4">
                  <c:v>Mācību grupu nodarbībās</c:v>
                </c:pt>
                <c:pt idx="5">
                  <c:v>Pašmācība</c:v>
                </c:pt>
              </c:strCache>
            </c:strRef>
          </c:cat>
          <c:val>
            <c:numRef>
              <c:f>Sheet1!$B$2:$B$7</c:f>
              <c:numCache>
                <c:formatCode>General</c:formatCode>
                <c:ptCount val="6"/>
                <c:pt idx="0">
                  <c:v>33.6</c:v>
                </c:pt>
                <c:pt idx="1">
                  <c:v>96.8</c:v>
                </c:pt>
                <c:pt idx="2">
                  <c:v>11.4</c:v>
                </c:pt>
                <c:pt idx="3">
                  <c:v>22.5</c:v>
                </c:pt>
                <c:pt idx="4">
                  <c:v>11.1</c:v>
                </c:pt>
                <c:pt idx="5">
                  <c:v>23.9</c:v>
                </c:pt>
              </c:numCache>
            </c:numRef>
          </c:val>
          <c:extLst>
            <c:ext xmlns:c16="http://schemas.microsoft.com/office/drawing/2014/chart" uri="{C3380CC4-5D6E-409C-BE32-E72D297353CC}">
              <c16:uniqueId val="{00000001-58CA-4E77-8652-8D224DC918B0}"/>
            </c:ext>
          </c:extLst>
        </c:ser>
        <c:ser>
          <c:idx val="0"/>
          <c:order val="1"/>
          <c:tx>
            <c:strRef>
              <c:f>Sheet1!$C$1</c:f>
              <c:strCache>
                <c:ptCount val="1"/>
                <c:pt idx="0">
                  <c:v>Ieguves, apstrādes rūpniecība; elektronerģija, ūdens apgāde (BCDE)</c:v>
                </c:pt>
              </c:strCache>
            </c:strRef>
          </c:tx>
          <c:spPr>
            <a:solidFill>
              <a:schemeClr val="bg1">
                <a:lumMod val="75000"/>
              </a:schemeClr>
            </a:solidFill>
            <a:ln>
              <a:noFill/>
            </a:ln>
            <a:effectLst/>
          </c:spPr>
          <c:invertIfNegative val="0"/>
          <c:cat>
            <c:strRef>
              <c:f>Sheet1!$A$2:$A$7</c:f>
              <c:strCache>
                <c:ptCount val="6"/>
                <c:pt idx="0">
                  <c:v>Profesionālās apmācības tālākizglītības kursi</c:v>
                </c:pt>
                <c:pt idx="1">
                  <c:v>Apmācība darba vietā</c:v>
                </c:pt>
                <c:pt idx="2">
                  <c:v>Darba rotācija, apmaiņa vai norīkojumi</c:v>
                </c:pt>
                <c:pt idx="3">
                  <c:v>Apmācība konferencēs, semināros, gadatirgos un lekcijās</c:v>
                </c:pt>
                <c:pt idx="4">
                  <c:v>Mācību grupu nodarbībās</c:v>
                </c:pt>
                <c:pt idx="5">
                  <c:v>Pašmācība</c:v>
                </c:pt>
              </c:strCache>
            </c:strRef>
          </c:cat>
          <c:val>
            <c:numRef>
              <c:f>Sheet1!$C$2:$C$7</c:f>
              <c:numCache>
                <c:formatCode>General</c:formatCode>
                <c:ptCount val="6"/>
                <c:pt idx="0">
                  <c:v>33.299999999999997</c:v>
                </c:pt>
                <c:pt idx="1">
                  <c:v>97.5</c:v>
                </c:pt>
                <c:pt idx="2">
                  <c:v>15</c:v>
                </c:pt>
                <c:pt idx="3">
                  <c:v>21.1</c:v>
                </c:pt>
                <c:pt idx="4">
                  <c:v>9.5</c:v>
                </c:pt>
                <c:pt idx="5">
                  <c:v>19</c:v>
                </c:pt>
              </c:numCache>
            </c:numRef>
          </c:val>
          <c:extLst>
            <c:ext xmlns:c16="http://schemas.microsoft.com/office/drawing/2014/chart" uri="{C3380CC4-5D6E-409C-BE32-E72D297353CC}">
              <c16:uniqueId val="{00000002-58CA-4E77-8652-8D224DC918B0}"/>
            </c:ext>
          </c:extLst>
        </c:ser>
        <c:ser>
          <c:idx val="2"/>
          <c:order val="2"/>
          <c:tx>
            <c:strRef>
              <c:f>Sheet1!$D$1</c:f>
              <c:strCache>
                <c:ptCount val="1"/>
                <c:pt idx="0">
                  <c:v>Būvniecība (F)</c:v>
                </c:pt>
              </c:strCache>
            </c:strRef>
          </c:tx>
          <c:spPr>
            <a:solidFill>
              <a:schemeClr val="accent3"/>
            </a:solidFill>
            <a:ln>
              <a:noFill/>
            </a:ln>
            <a:effectLst/>
          </c:spPr>
          <c:invertIfNegative val="0"/>
          <c:cat>
            <c:strRef>
              <c:f>Sheet1!$A$2:$A$7</c:f>
              <c:strCache>
                <c:ptCount val="6"/>
                <c:pt idx="0">
                  <c:v>Profesionālās apmācības tālākizglītības kursi</c:v>
                </c:pt>
                <c:pt idx="1">
                  <c:v>Apmācība darba vietā</c:v>
                </c:pt>
                <c:pt idx="2">
                  <c:v>Darba rotācija, apmaiņa vai norīkojumi</c:v>
                </c:pt>
                <c:pt idx="3">
                  <c:v>Apmācība konferencēs, semināros, gadatirgos un lekcijās</c:v>
                </c:pt>
                <c:pt idx="4">
                  <c:v>Mācību grupu nodarbībās</c:v>
                </c:pt>
                <c:pt idx="5">
                  <c:v>Pašmācība</c:v>
                </c:pt>
              </c:strCache>
            </c:strRef>
          </c:cat>
          <c:val>
            <c:numRef>
              <c:f>Sheet1!$D$2:$D$7</c:f>
              <c:numCache>
                <c:formatCode>General</c:formatCode>
                <c:ptCount val="6"/>
                <c:pt idx="0">
                  <c:v>35.200000000000003</c:v>
                </c:pt>
                <c:pt idx="1">
                  <c:v>98.4</c:v>
                </c:pt>
                <c:pt idx="2">
                  <c:v>7</c:v>
                </c:pt>
                <c:pt idx="3">
                  <c:v>20.9</c:v>
                </c:pt>
                <c:pt idx="4">
                  <c:v>5.3</c:v>
                </c:pt>
                <c:pt idx="5">
                  <c:v>22</c:v>
                </c:pt>
              </c:numCache>
            </c:numRef>
          </c:val>
          <c:extLst>
            <c:ext xmlns:c16="http://schemas.microsoft.com/office/drawing/2014/chart" uri="{C3380CC4-5D6E-409C-BE32-E72D297353CC}">
              <c16:uniqueId val="{00000003-58CA-4E77-8652-8D224DC918B0}"/>
            </c:ext>
          </c:extLst>
        </c:ser>
        <c:ser>
          <c:idx val="3"/>
          <c:order val="3"/>
          <c:tx>
            <c:strRef>
              <c:f>Sheet1!$E$1</c:f>
              <c:strCache>
                <c:ptCount val="1"/>
                <c:pt idx="0">
                  <c:v>IKT pakalpojumi; finanšu un apdrošināšanas darbības (J, K)</c:v>
                </c:pt>
              </c:strCache>
            </c:strRef>
          </c:tx>
          <c:spPr>
            <a:solidFill>
              <a:schemeClr val="accent4"/>
            </a:solidFill>
            <a:ln>
              <a:noFill/>
            </a:ln>
            <a:effectLst/>
          </c:spPr>
          <c:invertIfNegative val="0"/>
          <c:cat>
            <c:strRef>
              <c:f>Sheet1!$A$2:$A$7</c:f>
              <c:strCache>
                <c:ptCount val="6"/>
                <c:pt idx="0">
                  <c:v>Profesionālās apmācības tālākizglītības kursi</c:v>
                </c:pt>
                <c:pt idx="1">
                  <c:v>Apmācība darba vietā</c:v>
                </c:pt>
                <c:pt idx="2">
                  <c:v>Darba rotācija, apmaiņa vai norīkojumi</c:v>
                </c:pt>
                <c:pt idx="3">
                  <c:v>Apmācība konferencēs, semināros, gadatirgos un lekcijās</c:v>
                </c:pt>
                <c:pt idx="4">
                  <c:v>Mācību grupu nodarbībās</c:v>
                </c:pt>
                <c:pt idx="5">
                  <c:v>Pašmācība</c:v>
                </c:pt>
              </c:strCache>
            </c:strRef>
          </c:cat>
          <c:val>
            <c:numRef>
              <c:f>Sheet1!$E$2:$E$7</c:f>
              <c:numCache>
                <c:formatCode>General</c:formatCode>
                <c:ptCount val="6"/>
                <c:pt idx="0">
                  <c:v>45.5</c:v>
                </c:pt>
                <c:pt idx="1">
                  <c:v>94.9</c:v>
                </c:pt>
                <c:pt idx="2">
                  <c:v>18.399999999999999</c:v>
                </c:pt>
                <c:pt idx="3">
                  <c:v>43.7</c:v>
                </c:pt>
                <c:pt idx="4">
                  <c:v>27.8</c:v>
                </c:pt>
                <c:pt idx="5">
                  <c:v>51.8</c:v>
                </c:pt>
              </c:numCache>
            </c:numRef>
          </c:val>
          <c:extLst>
            <c:ext xmlns:c16="http://schemas.microsoft.com/office/drawing/2014/chart" uri="{C3380CC4-5D6E-409C-BE32-E72D297353CC}">
              <c16:uniqueId val="{00000004-58CA-4E77-8652-8D224DC918B0}"/>
            </c:ext>
          </c:extLst>
        </c:ser>
        <c:dLbls>
          <c:showLegendKey val="0"/>
          <c:showVal val="0"/>
          <c:showCatName val="0"/>
          <c:showSerName val="0"/>
          <c:showPercent val="0"/>
          <c:showBubbleSize val="0"/>
        </c:dLbls>
        <c:gapWidth val="250"/>
        <c:axId val="742089112"/>
        <c:axId val="742090680"/>
      </c:barChart>
      <c:catAx>
        <c:axId val="74208911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prstDash val="solid"/>
            <a:round/>
          </a:ln>
          <a:effectLst/>
        </c:spPr>
        <c:txPr>
          <a:bodyPr rot="-5400000" spcFirstLastPara="1" vertOverflow="ellipsis"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90680"/>
        <c:crosses val="autoZero"/>
        <c:auto val="1"/>
        <c:lblAlgn val="ctr"/>
        <c:lblOffset val="100"/>
        <c:tickLblSkip val="1"/>
        <c:noMultiLvlLbl val="1"/>
      </c:catAx>
      <c:valAx>
        <c:axId val="742090680"/>
        <c:scaling>
          <c:orientation val="minMax"/>
          <c:max val="150"/>
          <c:min val="0"/>
        </c:scaling>
        <c:delete val="0"/>
        <c:axPos val="l"/>
        <c:numFmt formatCode="0" sourceLinked="0"/>
        <c:majorTickMark val="none"/>
        <c:minorTickMark val="none"/>
        <c:tickLblPos val="nextTo"/>
        <c:spPr>
          <a:noFill/>
          <a:ln w="9525" cap="flat" cmpd="sng" algn="ctr">
            <a:solidFill>
              <a:schemeClr val="bg1">
                <a:lumMod val="75000"/>
              </a:schemeClr>
            </a:solidFill>
            <a:prstDash val="solid"/>
            <a:round/>
          </a:ln>
          <a:effectLst/>
        </c:spPr>
        <c:txPr>
          <a:bodyPr rot="-6000000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89112"/>
        <c:crosses val="autoZero"/>
        <c:crossBetween val="between"/>
      </c:valAx>
      <c:spPr>
        <a:noFill/>
        <a:ln>
          <a:noFill/>
        </a:ln>
        <a:effectLst/>
      </c:spPr>
    </c:plotArea>
    <c:legend>
      <c:legendPos val="t"/>
      <c:layout>
        <c:manualLayout>
          <c:xMode val="edge"/>
          <c:yMode val="edge"/>
          <c:x val="0.33652032746182359"/>
          <c:y val="8.8380556277618927E-2"/>
          <c:w val="0.66212989087499663"/>
          <c:h val="0.3775453677378748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legend>
    <c:plotVisOnly val="1"/>
    <c:dispBlanksAs val="gap"/>
    <c:showDLblsOverMax val="0"/>
  </c:chart>
  <c:spPr>
    <a:noFill/>
    <a:ln w="9525" cap="flat" cmpd="sng" algn="ctr">
      <a:noFill/>
      <a:prstDash val="solid"/>
      <a:round/>
    </a:ln>
    <a:effectLst/>
  </c:spPr>
  <c:txPr>
    <a:bodyPr/>
    <a:lstStyle/>
    <a:p>
      <a:pPr>
        <a:defRPr sz="700" baseline="0">
          <a:latin typeface="Segoe UI Light" panose="020B0502040204020203" pitchFamily="34" charset="0"/>
          <a:cs typeface="Segoe UI Semilight" panose="020B0402040204020203" pitchFamily="34" charset="0"/>
        </a:defRPr>
      </a:pPr>
      <a:endParaRPr lang="lv-LV"/>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9525" cap="rnd">
              <a:solidFill>
                <a:schemeClr val="accent5">
                  <a:lumMod val="60000"/>
                  <a:lumOff val="40000"/>
                </a:schemeClr>
              </a:solidFill>
              <a:round/>
            </a:ln>
            <a:effectLst/>
          </c:spPr>
          <c:marker>
            <c:symbol val="none"/>
          </c:marker>
          <c:dLbls>
            <c:spPr>
              <a:solidFill>
                <a:schemeClr val="bg1">
                  <a:lumMod val="95000"/>
                </a:schemeClr>
              </a:solidFill>
              <a:ln w="12700">
                <a:solidFill>
                  <a:schemeClr val="bg1">
                    <a:lumMod val="85000"/>
                  </a:schemeClr>
                </a:solid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Sheet1!$B$2:$B$8</c:f>
              <c:numCache>
                <c:formatCode>0.0</c:formatCode>
                <c:ptCount val="7"/>
                <c:pt idx="0">
                  <c:v>19.396000000000001</c:v>
                </c:pt>
                <c:pt idx="1">
                  <c:v>23.8</c:v>
                </c:pt>
                <c:pt idx="2">
                  <c:v>34.085999999999999</c:v>
                </c:pt>
                <c:pt idx="3">
                  <c:v>32.668999999999997</c:v>
                </c:pt>
                <c:pt idx="4">
                  <c:v>22.395</c:v>
                </c:pt>
                <c:pt idx="5">
                  <c:v>34.643000000000001</c:v>
                </c:pt>
                <c:pt idx="6">
                  <c:v>34.076999999999998</c:v>
                </c:pt>
              </c:numCache>
            </c:numRef>
          </c:val>
          <c:smooth val="0"/>
          <c:extLst>
            <c:ext xmlns:c16="http://schemas.microsoft.com/office/drawing/2014/chart" uri="{C3380CC4-5D6E-409C-BE32-E72D297353CC}">
              <c16:uniqueId val="{00000000-994C-47B5-82DF-6A8AA7334CEF}"/>
            </c:ext>
          </c:extLst>
        </c:ser>
        <c:dLbls>
          <c:showLegendKey val="0"/>
          <c:showVal val="0"/>
          <c:showCatName val="0"/>
          <c:showSerName val="0"/>
          <c:showPercent val="0"/>
          <c:showBubbleSize val="0"/>
        </c:dLbls>
        <c:smooth val="0"/>
        <c:axId val="756053743"/>
        <c:axId val="758067935"/>
      </c:lineChart>
      <c:catAx>
        <c:axId val="756053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758067935"/>
        <c:crosses val="autoZero"/>
        <c:auto val="1"/>
        <c:lblAlgn val="ctr"/>
        <c:lblOffset val="100"/>
        <c:noMultiLvlLbl val="0"/>
      </c:catAx>
      <c:valAx>
        <c:axId val="758067935"/>
        <c:scaling>
          <c:orientation val="minMax"/>
          <c:max val="35"/>
          <c:min val="1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756053743"/>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4">
        <a:lumMod val="20000"/>
        <a:lumOff val="80000"/>
      </a:schemeClr>
    </a:solidFill>
    <a:ln w="9525" cap="flat" cmpd="sng" algn="ctr">
      <a:noFill/>
      <a:round/>
    </a:ln>
    <a:effectLst/>
  </c:spPr>
  <c:txPr>
    <a:bodyPr/>
    <a:lstStyle/>
    <a:p>
      <a:pPr>
        <a:defRPr sz="700">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321445624148115E-2"/>
          <c:y val="4.7032080353913347E-2"/>
          <c:w val="0.84871775695609286"/>
          <c:h val="0.85388271629233659"/>
        </c:manualLayout>
      </c:layout>
      <c:lineChart>
        <c:grouping val="standard"/>
        <c:varyColors val="0"/>
        <c:ser>
          <c:idx val="2"/>
          <c:order val="0"/>
          <c:tx>
            <c:strRef>
              <c:f>Sheet1!$A$2</c:f>
              <c:strCache>
                <c:ptCount val="1"/>
                <c:pt idx="0">
                  <c:v>Ekonomiskās aktivitātes līmenis</c:v>
                </c:pt>
              </c:strCache>
            </c:strRef>
          </c:tx>
          <c:marker>
            <c:symbol val="square"/>
            <c:size val="5"/>
          </c:marker>
          <c:dLbls>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Sheet1!$B$1:$O$1</c:f>
              <c:strCache>
                <c:ptCount val="9"/>
                <c:pt idx="0">
                  <c:v>2010</c:v>
                </c:pt>
                <c:pt idx="1">
                  <c:v>2012</c:v>
                </c:pt>
                <c:pt idx="2">
                  <c:v>2014</c:v>
                </c:pt>
                <c:pt idx="3">
                  <c:v>2016</c:v>
                </c:pt>
                <c:pt idx="4">
                  <c:v>2019</c:v>
                </c:pt>
                <c:pt idx="5">
                  <c:v>2020</c:v>
                </c:pt>
                <c:pt idx="6">
                  <c:v>2021</c:v>
                </c:pt>
                <c:pt idx="7">
                  <c:v>2022</c:v>
                </c:pt>
                <c:pt idx="8">
                  <c:v>2023</c:v>
                </c:pt>
              </c:strCache>
            </c:strRef>
          </c:cat>
          <c:val>
            <c:numRef>
              <c:f>Sheet1!$B$2:$O$2</c:f>
              <c:numCache>
                <c:formatCode>0</c:formatCode>
                <c:ptCount val="9"/>
                <c:pt idx="0">
                  <c:v>64.599999999999994</c:v>
                </c:pt>
                <c:pt idx="1">
                  <c:v>66.099999999999994</c:v>
                </c:pt>
                <c:pt idx="2">
                  <c:v>66.3</c:v>
                </c:pt>
                <c:pt idx="3">
                  <c:v>68.2</c:v>
                </c:pt>
                <c:pt idx="4">
                  <c:v>69.40416349599333</c:v>
                </c:pt>
                <c:pt idx="5">
                  <c:v>69.900000000000006</c:v>
                </c:pt>
                <c:pt idx="6">
                  <c:v>67.7</c:v>
                </c:pt>
                <c:pt idx="7">
                  <c:v>68.599999999999994</c:v>
                </c:pt>
                <c:pt idx="8">
                  <c:v>68.599999999999994</c:v>
                </c:pt>
              </c:numCache>
            </c:numRef>
          </c:val>
          <c:smooth val="0"/>
          <c:extLst>
            <c:ext xmlns:c16="http://schemas.microsoft.com/office/drawing/2014/chart" uri="{C3380CC4-5D6E-409C-BE32-E72D297353CC}">
              <c16:uniqueId val="{00000000-3B52-4869-B470-1D6A919E905B}"/>
            </c:ext>
          </c:extLst>
        </c:ser>
        <c:ser>
          <c:idx val="3"/>
          <c:order val="1"/>
          <c:tx>
            <c:strRef>
              <c:f>Sheet1!$A$3</c:f>
              <c:strCache>
                <c:ptCount val="1"/>
                <c:pt idx="0">
                  <c:v>Nodarbinātības līmenis</c:v>
                </c:pt>
              </c:strCache>
            </c:strRef>
          </c:tx>
          <c:marker>
            <c:symbol val="triangle"/>
            <c:size val="5"/>
          </c:marker>
          <c:dLbls>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Sheet1!$B$1:$O$1</c:f>
              <c:strCache>
                <c:ptCount val="9"/>
                <c:pt idx="0">
                  <c:v>2010</c:v>
                </c:pt>
                <c:pt idx="1">
                  <c:v>2012</c:v>
                </c:pt>
                <c:pt idx="2">
                  <c:v>2014</c:v>
                </c:pt>
                <c:pt idx="3">
                  <c:v>2016</c:v>
                </c:pt>
                <c:pt idx="4">
                  <c:v>2019</c:v>
                </c:pt>
                <c:pt idx="5">
                  <c:v>2020</c:v>
                </c:pt>
                <c:pt idx="6">
                  <c:v>2021</c:v>
                </c:pt>
                <c:pt idx="7">
                  <c:v>2022</c:v>
                </c:pt>
                <c:pt idx="8">
                  <c:v>2023</c:v>
                </c:pt>
              </c:strCache>
            </c:strRef>
          </c:cat>
          <c:val>
            <c:numRef>
              <c:f>Sheet1!$B$3:$O$3</c:f>
              <c:numCache>
                <c:formatCode>0</c:formatCode>
                <c:ptCount val="9"/>
                <c:pt idx="0">
                  <c:v>52</c:v>
                </c:pt>
                <c:pt idx="1">
                  <c:v>56.1</c:v>
                </c:pt>
                <c:pt idx="2">
                  <c:v>59.1</c:v>
                </c:pt>
                <c:pt idx="3">
                  <c:v>61.6</c:v>
                </c:pt>
                <c:pt idx="4">
                  <c:v>65</c:v>
                </c:pt>
                <c:pt idx="5">
                  <c:v>64.2</c:v>
                </c:pt>
                <c:pt idx="6">
                  <c:v>62.5</c:v>
                </c:pt>
                <c:pt idx="7">
                  <c:v>63.9</c:v>
                </c:pt>
                <c:pt idx="8">
                  <c:v>64.2</c:v>
                </c:pt>
              </c:numCache>
            </c:numRef>
          </c:val>
          <c:smooth val="0"/>
          <c:extLst>
            <c:ext xmlns:c16="http://schemas.microsoft.com/office/drawing/2014/chart" uri="{C3380CC4-5D6E-409C-BE32-E72D297353CC}">
              <c16:uniqueId val="{00000001-3B52-4869-B470-1D6A919E905B}"/>
            </c:ext>
          </c:extLst>
        </c:ser>
        <c:dLbls>
          <c:showLegendKey val="0"/>
          <c:showVal val="0"/>
          <c:showCatName val="0"/>
          <c:showSerName val="0"/>
          <c:showPercent val="0"/>
          <c:showBubbleSize val="0"/>
        </c:dLbls>
        <c:marker val="1"/>
        <c:smooth val="0"/>
        <c:axId val="742141248"/>
        <c:axId val="742147912"/>
      </c:lineChart>
      <c:catAx>
        <c:axId val="742141248"/>
        <c:scaling>
          <c:orientation val="minMax"/>
        </c:scaling>
        <c:delete val="0"/>
        <c:axPos val="b"/>
        <c:numFmt formatCode="General" sourceLinked="1"/>
        <c:majorTickMark val="out"/>
        <c:minorTickMark val="none"/>
        <c:tickLblPos val="low"/>
        <c:txPr>
          <a:bodyPr rot="0" vert="horz"/>
          <a:lstStyle/>
          <a:p>
            <a:pPr>
              <a:defRPr/>
            </a:pPr>
            <a:endParaRPr lang="lv-LV"/>
          </a:p>
        </c:txPr>
        <c:crossAx val="742147912"/>
        <c:crosses val="autoZero"/>
        <c:auto val="0"/>
        <c:lblAlgn val="ctr"/>
        <c:lblOffset val="0"/>
        <c:noMultiLvlLbl val="1"/>
      </c:catAx>
      <c:valAx>
        <c:axId val="742147912"/>
        <c:scaling>
          <c:orientation val="minMax"/>
          <c:min val="50"/>
        </c:scaling>
        <c:delete val="0"/>
        <c:axPos val="l"/>
        <c:numFmt formatCode="0" sourceLinked="0"/>
        <c:majorTickMark val="out"/>
        <c:minorTickMark val="none"/>
        <c:tickLblPos val="nextTo"/>
        <c:spPr>
          <a:ln w="3175">
            <a:noFill/>
          </a:ln>
        </c:spPr>
        <c:txPr>
          <a:bodyPr rot="0" vert="horz"/>
          <a:lstStyle/>
          <a:p>
            <a:pPr>
              <a:defRPr/>
            </a:pPr>
            <a:endParaRPr lang="lv-LV"/>
          </a:p>
        </c:txPr>
        <c:crossAx val="742141248"/>
        <c:crosses val="autoZero"/>
        <c:crossBetween val="between"/>
        <c:majorUnit val="5"/>
      </c:valAx>
      <c:spPr>
        <a:noFill/>
        <a:ln w="24631">
          <a:noFill/>
        </a:ln>
      </c:spPr>
    </c:plotArea>
    <c:legend>
      <c:legendPos val="l"/>
      <c:layout>
        <c:manualLayout>
          <c:xMode val="edge"/>
          <c:yMode val="edge"/>
          <c:x val="0.28644177737694676"/>
          <c:y val="0.67714405443512449"/>
          <c:w val="0.68671904435319342"/>
          <c:h val="0.1881882818161402"/>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129075480125059E-2"/>
          <c:y val="3.5285815102328866E-2"/>
          <c:w val="0.90174184903974985"/>
          <c:h val="0.78717819058785599"/>
        </c:manualLayout>
      </c:layout>
      <c:barChart>
        <c:barDir val="col"/>
        <c:grouping val="clustered"/>
        <c:varyColors val="0"/>
        <c:ser>
          <c:idx val="0"/>
          <c:order val="0"/>
          <c:tx>
            <c:strRef>
              <c:f>Sheet1!$B$1</c:f>
              <c:strCache>
                <c:ptCount val="1"/>
                <c:pt idx="0">
                  <c:v>Series 1</c:v>
                </c:pt>
              </c:strCache>
            </c:strRef>
          </c:tx>
          <c:spPr>
            <a:solidFill>
              <a:srgbClr val="3288A0"/>
            </a:solidFill>
            <a:ln w="9525">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 reizi</c:v>
                </c:pt>
                <c:pt idx="1">
                  <c:v>2 reizes</c:v>
                </c:pt>
                <c:pt idx="2">
                  <c:v>3 reizes</c:v>
                </c:pt>
                <c:pt idx="3">
                  <c:v>Vairāk nekā 3 reizes</c:v>
                </c:pt>
              </c:strCache>
            </c:strRef>
          </c:cat>
          <c:val>
            <c:numRef>
              <c:f>Sheet1!$B$2:$B$5</c:f>
              <c:numCache>
                <c:formatCode>0.0</c:formatCode>
                <c:ptCount val="4"/>
                <c:pt idx="0">
                  <c:v>103.497</c:v>
                </c:pt>
                <c:pt idx="1">
                  <c:v>27.632999999999999</c:v>
                </c:pt>
                <c:pt idx="2">
                  <c:v>6.57</c:v>
                </c:pt>
                <c:pt idx="3">
                  <c:v>4.3499999999999996</c:v>
                </c:pt>
              </c:numCache>
            </c:numRef>
          </c:val>
          <c:extLst>
            <c:ext xmlns:c16="http://schemas.microsoft.com/office/drawing/2014/chart" uri="{C3380CC4-5D6E-409C-BE32-E72D297353CC}">
              <c16:uniqueId val="{00000000-E3C8-4D78-9D10-AF279A22ADEF}"/>
            </c:ext>
          </c:extLst>
        </c:ser>
        <c:dLbls>
          <c:showLegendKey val="0"/>
          <c:showVal val="0"/>
          <c:showCatName val="0"/>
          <c:showSerName val="0"/>
          <c:showPercent val="0"/>
          <c:showBubbleSize val="0"/>
        </c:dLbls>
        <c:gapWidth val="50"/>
        <c:overlap val="44"/>
        <c:axId val="756053743"/>
        <c:axId val="758067935"/>
      </c:barChart>
      <c:catAx>
        <c:axId val="75605374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58067935"/>
        <c:crosses val="autoZero"/>
        <c:auto val="1"/>
        <c:lblAlgn val="ctr"/>
        <c:lblOffset val="100"/>
        <c:noMultiLvlLbl val="0"/>
      </c:catAx>
      <c:valAx>
        <c:axId val="758067935"/>
        <c:scaling>
          <c:orientation val="minMax"/>
          <c:min val="0"/>
        </c:scaling>
        <c:delete val="1"/>
        <c:axPos val="l"/>
        <c:numFmt formatCode="0.0" sourceLinked="1"/>
        <c:majorTickMark val="out"/>
        <c:minorTickMark val="none"/>
        <c:tickLblPos val="nextTo"/>
        <c:crossAx val="7560537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4">
        <a:lumMod val="20000"/>
        <a:lumOff val="80000"/>
      </a:schemeClr>
    </a:solid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rgbClr val="3288A0"/>
            </a:solidFill>
            <a:ln w="9525">
              <a:noFill/>
            </a:ln>
            <a:effectLst/>
          </c:spPr>
          <c:invertIfNegative val="0"/>
          <c:dPt>
            <c:idx val="5"/>
            <c:invertIfNegative val="0"/>
            <c:bubble3D val="0"/>
            <c:spPr>
              <a:solidFill>
                <a:schemeClr val="bg1">
                  <a:lumMod val="50000"/>
                </a:schemeClr>
              </a:solidFill>
              <a:ln w="9525">
                <a:noFill/>
              </a:ln>
              <a:effectLst/>
            </c:spPr>
            <c:extLst>
              <c:ext xmlns:c16="http://schemas.microsoft.com/office/drawing/2014/chart" uri="{C3380CC4-5D6E-409C-BE32-E72D297353CC}">
                <c16:uniqueId val="{00000001-1662-4F46-A986-8AEBDACFA523}"/>
              </c:ext>
            </c:extLst>
          </c:dPt>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Neformālā izglītības programma</c:v>
                </c:pt>
                <c:pt idx="1">
                  <c:v>Profesionālās pilnveides izglītība</c:v>
                </c:pt>
                <c:pt idx="2">
                  <c:v>Profesionālā tālākizglītība</c:v>
                </c:pt>
                <c:pt idx="3">
                  <c:v>Studiju kurss vai modulis</c:v>
                </c:pt>
                <c:pt idx="4">
                  <c:v>Modulis vai kopa no prof. izglītības programmas</c:v>
                </c:pt>
                <c:pt idx="5">
                  <c:v>Nav norādīts</c:v>
                </c:pt>
              </c:strCache>
            </c:strRef>
          </c:cat>
          <c:val>
            <c:numRef>
              <c:f>Sheet1!$B$2:$B$7</c:f>
              <c:numCache>
                <c:formatCode>0.0</c:formatCode>
                <c:ptCount val="6"/>
                <c:pt idx="0">
                  <c:v>98.870999999999995</c:v>
                </c:pt>
                <c:pt idx="1">
                  <c:v>44.662999999999997</c:v>
                </c:pt>
                <c:pt idx="2">
                  <c:v>20.605</c:v>
                </c:pt>
                <c:pt idx="3">
                  <c:v>5.9779999999999998</c:v>
                </c:pt>
                <c:pt idx="4">
                  <c:v>3.59</c:v>
                </c:pt>
                <c:pt idx="5">
                  <c:v>27.359000000000002</c:v>
                </c:pt>
              </c:numCache>
            </c:numRef>
          </c:val>
          <c:extLst>
            <c:ext xmlns:c16="http://schemas.microsoft.com/office/drawing/2014/chart" uri="{C3380CC4-5D6E-409C-BE32-E72D297353CC}">
              <c16:uniqueId val="{00000002-1662-4F46-A986-8AEBDACFA523}"/>
            </c:ext>
          </c:extLst>
        </c:ser>
        <c:dLbls>
          <c:showLegendKey val="0"/>
          <c:showVal val="0"/>
          <c:showCatName val="0"/>
          <c:showSerName val="0"/>
          <c:showPercent val="0"/>
          <c:showBubbleSize val="0"/>
        </c:dLbls>
        <c:gapWidth val="50"/>
        <c:overlap val="44"/>
        <c:axId val="756053743"/>
        <c:axId val="758067935"/>
      </c:barChart>
      <c:catAx>
        <c:axId val="756053743"/>
        <c:scaling>
          <c:orientation val="minMax"/>
        </c:scaling>
        <c:delete val="0"/>
        <c:axPos val="b"/>
        <c:numFmt formatCode="General" sourceLinked="1"/>
        <c:majorTickMark val="none"/>
        <c:minorTickMark val="none"/>
        <c:tickLblPos val="nextTo"/>
        <c:spPr>
          <a:noFill/>
          <a:ln w="6350" cap="flat" cmpd="sng" algn="ctr">
            <a:solidFill>
              <a:schemeClr val="bg1">
                <a:lumMod val="7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58067935"/>
        <c:crosses val="autoZero"/>
        <c:auto val="1"/>
        <c:lblAlgn val="ctr"/>
        <c:lblOffset val="100"/>
        <c:noMultiLvlLbl val="0"/>
      </c:catAx>
      <c:valAx>
        <c:axId val="758067935"/>
        <c:scaling>
          <c:orientation val="minMax"/>
          <c:min val="0"/>
        </c:scaling>
        <c:delete val="1"/>
        <c:axPos val="l"/>
        <c:numFmt formatCode="0.0" sourceLinked="1"/>
        <c:majorTickMark val="out"/>
        <c:minorTickMark val="none"/>
        <c:tickLblPos val="nextTo"/>
        <c:crossAx val="7560537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4">
        <a:lumMod val="20000"/>
        <a:lumOff val="80000"/>
      </a:schemeClr>
    </a:solid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8F22-4067-BFA8-B530C396A14A}"/>
              </c:ext>
            </c:extLst>
          </c:dPt>
          <c:dPt>
            <c:idx val="1"/>
            <c:bubble3D val="0"/>
            <c:spPr>
              <a:solidFill>
                <a:schemeClr val="accent2"/>
              </a:solidFill>
              <a:ln w="19050">
                <a:noFill/>
              </a:ln>
              <a:effectLst/>
            </c:spPr>
            <c:extLst>
              <c:ext xmlns:c16="http://schemas.microsoft.com/office/drawing/2014/chart" uri="{C3380CC4-5D6E-409C-BE32-E72D297353CC}">
                <c16:uniqueId val="{00000003-8F22-4067-BFA8-B530C396A14A}"/>
              </c:ext>
            </c:extLst>
          </c:dPt>
          <c:dPt>
            <c:idx val="2"/>
            <c:bubble3D val="0"/>
            <c:spPr>
              <a:solidFill>
                <a:schemeClr val="accent3"/>
              </a:solidFill>
              <a:ln w="19050">
                <a:noFill/>
              </a:ln>
              <a:effectLst/>
            </c:spPr>
            <c:extLst>
              <c:ext xmlns:c16="http://schemas.microsoft.com/office/drawing/2014/chart" uri="{C3380CC4-5D6E-409C-BE32-E72D297353CC}">
                <c16:uniqueId val="{00000005-8F22-4067-BFA8-B530C396A14A}"/>
              </c:ext>
            </c:extLst>
          </c:dPt>
          <c:dPt>
            <c:idx val="3"/>
            <c:bubble3D val="0"/>
            <c:spPr>
              <a:solidFill>
                <a:schemeClr val="accent4"/>
              </a:solidFill>
              <a:ln w="19050">
                <a:noFill/>
              </a:ln>
              <a:effectLst/>
            </c:spPr>
            <c:extLst>
              <c:ext xmlns:c16="http://schemas.microsoft.com/office/drawing/2014/chart" uri="{C3380CC4-5D6E-409C-BE32-E72D297353CC}">
                <c16:uniqueId val="{00000007-8F22-4067-BFA8-B530C396A14A}"/>
              </c:ext>
            </c:extLst>
          </c:dPt>
          <c:dLbls>
            <c:dLbl>
              <c:idx val="0"/>
              <c:layout>
                <c:manualLayout>
                  <c:x val="0.1592039800995024"/>
                  <c:y val="0.06"/>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8F22-4067-BFA8-B530C396A14A}"/>
                </c:ext>
              </c:extLst>
            </c:dLbl>
            <c:dLbl>
              <c:idx val="1"/>
              <c:layout>
                <c:manualLayout>
                  <c:x val="-0.14925373134328362"/>
                  <c:y val="0.18"/>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8F22-4067-BFA8-B530C396A14A}"/>
                </c:ext>
              </c:extLst>
            </c:dLbl>
            <c:dLbl>
              <c:idx val="2"/>
              <c:layout>
                <c:manualLayout>
                  <c:x val="-0.20669569151638303"/>
                  <c:y val="-9.3723848209870023E-2"/>
                </c:manualLayout>
              </c:layout>
              <c:numFmt formatCode="0%" sourceLinked="0"/>
              <c:spPr>
                <a:noFill/>
                <a:ln>
                  <a:noFill/>
                </a:ln>
                <a:effectLst/>
              </c:spPr>
              <c:txPr>
                <a:bodyPr rot="0" spcFirstLastPara="1" vertOverflow="ellipsis" vert="horz" wrap="square" lIns="0" tIns="19050" rIns="0" bIns="19050" anchor="ctr" anchorCtr="1">
                  <a:no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1"/>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c15:spPr>
                  <c15:layout>
                    <c:manualLayout>
                      <c:w val="0.31783162941325882"/>
                      <c:h val="0.24864608049611298"/>
                    </c:manualLayout>
                  </c15:layout>
                </c:ext>
                <c:ext xmlns:c16="http://schemas.microsoft.com/office/drawing/2014/chart" uri="{C3380CC4-5D6E-409C-BE32-E72D297353CC}">
                  <c16:uniqueId val="{00000005-8F22-4067-BFA8-B530C396A14A}"/>
                </c:ext>
              </c:extLst>
            </c:dLbl>
            <c:numFmt formatCode="0%" sourceLinked="0"/>
            <c:spPr>
              <a:noFill/>
              <a:ln>
                <a:noFill/>
              </a:ln>
              <a:effectLst/>
            </c:spPr>
            <c:txPr>
              <a:bodyPr rot="0" spcFirstLastPara="1" vertOverflow="ellipsis" vert="horz" wrap="square" lIns="0" tIns="19050" rIns="0" bIns="1905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1"/>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ext>
            </c:extLst>
          </c:dLbls>
          <c:cat>
            <c:strRef>
              <c:f>Sheet1!$A$2:$A$5</c:f>
              <c:strCache>
                <c:ptCount val="3"/>
                <c:pt idx="0">
                  <c:v>Augstākā izglītība</c:v>
                </c:pt>
                <c:pt idx="1">
                  <c:v>Vidējā, vidējā prof. vai arodizglītība</c:v>
                </c:pt>
                <c:pt idx="2">
                  <c:v>Pamatskolas izglītība un zemāka</c:v>
                </c:pt>
              </c:strCache>
            </c:strRef>
          </c:cat>
          <c:val>
            <c:numRef>
              <c:f>Sheet1!$B$2:$B$5</c:f>
              <c:numCache>
                <c:formatCode>General</c:formatCode>
                <c:ptCount val="4"/>
                <c:pt idx="0">
                  <c:v>0.46</c:v>
                </c:pt>
                <c:pt idx="1">
                  <c:v>0.46</c:v>
                </c:pt>
                <c:pt idx="2">
                  <c:v>0.08</c:v>
                </c:pt>
              </c:numCache>
            </c:numRef>
          </c:val>
          <c:extLst>
            <c:ext xmlns:c16="http://schemas.microsoft.com/office/drawing/2014/chart" uri="{C3380CC4-5D6E-409C-BE32-E72D297353CC}">
              <c16:uniqueId val="{00000008-8F22-4067-BFA8-B530C396A14A}"/>
            </c:ext>
          </c:extLst>
        </c:ser>
        <c:dLbls>
          <c:showLegendKey val="0"/>
          <c:showVal val="0"/>
          <c:showCatName val="0"/>
          <c:showSerName val="0"/>
          <c:showPercent val="0"/>
          <c:showBubbleSize val="0"/>
          <c:showLeaderLines val="0"/>
        </c:dLbls>
        <c:firstSliceAng val="0"/>
        <c:holeSize val="5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4">
        <a:lumMod val="20000"/>
        <a:lumOff val="80000"/>
      </a:schemeClr>
    </a:solidFill>
    <a:ln w="9525" cap="flat" cmpd="sng" algn="ctr">
      <a:noFill/>
      <a:round/>
    </a:ln>
    <a:effectLst/>
  </c:spPr>
  <c:txPr>
    <a:bodyPr/>
    <a:lstStyle/>
    <a:p>
      <a:pPr>
        <a:defRPr/>
      </a:pPr>
      <a:endParaRPr lang="lv-LV"/>
    </a:p>
  </c:tx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rgbClr val="3288A0"/>
            </a:solidFill>
            <a:ln w="9525">
              <a:noFill/>
            </a:ln>
            <a:effectLst/>
          </c:spPr>
          <c:invertIfNegative val="0"/>
          <c:dPt>
            <c:idx val="5"/>
            <c:invertIfNegative val="0"/>
            <c:bubble3D val="0"/>
            <c:spPr>
              <a:solidFill>
                <a:srgbClr val="3288A0"/>
              </a:solidFill>
              <a:ln w="9525">
                <a:noFill/>
              </a:ln>
              <a:effectLst/>
            </c:spPr>
            <c:extLst>
              <c:ext xmlns:c16="http://schemas.microsoft.com/office/drawing/2014/chart" uri="{C3380CC4-5D6E-409C-BE32-E72D297353CC}">
                <c16:uniqueId val="{00000001-608A-4E01-B340-60B90CCF395C}"/>
              </c:ext>
            </c:extLst>
          </c:dPt>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15-19</c:v>
                </c:pt>
                <c:pt idx="1">
                  <c:v>20-24</c:v>
                </c:pt>
                <c:pt idx="2">
                  <c:v>25-29</c:v>
                </c:pt>
                <c:pt idx="3">
                  <c:v>30-34</c:v>
                </c:pt>
                <c:pt idx="4">
                  <c:v>35-39</c:v>
                </c:pt>
                <c:pt idx="5">
                  <c:v>40-44</c:v>
                </c:pt>
                <c:pt idx="6">
                  <c:v>45-49</c:v>
                </c:pt>
                <c:pt idx="7">
                  <c:v>50-54</c:v>
                </c:pt>
                <c:pt idx="8">
                  <c:v>55-59</c:v>
                </c:pt>
                <c:pt idx="9">
                  <c:v>60-64</c:v>
                </c:pt>
                <c:pt idx="10">
                  <c:v>65-69</c:v>
                </c:pt>
                <c:pt idx="11">
                  <c:v>70+</c:v>
                </c:pt>
              </c:strCache>
            </c:strRef>
          </c:cat>
          <c:val>
            <c:numRef>
              <c:f>Sheet1!$B$2:$B$13</c:f>
              <c:numCache>
                <c:formatCode>General</c:formatCode>
                <c:ptCount val="12"/>
                <c:pt idx="0">
                  <c:v>2.6471356990718344E-3</c:v>
                </c:pt>
                <c:pt idx="1">
                  <c:v>3.1276241957100825E-2</c:v>
                </c:pt>
                <c:pt idx="2">
                  <c:v>0.11483341397087037</c:v>
                </c:pt>
                <c:pt idx="3">
                  <c:v>0.16670281452810357</c:v>
                </c:pt>
                <c:pt idx="4">
                  <c:v>0.15730993176396002</c:v>
                </c:pt>
                <c:pt idx="5">
                  <c:v>0.13319096637136643</c:v>
                </c:pt>
                <c:pt idx="6">
                  <c:v>0.12172931369114154</c:v>
                </c:pt>
                <c:pt idx="7">
                  <c:v>0.11087939405061813</c:v>
                </c:pt>
                <c:pt idx="8">
                  <c:v>0.10133079742182328</c:v>
                </c:pt>
                <c:pt idx="9">
                  <c:v>5.4805719147800261E-2</c:v>
                </c:pt>
                <c:pt idx="10">
                  <c:v>4.0429992714815614E-3</c:v>
                </c:pt>
                <c:pt idx="11">
                  <c:v>1.2512721266621065E-3</c:v>
                </c:pt>
              </c:numCache>
            </c:numRef>
          </c:val>
          <c:extLst>
            <c:ext xmlns:c16="http://schemas.microsoft.com/office/drawing/2014/chart" uri="{C3380CC4-5D6E-409C-BE32-E72D297353CC}">
              <c16:uniqueId val="{00000002-608A-4E01-B340-60B90CCF395C}"/>
            </c:ext>
          </c:extLst>
        </c:ser>
        <c:dLbls>
          <c:showLegendKey val="0"/>
          <c:showVal val="0"/>
          <c:showCatName val="0"/>
          <c:showSerName val="0"/>
          <c:showPercent val="0"/>
          <c:showBubbleSize val="0"/>
        </c:dLbls>
        <c:gapWidth val="60"/>
        <c:overlap val="44"/>
        <c:axId val="756053743"/>
        <c:axId val="758067935"/>
      </c:barChart>
      <c:catAx>
        <c:axId val="756053743"/>
        <c:scaling>
          <c:orientation val="minMax"/>
        </c:scaling>
        <c:delete val="0"/>
        <c:axPos val="b"/>
        <c:numFmt formatCode="General" sourceLinked="1"/>
        <c:majorTickMark val="none"/>
        <c:minorTickMark val="none"/>
        <c:tickLblPos val="nextTo"/>
        <c:spPr>
          <a:noFill/>
          <a:ln w="6350" cap="flat" cmpd="sng" algn="ctr">
            <a:solidFill>
              <a:schemeClr val="bg1">
                <a:lumMod val="7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58067935"/>
        <c:crosses val="autoZero"/>
        <c:auto val="1"/>
        <c:lblAlgn val="ctr"/>
        <c:lblOffset val="100"/>
        <c:noMultiLvlLbl val="0"/>
      </c:catAx>
      <c:valAx>
        <c:axId val="758067935"/>
        <c:scaling>
          <c:orientation val="minMax"/>
          <c:min val="0"/>
        </c:scaling>
        <c:delete val="1"/>
        <c:axPos val="l"/>
        <c:numFmt formatCode="General" sourceLinked="1"/>
        <c:majorTickMark val="out"/>
        <c:minorTickMark val="none"/>
        <c:tickLblPos val="nextTo"/>
        <c:crossAx val="7560537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4">
        <a:lumMod val="20000"/>
        <a:lumOff val="80000"/>
      </a:schemeClr>
    </a:solid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946088602210288E-2"/>
          <c:y val="6.5185185185185165E-2"/>
          <c:w val="0.94736285582824753"/>
          <c:h val="0.83369534260345124"/>
        </c:manualLayout>
      </c:layout>
      <c:barChart>
        <c:barDir val="col"/>
        <c:grouping val="clustered"/>
        <c:varyColors val="0"/>
        <c:ser>
          <c:idx val="1"/>
          <c:order val="0"/>
          <c:tx>
            <c:strRef>
              <c:f>Sheet1!$A$2</c:f>
              <c:strCache>
                <c:ptCount val="1"/>
                <c:pt idx="0">
                  <c:v>IEDZĪVOTĀJI MŪŽIZGLĪTĪBĀ </c:v>
                </c:pt>
              </c:strCache>
            </c:strRef>
          </c:tx>
          <c:spPr>
            <a:solidFill>
              <a:schemeClr val="accent2"/>
            </a:solidFill>
            <a:ln>
              <a:noFill/>
            </a:ln>
            <a:effectLst/>
          </c:spPr>
          <c:invertIfNegative val="0"/>
          <c:dPt>
            <c:idx val="8"/>
            <c:invertIfNegative val="0"/>
            <c:bubble3D val="0"/>
            <c:extLst>
              <c:ext xmlns:c16="http://schemas.microsoft.com/office/drawing/2014/chart" uri="{C3380CC4-5D6E-409C-BE32-E72D297353CC}">
                <c16:uniqueId val="{00000000-178B-49B5-A5E0-A4C6ABC3AB24}"/>
              </c:ext>
            </c:extLst>
          </c:dPt>
          <c:dPt>
            <c:idx val="16"/>
            <c:invertIfNegative val="0"/>
            <c:bubble3D val="0"/>
            <c:spPr>
              <a:solidFill>
                <a:schemeClr val="accent6">
                  <a:lumMod val="75000"/>
                </a:schemeClr>
              </a:solidFill>
              <a:ln>
                <a:noFill/>
              </a:ln>
              <a:effectLst/>
            </c:spPr>
            <c:extLst>
              <c:ext xmlns:c16="http://schemas.microsoft.com/office/drawing/2014/chart" uri="{C3380CC4-5D6E-409C-BE32-E72D297353CC}">
                <c16:uniqueId val="{00000002-178B-49B5-A5E0-A4C6ABC3AB24}"/>
              </c:ext>
            </c:extLst>
          </c:dPt>
          <c:dLbls>
            <c:dLbl>
              <c:idx val="14"/>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Segoe UI Light" panose="020B0502040204020203" pitchFamily="34" charset="0"/>
                        <a:ea typeface="+mn-ea"/>
                        <a:cs typeface="Segoe UI Semilight" panose="020B0402040204020203" pitchFamily="34" charset="0"/>
                      </a:defRPr>
                    </a:pPr>
                    <a:fld id="{26283ABE-212C-47FD-BAEB-D01EBA05145D}" type="VALUE">
                      <a:rPr lang="en-US" sz="900" b="0">
                        <a:solidFill>
                          <a:sysClr val="windowText" lastClr="000000"/>
                        </a:solidFill>
                      </a:rPr>
                      <a:pPr>
                        <a:defRPr sz="900">
                          <a:solidFill>
                            <a:sysClr val="windowText" lastClr="000000"/>
                          </a:solidFill>
                        </a:defRPr>
                      </a:pPr>
                      <a:t>[VALUE]</a:t>
                    </a:fld>
                    <a:endParaRPr lang="lv-LV"/>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Segoe UI Light" panose="020B0502040204020203" pitchFamily="34" charset="0"/>
                      <a:ea typeface="+mn-ea"/>
                      <a:cs typeface="Segoe UI Semilight" panose="020B04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78B-49B5-A5E0-A4C6ABC3AB2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Sheet1!$B$1:$Q$1</c:f>
              <c:strCach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strCache>
            </c:strRef>
          </c:cat>
          <c:val>
            <c:numRef>
              <c:f>Sheet1!$B$2:$Q$2</c:f>
              <c:numCache>
                <c:formatCode>0.0</c:formatCode>
                <c:ptCount val="16"/>
                <c:pt idx="0">
                  <c:v>6.9</c:v>
                </c:pt>
                <c:pt idx="1">
                  <c:v>5.6</c:v>
                </c:pt>
                <c:pt idx="2">
                  <c:v>5.4</c:v>
                </c:pt>
                <c:pt idx="3">
                  <c:v>5.4</c:v>
                </c:pt>
                <c:pt idx="4">
                  <c:v>7.2</c:v>
                </c:pt>
                <c:pt idx="5">
                  <c:v>6.8</c:v>
                </c:pt>
                <c:pt idx="6">
                  <c:v>5.6</c:v>
                </c:pt>
                <c:pt idx="7">
                  <c:v>5.7</c:v>
                </c:pt>
                <c:pt idx="8">
                  <c:v>7.3</c:v>
                </c:pt>
                <c:pt idx="9">
                  <c:v>7.5</c:v>
                </c:pt>
                <c:pt idx="10">
                  <c:v>6.7</c:v>
                </c:pt>
                <c:pt idx="11">
                  <c:v>7.4</c:v>
                </c:pt>
                <c:pt idx="12">
                  <c:v>6.6</c:v>
                </c:pt>
                <c:pt idx="13">
                  <c:v>8.6</c:v>
                </c:pt>
                <c:pt idx="14">
                  <c:v>9.6999999999999993</c:v>
                </c:pt>
                <c:pt idx="15">
                  <c:v>10.7</c:v>
                </c:pt>
              </c:numCache>
            </c:numRef>
          </c:val>
          <c:extLst>
            <c:ext xmlns:c16="http://schemas.microsoft.com/office/drawing/2014/chart" uri="{C3380CC4-5D6E-409C-BE32-E72D297353CC}">
              <c16:uniqueId val="{00000004-178B-49B5-A5E0-A4C6ABC3AB24}"/>
            </c:ext>
          </c:extLst>
        </c:ser>
        <c:dLbls>
          <c:showLegendKey val="0"/>
          <c:showVal val="0"/>
          <c:showCatName val="0"/>
          <c:showSerName val="0"/>
          <c:showPercent val="0"/>
          <c:showBubbleSize val="0"/>
        </c:dLbls>
        <c:gapWidth val="60"/>
        <c:axId val="742089112"/>
        <c:axId val="742090680"/>
      </c:barChart>
      <c:catAx>
        <c:axId val="742089112"/>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90680"/>
        <c:crosses val="autoZero"/>
        <c:auto val="1"/>
        <c:lblAlgn val="ctr"/>
        <c:lblOffset val="100"/>
        <c:tickLblSkip val="1"/>
        <c:noMultiLvlLbl val="1"/>
      </c:catAx>
      <c:valAx>
        <c:axId val="742090680"/>
        <c:scaling>
          <c:orientation val="minMax"/>
          <c:max val="12"/>
          <c:min val="0"/>
        </c:scaling>
        <c:delete val="0"/>
        <c:axPos val="l"/>
        <c:numFmt formatCode="0" sourceLinked="0"/>
        <c:majorTickMark val="out"/>
        <c:minorTickMark val="none"/>
        <c:tickLblPos val="nextTo"/>
        <c:spPr>
          <a:noFill/>
          <a:ln w="3175" cap="flat" cmpd="sng" algn="ctr">
            <a:no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89112"/>
        <c:crosses val="autoZero"/>
        <c:crossBetween val="between"/>
        <c:majorUnit val="3"/>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sz="800" baseline="0">
          <a:latin typeface="Segoe UI Light" panose="020B0502040204020203" pitchFamily="34" charset="0"/>
          <a:cs typeface="Segoe UI Semilight" panose="020B0402040204020203" pitchFamily="34" charset="0"/>
        </a:defRPr>
      </a:pPr>
      <a:endParaRPr lang="lv-LV"/>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588235294117646E-2"/>
          <c:y val="3.9136096360048007E-2"/>
          <c:w val="0.8"/>
          <c:h val="0.86766973895704902"/>
        </c:manualLayout>
      </c:layout>
      <c:barChart>
        <c:barDir val="col"/>
        <c:grouping val="clustered"/>
        <c:varyColors val="0"/>
        <c:ser>
          <c:idx val="0"/>
          <c:order val="0"/>
          <c:tx>
            <c:strRef>
              <c:f>Sheet1!$B$1</c:f>
              <c:strCache>
                <c:ptCount val="1"/>
                <c:pt idx="0">
                  <c:v>Series 1</c:v>
                </c:pt>
              </c:strCache>
            </c:strRef>
          </c:tx>
          <c:spPr>
            <a:solidFill>
              <a:srgbClr val="227B8B">
                <a:alpha val="30000"/>
              </a:srgbClr>
            </a:solidFill>
            <a:ln>
              <a:noFill/>
            </a:ln>
            <a:effectLst/>
          </c:spPr>
          <c:invertIfNegative val="0"/>
          <c:cat>
            <c:numRef>
              <c:f>Sheet1!$A$2:$A$4</c:f>
              <c:numCache>
                <c:formatCode>General</c:formatCode>
                <c:ptCount val="3"/>
              </c:numCache>
            </c:numRef>
          </c:cat>
          <c:val>
            <c:numRef>
              <c:f>Sheet1!$B$2:$B$4</c:f>
              <c:numCache>
                <c:formatCode>General</c:formatCode>
                <c:ptCount val="3"/>
                <c:pt idx="0">
                  <c:v>43</c:v>
                </c:pt>
                <c:pt idx="1">
                  <c:v>61.5</c:v>
                </c:pt>
                <c:pt idx="2">
                  <c:v>80</c:v>
                </c:pt>
              </c:numCache>
            </c:numRef>
          </c:val>
          <c:extLst>
            <c:ext xmlns:c16="http://schemas.microsoft.com/office/drawing/2014/chart" uri="{C3380CC4-5D6E-409C-BE32-E72D297353CC}">
              <c16:uniqueId val="{00000000-559C-478B-B0A5-3C5D17A406E8}"/>
            </c:ext>
          </c:extLst>
        </c:ser>
        <c:dLbls>
          <c:showLegendKey val="0"/>
          <c:showVal val="0"/>
          <c:showCatName val="0"/>
          <c:showSerName val="0"/>
          <c:showPercent val="0"/>
          <c:showBubbleSize val="0"/>
        </c:dLbls>
        <c:gapWidth val="40"/>
        <c:overlap val="-27"/>
        <c:axId val="828781055"/>
        <c:axId val="942552159"/>
      </c:barChart>
      <c:catAx>
        <c:axId val="82878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42552159"/>
        <c:crosses val="autoZero"/>
        <c:auto val="1"/>
        <c:lblAlgn val="ctr"/>
        <c:lblOffset val="100"/>
        <c:noMultiLvlLbl val="0"/>
      </c:catAx>
      <c:valAx>
        <c:axId val="942552159"/>
        <c:scaling>
          <c:orientation val="minMax"/>
        </c:scaling>
        <c:delete val="1"/>
        <c:axPos val="l"/>
        <c:numFmt formatCode="General" sourceLinked="1"/>
        <c:majorTickMark val="none"/>
        <c:minorTickMark val="none"/>
        <c:tickLblPos val="nextTo"/>
        <c:crossAx val="828781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557143105456187E-2"/>
          <c:y val="2.0791451447995643E-2"/>
          <c:w val="0.96057613465509262"/>
          <c:h val="0.7676119690350679"/>
        </c:manualLayout>
      </c:layout>
      <c:lineChart>
        <c:grouping val="standard"/>
        <c:varyColors val="0"/>
        <c:ser>
          <c:idx val="2"/>
          <c:order val="1"/>
          <c:tx>
            <c:strRef>
              <c:f>Sheet1!$A$3</c:f>
              <c:strCache>
                <c:ptCount val="1"/>
                <c:pt idx="0">
                  <c:v>Mērķa scenārijs</c:v>
                </c:pt>
              </c:strCache>
            </c:strRef>
          </c:tx>
          <c:spPr>
            <a:ln w="31750">
              <a:solidFill>
                <a:schemeClr val="accent5">
                  <a:lumMod val="75000"/>
                </a:schemeClr>
              </a:solidFill>
              <a:prstDash val="sysDot"/>
            </a:ln>
          </c:spPr>
          <c:marker>
            <c:symbol val="none"/>
          </c:marker>
          <c:dPt>
            <c:idx val="0"/>
            <c:bubble3D val="0"/>
            <c:extLst>
              <c:ext xmlns:c16="http://schemas.microsoft.com/office/drawing/2014/chart" uri="{C3380CC4-5D6E-409C-BE32-E72D297353CC}">
                <c16:uniqueId val="{00000001-DF82-4477-A89A-B1613F97A1CE}"/>
              </c:ext>
            </c:extLst>
          </c:dPt>
          <c:dPt>
            <c:idx val="1"/>
            <c:bubble3D val="0"/>
            <c:extLst>
              <c:ext xmlns:c16="http://schemas.microsoft.com/office/drawing/2014/chart" uri="{C3380CC4-5D6E-409C-BE32-E72D297353CC}">
                <c16:uniqueId val="{00000002-DF82-4477-A89A-B1613F97A1CE}"/>
              </c:ext>
            </c:extLst>
          </c:dPt>
          <c:dPt>
            <c:idx val="2"/>
            <c:bubble3D val="0"/>
            <c:extLst>
              <c:ext xmlns:c16="http://schemas.microsoft.com/office/drawing/2014/chart" uri="{C3380CC4-5D6E-409C-BE32-E72D297353CC}">
                <c16:uniqueId val="{00000003-DF82-4477-A89A-B1613F97A1CE}"/>
              </c:ext>
            </c:extLst>
          </c:dPt>
          <c:dPt>
            <c:idx val="3"/>
            <c:bubble3D val="0"/>
            <c:extLst>
              <c:ext xmlns:c16="http://schemas.microsoft.com/office/drawing/2014/chart" uri="{C3380CC4-5D6E-409C-BE32-E72D297353CC}">
                <c16:uniqueId val="{00000004-DF82-4477-A89A-B1613F97A1CE}"/>
              </c:ext>
            </c:extLst>
          </c:dPt>
          <c:dPt>
            <c:idx val="4"/>
            <c:bubble3D val="0"/>
            <c:extLst>
              <c:ext xmlns:c16="http://schemas.microsoft.com/office/drawing/2014/chart" uri="{C3380CC4-5D6E-409C-BE32-E72D297353CC}">
                <c16:uniqueId val="{00000005-DF82-4477-A89A-B1613F97A1CE}"/>
              </c:ext>
            </c:extLst>
          </c:dPt>
          <c:dPt>
            <c:idx val="5"/>
            <c:bubble3D val="0"/>
            <c:extLst>
              <c:ext xmlns:c16="http://schemas.microsoft.com/office/drawing/2014/chart" uri="{C3380CC4-5D6E-409C-BE32-E72D297353CC}">
                <c16:uniqueId val="{00000006-DF82-4477-A89A-B1613F97A1CE}"/>
              </c:ext>
            </c:extLst>
          </c:dPt>
          <c:dPt>
            <c:idx val="6"/>
            <c:bubble3D val="0"/>
            <c:extLst>
              <c:ext xmlns:c16="http://schemas.microsoft.com/office/drawing/2014/chart" uri="{C3380CC4-5D6E-409C-BE32-E72D297353CC}">
                <c16:uniqueId val="{00000007-DF82-4477-A89A-B1613F97A1CE}"/>
              </c:ext>
            </c:extLst>
          </c:dPt>
          <c:dPt>
            <c:idx val="7"/>
            <c:bubble3D val="0"/>
            <c:extLst>
              <c:ext xmlns:c16="http://schemas.microsoft.com/office/drawing/2014/chart" uri="{C3380CC4-5D6E-409C-BE32-E72D297353CC}">
                <c16:uniqueId val="{00000008-DF82-4477-A89A-B1613F97A1CE}"/>
              </c:ext>
            </c:extLst>
          </c:dPt>
          <c:dPt>
            <c:idx val="8"/>
            <c:bubble3D val="0"/>
            <c:extLst>
              <c:ext xmlns:c16="http://schemas.microsoft.com/office/drawing/2014/chart" uri="{C3380CC4-5D6E-409C-BE32-E72D297353CC}">
                <c16:uniqueId val="{00000009-DF82-4477-A89A-B1613F97A1CE}"/>
              </c:ext>
            </c:extLst>
          </c:dPt>
          <c:dPt>
            <c:idx val="9"/>
            <c:bubble3D val="0"/>
            <c:extLst>
              <c:ext xmlns:c16="http://schemas.microsoft.com/office/drawing/2014/chart" uri="{C3380CC4-5D6E-409C-BE32-E72D297353CC}">
                <c16:uniqueId val="{0000000A-DF82-4477-A89A-B1613F97A1CE}"/>
              </c:ext>
            </c:extLst>
          </c:dPt>
          <c:dPt>
            <c:idx val="10"/>
            <c:bubble3D val="0"/>
            <c:extLst>
              <c:ext xmlns:c16="http://schemas.microsoft.com/office/drawing/2014/chart" uri="{C3380CC4-5D6E-409C-BE32-E72D297353CC}">
                <c16:uniqueId val="{0000000B-DF82-4477-A89A-B1613F97A1CE}"/>
              </c:ext>
            </c:extLst>
          </c:dPt>
          <c:dPt>
            <c:idx val="11"/>
            <c:bubble3D val="0"/>
            <c:extLst>
              <c:ext xmlns:c16="http://schemas.microsoft.com/office/drawing/2014/chart" uri="{C3380CC4-5D6E-409C-BE32-E72D297353CC}">
                <c16:uniqueId val="{0000000C-DF82-4477-A89A-B1613F97A1CE}"/>
              </c:ext>
            </c:extLst>
          </c:dPt>
          <c:dPt>
            <c:idx val="12"/>
            <c:bubble3D val="0"/>
            <c:extLst>
              <c:ext xmlns:c16="http://schemas.microsoft.com/office/drawing/2014/chart" uri="{C3380CC4-5D6E-409C-BE32-E72D297353CC}">
                <c16:uniqueId val="{0000000D-DF82-4477-A89A-B1613F97A1CE}"/>
              </c:ext>
            </c:extLst>
          </c:dPt>
          <c:dPt>
            <c:idx val="13"/>
            <c:bubble3D val="0"/>
            <c:extLst>
              <c:ext xmlns:c16="http://schemas.microsoft.com/office/drawing/2014/chart" uri="{C3380CC4-5D6E-409C-BE32-E72D297353CC}">
                <c16:uniqueId val="{0000000E-DF82-4477-A89A-B1613F97A1CE}"/>
              </c:ext>
            </c:extLst>
          </c:dPt>
          <c:dPt>
            <c:idx val="14"/>
            <c:bubble3D val="0"/>
            <c:extLst>
              <c:ext xmlns:c16="http://schemas.microsoft.com/office/drawing/2014/chart" uri="{C3380CC4-5D6E-409C-BE32-E72D297353CC}">
                <c16:uniqueId val="{0000000F-DF82-4477-A89A-B1613F97A1CE}"/>
              </c:ext>
            </c:extLst>
          </c:dPt>
          <c:dPt>
            <c:idx val="15"/>
            <c:bubble3D val="0"/>
            <c:extLst>
              <c:ext xmlns:c16="http://schemas.microsoft.com/office/drawing/2014/chart" uri="{C3380CC4-5D6E-409C-BE32-E72D297353CC}">
                <c16:uniqueId val="{00000010-DF82-4477-A89A-B1613F97A1CE}"/>
              </c:ext>
            </c:extLst>
          </c:dPt>
          <c:dPt>
            <c:idx val="16"/>
            <c:bubble3D val="0"/>
            <c:extLst>
              <c:ext xmlns:c16="http://schemas.microsoft.com/office/drawing/2014/chart" uri="{C3380CC4-5D6E-409C-BE32-E72D297353CC}">
                <c16:uniqueId val="{00000011-DF82-4477-A89A-B1613F97A1CE}"/>
              </c:ext>
            </c:extLst>
          </c:dPt>
          <c:dPt>
            <c:idx val="17"/>
            <c:bubble3D val="0"/>
            <c:extLst>
              <c:ext xmlns:c16="http://schemas.microsoft.com/office/drawing/2014/chart" uri="{C3380CC4-5D6E-409C-BE32-E72D297353CC}">
                <c16:uniqueId val="{00000012-DF82-4477-A89A-B1613F97A1CE}"/>
              </c:ext>
            </c:extLst>
          </c:dPt>
          <c:dPt>
            <c:idx val="18"/>
            <c:bubble3D val="0"/>
            <c:extLst>
              <c:ext xmlns:c16="http://schemas.microsoft.com/office/drawing/2014/chart" uri="{C3380CC4-5D6E-409C-BE32-E72D297353CC}">
                <c16:uniqueId val="{00000013-DF82-4477-A89A-B1613F97A1CE}"/>
              </c:ext>
            </c:extLst>
          </c:dPt>
          <c:dPt>
            <c:idx val="19"/>
            <c:bubble3D val="0"/>
            <c:extLst>
              <c:ext xmlns:c16="http://schemas.microsoft.com/office/drawing/2014/chart" uri="{C3380CC4-5D6E-409C-BE32-E72D297353CC}">
                <c16:uniqueId val="{00000014-DF82-4477-A89A-B1613F97A1CE}"/>
              </c:ext>
            </c:extLst>
          </c:dPt>
          <c:dPt>
            <c:idx val="20"/>
            <c:bubble3D val="0"/>
            <c:extLst>
              <c:ext xmlns:c16="http://schemas.microsoft.com/office/drawing/2014/chart" uri="{C3380CC4-5D6E-409C-BE32-E72D297353CC}">
                <c16:uniqueId val="{00000015-DF82-4477-A89A-B1613F97A1CE}"/>
              </c:ext>
            </c:extLst>
          </c:dPt>
          <c:dPt>
            <c:idx val="21"/>
            <c:bubble3D val="0"/>
            <c:extLst>
              <c:ext xmlns:c16="http://schemas.microsoft.com/office/drawing/2014/chart" uri="{C3380CC4-5D6E-409C-BE32-E72D297353CC}">
                <c16:uniqueId val="{00000016-DF82-4477-A89A-B1613F97A1CE}"/>
              </c:ext>
            </c:extLst>
          </c:dPt>
          <c:dPt>
            <c:idx val="22"/>
            <c:bubble3D val="0"/>
            <c:extLst>
              <c:ext xmlns:c16="http://schemas.microsoft.com/office/drawing/2014/chart" uri="{C3380CC4-5D6E-409C-BE32-E72D297353CC}">
                <c16:uniqueId val="{00000017-DF82-4477-A89A-B1613F97A1CE}"/>
              </c:ext>
            </c:extLst>
          </c:dPt>
          <c:dPt>
            <c:idx val="23"/>
            <c:bubble3D val="0"/>
            <c:extLst>
              <c:ext xmlns:c16="http://schemas.microsoft.com/office/drawing/2014/chart" uri="{C3380CC4-5D6E-409C-BE32-E72D297353CC}">
                <c16:uniqueId val="{00000018-DF82-4477-A89A-B1613F97A1CE}"/>
              </c:ext>
            </c:extLst>
          </c:dPt>
          <c:dPt>
            <c:idx val="24"/>
            <c:bubble3D val="0"/>
            <c:extLst>
              <c:ext xmlns:c16="http://schemas.microsoft.com/office/drawing/2014/chart" uri="{C3380CC4-5D6E-409C-BE32-E72D297353CC}">
                <c16:uniqueId val="{00000019-DF82-4477-A89A-B1613F97A1CE}"/>
              </c:ext>
            </c:extLst>
          </c:dPt>
          <c:dPt>
            <c:idx val="25"/>
            <c:bubble3D val="0"/>
            <c:extLst>
              <c:ext xmlns:c16="http://schemas.microsoft.com/office/drawing/2014/chart" uri="{C3380CC4-5D6E-409C-BE32-E72D297353CC}">
                <c16:uniqueId val="{0000001A-DF82-4477-A89A-B1613F97A1CE}"/>
              </c:ext>
            </c:extLst>
          </c:dPt>
          <c:dPt>
            <c:idx val="26"/>
            <c:bubble3D val="0"/>
            <c:extLst>
              <c:ext xmlns:c16="http://schemas.microsoft.com/office/drawing/2014/chart" uri="{C3380CC4-5D6E-409C-BE32-E72D297353CC}">
                <c16:uniqueId val="{0000001B-DF82-4477-A89A-B1613F97A1CE}"/>
              </c:ext>
            </c:extLst>
          </c:dPt>
          <c:dPt>
            <c:idx val="27"/>
            <c:bubble3D val="0"/>
            <c:extLst>
              <c:ext xmlns:c16="http://schemas.microsoft.com/office/drawing/2014/chart" uri="{C3380CC4-5D6E-409C-BE32-E72D297353CC}">
                <c16:uniqueId val="{0000001C-DF82-4477-A89A-B1613F97A1CE}"/>
              </c:ext>
            </c:extLst>
          </c:dPt>
          <c:dPt>
            <c:idx val="28"/>
            <c:bubble3D val="0"/>
            <c:extLst>
              <c:ext xmlns:c16="http://schemas.microsoft.com/office/drawing/2014/chart" uri="{C3380CC4-5D6E-409C-BE32-E72D297353CC}">
                <c16:uniqueId val="{0000001D-DF82-4477-A89A-B1613F97A1CE}"/>
              </c:ext>
            </c:extLst>
          </c:dPt>
          <c:dPt>
            <c:idx val="29"/>
            <c:bubble3D val="0"/>
            <c:extLst>
              <c:ext xmlns:c16="http://schemas.microsoft.com/office/drawing/2014/chart" uri="{C3380CC4-5D6E-409C-BE32-E72D297353CC}">
                <c16:uniqueId val="{0000001E-DF82-4477-A89A-B1613F97A1CE}"/>
              </c:ext>
            </c:extLst>
          </c:dPt>
          <c:dPt>
            <c:idx val="30"/>
            <c:bubble3D val="0"/>
            <c:extLst>
              <c:ext xmlns:c16="http://schemas.microsoft.com/office/drawing/2014/chart" uri="{C3380CC4-5D6E-409C-BE32-E72D297353CC}">
                <c16:uniqueId val="{0000001F-DF82-4477-A89A-B1613F97A1CE}"/>
              </c:ext>
            </c:extLst>
          </c:dPt>
          <c:dPt>
            <c:idx val="31"/>
            <c:bubble3D val="0"/>
            <c:extLst>
              <c:ext xmlns:c16="http://schemas.microsoft.com/office/drawing/2014/chart" uri="{C3380CC4-5D6E-409C-BE32-E72D297353CC}">
                <c16:uniqueId val="{00000020-DF82-4477-A89A-B1613F97A1CE}"/>
              </c:ext>
            </c:extLst>
          </c:dPt>
          <c:dPt>
            <c:idx val="32"/>
            <c:bubble3D val="0"/>
            <c:extLst>
              <c:ext xmlns:c16="http://schemas.microsoft.com/office/drawing/2014/chart" uri="{C3380CC4-5D6E-409C-BE32-E72D297353CC}">
                <c16:uniqueId val="{00000021-DF82-4477-A89A-B1613F97A1CE}"/>
              </c:ext>
            </c:extLst>
          </c:dPt>
          <c:dPt>
            <c:idx val="33"/>
            <c:bubble3D val="0"/>
            <c:extLst>
              <c:ext xmlns:c16="http://schemas.microsoft.com/office/drawing/2014/chart" uri="{C3380CC4-5D6E-409C-BE32-E72D297353CC}">
                <c16:uniqueId val="{00000022-DF82-4477-A89A-B1613F97A1CE}"/>
              </c:ext>
            </c:extLst>
          </c:dPt>
          <c:dPt>
            <c:idx val="34"/>
            <c:bubble3D val="0"/>
            <c:extLst>
              <c:ext xmlns:c16="http://schemas.microsoft.com/office/drawing/2014/chart" uri="{C3380CC4-5D6E-409C-BE32-E72D297353CC}">
                <c16:uniqueId val="{00000023-DF82-4477-A89A-B1613F97A1CE}"/>
              </c:ext>
            </c:extLst>
          </c:dPt>
          <c:dPt>
            <c:idx val="35"/>
            <c:bubble3D val="0"/>
            <c:extLst>
              <c:ext xmlns:c16="http://schemas.microsoft.com/office/drawing/2014/chart" uri="{C3380CC4-5D6E-409C-BE32-E72D297353CC}">
                <c16:uniqueId val="{00000024-DF82-4477-A89A-B1613F97A1CE}"/>
              </c:ext>
            </c:extLst>
          </c:dPt>
          <c:cat>
            <c:numRef>
              <c:f>Sheet1!$B$1:$AL$1</c:f>
              <c:numCache>
                <c:formatCode>General</c:formatCode>
                <c:ptCount val="36"/>
                <c:pt idx="0">
                  <c:v>2005</c:v>
                </c:pt>
                <c:pt idx="5">
                  <c:v>2010</c:v>
                </c:pt>
                <c:pt idx="10">
                  <c:v>2015</c:v>
                </c:pt>
                <c:pt idx="15">
                  <c:v>2020</c:v>
                </c:pt>
                <c:pt idx="20">
                  <c:v>2025</c:v>
                </c:pt>
                <c:pt idx="25">
                  <c:v>2030</c:v>
                </c:pt>
                <c:pt idx="30">
                  <c:v>2035</c:v>
                </c:pt>
                <c:pt idx="35">
                  <c:v>2040</c:v>
                </c:pt>
              </c:numCache>
            </c:numRef>
          </c:cat>
          <c:val>
            <c:numRef>
              <c:f>Sheet1!$B$3:$AL$3</c:f>
              <c:numCache>
                <c:formatCode>General</c:formatCode>
                <c:ptCount val="36"/>
                <c:pt idx="18" formatCode="0">
                  <c:v>149.80941847326685</c:v>
                </c:pt>
                <c:pt idx="19" formatCode="0">
                  <c:v>152.50537950067849</c:v>
                </c:pt>
                <c:pt idx="20" formatCode="0">
                  <c:v>157.69080886025989</c:v>
                </c:pt>
                <c:pt idx="21" formatCode="0">
                  <c:v>163.36760738228773</c:v>
                </c:pt>
                <c:pt idx="22" formatCode="0">
                  <c:v>171.20924063629536</c:v>
                </c:pt>
                <c:pt idx="23" formatCode="0">
                  <c:v>179.76997104265789</c:v>
                </c:pt>
                <c:pt idx="24" formatCode="0">
                  <c:v>188.75907114446522</c:v>
                </c:pt>
                <c:pt idx="25" formatCode="0">
                  <c:v>198.19714784856546</c:v>
                </c:pt>
                <c:pt idx="26" formatCode="0">
                  <c:v>207.11601950175086</c:v>
                </c:pt>
                <c:pt idx="27" formatCode="0">
                  <c:v>215.8148923208245</c:v>
                </c:pt>
                <c:pt idx="28" formatCode="0">
                  <c:v>224.87911779829918</c:v>
                </c:pt>
                <c:pt idx="29" formatCode="0">
                  <c:v>233.87428251023121</c:v>
                </c:pt>
                <c:pt idx="30" formatCode="0">
                  <c:v>242.76150524561996</c:v>
                </c:pt>
                <c:pt idx="31" formatCode="0">
                  <c:v>251.61420813691024</c:v>
                </c:pt>
                <c:pt idx="32" formatCode="0">
                  <c:v>260.40393114115955</c:v>
                </c:pt>
                <c:pt idx="33" formatCode="0">
                  <c:v>269.10142244127422</c:v>
                </c:pt>
                <c:pt idx="34" formatCode="0">
                  <c:v>277.67678776973617</c:v>
                </c:pt>
                <c:pt idx="35" formatCode="0">
                  <c:v>286.09965033208482</c:v>
                </c:pt>
              </c:numCache>
            </c:numRef>
          </c:val>
          <c:smooth val="0"/>
          <c:extLst>
            <c:ext xmlns:c16="http://schemas.microsoft.com/office/drawing/2014/chart" uri="{C3380CC4-5D6E-409C-BE32-E72D297353CC}">
              <c16:uniqueId val="{00000025-DF82-4477-A89A-B1613F97A1CE}"/>
            </c:ext>
          </c:extLst>
        </c:ser>
        <c:ser>
          <c:idx val="0"/>
          <c:order val="0"/>
          <c:tx>
            <c:strRef>
              <c:f>Sheet1!$A$2</c:f>
              <c:strCache>
                <c:ptCount val="1"/>
                <c:pt idx="0">
                  <c:v>Fakts</c:v>
                </c:pt>
              </c:strCache>
            </c:strRef>
          </c:tx>
          <c:spPr>
            <a:ln w="31750">
              <a:solidFill>
                <a:schemeClr val="accent5">
                  <a:lumMod val="75000"/>
                </a:schemeClr>
              </a:solidFill>
            </a:ln>
          </c:spPr>
          <c:marker>
            <c:symbol val="none"/>
          </c:marker>
          <c:cat>
            <c:numRef>
              <c:f>Sheet1!$B$1:$AL$1</c:f>
              <c:numCache>
                <c:formatCode>General</c:formatCode>
                <c:ptCount val="36"/>
                <c:pt idx="0">
                  <c:v>2005</c:v>
                </c:pt>
                <c:pt idx="5">
                  <c:v>2010</c:v>
                </c:pt>
                <c:pt idx="10">
                  <c:v>2015</c:v>
                </c:pt>
                <c:pt idx="15">
                  <c:v>2020</c:v>
                </c:pt>
                <c:pt idx="20">
                  <c:v>2025</c:v>
                </c:pt>
                <c:pt idx="25">
                  <c:v>2030</c:v>
                </c:pt>
                <c:pt idx="30">
                  <c:v>2035</c:v>
                </c:pt>
                <c:pt idx="35">
                  <c:v>2040</c:v>
                </c:pt>
              </c:numCache>
            </c:numRef>
          </c:cat>
          <c:val>
            <c:numRef>
              <c:f>Sheet1!$B$2:$AL$2</c:f>
              <c:numCache>
                <c:formatCode>General</c:formatCode>
                <c:ptCount val="36"/>
                <c:pt idx="0">
                  <c:v>110.72036595656488</c:v>
                </c:pt>
                <c:pt idx="1">
                  <c:v>123.97562624857198</c:v>
                </c:pt>
                <c:pt idx="2">
                  <c:v>136.30118584756104</c:v>
                </c:pt>
                <c:pt idx="3">
                  <c:v>131.87259577241687</c:v>
                </c:pt>
                <c:pt idx="4">
                  <c:v>113.0673789439028</c:v>
                </c:pt>
                <c:pt idx="5">
                  <c:v>108.02959103865966</c:v>
                </c:pt>
                <c:pt idx="6">
                  <c:v>110.80995663242061</c:v>
                </c:pt>
                <c:pt idx="7">
                  <c:v>118.61346765696847</c:v>
                </c:pt>
                <c:pt idx="8">
                  <c:v>120.99518680127662</c:v>
                </c:pt>
                <c:pt idx="9">
                  <c:v>123.29672419332942</c:v>
                </c:pt>
                <c:pt idx="10">
                  <c:v>128.08712777933346</c:v>
                </c:pt>
                <c:pt idx="11">
                  <c:v>131.12101304029892</c:v>
                </c:pt>
                <c:pt idx="12">
                  <c:v>135.46436504413381</c:v>
                </c:pt>
                <c:pt idx="13">
                  <c:v>140.87008617010204</c:v>
                </c:pt>
                <c:pt idx="14">
                  <c:v>141.6977065579311</c:v>
                </c:pt>
                <c:pt idx="15" formatCode="0.000000000000">
                  <c:v>136.71873354741538</c:v>
                </c:pt>
                <c:pt idx="16" formatCode="0.000000000000">
                  <c:v>145.92228197829886</c:v>
                </c:pt>
                <c:pt idx="17" formatCode="0.000000000000">
                  <c:v>150.23388863879507</c:v>
                </c:pt>
                <c:pt idx="18" formatCode="0.000000000000">
                  <c:v>149.80941847326685</c:v>
                </c:pt>
              </c:numCache>
            </c:numRef>
          </c:val>
          <c:smooth val="0"/>
          <c:extLst>
            <c:ext xmlns:c16="http://schemas.microsoft.com/office/drawing/2014/chart" uri="{C3380CC4-5D6E-409C-BE32-E72D297353CC}">
              <c16:uniqueId val="{00000026-DF82-4477-A89A-B1613F97A1CE}"/>
            </c:ext>
          </c:extLst>
        </c:ser>
        <c:dLbls>
          <c:showLegendKey val="0"/>
          <c:showVal val="0"/>
          <c:showCatName val="0"/>
          <c:showSerName val="0"/>
          <c:showPercent val="0"/>
          <c:showBubbleSize val="0"/>
        </c:dLbls>
        <c:marker val="1"/>
        <c:smooth val="0"/>
        <c:axId val="742109496"/>
        <c:axId val="742101656"/>
      </c:lineChart>
      <c:lineChart>
        <c:grouping val="standard"/>
        <c:varyColors val="0"/>
        <c:ser>
          <c:idx val="1"/>
          <c:order val="2"/>
          <c:tx>
            <c:strRef>
              <c:f>Sheet1!$A$4</c:f>
              <c:strCache>
                <c:ptCount val="1"/>
                <c:pt idx="0">
                  <c:v>Trenda scenārijs</c:v>
                </c:pt>
              </c:strCache>
            </c:strRef>
          </c:tx>
          <c:marker>
            <c:symbol val="none"/>
          </c:marker>
          <c:val>
            <c:numRef>
              <c:f>Sheet1!$B$4:$AL$4</c:f>
            </c:numRef>
          </c:val>
          <c:smooth val="0"/>
          <c:extLst>
            <c:ext xmlns:c16="http://schemas.microsoft.com/office/drawing/2014/chart" uri="{C3380CC4-5D6E-409C-BE32-E72D297353CC}">
              <c16:uniqueId val="{00000027-DF82-4477-A89A-B1613F97A1CE}"/>
            </c:ext>
          </c:extLst>
        </c:ser>
        <c:dLbls>
          <c:showLegendKey val="0"/>
          <c:showVal val="0"/>
          <c:showCatName val="0"/>
          <c:showSerName val="0"/>
          <c:showPercent val="0"/>
          <c:showBubbleSize val="0"/>
        </c:dLbls>
        <c:marker val="1"/>
        <c:smooth val="0"/>
        <c:axId val="1343760080"/>
        <c:axId val="1227814208"/>
      </c:lineChart>
      <c:catAx>
        <c:axId val="742109496"/>
        <c:scaling>
          <c:orientation val="minMax"/>
        </c:scaling>
        <c:delete val="0"/>
        <c:axPos val="b"/>
        <c:numFmt formatCode="General" sourceLinked="1"/>
        <c:majorTickMark val="out"/>
        <c:minorTickMark val="none"/>
        <c:tickLblPos val="low"/>
        <c:spPr>
          <a:ln>
            <a:noFill/>
          </a:ln>
        </c:spPr>
        <c:txPr>
          <a:bodyPr rot="0" vert="horz"/>
          <a:lstStyle/>
          <a:p>
            <a:pPr>
              <a:defRPr sz="1000" b="1">
                <a:solidFill>
                  <a:schemeClr val="accent5">
                    <a:lumMod val="75000"/>
                  </a:schemeClr>
                </a:solidFill>
              </a:defRPr>
            </a:pPr>
            <a:endParaRPr lang="lv-LV"/>
          </a:p>
        </c:txPr>
        <c:crossAx val="742101656"/>
        <c:crosses val="autoZero"/>
        <c:auto val="1"/>
        <c:lblAlgn val="ctr"/>
        <c:lblOffset val="100"/>
        <c:noMultiLvlLbl val="0"/>
      </c:catAx>
      <c:valAx>
        <c:axId val="742101656"/>
        <c:scaling>
          <c:orientation val="minMax"/>
          <c:max val="280"/>
          <c:min val="80"/>
        </c:scaling>
        <c:delete val="0"/>
        <c:axPos val="l"/>
        <c:numFmt formatCode="0" sourceLinked="0"/>
        <c:majorTickMark val="out"/>
        <c:minorTickMark val="none"/>
        <c:tickLblPos val="nextTo"/>
        <c:spPr>
          <a:ln w="3175">
            <a:noFill/>
          </a:ln>
        </c:spPr>
        <c:txPr>
          <a:bodyPr rot="0" vert="horz"/>
          <a:lstStyle/>
          <a:p>
            <a:pPr>
              <a:defRPr sz="600">
                <a:solidFill>
                  <a:schemeClr val="bg1">
                    <a:lumMod val="50000"/>
                  </a:schemeClr>
                </a:solidFill>
              </a:defRPr>
            </a:pPr>
            <a:endParaRPr lang="lv-LV"/>
          </a:p>
        </c:txPr>
        <c:crossAx val="742109496"/>
        <c:crosses val="autoZero"/>
        <c:crossBetween val="between"/>
        <c:majorUnit val="40"/>
      </c:valAx>
      <c:valAx>
        <c:axId val="1227814208"/>
        <c:scaling>
          <c:orientation val="minMax"/>
          <c:max val="50"/>
          <c:min val="-1"/>
        </c:scaling>
        <c:delete val="1"/>
        <c:axPos val="r"/>
        <c:numFmt formatCode="0" sourceLinked="1"/>
        <c:majorTickMark val="out"/>
        <c:minorTickMark val="none"/>
        <c:tickLblPos val="nextTo"/>
        <c:crossAx val="1343760080"/>
        <c:crosses val="max"/>
        <c:crossBetween val="between"/>
      </c:valAx>
      <c:catAx>
        <c:axId val="1343760080"/>
        <c:scaling>
          <c:orientation val="minMax"/>
        </c:scaling>
        <c:delete val="1"/>
        <c:axPos val="b"/>
        <c:majorTickMark val="out"/>
        <c:minorTickMark val="none"/>
        <c:tickLblPos val="nextTo"/>
        <c:crossAx val="1227814208"/>
        <c:crosses val="autoZero"/>
        <c:auto val="1"/>
        <c:lblAlgn val="ctr"/>
        <c:lblOffset val="100"/>
        <c:noMultiLvlLbl val="0"/>
      </c:catAx>
      <c:spPr>
        <a:solidFill>
          <a:schemeClr val="bg1"/>
        </a:solidFill>
        <a:ln w="25398">
          <a:noFill/>
        </a:ln>
      </c:spPr>
    </c:plotArea>
    <c:plotVisOnly val="1"/>
    <c:dispBlanksAs val="gap"/>
    <c:showDLblsOverMax val="0"/>
  </c:chart>
  <c:spPr>
    <a:noFill/>
    <a:ln w="6350">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1">
    <c:autoUpdate val="0"/>
  </c:externalData>
  <c:userShapes r:id="rId2"/>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618326193710171E-2"/>
          <c:y val="2.1372768895361129E-2"/>
          <c:w val="0.92596150924856147"/>
          <c:h val="0.87967114915486722"/>
        </c:manualLayout>
      </c:layout>
      <c:areaChart>
        <c:grouping val="stacked"/>
        <c:varyColors val="0"/>
        <c:ser>
          <c:idx val="0"/>
          <c:order val="0"/>
          <c:tx>
            <c:strRef>
              <c:f>Sheet1!$A$2</c:f>
              <c:strCache>
                <c:ptCount val="1"/>
                <c:pt idx="0">
                  <c:v>0-14</c:v>
                </c:pt>
              </c:strCache>
            </c:strRef>
          </c:tx>
          <c:spPr>
            <a:solidFill>
              <a:srgbClr val="0192FF"/>
            </a:solidFill>
            <a:ln>
              <a:noFill/>
            </a:ln>
            <a:effectLst/>
          </c:spPr>
          <c:dLbls>
            <c:dLbl>
              <c:idx val="0"/>
              <c:layout>
                <c:manualLayout>
                  <c:x val="2.2050716648291075E-2"/>
                  <c:y val="-1.7062002370915579E-16"/>
                </c:manualLayout>
              </c:layout>
              <c:tx>
                <c:rich>
                  <a:bodyPr/>
                  <a:lstStyle/>
                  <a:p>
                    <a:fld id="{A7E34F36-141A-4277-BF46-852BDB9CE19A}"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AAA3-424C-B886-DE34CA7A77A0}"/>
                </c:ext>
              </c:extLst>
            </c:dLbl>
            <c:dLbl>
              <c:idx val="1"/>
              <c:tx>
                <c:rich>
                  <a:bodyPr/>
                  <a:lstStyle/>
                  <a:p>
                    <a:fld id="{2C5242FA-49C8-449C-B0E7-5681DEE08EED}"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AA3-424C-B886-DE34CA7A77A0}"/>
                </c:ext>
              </c:extLst>
            </c:dLbl>
            <c:dLbl>
              <c:idx val="2"/>
              <c:tx>
                <c:rich>
                  <a:bodyPr/>
                  <a:lstStyle/>
                  <a:p>
                    <a:fld id="{9599E901-3A2F-4BC1-B21E-F68B08094EB9}"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AAA3-424C-B886-DE34CA7A77A0}"/>
                </c:ext>
              </c:extLst>
            </c:dLbl>
            <c:dLbl>
              <c:idx val="3"/>
              <c:tx>
                <c:rich>
                  <a:bodyPr/>
                  <a:lstStyle/>
                  <a:p>
                    <a:fld id="{8A3DE72F-C17F-4CBB-AD6F-6B70777D4A14}"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AA3-424C-B886-DE34CA7A77A0}"/>
                </c:ext>
              </c:extLst>
            </c:dLbl>
            <c:dLbl>
              <c:idx val="4"/>
              <c:tx>
                <c:rich>
                  <a:bodyPr/>
                  <a:lstStyle/>
                  <a:p>
                    <a:fld id="{DE66663B-89EC-49F7-BEC2-529330A643C3}"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AAA3-424C-B886-DE34CA7A77A0}"/>
                </c:ext>
              </c:extLst>
            </c:dLbl>
            <c:dLbl>
              <c:idx val="5"/>
              <c:tx>
                <c:rich>
                  <a:bodyPr/>
                  <a:lstStyle/>
                  <a:p>
                    <a:fld id="{FA03AD32-ACC4-44D5-97F5-DC98521BA798}"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AAA3-424C-B886-DE34CA7A77A0}"/>
                </c:ext>
              </c:extLst>
            </c:dLbl>
            <c:dLbl>
              <c:idx val="6"/>
              <c:tx>
                <c:rich>
                  <a:bodyPr/>
                  <a:lstStyle/>
                  <a:p>
                    <a:fld id="{A23E7B06-8EDC-42B1-92C6-86E232864FB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AAA3-424C-B886-DE34CA7A77A0}"/>
                </c:ext>
              </c:extLst>
            </c:dLbl>
            <c:dLbl>
              <c:idx val="7"/>
              <c:tx>
                <c:rich>
                  <a:bodyPr/>
                  <a:lstStyle/>
                  <a:p>
                    <a:fld id="{DE1566B2-F798-497E-BEB0-490711C6391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AAA3-424C-B886-DE34CA7A77A0}"/>
                </c:ext>
              </c:extLst>
            </c:dLbl>
            <c:dLbl>
              <c:idx val="8"/>
              <c:tx>
                <c:rich>
                  <a:bodyPr/>
                  <a:lstStyle/>
                  <a:p>
                    <a:fld id="{056A053C-F33D-4350-BBFC-34739D4211F8}"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AAA3-424C-B886-DE34CA7A77A0}"/>
                </c:ext>
              </c:extLst>
            </c:dLbl>
            <c:dLbl>
              <c:idx val="9"/>
              <c:tx>
                <c:rich>
                  <a:bodyPr/>
                  <a:lstStyle/>
                  <a:p>
                    <a:fld id="{5368E80E-848B-431C-9BB4-A349C54BEC5F}"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AAA3-424C-B886-DE34CA7A77A0}"/>
                </c:ext>
              </c:extLst>
            </c:dLbl>
            <c:dLbl>
              <c:idx val="10"/>
              <c:tx>
                <c:rich>
                  <a:bodyPr/>
                  <a:lstStyle/>
                  <a:p>
                    <a:fld id="{67604B7F-949B-43B0-8506-9CAF140F7F87}"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AAA3-424C-B886-DE34CA7A77A0}"/>
                </c:ext>
              </c:extLst>
            </c:dLbl>
            <c:dLbl>
              <c:idx val="11"/>
              <c:tx>
                <c:rich>
                  <a:bodyPr/>
                  <a:lstStyle/>
                  <a:p>
                    <a:fld id="{82205560-132E-4683-B939-FC0E5131BED4}"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AAA3-424C-B886-DE34CA7A77A0}"/>
                </c:ext>
              </c:extLst>
            </c:dLbl>
            <c:dLbl>
              <c:idx val="12"/>
              <c:tx>
                <c:rich>
                  <a:bodyPr/>
                  <a:lstStyle/>
                  <a:p>
                    <a:fld id="{EC39CED8-C572-4069-87E7-95B90EA8C6DB}"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AAA3-424C-B886-DE34CA7A77A0}"/>
                </c:ext>
              </c:extLst>
            </c:dLbl>
            <c:dLbl>
              <c:idx val="13"/>
              <c:tx>
                <c:rich>
                  <a:bodyPr/>
                  <a:lstStyle/>
                  <a:p>
                    <a:fld id="{D1D6E4F5-53C8-47D1-B4D3-1AC6E6E227F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AAA3-424C-B886-DE34CA7A77A0}"/>
                </c:ext>
              </c:extLst>
            </c:dLbl>
            <c:dLbl>
              <c:idx val="14"/>
              <c:tx>
                <c:rich>
                  <a:bodyPr/>
                  <a:lstStyle/>
                  <a:p>
                    <a:fld id="{9D41D602-6211-409A-BD62-965D75665D16}"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AAA3-424C-B886-DE34CA7A77A0}"/>
                </c:ext>
              </c:extLst>
            </c:dLbl>
            <c:dLbl>
              <c:idx val="15"/>
              <c:tx>
                <c:rich>
                  <a:bodyPr/>
                  <a:lstStyle/>
                  <a:p>
                    <a:fld id="{0F3FB50E-BCE4-4D09-B27A-7579719DD4C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AAA3-424C-B886-DE34CA7A77A0}"/>
                </c:ext>
              </c:extLst>
            </c:dLbl>
            <c:dLbl>
              <c:idx val="16"/>
              <c:tx>
                <c:rich>
                  <a:bodyPr/>
                  <a:lstStyle/>
                  <a:p>
                    <a:fld id="{F60B1071-C822-4549-A29F-968A6B7A6D34}"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AAA3-424C-B886-DE34CA7A77A0}"/>
                </c:ext>
              </c:extLst>
            </c:dLbl>
            <c:dLbl>
              <c:idx val="17"/>
              <c:tx>
                <c:rich>
                  <a:bodyPr/>
                  <a:lstStyle/>
                  <a:p>
                    <a:fld id="{6215DADF-9F0F-4601-9D37-644F93A44A1D}"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AAA3-424C-B886-DE34CA7A77A0}"/>
                </c:ext>
              </c:extLst>
            </c:dLbl>
            <c:dLbl>
              <c:idx val="18"/>
              <c:tx>
                <c:rich>
                  <a:bodyPr/>
                  <a:lstStyle/>
                  <a:p>
                    <a:fld id="{DE1E61E8-0940-4793-995C-CC3F9C79C5C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AAA3-424C-B886-DE34CA7A77A0}"/>
                </c:ext>
              </c:extLst>
            </c:dLbl>
            <c:dLbl>
              <c:idx val="19"/>
              <c:layout>
                <c:manualLayout>
                  <c:x val="-1.9845644983462044E-2"/>
                  <c:y val="0"/>
                </c:manualLayout>
              </c:layout>
              <c:tx>
                <c:rich>
                  <a:bodyPr/>
                  <a:lstStyle/>
                  <a:p>
                    <a:fld id="{55C2649F-25B7-4E26-BB19-0ADB0806D78B}"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AAA3-424C-B886-DE34CA7A77A0}"/>
                </c:ext>
              </c:extLst>
            </c:dLbl>
            <c:dLbl>
              <c:idx val="20"/>
              <c:tx>
                <c:rich>
                  <a:bodyPr/>
                  <a:lstStyle/>
                  <a:p>
                    <a:fld id="{C96D59E6-B317-4B55-AAA9-18A6EE49F1D3}"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AAA3-424C-B886-DE34CA7A77A0}"/>
                </c:ext>
              </c:extLst>
            </c:dLbl>
            <c:dLbl>
              <c:idx val="21"/>
              <c:tx>
                <c:rich>
                  <a:bodyPr/>
                  <a:lstStyle/>
                  <a:p>
                    <a:fld id="{77B55881-65BB-47DA-94F5-E1F1871B3D85}"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AAA3-424C-B886-DE34CA7A77A0}"/>
                </c:ext>
              </c:extLst>
            </c:dLbl>
            <c:dLbl>
              <c:idx val="22"/>
              <c:tx>
                <c:rich>
                  <a:bodyPr/>
                  <a:lstStyle/>
                  <a:p>
                    <a:fld id="{21C501B3-E679-4E64-ABD3-2A58B657FC76}"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AAA3-424C-B886-DE34CA7A77A0}"/>
                </c:ext>
              </c:extLst>
            </c:dLbl>
            <c:dLbl>
              <c:idx val="23"/>
              <c:tx>
                <c:rich>
                  <a:bodyPr/>
                  <a:lstStyle/>
                  <a:p>
                    <a:fld id="{26644829-EA93-4C0B-B07E-9A36FD484318}"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AAA3-424C-B886-DE34CA7A77A0}"/>
                </c:ext>
              </c:extLst>
            </c:dLbl>
            <c:dLbl>
              <c:idx val="24"/>
              <c:tx>
                <c:rich>
                  <a:bodyPr/>
                  <a:lstStyle/>
                  <a:p>
                    <a:fld id="{6AA0E452-916C-405A-817C-54B88207115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AAA3-424C-B886-DE34CA7A77A0}"/>
                </c:ext>
              </c:extLst>
            </c:dLbl>
            <c:dLbl>
              <c:idx val="25"/>
              <c:tx>
                <c:rich>
                  <a:bodyPr/>
                  <a:lstStyle/>
                  <a:p>
                    <a:fld id="{0F25B6A7-F018-49D7-898C-7DDD15764B40}"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AAA3-424C-B886-DE34CA7A77A0}"/>
                </c:ext>
              </c:extLst>
            </c:dLbl>
            <c:dLbl>
              <c:idx val="26"/>
              <c:tx>
                <c:rich>
                  <a:bodyPr/>
                  <a:lstStyle/>
                  <a:p>
                    <a:fld id="{37896A85-6BDB-4767-A758-91F4900D148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AAA3-424C-B886-DE34CA7A77A0}"/>
                </c:ext>
              </c:extLst>
            </c:dLbl>
            <c:dLbl>
              <c:idx val="27"/>
              <c:tx>
                <c:rich>
                  <a:bodyPr/>
                  <a:lstStyle/>
                  <a:p>
                    <a:fld id="{01210861-5D2C-4213-8756-D7AE057D614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AAA3-424C-B886-DE34CA7A77A0}"/>
                </c:ext>
              </c:extLst>
            </c:dLbl>
            <c:dLbl>
              <c:idx val="28"/>
              <c:tx>
                <c:rich>
                  <a:bodyPr/>
                  <a:lstStyle/>
                  <a:p>
                    <a:fld id="{13370DB9-25DC-4F2E-97FA-94E46250B34C}"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AAA3-424C-B886-DE34CA7A77A0}"/>
                </c:ext>
              </c:extLst>
            </c:dLbl>
            <c:dLbl>
              <c:idx val="29"/>
              <c:tx>
                <c:rich>
                  <a:bodyPr/>
                  <a:lstStyle/>
                  <a:p>
                    <a:fld id="{3E8A6451-5C13-403C-B0A7-AC5BCCF1312A}"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AAA3-424C-B886-DE34CA7A77A0}"/>
                </c:ext>
              </c:extLst>
            </c:dLbl>
            <c:dLbl>
              <c:idx val="30"/>
              <c:tx>
                <c:rich>
                  <a:bodyPr/>
                  <a:lstStyle/>
                  <a:p>
                    <a:fld id="{3B37A12B-823A-4015-A9DD-747B351C1950}"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AAA3-424C-B886-DE34CA7A77A0}"/>
                </c:ext>
              </c:extLst>
            </c:dLbl>
            <c:dLbl>
              <c:idx val="31"/>
              <c:tx>
                <c:rich>
                  <a:bodyPr/>
                  <a:lstStyle/>
                  <a:p>
                    <a:fld id="{3890E1D7-B109-40AE-9B1A-C5A0716926DB}"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AAA3-424C-B886-DE34CA7A77A0}"/>
                </c:ext>
              </c:extLst>
            </c:dLbl>
            <c:dLbl>
              <c:idx val="32"/>
              <c:tx>
                <c:rich>
                  <a:bodyPr/>
                  <a:lstStyle/>
                  <a:p>
                    <a:fld id="{61E1F660-D992-47E9-BAE7-4B97420CDA33}"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AAA3-424C-B886-DE34CA7A77A0}"/>
                </c:ext>
              </c:extLst>
            </c:dLbl>
            <c:dLbl>
              <c:idx val="33"/>
              <c:tx>
                <c:rich>
                  <a:bodyPr/>
                  <a:lstStyle/>
                  <a:p>
                    <a:fld id="{C716CA1D-AB0C-4903-987B-7B9FE50BA9CC}"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AAA3-424C-B886-DE34CA7A77A0}"/>
                </c:ext>
              </c:extLst>
            </c:dLbl>
            <c:dLbl>
              <c:idx val="34"/>
              <c:tx>
                <c:rich>
                  <a:bodyPr/>
                  <a:lstStyle/>
                  <a:p>
                    <a:fld id="{94C56366-0BF7-4E47-9100-E97859060E83}"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AAA3-424C-B886-DE34CA7A77A0}"/>
                </c:ext>
              </c:extLst>
            </c:dLbl>
            <c:dLbl>
              <c:idx val="35"/>
              <c:tx>
                <c:rich>
                  <a:bodyPr/>
                  <a:lstStyle/>
                  <a:p>
                    <a:fld id="{F1235AAD-83DF-44A3-A5AE-40835E3DF34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3-AAA3-424C-B886-DE34CA7A77A0}"/>
                </c:ext>
              </c:extLst>
            </c:dLbl>
            <c:dLbl>
              <c:idx val="36"/>
              <c:layout>
                <c:manualLayout>
                  <c:x val="-2.2050716648291068E-2"/>
                  <c:y val="0"/>
                </c:manualLayout>
              </c:layout>
              <c:tx>
                <c:rich>
                  <a:bodyPr/>
                  <a:lstStyle/>
                  <a:p>
                    <a:fld id="{2A7A91C2-C679-4CBB-B2DB-86D4F5F101A3}"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AAA3-424C-B886-DE34CA7A77A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Sheet1!$B$1:$BU$1</c:f>
              <c:strCach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strCache>
            </c:strRef>
          </c:cat>
          <c:val>
            <c:numRef>
              <c:f>Sheet1!$B$2:$BU$2</c:f>
              <c:numCache>
                <c:formatCode>General</c:formatCode>
                <c:ptCount val="37"/>
                <c:pt idx="0">
                  <c:v>0.35264200000000001</c:v>
                </c:pt>
                <c:pt idx="1">
                  <c:v>0.33675699999999997</c:v>
                </c:pt>
                <c:pt idx="2">
                  <c:v>0.32358199999999998</c:v>
                </c:pt>
                <c:pt idx="3">
                  <c:v>0.31381199999999998</c:v>
                </c:pt>
                <c:pt idx="4">
                  <c:v>0.30707400000000001</c:v>
                </c:pt>
                <c:pt idx="5">
                  <c:v>0.30458299999999999</c:v>
                </c:pt>
                <c:pt idx="6">
                  <c:v>0.30029400000000001</c:v>
                </c:pt>
                <c:pt idx="7">
                  <c:v>0.294543</c:v>
                </c:pt>
                <c:pt idx="8">
                  <c:v>0.29216199999999998</c:v>
                </c:pt>
                <c:pt idx="9">
                  <c:v>0.29231600000000002</c:v>
                </c:pt>
                <c:pt idx="10">
                  <c:v>0.29438399999999998</c:v>
                </c:pt>
                <c:pt idx="11">
                  <c:v>0.29771999999999998</c:v>
                </c:pt>
                <c:pt idx="12">
                  <c:v>0.30026000000000003</c:v>
                </c:pt>
                <c:pt idx="13">
                  <c:v>0.303587</c:v>
                </c:pt>
                <c:pt idx="14">
                  <c:v>0.30529099999999998</c:v>
                </c:pt>
                <c:pt idx="15">
                  <c:v>0.30508000000000002</c:v>
                </c:pt>
                <c:pt idx="16">
                  <c:v>0.30518800000000001</c:v>
                </c:pt>
                <c:pt idx="17">
                  <c:v>0.30297800000000003</c:v>
                </c:pt>
                <c:pt idx="18">
                  <c:v>0.29999199999999998</c:v>
                </c:pt>
                <c:pt idx="19">
                  <c:v>0.30047699999999999</c:v>
                </c:pt>
                <c:pt idx="20">
                  <c:v>0.30047699999999999</c:v>
                </c:pt>
                <c:pt idx="21">
                  <c:v>0.29308600000000001</c:v>
                </c:pt>
                <c:pt idx="22">
                  <c:v>0.28698099999999999</c:v>
                </c:pt>
                <c:pt idx="23">
                  <c:v>0.282441</c:v>
                </c:pt>
                <c:pt idx="24">
                  <c:v>0.278223</c:v>
                </c:pt>
                <c:pt idx="25">
                  <c:v>0.27293699999999999</c:v>
                </c:pt>
                <c:pt idx="26">
                  <c:v>0.26706400000000002</c:v>
                </c:pt>
                <c:pt idx="27">
                  <c:v>0.26023000000000002</c:v>
                </c:pt>
                <c:pt idx="28">
                  <c:v>0.253357</c:v>
                </c:pt>
                <c:pt idx="29">
                  <c:v>0.246666</c:v>
                </c:pt>
                <c:pt idx="30">
                  <c:v>0.241063</c:v>
                </c:pt>
                <c:pt idx="31">
                  <c:v>0.23697599999999999</c:v>
                </c:pt>
                <c:pt idx="32">
                  <c:v>0.23358699999999999</c:v>
                </c:pt>
                <c:pt idx="33">
                  <c:v>0.231598</c:v>
                </c:pt>
                <c:pt idx="34">
                  <c:v>0.22977300000000001</c:v>
                </c:pt>
                <c:pt idx="35">
                  <c:v>0.22974</c:v>
                </c:pt>
                <c:pt idx="36">
                  <c:v>0.232291</c:v>
                </c:pt>
              </c:numCache>
            </c:numRef>
          </c:val>
          <c:extLst>
            <c:ext xmlns:c15="http://schemas.microsoft.com/office/drawing/2012/chart" uri="{02D57815-91ED-43cb-92C2-25804820EDAC}">
              <c15:datalabelsRange>
                <c15:f>Sheet1!$P$7:$AZ$7</c15:f>
                <c15:dlblRangeCache>
                  <c:ptCount val="37"/>
                  <c:pt idx="0">
                    <c:v>15%</c:v>
                  </c:pt>
                  <c:pt idx="19">
                    <c:v>16%</c:v>
                  </c:pt>
                  <c:pt idx="26">
                    <c:v>15%</c:v>
                  </c:pt>
                  <c:pt idx="36">
                    <c:v>13%</c:v>
                  </c:pt>
                </c15:dlblRangeCache>
              </c15:datalabelsRange>
            </c:ext>
            <c:ext xmlns:c16="http://schemas.microsoft.com/office/drawing/2014/chart" uri="{C3380CC4-5D6E-409C-BE32-E72D297353CC}">
              <c16:uniqueId val="{00000025-AAA3-424C-B886-DE34CA7A77A0}"/>
            </c:ext>
          </c:extLst>
        </c:ser>
        <c:ser>
          <c:idx val="1"/>
          <c:order val="1"/>
          <c:tx>
            <c:strRef>
              <c:f>Sheet1!$A$3</c:f>
              <c:strCache>
                <c:ptCount val="1"/>
                <c:pt idx="0">
                  <c:v>15-64</c:v>
                </c:pt>
              </c:strCache>
            </c:strRef>
          </c:tx>
          <c:spPr>
            <a:solidFill>
              <a:srgbClr val="F6882E"/>
            </a:solidFill>
            <a:ln>
              <a:noFill/>
            </a:ln>
            <a:effectLst/>
          </c:spPr>
          <c:dLbls>
            <c:dLbl>
              <c:idx val="0"/>
              <c:layout>
                <c:manualLayout>
                  <c:x val="2.2050716648291068E-2"/>
                  <c:y val="0"/>
                </c:manualLayout>
              </c:layout>
              <c:tx>
                <c:rich>
                  <a:bodyPr/>
                  <a:lstStyle/>
                  <a:p>
                    <a:fld id="{ADD829E6-AA9B-4A55-8F05-D8DDF0B28B10}"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AAA3-424C-B886-DE34CA7A77A0}"/>
                </c:ext>
              </c:extLst>
            </c:dLbl>
            <c:dLbl>
              <c:idx val="1"/>
              <c:tx>
                <c:rich>
                  <a:bodyPr/>
                  <a:lstStyle/>
                  <a:p>
                    <a:fld id="{5480EA3E-AD32-4520-88A9-16D1A99A0B8A}"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AAA3-424C-B886-DE34CA7A77A0}"/>
                </c:ext>
              </c:extLst>
            </c:dLbl>
            <c:dLbl>
              <c:idx val="2"/>
              <c:tx>
                <c:rich>
                  <a:bodyPr/>
                  <a:lstStyle/>
                  <a:p>
                    <a:fld id="{6C7B586A-ED33-4B63-A8CC-FA285E376EC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AAA3-424C-B886-DE34CA7A77A0}"/>
                </c:ext>
              </c:extLst>
            </c:dLbl>
            <c:dLbl>
              <c:idx val="3"/>
              <c:tx>
                <c:rich>
                  <a:bodyPr/>
                  <a:lstStyle/>
                  <a:p>
                    <a:fld id="{9C94A576-3A33-4473-B783-347740440EB7}"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9-AAA3-424C-B886-DE34CA7A77A0}"/>
                </c:ext>
              </c:extLst>
            </c:dLbl>
            <c:dLbl>
              <c:idx val="4"/>
              <c:tx>
                <c:rich>
                  <a:bodyPr/>
                  <a:lstStyle/>
                  <a:p>
                    <a:fld id="{93699B68-D25C-4144-8DD8-62FFECDF5ED4}"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AAA3-424C-B886-DE34CA7A77A0}"/>
                </c:ext>
              </c:extLst>
            </c:dLbl>
            <c:dLbl>
              <c:idx val="5"/>
              <c:tx>
                <c:rich>
                  <a:bodyPr/>
                  <a:lstStyle/>
                  <a:p>
                    <a:fld id="{E2D7B8E8-52D9-4223-924F-C1B5FC406E4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AAA3-424C-B886-DE34CA7A77A0}"/>
                </c:ext>
              </c:extLst>
            </c:dLbl>
            <c:dLbl>
              <c:idx val="6"/>
              <c:tx>
                <c:rich>
                  <a:bodyPr/>
                  <a:lstStyle/>
                  <a:p>
                    <a:fld id="{2AC5D347-AED0-45C3-B0AD-EE3C7374F928}"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AAA3-424C-B886-DE34CA7A77A0}"/>
                </c:ext>
              </c:extLst>
            </c:dLbl>
            <c:dLbl>
              <c:idx val="7"/>
              <c:tx>
                <c:rich>
                  <a:bodyPr/>
                  <a:lstStyle/>
                  <a:p>
                    <a:fld id="{33F18918-141E-4A77-B48A-A4830F95E10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AAA3-424C-B886-DE34CA7A77A0}"/>
                </c:ext>
              </c:extLst>
            </c:dLbl>
            <c:dLbl>
              <c:idx val="8"/>
              <c:tx>
                <c:rich>
                  <a:bodyPr/>
                  <a:lstStyle/>
                  <a:p>
                    <a:fld id="{BD0B28B9-C4E7-44E0-A4EA-10D048F597E7}"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E-AAA3-424C-B886-DE34CA7A77A0}"/>
                </c:ext>
              </c:extLst>
            </c:dLbl>
            <c:dLbl>
              <c:idx val="9"/>
              <c:tx>
                <c:rich>
                  <a:bodyPr/>
                  <a:lstStyle/>
                  <a:p>
                    <a:fld id="{19F9F2A3-26DD-427B-AB21-B40BFE289C7B}"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F-AAA3-424C-B886-DE34CA7A77A0}"/>
                </c:ext>
              </c:extLst>
            </c:dLbl>
            <c:dLbl>
              <c:idx val="10"/>
              <c:tx>
                <c:rich>
                  <a:bodyPr/>
                  <a:lstStyle/>
                  <a:p>
                    <a:fld id="{F0D00F4D-C92F-4886-9CE6-B9323DD2EF2D}"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0-AAA3-424C-B886-DE34CA7A77A0}"/>
                </c:ext>
              </c:extLst>
            </c:dLbl>
            <c:dLbl>
              <c:idx val="11"/>
              <c:tx>
                <c:rich>
                  <a:bodyPr/>
                  <a:lstStyle/>
                  <a:p>
                    <a:fld id="{D163010C-600B-41AE-BEDD-DFE880A36DC6}"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1-AAA3-424C-B886-DE34CA7A77A0}"/>
                </c:ext>
              </c:extLst>
            </c:dLbl>
            <c:dLbl>
              <c:idx val="12"/>
              <c:tx>
                <c:rich>
                  <a:bodyPr/>
                  <a:lstStyle/>
                  <a:p>
                    <a:fld id="{E5B1CDE2-64FC-4B01-8016-8C73C29E92B0}"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2-AAA3-424C-B886-DE34CA7A77A0}"/>
                </c:ext>
              </c:extLst>
            </c:dLbl>
            <c:dLbl>
              <c:idx val="13"/>
              <c:tx>
                <c:rich>
                  <a:bodyPr/>
                  <a:lstStyle/>
                  <a:p>
                    <a:fld id="{9ED3ECB3-EDC4-4199-B762-296BFEB64243}"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3-AAA3-424C-B886-DE34CA7A77A0}"/>
                </c:ext>
              </c:extLst>
            </c:dLbl>
            <c:dLbl>
              <c:idx val="14"/>
              <c:tx>
                <c:rich>
                  <a:bodyPr/>
                  <a:lstStyle/>
                  <a:p>
                    <a:fld id="{3547F51B-5439-4921-92C0-4189F4338563}"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4-AAA3-424C-B886-DE34CA7A77A0}"/>
                </c:ext>
              </c:extLst>
            </c:dLbl>
            <c:dLbl>
              <c:idx val="15"/>
              <c:tx>
                <c:rich>
                  <a:bodyPr/>
                  <a:lstStyle/>
                  <a:p>
                    <a:fld id="{435BD9BB-C3A0-44F8-8DFD-631E3365C89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5-AAA3-424C-B886-DE34CA7A77A0}"/>
                </c:ext>
              </c:extLst>
            </c:dLbl>
            <c:dLbl>
              <c:idx val="16"/>
              <c:tx>
                <c:rich>
                  <a:bodyPr/>
                  <a:lstStyle/>
                  <a:p>
                    <a:fld id="{DCC6052B-6CC5-4C65-BB93-63C278D14798}"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6-AAA3-424C-B886-DE34CA7A77A0}"/>
                </c:ext>
              </c:extLst>
            </c:dLbl>
            <c:dLbl>
              <c:idx val="17"/>
              <c:tx>
                <c:rich>
                  <a:bodyPr/>
                  <a:lstStyle/>
                  <a:p>
                    <a:fld id="{FCCAFEF9-0EB7-41A2-8577-E6C07058452E}"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7-AAA3-424C-B886-DE34CA7A77A0}"/>
                </c:ext>
              </c:extLst>
            </c:dLbl>
            <c:dLbl>
              <c:idx val="18"/>
              <c:tx>
                <c:rich>
                  <a:bodyPr/>
                  <a:lstStyle/>
                  <a:p>
                    <a:fld id="{519D598A-A594-4DA0-9ED1-C00054F1F2DD}"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8-AAA3-424C-B886-DE34CA7A77A0}"/>
                </c:ext>
              </c:extLst>
            </c:dLbl>
            <c:dLbl>
              <c:idx val="19"/>
              <c:layout>
                <c:manualLayout>
                  <c:x val="-1.1025358324145616E-2"/>
                  <c:y val="0"/>
                </c:manualLayout>
              </c:layout>
              <c:tx>
                <c:rich>
                  <a:bodyPr/>
                  <a:lstStyle/>
                  <a:p>
                    <a:fld id="{321B431B-613C-4DA6-8971-8C5D2193D987}"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9-AAA3-424C-B886-DE34CA7A77A0}"/>
                </c:ext>
              </c:extLst>
            </c:dLbl>
            <c:dLbl>
              <c:idx val="20"/>
              <c:tx>
                <c:rich>
                  <a:bodyPr/>
                  <a:lstStyle/>
                  <a:p>
                    <a:fld id="{34762C7A-26FA-405E-BE72-B7C6F4F1F89C}"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A-AAA3-424C-B886-DE34CA7A77A0}"/>
                </c:ext>
              </c:extLst>
            </c:dLbl>
            <c:dLbl>
              <c:idx val="21"/>
              <c:tx>
                <c:rich>
                  <a:bodyPr/>
                  <a:lstStyle/>
                  <a:p>
                    <a:fld id="{37B8A7E5-7BE1-4281-9748-E4C8CDEB7284}"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B-AAA3-424C-B886-DE34CA7A77A0}"/>
                </c:ext>
              </c:extLst>
            </c:dLbl>
            <c:dLbl>
              <c:idx val="22"/>
              <c:tx>
                <c:rich>
                  <a:bodyPr/>
                  <a:lstStyle/>
                  <a:p>
                    <a:fld id="{F4617906-EAA8-44A3-BE86-CEE3F7F3D4CE}"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C-AAA3-424C-B886-DE34CA7A77A0}"/>
                </c:ext>
              </c:extLst>
            </c:dLbl>
            <c:dLbl>
              <c:idx val="23"/>
              <c:tx>
                <c:rich>
                  <a:bodyPr/>
                  <a:lstStyle/>
                  <a:p>
                    <a:fld id="{050867AA-5E34-4047-B4F6-93E0332E7FCB}"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D-AAA3-424C-B886-DE34CA7A77A0}"/>
                </c:ext>
              </c:extLst>
            </c:dLbl>
            <c:dLbl>
              <c:idx val="24"/>
              <c:tx>
                <c:rich>
                  <a:bodyPr/>
                  <a:lstStyle/>
                  <a:p>
                    <a:fld id="{AEFB1EE5-61AE-435C-A22D-36327DC6ACB6}"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E-AAA3-424C-B886-DE34CA7A77A0}"/>
                </c:ext>
              </c:extLst>
            </c:dLbl>
            <c:dLbl>
              <c:idx val="25"/>
              <c:tx>
                <c:rich>
                  <a:bodyPr/>
                  <a:lstStyle/>
                  <a:p>
                    <a:fld id="{C611E372-2FF6-469B-A249-45852DFFC9C8}"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F-AAA3-424C-B886-DE34CA7A77A0}"/>
                </c:ext>
              </c:extLst>
            </c:dLbl>
            <c:dLbl>
              <c:idx val="26"/>
              <c:tx>
                <c:rich>
                  <a:bodyPr/>
                  <a:lstStyle/>
                  <a:p>
                    <a:fld id="{4A506B58-EA5B-4710-AEE4-08219B776D3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0-AAA3-424C-B886-DE34CA7A77A0}"/>
                </c:ext>
              </c:extLst>
            </c:dLbl>
            <c:dLbl>
              <c:idx val="27"/>
              <c:tx>
                <c:rich>
                  <a:bodyPr/>
                  <a:lstStyle/>
                  <a:p>
                    <a:fld id="{EA7E5F8D-8DA8-437B-AA57-17BE0896122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1-AAA3-424C-B886-DE34CA7A77A0}"/>
                </c:ext>
              </c:extLst>
            </c:dLbl>
            <c:dLbl>
              <c:idx val="28"/>
              <c:tx>
                <c:rich>
                  <a:bodyPr/>
                  <a:lstStyle/>
                  <a:p>
                    <a:fld id="{C150EB30-C43F-49E4-8FE6-8C488D7504A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2-AAA3-424C-B886-DE34CA7A77A0}"/>
                </c:ext>
              </c:extLst>
            </c:dLbl>
            <c:dLbl>
              <c:idx val="29"/>
              <c:tx>
                <c:rich>
                  <a:bodyPr/>
                  <a:lstStyle/>
                  <a:p>
                    <a:fld id="{99C80D3E-5CDF-4F99-B2B0-29A9C955F8A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3-AAA3-424C-B886-DE34CA7A77A0}"/>
                </c:ext>
              </c:extLst>
            </c:dLbl>
            <c:dLbl>
              <c:idx val="30"/>
              <c:tx>
                <c:rich>
                  <a:bodyPr/>
                  <a:lstStyle/>
                  <a:p>
                    <a:fld id="{9D0FB977-4F81-4473-BD54-6C28D08BFFDC}"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4-AAA3-424C-B886-DE34CA7A77A0}"/>
                </c:ext>
              </c:extLst>
            </c:dLbl>
            <c:dLbl>
              <c:idx val="31"/>
              <c:tx>
                <c:rich>
                  <a:bodyPr/>
                  <a:lstStyle/>
                  <a:p>
                    <a:fld id="{F7F01A00-4E8C-47C5-A647-7EEC4997F02A}"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5-AAA3-424C-B886-DE34CA7A77A0}"/>
                </c:ext>
              </c:extLst>
            </c:dLbl>
            <c:dLbl>
              <c:idx val="32"/>
              <c:tx>
                <c:rich>
                  <a:bodyPr/>
                  <a:lstStyle/>
                  <a:p>
                    <a:fld id="{CBCB1A86-20F4-4338-9811-1E4AC130BBA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6-AAA3-424C-B886-DE34CA7A77A0}"/>
                </c:ext>
              </c:extLst>
            </c:dLbl>
            <c:dLbl>
              <c:idx val="33"/>
              <c:tx>
                <c:rich>
                  <a:bodyPr/>
                  <a:lstStyle/>
                  <a:p>
                    <a:fld id="{F9544B16-6831-483F-B048-DCB9E540D4C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7-AAA3-424C-B886-DE34CA7A77A0}"/>
                </c:ext>
              </c:extLst>
            </c:dLbl>
            <c:dLbl>
              <c:idx val="34"/>
              <c:tx>
                <c:rich>
                  <a:bodyPr/>
                  <a:lstStyle/>
                  <a:p>
                    <a:fld id="{981345FF-2448-433C-A12D-699431BCC18F}"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8-AAA3-424C-B886-DE34CA7A77A0}"/>
                </c:ext>
              </c:extLst>
            </c:dLbl>
            <c:dLbl>
              <c:idx val="35"/>
              <c:tx>
                <c:rich>
                  <a:bodyPr/>
                  <a:lstStyle/>
                  <a:p>
                    <a:fld id="{36376E8C-78D2-4CB1-92F0-6416713E8B79}"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9-AAA3-424C-B886-DE34CA7A77A0}"/>
                </c:ext>
              </c:extLst>
            </c:dLbl>
            <c:dLbl>
              <c:idx val="36"/>
              <c:layout>
                <c:manualLayout>
                  <c:x val="-1.9845644983462123E-2"/>
                  <c:y val="-8.5310011854577893E-17"/>
                </c:manualLayout>
              </c:layout>
              <c:tx>
                <c:rich>
                  <a:bodyPr/>
                  <a:lstStyle/>
                  <a:p>
                    <a:fld id="{5FACC50C-3C84-48FE-B444-16FB8492AFC4}"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A-AAA3-424C-B886-DE34CA7A77A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Sheet1!$B$1:$BU$1</c:f>
              <c:strCach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strCache>
            </c:strRef>
          </c:cat>
          <c:val>
            <c:numRef>
              <c:f>Sheet1!$B$3:$BU$3</c:f>
              <c:numCache>
                <c:formatCode>General</c:formatCode>
                <c:ptCount val="37"/>
                <c:pt idx="0">
                  <c:v>1.554128</c:v>
                </c:pt>
                <c:pt idx="1">
                  <c:v>1.5386280000000001</c:v>
                </c:pt>
                <c:pt idx="2">
                  <c:v>1.525552</c:v>
                </c:pt>
                <c:pt idx="3">
                  <c:v>1.51081</c:v>
                </c:pt>
                <c:pt idx="4">
                  <c:v>1.499061</c:v>
                </c:pt>
                <c:pt idx="5">
                  <c:v>1.47278</c:v>
                </c:pt>
                <c:pt idx="6">
                  <c:v>1.4360329999999999</c:v>
                </c:pt>
                <c:pt idx="7">
                  <c:v>1.398922</c:v>
                </c:pt>
                <c:pt idx="8">
                  <c:v>1.373105</c:v>
                </c:pt>
                <c:pt idx="9">
                  <c:v>1.3517250000000001</c:v>
                </c:pt>
                <c:pt idx="10">
                  <c:v>1.325469</c:v>
                </c:pt>
                <c:pt idx="11">
                  <c:v>1.3032999999999999</c:v>
                </c:pt>
                <c:pt idx="12">
                  <c:v>1.2821119999999999</c:v>
                </c:pt>
                <c:pt idx="13">
                  <c:v>1.2586200000000001</c:v>
                </c:pt>
                <c:pt idx="14">
                  <c:v>1.2402299999999999</c:v>
                </c:pt>
                <c:pt idx="15">
                  <c:v>1.2259089999999999</c:v>
                </c:pt>
                <c:pt idx="16">
                  <c:v>1.211074</c:v>
                </c:pt>
                <c:pt idx="17">
                  <c:v>1.196547</c:v>
                </c:pt>
                <c:pt idx="18">
                  <c:v>1.184142</c:v>
                </c:pt>
                <c:pt idx="19">
                  <c:v>1.187613</c:v>
                </c:pt>
                <c:pt idx="20">
                  <c:v>1.187613</c:v>
                </c:pt>
                <c:pt idx="21">
                  <c:v>1.1795819999999999</c:v>
                </c:pt>
                <c:pt idx="22">
                  <c:v>1.165387</c:v>
                </c:pt>
                <c:pt idx="23">
                  <c:v>1.1503760000000001</c:v>
                </c:pt>
                <c:pt idx="24">
                  <c:v>1.135942</c:v>
                </c:pt>
                <c:pt idx="25">
                  <c:v>1.125316</c:v>
                </c:pt>
                <c:pt idx="26">
                  <c:v>1.1173329999999999</c:v>
                </c:pt>
                <c:pt idx="27">
                  <c:v>1.1122099999999999</c:v>
                </c:pt>
                <c:pt idx="28">
                  <c:v>1.108981</c:v>
                </c:pt>
                <c:pt idx="29">
                  <c:v>1.10592</c:v>
                </c:pt>
                <c:pt idx="30">
                  <c:v>1.1025830000000001</c:v>
                </c:pt>
                <c:pt idx="31">
                  <c:v>1.0983879999999999</c:v>
                </c:pt>
                <c:pt idx="32">
                  <c:v>1.094187</c:v>
                </c:pt>
                <c:pt idx="33">
                  <c:v>1.088681</c:v>
                </c:pt>
                <c:pt idx="34">
                  <c:v>1.083081</c:v>
                </c:pt>
                <c:pt idx="35">
                  <c:v>1.076673</c:v>
                </c:pt>
                <c:pt idx="36">
                  <c:v>1.0687519999999999</c:v>
                </c:pt>
              </c:numCache>
            </c:numRef>
          </c:val>
          <c:extLst>
            <c:ext xmlns:c15="http://schemas.microsoft.com/office/drawing/2012/chart" uri="{02D57815-91ED-43cb-92C2-25804820EDAC}">
              <c15:datalabelsRange>
                <c15:f>Sheet1!$P$8:$AZ$8</c15:f>
                <c15:dlblRangeCache>
                  <c:ptCount val="37"/>
                  <c:pt idx="0">
                    <c:v>68%</c:v>
                  </c:pt>
                  <c:pt idx="19">
                    <c:v>63%</c:v>
                  </c:pt>
                  <c:pt idx="26">
                    <c:v>62%</c:v>
                  </c:pt>
                  <c:pt idx="36">
                    <c:v>61%</c:v>
                  </c:pt>
                </c15:dlblRangeCache>
              </c15:datalabelsRange>
            </c:ext>
            <c:ext xmlns:c16="http://schemas.microsoft.com/office/drawing/2014/chart" uri="{C3380CC4-5D6E-409C-BE32-E72D297353CC}">
              <c16:uniqueId val="{0000004B-AAA3-424C-B886-DE34CA7A77A0}"/>
            </c:ext>
          </c:extLst>
        </c:ser>
        <c:ser>
          <c:idx val="2"/>
          <c:order val="2"/>
          <c:tx>
            <c:strRef>
              <c:f>Sheet1!$A$4</c:f>
              <c:strCache>
                <c:ptCount val="1"/>
                <c:pt idx="0">
                  <c:v>65+</c:v>
                </c:pt>
              </c:strCache>
            </c:strRef>
          </c:tx>
          <c:spPr>
            <a:solidFill>
              <a:srgbClr val="DBDBDB"/>
            </a:solidFill>
            <a:ln w="25400">
              <a:noFill/>
            </a:ln>
            <a:effectLst/>
          </c:spPr>
          <c:dLbls>
            <c:dLbl>
              <c:idx val="0"/>
              <c:layout>
                <c:manualLayout>
                  <c:x val="2.2050716648291075E-2"/>
                  <c:y val="0"/>
                </c:manualLayout>
              </c:layout>
              <c:tx>
                <c:rich>
                  <a:bodyPr/>
                  <a:lstStyle/>
                  <a:p>
                    <a:fld id="{AD341C0D-B577-4D4D-958F-39099FABB768}"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C-AAA3-424C-B886-DE34CA7A77A0}"/>
                </c:ext>
              </c:extLst>
            </c:dLbl>
            <c:dLbl>
              <c:idx val="1"/>
              <c:tx>
                <c:rich>
                  <a:bodyPr/>
                  <a:lstStyle/>
                  <a:p>
                    <a:fld id="{5B95F6FF-862B-4F4A-BA45-DDCB20A243A7}"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D-AAA3-424C-B886-DE34CA7A77A0}"/>
                </c:ext>
              </c:extLst>
            </c:dLbl>
            <c:dLbl>
              <c:idx val="2"/>
              <c:tx>
                <c:rich>
                  <a:bodyPr/>
                  <a:lstStyle/>
                  <a:p>
                    <a:fld id="{3E4B3752-F8B4-4564-ACD4-8F211043457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E-AAA3-424C-B886-DE34CA7A77A0}"/>
                </c:ext>
              </c:extLst>
            </c:dLbl>
            <c:dLbl>
              <c:idx val="3"/>
              <c:tx>
                <c:rich>
                  <a:bodyPr/>
                  <a:lstStyle/>
                  <a:p>
                    <a:fld id="{529ED47A-C4D3-40A4-9972-ED78EBE02316}"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F-AAA3-424C-B886-DE34CA7A77A0}"/>
                </c:ext>
              </c:extLst>
            </c:dLbl>
            <c:dLbl>
              <c:idx val="4"/>
              <c:tx>
                <c:rich>
                  <a:bodyPr/>
                  <a:lstStyle/>
                  <a:p>
                    <a:fld id="{6AF198E6-F98D-4F8F-9105-E04EFC7B12B5}"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0-AAA3-424C-B886-DE34CA7A77A0}"/>
                </c:ext>
              </c:extLst>
            </c:dLbl>
            <c:dLbl>
              <c:idx val="5"/>
              <c:tx>
                <c:rich>
                  <a:bodyPr/>
                  <a:lstStyle/>
                  <a:p>
                    <a:fld id="{FB719E05-DCB2-40F5-99B9-0D86BC4093D4}"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1-AAA3-424C-B886-DE34CA7A77A0}"/>
                </c:ext>
              </c:extLst>
            </c:dLbl>
            <c:dLbl>
              <c:idx val="6"/>
              <c:tx>
                <c:rich>
                  <a:bodyPr/>
                  <a:lstStyle/>
                  <a:p>
                    <a:fld id="{4D43C33A-CAA1-4AB3-9980-05A0DFDECB4F}"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2-AAA3-424C-B886-DE34CA7A77A0}"/>
                </c:ext>
              </c:extLst>
            </c:dLbl>
            <c:dLbl>
              <c:idx val="7"/>
              <c:tx>
                <c:rich>
                  <a:bodyPr/>
                  <a:lstStyle/>
                  <a:p>
                    <a:fld id="{45445F58-AB1E-47D7-BC0F-488CA50D0FFF}"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3-AAA3-424C-B886-DE34CA7A77A0}"/>
                </c:ext>
              </c:extLst>
            </c:dLbl>
            <c:dLbl>
              <c:idx val="8"/>
              <c:tx>
                <c:rich>
                  <a:bodyPr/>
                  <a:lstStyle/>
                  <a:p>
                    <a:fld id="{39FA067A-8308-46F7-8EFD-C34636E2E9DF}"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4-AAA3-424C-B886-DE34CA7A77A0}"/>
                </c:ext>
              </c:extLst>
            </c:dLbl>
            <c:dLbl>
              <c:idx val="9"/>
              <c:tx>
                <c:rich>
                  <a:bodyPr/>
                  <a:lstStyle/>
                  <a:p>
                    <a:fld id="{44F17E82-39F9-47B6-93B4-C2B687CDA65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5-AAA3-424C-B886-DE34CA7A77A0}"/>
                </c:ext>
              </c:extLst>
            </c:dLbl>
            <c:dLbl>
              <c:idx val="10"/>
              <c:tx>
                <c:rich>
                  <a:bodyPr/>
                  <a:lstStyle/>
                  <a:p>
                    <a:fld id="{7A284475-DE36-4FC3-9772-009B2F369ADB}"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6-AAA3-424C-B886-DE34CA7A77A0}"/>
                </c:ext>
              </c:extLst>
            </c:dLbl>
            <c:dLbl>
              <c:idx val="11"/>
              <c:tx>
                <c:rich>
                  <a:bodyPr/>
                  <a:lstStyle/>
                  <a:p>
                    <a:fld id="{848CAE11-EA08-4EDA-B8BA-780F5366CE5F}"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7-AAA3-424C-B886-DE34CA7A77A0}"/>
                </c:ext>
              </c:extLst>
            </c:dLbl>
            <c:dLbl>
              <c:idx val="12"/>
              <c:tx>
                <c:rich>
                  <a:bodyPr/>
                  <a:lstStyle/>
                  <a:p>
                    <a:fld id="{BE214FF3-0D2A-43F9-A552-5FE0DE9F1909}"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8-AAA3-424C-B886-DE34CA7A77A0}"/>
                </c:ext>
              </c:extLst>
            </c:dLbl>
            <c:dLbl>
              <c:idx val="13"/>
              <c:tx>
                <c:rich>
                  <a:bodyPr/>
                  <a:lstStyle/>
                  <a:p>
                    <a:fld id="{492B9D69-6B39-464A-B753-073D526DAA89}"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9-AAA3-424C-B886-DE34CA7A77A0}"/>
                </c:ext>
              </c:extLst>
            </c:dLbl>
            <c:dLbl>
              <c:idx val="14"/>
              <c:tx>
                <c:rich>
                  <a:bodyPr/>
                  <a:lstStyle/>
                  <a:p>
                    <a:fld id="{30916975-DDB3-4CE2-AC09-E71BBADAA28F}"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A-AAA3-424C-B886-DE34CA7A77A0}"/>
                </c:ext>
              </c:extLst>
            </c:dLbl>
            <c:dLbl>
              <c:idx val="15"/>
              <c:tx>
                <c:rich>
                  <a:bodyPr/>
                  <a:lstStyle/>
                  <a:p>
                    <a:fld id="{223FAC94-91A2-4F03-A41C-F6875F1E7213}"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B-AAA3-424C-B886-DE34CA7A77A0}"/>
                </c:ext>
              </c:extLst>
            </c:dLbl>
            <c:dLbl>
              <c:idx val="16"/>
              <c:tx>
                <c:rich>
                  <a:bodyPr/>
                  <a:lstStyle/>
                  <a:p>
                    <a:fld id="{8F68B0DD-5251-4C9A-B8EC-D515373D0ED7}"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C-AAA3-424C-B886-DE34CA7A77A0}"/>
                </c:ext>
              </c:extLst>
            </c:dLbl>
            <c:dLbl>
              <c:idx val="17"/>
              <c:tx>
                <c:rich>
                  <a:bodyPr/>
                  <a:lstStyle/>
                  <a:p>
                    <a:fld id="{850DB463-DB40-4310-8ABE-D85FFE7DDDA7}"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D-AAA3-424C-B886-DE34CA7A77A0}"/>
                </c:ext>
              </c:extLst>
            </c:dLbl>
            <c:dLbl>
              <c:idx val="18"/>
              <c:tx>
                <c:rich>
                  <a:bodyPr/>
                  <a:lstStyle/>
                  <a:p>
                    <a:fld id="{406EE940-ACBC-427A-8EE3-CBE3960C0CF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E-AAA3-424C-B886-DE34CA7A77A0}"/>
                </c:ext>
              </c:extLst>
            </c:dLbl>
            <c:dLbl>
              <c:idx val="19"/>
              <c:layout>
                <c:manualLayout>
                  <c:x val="-1.1025358324145534E-2"/>
                  <c:y val="4.6533271288971617E-3"/>
                </c:manualLayout>
              </c:layout>
              <c:tx>
                <c:rich>
                  <a:bodyPr/>
                  <a:lstStyle/>
                  <a:p>
                    <a:fld id="{A63382EC-5ABF-4902-AEB7-374E4564A772}"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5F-AAA3-424C-B886-DE34CA7A77A0}"/>
                </c:ext>
              </c:extLst>
            </c:dLbl>
            <c:dLbl>
              <c:idx val="20"/>
              <c:tx>
                <c:rich>
                  <a:bodyPr/>
                  <a:lstStyle/>
                  <a:p>
                    <a:fld id="{2619E0B9-83B3-431B-9B1E-0EB8FC8FFE67}"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0-AAA3-424C-B886-DE34CA7A77A0}"/>
                </c:ext>
              </c:extLst>
            </c:dLbl>
            <c:dLbl>
              <c:idx val="21"/>
              <c:tx>
                <c:rich>
                  <a:bodyPr/>
                  <a:lstStyle/>
                  <a:p>
                    <a:fld id="{8F66E7E7-3FC4-4B83-977F-F4537ADD5E51}"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1-AAA3-424C-B886-DE34CA7A77A0}"/>
                </c:ext>
              </c:extLst>
            </c:dLbl>
            <c:dLbl>
              <c:idx val="22"/>
              <c:tx>
                <c:rich>
                  <a:bodyPr/>
                  <a:lstStyle/>
                  <a:p>
                    <a:fld id="{7DC381D7-E95E-468D-BE15-89D56B45086B}"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2-AAA3-424C-B886-DE34CA7A77A0}"/>
                </c:ext>
              </c:extLst>
            </c:dLbl>
            <c:dLbl>
              <c:idx val="23"/>
              <c:tx>
                <c:rich>
                  <a:bodyPr/>
                  <a:lstStyle/>
                  <a:p>
                    <a:fld id="{3A8E7480-501D-4E1A-9C2D-AA815CFB9B84}"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3-AAA3-424C-B886-DE34CA7A77A0}"/>
                </c:ext>
              </c:extLst>
            </c:dLbl>
            <c:dLbl>
              <c:idx val="24"/>
              <c:tx>
                <c:rich>
                  <a:bodyPr/>
                  <a:lstStyle/>
                  <a:p>
                    <a:fld id="{433D4942-7AD8-4434-B4B8-E633D170A339}"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4-AAA3-424C-B886-DE34CA7A77A0}"/>
                </c:ext>
              </c:extLst>
            </c:dLbl>
            <c:dLbl>
              <c:idx val="25"/>
              <c:tx>
                <c:rich>
                  <a:bodyPr/>
                  <a:lstStyle/>
                  <a:p>
                    <a:fld id="{737472E3-5AEE-4E22-9728-B11116AFEFA9}"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5-AAA3-424C-B886-DE34CA7A77A0}"/>
                </c:ext>
              </c:extLst>
            </c:dLbl>
            <c:dLbl>
              <c:idx val="26"/>
              <c:tx>
                <c:rich>
                  <a:bodyPr/>
                  <a:lstStyle/>
                  <a:p>
                    <a:fld id="{35AFB26F-E598-4E1D-8BD1-8EBB63F802B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6-AAA3-424C-B886-DE34CA7A77A0}"/>
                </c:ext>
              </c:extLst>
            </c:dLbl>
            <c:dLbl>
              <c:idx val="27"/>
              <c:tx>
                <c:rich>
                  <a:bodyPr/>
                  <a:lstStyle/>
                  <a:p>
                    <a:fld id="{116E8CA9-5CC4-4792-A1D6-00A056078E2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7-AAA3-424C-B886-DE34CA7A77A0}"/>
                </c:ext>
              </c:extLst>
            </c:dLbl>
            <c:dLbl>
              <c:idx val="28"/>
              <c:tx>
                <c:rich>
                  <a:bodyPr/>
                  <a:lstStyle/>
                  <a:p>
                    <a:fld id="{439EC705-8515-408F-9FA6-09B6DAE7E5CE}"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8-AAA3-424C-B886-DE34CA7A77A0}"/>
                </c:ext>
              </c:extLst>
            </c:dLbl>
            <c:dLbl>
              <c:idx val="29"/>
              <c:tx>
                <c:rich>
                  <a:bodyPr/>
                  <a:lstStyle/>
                  <a:p>
                    <a:fld id="{F90F3AF1-6993-497E-8C17-1C4986F13078}"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9-AAA3-424C-B886-DE34CA7A77A0}"/>
                </c:ext>
              </c:extLst>
            </c:dLbl>
            <c:dLbl>
              <c:idx val="30"/>
              <c:tx>
                <c:rich>
                  <a:bodyPr/>
                  <a:lstStyle/>
                  <a:p>
                    <a:fld id="{811EB1DD-ED59-464A-88C6-A8CB0A618E58}"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A-AAA3-424C-B886-DE34CA7A77A0}"/>
                </c:ext>
              </c:extLst>
            </c:dLbl>
            <c:dLbl>
              <c:idx val="31"/>
              <c:tx>
                <c:rich>
                  <a:bodyPr/>
                  <a:lstStyle/>
                  <a:p>
                    <a:fld id="{4D9A0D94-5FB3-4B2C-9A87-732D3022C0EE}"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B-AAA3-424C-B886-DE34CA7A77A0}"/>
                </c:ext>
              </c:extLst>
            </c:dLbl>
            <c:dLbl>
              <c:idx val="32"/>
              <c:tx>
                <c:rich>
                  <a:bodyPr/>
                  <a:lstStyle/>
                  <a:p>
                    <a:fld id="{9299C639-7F69-4167-BCC1-2CCEB5E23BE2}"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C-AAA3-424C-B886-DE34CA7A77A0}"/>
                </c:ext>
              </c:extLst>
            </c:dLbl>
            <c:dLbl>
              <c:idx val="33"/>
              <c:tx>
                <c:rich>
                  <a:bodyPr/>
                  <a:lstStyle/>
                  <a:p>
                    <a:fld id="{2A85855D-5900-4EC0-96D3-D37D8837D7EA}"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D-AAA3-424C-B886-DE34CA7A77A0}"/>
                </c:ext>
              </c:extLst>
            </c:dLbl>
            <c:dLbl>
              <c:idx val="34"/>
              <c:tx>
                <c:rich>
                  <a:bodyPr/>
                  <a:lstStyle/>
                  <a:p>
                    <a:fld id="{222D5A9D-B73E-4C7D-B8EB-DADF7AFC270F}"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E-AAA3-424C-B886-DE34CA7A77A0}"/>
                </c:ext>
              </c:extLst>
            </c:dLbl>
            <c:dLbl>
              <c:idx val="35"/>
              <c:tx>
                <c:rich>
                  <a:bodyPr/>
                  <a:lstStyle/>
                  <a:p>
                    <a:fld id="{36FC0C17-A3BA-4FE8-9F25-0EE430C46EB5}" type="CELLRANGE">
                      <a:rPr lang="en-GB"/>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6F-AAA3-424C-B886-DE34CA7A77A0}"/>
                </c:ext>
              </c:extLst>
            </c:dLbl>
            <c:dLbl>
              <c:idx val="36"/>
              <c:layout>
                <c:manualLayout>
                  <c:x val="-2.4255788313120339E-2"/>
                  <c:y val="-4.2655005927288946E-17"/>
                </c:manualLayout>
              </c:layout>
              <c:tx>
                <c:rich>
                  <a:bodyPr/>
                  <a:lstStyle/>
                  <a:p>
                    <a:fld id="{4FB80A48-CF48-4DA6-88C7-65DAE49D3076}"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70-AAA3-424C-B886-DE34CA7A77A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Sheet1!$B$1:$BU$1</c:f>
              <c:strCach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strCache>
            </c:strRef>
          </c:cat>
          <c:val>
            <c:numRef>
              <c:f>Sheet1!$B$4:$BU$4</c:f>
              <c:numCache>
                <c:formatCode>General</c:formatCode>
                <c:ptCount val="37"/>
                <c:pt idx="0">
                  <c:v>0.36975000000000002</c:v>
                </c:pt>
                <c:pt idx="1">
                  <c:v>0.37433899999999998</c:v>
                </c:pt>
                <c:pt idx="2">
                  <c:v>0.37874000000000002</c:v>
                </c:pt>
                <c:pt idx="3">
                  <c:v>0.384218</c:v>
                </c:pt>
                <c:pt idx="4">
                  <c:v>0.38567499999999999</c:v>
                </c:pt>
                <c:pt idx="5">
                  <c:v>0.38547100000000001</c:v>
                </c:pt>
                <c:pt idx="6">
                  <c:v>0.38417699999999999</c:v>
                </c:pt>
                <c:pt idx="7">
                  <c:v>0.38113999999999998</c:v>
                </c:pt>
                <c:pt idx="8">
                  <c:v>0.37954599999999999</c:v>
                </c:pt>
                <c:pt idx="9">
                  <c:v>0.37978400000000001</c:v>
                </c:pt>
                <c:pt idx="10">
                  <c:v>0.38161499999999998</c:v>
                </c:pt>
                <c:pt idx="11">
                  <c:v>0.38507599999999997</c:v>
                </c:pt>
                <c:pt idx="12">
                  <c:v>0.38658500000000001</c:v>
                </c:pt>
                <c:pt idx="13">
                  <c:v>0.387909</c:v>
                </c:pt>
                <c:pt idx="14">
                  <c:v>0.38885799999999998</c:v>
                </c:pt>
                <c:pt idx="15">
                  <c:v>0.38897900000000002</c:v>
                </c:pt>
                <c:pt idx="16">
                  <c:v>0.39141300000000001</c:v>
                </c:pt>
                <c:pt idx="17">
                  <c:v>0.39369799999999999</c:v>
                </c:pt>
                <c:pt idx="18">
                  <c:v>0.391623</c:v>
                </c:pt>
                <c:pt idx="19">
                  <c:v>0.39491799999999999</c:v>
                </c:pt>
                <c:pt idx="20">
                  <c:v>0.39491799999999999</c:v>
                </c:pt>
                <c:pt idx="21">
                  <c:v>0.39920800000000001</c:v>
                </c:pt>
                <c:pt idx="22">
                  <c:v>0.40375100000000003</c:v>
                </c:pt>
                <c:pt idx="23">
                  <c:v>0.40878700000000001</c:v>
                </c:pt>
                <c:pt idx="24">
                  <c:v>0.41394900000000001</c:v>
                </c:pt>
                <c:pt idx="25">
                  <c:v>0.41860900000000001</c:v>
                </c:pt>
                <c:pt idx="26">
                  <c:v>0.42246800000000001</c:v>
                </c:pt>
                <c:pt idx="27">
                  <c:v>0.42578300000000002</c:v>
                </c:pt>
                <c:pt idx="28">
                  <c:v>0.42805300000000002</c:v>
                </c:pt>
                <c:pt idx="29">
                  <c:v>0.43093999999999999</c:v>
                </c:pt>
                <c:pt idx="30">
                  <c:v>0.43392599999999998</c:v>
                </c:pt>
                <c:pt idx="31">
                  <c:v>0.43711299999999997</c:v>
                </c:pt>
                <c:pt idx="32">
                  <c:v>0.44049300000000002</c:v>
                </c:pt>
                <c:pt idx="33">
                  <c:v>0.44457400000000002</c:v>
                </c:pt>
                <c:pt idx="34">
                  <c:v>0.44932700000000003</c:v>
                </c:pt>
                <c:pt idx="35">
                  <c:v>0.45379900000000001</c:v>
                </c:pt>
                <c:pt idx="36">
                  <c:v>0.45780700000000002</c:v>
                </c:pt>
              </c:numCache>
            </c:numRef>
          </c:val>
          <c:extLst>
            <c:ext xmlns:c15="http://schemas.microsoft.com/office/drawing/2012/chart" uri="{02D57815-91ED-43cb-92C2-25804820EDAC}">
              <c15:datalabelsRange>
                <c15:f>Sheet1!$P$9:$AZ$9</c15:f>
                <c15:dlblRangeCache>
                  <c:ptCount val="37"/>
                  <c:pt idx="0">
                    <c:v>16%</c:v>
                  </c:pt>
                  <c:pt idx="19">
                    <c:v>21%</c:v>
                  </c:pt>
                  <c:pt idx="26">
                    <c:v>23%</c:v>
                  </c:pt>
                  <c:pt idx="36">
                    <c:v>26%</c:v>
                  </c:pt>
                </c15:dlblRangeCache>
              </c15:datalabelsRange>
            </c:ext>
            <c:ext xmlns:c16="http://schemas.microsoft.com/office/drawing/2014/chart" uri="{C3380CC4-5D6E-409C-BE32-E72D297353CC}">
              <c16:uniqueId val="{00000071-AAA3-424C-B886-DE34CA7A77A0}"/>
            </c:ext>
          </c:extLst>
        </c:ser>
        <c:dLbls>
          <c:showLegendKey val="0"/>
          <c:showVal val="0"/>
          <c:showCatName val="0"/>
          <c:showSerName val="0"/>
          <c:showPercent val="0"/>
          <c:showBubbleSize val="0"/>
        </c:dLbls>
        <c:axId val="742105968"/>
        <c:axId val="742107144"/>
      </c:areaChart>
      <c:catAx>
        <c:axId val="742105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crossAx val="742107144"/>
        <c:crosses val="autoZero"/>
        <c:auto val="1"/>
        <c:lblAlgn val="ctr"/>
        <c:lblOffset val="100"/>
        <c:tickLblSkip val="2"/>
        <c:tickMarkSkip val="2"/>
        <c:noMultiLvlLbl val="0"/>
      </c:catAx>
      <c:valAx>
        <c:axId val="742107144"/>
        <c:scaling>
          <c:orientation val="minMax"/>
          <c:max val="2.4"/>
          <c:min val="0"/>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crossAx val="742105968"/>
        <c:crosses val="autoZero"/>
        <c:crossBetween val="midCat"/>
        <c:majorUnit val="0.60000000000000009"/>
      </c:valAx>
      <c:spPr>
        <a:noFill/>
        <a:ln>
          <a:noFill/>
        </a:ln>
        <a:effectLst/>
      </c:spPr>
    </c:plotArea>
    <c:legend>
      <c:legendPos val="b"/>
      <c:layout>
        <c:manualLayout>
          <c:xMode val="edge"/>
          <c:yMode val="edge"/>
          <c:x val="0.60557952582277819"/>
          <c:y val="6.9282657198169964E-2"/>
          <c:w val="0.22037382041688008"/>
          <c:h val="0.1174986426900614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legend>
    <c:plotVisOnly val="1"/>
    <c:dispBlanksAs val="zero"/>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ea typeface="Segoe UI Symbol" panose="020B0502040204020203" pitchFamily="34" charset="0"/>
        </a:defRPr>
      </a:pPr>
      <a:endParaRPr lang="lv-LV"/>
    </a:p>
  </c:txPr>
  <c:externalData r:id="rId4">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71237032803596"/>
          <c:y val="4.1032354227984354E-2"/>
          <c:w val="0.79234712826522347"/>
          <c:h val="0.8847855263957497"/>
        </c:manualLayout>
      </c:layout>
      <c:barChart>
        <c:barDir val="bar"/>
        <c:grouping val="stacked"/>
        <c:varyColors val="0"/>
        <c:ser>
          <c:idx val="0"/>
          <c:order val="0"/>
          <c:tx>
            <c:strRef>
              <c:f>Sheet1!$B$2</c:f>
              <c:strCache>
                <c:ptCount val="1"/>
                <c:pt idx="0">
                  <c:v>Vīrieši</c:v>
                </c:pt>
              </c:strCache>
            </c:strRef>
          </c:tx>
          <c:invertIfNegative val="0"/>
          <c:cat>
            <c:strRef>
              <c:f>Sheet1!$A$3:$A$103</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Sheet1!$B$3:$B$103</c:f>
              <c:numCache>
                <c:formatCode>0.0</c:formatCode>
                <c:ptCount val="101"/>
                <c:pt idx="0">
                  <c:v>-8.0679999999999996</c:v>
                </c:pt>
                <c:pt idx="1">
                  <c:v>-9.0839999999999996</c:v>
                </c:pt>
                <c:pt idx="2">
                  <c:v>-9.218</c:v>
                </c:pt>
                <c:pt idx="3">
                  <c:v>-9.8260000000000005</c:v>
                </c:pt>
                <c:pt idx="4">
                  <c:v>-10.291</c:v>
                </c:pt>
                <c:pt idx="5">
                  <c:v>-11.092000000000001</c:v>
                </c:pt>
                <c:pt idx="6">
                  <c:v>-11.68</c:v>
                </c:pt>
                <c:pt idx="7">
                  <c:v>-11.66</c:v>
                </c:pt>
                <c:pt idx="8">
                  <c:v>-11.526999999999999</c:v>
                </c:pt>
                <c:pt idx="9">
                  <c:v>-10.711</c:v>
                </c:pt>
                <c:pt idx="10">
                  <c:v>-10.502000000000001</c:v>
                </c:pt>
                <c:pt idx="11">
                  <c:v>-9.6820000000000004</c:v>
                </c:pt>
                <c:pt idx="12">
                  <c:v>-9.9209999999999994</c:v>
                </c:pt>
                <c:pt idx="13">
                  <c:v>-10.404</c:v>
                </c:pt>
                <c:pt idx="14">
                  <c:v>-11.304</c:v>
                </c:pt>
                <c:pt idx="15">
                  <c:v>-10.856</c:v>
                </c:pt>
                <c:pt idx="16">
                  <c:v>-10.241</c:v>
                </c:pt>
                <c:pt idx="17">
                  <c:v>-10.006</c:v>
                </c:pt>
                <c:pt idx="18">
                  <c:v>-9.4049999999999994</c:v>
                </c:pt>
                <c:pt idx="19">
                  <c:v>-9.5980000000000008</c:v>
                </c:pt>
                <c:pt idx="20">
                  <c:v>-9.0609999999999999</c:v>
                </c:pt>
                <c:pt idx="21">
                  <c:v>-8.74</c:v>
                </c:pt>
                <c:pt idx="22">
                  <c:v>-9.0809999999999995</c:v>
                </c:pt>
                <c:pt idx="23">
                  <c:v>-8.6329999999999991</c:v>
                </c:pt>
                <c:pt idx="24">
                  <c:v>-8.0139999999999993</c:v>
                </c:pt>
                <c:pt idx="25">
                  <c:v>-8.2240000000000002</c:v>
                </c:pt>
                <c:pt idx="26">
                  <c:v>-8.5</c:v>
                </c:pt>
                <c:pt idx="27">
                  <c:v>-9.3019999999999996</c:v>
                </c:pt>
                <c:pt idx="28">
                  <c:v>-9.9039999999999999</c:v>
                </c:pt>
                <c:pt idx="29">
                  <c:v>-10.691000000000001</c:v>
                </c:pt>
                <c:pt idx="30">
                  <c:v>-12.407999999999999</c:v>
                </c:pt>
                <c:pt idx="31">
                  <c:v>-12.891999999999999</c:v>
                </c:pt>
                <c:pt idx="32">
                  <c:v>-13.542</c:v>
                </c:pt>
                <c:pt idx="33">
                  <c:v>-13.94</c:v>
                </c:pt>
                <c:pt idx="34">
                  <c:v>-14.541</c:v>
                </c:pt>
                <c:pt idx="35">
                  <c:v>-14.664</c:v>
                </c:pt>
                <c:pt idx="36">
                  <c:v>-14.587</c:v>
                </c:pt>
                <c:pt idx="37">
                  <c:v>-14.129</c:v>
                </c:pt>
                <c:pt idx="38">
                  <c:v>-14.077</c:v>
                </c:pt>
                <c:pt idx="39">
                  <c:v>-14.343999999999999</c:v>
                </c:pt>
                <c:pt idx="40">
                  <c:v>-13.244</c:v>
                </c:pt>
                <c:pt idx="41">
                  <c:v>-12.808999999999999</c:v>
                </c:pt>
                <c:pt idx="42">
                  <c:v>-12.532</c:v>
                </c:pt>
                <c:pt idx="43">
                  <c:v>-12.114000000000001</c:v>
                </c:pt>
                <c:pt idx="44">
                  <c:v>-11.912000000000001</c:v>
                </c:pt>
                <c:pt idx="45">
                  <c:v>-12.215999999999999</c:v>
                </c:pt>
                <c:pt idx="46">
                  <c:v>-12.484</c:v>
                </c:pt>
                <c:pt idx="47">
                  <c:v>-12.554</c:v>
                </c:pt>
                <c:pt idx="48">
                  <c:v>-12.581</c:v>
                </c:pt>
                <c:pt idx="49">
                  <c:v>-12.531000000000001</c:v>
                </c:pt>
                <c:pt idx="50">
                  <c:v>-12.856999999999999</c:v>
                </c:pt>
                <c:pt idx="51">
                  <c:v>-12.778</c:v>
                </c:pt>
                <c:pt idx="52">
                  <c:v>-12.391</c:v>
                </c:pt>
                <c:pt idx="53">
                  <c:v>-12.042999999999999</c:v>
                </c:pt>
                <c:pt idx="54">
                  <c:v>-12.034000000000001</c:v>
                </c:pt>
                <c:pt idx="55">
                  <c:v>-11.766999999999999</c:v>
                </c:pt>
                <c:pt idx="56">
                  <c:v>-11.593999999999999</c:v>
                </c:pt>
                <c:pt idx="57">
                  <c:v>-11.47</c:v>
                </c:pt>
                <c:pt idx="58">
                  <c:v>-11.76</c:v>
                </c:pt>
                <c:pt idx="59">
                  <c:v>-11.930999999999999</c:v>
                </c:pt>
                <c:pt idx="60">
                  <c:v>-12.185</c:v>
                </c:pt>
                <c:pt idx="61">
                  <c:v>-12.335000000000001</c:v>
                </c:pt>
                <c:pt idx="62">
                  <c:v>-11.971</c:v>
                </c:pt>
                <c:pt idx="63">
                  <c:v>-11.507999999999999</c:v>
                </c:pt>
                <c:pt idx="64">
                  <c:v>-11.555999999999999</c:v>
                </c:pt>
                <c:pt idx="65">
                  <c:v>-10.8</c:v>
                </c:pt>
                <c:pt idx="66">
                  <c:v>-9.8089999999999993</c:v>
                </c:pt>
                <c:pt idx="67">
                  <c:v>-9.5280000000000005</c:v>
                </c:pt>
                <c:pt idx="68">
                  <c:v>-8.8149999999999995</c:v>
                </c:pt>
                <c:pt idx="69">
                  <c:v>-7.9530000000000003</c:v>
                </c:pt>
                <c:pt idx="70">
                  <c:v>-7.7089999999999996</c:v>
                </c:pt>
                <c:pt idx="71">
                  <c:v>-7.3789999999999996</c:v>
                </c:pt>
                <c:pt idx="72">
                  <c:v>-7.016</c:v>
                </c:pt>
                <c:pt idx="73">
                  <c:v>-6.9580000000000002</c:v>
                </c:pt>
                <c:pt idx="74">
                  <c:v>-6.3220000000000001</c:v>
                </c:pt>
                <c:pt idx="75">
                  <c:v>-5.5750000000000002</c:v>
                </c:pt>
                <c:pt idx="76">
                  <c:v>-4.5410000000000004</c:v>
                </c:pt>
                <c:pt idx="77">
                  <c:v>-3.972</c:v>
                </c:pt>
                <c:pt idx="78">
                  <c:v>-3.968</c:v>
                </c:pt>
                <c:pt idx="79">
                  <c:v>-4.0049999999999999</c:v>
                </c:pt>
                <c:pt idx="80">
                  <c:v>-3.8380000000000001</c:v>
                </c:pt>
                <c:pt idx="81">
                  <c:v>-4.0250000000000004</c:v>
                </c:pt>
                <c:pt idx="82">
                  <c:v>-3.5030000000000001</c:v>
                </c:pt>
                <c:pt idx="83">
                  <c:v>-3.3050000000000002</c:v>
                </c:pt>
                <c:pt idx="84">
                  <c:v>-2.8439999999999999</c:v>
                </c:pt>
                <c:pt idx="85">
                  <c:v>-2.4969999999999999</c:v>
                </c:pt>
                <c:pt idx="86">
                  <c:v>-1.9219999999999999</c:v>
                </c:pt>
                <c:pt idx="87">
                  <c:v>-1.5669999999999999</c:v>
                </c:pt>
                <c:pt idx="88">
                  <c:v>-1.0960000000000001</c:v>
                </c:pt>
                <c:pt idx="89">
                  <c:v>-1.0009999999999999</c:v>
                </c:pt>
                <c:pt idx="90">
                  <c:v>-0.77</c:v>
                </c:pt>
                <c:pt idx="91">
                  <c:v>-0.63900000000000001</c:v>
                </c:pt>
                <c:pt idx="92">
                  <c:v>-0.48299999999999998</c:v>
                </c:pt>
                <c:pt idx="93">
                  <c:v>-0.33800000000000002</c:v>
                </c:pt>
                <c:pt idx="94">
                  <c:v>-0.245</c:v>
                </c:pt>
                <c:pt idx="95">
                  <c:v>-0.17299999999999999</c:v>
                </c:pt>
                <c:pt idx="96">
                  <c:v>-8.4000000000000005E-2</c:v>
                </c:pt>
                <c:pt idx="97">
                  <c:v>-4.3999999999999997E-2</c:v>
                </c:pt>
                <c:pt idx="98">
                  <c:v>-0.04</c:v>
                </c:pt>
                <c:pt idx="99">
                  <c:v>-2.4E-2</c:v>
                </c:pt>
                <c:pt idx="100">
                  <c:v>-2.5999999999999999E-2</c:v>
                </c:pt>
              </c:numCache>
            </c:numRef>
          </c:val>
          <c:extLst>
            <c:ext xmlns:c16="http://schemas.microsoft.com/office/drawing/2014/chart" uri="{C3380CC4-5D6E-409C-BE32-E72D297353CC}">
              <c16:uniqueId val="{00000000-423C-47FC-8AC1-5AAE9880D483}"/>
            </c:ext>
          </c:extLst>
        </c:ser>
        <c:ser>
          <c:idx val="1"/>
          <c:order val="1"/>
          <c:tx>
            <c:strRef>
              <c:f>Sheet1!$C$2</c:f>
              <c:strCache>
                <c:ptCount val="1"/>
                <c:pt idx="0">
                  <c:v>Sievietes</c:v>
                </c:pt>
              </c:strCache>
            </c:strRef>
          </c:tx>
          <c:invertIfNegative val="0"/>
          <c:cat>
            <c:strRef>
              <c:f>Sheet1!$A$3:$A$103</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Sheet1!$C$3:$C$103</c:f>
              <c:numCache>
                <c:formatCode>0.0</c:formatCode>
                <c:ptCount val="101"/>
                <c:pt idx="0">
                  <c:v>7.72</c:v>
                </c:pt>
                <c:pt idx="1">
                  <c:v>8.5519999999999996</c:v>
                </c:pt>
                <c:pt idx="2">
                  <c:v>8.6419999999999995</c:v>
                </c:pt>
                <c:pt idx="3">
                  <c:v>9.35</c:v>
                </c:pt>
                <c:pt idx="4">
                  <c:v>9.4939999999999998</c:v>
                </c:pt>
                <c:pt idx="5">
                  <c:v>10.220000000000001</c:v>
                </c:pt>
                <c:pt idx="6">
                  <c:v>10.712999999999999</c:v>
                </c:pt>
                <c:pt idx="7">
                  <c:v>10.797000000000001</c:v>
                </c:pt>
                <c:pt idx="8">
                  <c:v>10.734</c:v>
                </c:pt>
                <c:pt idx="9">
                  <c:v>10.346</c:v>
                </c:pt>
                <c:pt idx="10">
                  <c:v>9.7379999999999995</c:v>
                </c:pt>
                <c:pt idx="11">
                  <c:v>9.1170000000000009</c:v>
                </c:pt>
                <c:pt idx="12">
                  <c:v>9.1110000000000007</c:v>
                </c:pt>
                <c:pt idx="13">
                  <c:v>10.109</c:v>
                </c:pt>
                <c:pt idx="14">
                  <c:v>10.864000000000001</c:v>
                </c:pt>
                <c:pt idx="15">
                  <c:v>10.458</c:v>
                </c:pt>
                <c:pt idx="16">
                  <c:v>9.907</c:v>
                </c:pt>
                <c:pt idx="17">
                  <c:v>9.4390000000000001</c:v>
                </c:pt>
                <c:pt idx="18">
                  <c:v>8.8179999999999996</c:v>
                </c:pt>
                <c:pt idx="19">
                  <c:v>8.9350000000000005</c:v>
                </c:pt>
                <c:pt idx="20">
                  <c:v>8.6769999999999996</c:v>
                </c:pt>
                <c:pt idx="21">
                  <c:v>8.4670000000000005</c:v>
                </c:pt>
                <c:pt idx="22">
                  <c:v>8.6769999999999996</c:v>
                </c:pt>
                <c:pt idx="23">
                  <c:v>8.0380000000000003</c:v>
                </c:pt>
                <c:pt idx="24">
                  <c:v>7.6059999999999999</c:v>
                </c:pt>
                <c:pt idx="25">
                  <c:v>7.6150000000000002</c:v>
                </c:pt>
                <c:pt idx="26">
                  <c:v>7.81</c:v>
                </c:pt>
                <c:pt idx="27">
                  <c:v>8.5</c:v>
                </c:pt>
                <c:pt idx="28">
                  <c:v>9.3339999999999996</c:v>
                </c:pt>
                <c:pt idx="29">
                  <c:v>10.163</c:v>
                </c:pt>
                <c:pt idx="30">
                  <c:v>11.545</c:v>
                </c:pt>
                <c:pt idx="31">
                  <c:v>11.981999999999999</c:v>
                </c:pt>
                <c:pt idx="32">
                  <c:v>12.925000000000001</c:v>
                </c:pt>
                <c:pt idx="33">
                  <c:v>12.946999999999999</c:v>
                </c:pt>
                <c:pt idx="34">
                  <c:v>13.475</c:v>
                </c:pt>
                <c:pt idx="35">
                  <c:v>13.92</c:v>
                </c:pt>
                <c:pt idx="36">
                  <c:v>13.897</c:v>
                </c:pt>
                <c:pt idx="37">
                  <c:v>13.286</c:v>
                </c:pt>
                <c:pt idx="38">
                  <c:v>13.584</c:v>
                </c:pt>
                <c:pt idx="39">
                  <c:v>13.63</c:v>
                </c:pt>
                <c:pt idx="40">
                  <c:v>12.756</c:v>
                </c:pt>
                <c:pt idx="41">
                  <c:v>12.446999999999999</c:v>
                </c:pt>
                <c:pt idx="42">
                  <c:v>12.262</c:v>
                </c:pt>
                <c:pt idx="43">
                  <c:v>12.355</c:v>
                </c:pt>
                <c:pt idx="44">
                  <c:v>12.295999999999999</c:v>
                </c:pt>
                <c:pt idx="45">
                  <c:v>12.476000000000001</c:v>
                </c:pt>
                <c:pt idx="46">
                  <c:v>12.847</c:v>
                </c:pt>
                <c:pt idx="47">
                  <c:v>13.135999999999999</c:v>
                </c:pt>
                <c:pt idx="48">
                  <c:v>13.275</c:v>
                </c:pt>
                <c:pt idx="49">
                  <c:v>13.259</c:v>
                </c:pt>
                <c:pt idx="50">
                  <c:v>13.487</c:v>
                </c:pt>
                <c:pt idx="51">
                  <c:v>14.02</c:v>
                </c:pt>
                <c:pt idx="52">
                  <c:v>13.707000000000001</c:v>
                </c:pt>
                <c:pt idx="53">
                  <c:v>13.385</c:v>
                </c:pt>
                <c:pt idx="54">
                  <c:v>13.308</c:v>
                </c:pt>
                <c:pt idx="55">
                  <c:v>13.396000000000001</c:v>
                </c:pt>
                <c:pt idx="56">
                  <c:v>13.56</c:v>
                </c:pt>
                <c:pt idx="57">
                  <c:v>13.068</c:v>
                </c:pt>
                <c:pt idx="58">
                  <c:v>13.968999999999999</c:v>
                </c:pt>
                <c:pt idx="59">
                  <c:v>14.417999999999999</c:v>
                </c:pt>
                <c:pt idx="60">
                  <c:v>14.964</c:v>
                </c:pt>
                <c:pt idx="61">
                  <c:v>15.382</c:v>
                </c:pt>
                <c:pt idx="62">
                  <c:v>15.464</c:v>
                </c:pt>
                <c:pt idx="63">
                  <c:v>15.327999999999999</c:v>
                </c:pt>
                <c:pt idx="64">
                  <c:v>14.875999999999999</c:v>
                </c:pt>
                <c:pt idx="65">
                  <c:v>14.499000000000001</c:v>
                </c:pt>
                <c:pt idx="66">
                  <c:v>14.061</c:v>
                </c:pt>
                <c:pt idx="67">
                  <c:v>13.933999999999999</c:v>
                </c:pt>
                <c:pt idx="68">
                  <c:v>13.506</c:v>
                </c:pt>
                <c:pt idx="69">
                  <c:v>12.379</c:v>
                </c:pt>
                <c:pt idx="70">
                  <c:v>12.663</c:v>
                </c:pt>
                <c:pt idx="71">
                  <c:v>12.552</c:v>
                </c:pt>
                <c:pt idx="72">
                  <c:v>12.018000000000001</c:v>
                </c:pt>
                <c:pt idx="73">
                  <c:v>12.952</c:v>
                </c:pt>
                <c:pt idx="74">
                  <c:v>11.662000000000001</c:v>
                </c:pt>
                <c:pt idx="75">
                  <c:v>10.661</c:v>
                </c:pt>
                <c:pt idx="76">
                  <c:v>9.4380000000000006</c:v>
                </c:pt>
                <c:pt idx="77">
                  <c:v>8.6280000000000001</c:v>
                </c:pt>
                <c:pt idx="78">
                  <c:v>9.0210000000000008</c:v>
                </c:pt>
                <c:pt idx="79">
                  <c:v>9.2219999999999995</c:v>
                </c:pt>
                <c:pt idx="80">
                  <c:v>9.8810000000000002</c:v>
                </c:pt>
                <c:pt idx="81">
                  <c:v>10.004</c:v>
                </c:pt>
                <c:pt idx="82">
                  <c:v>9.4920000000000009</c:v>
                </c:pt>
                <c:pt idx="83">
                  <c:v>8.9969999999999999</c:v>
                </c:pt>
                <c:pt idx="84">
                  <c:v>8.2170000000000005</c:v>
                </c:pt>
                <c:pt idx="85">
                  <c:v>7.2960000000000003</c:v>
                </c:pt>
                <c:pt idx="86">
                  <c:v>6.1369999999999996</c:v>
                </c:pt>
                <c:pt idx="87">
                  <c:v>4.9340000000000002</c:v>
                </c:pt>
                <c:pt idx="88">
                  <c:v>3.9609999999999999</c:v>
                </c:pt>
                <c:pt idx="89">
                  <c:v>3.5179999999999998</c:v>
                </c:pt>
                <c:pt idx="90">
                  <c:v>3.1030000000000002</c:v>
                </c:pt>
                <c:pt idx="91">
                  <c:v>2.431</c:v>
                </c:pt>
                <c:pt idx="92">
                  <c:v>1.986</c:v>
                </c:pt>
                <c:pt idx="93">
                  <c:v>1.4259999999999999</c:v>
                </c:pt>
                <c:pt idx="94">
                  <c:v>1.1850000000000001</c:v>
                </c:pt>
                <c:pt idx="95">
                  <c:v>0.85099999999999998</c:v>
                </c:pt>
                <c:pt idx="96">
                  <c:v>0.58699999999999997</c:v>
                </c:pt>
                <c:pt idx="97">
                  <c:v>0.34599999999999997</c:v>
                </c:pt>
                <c:pt idx="98">
                  <c:v>0.23200000000000001</c:v>
                </c:pt>
                <c:pt idx="99">
                  <c:v>0.14499999999999999</c:v>
                </c:pt>
                <c:pt idx="100">
                  <c:v>0.17899999999999999</c:v>
                </c:pt>
              </c:numCache>
            </c:numRef>
          </c:val>
          <c:extLst>
            <c:ext xmlns:c16="http://schemas.microsoft.com/office/drawing/2014/chart" uri="{C3380CC4-5D6E-409C-BE32-E72D297353CC}">
              <c16:uniqueId val="{00000001-423C-47FC-8AC1-5AAE9880D483}"/>
            </c:ext>
          </c:extLst>
        </c:ser>
        <c:dLbls>
          <c:showLegendKey val="0"/>
          <c:showVal val="0"/>
          <c:showCatName val="0"/>
          <c:showSerName val="0"/>
          <c:showPercent val="0"/>
          <c:showBubbleSize val="0"/>
        </c:dLbls>
        <c:gapWidth val="0"/>
        <c:overlap val="100"/>
        <c:axId val="742072256"/>
        <c:axId val="742067552"/>
      </c:barChart>
      <c:catAx>
        <c:axId val="742072256"/>
        <c:scaling>
          <c:orientation val="minMax"/>
        </c:scaling>
        <c:delete val="0"/>
        <c:axPos val="l"/>
        <c:title>
          <c:tx>
            <c:rich>
              <a:bodyPr/>
              <a:lstStyle/>
              <a:p>
                <a:pPr>
                  <a:defRPr sz="900"/>
                </a:pPr>
                <a:r>
                  <a:rPr lang="lv-LV" sz="900" dirty="0"/>
                  <a:t>Vecums</a:t>
                </a:r>
                <a:endParaRPr lang="en-GB" sz="900" dirty="0"/>
              </a:p>
            </c:rich>
          </c:tx>
          <c:overlay val="0"/>
        </c:title>
        <c:numFmt formatCode="General" sourceLinked="0"/>
        <c:majorTickMark val="out"/>
        <c:minorTickMark val="none"/>
        <c:tickLblPos val="nextTo"/>
        <c:spPr>
          <a:ln w="3175">
            <a:noFill/>
          </a:ln>
        </c:spPr>
        <c:crossAx val="742067552"/>
        <c:crossesAt val="-120"/>
        <c:auto val="1"/>
        <c:lblAlgn val="ctr"/>
        <c:lblOffset val="100"/>
        <c:tickLblSkip val="20"/>
        <c:tickMarkSkip val="10"/>
        <c:noMultiLvlLbl val="0"/>
      </c:catAx>
      <c:valAx>
        <c:axId val="742067552"/>
        <c:scaling>
          <c:orientation val="minMax"/>
          <c:max val="18"/>
          <c:min val="-18"/>
        </c:scaling>
        <c:delete val="0"/>
        <c:axPos val="b"/>
        <c:numFmt formatCode="#,##0_ ;#,##0\ " sourceLinked="0"/>
        <c:majorTickMark val="out"/>
        <c:minorTickMark val="none"/>
        <c:tickLblPos val="nextTo"/>
        <c:spPr>
          <a:ln w="3175"/>
        </c:spPr>
        <c:crossAx val="742072256"/>
        <c:crosses val="autoZero"/>
        <c:crossBetween val="between"/>
        <c:majorUnit val="6"/>
      </c:valAx>
    </c:plotArea>
    <c:legend>
      <c:legendPos val="r"/>
      <c:layout>
        <c:manualLayout>
          <c:xMode val="edge"/>
          <c:yMode val="edge"/>
          <c:x val="0.22619982405246439"/>
          <c:y val="0.36222712314133598"/>
          <c:w val="0.65209400149484631"/>
          <c:h val="7.8203060243446934E-2"/>
        </c:manualLayout>
      </c:layout>
      <c:overlay val="0"/>
      <c:txPr>
        <a:bodyPr/>
        <a:lstStyle/>
        <a:p>
          <a:pPr>
            <a:defRPr>
              <a:solidFill>
                <a:schemeClr val="bg1"/>
              </a:solidFill>
            </a:defRPr>
          </a:pPr>
          <a:endParaRPr lang="lv-LV"/>
        </a:p>
      </c:txPr>
    </c:legend>
    <c:plotVisOnly val="1"/>
    <c:dispBlanksAs val="gap"/>
    <c:showDLblsOverMax val="0"/>
  </c:chart>
  <c:spPr>
    <a:ln>
      <a:noFill/>
    </a:ln>
  </c:spPr>
  <c:txPr>
    <a:bodyPr/>
    <a:lstStyle/>
    <a:p>
      <a:pPr>
        <a:defRPr sz="900">
          <a:latin typeface="Segoe UI Light" panose="020B0502040204020203" pitchFamily="34" charset="0"/>
          <a:cs typeface="Segoe UI Semilight" panose="020B0402040204020203" pitchFamily="34" charset="0"/>
        </a:defRPr>
      </a:pPr>
      <a:endParaRPr lang="lv-LV"/>
    </a:p>
  </c:txPr>
  <c:externalData r:id="rId2">
    <c:autoUpdate val="0"/>
  </c:externalData>
  <c:userShapes r:id="rId3"/>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71237032803596"/>
          <c:y val="4.1032354227984354E-2"/>
          <c:w val="0.79234712826522347"/>
          <c:h val="0.8847855263957497"/>
        </c:manualLayout>
      </c:layout>
      <c:barChart>
        <c:barDir val="bar"/>
        <c:grouping val="stacked"/>
        <c:varyColors val="0"/>
        <c:ser>
          <c:idx val="0"/>
          <c:order val="0"/>
          <c:tx>
            <c:strRef>
              <c:f>Sheet1!$B$2</c:f>
              <c:strCache>
                <c:ptCount val="1"/>
                <c:pt idx="0">
                  <c:v>Vīrieši</c:v>
                </c:pt>
              </c:strCache>
            </c:strRef>
          </c:tx>
          <c:invertIfNegative val="0"/>
          <c:cat>
            <c:strRef>
              <c:f>Sheet1!$A$3:$A$103</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Sheet1!$B$3:$B$103</c:f>
              <c:numCache>
                <c:formatCode>0.0</c:formatCode>
                <c:ptCount val="101"/>
                <c:pt idx="0">
                  <c:v>-8.5579999999999998</c:v>
                </c:pt>
                <c:pt idx="1">
                  <c:v>-8.4139999999999979</c:v>
                </c:pt>
                <c:pt idx="2">
                  <c:v>-8.4230000000000018</c:v>
                </c:pt>
                <c:pt idx="3">
                  <c:v>-8.3779999999999983</c:v>
                </c:pt>
                <c:pt idx="4">
                  <c:v>-8.3259999999999987</c:v>
                </c:pt>
                <c:pt idx="5">
                  <c:v>-8.2580000000000027</c:v>
                </c:pt>
                <c:pt idx="6">
                  <c:v>-8.17</c:v>
                </c:pt>
                <c:pt idx="7">
                  <c:v>-8.0970000000000013</c:v>
                </c:pt>
                <c:pt idx="8">
                  <c:v>-8.0299999999999994</c:v>
                </c:pt>
                <c:pt idx="9">
                  <c:v>-7.97</c:v>
                </c:pt>
                <c:pt idx="10">
                  <c:v>-7.9230000000000063</c:v>
                </c:pt>
                <c:pt idx="11">
                  <c:v>-7.8889999999999958</c:v>
                </c:pt>
                <c:pt idx="12">
                  <c:v>-7.8480000000000016</c:v>
                </c:pt>
                <c:pt idx="13">
                  <c:v>-7.8289999999999971</c:v>
                </c:pt>
                <c:pt idx="14">
                  <c:v>-7.7910000000000039</c:v>
                </c:pt>
                <c:pt idx="15">
                  <c:v>-7.8110000000000017</c:v>
                </c:pt>
                <c:pt idx="16">
                  <c:v>-7.58</c:v>
                </c:pt>
                <c:pt idx="17">
                  <c:v>-8.8359999999999932</c:v>
                </c:pt>
                <c:pt idx="18">
                  <c:v>-9.6669999999999998</c:v>
                </c:pt>
                <c:pt idx="19">
                  <c:v>-9.6530000000000005</c:v>
                </c:pt>
                <c:pt idx="20">
                  <c:v>-10.204000000000008</c:v>
                </c:pt>
                <c:pt idx="21">
                  <c:v>-10.578999999999995</c:v>
                </c:pt>
                <c:pt idx="22">
                  <c:v>-11.195</c:v>
                </c:pt>
                <c:pt idx="23">
                  <c:v>-11.525000000000002</c:v>
                </c:pt>
                <c:pt idx="24">
                  <c:v>-11.396999999999998</c:v>
                </c:pt>
                <c:pt idx="25">
                  <c:v>-11.180999999999999</c:v>
                </c:pt>
                <c:pt idx="26">
                  <c:v>-10.433000000000002</c:v>
                </c:pt>
                <c:pt idx="27">
                  <c:v>-10.166000000000006</c:v>
                </c:pt>
                <c:pt idx="28">
                  <c:v>-9.5730000000000004</c:v>
                </c:pt>
                <c:pt idx="29">
                  <c:v>-9.8209999999999944</c:v>
                </c:pt>
                <c:pt idx="30">
                  <c:v>-10.256000000000007</c:v>
                </c:pt>
                <c:pt idx="31">
                  <c:v>-10.869000000000003</c:v>
                </c:pt>
                <c:pt idx="32">
                  <c:v>-10.584000000000001</c:v>
                </c:pt>
                <c:pt idx="33">
                  <c:v>-10.178999999999995</c:v>
                </c:pt>
                <c:pt idx="34">
                  <c:v>-10.060000000000006</c:v>
                </c:pt>
                <c:pt idx="35">
                  <c:v>-9.6869999999999976</c:v>
                </c:pt>
                <c:pt idx="36">
                  <c:v>-10.015999999999996</c:v>
                </c:pt>
                <c:pt idx="37">
                  <c:v>-9.6550000000000029</c:v>
                </c:pt>
                <c:pt idx="38">
                  <c:v>-9.7169999999999899</c:v>
                </c:pt>
                <c:pt idx="39">
                  <c:v>-10.055000000000009</c:v>
                </c:pt>
                <c:pt idx="40">
                  <c:v>-9.8289999999999953</c:v>
                </c:pt>
                <c:pt idx="41">
                  <c:v>-9.5890000000000057</c:v>
                </c:pt>
                <c:pt idx="42">
                  <c:v>-9.7819999999999983</c:v>
                </c:pt>
                <c:pt idx="43">
                  <c:v>-10.138999999999999</c:v>
                </c:pt>
                <c:pt idx="44">
                  <c:v>-10.691000000000011</c:v>
                </c:pt>
                <c:pt idx="45">
                  <c:v>-11.164999999999988</c:v>
                </c:pt>
                <c:pt idx="46">
                  <c:v>-11.81900000000001</c:v>
                </c:pt>
                <c:pt idx="47">
                  <c:v>-12.982999999999999</c:v>
                </c:pt>
                <c:pt idx="48">
                  <c:v>-13.228000000000002</c:v>
                </c:pt>
                <c:pt idx="49">
                  <c:v>-13.701000000000001</c:v>
                </c:pt>
                <c:pt idx="50">
                  <c:v>-13.871</c:v>
                </c:pt>
                <c:pt idx="51">
                  <c:v>-14.154</c:v>
                </c:pt>
                <c:pt idx="52">
                  <c:v>-14.173999999999998</c:v>
                </c:pt>
                <c:pt idx="53">
                  <c:v>-13.931000000000006</c:v>
                </c:pt>
                <c:pt idx="54">
                  <c:v>-13.550000000000008</c:v>
                </c:pt>
                <c:pt idx="55">
                  <c:v>-13.394999999999989</c:v>
                </c:pt>
                <c:pt idx="56">
                  <c:v>-13.372000000000003</c:v>
                </c:pt>
                <c:pt idx="57">
                  <c:v>-12.473999999999998</c:v>
                </c:pt>
                <c:pt idx="58">
                  <c:v>-12.073999999999996</c:v>
                </c:pt>
                <c:pt idx="59">
                  <c:v>-11.657000000000004</c:v>
                </c:pt>
                <c:pt idx="60">
                  <c:v>-11.181000000000008</c:v>
                </c:pt>
                <c:pt idx="61">
                  <c:v>-10.972999999999995</c:v>
                </c:pt>
                <c:pt idx="62">
                  <c:v>-11.073999999999998</c:v>
                </c:pt>
                <c:pt idx="63">
                  <c:v>-11.096</c:v>
                </c:pt>
                <c:pt idx="64">
                  <c:v>-11.010999999999997</c:v>
                </c:pt>
                <c:pt idx="65">
                  <c:v>-10.852999999999994</c:v>
                </c:pt>
                <c:pt idx="66">
                  <c:v>-10.662000000000001</c:v>
                </c:pt>
                <c:pt idx="67">
                  <c:v>-10.730999999999996</c:v>
                </c:pt>
                <c:pt idx="68">
                  <c:v>-10.376000000000007</c:v>
                </c:pt>
                <c:pt idx="69">
                  <c:v>-9.8820000000000032</c:v>
                </c:pt>
                <c:pt idx="70">
                  <c:v>-9.3990000000000098</c:v>
                </c:pt>
                <c:pt idx="71">
                  <c:v>-9.1389999999999869</c:v>
                </c:pt>
                <c:pt idx="72">
                  <c:v>-8.7010000000000112</c:v>
                </c:pt>
                <c:pt idx="73">
                  <c:v>-8.2709999999999919</c:v>
                </c:pt>
                <c:pt idx="74">
                  <c:v>-7.974000000000002</c:v>
                </c:pt>
                <c:pt idx="75">
                  <c:v>-7.8809999999999976</c:v>
                </c:pt>
                <c:pt idx="76">
                  <c:v>-7.7200000000000051</c:v>
                </c:pt>
                <c:pt idx="77">
                  <c:v>-7.6199999999999983</c:v>
                </c:pt>
                <c:pt idx="78">
                  <c:v>-7.3170000000000064</c:v>
                </c:pt>
                <c:pt idx="79">
                  <c:v>-6.7509999999999906</c:v>
                </c:pt>
                <c:pt idx="80">
                  <c:v>-6.0870000000000095</c:v>
                </c:pt>
                <c:pt idx="81">
                  <c:v>-5.8309999999999969</c:v>
                </c:pt>
                <c:pt idx="82">
                  <c:v>-4.9090000000000016</c:v>
                </c:pt>
                <c:pt idx="83">
                  <c:v>-4.128000000000001</c:v>
                </c:pt>
                <c:pt idx="84">
                  <c:v>-3.8150000000000044</c:v>
                </c:pt>
                <c:pt idx="85">
                  <c:v>-3.1219999999999946</c:v>
                </c:pt>
                <c:pt idx="86">
                  <c:v>-2.4940000000000011</c:v>
                </c:pt>
                <c:pt idx="87">
                  <c:v>-2.3310000000000031</c:v>
                </c:pt>
                <c:pt idx="88">
                  <c:v>-1.9139999999999986</c:v>
                </c:pt>
                <c:pt idx="89">
                  <c:v>-1.5609999999999986</c:v>
                </c:pt>
                <c:pt idx="90">
                  <c:v>-1.3760000000000026</c:v>
                </c:pt>
                <c:pt idx="91">
                  <c:v>-0.86</c:v>
                </c:pt>
                <c:pt idx="92">
                  <c:v>-0.59299999999999975</c:v>
                </c:pt>
                <c:pt idx="93">
                  <c:v>-0.26899999999999968</c:v>
                </c:pt>
                <c:pt idx="94">
                  <c:v>-0.26099999999999896</c:v>
                </c:pt>
                <c:pt idx="95">
                  <c:v>-0.19800000000000012</c:v>
                </c:pt>
                <c:pt idx="96">
                  <c:v>-9.9000000000001559E-2</c:v>
                </c:pt>
                <c:pt idx="97">
                  <c:v>-4.2999999999997443E-2</c:v>
                </c:pt>
                <c:pt idx="98">
                  <c:v>-8.2000000000000489E-2</c:v>
                </c:pt>
                <c:pt idx="99">
                  <c:v>-9.9999999999950974E-4</c:v>
                </c:pt>
                <c:pt idx="100">
                  <c:v>-4.3999999999997937E-2</c:v>
                </c:pt>
              </c:numCache>
            </c:numRef>
          </c:val>
          <c:extLst>
            <c:ext xmlns:c16="http://schemas.microsoft.com/office/drawing/2014/chart" uri="{C3380CC4-5D6E-409C-BE32-E72D297353CC}">
              <c16:uniqueId val="{00000000-75F1-4B4B-B0B6-2D1060550E4C}"/>
            </c:ext>
          </c:extLst>
        </c:ser>
        <c:ser>
          <c:idx val="1"/>
          <c:order val="1"/>
          <c:tx>
            <c:strRef>
              <c:f>Sheet1!$C$2</c:f>
              <c:strCache>
                <c:ptCount val="1"/>
                <c:pt idx="0">
                  <c:v>Sievietes</c:v>
                </c:pt>
              </c:strCache>
            </c:strRef>
          </c:tx>
          <c:invertIfNegative val="0"/>
          <c:cat>
            <c:strRef>
              <c:f>Sheet1!$A$3:$A$103</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Sheet1!$C$3:$C$103</c:f>
              <c:numCache>
                <c:formatCode>0.0</c:formatCode>
                <c:ptCount val="101"/>
                <c:pt idx="0">
                  <c:v>8.1449999999999996</c:v>
                </c:pt>
                <c:pt idx="1">
                  <c:v>7.980999999999999</c:v>
                </c:pt>
                <c:pt idx="2">
                  <c:v>7.9240000000000004</c:v>
                </c:pt>
                <c:pt idx="3">
                  <c:v>7.8250000000000046</c:v>
                </c:pt>
                <c:pt idx="4">
                  <c:v>7.746999999999999</c:v>
                </c:pt>
                <c:pt idx="5">
                  <c:v>7.6500000000000012</c:v>
                </c:pt>
                <c:pt idx="6">
                  <c:v>7.544999999999999</c:v>
                </c:pt>
                <c:pt idx="7">
                  <c:v>7.4550000000000001</c:v>
                </c:pt>
                <c:pt idx="8">
                  <c:v>7.3780000000000001</c:v>
                </c:pt>
                <c:pt idx="9">
                  <c:v>7.3090000000000011</c:v>
                </c:pt>
                <c:pt idx="10">
                  <c:v>7.251999999999998</c:v>
                </c:pt>
                <c:pt idx="11">
                  <c:v>7.2030000000000003</c:v>
                </c:pt>
                <c:pt idx="12">
                  <c:v>7.1520000000000019</c:v>
                </c:pt>
                <c:pt idx="13">
                  <c:v>7.1160000000000005</c:v>
                </c:pt>
                <c:pt idx="14">
                  <c:v>7.0719999999999965</c:v>
                </c:pt>
                <c:pt idx="15">
                  <c:v>7.0890000000000004</c:v>
                </c:pt>
                <c:pt idx="16">
                  <c:v>6.8439999999999985</c:v>
                </c:pt>
                <c:pt idx="17">
                  <c:v>8.0680000000000032</c:v>
                </c:pt>
                <c:pt idx="18">
                  <c:v>8.7860000000000014</c:v>
                </c:pt>
                <c:pt idx="19">
                  <c:v>8.7539999999999978</c:v>
                </c:pt>
                <c:pt idx="20">
                  <c:v>9.3859999999999957</c:v>
                </c:pt>
                <c:pt idx="21">
                  <c:v>9.4190000000000058</c:v>
                </c:pt>
                <c:pt idx="22">
                  <c:v>9.9620000000000015</c:v>
                </c:pt>
                <c:pt idx="23">
                  <c:v>10.234999999999996</c:v>
                </c:pt>
                <c:pt idx="24">
                  <c:v>10.119</c:v>
                </c:pt>
                <c:pt idx="25">
                  <c:v>9.9489999999999998</c:v>
                </c:pt>
                <c:pt idx="26">
                  <c:v>9.4720000000000031</c:v>
                </c:pt>
                <c:pt idx="27">
                  <c:v>8.849000000000002</c:v>
                </c:pt>
                <c:pt idx="28">
                  <c:v>8.2650000000000006</c:v>
                </c:pt>
                <c:pt idx="29">
                  <c:v>8.3409999999999993</c:v>
                </c:pt>
                <c:pt idx="30">
                  <c:v>9.0919999999999952</c:v>
                </c:pt>
                <c:pt idx="31">
                  <c:v>9.618999999999998</c:v>
                </c:pt>
                <c:pt idx="32">
                  <c:v>9.2390000000000025</c:v>
                </c:pt>
                <c:pt idx="33">
                  <c:v>8.8379999999999956</c:v>
                </c:pt>
                <c:pt idx="34">
                  <c:v>8.4530000000000012</c:v>
                </c:pt>
                <c:pt idx="35">
                  <c:v>8.0690000000000026</c:v>
                </c:pt>
                <c:pt idx="36">
                  <c:v>8.2499999999999964</c:v>
                </c:pt>
                <c:pt idx="37">
                  <c:v>8.2420000000000044</c:v>
                </c:pt>
                <c:pt idx="38">
                  <c:v>8.3810000000000002</c:v>
                </c:pt>
                <c:pt idx="39">
                  <c:v>8.5959999999999983</c:v>
                </c:pt>
                <c:pt idx="40">
                  <c:v>8.1950000000000109</c:v>
                </c:pt>
                <c:pt idx="41">
                  <c:v>8.0239999999999938</c:v>
                </c:pt>
                <c:pt idx="42">
                  <c:v>8.3420000000000023</c:v>
                </c:pt>
                <c:pt idx="43">
                  <c:v>8.5069999999999961</c:v>
                </c:pt>
                <c:pt idx="44">
                  <c:v>9.128000000000009</c:v>
                </c:pt>
                <c:pt idx="45">
                  <c:v>10.036000000000008</c:v>
                </c:pt>
                <c:pt idx="46">
                  <c:v>10.665999999999986</c:v>
                </c:pt>
                <c:pt idx="47">
                  <c:v>11.713999999999995</c:v>
                </c:pt>
                <c:pt idx="48">
                  <c:v>12.185000000000002</c:v>
                </c:pt>
                <c:pt idx="49">
                  <c:v>12.793000000000008</c:v>
                </c:pt>
                <c:pt idx="50">
                  <c:v>12.898</c:v>
                </c:pt>
                <c:pt idx="51">
                  <c:v>13.263000000000005</c:v>
                </c:pt>
                <c:pt idx="52">
                  <c:v>13.600999999999992</c:v>
                </c:pt>
                <c:pt idx="53">
                  <c:v>13.574</c:v>
                </c:pt>
                <c:pt idx="54">
                  <c:v>12.975999999999996</c:v>
                </c:pt>
                <c:pt idx="55">
                  <c:v>13.191000000000003</c:v>
                </c:pt>
                <c:pt idx="56">
                  <c:v>13.178000000000004</c:v>
                </c:pt>
                <c:pt idx="57">
                  <c:v>12.451999999999996</c:v>
                </c:pt>
                <c:pt idx="58">
                  <c:v>12.168000000000003</c:v>
                </c:pt>
                <c:pt idx="59">
                  <c:v>11.929999999999991</c:v>
                </c:pt>
                <c:pt idx="60">
                  <c:v>11.967000000000006</c:v>
                </c:pt>
                <c:pt idx="61">
                  <c:v>11.902000000000005</c:v>
                </c:pt>
                <c:pt idx="62">
                  <c:v>12.041999999999998</c:v>
                </c:pt>
                <c:pt idx="63">
                  <c:v>12.328999999999994</c:v>
                </c:pt>
                <c:pt idx="64">
                  <c:v>12.540000000000006</c:v>
                </c:pt>
                <c:pt idx="65">
                  <c:v>12.658999999999997</c:v>
                </c:pt>
                <c:pt idx="66">
                  <c:v>12.603000000000002</c:v>
                </c:pt>
                <c:pt idx="67">
                  <c:v>12.764999999999999</c:v>
                </c:pt>
                <c:pt idx="68">
                  <c:v>13.155000000000001</c:v>
                </c:pt>
                <c:pt idx="69">
                  <c:v>12.779000000000005</c:v>
                </c:pt>
                <c:pt idx="70">
                  <c:v>12.355999999999996</c:v>
                </c:pt>
                <c:pt idx="71">
                  <c:v>12.149000000000008</c:v>
                </c:pt>
                <c:pt idx="72">
                  <c:v>12.135</c:v>
                </c:pt>
                <c:pt idx="73">
                  <c:v>12.082999999999986</c:v>
                </c:pt>
                <c:pt idx="74">
                  <c:v>11.531000000000015</c:v>
                </c:pt>
                <c:pt idx="75">
                  <c:v>12.137999999999991</c:v>
                </c:pt>
                <c:pt idx="76">
                  <c:v>12.277000000000001</c:v>
                </c:pt>
                <c:pt idx="77">
                  <c:v>12.561000000000002</c:v>
                </c:pt>
                <c:pt idx="78">
                  <c:v>12.537999999999993</c:v>
                </c:pt>
                <c:pt idx="79">
                  <c:v>12.319999999999999</c:v>
                </c:pt>
                <c:pt idx="80">
                  <c:v>11.808999999999999</c:v>
                </c:pt>
                <c:pt idx="81">
                  <c:v>10.996999999999996</c:v>
                </c:pt>
                <c:pt idx="82">
                  <c:v>10.314000000000002</c:v>
                </c:pt>
                <c:pt idx="83">
                  <c:v>9.544000000000004</c:v>
                </c:pt>
                <c:pt idx="84">
                  <c:v>9.0269999999999939</c:v>
                </c:pt>
                <c:pt idx="85">
                  <c:v>8.1570000000000071</c:v>
                </c:pt>
                <c:pt idx="86">
                  <c:v>6.8539999999999983</c:v>
                </c:pt>
                <c:pt idx="87">
                  <c:v>6.7989999999999959</c:v>
                </c:pt>
                <c:pt idx="88">
                  <c:v>6.0070000000000059</c:v>
                </c:pt>
                <c:pt idx="89">
                  <c:v>5.1259999999999879</c:v>
                </c:pt>
                <c:pt idx="90">
                  <c:v>5.1020000000000092</c:v>
                </c:pt>
                <c:pt idx="91">
                  <c:v>3.357999999999993</c:v>
                </c:pt>
                <c:pt idx="92">
                  <c:v>2.7150000000000021</c:v>
                </c:pt>
                <c:pt idx="93">
                  <c:v>1.7829999999999999</c:v>
                </c:pt>
                <c:pt idx="94">
                  <c:v>1.3610000000000009</c:v>
                </c:pt>
                <c:pt idx="95">
                  <c:v>1.2489999999999972</c:v>
                </c:pt>
                <c:pt idx="96">
                  <c:v>0.79200000000000603</c:v>
                </c:pt>
                <c:pt idx="97">
                  <c:v>0.71900000000000031</c:v>
                </c:pt>
                <c:pt idx="98">
                  <c:v>0.36399999999999993</c:v>
                </c:pt>
                <c:pt idx="99">
                  <c:v>0.1629999999999972</c:v>
                </c:pt>
                <c:pt idx="100">
                  <c:v>0.23299999999999407</c:v>
                </c:pt>
              </c:numCache>
            </c:numRef>
          </c:val>
          <c:extLst>
            <c:ext xmlns:c16="http://schemas.microsoft.com/office/drawing/2014/chart" uri="{C3380CC4-5D6E-409C-BE32-E72D297353CC}">
              <c16:uniqueId val="{00000001-75F1-4B4B-B0B6-2D1060550E4C}"/>
            </c:ext>
          </c:extLst>
        </c:ser>
        <c:dLbls>
          <c:showLegendKey val="0"/>
          <c:showVal val="0"/>
          <c:showCatName val="0"/>
          <c:showSerName val="0"/>
          <c:showPercent val="0"/>
          <c:showBubbleSize val="0"/>
        </c:dLbls>
        <c:gapWidth val="0"/>
        <c:overlap val="100"/>
        <c:axId val="742072256"/>
        <c:axId val="742067552"/>
      </c:barChart>
      <c:catAx>
        <c:axId val="742072256"/>
        <c:scaling>
          <c:orientation val="minMax"/>
        </c:scaling>
        <c:delete val="0"/>
        <c:axPos val="l"/>
        <c:title>
          <c:tx>
            <c:rich>
              <a:bodyPr/>
              <a:lstStyle/>
              <a:p>
                <a:pPr>
                  <a:defRPr sz="900"/>
                </a:pPr>
                <a:r>
                  <a:rPr lang="lv-LV" sz="900" dirty="0"/>
                  <a:t>Vecums</a:t>
                </a:r>
                <a:endParaRPr lang="en-GB" sz="900" dirty="0"/>
              </a:p>
            </c:rich>
          </c:tx>
          <c:overlay val="0"/>
        </c:title>
        <c:numFmt formatCode="General" sourceLinked="0"/>
        <c:majorTickMark val="out"/>
        <c:minorTickMark val="none"/>
        <c:tickLblPos val="nextTo"/>
        <c:spPr>
          <a:ln w="3175">
            <a:noFill/>
          </a:ln>
        </c:spPr>
        <c:crossAx val="742067552"/>
        <c:crossesAt val="-120"/>
        <c:auto val="1"/>
        <c:lblAlgn val="ctr"/>
        <c:lblOffset val="100"/>
        <c:tickLblSkip val="20"/>
        <c:tickMarkSkip val="10"/>
        <c:noMultiLvlLbl val="0"/>
      </c:catAx>
      <c:valAx>
        <c:axId val="742067552"/>
        <c:scaling>
          <c:orientation val="minMax"/>
          <c:max val="18"/>
          <c:min val="-18"/>
        </c:scaling>
        <c:delete val="0"/>
        <c:axPos val="b"/>
        <c:numFmt formatCode="#,##0_ ;#,##0\ " sourceLinked="0"/>
        <c:majorTickMark val="out"/>
        <c:minorTickMark val="none"/>
        <c:tickLblPos val="nextTo"/>
        <c:spPr>
          <a:ln w="3175"/>
        </c:spPr>
        <c:crossAx val="742072256"/>
        <c:crosses val="autoZero"/>
        <c:crossBetween val="between"/>
        <c:majorUnit val="6"/>
      </c:valAx>
    </c:plotArea>
    <c:legend>
      <c:legendPos val="r"/>
      <c:layout>
        <c:manualLayout>
          <c:xMode val="edge"/>
          <c:yMode val="edge"/>
          <c:x val="0.21741500134265399"/>
          <c:y val="0.33524416318189237"/>
          <c:w val="0.65209400149484631"/>
          <c:h val="7.8203060243446934E-2"/>
        </c:manualLayout>
      </c:layout>
      <c:overlay val="0"/>
      <c:txPr>
        <a:bodyPr/>
        <a:lstStyle/>
        <a:p>
          <a:pPr>
            <a:defRPr>
              <a:solidFill>
                <a:schemeClr val="bg1"/>
              </a:solidFill>
            </a:defRPr>
          </a:pPr>
          <a:endParaRPr lang="lv-LV"/>
        </a:p>
      </c:txPr>
    </c:legend>
    <c:plotVisOnly val="1"/>
    <c:dispBlanksAs val="gap"/>
    <c:showDLblsOverMax val="0"/>
  </c:chart>
  <c:spPr>
    <a:ln>
      <a:noFill/>
    </a:ln>
  </c:spPr>
  <c:txPr>
    <a:bodyPr/>
    <a:lstStyle/>
    <a:p>
      <a:pPr>
        <a:defRPr sz="900">
          <a:latin typeface="Segoe UI Light" panose="020B0502040204020203" pitchFamily="34" charset="0"/>
          <a:cs typeface="Segoe UI Semilight" panose="020B0402040204020203" pitchFamily="34" charset="0"/>
        </a:defRPr>
      </a:pPr>
      <a:endParaRPr lang="lv-LV"/>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1"/>
          <c:tx>
            <c:strRef>
              <c:f>Sheet1!$C$1</c:f>
              <c:strCache>
                <c:ptCount val="1"/>
                <c:pt idx="0">
                  <c:v>2023.gads</c:v>
                </c:pt>
              </c:strCache>
            </c:strRef>
          </c:tx>
          <c:spPr>
            <a:solidFill>
              <a:srgbClr val="4BACC6">
                <a:lumMod val="75000"/>
              </a:srgbClr>
            </a:solidFill>
            <a:ln w="6350">
              <a:noFill/>
            </a:ln>
          </c:spPr>
          <c:invertIfNegative val="0"/>
          <c:dPt>
            <c:idx val="5"/>
            <c:invertIfNegative val="0"/>
            <c:bubble3D val="0"/>
            <c:extLst>
              <c:ext xmlns:c16="http://schemas.microsoft.com/office/drawing/2014/chart" uri="{C3380CC4-5D6E-409C-BE32-E72D297353CC}">
                <c16:uniqueId val="{00000000-C074-4252-A6B7-1637CCCEC6B5}"/>
              </c:ext>
            </c:extLst>
          </c:dPt>
          <c:dPt>
            <c:idx val="8"/>
            <c:invertIfNegative val="0"/>
            <c:bubble3D val="0"/>
            <c:extLst>
              <c:ext xmlns:c16="http://schemas.microsoft.com/office/drawing/2014/chart" uri="{C3380CC4-5D6E-409C-BE32-E72D297353CC}">
                <c16:uniqueId val="{00000001-C074-4252-A6B7-1637CCCEC6B5}"/>
              </c:ext>
            </c:extLst>
          </c:dPt>
          <c:dPt>
            <c:idx val="9"/>
            <c:invertIfNegative val="0"/>
            <c:bubble3D val="0"/>
            <c:extLst>
              <c:ext xmlns:c16="http://schemas.microsoft.com/office/drawing/2014/chart" uri="{C3380CC4-5D6E-409C-BE32-E72D297353CC}">
                <c16:uniqueId val="{00000002-C074-4252-A6B7-1637CCCEC6B5}"/>
              </c:ext>
            </c:extLst>
          </c:dPt>
          <c:dPt>
            <c:idx val="12"/>
            <c:invertIfNegative val="0"/>
            <c:bubble3D val="0"/>
            <c:spPr>
              <a:solidFill>
                <a:srgbClr val="C0504D">
                  <a:lumMod val="75000"/>
                </a:srgbClr>
              </a:solidFill>
              <a:ln w="6350">
                <a:noFill/>
              </a:ln>
            </c:spPr>
            <c:extLst>
              <c:ext xmlns:c16="http://schemas.microsoft.com/office/drawing/2014/chart" uri="{C3380CC4-5D6E-409C-BE32-E72D297353CC}">
                <c16:uniqueId val="{00000004-C074-4252-A6B7-1637CCCEC6B5}"/>
              </c:ext>
            </c:extLst>
          </c:dPt>
          <c:dPt>
            <c:idx val="13"/>
            <c:invertIfNegative val="0"/>
            <c:bubble3D val="0"/>
            <c:extLst>
              <c:ext xmlns:c16="http://schemas.microsoft.com/office/drawing/2014/chart" uri="{C3380CC4-5D6E-409C-BE32-E72D297353CC}">
                <c16:uniqueId val="{00000005-C074-4252-A6B7-1637CCCEC6B5}"/>
              </c:ext>
            </c:extLst>
          </c:dPt>
          <c:dPt>
            <c:idx val="15"/>
            <c:invertIfNegative val="0"/>
            <c:bubble3D val="0"/>
            <c:extLst>
              <c:ext xmlns:c16="http://schemas.microsoft.com/office/drawing/2014/chart" uri="{C3380CC4-5D6E-409C-BE32-E72D297353CC}">
                <c16:uniqueId val="{00000006-C074-4252-A6B7-1637CCCEC6B5}"/>
              </c:ext>
            </c:extLst>
          </c:dPt>
          <c:dPt>
            <c:idx val="16"/>
            <c:invertIfNegative val="0"/>
            <c:bubble3D val="0"/>
            <c:extLst>
              <c:ext xmlns:c16="http://schemas.microsoft.com/office/drawing/2014/chart" uri="{C3380CC4-5D6E-409C-BE32-E72D297353CC}">
                <c16:uniqueId val="{00000007-C074-4252-A6B7-1637CCCEC6B5}"/>
              </c:ext>
            </c:extLst>
          </c:dPt>
          <c:dPt>
            <c:idx val="17"/>
            <c:invertIfNegative val="0"/>
            <c:bubble3D val="0"/>
            <c:extLst>
              <c:ext xmlns:c16="http://schemas.microsoft.com/office/drawing/2014/chart" uri="{C3380CC4-5D6E-409C-BE32-E72D297353CC}">
                <c16:uniqueId val="{00000008-C074-4252-A6B7-1637CCCEC6B5}"/>
              </c:ext>
            </c:extLst>
          </c:dPt>
          <c:dPt>
            <c:idx val="18"/>
            <c:invertIfNegative val="0"/>
            <c:bubble3D val="0"/>
            <c:extLst>
              <c:ext xmlns:c16="http://schemas.microsoft.com/office/drawing/2014/chart" uri="{C3380CC4-5D6E-409C-BE32-E72D297353CC}">
                <c16:uniqueId val="{00000009-C074-4252-A6B7-1637CCCEC6B5}"/>
              </c:ext>
            </c:extLst>
          </c:dPt>
          <c:dPt>
            <c:idx val="19"/>
            <c:invertIfNegative val="0"/>
            <c:bubble3D val="0"/>
            <c:spPr>
              <a:solidFill>
                <a:srgbClr val="4F81BD">
                  <a:lumMod val="75000"/>
                </a:srgbClr>
              </a:solidFill>
              <a:ln w="6350">
                <a:noFill/>
              </a:ln>
            </c:spPr>
            <c:extLst>
              <c:ext xmlns:c16="http://schemas.microsoft.com/office/drawing/2014/chart" uri="{C3380CC4-5D6E-409C-BE32-E72D297353CC}">
                <c16:uniqueId val="{0000000B-C074-4252-A6B7-1637CCCEC6B5}"/>
              </c:ext>
            </c:extLst>
          </c:dPt>
          <c:dLbls>
            <c:numFmt formatCode="#,##0" sourceLinked="0"/>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Nīderlande</c:v>
                </c:pt>
                <c:pt idx="1">
                  <c:v>Malta</c:v>
                </c:pt>
                <c:pt idx="2">
                  <c:v>Zviedrija</c:v>
                </c:pt>
                <c:pt idx="3">
                  <c:v>Igaunija</c:v>
                </c:pt>
                <c:pt idx="4">
                  <c:v>Dānija</c:v>
                </c:pt>
                <c:pt idx="5">
                  <c:v>Īrija</c:v>
                </c:pt>
                <c:pt idx="6">
                  <c:v>Vācija</c:v>
                </c:pt>
                <c:pt idx="7">
                  <c:v>Kipra</c:v>
                </c:pt>
                <c:pt idx="8">
                  <c:v>Lietuva</c:v>
                </c:pt>
                <c:pt idx="9">
                  <c:v>Austrija</c:v>
                </c:pt>
                <c:pt idx="10">
                  <c:v>Čehija</c:v>
                </c:pt>
                <c:pt idx="11">
                  <c:v>Ungārija</c:v>
                </c:pt>
                <c:pt idx="12">
                  <c:v>Latvija</c:v>
                </c:pt>
                <c:pt idx="13">
                  <c:v>Somija</c:v>
                </c:pt>
                <c:pt idx="14">
                  <c:v>Luksemburga</c:v>
                </c:pt>
                <c:pt idx="15">
                  <c:v>Portugāle</c:v>
                </c:pt>
                <c:pt idx="16">
                  <c:v>Slovēnija</c:v>
                </c:pt>
                <c:pt idx="17">
                  <c:v>Slovākija</c:v>
                </c:pt>
                <c:pt idx="18">
                  <c:v>Polija</c:v>
                </c:pt>
                <c:pt idx="19">
                  <c:v>ES27</c:v>
                </c:pt>
                <c:pt idx="20">
                  <c:v>Bulgārija</c:v>
                </c:pt>
                <c:pt idx="21">
                  <c:v>Francija</c:v>
                </c:pt>
                <c:pt idx="22">
                  <c:v>Beļģija</c:v>
                </c:pt>
                <c:pt idx="23">
                  <c:v>Spānija</c:v>
                </c:pt>
                <c:pt idx="24">
                  <c:v>Horvātija</c:v>
                </c:pt>
                <c:pt idx="25">
                  <c:v>Grieķija</c:v>
                </c:pt>
                <c:pt idx="26">
                  <c:v>Rumānija</c:v>
                </c:pt>
                <c:pt idx="27">
                  <c:v>Itālija</c:v>
                </c:pt>
              </c:strCache>
            </c:strRef>
          </c:cat>
          <c:val>
            <c:numRef>
              <c:f>Sheet1!$C$2:$C$29</c:f>
              <c:numCache>
                <c:formatCode>0.0</c:formatCode>
                <c:ptCount val="28"/>
                <c:pt idx="0">
                  <c:v>72.2</c:v>
                </c:pt>
                <c:pt idx="1">
                  <c:v>69.2</c:v>
                </c:pt>
                <c:pt idx="2">
                  <c:v>69</c:v>
                </c:pt>
                <c:pt idx="3">
                  <c:v>68.2</c:v>
                </c:pt>
                <c:pt idx="4">
                  <c:v>67.8</c:v>
                </c:pt>
                <c:pt idx="5">
                  <c:v>67.5</c:v>
                </c:pt>
                <c:pt idx="6">
                  <c:v>67.099999999999994</c:v>
                </c:pt>
                <c:pt idx="7">
                  <c:v>66.2</c:v>
                </c:pt>
                <c:pt idx="8">
                  <c:v>65.8</c:v>
                </c:pt>
                <c:pt idx="9">
                  <c:v>65.400000000000006</c:v>
                </c:pt>
                <c:pt idx="10">
                  <c:v>65.099999999999994</c:v>
                </c:pt>
                <c:pt idx="11">
                  <c:v>64.099999999999994</c:v>
                </c:pt>
                <c:pt idx="12">
                  <c:v>63.9</c:v>
                </c:pt>
                <c:pt idx="13">
                  <c:v>63.9</c:v>
                </c:pt>
                <c:pt idx="14">
                  <c:v>63.5</c:v>
                </c:pt>
                <c:pt idx="15">
                  <c:v>62.6</c:v>
                </c:pt>
                <c:pt idx="16">
                  <c:v>62.5</c:v>
                </c:pt>
                <c:pt idx="17">
                  <c:v>62.2</c:v>
                </c:pt>
                <c:pt idx="18">
                  <c:v>60.8</c:v>
                </c:pt>
                <c:pt idx="19">
                  <c:v>60.8</c:v>
                </c:pt>
                <c:pt idx="20">
                  <c:v>59.9</c:v>
                </c:pt>
                <c:pt idx="21">
                  <c:v>58.6</c:v>
                </c:pt>
                <c:pt idx="22">
                  <c:v>58</c:v>
                </c:pt>
                <c:pt idx="23">
                  <c:v>56.5</c:v>
                </c:pt>
                <c:pt idx="24">
                  <c:v>54.9</c:v>
                </c:pt>
                <c:pt idx="25">
                  <c:v>54</c:v>
                </c:pt>
                <c:pt idx="26">
                  <c:v>52.8</c:v>
                </c:pt>
                <c:pt idx="27">
                  <c:v>52.2</c:v>
                </c:pt>
              </c:numCache>
            </c:numRef>
          </c:val>
          <c:extLst>
            <c:ext xmlns:c16="http://schemas.microsoft.com/office/drawing/2014/chart" uri="{C3380CC4-5D6E-409C-BE32-E72D297353CC}">
              <c16:uniqueId val="{0000000C-C074-4252-A6B7-1637CCCEC6B5}"/>
            </c:ext>
          </c:extLst>
        </c:ser>
        <c:dLbls>
          <c:showLegendKey val="0"/>
          <c:showVal val="0"/>
          <c:showCatName val="0"/>
          <c:showSerName val="0"/>
          <c:showPercent val="0"/>
          <c:showBubbleSize val="0"/>
        </c:dLbls>
        <c:gapWidth val="40"/>
        <c:axId val="742136936"/>
        <c:axId val="742137720"/>
      </c:barChart>
      <c:lineChart>
        <c:grouping val="stacked"/>
        <c:varyColors val="0"/>
        <c:ser>
          <c:idx val="1"/>
          <c:order val="0"/>
          <c:tx>
            <c:strRef>
              <c:f>Sheet1!$B$1</c:f>
              <c:strCache>
                <c:ptCount val="1"/>
                <c:pt idx="0">
                  <c:v>2010.gads</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Nīderlande</c:v>
                </c:pt>
                <c:pt idx="1">
                  <c:v>Malta</c:v>
                </c:pt>
                <c:pt idx="2">
                  <c:v>Zviedrija</c:v>
                </c:pt>
                <c:pt idx="3">
                  <c:v>Igaunija</c:v>
                </c:pt>
                <c:pt idx="4">
                  <c:v>Dānija</c:v>
                </c:pt>
                <c:pt idx="5">
                  <c:v>Īrija</c:v>
                </c:pt>
                <c:pt idx="6">
                  <c:v>Vācija</c:v>
                </c:pt>
                <c:pt idx="7">
                  <c:v>Kipra</c:v>
                </c:pt>
                <c:pt idx="8">
                  <c:v>Lietuva</c:v>
                </c:pt>
                <c:pt idx="9">
                  <c:v>Austrija</c:v>
                </c:pt>
                <c:pt idx="10">
                  <c:v>Čehija</c:v>
                </c:pt>
                <c:pt idx="11">
                  <c:v>Ungārija</c:v>
                </c:pt>
                <c:pt idx="12">
                  <c:v>Latvija</c:v>
                </c:pt>
                <c:pt idx="13">
                  <c:v>Somija</c:v>
                </c:pt>
                <c:pt idx="14">
                  <c:v>Luksemburga</c:v>
                </c:pt>
                <c:pt idx="15">
                  <c:v>Portugāle</c:v>
                </c:pt>
                <c:pt idx="16">
                  <c:v>Slovēnija</c:v>
                </c:pt>
                <c:pt idx="17">
                  <c:v>Slovākija</c:v>
                </c:pt>
                <c:pt idx="18">
                  <c:v>Polija</c:v>
                </c:pt>
                <c:pt idx="19">
                  <c:v>ES27</c:v>
                </c:pt>
                <c:pt idx="20">
                  <c:v>Bulgārija</c:v>
                </c:pt>
                <c:pt idx="21">
                  <c:v>Francija</c:v>
                </c:pt>
                <c:pt idx="22">
                  <c:v>Beļģija</c:v>
                </c:pt>
                <c:pt idx="23">
                  <c:v>Spānija</c:v>
                </c:pt>
                <c:pt idx="24">
                  <c:v>Horvātija</c:v>
                </c:pt>
                <c:pt idx="25">
                  <c:v>Grieķija</c:v>
                </c:pt>
                <c:pt idx="26">
                  <c:v>Rumānija</c:v>
                </c:pt>
                <c:pt idx="27">
                  <c:v>Itālija</c:v>
                </c:pt>
              </c:strCache>
            </c:strRef>
          </c:cat>
          <c:val>
            <c:numRef>
              <c:f>Sheet1!$B$2:$B$29</c:f>
              <c:numCache>
                <c:formatCode>0.0</c:formatCode>
                <c:ptCount val="28"/>
                <c:pt idx="0">
                  <c:v>66.7</c:v>
                </c:pt>
                <c:pt idx="1">
                  <c:v>55.5</c:v>
                </c:pt>
                <c:pt idx="2">
                  <c:v>64.5</c:v>
                </c:pt>
                <c:pt idx="3">
                  <c:v>64.099999999999994</c:v>
                </c:pt>
                <c:pt idx="4">
                  <c:v>50.6</c:v>
                </c:pt>
                <c:pt idx="5">
                  <c:v>61.2</c:v>
                </c:pt>
                <c:pt idx="6">
                  <c:v>56.8</c:v>
                </c:pt>
                <c:pt idx="7">
                  <c:v>51.4</c:v>
                </c:pt>
                <c:pt idx="8">
                  <c:v>63.7</c:v>
                </c:pt>
                <c:pt idx="9">
                  <c:v>62.9</c:v>
                </c:pt>
                <c:pt idx="10">
                  <c:v>58.5</c:v>
                </c:pt>
                <c:pt idx="11">
                  <c:v>48.7</c:v>
                </c:pt>
                <c:pt idx="12">
                  <c:v>52</c:v>
                </c:pt>
                <c:pt idx="13">
                  <c:v>60.8</c:v>
                </c:pt>
                <c:pt idx="14">
                  <c:v>58.3</c:v>
                </c:pt>
                <c:pt idx="15">
                  <c:v>59.6</c:v>
                </c:pt>
                <c:pt idx="16">
                  <c:v>59.7</c:v>
                </c:pt>
                <c:pt idx="17">
                  <c:v>53.8</c:v>
                </c:pt>
                <c:pt idx="18">
                  <c:v>56.4</c:v>
                </c:pt>
                <c:pt idx="19">
                  <c:v>53.9</c:v>
                </c:pt>
                <c:pt idx="20">
                  <c:v>52.7</c:v>
                </c:pt>
                <c:pt idx="21">
                  <c:v>57.3</c:v>
                </c:pt>
                <c:pt idx="22">
                  <c:v>55.3</c:v>
                </c:pt>
                <c:pt idx="23">
                  <c:v>52.9</c:v>
                </c:pt>
                <c:pt idx="24">
                  <c:v>51</c:v>
                </c:pt>
                <c:pt idx="25">
                  <c:v>55.8</c:v>
                </c:pt>
                <c:pt idx="26">
                  <c:v>52.3</c:v>
                </c:pt>
                <c:pt idx="27">
                  <c:v>49.7</c:v>
                </c:pt>
              </c:numCache>
            </c:numRef>
          </c:val>
          <c:smooth val="0"/>
          <c:extLst>
            <c:ext xmlns:c16="http://schemas.microsoft.com/office/drawing/2014/chart" uri="{C3380CC4-5D6E-409C-BE32-E72D297353CC}">
              <c16:uniqueId val="{0000000D-C074-4252-A6B7-1637CCCEC6B5}"/>
            </c:ext>
          </c:extLst>
        </c:ser>
        <c:dLbls>
          <c:showLegendKey val="0"/>
          <c:showVal val="0"/>
          <c:showCatName val="0"/>
          <c:showSerName val="0"/>
          <c:showPercent val="0"/>
          <c:showBubbleSize val="0"/>
        </c:dLbls>
        <c:marker val="1"/>
        <c:smooth val="0"/>
        <c:axId val="742136936"/>
        <c:axId val="742137720"/>
      </c:lineChart>
      <c:catAx>
        <c:axId val="742136936"/>
        <c:scaling>
          <c:orientation val="minMax"/>
        </c:scaling>
        <c:delete val="0"/>
        <c:axPos val="b"/>
        <c:numFmt formatCode="General" sourceLinked="1"/>
        <c:majorTickMark val="out"/>
        <c:minorTickMark val="none"/>
        <c:tickLblPos val="low"/>
        <c:spPr>
          <a:ln/>
        </c:spPr>
        <c:txPr>
          <a:bodyPr rot="-5400000" vert="horz"/>
          <a:lstStyle/>
          <a:p>
            <a:pPr>
              <a:defRPr>
                <a:solidFill>
                  <a:sysClr val="windowText" lastClr="000000"/>
                </a:solidFill>
              </a:defRPr>
            </a:pPr>
            <a:endParaRPr lang="lv-LV"/>
          </a:p>
        </c:txPr>
        <c:crossAx val="742137720"/>
        <c:crosses val="autoZero"/>
        <c:auto val="0"/>
        <c:lblAlgn val="ctr"/>
        <c:lblOffset val="0"/>
        <c:tickLblSkip val="1"/>
        <c:noMultiLvlLbl val="0"/>
      </c:catAx>
      <c:valAx>
        <c:axId val="742137720"/>
        <c:scaling>
          <c:orientation val="minMax"/>
          <c:min val="42"/>
        </c:scaling>
        <c:delete val="0"/>
        <c:axPos val="l"/>
        <c:numFmt formatCode="#,##0" sourceLinked="0"/>
        <c:majorTickMark val="out"/>
        <c:minorTickMark val="none"/>
        <c:tickLblPos val="nextTo"/>
        <c:spPr>
          <a:ln w="6350">
            <a:noFill/>
          </a:ln>
        </c:spPr>
        <c:txPr>
          <a:bodyPr rot="0" vert="horz"/>
          <a:lstStyle/>
          <a:p>
            <a:pPr>
              <a:defRPr/>
            </a:pPr>
            <a:endParaRPr lang="lv-LV"/>
          </a:p>
        </c:txPr>
        <c:crossAx val="742136936"/>
        <c:crosses val="autoZero"/>
        <c:crossBetween val="between"/>
        <c:majorUnit val="7"/>
      </c:valAx>
      <c:spPr>
        <a:noFill/>
        <a:ln w="6350">
          <a:noFill/>
        </a:ln>
      </c:spPr>
    </c:plotArea>
    <c:legend>
      <c:legendPos val="t"/>
      <c:layout>
        <c:manualLayout>
          <c:xMode val="edge"/>
          <c:yMode val="edge"/>
          <c:x val="0.77163114533505806"/>
          <c:y val="3.9029280410810163E-2"/>
          <c:w val="0.10304508242974592"/>
          <c:h val="0.20427109210584196"/>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152376786235064E-2"/>
          <c:y val="2.9580162264000516E-2"/>
          <c:w val="0.92090603202251642"/>
          <c:h val="0.89184795439395625"/>
        </c:manualLayout>
      </c:layout>
      <c:areaChart>
        <c:grouping val="standard"/>
        <c:varyColors val="0"/>
        <c:ser>
          <c:idx val="0"/>
          <c:order val="0"/>
          <c:tx>
            <c:strRef>
              <c:f>Sheet1!$A$2</c:f>
              <c:strCache>
                <c:ptCount val="1"/>
                <c:pt idx="0">
                  <c:v>Mērķa scenārijs</c:v>
                </c:pt>
              </c:strCache>
            </c:strRef>
          </c:tx>
          <c:spPr>
            <a:solidFill>
              <a:srgbClr val="0070C0"/>
            </a:solidFill>
          </c:spPr>
          <c:dLbls>
            <c:dLbl>
              <c:idx val="0"/>
              <c:layout>
                <c:manualLayout>
                  <c:x val="6.4474532559638939E-3"/>
                  <c:y val="-8.11145762932685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52-4384-8B8E-34450369BDF7}"/>
                </c:ext>
              </c:extLst>
            </c:dLbl>
            <c:dLbl>
              <c:idx val="1"/>
              <c:delete val="1"/>
              <c:extLst>
                <c:ext xmlns:c15="http://schemas.microsoft.com/office/drawing/2012/chart" uri="{CE6537A1-D6FC-4f65-9D91-7224C49458BB}"/>
                <c:ext xmlns:c16="http://schemas.microsoft.com/office/drawing/2014/chart" uri="{C3380CC4-5D6E-409C-BE32-E72D297353CC}">
                  <c16:uniqueId val="{00000001-FD52-4384-8B8E-34450369BDF7}"/>
                </c:ext>
              </c:extLst>
            </c:dLbl>
            <c:dLbl>
              <c:idx val="2"/>
              <c:delete val="1"/>
              <c:extLst>
                <c:ext xmlns:c15="http://schemas.microsoft.com/office/drawing/2012/chart" uri="{CE6537A1-D6FC-4f65-9D91-7224C49458BB}"/>
                <c:ext xmlns:c16="http://schemas.microsoft.com/office/drawing/2014/chart" uri="{C3380CC4-5D6E-409C-BE32-E72D297353CC}">
                  <c16:uniqueId val="{00000002-FD52-4384-8B8E-34450369BDF7}"/>
                </c:ext>
              </c:extLst>
            </c:dLbl>
            <c:dLbl>
              <c:idx val="3"/>
              <c:delete val="1"/>
              <c:extLst>
                <c:ext xmlns:c15="http://schemas.microsoft.com/office/drawing/2012/chart" uri="{CE6537A1-D6FC-4f65-9D91-7224C49458BB}"/>
                <c:ext xmlns:c16="http://schemas.microsoft.com/office/drawing/2014/chart" uri="{C3380CC4-5D6E-409C-BE32-E72D297353CC}">
                  <c16:uniqueId val="{00000003-FD52-4384-8B8E-34450369BDF7}"/>
                </c:ext>
              </c:extLst>
            </c:dLbl>
            <c:dLbl>
              <c:idx val="4"/>
              <c:delete val="1"/>
              <c:extLst>
                <c:ext xmlns:c15="http://schemas.microsoft.com/office/drawing/2012/chart" uri="{CE6537A1-D6FC-4f65-9D91-7224C49458BB}"/>
                <c:ext xmlns:c16="http://schemas.microsoft.com/office/drawing/2014/chart" uri="{C3380CC4-5D6E-409C-BE32-E72D297353CC}">
                  <c16:uniqueId val="{00000004-FD52-4384-8B8E-34450369BDF7}"/>
                </c:ext>
              </c:extLst>
            </c:dLbl>
            <c:dLbl>
              <c:idx val="5"/>
              <c:delete val="1"/>
              <c:extLst>
                <c:ext xmlns:c15="http://schemas.microsoft.com/office/drawing/2012/chart" uri="{CE6537A1-D6FC-4f65-9D91-7224C49458BB}"/>
                <c:ext xmlns:c16="http://schemas.microsoft.com/office/drawing/2014/chart" uri="{C3380CC4-5D6E-409C-BE32-E72D297353CC}">
                  <c16:uniqueId val="{00000005-FD52-4384-8B8E-34450369BDF7}"/>
                </c:ext>
              </c:extLst>
            </c:dLbl>
            <c:dLbl>
              <c:idx val="6"/>
              <c:delete val="1"/>
              <c:extLst>
                <c:ext xmlns:c15="http://schemas.microsoft.com/office/drawing/2012/chart" uri="{CE6537A1-D6FC-4f65-9D91-7224C49458BB}"/>
                <c:ext xmlns:c16="http://schemas.microsoft.com/office/drawing/2014/chart" uri="{C3380CC4-5D6E-409C-BE32-E72D297353CC}">
                  <c16:uniqueId val="{00000006-FD52-4384-8B8E-34450369BDF7}"/>
                </c:ext>
              </c:extLst>
            </c:dLbl>
            <c:dLbl>
              <c:idx val="7"/>
              <c:delete val="1"/>
              <c:extLst>
                <c:ext xmlns:c15="http://schemas.microsoft.com/office/drawing/2012/chart" uri="{CE6537A1-D6FC-4f65-9D91-7224C49458BB}"/>
                <c:ext xmlns:c16="http://schemas.microsoft.com/office/drawing/2014/chart" uri="{C3380CC4-5D6E-409C-BE32-E72D297353CC}">
                  <c16:uniqueId val="{00000007-FD52-4384-8B8E-34450369BDF7}"/>
                </c:ext>
              </c:extLst>
            </c:dLbl>
            <c:dLbl>
              <c:idx val="8"/>
              <c:delete val="1"/>
              <c:extLst>
                <c:ext xmlns:c15="http://schemas.microsoft.com/office/drawing/2012/chart" uri="{CE6537A1-D6FC-4f65-9D91-7224C49458BB}"/>
                <c:ext xmlns:c16="http://schemas.microsoft.com/office/drawing/2014/chart" uri="{C3380CC4-5D6E-409C-BE32-E72D297353CC}">
                  <c16:uniqueId val="{00000008-FD52-4384-8B8E-34450369BDF7}"/>
                </c:ext>
              </c:extLst>
            </c:dLbl>
            <c:dLbl>
              <c:idx val="9"/>
              <c:delete val="1"/>
              <c:extLst>
                <c:ext xmlns:c15="http://schemas.microsoft.com/office/drawing/2012/chart" uri="{CE6537A1-D6FC-4f65-9D91-7224C49458BB}"/>
                <c:ext xmlns:c16="http://schemas.microsoft.com/office/drawing/2014/chart" uri="{C3380CC4-5D6E-409C-BE32-E72D297353CC}">
                  <c16:uniqueId val="{00000009-FD52-4384-8B8E-34450369BDF7}"/>
                </c:ext>
              </c:extLst>
            </c:dLbl>
            <c:dLbl>
              <c:idx val="10"/>
              <c:delete val="1"/>
              <c:extLst>
                <c:ext xmlns:c15="http://schemas.microsoft.com/office/drawing/2012/chart" uri="{CE6537A1-D6FC-4f65-9D91-7224C49458BB}"/>
                <c:ext xmlns:c16="http://schemas.microsoft.com/office/drawing/2014/chart" uri="{C3380CC4-5D6E-409C-BE32-E72D297353CC}">
                  <c16:uniqueId val="{0000000A-FD52-4384-8B8E-34450369BDF7}"/>
                </c:ext>
              </c:extLst>
            </c:dLbl>
            <c:dLbl>
              <c:idx val="11"/>
              <c:delete val="1"/>
              <c:extLst>
                <c:ext xmlns:c15="http://schemas.microsoft.com/office/drawing/2012/chart" uri="{CE6537A1-D6FC-4f65-9D91-7224C49458BB}"/>
                <c:ext xmlns:c16="http://schemas.microsoft.com/office/drawing/2014/chart" uri="{C3380CC4-5D6E-409C-BE32-E72D297353CC}">
                  <c16:uniqueId val="{0000000B-FD52-4384-8B8E-34450369BDF7}"/>
                </c:ext>
              </c:extLst>
            </c:dLbl>
            <c:dLbl>
              <c:idx val="12"/>
              <c:delete val="1"/>
              <c:extLst>
                <c:ext xmlns:c15="http://schemas.microsoft.com/office/drawing/2012/chart" uri="{CE6537A1-D6FC-4f65-9D91-7224C49458BB}"/>
                <c:ext xmlns:c16="http://schemas.microsoft.com/office/drawing/2014/chart" uri="{C3380CC4-5D6E-409C-BE32-E72D297353CC}">
                  <c16:uniqueId val="{0000000C-FD52-4384-8B8E-34450369BDF7}"/>
                </c:ext>
              </c:extLst>
            </c:dLbl>
            <c:dLbl>
              <c:idx val="13"/>
              <c:delete val="1"/>
              <c:extLst>
                <c:ext xmlns:c15="http://schemas.microsoft.com/office/drawing/2012/chart" uri="{CE6537A1-D6FC-4f65-9D91-7224C49458BB}"/>
                <c:ext xmlns:c16="http://schemas.microsoft.com/office/drawing/2014/chart" uri="{C3380CC4-5D6E-409C-BE32-E72D297353CC}">
                  <c16:uniqueId val="{0000000D-FD52-4384-8B8E-34450369BDF7}"/>
                </c:ext>
              </c:extLst>
            </c:dLbl>
            <c:dLbl>
              <c:idx val="14"/>
              <c:delete val="1"/>
              <c:extLst>
                <c:ext xmlns:c15="http://schemas.microsoft.com/office/drawing/2012/chart" uri="{CE6537A1-D6FC-4f65-9D91-7224C49458BB}"/>
                <c:ext xmlns:c16="http://schemas.microsoft.com/office/drawing/2014/chart" uri="{C3380CC4-5D6E-409C-BE32-E72D297353CC}">
                  <c16:uniqueId val="{0000000E-FD52-4384-8B8E-34450369BDF7}"/>
                </c:ext>
              </c:extLst>
            </c:dLbl>
            <c:dLbl>
              <c:idx val="15"/>
              <c:delete val="1"/>
              <c:extLst>
                <c:ext xmlns:c15="http://schemas.microsoft.com/office/drawing/2012/chart" uri="{CE6537A1-D6FC-4f65-9D91-7224C49458BB}"/>
                <c:ext xmlns:c16="http://schemas.microsoft.com/office/drawing/2014/chart" uri="{C3380CC4-5D6E-409C-BE32-E72D297353CC}">
                  <c16:uniqueId val="{0000000F-FD52-4384-8B8E-34450369BDF7}"/>
                </c:ext>
              </c:extLst>
            </c:dLbl>
            <c:dLbl>
              <c:idx val="16"/>
              <c:delete val="1"/>
              <c:extLst>
                <c:ext xmlns:c15="http://schemas.microsoft.com/office/drawing/2012/chart" uri="{CE6537A1-D6FC-4f65-9D91-7224C49458BB}"/>
                <c:ext xmlns:c16="http://schemas.microsoft.com/office/drawing/2014/chart" uri="{C3380CC4-5D6E-409C-BE32-E72D297353CC}">
                  <c16:uniqueId val="{00000010-FD52-4384-8B8E-34450369BDF7}"/>
                </c:ext>
              </c:extLst>
            </c:dLbl>
            <c:dLbl>
              <c:idx val="17"/>
              <c:delete val="1"/>
              <c:extLst>
                <c:ext xmlns:c15="http://schemas.microsoft.com/office/drawing/2012/chart" uri="{CE6537A1-D6FC-4f65-9D91-7224C49458BB}"/>
                <c:ext xmlns:c16="http://schemas.microsoft.com/office/drawing/2014/chart" uri="{C3380CC4-5D6E-409C-BE32-E72D297353CC}">
                  <c16:uniqueId val="{00000011-FD52-4384-8B8E-34450369BDF7}"/>
                </c:ext>
              </c:extLst>
            </c:dLbl>
            <c:dLbl>
              <c:idx val="18"/>
              <c:delete val="1"/>
              <c:extLst>
                <c:ext xmlns:c15="http://schemas.microsoft.com/office/drawing/2012/chart" uri="{CE6537A1-D6FC-4f65-9D91-7224C49458BB}"/>
                <c:ext xmlns:c16="http://schemas.microsoft.com/office/drawing/2014/chart" uri="{C3380CC4-5D6E-409C-BE32-E72D297353CC}">
                  <c16:uniqueId val="{00000012-FD52-4384-8B8E-34450369BDF7}"/>
                </c:ext>
              </c:extLst>
            </c:dLbl>
            <c:dLbl>
              <c:idx val="19"/>
              <c:layout>
                <c:manualLayout>
                  <c:x val="1.7640573318632856E-2"/>
                  <c:y val="-0.30922447543219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D52-4384-8B8E-34450369BDF7}"/>
                </c:ext>
              </c:extLst>
            </c:dLbl>
            <c:dLbl>
              <c:idx val="20"/>
              <c:delete val="1"/>
              <c:extLst>
                <c:ext xmlns:c15="http://schemas.microsoft.com/office/drawing/2012/chart" uri="{CE6537A1-D6FC-4f65-9D91-7224C49458BB}"/>
                <c:ext xmlns:c16="http://schemas.microsoft.com/office/drawing/2014/chart" uri="{C3380CC4-5D6E-409C-BE32-E72D297353CC}">
                  <c16:uniqueId val="{00000014-FD52-4384-8B8E-34450369BDF7}"/>
                </c:ext>
              </c:extLst>
            </c:dLbl>
            <c:dLbl>
              <c:idx val="21"/>
              <c:delete val="1"/>
              <c:extLst>
                <c:ext xmlns:c15="http://schemas.microsoft.com/office/drawing/2012/chart" uri="{CE6537A1-D6FC-4f65-9D91-7224C49458BB}"/>
                <c:ext xmlns:c16="http://schemas.microsoft.com/office/drawing/2014/chart" uri="{C3380CC4-5D6E-409C-BE32-E72D297353CC}">
                  <c16:uniqueId val="{00000015-FD52-4384-8B8E-34450369BDF7}"/>
                </c:ext>
              </c:extLst>
            </c:dLbl>
            <c:dLbl>
              <c:idx val="22"/>
              <c:delete val="1"/>
              <c:extLst>
                <c:ext xmlns:c15="http://schemas.microsoft.com/office/drawing/2012/chart" uri="{CE6537A1-D6FC-4f65-9D91-7224C49458BB}"/>
                <c:ext xmlns:c16="http://schemas.microsoft.com/office/drawing/2014/chart" uri="{C3380CC4-5D6E-409C-BE32-E72D297353CC}">
                  <c16:uniqueId val="{00000016-FD52-4384-8B8E-34450369BDF7}"/>
                </c:ext>
              </c:extLst>
            </c:dLbl>
            <c:dLbl>
              <c:idx val="23"/>
              <c:delete val="1"/>
              <c:extLst>
                <c:ext xmlns:c15="http://schemas.microsoft.com/office/drawing/2012/chart" uri="{CE6537A1-D6FC-4f65-9D91-7224C49458BB}"/>
                <c:ext xmlns:c16="http://schemas.microsoft.com/office/drawing/2014/chart" uri="{C3380CC4-5D6E-409C-BE32-E72D297353CC}">
                  <c16:uniqueId val="{00000017-FD52-4384-8B8E-34450369BDF7}"/>
                </c:ext>
              </c:extLst>
            </c:dLbl>
            <c:dLbl>
              <c:idx val="24"/>
              <c:delete val="1"/>
              <c:extLst>
                <c:ext xmlns:c15="http://schemas.microsoft.com/office/drawing/2012/chart" uri="{CE6537A1-D6FC-4f65-9D91-7224C49458BB}"/>
                <c:ext xmlns:c16="http://schemas.microsoft.com/office/drawing/2014/chart" uri="{C3380CC4-5D6E-409C-BE32-E72D297353CC}">
                  <c16:uniqueId val="{00000018-FD52-4384-8B8E-34450369BDF7}"/>
                </c:ext>
              </c:extLst>
            </c:dLbl>
            <c:dLbl>
              <c:idx val="25"/>
              <c:delete val="1"/>
              <c:extLst>
                <c:ext xmlns:c15="http://schemas.microsoft.com/office/drawing/2012/chart" uri="{CE6537A1-D6FC-4f65-9D91-7224C49458BB}"/>
                <c:ext xmlns:c16="http://schemas.microsoft.com/office/drawing/2014/chart" uri="{C3380CC4-5D6E-409C-BE32-E72D297353CC}">
                  <c16:uniqueId val="{00000019-FD52-4384-8B8E-34450369BDF7}"/>
                </c:ext>
              </c:extLst>
            </c:dLbl>
            <c:dLbl>
              <c:idx val="26"/>
              <c:layout>
                <c:manualLayout>
                  <c:x val="2.149151085321298E-3"/>
                  <c:y val="-0.33092037228541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FD52-4384-8B8E-34450369BDF7}"/>
                </c:ext>
              </c:extLst>
            </c:dLbl>
            <c:dLbl>
              <c:idx val="27"/>
              <c:delete val="1"/>
              <c:extLst>
                <c:ext xmlns:c15="http://schemas.microsoft.com/office/drawing/2012/chart" uri="{CE6537A1-D6FC-4f65-9D91-7224C49458BB}"/>
                <c:ext xmlns:c16="http://schemas.microsoft.com/office/drawing/2014/chart" uri="{C3380CC4-5D6E-409C-BE32-E72D297353CC}">
                  <c16:uniqueId val="{0000001B-FD52-4384-8B8E-34450369BDF7}"/>
                </c:ext>
              </c:extLst>
            </c:dLbl>
            <c:dLbl>
              <c:idx val="28"/>
              <c:delete val="1"/>
              <c:extLst>
                <c:ext xmlns:c15="http://schemas.microsoft.com/office/drawing/2012/chart" uri="{CE6537A1-D6FC-4f65-9D91-7224C49458BB}"/>
                <c:ext xmlns:c16="http://schemas.microsoft.com/office/drawing/2014/chart" uri="{C3380CC4-5D6E-409C-BE32-E72D297353CC}">
                  <c16:uniqueId val="{0000001C-FD52-4384-8B8E-34450369BDF7}"/>
                </c:ext>
              </c:extLst>
            </c:dLbl>
            <c:dLbl>
              <c:idx val="29"/>
              <c:delete val="1"/>
              <c:extLst>
                <c:ext xmlns:c15="http://schemas.microsoft.com/office/drawing/2012/chart" uri="{CE6537A1-D6FC-4f65-9D91-7224C49458BB}"/>
                <c:ext xmlns:c16="http://schemas.microsoft.com/office/drawing/2014/chart" uri="{C3380CC4-5D6E-409C-BE32-E72D297353CC}">
                  <c16:uniqueId val="{0000001D-FD52-4384-8B8E-34450369BDF7}"/>
                </c:ext>
              </c:extLst>
            </c:dLbl>
            <c:dLbl>
              <c:idx val="30"/>
              <c:delete val="1"/>
              <c:extLst>
                <c:ext xmlns:c15="http://schemas.microsoft.com/office/drawing/2012/chart" uri="{CE6537A1-D6FC-4f65-9D91-7224C49458BB}"/>
                <c:ext xmlns:c16="http://schemas.microsoft.com/office/drawing/2014/chart" uri="{C3380CC4-5D6E-409C-BE32-E72D297353CC}">
                  <c16:uniqueId val="{0000001E-FD52-4384-8B8E-34450369BDF7}"/>
                </c:ext>
              </c:extLst>
            </c:dLbl>
            <c:dLbl>
              <c:idx val="31"/>
              <c:delete val="1"/>
              <c:extLst>
                <c:ext xmlns:c15="http://schemas.microsoft.com/office/drawing/2012/chart" uri="{CE6537A1-D6FC-4f65-9D91-7224C49458BB}"/>
                <c:ext xmlns:c16="http://schemas.microsoft.com/office/drawing/2014/chart" uri="{C3380CC4-5D6E-409C-BE32-E72D297353CC}">
                  <c16:uniqueId val="{0000001F-FD52-4384-8B8E-34450369BDF7}"/>
                </c:ext>
              </c:extLst>
            </c:dLbl>
            <c:dLbl>
              <c:idx val="32"/>
              <c:delete val="1"/>
              <c:extLst>
                <c:ext xmlns:c15="http://schemas.microsoft.com/office/drawing/2012/chart" uri="{CE6537A1-D6FC-4f65-9D91-7224C49458BB}"/>
                <c:ext xmlns:c16="http://schemas.microsoft.com/office/drawing/2014/chart" uri="{C3380CC4-5D6E-409C-BE32-E72D297353CC}">
                  <c16:uniqueId val="{00000020-FD52-4384-8B8E-34450369BDF7}"/>
                </c:ext>
              </c:extLst>
            </c:dLbl>
            <c:dLbl>
              <c:idx val="33"/>
              <c:delete val="1"/>
              <c:extLst>
                <c:ext xmlns:c15="http://schemas.microsoft.com/office/drawing/2012/chart" uri="{CE6537A1-D6FC-4f65-9D91-7224C49458BB}"/>
                <c:ext xmlns:c16="http://schemas.microsoft.com/office/drawing/2014/chart" uri="{C3380CC4-5D6E-409C-BE32-E72D297353CC}">
                  <c16:uniqueId val="{00000021-FD52-4384-8B8E-34450369BDF7}"/>
                </c:ext>
              </c:extLst>
            </c:dLbl>
            <c:dLbl>
              <c:idx val="34"/>
              <c:delete val="1"/>
              <c:extLst>
                <c:ext xmlns:c15="http://schemas.microsoft.com/office/drawing/2012/chart" uri="{CE6537A1-D6FC-4f65-9D91-7224C49458BB}"/>
                <c:ext xmlns:c16="http://schemas.microsoft.com/office/drawing/2014/chart" uri="{C3380CC4-5D6E-409C-BE32-E72D297353CC}">
                  <c16:uniqueId val="{00000022-FD52-4384-8B8E-34450369BDF7}"/>
                </c:ext>
              </c:extLst>
            </c:dLbl>
            <c:dLbl>
              <c:idx val="35"/>
              <c:delete val="1"/>
              <c:extLst>
                <c:ext xmlns:c15="http://schemas.microsoft.com/office/drawing/2012/chart" uri="{CE6537A1-D6FC-4f65-9D91-7224C49458BB}"/>
                <c:ext xmlns:c16="http://schemas.microsoft.com/office/drawing/2014/chart" uri="{C3380CC4-5D6E-409C-BE32-E72D297353CC}">
                  <c16:uniqueId val="{00000023-FD52-4384-8B8E-34450369BDF7}"/>
                </c:ext>
              </c:extLst>
            </c:dLbl>
            <c:dLbl>
              <c:idx val="36"/>
              <c:layout>
                <c:manualLayout>
                  <c:x val="-1.074575542660649E-3"/>
                  <c:y val="-0.39085517619501292"/>
                </c:manualLayout>
              </c:layout>
              <c:numFmt formatCode="#,##0" sourceLinked="0"/>
              <c:spPr>
                <a:noFill/>
                <a:ln>
                  <a:noFill/>
                </a:ln>
                <a:effectLst/>
              </c:spPr>
              <c:txPr>
                <a:bodyPr wrap="square" lIns="38100" tIns="19050" rIns="38100" bIns="19050" anchor="ctr">
                  <a:noAutofit/>
                </a:bodyPr>
                <a:lstStyle/>
                <a:p>
                  <a:pPr>
                    <a:defRPr b="1"/>
                  </a:pPr>
                  <a:endParaRPr lang="lv-LV"/>
                </a:p>
              </c:txPr>
              <c:showLegendKey val="0"/>
              <c:showVal val="1"/>
              <c:showCatName val="0"/>
              <c:showSerName val="0"/>
              <c:showPercent val="0"/>
              <c:showBubbleSize val="0"/>
              <c:extLst>
                <c:ext xmlns:c15="http://schemas.microsoft.com/office/drawing/2012/chart" uri="{CE6537A1-D6FC-4f65-9D91-7224C49458BB}">
                  <c15:layout>
                    <c:manualLayout>
                      <c:w val="6.9643156307589216E-2"/>
                      <c:h val="0.12164797911119436"/>
                    </c:manualLayout>
                  </c15:layout>
                </c:ext>
                <c:ext xmlns:c16="http://schemas.microsoft.com/office/drawing/2014/chart" uri="{C3380CC4-5D6E-409C-BE32-E72D297353CC}">
                  <c16:uniqueId val="{00000024-FD52-4384-8B8E-34450369BDF7}"/>
                </c:ext>
              </c:extLst>
            </c:dLbl>
            <c:spPr>
              <a:noFill/>
              <a:ln>
                <a:noFill/>
              </a:ln>
              <a:effectLst/>
            </c:spPr>
            <c:txPr>
              <a:bodyPr wrap="square" lIns="38100" tIns="19050" rIns="38100" bIns="19050" anchor="ctr">
                <a:spAutoFit/>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Sheet1!$B$1:$AL$1</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Sheet1!$B$2:$AL$2</c:f>
              <c:numCache>
                <c:formatCode>0</c:formatCode>
                <c:ptCount val="37"/>
                <c:pt idx="0">
                  <c:v>464.82143040985039</c:v>
                </c:pt>
                <c:pt idx="1">
                  <c:v>462.16239402896605</c:v>
                </c:pt>
                <c:pt idx="2">
                  <c:v>460.37237668725811</c:v>
                </c:pt>
                <c:pt idx="3">
                  <c:v>462.02368266029481</c:v>
                </c:pt>
                <c:pt idx="4">
                  <c:v>462.12195501050326</c:v>
                </c:pt>
                <c:pt idx="5">
                  <c:v>468.5384103532096</c:v>
                </c:pt>
                <c:pt idx="6">
                  <c:v>476.64016077624956</c:v>
                </c:pt>
                <c:pt idx="7">
                  <c:v>483.00262630797141</c:v>
                </c:pt>
                <c:pt idx="8">
                  <c:v>489.18910061502942</c:v>
                </c:pt>
                <c:pt idx="9">
                  <c:v>497.21651963232165</c:v>
                </c:pt>
                <c:pt idx="10">
                  <c:v>510.00740115385571</c:v>
                </c:pt>
                <c:pt idx="11">
                  <c:v>523.89779789764441</c:v>
                </c:pt>
                <c:pt idx="12">
                  <c:v>535.71372859781366</c:v>
                </c:pt>
                <c:pt idx="13">
                  <c:v>549.40808186744209</c:v>
                </c:pt>
                <c:pt idx="14">
                  <c:v>559.69376647879824</c:v>
                </c:pt>
                <c:pt idx="15">
                  <c:v>566.15866267398314</c:v>
                </c:pt>
                <c:pt idx="16">
                  <c:v>575.19276278741017</c:v>
                </c:pt>
                <c:pt idx="17">
                  <c:v>582.23872526528419</c:v>
                </c:pt>
                <c:pt idx="18">
                  <c:v>584.06424229526522</c:v>
                </c:pt>
                <c:pt idx="19">
                  <c:v>585.54007071327112</c:v>
                </c:pt>
                <c:pt idx="20">
                  <c:v>586.89773156931858</c:v>
                </c:pt>
                <c:pt idx="21">
                  <c:v>592.70611393468437</c:v>
                </c:pt>
                <c:pt idx="22">
                  <c:v>600.87136727469976</c:v>
                </c:pt>
                <c:pt idx="23">
                  <c:v>609.33744856691624</c:v>
                </c:pt>
                <c:pt idx="24">
                  <c:v>614.53493951921064</c:v>
                </c:pt>
                <c:pt idx="25">
                  <c:v>617.12309580044621</c:v>
                </c:pt>
                <c:pt idx="26">
                  <c:v>616.80168313537911</c:v>
                </c:pt>
                <c:pt idx="27">
                  <c:v>614.44695625984571</c:v>
                </c:pt>
                <c:pt idx="28">
                  <c:v>612.70797164351848</c:v>
                </c:pt>
                <c:pt idx="29">
                  <c:v>612.18883294953764</c:v>
                </c:pt>
                <c:pt idx="30">
                  <c:v>613.70754232566264</c:v>
                </c:pt>
                <c:pt idx="31">
                  <c:v>616.05557368164671</c:v>
                </c:pt>
                <c:pt idx="32">
                  <c:v>621.09286374980366</c:v>
                </c:pt>
                <c:pt idx="33">
                  <c:v>627.0075829970242</c:v>
                </c:pt>
                <c:pt idx="34" formatCode="General">
                  <c:v>634.86220978885888</c:v>
                </c:pt>
                <c:pt idx="35" formatCode="General">
                  <c:v>645.70452265820325</c:v>
                </c:pt>
                <c:pt idx="36" formatCode="General">
                  <c:v>656.104867502567</c:v>
                </c:pt>
              </c:numCache>
            </c:numRef>
          </c:val>
          <c:extLst>
            <c:ext xmlns:c16="http://schemas.microsoft.com/office/drawing/2014/chart" uri="{C3380CC4-5D6E-409C-BE32-E72D297353CC}">
              <c16:uniqueId val="{00000025-FD52-4384-8B8E-34450369BDF7}"/>
            </c:ext>
          </c:extLst>
        </c:ser>
        <c:dLbls>
          <c:showLegendKey val="0"/>
          <c:showVal val="0"/>
          <c:showCatName val="0"/>
          <c:showSerName val="0"/>
          <c:showPercent val="0"/>
          <c:showBubbleSize val="0"/>
        </c:dLbls>
        <c:axId val="742107536"/>
        <c:axId val="742121648"/>
      </c:areaChart>
      <c:catAx>
        <c:axId val="742107536"/>
        <c:scaling>
          <c:orientation val="minMax"/>
        </c:scaling>
        <c:delete val="0"/>
        <c:axPos val="b"/>
        <c:numFmt formatCode="General" sourceLinked="1"/>
        <c:majorTickMark val="out"/>
        <c:minorTickMark val="none"/>
        <c:tickLblPos val="nextTo"/>
        <c:txPr>
          <a:bodyPr rot="0" vert="horz"/>
          <a:lstStyle/>
          <a:p>
            <a:pPr>
              <a:defRPr/>
            </a:pPr>
            <a:endParaRPr lang="lv-LV"/>
          </a:p>
        </c:txPr>
        <c:crossAx val="742121648"/>
        <c:crosses val="autoZero"/>
        <c:auto val="1"/>
        <c:lblAlgn val="ctr"/>
        <c:lblOffset val="100"/>
        <c:noMultiLvlLbl val="0"/>
      </c:catAx>
      <c:valAx>
        <c:axId val="742121648"/>
        <c:scaling>
          <c:orientation val="minMax"/>
          <c:min val="450"/>
        </c:scaling>
        <c:delete val="0"/>
        <c:axPos val="l"/>
        <c:numFmt formatCode="0" sourceLinked="0"/>
        <c:majorTickMark val="out"/>
        <c:minorTickMark val="none"/>
        <c:tickLblPos val="nextTo"/>
        <c:spPr>
          <a:ln>
            <a:noFill/>
          </a:ln>
        </c:spPr>
        <c:txPr>
          <a:bodyPr rot="0" vert="horz"/>
          <a:lstStyle/>
          <a:p>
            <a:pPr>
              <a:defRPr/>
            </a:pPr>
            <a:endParaRPr lang="lv-LV"/>
          </a:p>
        </c:txPr>
        <c:crossAx val="742107536"/>
        <c:crosses val="autoZero"/>
        <c:crossBetween val="midCat"/>
        <c:majorUnit val="50"/>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738946093276803E-2"/>
          <c:y val="3.0412499999999988E-2"/>
          <c:w val="0.94926105390672322"/>
          <c:h val="0.91188476440444943"/>
        </c:manualLayout>
      </c:layout>
      <c:barChart>
        <c:barDir val="col"/>
        <c:grouping val="clustered"/>
        <c:varyColors val="0"/>
        <c:ser>
          <c:idx val="0"/>
          <c:order val="0"/>
          <c:tx>
            <c:strRef>
              <c:f>Sheet1!$B$1</c:f>
              <c:strCache>
                <c:ptCount val="1"/>
                <c:pt idx="0">
                  <c:v>Series 1</c:v>
                </c:pt>
              </c:strCache>
            </c:strRef>
          </c:tx>
          <c:spPr>
            <a:solidFill>
              <a:srgbClr val="F79646">
                <a:lumMod val="75000"/>
              </a:srgbClr>
            </a:solidFill>
          </c:spPr>
          <c:invertIfNegative val="0"/>
          <c:dPt>
            <c:idx val="19"/>
            <c:invertIfNegative val="0"/>
            <c:bubble3D val="0"/>
            <c:spPr>
              <a:solidFill>
                <a:srgbClr val="ED7D31">
                  <a:lumMod val="75000"/>
                </a:srgbClr>
              </a:solidFill>
            </c:spPr>
            <c:extLst>
              <c:ext xmlns:c16="http://schemas.microsoft.com/office/drawing/2014/chart" uri="{C3380CC4-5D6E-409C-BE32-E72D297353CC}">
                <c16:uniqueId val="{00000001-0717-4805-9F79-DC3729E22821}"/>
              </c:ext>
            </c:extLst>
          </c:dPt>
          <c:dPt>
            <c:idx val="20"/>
            <c:invertIfNegative val="0"/>
            <c:bubble3D val="0"/>
            <c:spPr>
              <a:solidFill>
                <a:srgbClr val="ED7D31">
                  <a:lumMod val="60000"/>
                  <a:lumOff val="40000"/>
                </a:srgbClr>
              </a:solidFill>
            </c:spPr>
            <c:extLst>
              <c:ext xmlns:c16="http://schemas.microsoft.com/office/drawing/2014/chart" uri="{C3380CC4-5D6E-409C-BE32-E72D297353CC}">
                <c16:uniqueId val="{00000003-0717-4805-9F79-DC3729E22821}"/>
              </c:ext>
            </c:extLst>
          </c:dPt>
          <c:dPt>
            <c:idx val="21"/>
            <c:invertIfNegative val="0"/>
            <c:bubble3D val="0"/>
            <c:spPr>
              <a:solidFill>
                <a:srgbClr val="ED7D31">
                  <a:lumMod val="60000"/>
                  <a:lumOff val="40000"/>
                </a:srgbClr>
              </a:solidFill>
            </c:spPr>
            <c:extLst>
              <c:ext xmlns:c16="http://schemas.microsoft.com/office/drawing/2014/chart" uri="{C3380CC4-5D6E-409C-BE32-E72D297353CC}">
                <c16:uniqueId val="{00000005-0717-4805-9F79-DC3729E22821}"/>
              </c:ext>
            </c:extLst>
          </c:dPt>
          <c:dPt>
            <c:idx val="22"/>
            <c:invertIfNegative val="0"/>
            <c:bubble3D val="0"/>
            <c:spPr>
              <a:solidFill>
                <a:srgbClr val="ED7D31">
                  <a:lumMod val="60000"/>
                  <a:lumOff val="40000"/>
                </a:srgbClr>
              </a:solidFill>
            </c:spPr>
            <c:extLst>
              <c:ext xmlns:c16="http://schemas.microsoft.com/office/drawing/2014/chart" uri="{C3380CC4-5D6E-409C-BE32-E72D297353CC}">
                <c16:uniqueId val="{00000007-0717-4805-9F79-DC3729E22821}"/>
              </c:ext>
            </c:extLst>
          </c:dPt>
          <c:dPt>
            <c:idx val="23"/>
            <c:invertIfNegative val="0"/>
            <c:bubble3D val="0"/>
            <c:spPr>
              <a:solidFill>
                <a:srgbClr val="ED7D31">
                  <a:lumMod val="60000"/>
                  <a:lumOff val="40000"/>
                </a:srgbClr>
              </a:solidFill>
            </c:spPr>
            <c:extLst>
              <c:ext xmlns:c16="http://schemas.microsoft.com/office/drawing/2014/chart" uri="{C3380CC4-5D6E-409C-BE32-E72D297353CC}">
                <c16:uniqueId val="{00000009-0717-4805-9F79-DC3729E22821}"/>
              </c:ext>
            </c:extLst>
          </c:dPt>
          <c:dPt>
            <c:idx val="24"/>
            <c:invertIfNegative val="0"/>
            <c:bubble3D val="0"/>
            <c:spPr>
              <a:solidFill>
                <a:srgbClr val="ED7D31">
                  <a:lumMod val="60000"/>
                  <a:lumOff val="40000"/>
                </a:srgbClr>
              </a:solidFill>
            </c:spPr>
            <c:extLst>
              <c:ext xmlns:c16="http://schemas.microsoft.com/office/drawing/2014/chart" uri="{C3380CC4-5D6E-409C-BE32-E72D297353CC}">
                <c16:uniqueId val="{0000000B-0717-4805-9F79-DC3729E22821}"/>
              </c:ext>
            </c:extLst>
          </c:dPt>
          <c:dPt>
            <c:idx val="25"/>
            <c:invertIfNegative val="0"/>
            <c:bubble3D val="0"/>
            <c:spPr>
              <a:solidFill>
                <a:srgbClr val="ED7D31">
                  <a:lumMod val="60000"/>
                  <a:lumOff val="40000"/>
                </a:srgbClr>
              </a:solidFill>
            </c:spPr>
            <c:extLst>
              <c:ext xmlns:c16="http://schemas.microsoft.com/office/drawing/2014/chart" uri="{C3380CC4-5D6E-409C-BE32-E72D297353CC}">
                <c16:uniqueId val="{0000000D-0717-4805-9F79-DC3729E22821}"/>
              </c:ext>
            </c:extLst>
          </c:dPt>
          <c:dPt>
            <c:idx val="26"/>
            <c:invertIfNegative val="0"/>
            <c:bubble3D val="0"/>
            <c:spPr>
              <a:solidFill>
                <a:srgbClr val="ED7D31">
                  <a:lumMod val="60000"/>
                  <a:lumOff val="40000"/>
                </a:srgbClr>
              </a:solidFill>
            </c:spPr>
            <c:extLst>
              <c:ext xmlns:c16="http://schemas.microsoft.com/office/drawing/2014/chart" uri="{C3380CC4-5D6E-409C-BE32-E72D297353CC}">
                <c16:uniqueId val="{0000000F-0717-4805-9F79-DC3729E22821}"/>
              </c:ext>
            </c:extLst>
          </c:dPt>
          <c:dPt>
            <c:idx val="27"/>
            <c:invertIfNegative val="0"/>
            <c:bubble3D val="0"/>
            <c:spPr>
              <a:solidFill>
                <a:srgbClr val="ED7D31">
                  <a:lumMod val="60000"/>
                  <a:lumOff val="40000"/>
                </a:srgbClr>
              </a:solidFill>
            </c:spPr>
            <c:extLst>
              <c:ext xmlns:c16="http://schemas.microsoft.com/office/drawing/2014/chart" uri="{C3380CC4-5D6E-409C-BE32-E72D297353CC}">
                <c16:uniqueId val="{00000011-0717-4805-9F79-DC3729E22821}"/>
              </c:ext>
            </c:extLst>
          </c:dPt>
          <c:dPt>
            <c:idx val="28"/>
            <c:invertIfNegative val="0"/>
            <c:bubble3D val="0"/>
            <c:spPr>
              <a:solidFill>
                <a:srgbClr val="ED7D31">
                  <a:lumMod val="60000"/>
                  <a:lumOff val="40000"/>
                </a:srgbClr>
              </a:solidFill>
            </c:spPr>
            <c:extLst>
              <c:ext xmlns:c16="http://schemas.microsoft.com/office/drawing/2014/chart" uri="{C3380CC4-5D6E-409C-BE32-E72D297353CC}">
                <c16:uniqueId val="{00000013-0717-4805-9F79-DC3729E22821}"/>
              </c:ext>
            </c:extLst>
          </c:dPt>
          <c:dPt>
            <c:idx val="29"/>
            <c:invertIfNegative val="0"/>
            <c:bubble3D val="0"/>
            <c:spPr>
              <a:solidFill>
                <a:srgbClr val="ED7D31">
                  <a:lumMod val="60000"/>
                  <a:lumOff val="40000"/>
                </a:srgbClr>
              </a:solidFill>
            </c:spPr>
            <c:extLst>
              <c:ext xmlns:c16="http://schemas.microsoft.com/office/drawing/2014/chart" uri="{C3380CC4-5D6E-409C-BE32-E72D297353CC}">
                <c16:uniqueId val="{00000015-0717-4805-9F79-DC3729E22821}"/>
              </c:ext>
            </c:extLst>
          </c:dPt>
          <c:dPt>
            <c:idx val="30"/>
            <c:invertIfNegative val="0"/>
            <c:bubble3D val="0"/>
            <c:spPr>
              <a:solidFill>
                <a:srgbClr val="ED7D31">
                  <a:lumMod val="60000"/>
                  <a:lumOff val="40000"/>
                </a:srgbClr>
              </a:solidFill>
            </c:spPr>
            <c:extLst>
              <c:ext xmlns:c16="http://schemas.microsoft.com/office/drawing/2014/chart" uri="{C3380CC4-5D6E-409C-BE32-E72D297353CC}">
                <c16:uniqueId val="{00000017-0717-4805-9F79-DC3729E22821}"/>
              </c:ext>
            </c:extLst>
          </c:dPt>
          <c:dPt>
            <c:idx val="31"/>
            <c:invertIfNegative val="0"/>
            <c:bubble3D val="0"/>
            <c:spPr>
              <a:solidFill>
                <a:srgbClr val="ED7D31">
                  <a:lumMod val="60000"/>
                  <a:lumOff val="40000"/>
                </a:srgbClr>
              </a:solidFill>
            </c:spPr>
            <c:extLst>
              <c:ext xmlns:c16="http://schemas.microsoft.com/office/drawing/2014/chart" uri="{C3380CC4-5D6E-409C-BE32-E72D297353CC}">
                <c16:uniqueId val="{00000019-0717-4805-9F79-DC3729E22821}"/>
              </c:ext>
            </c:extLst>
          </c:dPt>
          <c:dPt>
            <c:idx val="32"/>
            <c:invertIfNegative val="0"/>
            <c:bubble3D val="0"/>
            <c:spPr>
              <a:solidFill>
                <a:srgbClr val="ED7D31">
                  <a:lumMod val="60000"/>
                  <a:lumOff val="40000"/>
                </a:srgbClr>
              </a:solidFill>
            </c:spPr>
            <c:extLst>
              <c:ext xmlns:c16="http://schemas.microsoft.com/office/drawing/2014/chart" uri="{C3380CC4-5D6E-409C-BE32-E72D297353CC}">
                <c16:uniqueId val="{0000001B-0717-4805-9F79-DC3729E22821}"/>
              </c:ext>
            </c:extLst>
          </c:dPt>
          <c:dPt>
            <c:idx val="33"/>
            <c:invertIfNegative val="0"/>
            <c:bubble3D val="0"/>
            <c:spPr>
              <a:solidFill>
                <a:srgbClr val="ED7D31">
                  <a:lumMod val="60000"/>
                  <a:lumOff val="40000"/>
                </a:srgbClr>
              </a:solidFill>
            </c:spPr>
            <c:extLst>
              <c:ext xmlns:c16="http://schemas.microsoft.com/office/drawing/2014/chart" uri="{C3380CC4-5D6E-409C-BE32-E72D297353CC}">
                <c16:uniqueId val="{0000001D-0717-4805-9F79-DC3729E22821}"/>
              </c:ext>
            </c:extLst>
          </c:dPt>
          <c:dPt>
            <c:idx val="34"/>
            <c:invertIfNegative val="0"/>
            <c:bubble3D val="0"/>
            <c:spPr>
              <a:solidFill>
                <a:srgbClr val="ED7D31">
                  <a:lumMod val="60000"/>
                  <a:lumOff val="40000"/>
                </a:srgbClr>
              </a:solidFill>
            </c:spPr>
            <c:extLst>
              <c:ext xmlns:c16="http://schemas.microsoft.com/office/drawing/2014/chart" uri="{C3380CC4-5D6E-409C-BE32-E72D297353CC}">
                <c16:uniqueId val="{0000001F-0717-4805-9F79-DC3729E22821}"/>
              </c:ext>
            </c:extLst>
          </c:dPt>
          <c:dPt>
            <c:idx val="35"/>
            <c:invertIfNegative val="0"/>
            <c:bubble3D val="0"/>
            <c:spPr>
              <a:solidFill>
                <a:srgbClr val="ED7D31">
                  <a:lumMod val="60000"/>
                  <a:lumOff val="40000"/>
                </a:srgbClr>
              </a:solidFill>
            </c:spPr>
            <c:extLst>
              <c:ext xmlns:c16="http://schemas.microsoft.com/office/drawing/2014/chart" uri="{C3380CC4-5D6E-409C-BE32-E72D297353CC}">
                <c16:uniqueId val="{00000021-0717-4805-9F79-DC3729E22821}"/>
              </c:ext>
            </c:extLst>
          </c:dPt>
          <c:dPt>
            <c:idx val="36"/>
            <c:invertIfNegative val="0"/>
            <c:bubble3D val="0"/>
            <c:spPr>
              <a:solidFill>
                <a:srgbClr val="ED7D31">
                  <a:lumMod val="60000"/>
                  <a:lumOff val="40000"/>
                </a:srgbClr>
              </a:solidFill>
            </c:spPr>
            <c:extLst>
              <c:ext xmlns:c16="http://schemas.microsoft.com/office/drawing/2014/chart" uri="{C3380CC4-5D6E-409C-BE32-E72D297353CC}">
                <c16:uniqueId val="{00000023-0717-4805-9F79-DC3729E22821}"/>
              </c:ext>
            </c:extLst>
          </c:dPt>
          <c:dLbls>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0717-4805-9F79-DC3729E22821}"/>
                </c:ext>
              </c:extLst>
            </c:dLbl>
            <c:dLbl>
              <c:idx val="1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17-4805-9F79-DC3729E22821}"/>
                </c:ext>
              </c:extLst>
            </c:dLbl>
            <c:dLbl>
              <c:idx val="2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717-4805-9F79-DC3729E22821}"/>
                </c:ext>
              </c:extLst>
            </c:dLbl>
            <c:dLbl>
              <c:idx val="3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0717-4805-9F79-DC3729E22821}"/>
                </c:ext>
              </c:extLst>
            </c:dLbl>
            <c:numFmt formatCode="#,##0.0" sourceLinked="0"/>
            <c:spPr>
              <a:noFill/>
              <a:ln>
                <a:noFill/>
              </a:ln>
              <a:effectLst/>
            </c:spPr>
            <c:txPr>
              <a:bodyPr wrap="square" lIns="38100" tIns="19050" rIns="38100" bIns="19050" anchor="ctr">
                <a:spAutoFit/>
              </a:bodyPr>
              <a:lstStyle/>
              <a:p>
                <a:pPr>
                  <a:defRPr sz="800" b="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Sheet1!$A$2:$A$58</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Sheet1!$B$2:$B$58</c:f>
              <c:numCache>
                <c:formatCode>General</c:formatCode>
                <c:ptCount val="37"/>
                <c:pt idx="0">
                  <c:v>-15.323</c:v>
                </c:pt>
                <c:pt idx="1">
                  <c:v>-10.952</c:v>
                </c:pt>
                <c:pt idx="2">
                  <c:v>-8.8070000000000004</c:v>
                </c:pt>
                <c:pt idx="3">
                  <c:v>-7.9459999999999997</c:v>
                </c:pt>
                <c:pt idx="4">
                  <c:v>-22.367000000000001</c:v>
                </c:pt>
                <c:pt idx="5">
                  <c:v>-34.476999999999997</c:v>
                </c:pt>
                <c:pt idx="6">
                  <c:v>-35.64</c:v>
                </c:pt>
                <c:pt idx="7">
                  <c:v>-20.077000000000002</c:v>
                </c:pt>
                <c:pt idx="8">
                  <c:v>-11.86</c:v>
                </c:pt>
                <c:pt idx="9">
                  <c:v>-14.262</c:v>
                </c:pt>
                <c:pt idx="10">
                  <c:v>-8.6519999999999992</c:v>
                </c:pt>
                <c:pt idx="11">
                  <c:v>-10.64</c:v>
                </c:pt>
                <c:pt idx="12">
                  <c:v>-12.228999999999999</c:v>
                </c:pt>
                <c:pt idx="13">
                  <c:v>-7.8079999999999998</c:v>
                </c:pt>
                <c:pt idx="14">
                  <c:v>-4.9050000000000002</c:v>
                </c:pt>
                <c:pt idx="15">
                  <c:v>-3.36</c:v>
                </c:pt>
                <c:pt idx="16">
                  <c:v>-3.15</c:v>
                </c:pt>
                <c:pt idx="17">
                  <c:v>-0.28599999999999998</c:v>
                </c:pt>
                <c:pt idx="18">
                  <c:v>22.027999999999999</c:v>
                </c:pt>
                <c:pt idx="19">
                  <c:v>2.4090000000000025</c:v>
                </c:pt>
                <c:pt idx="20">
                  <c:v>-2.8539999999999992</c:v>
                </c:pt>
                <c:pt idx="21">
                  <c:v>-2.1449999999999996</c:v>
                </c:pt>
                <c:pt idx="22">
                  <c:v>-1.5970000000000013</c:v>
                </c:pt>
                <c:pt idx="23">
                  <c:v>0.22699999999999854</c:v>
                </c:pt>
                <c:pt idx="24">
                  <c:v>1.1039999999999992</c:v>
                </c:pt>
                <c:pt idx="25">
                  <c:v>2.072000000000001</c:v>
                </c:pt>
                <c:pt idx="26">
                  <c:v>2.5260000000000016</c:v>
                </c:pt>
                <c:pt idx="27">
                  <c:v>3.1160000000000014</c:v>
                </c:pt>
                <c:pt idx="28">
                  <c:v>3.652000000000001</c:v>
                </c:pt>
                <c:pt idx="29">
                  <c:v>4.1509999999999998</c:v>
                </c:pt>
                <c:pt idx="30">
                  <c:v>4.6090000000000018</c:v>
                </c:pt>
                <c:pt idx="31">
                  <c:v>5.0429999999999993</c:v>
                </c:pt>
                <c:pt idx="32">
                  <c:v>5.4550000000000001</c:v>
                </c:pt>
                <c:pt idx="33">
                  <c:v>5.843</c:v>
                </c:pt>
                <c:pt idx="34">
                  <c:v>6.1929999999999996</c:v>
                </c:pt>
                <c:pt idx="35">
                  <c:v>6.4930000000000021</c:v>
                </c:pt>
                <c:pt idx="36">
                  <c:v>6.8140000000000001</c:v>
                </c:pt>
              </c:numCache>
            </c:numRef>
          </c:val>
          <c:extLst>
            <c:ext xmlns:c16="http://schemas.microsoft.com/office/drawing/2014/chart" uri="{C3380CC4-5D6E-409C-BE32-E72D297353CC}">
              <c16:uniqueId val="{00000025-0717-4805-9F79-DC3729E22821}"/>
            </c:ext>
          </c:extLst>
        </c:ser>
        <c:dLbls>
          <c:showLegendKey val="0"/>
          <c:showVal val="0"/>
          <c:showCatName val="0"/>
          <c:showSerName val="0"/>
          <c:showPercent val="0"/>
          <c:showBubbleSize val="0"/>
        </c:dLbls>
        <c:gapWidth val="50"/>
        <c:axId val="742118904"/>
        <c:axId val="742118512"/>
      </c:barChart>
      <c:catAx>
        <c:axId val="742118904"/>
        <c:scaling>
          <c:orientation val="minMax"/>
        </c:scaling>
        <c:delete val="0"/>
        <c:axPos val="b"/>
        <c:numFmt formatCode="General" sourceLinked="0"/>
        <c:majorTickMark val="out"/>
        <c:minorTickMark val="none"/>
        <c:tickLblPos val="low"/>
        <c:txPr>
          <a:bodyPr rot="0" vert="horz"/>
          <a:lstStyle/>
          <a:p>
            <a:pPr>
              <a:defRPr sz="800"/>
            </a:pPr>
            <a:endParaRPr lang="lv-LV"/>
          </a:p>
        </c:txPr>
        <c:crossAx val="742118512"/>
        <c:crosses val="autoZero"/>
        <c:auto val="1"/>
        <c:lblAlgn val="ctr"/>
        <c:lblOffset val="100"/>
        <c:noMultiLvlLbl val="0"/>
      </c:catAx>
      <c:valAx>
        <c:axId val="742118512"/>
        <c:scaling>
          <c:orientation val="minMax"/>
          <c:max val="30"/>
        </c:scaling>
        <c:delete val="0"/>
        <c:axPos val="l"/>
        <c:numFmt formatCode="General" sourceLinked="1"/>
        <c:majorTickMark val="out"/>
        <c:minorTickMark val="none"/>
        <c:tickLblPos val="nextTo"/>
        <c:spPr>
          <a:ln>
            <a:noFill/>
          </a:ln>
        </c:spPr>
        <c:txPr>
          <a:bodyPr/>
          <a:lstStyle/>
          <a:p>
            <a:pPr>
              <a:defRPr sz="800"/>
            </a:pPr>
            <a:endParaRPr lang="lv-LV"/>
          </a:p>
        </c:txPr>
        <c:crossAx val="742118904"/>
        <c:crosses val="autoZero"/>
        <c:crossBetween val="between"/>
        <c:majorUnit val="10"/>
      </c:valAx>
    </c:plotArea>
    <c:plotVisOnly val="1"/>
    <c:dispBlanksAs val="gap"/>
    <c:showDLblsOverMax val="0"/>
  </c:chart>
  <c:spPr>
    <a:ln>
      <a:noFill/>
    </a:ln>
  </c:spPr>
  <c:txPr>
    <a:bodyPr/>
    <a:lstStyle/>
    <a:p>
      <a:pPr>
        <a:defRPr sz="900">
          <a:latin typeface="Segoe UI Semilight" panose="020B0402040204020203" pitchFamily="34" charset="0"/>
          <a:cs typeface="Segoe UI Semilight" panose="020B0402040204020203" pitchFamily="34" charset="0"/>
        </a:defRPr>
      </a:pPr>
      <a:endParaRPr lang="lv-LV"/>
    </a:p>
  </c:txPr>
  <c:externalData r:id="rId2">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18873324557412"/>
          <c:y val="3.6866359447004601E-2"/>
          <c:w val="0.76932780843947224"/>
          <c:h val="0.90177944103140961"/>
        </c:manualLayout>
      </c:layout>
      <c:barChart>
        <c:barDir val="bar"/>
        <c:grouping val="clustered"/>
        <c:varyColors val="0"/>
        <c:ser>
          <c:idx val="1"/>
          <c:order val="0"/>
          <c:tx>
            <c:strRef>
              <c:f>Sheet1!$B$1</c:f>
              <c:strCache>
                <c:ptCount val="1"/>
              </c:strCache>
            </c:strRef>
          </c:tx>
          <c:spPr>
            <a:solidFill>
              <a:srgbClr val="92D050"/>
            </a:solidFill>
            <a:ln w="3175">
              <a:noFill/>
              <a:prstDash val="solid"/>
            </a:ln>
          </c:spPr>
          <c:invertIfNegative val="0"/>
          <c:dPt>
            <c:idx val="9"/>
            <c:invertIfNegative val="0"/>
            <c:bubble3D val="0"/>
            <c:spPr>
              <a:solidFill>
                <a:srgbClr val="00B050"/>
              </a:solidFill>
              <a:ln w="3175">
                <a:noFill/>
                <a:prstDash val="solid"/>
              </a:ln>
            </c:spPr>
            <c:extLst>
              <c:ext xmlns:c16="http://schemas.microsoft.com/office/drawing/2014/chart" uri="{C3380CC4-5D6E-409C-BE32-E72D297353CC}">
                <c16:uniqueId val="{00000001-4CCD-45F9-A21A-876213E1D355}"/>
              </c:ext>
            </c:extLst>
          </c:dPt>
          <c:dLbls>
            <c:dLbl>
              <c:idx val="4"/>
              <c:layout>
                <c:manualLayout>
                  <c:x val="-2.1788990225044481E-2"/>
                  <c:y val="5.18242122719734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CD-45F9-A21A-876213E1D355}"/>
                </c:ext>
              </c:extLst>
            </c:dLbl>
            <c:dLbl>
              <c:idx val="17"/>
              <c:layout>
                <c:manualLayout>
                  <c:x val="0"/>
                  <c:y val="-8.241758241758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CD-45F9-A21A-876213E1D355}"/>
                </c:ext>
              </c:extLst>
            </c:dLbl>
            <c:dLbl>
              <c:idx val="18"/>
              <c:layout>
                <c:manualLayout>
                  <c:x val="0"/>
                  <c:y val="-1.64835164835164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CD-45F9-A21A-876213E1D355}"/>
                </c:ext>
              </c:extLst>
            </c:dLbl>
            <c:dLbl>
              <c:idx val="19"/>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CD-45F9-A21A-876213E1D355}"/>
                </c:ext>
              </c:extLst>
            </c:dLbl>
            <c:dLbl>
              <c:idx val="20"/>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CD-45F9-A21A-876213E1D355}"/>
                </c:ext>
              </c:extLst>
            </c:dLbl>
            <c:dLbl>
              <c:idx val="21"/>
              <c:layout>
                <c:manualLayout>
                  <c:x val="1.065879159741259E-16"/>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CCD-45F9-A21A-876213E1D355}"/>
                </c:ext>
              </c:extLst>
            </c:dLbl>
            <c:dLbl>
              <c:idx val="22"/>
              <c:layout>
                <c:manualLayout>
                  <c:x val="0"/>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CCD-45F9-A21A-876213E1D355}"/>
                </c:ext>
              </c:extLst>
            </c:dLbl>
            <c:dLbl>
              <c:idx val="23"/>
              <c:layout>
                <c:manualLayout>
                  <c:x val="1.065879159741259E-16"/>
                  <c:y val="-3.8461538461538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CCD-45F9-A21A-876213E1D355}"/>
                </c:ext>
              </c:extLst>
            </c:dLbl>
            <c:numFmt formatCode="#,##0.0" sourceLinked="0"/>
            <c:spPr>
              <a:noFill/>
              <a:ln w="2540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Sheet1!$B$2:$B$11</c:f>
              <c:numCache>
                <c:formatCode>0.0</c:formatCode>
                <c:ptCount val="10"/>
                <c:pt idx="0">
                  <c:v>0.24597796637060299</c:v>
                </c:pt>
                <c:pt idx="1">
                  <c:v>1.5486528617398392</c:v>
                </c:pt>
                <c:pt idx="2">
                  <c:v>-1.3024150977600044</c:v>
                </c:pt>
                <c:pt idx="3">
                  <c:v>-0.75846226486653734</c:v>
                </c:pt>
                <c:pt idx="4">
                  <c:v>2.283758527096964</c:v>
                </c:pt>
                <c:pt idx="5">
                  <c:v>0.1841056637918399</c:v>
                </c:pt>
                <c:pt idx="6">
                  <c:v>0.25514074669914066</c:v>
                </c:pt>
                <c:pt idx="7">
                  <c:v>-0.20481878059223391</c:v>
                </c:pt>
                <c:pt idx="9">
                  <c:v>0.37801692058960157</c:v>
                </c:pt>
              </c:numCache>
            </c:numRef>
          </c:val>
          <c:extLst>
            <c:ext xmlns:c16="http://schemas.microsoft.com/office/drawing/2014/chart" uri="{C3380CC4-5D6E-409C-BE32-E72D297353CC}">
              <c16:uniqueId val="{0000000A-4CCD-45F9-A21A-876213E1D355}"/>
            </c:ext>
          </c:extLst>
        </c:ser>
        <c:dLbls>
          <c:showLegendKey val="0"/>
          <c:showVal val="0"/>
          <c:showCatName val="0"/>
          <c:showSerName val="0"/>
          <c:showPercent val="0"/>
          <c:showBubbleSize val="0"/>
        </c:dLbls>
        <c:gapWidth val="40"/>
        <c:axId val="742119296"/>
        <c:axId val="742120472"/>
      </c:barChart>
      <c:catAx>
        <c:axId val="742119296"/>
        <c:scaling>
          <c:orientation val="minMax"/>
        </c:scaling>
        <c:delete val="0"/>
        <c:axPos val="l"/>
        <c:numFmt formatCode="General" sourceLinked="1"/>
        <c:majorTickMark val="out"/>
        <c:minorTickMark val="none"/>
        <c:tickLblPos val="nextTo"/>
        <c:spPr>
          <a:solidFill>
            <a:srgbClr val="00B050"/>
          </a:solidFill>
          <a:ln w="3175"/>
        </c:spPr>
        <c:crossAx val="742120472"/>
        <c:crosses val="autoZero"/>
        <c:auto val="0"/>
        <c:lblAlgn val="ctr"/>
        <c:lblOffset val="100"/>
        <c:noMultiLvlLbl val="0"/>
      </c:catAx>
      <c:valAx>
        <c:axId val="742120472"/>
        <c:scaling>
          <c:orientation val="minMax"/>
          <c:max val="7"/>
          <c:min val="-2"/>
        </c:scaling>
        <c:delete val="0"/>
        <c:axPos val="b"/>
        <c:numFmt formatCode="0" sourceLinked="0"/>
        <c:majorTickMark val="out"/>
        <c:minorTickMark val="none"/>
        <c:tickLblPos val="nextTo"/>
        <c:spPr>
          <a:ln w="3175">
            <a:noFill/>
            <a:prstDash val="solid"/>
          </a:ln>
        </c:spPr>
        <c:txPr>
          <a:bodyPr rot="0" vert="horz"/>
          <a:lstStyle/>
          <a:p>
            <a:pPr>
              <a:defRPr/>
            </a:pPr>
            <a:endParaRPr lang="lv-LV"/>
          </a:p>
        </c:txPr>
        <c:crossAx val="742119296"/>
        <c:crosses val="autoZero"/>
        <c:crossBetween val="between"/>
        <c:majorUnit val="2"/>
      </c:valAx>
      <c:spPr>
        <a:noFill/>
        <a:ln w="25402">
          <a:noFill/>
        </a:ln>
      </c:spPr>
    </c:plotArea>
    <c:plotVisOnly val="1"/>
    <c:dispBlanksAs val="gap"/>
    <c:showDLblsOverMax val="0"/>
  </c:chart>
  <c:spPr>
    <a:solidFill>
      <a:srgbClr val="FFFFFF"/>
    </a:solidFill>
    <a:ln>
      <a:noFill/>
    </a:ln>
  </c:spPr>
  <c:txPr>
    <a:bodyPr/>
    <a:lstStyle/>
    <a:p>
      <a:pPr algn="just">
        <a:defRPr sz="800" b="0" i="0" u="none" strike="noStrike" baseline="0">
          <a:solidFill>
            <a:srgbClr val="000000"/>
          </a:solidFill>
          <a:latin typeface="Segoe UI Light" panose="020B0502040204020203" pitchFamily="34" charset="0"/>
          <a:ea typeface="Garamond"/>
          <a:cs typeface="Segoe UI Semilight" panose="020B0402040204020203" pitchFamily="34" charset="0"/>
        </a:defRPr>
      </a:pPr>
      <a:endParaRPr lang="lv-LV"/>
    </a:p>
  </c:txPr>
  <c:externalData r:id="rId2">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52650505683311"/>
          <c:y val="4.8664233114939408E-3"/>
          <c:w val="0.76932780843947224"/>
          <c:h val="0.90177944103140961"/>
        </c:manualLayout>
      </c:layout>
      <c:barChart>
        <c:barDir val="bar"/>
        <c:grouping val="clustered"/>
        <c:varyColors val="0"/>
        <c:ser>
          <c:idx val="1"/>
          <c:order val="0"/>
          <c:tx>
            <c:strRef>
              <c:f>Sheet1!$B$1</c:f>
              <c:strCache>
                <c:ptCount val="1"/>
              </c:strCache>
            </c:strRef>
          </c:tx>
          <c:spPr>
            <a:solidFill>
              <a:srgbClr val="92D050"/>
            </a:solidFill>
            <a:ln w="3175">
              <a:noFill/>
              <a:prstDash val="solid"/>
            </a:ln>
          </c:spPr>
          <c:invertIfNegative val="0"/>
          <c:dPt>
            <c:idx val="9"/>
            <c:invertIfNegative val="0"/>
            <c:bubble3D val="0"/>
            <c:spPr>
              <a:solidFill>
                <a:srgbClr val="00B050"/>
              </a:solidFill>
              <a:ln w="3175">
                <a:noFill/>
                <a:prstDash val="solid"/>
              </a:ln>
            </c:spPr>
            <c:extLst>
              <c:ext xmlns:c16="http://schemas.microsoft.com/office/drawing/2014/chart" uri="{C3380CC4-5D6E-409C-BE32-E72D297353CC}">
                <c16:uniqueId val="{00000001-490F-4D3E-8E04-5D0B146CB223}"/>
              </c:ext>
            </c:extLst>
          </c:dPt>
          <c:dLbls>
            <c:dLbl>
              <c:idx val="0"/>
              <c:layout>
                <c:manualLayout>
                  <c:x val="-2.352018816150529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0F-4D3E-8E04-5D0B146CB223}"/>
                </c:ext>
              </c:extLst>
            </c:dLbl>
            <c:dLbl>
              <c:idx val="4"/>
              <c:layout>
                <c:manualLayout>
                  <c:x val="-2.1788990225044481E-2"/>
                  <c:y val="5.18242122719734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0F-4D3E-8E04-5D0B146CB223}"/>
                </c:ext>
              </c:extLst>
            </c:dLbl>
            <c:dLbl>
              <c:idx val="17"/>
              <c:layout>
                <c:manualLayout>
                  <c:x val="0"/>
                  <c:y val="-8.241758241758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0F-4D3E-8E04-5D0B146CB223}"/>
                </c:ext>
              </c:extLst>
            </c:dLbl>
            <c:dLbl>
              <c:idx val="18"/>
              <c:layout>
                <c:manualLayout>
                  <c:x val="0"/>
                  <c:y val="-1.64835164835164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90F-4D3E-8E04-5D0B146CB223}"/>
                </c:ext>
              </c:extLst>
            </c:dLbl>
            <c:dLbl>
              <c:idx val="19"/>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0F-4D3E-8E04-5D0B146CB223}"/>
                </c:ext>
              </c:extLst>
            </c:dLbl>
            <c:dLbl>
              <c:idx val="20"/>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90F-4D3E-8E04-5D0B146CB223}"/>
                </c:ext>
              </c:extLst>
            </c:dLbl>
            <c:dLbl>
              <c:idx val="21"/>
              <c:layout>
                <c:manualLayout>
                  <c:x val="1.065879159741259E-16"/>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0F-4D3E-8E04-5D0B146CB223}"/>
                </c:ext>
              </c:extLst>
            </c:dLbl>
            <c:dLbl>
              <c:idx val="22"/>
              <c:layout>
                <c:manualLayout>
                  <c:x val="0"/>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90F-4D3E-8E04-5D0B146CB223}"/>
                </c:ext>
              </c:extLst>
            </c:dLbl>
            <c:dLbl>
              <c:idx val="23"/>
              <c:layout>
                <c:manualLayout>
                  <c:x val="1.065879159741259E-16"/>
                  <c:y val="-3.8461538461538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90F-4D3E-8E04-5D0B146CB223}"/>
                </c:ext>
              </c:extLst>
            </c:dLbl>
            <c:numFmt formatCode="#,##0.0" sourceLinked="0"/>
            <c:spPr>
              <a:noFill/>
              <a:ln w="2540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Sheet1!$B$2:$B$11</c:f>
              <c:numCache>
                <c:formatCode>0.0</c:formatCode>
                <c:ptCount val="10"/>
                <c:pt idx="0">
                  <c:v>2.3903060838328996</c:v>
                </c:pt>
                <c:pt idx="1">
                  <c:v>2.9714748581941279</c:v>
                </c:pt>
                <c:pt idx="2">
                  <c:v>4.3035241005584366</c:v>
                </c:pt>
                <c:pt idx="3">
                  <c:v>5.0815242112906018</c:v>
                </c:pt>
                <c:pt idx="4">
                  <c:v>3.7080943087243528</c:v>
                </c:pt>
                <c:pt idx="5">
                  <c:v>3.9807024888032485</c:v>
                </c:pt>
                <c:pt idx="6">
                  <c:v>4.1600317866066492</c:v>
                </c:pt>
                <c:pt idx="7">
                  <c:v>3.5703459748754058</c:v>
                </c:pt>
                <c:pt idx="9">
                  <c:v>3.6623871209604943</c:v>
                </c:pt>
              </c:numCache>
            </c:numRef>
          </c:val>
          <c:extLst>
            <c:ext xmlns:c16="http://schemas.microsoft.com/office/drawing/2014/chart" uri="{C3380CC4-5D6E-409C-BE32-E72D297353CC}">
              <c16:uniqueId val="{0000000B-490F-4D3E-8E04-5D0B146CB223}"/>
            </c:ext>
          </c:extLst>
        </c:ser>
        <c:dLbls>
          <c:showLegendKey val="0"/>
          <c:showVal val="0"/>
          <c:showCatName val="0"/>
          <c:showSerName val="0"/>
          <c:showPercent val="0"/>
          <c:showBubbleSize val="0"/>
        </c:dLbls>
        <c:gapWidth val="40"/>
        <c:axId val="742122824"/>
        <c:axId val="742111064"/>
      </c:barChart>
      <c:catAx>
        <c:axId val="742122824"/>
        <c:scaling>
          <c:orientation val="minMax"/>
        </c:scaling>
        <c:delete val="0"/>
        <c:axPos val="l"/>
        <c:numFmt formatCode="General" sourceLinked="1"/>
        <c:majorTickMark val="out"/>
        <c:minorTickMark val="none"/>
        <c:tickLblPos val="nextTo"/>
        <c:spPr>
          <a:ln w="3175"/>
        </c:spPr>
        <c:crossAx val="742111064"/>
        <c:crosses val="autoZero"/>
        <c:auto val="0"/>
        <c:lblAlgn val="ctr"/>
        <c:lblOffset val="100"/>
        <c:noMultiLvlLbl val="0"/>
      </c:catAx>
      <c:valAx>
        <c:axId val="742111064"/>
        <c:scaling>
          <c:orientation val="minMax"/>
          <c:max val="7"/>
          <c:min val="-2"/>
        </c:scaling>
        <c:delete val="0"/>
        <c:axPos val="b"/>
        <c:numFmt formatCode="0" sourceLinked="0"/>
        <c:majorTickMark val="out"/>
        <c:minorTickMark val="none"/>
        <c:tickLblPos val="nextTo"/>
        <c:spPr>
          <a:ln w="3175">
            <a:noFill/>
            <a:prstDash val="solid"/>
          </a:ln>
        </c:spPr>
        <c:txPr>
          <a:bodyPr rot="0" vert="horz"/>
          <a:lstStyle/>
          <a:p>
            <a:pPr>
              <a:defRPr/>
            </a:pPr>
            <a:endParaRPr lang="lv-LV"/>
          </a:p>
        </c:txPr>
        <c:crossAx val="742122824"/>
        <c:crosses val="autoZero"/>
        <c:crossBetween val="between"/>
        <c:majorUnit val="2"/>
      </c:valAx>
      <c:spPr>
        <a:noFill/>
        <a:ln w="25402">
          <a:noFill/>
        </a:ln>
      </c:spPr>
    </c:plotArea>
    <c:plotVisOnly val="1"/>
    <c:dispBlanksAs val="gap"/>
    <c:showDLblsOverMax val="0"/>
  </c:chart>
  <c:spPr>
    <a:solidFill>
      <a:srgbClr val="FFFFFF"/>
    </a:solidFill>
    <a:ln>
      <a:noFill/>
    </a:ln>
  </c:spPr>
  <c:txPr>
    <a:bodyPr/>
    <a:lstStyle/>
    <a:p>
      <a:pPr algn="just">
        <a:defRPr sz="800" b="0" i="0" u="none" strike="noStrike" baseline="0">
          <a:solidFill>
            <a:srgbClr val="000000"/>
          </a:solidFill>
          <a:latin typeface="Segoe UI Light" panose="020B0502040204020203" pitchFamily="34" charset="0"/>
          <a:ea typeface="Garamond"/>
          <a:cs typeface="Segoe UI Semilight" panose="020B0402040204020203" pitchFamily="34" charset="0"/>
        </a:defRPr>
      </a:pPr>
      <a:endParaRPr lang="lv-LV"/>
    </a:p>
  </c:txPr>
  <c:externalData r:id="rId2">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998015421389375E-2"/>
          <c:y val="3.6866359447004601E-2"/>
          <c:w val="0.71574700033992023"/>
          <c:h val="0.90177944103140961"/>
        </c:manualLayout>
      </c:layout>
      <c:barChart>
        <c:barDir val="bar"/>
        <c:grouping val="clustered"/>
        <c:varyColors val="0"/>
        <c:ser>
          <c:idx val="1"/>
          <c:order val="0"/>
          <c:tx>
            <c:strRef>
              <c:f>Sheet1!$B$1</c:f>
              <c:strCache>
                <c:ptCount val="1"/>
              </c:strCache>
            </c:strRef>
          </c:tx>
          <c:spPr>
            <a:solidFill>
              <a:srgbClr val="92D050"/>
            </a:solidFill>
            <a:ln w="3175">
              <a:noFill/>
              <a:prstDash val="solid"/>
            </a:ln>
          </c:spPr>
          <c:invertIfNegative val="0"/>
          <c:dPt>
            <c:idx val="9"/>
            <c:invertIfNegative val="0"/>
            <c:bubble3D val="0"/>
            <c:spPr>
              <a:solidFill>
                <a:srgbClr val="00B050"/>
              </a:solidFill>
              <a:ln w="3175">
                <a:noFill/>
                <a:prstDash val="solid"/>
              </a:ln>
            </c:spPr>
            <c:extLst>
              <c:ext xmlns:c16="http://schemas.microsoft.com/office/drawing/2014/chart" uri="{C3380CC4-5D6E-409C-BE32-E72D297353CC}">
                <c16:uniqueId val="{00000001-C3D5-48BE-9611-AE31C45A549C}"/>
              </c:ext>
            </c:extLst>
          </c:dPt>
          <c:dLbls>
            <c:dLbl>
              <c:idx val="0"/>
              <c:layout>
                <c:manualLayout>
                  <c:x val="-1.5335654612077372E-2"/>
                  <c:y val="-9.503671724577947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D5-48BE-9611-AE31C45A549C}"/>
                </c:ext>
              </c:extLst>
            </c:dLbl>
            <c:dLbl>
              <c:idx val="3"/>
              <c:layout>
                <c:manualLayout>
                  <c:x val="-3.067130922415474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D5-48BE-9611-AE31C45A549C}"/>
                </c:ext>
              </c:extLst>
            </c:dLbl>
            <c:dLbl>
              <c:idx val="4"/>
              <c:layout>
                <c:manualLayout>
                  <c:x val="-2.1786893569953225E-2"/>
                  <c:y val="-1.6327183699592882E-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D5-48BE-9611-AE31C45A549C}"/>
                </c:ext>
              </c:extLst>
            </c:dLbl>
            <c:dLbl>
              <c:idx val="17"/>
              <c:layout>
                <c:manualLayout>
                  <c:x val="0"/>
                  <c:y val="-8.241758241758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D5-48BE-9611-AE31C45A549C}"/>
                </c:ext>
              </c:extLst>
            </c:dLbl>
            <c:dLbl>
              <c:idx val="18"/>
              <c:layout>
                <c:manualLayout>
                  <c:x val="0"/>
                  <c:y val="-1.64835164835164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D5-48BE-9611-AE31C45A549C}"/>
                </c:ext>
              </c:extLst>
            </c:dLbl>
            <c:dLbl>
              <c:idx val="19"/>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D5-48BE-9611-AE31C45A549C}"/>
                </c:ext>
              </c:extLst>
            </c:dLbl>
            <c:dLbl>
              <c:idx val="20"/>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D5-48BE-9611-AE31C45A549C}"/>
                </c:ext>
              </c:extLst>
            </c:dLbl>
            <c:dLbl>
              <c:idx val="21"/>
              <c:layout>
                <c:manualLayout>
                  <c:x val="1.065879159741259E-16"/>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D5-48BE-9611-AE31C45A549C}"/>
                </c:ext>
              </c:extLst>
            </c:dLbl>
            <c:dLbl>
              <c:idx val="22"/>
              <c:layout>
                <c:manualLayout>
                  <c:x val="0"/>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3D5-48BE-9611-AE31C45A549C}"/>
                </c:ext>
              </c:extLst>
            </c:dLbl>
            <c:dLbl>
              <c:idx val="23"/>
              <c:layout>
                <c:manualLayout>
                  <c:x val="1.065879159741259E-16"/>
                  <c:y val="-3.8461538461538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3D5-48BE-9611-AE31C45A549C}"/>
                </c:ext>
              </c:extLst>
            </c:dLbl>
            <c:numFmt formatCode="#,##0.0" sourceLinked="0"/>
            <c:spPr>
              <a:noFill/>
              <a:ln w="2540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Sheet1!$B$2:$B$11</c:f>
              <c:numCache>
                <c:formatCode>0.0</c:formatCode>
                <c:ptCount val="10"/>
                <c:pt idx="0">
                  <c:v>2.5903060838328997</c:v>
                </c:pt>
                <c:pt idx="1">
                  <c:v>4.4714748581941279</c:v>
                </c:pt>
                <c:pt idx="2">
                  <c:v>3.0035241005584368</c:v>
                </c:pt>
                <c:pt idx="3">
                  <c:v>4.281524211290602</c:v>
                </c:pt>
                <c:pt idx="4">
                  <c:v>6.0080943087243526</c:v>
                </c:pt>
                <c:pt idx="5">
                  <c:v>4.1807024888032487</c:v>
                </c:pt>
                <c:pt idx="6">
                  <c:v>4.460031786606649</c:v>
                </c:pt>
                <c:pt idx="7">
                  <c:v>3.3703459748754057</c:v>
                </c:pt>
                <c:pt idx="9">
                  <c:v>4.0623871209604943</c:v>
                </c:pt>
              </c:numCache>
            </c:numRef>
          </c:val>
          <c:extLst>
            <c:ext xmlns:c16="http://schemas.microsoft.com/office/drawing/2014/chart" uri="{C3380CC4-5D6E-409C-BE32-E72D297353CC}">
              <c16:uniqueId val="{0000000C-C3D5-48BE-9611-AE31C45A549C}"/>
            </c:ext>
          </c:extLst>
        </c:ser>
        <c:dLbls>
          <c:showLegendKey val="0"/>
          <c:showVal val="0"/>
          <c:showCatName val="0"/>
          <c:showSerName val="0"/>
          <c:showPercent val="0"/>
          <c:showBubbleSize val="0"/>
        </c:dLbls>
        <c:gapWidth val="40"/>
        <c:axId val="742112632"/>
        <c:axId val="742113024"/>
      </c:barChart>
      <c:catAx>
        <c:axId val="742112632"/>
        <c:scaling>
          <c:orientation val="minMax"/>
        </c:scaling>
        <c:delete val="0"/>
        <c:axPos val="l"/>
        <c:numFmt formatCode="General" sourceLinked="1"/>
        <c:majorTickMark val="out"/>
        <c:minorTickMark val="none"/>
        <c:tickLblPos val="nextTo"/>
        <c:spPr>
          <a:ln w="3175"/>
        </c:spPr>
        <c:crossAx val="742113024"/>
        <c:crosses val="autoZero"/>
        <c:auto val="0"/>
        <c:lblAlgn val="ctr"/>
        <c:lblOffset val="100"/>
        <c:noMultiLvlLbl val="0"/>
      </c:catAx>
      <c:valAx>
        <c:axId val="742113024"/>
        <c:scaling>
          <c:orientation val="minMax"/>
          <c:max val="7"/>
          <c:min val="-2"/>
        </c:scaling>
        <c:delete val="0"/>
        <c:axPos val="b"/>
        <c:numFmt formatCode="0" sourceLinked="0"/>
        <c:majorTickMark val="out"/>
        <c:minorTickMark val="none"/>
        <c:tickLblPos val="nextTo"/>
        <c:spPr>
          <a:ln w="3175">
            <a:noFill/>
            <a:prstDash val="solid"/>
          </a:ln>
        </c:spPr>
        <c:txPr>
          <a:bodyPr rot="0" vert="horz"/>
          <a:lstStyle/>
          <a:p>
            <a:pPr>
              <a:defRPr/>
            </a:pPr>
            <a:endParaRPr lang="lv-LV"/>
          </a:p>
        </c:txPr>
        <c:crossAx val="742112632"/>
        <c:crosses val="autoZero"/>
        <c:crossBetween val="between"/>
        <c:majorUnit val="2"/>
      </c:valAx>
      <c:spPr>
        <a:noFill/>
        <a:ln w="25402">
          <a:noFill/>
        </a:ln>
      </c:spPr>
    </c:plotArea>
    <c:plotVisOnly val="1"/>
    <c:dispBlanksAs val="gap"/>
    <c:showDLblsOverMax val="0"/>
  </c:chart>
  <c:spPr>
    <a:solidFill>
      <a:srgbClr val="FFFFFF"/>
    </a:solidFill>
    <a:ln>
      <a:noFill/>
    </a:ln>
  </c:spPr>
  <c:txPr>
    <a:bodyPr/>
    <a:lstStyle/>
    <a:p>
      <a:pPr algn="just">
        <a:defRPr sz="800" b="0" i="0" u="none" strike="noStrike" baseline="0">
          <a:solidFill>
            <a:srgbClr val="000000"/>
          </a:solidFill>
          <a:latin typeface="Segoe UI Light" panose="020B0502040204020203" pitchFamily="34" charset="0"/>
          <a:ea typeface="Garamond"/>
          <a:cs typeface="Segoe UI Semilight" panose="020B0402040204020203" pitchFamily="34" charset="0"/>
        </a:defRPr>
      </a:pPr>
      <a:endParaRPr lang="lv-LV"/>
    </a:p>
  </c:txPr>
  <c:externalData r:id="rId2">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341985162404374"/>
          <c:y val="3.3134526176275679E-2"/>
          <c:w val="0.60586048287152905"/>
          <c:h val="0.9469847581179589"/>
        </c:manualLayout>
      </c:layout>
      <c:barChart>
        <c:barDir val="bar"/>
        <c:grouping val="clustered"/>
        <c:varyColors val="0"/>
        <c:ser>
          <c:idx val="0"/>
          <c:order val="0"/>
          <c:spPr>
            <a:solidFill>
              <a:schemeClr val="tx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Sheet1!$D$2:$D$18</c:f>
              <c:strCache>
                <c:ptCount val="10"/>
                <c:pt idx="0">
                  <c:v>Lauksaimniecība, mežsaimniecība, zvejniecība*</c:v>
                </c:pt>
                <c:pt idx="1">
                  <c:v>Apstrādes rūpniecība</c:v>
                </c:pt>
                <c:pt idx="2">
                  <c:v>Sabiedriskie pakalpojumi; aizsardzība</c:v>
                </c:pt>
                <c:pt idx="3">
                  <c:v>Māksla, izklaide un atpūta</c:v>
                </c:pt>
                <c:pt idx="4">
                  <c:v>Administratīvie pakalpojumi</c:v>
                </c:pt>
                <c:pt idx="5">
                  <c:v>Energoapgādes pakalpojumi</c:v>
                </c:pt>
                <c:pt idx="6">
                  <c:v>Finanses un apdrošināšana</c:v>
                </c:pt>
                <c:pt idx="7">
                  <c:v>Veselība un sociālā aprūpe</c:v>
                </c:pt>
                <c:pt idx="8">
                  <c:v>Profesionālie pakalpojumi</c:v>
                </c:pt>
                <c:pt idx="9">
                  <c:v>IKT pakalpojumi</c:v>
                </c:pt>
              </c:strCache>
            </c:strRef>
          </c:cat>
          <c:val>
            <c:numRef>
              <c:f>Sheet1!$E$2:$E$18</c:f>
              <c:numCache>
                <c:formatCode>General</c:formatCode>
                <c:ptCount val="10"/>
                <c:pt idx="0">
                  <c:v>-41.16</c:v>
                </c:pt>
                <c:pt idx="1">
                  <c:v>0.46</c:v>
                </c:pt>
                <c:pt idx="2">
                  <c:v>1.95</c:v>
                </c:pt>
                <c:pt idx="3">
                  <c:v>3</c:v>
                </c:pt>
                <c:pt idx="4">
                  <c:v>3.48</c:v>
                </c:pt>
                <c:pt idx="5">
                  <c:v>4.96</c:v>
                </c:pt>
                <c:pt idx="6">
                  <c:v>5.65</c:v>
                </c:pt>
                <c:pt idx="7">
                  <c:v>11.57</c:v>
                </c:pt>
                <c:pt idx="8">
                  <c:v>12.89</c:v>
                </c:pt>
                <c:pt idx="9">
                  <c:v>14.57</c:v>
                </c:pt>
              </c:numCache>
            </c:numRef>
          </c:val>
          <c:extLst>
            <c:ext xmlns:c16="http://schemas.microsoft.com/office/drawing/2014/chart" uri="{C3380CC4-5D6E-409C-BE32-E72D297353CC}">
              <c16:uniqueId val="{00000000-FEEF-4007-8281-35ACFC57677C}"/>
            </c:ext>
          </c:extLst>
        </c:ser>
        <c:dLbls>
          <c:showLegendKey val="0"/>
          <c:showVal val="0"/>
          <c:showCatName val="0"/>
          <c:showSerName val="0"/>
          <c:showPercent val="0"/>
          <c:showBubbleSize val="0"/>
        </c:dLbls>
        <c:gapWidth val="40"/>
        <c:axId val="1999204560"/>
        <c:axId val="1999207056"/>
      </c:barChart>
      <c:catAx>
        <c:axId val="199920456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999207056"/>
        <c:crosses val="autoZero"/>
        <c:auto val="1"/>
        <c:lblAlgn val="ctr"/>
        <c:lblOffset val="100"/>
        <c:tickLblSkip val="1"/>
        <c:noMultiLvlLbl val="0"/>
      </c:catAx>
      <c:valAx>
        <c:axId val="1999207056"/>
        <c:scaling>
          <c:orientation val="minMax"/>
        </c:scaling>
        <c:delete val="1"/>
        <c:axPos val="b"/>
        <c:numFmt formatCode="General" sourceLinked="1"/>
        <c:majorTickMark val="none"/>
        <c:minorTickMark val="none"/>
        <c:tickLblPos val="nextTo"/>
        <c:crossAx val="1999204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783008004846098E-2"/>
          <c:y val="8.6240689925519406E-2"/>
          <c:w val="0.92718000553788749"/>
          <c:h val="0.52503109788657831"/>
        </c:manualLayout>
      </c:layout>
      <c:barChart>
        <c:barDir val="col"/>
        <c:grouping val="stacked"/>
        <c:varyColors val="0"/>
        <c:ser>
          <c:idx val="0"/>
          <c:order val="0"/>
          <c:tx>
            <c:strRef>
              <c:f>Sheet1!$B$1</c:f>
              <c:strCache>
                <c:ptCount val="1"/>
                <c:pt idx="0">
                  <c:v>Zema kvalifikācija</c:v>
                </c:pt>
              </c:strCache>
            </c:strRef>
          </c:tx>
          <c:spPr>
            <a:solidFill>
              <a:schemeClr val="accent1"/>
            </a:solidFill>
            <a:ln>
              <a:noFill/>
            </a:ln>
            <a:effectLst/>
          </c:spPr>
          <c:invertIfNegative val="0"/>
          <c:cat>
            <c:strRef>
              <c:f>Sheet1!$A$2:$A$10</c:f>
              <c:strCache>
                <c:ptCount val="9"/>
                <c:pt idx="0">
                  <c:v>Tehniskie darbinieki</c:v>
                </c:pt>
                <c:pt idx="1">
                  <c:v>Ierēdņi</c:v>
                </c:pt>
                <c:pt idx="2">
                  <c:v>Vienkāršo profesiju strādnieki</c:v>
                </c:pt>
                <c:pt idx="3">
                  <c:v>Lauku saimniecība un saistīti darbinieki</c:v>
                </c:pt>
                <c:pt idx="4">
                  <c:v>Vadītāji</c:v>
                </c:pt>
                <c:pt idx="5">
                  <c:v>Operatori un montieri</c:v>
                </c:pt>
                <c:pt idx="6">
                  <c:v>Speciālisti</c:v>
                </c:pt>
                <c:pt idx="7">
                  <c:v>Pakalpojumu un tirdzniecības darbinieki</c:v>
                </c:pt>
                <c:pt idx="8">
                  <c:v>Arodu darbinieki</c:v>
                </c:pt>
              </c:strCache>
            </c:strRef>
          </c:cat>
          <c:val>
            <c:numRef>
              <c:f>Sheet1!$B$2:$B$10</c:f>
              <c:numCache>
                <c:formatCode>General</c:formatCode>
                <c:ptCount val="9"/>
                <c:pt idx="0">
                  <c:v>161100</c:v>
                </c:pt>
                <c:pt idx="1">
                  <c:v>62900</c:v>
                </c:pt>
                <c:pt idx="2">
                  <c:v>1171600</c:v>
                </c:pt>
                <c:pt idx="3">
                  <c:v>-197100</c:v>
                </c:pt>
                <c:pt idx="4">
                  <c:v>122400</c:v>
                </c:pt>
                <c:pt idx="5">
                  <c:v>488600</c:v>
                </c:pt>
                <c:pt idx="6">
                  <c:v>123800</c:v>
                </c:pt>
                <c:pt idx="7">
                  <c:v>25700</c:v>
                </c:pt>
                <c:pt idx="8">
                  <c:v>370900</c:v>
                </c:pt>
              </c:numCache>
            </c:numRef>
          </c:val>
          <c:extLst>
            <c:ext xmlns:c16="http://schemas.microsoft.com/office/drawing/2014/chart" uri="{C3380CC4-5D6E-409C-BE32-E72D297353CC}">
              <c16:uniqueId val="{00000000-CCE1-4319-A325-055B65396841}"/>
            </c:ext>
          </c:extLst>
        </c:ser>
        <c:ser>
          <c:idx val="1"/>
          <c:order val="1"/>
          <c:tx>
            <c:strRef>
              <c:f>Sheet1!$C$1</c:f>
              <c:strCache>
                <c:ptCount val="1"/>
                <c:pt idx="0">
                  <c:v>Vidēja kvalifikācija</c:v>
                </c:pt>
              </c:strCache>
            </c:strRef>
          </c:tx>
          <c:spPr>
            <a:solidFill>
              <a:schemeClr val="accent2"/>
            </a:solidFill>
            <a:ln>
              <a:noFill/>
            </a:ln>
            <a:effectLst/>
          </c:spPr>
          <c:invertIfNegative val="0"/>
          <c:cat>
            <c:strRef>
              <c:f>Sheet1!$A$2:$A$10</c:f>
              <c:strCache>
                <c:ptCount val="9"/>
                <c:pt idx="0">
                  <c:v>Tehniskie darbinieki</c:v>
                </c:pt>
                <c:pt idx="1">
                  <c:v>Ierēdņi</c:v>
                </c:pt>
                <c:pt idx="2">
                  <c:v>Vienkāršo profesiju strādnieki</c:v>
                </c:pt>
                <c:pt idx="3">
                  <c:v>Lauku saimniecība un saistīti darbinieki</c:v>
                </c:pt>
                <c:pt idx="4">
                  <c:v>Vadītāji</c:v>
                </c:pt>
                <c:pt idx="5">
                  <c:v>Operatori un montieri</c:v>
                </c:pt>
                <c:pt idx="6">
                  <c:v>Speciālisti</c:v>
                </c:pt>
                <c:pt idx="7">
                  <c:v>Pakalpojumu un tirdzniecības darbinieki</c:v>
                </c:pt>
                <c:pt idx="8">
                  <c:v>Arodu darbinieki</c:v>
                </c:pt>
              </c:strCache>
            </c:strRef>
          </c:cat>
          <c:val>
            <c:numRef>
              <c:f>Sheet1!$C$2:$C$10</c:f>
              <c:numCache>
                <c:formatCode>General</c:formatCode>
                <c:ptCount val="9"/>
                <c:pt idx="0">
                  <c:v>7202800</c:v>
                </c:pt>
                <c:pt idx="1">
                  <c:v>3896400</c:v>
                </c:pt>
                <c:pt idx="2">
                  <c:v>7481000</c:v>
                </c:pt>
                <c:pt idx="3">
                  <c:v>1158900</c:v>
                </c:pt>
                <c:pt idx="4">
                  <c:v>1120400</c:v>
                </c:pt>
                <c:pt idx="5">
                  <c:v>6686700</c:v>
                </c:pt>
                <c:pt idx="6">
                  <c:v>3322400</c:v>
                </c:pt>
                <c:pt idx="7">
                  <c:v>11178900</c:v>
                </c:pt>
                <c:pt idx="8">
                  <c:v>7940500</c:v>
                </c:pt>
              </c:numCache>
            </c:numRef>
          </c:val>
          <c:extLst>
            <c:ext xmlns:c16="http://schemas.microsoft.com/office/drawing/2014/chart" uri="{C3380CC4-5D6E-409C-BE32-E72D297353CC}">
              <c16:uniqueId val="{00000001-CCE1-4319-A325-055B65396841}"/>
            </c:ext>
          </c:extLst>
        </c:ser>
        <c:ser>
          <c:idx val="2"/>
          <c:order val="2"/>
          <c:tx>
            <c:strRef>
              <c:f>Sheet1!$D$1</c:f>
              <c:strCache>
                <c:ptCount val="1"/>
                <c:pt idx="0">
                  <c:v>Augsta kvalifikācija</c:v>
                </c:pt>
              </c:strCache>
            </c:strRef>
          </c:tx>
          <c:spPr>
            <a:solidFill>
              <a:schemeClr val="accent3"/>
            </a:solidFill>
            <a:ln>
              <a:noFill/>
            </a:ln>
            <a:effectLst/>
          </c:spPr>
          <c:invertIfNegative val="0"/>
          <c:cat>
            <c:strRef>
              <c:f>Sheet1!$A$2:$A$10</c:f>
              <c:strCache>
                <c:ptCount val="9"/>
                <c:pt idx="0">
                  <c:v>Tehniskie darbinieki</c:v>
                </c:pt>
                <c:pt idx="1">
                  <c:v>Ierēdņi</c:v>
                </c:pt>
                <c:pt idx="2">
                  <c:v>Vienkāršo profesiju strādnieki</c:v>
                </c:pt>
                <c:pt idx="3">
                  <c:v>Lauku saimniecība un saistīti darbinieki</c:v>
                </c:pt>
                <c:pt idx="4">
                  <c:v>Vadītāji</c:v>
                </c:pt>
                <c:pt idx="5">
                  <c:v>Operatori un montieri</c:v>
                </c:pt>
                <c:pt idx="6">
                  <c:v>Speciālisti</c:v>
                </c:pt>
                <c:pt idx="7">
                  <c:v>Pakalpojumu un tirdzniecības darbinieki</c:v>
                </c:pt>
                <c:pt idx="8">
                  <c:v>Arodu darbinieki</c:v>
                </c:pt>
              </c:strCache>
            </c:strRef>
          </c:cat>
          <c:val>
            <c:numRef>
              <c:f>Sheet1!$D$2:$D$10</c:f>
              <c:numCache>
                <c:formatCode>General</c:formatCode>
                <c:ptCount val="9"/>
                <c:pt idx="0">
                  <c:v>14059600</c:v>
                </c:pt>
                <c:pt idx="1">
                  <c:v>4987700</c:v>
                </c:pt>
                <c:pt idx="2">
                  <c:v>2566500</c:v>
                </c:pt>
                <c:pt idx="3">
                  <c:v>840700</c:v>
                </c:pt>
                <c:pt idx="4">
                  <c:v>5573400</c:v>
                </c:pt>
                <c:pt idx="5">
                  <c:v>1839700</c:v>
                </c:pt>
                <c:pt idx="6">
                  <c:v>28513600</c:v>
                </c:pt>
                <c:pt idx="7">
                  <c:v>7012500</c:v>
                </c:pt>
                <c:pt idx="8">
                  <c:v>2857000</c:v>
                </c:pt>
              </c:numCache>
            </c:numRef>
          </c:val>
          <c:extLst>
            <c:ext xmlns:c16="http://schemas.microsoft.com/office/drawing/2014/chart" uri="{C3380CC4-5D6E-409C-BE32-E72D297353CC}">
              <c16:uniqueId val="{00000002-CCE1-4319-A325-055B65396841}"/>
            </c:ext>
          </c:extLst>
        </c:ser>
        <c:dLbls>
          <c:showLegendKey val="0"/>
          <c:showVal val="0"/>
          <c:showCatName val="0"/>
          <c:showSerName val="0"/>
          <c:showPercent val="0"/>
          <c:showBubbleSize val="0"/>
        </c:dLbls>
        <c:gapWidth val="182"/>
        <c:overlap val="100"/>
        <c:axId val="1974251024"/>
        <c:axId val="1538122864"/>
      </c:barChart>
      <c:catAx>
        <c:axId val="197425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538122864"/>
        <c:crosses val="autoZero"/>
        <c:auto val="1"/>
        <c:lblAlgn val="ctr"/>
        <c:lblOffset val="100"/>
        <c:noMultiLvlLbl val="0"/>
      </c:catAx>
      <c:valAx>
        <c:axId val="1538122864"/>
        <c:scaling>
          <c:orientation val="minMax"/>
          <c:max val="3200000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974251024"/>
        <c:crosses val="autoZero"/>
        <c:crossBetween val="between"/>
        <c:majorUnit val="8000000"/>
        <c:dispUnits>
          <c:builtInUnit val="millions"/>
        </c:dispUnits>
      </c:valAx>
      <c:spPr>
        <a:noFill/>
        <a:ln>
          <a:noFill/>
        </a:ln>
        <a:effectLst/>
      </c:spPr>
    </c:plotArea>
    <c:legend>
      <c:legendPos val="b"/>
      <c:layout>
        <c:manualLayout>
          <c:xMode val="edge"/>
          <c:yMode val="edge"/>
          <c:x val="0.17115495421385743"/>
          <c:y val="2.6196152086493778E-2"/>
          <c:w val="0.49177283191256949"/>
          <c:h val="0.2215102699318548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E5DFEC"/>
    </a:solid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245066803253785E-2"/>
          <c:y val="0.73574073913307692"/>
          <c:w val="0.9259724452855741"/>
          <c:h val="0.11571398169823367"/>
        </c:manualLayout>
      </c:layout>
      <c:scatterChart>
        <c:scatterStyle val="lineMarker"/>
        <c:varyColors val="0"/>
        <c:ser>
          <c:idx val="0"/>
          <c:order val="0"/>
          <c:tx>
            <c:strRef>
              <c:f>Sheet1!$B$1</c:f>
              <c:strCache>
                <c:ptCount val="1"/>
                <c:pt idx="0">
                  <c:v>Y-Values</c:v>
                </c:pt>
              </c:strCache>
            </c:strRef>
          </c:tx>
          <c:spPr>
            <a:ln w="19050" cap="rnd">
              <a:noFill/>
              <a:round/>
            </a:ln>
            <a:effectLst/>
          </c:spPr>
          <c:marker>
            <c:symbol val="circle"/>
            <c:size val="5"/>
            <c:spPr>
              <a:solidFill>
                <a:schemeClr val="accent4">
                  <a:lumMod val="75000"/>
                </a:schemeClr>
              </a:solidFill>
              <a:ln w="9525">
                <a:noFill/>
              </a:ln>
              <a:effectLst/>
            </c:spPr>
          </c:marker>
          <c:dLbls>
            <c:dLbl>
              <c:idx val="0"/>
              <c:layout>
                <c:manualLayout>
                  <c:x val="-3.3853927024281834E-3"/>
                  <c:y val="-0.45464601654671888"/>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Ēdienu gatavošanas palīgi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1877088958147045"/>
                      <c:h val="6.2505968451848692E-2"/>
                    </c:manualLayout>
                  </c15:layout>
                </c:ext>
                <c:ext xmlns:c16="http://schemas.microsoft.com/office/drawing/2014/chart" uri="{C3380CC4-5D6E-409C-BE32-E72D297353CC}">
                  <c16:uniqueId val="{00000000-9FD7-4142-8475-707038BC3F0A}"/>
                </c:ext>
              </c:extLst>
            </c:dLbl>
            <c:dLbl>
              <c:idx val="1"/>
              <c:layout>
                <c:manualLayout>
                  <c:x val="-0.14353731693130428"/>
                  <c:y val="-0.45455555652015384"/>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Tirdzniecības darbinieki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1877088958147045"/>
                      <c:h val="6.2505968451848706E-2"/>
                    </c:manualLayout>
                  </c15:layout>
                </c:ext>
                <c:ext xmlns:c16="http://schemas.microsoft.com/office/drawing/2014/chart" uri="{C3380CC4-5D6E-409C-BE32-E72D297353CC}">
                  <c16:uniqueId val="{00000001-9FD7-4142-8475-707038BC3F0A}"/>
                </c:ext>
              </c:extLst>
            </c:dLbl>
            <c:dLbl>
              <c:idx val="2"/>
              <c:layout>
                <c:manualLayout>
                  <c:x val="-8.7994686992681634E-2"/>
                  <c:y val="-0.45671409596402435"/>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Veselības aprūpes speciāisti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1877088958147045"/>
                      <c:h val="6.2505968451848706E-2"/>
                    </c:manualLayout>
                  </c15:layout>
                </c:ext>
                <c:ext xmlns:c16="http://schemas.microsoft.com/office/drawing/2014/chart" uri="{C3380CC4-5D6E-409C-BE32-E72D297353CC}">
                  <c16:uniqueId val="{00000002-9FD7-4142-8475-707038BC3F0A}"/>
                </c:ext>
              </c:extLst>
            </c:dLbl>
            <c:dLbl>
              <c:idx val="3"/>
              <c:layout>
                <c:manualLayout>
                  <c:x val="-8.8271623158461307E-2"/>
                  <c:y val="-0.34512323225307973"/>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Montietri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12413303353618835"/>
                      <c:h val="6.2505968451848706E-2"/>
                    </c:manualLayout>
                  </c15:layout>
                </c:ext>
                <c:ext xmlns:c16="http://schemas.microsoft.com/office/drawing/2014/chart" uri="{C3380CC4-5D6E-409C-BE32-E72D297353CC}">
                  <c16:uniqueId val="{00000003-9FD7-4142-8475-707038BC3F0A}"/>
                </c:ext>
              </c:extLst>
            </c:dLbl>
            <c:dLbl>
              <c:idx val="4"/>
              <c:layout>
                <c:manualLayout>
                  <c:x val="-0.174166283238851"/>
                  <c:y val="-0.45792393370894791"/>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Klientu apkalpošanas</a:t>
                    </a:r>
                    <a:r>
                      <a:rPr lang="en-US" sz="700" baseline="0"/>
                      <a:t> darbinieki</a:t>
                    </a:r>
                    <a:endParaRPr lang="en-US" sz="700"/>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1877088958147045"/>
                      <c:h val="6.2505968451848706E-2"/>
                    </c:manualLayout>
                  </c15:layout>
                </c:ext>
                <c:ext xmlns:c16="http://schemas.microsoft.com/office/drawing/2014/chart" uri="{C3380CC4-5D6E-409C-BE32-E72D297353CC}">
                  <c16:uniqueId val="{00000004-9FD7-4142-8475-707038BC3F0A}"/>
                </c:ext>
              </c:extLst>
            </c:dLbl>
            <c:dLbl>
              <c:idx val="5"/>
              <c:layout>
                <c:manualLayout>
                  <c:x val="-0.11288560539634859"/>
                  <c:y val="-0.45930774639939576"/>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Viesmīlības,</a:t>
                    </a:r>
                    <a:r>
                      <a:rPr lang="en-US" sz="700" baseline="0"/>
                      <a:t> tirdzniecības un citu pakalpojumu jomu vadītāji</a:t>
                    </a:r>
                    <a:endParaRPr lang="en-US" sz="700"/>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1877088958147045"/>
                      <c:h val="0.10000954952295792"/>
                    </c:manualLayout>
                  </c15:layout>
                </c:ext>
                <c:ext xmlns:c16="http://schemas.microsoft.com/office/drawing/2014/chart" uri="{C3380CC4-5D6E-409C-BE32-E72D297353CC}">
                  <c16:uniqueId val="{00000005-9FD7-4142-8475-707038BC3F0A}"/>
                </c:ext>
              </c:extLst>
            </c:dLbl>
            <c:dLbl>
              <c:idx val="6"/>
              <c:layout>
                <c:manualLayout>
                  <c:x val="-6.1742006615214992E-2"/>
                  <c:y val="-0.40559202701646857"/>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Apkopēji un palīgi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17705475349208691"/>
                      <c:h val="6.2505968451848692E-2"/>
                    </c:manualLayout>
                  </c15:layout>
                </c:ext>
                <c:ext xmlns:c16="http://schemas.microsoft.com/office/drawing/2014/chart" uri="{C3380CC4-5D6E-409C-BE32-E72D297353CC}">
                  <c16:uniqueId val="{00000006-9FD7-4142-8475-707038BC3F0A}"/>
                </c:ext>
              </c:extLst>
            </c:dLbl>
            <c:dLbl>
              <c:idx val="7"/>
              <c:layout>
                <c:manualLayout>
                  <c:x val="-0.12369167194784224"/>
                  <c:y val="-0.46088081327210062"/>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Veselības jomas vecākie speciālisti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1877088958147045"/>
                      <c:h val="6.2505968451848706E-2"/>
                    </c:manualLayout>
                  </c15:layout>
                </c:ext>
                <c:ext xmlns:c16="http://schemas.microsoft.com/office/drawing/2014/chart" uri="{C3380CC4-5D6E-409C-BE32-E72D297353CC}">
                  <c16:uniqueId val="{00000007-9FD7-4142-8475-707038BC3F0A}"/>
                </c:ext>
              </c:extLst>
            </c:dLbl>
            <c:dLbl>
              <c:idx val="8"/>
              <c:layout>
                <c:manualLayout>
                  <c:x val="-0.14553472987872107"/>
                  <c:y val="-0.45770828811778902"/>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Administratīvie vadītāji un komercdirektori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1812568908489527"/>
                      <c:h val="0.10000954952295792"/>
                    </c:manualLayout>
                  </c15:layout>
                </c:ext>
                <c:ext xmlns:c16="http://schemas.microsoft.com/office/drawing/2014/chart" uri="{C3380CC4-5D6E-409C-BE32-E72D297353CC}">
                  <c16:uniqueId val="{00000008-9FD7-4142-8475-707038BC3F0A}"/>
                </c:ext>
              </c:extLst>
            </c:dLbl>
            <c:dLbl>
              <c:idx val="9"/>
              <c:layout>
                <c:manualLayout>
                  <c:x val="-0.13230429988974649"/>
                  <c:y val="-0.4610652058790336"/>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Ieguves rūpniecības, būvniecības, apstrādes rūpniecības un transporta darbinieki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2190556389933067"/>
                      <c:h val="0.13751313059406714"/>
                    </c:manualLayout>
                  </c15:layout>
                </c:ext>
                <c:ext xmlns:c16="http://schemas.microsoft.com/office/drawing/2014/chart" uri="{C3380CC4-5D6E-409C-BE32-E72D297353CC}">
                  <c16:uniqueId val="{00000009-9FD7-4142-8475-707038BC3F0A}"/>
                </c:ext>
              </c:extLst>
            </c:dLbl>
            <c:dLbl>
              <c:idx val="10"/>
              <c:layout>
                <c:manualLayout>
                  <c:x val="-0.14976881473057324"/>
                  <c:y val="-0.45936573804790387"/>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Informācijas un komunikāciju jomas speciālisti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1877088958147045"/>
                      <c:h val="0.10000954952295792"/>
                    </c:manualLayout>
                  </c15:layout>
                </c:ext>
                <c:ext xmlns:c16="http://schemas.microsoft.com/office/drawing/2014/chart" uri="{C3380CC4-5D6E-409C-BE32-E72D297353CC}">
                  <c16:uniqueId val="{0000000A-9FD7-4142-8475-707038BC3F0A}"/>
                </c:ext>
              </c:extLst>
            </c:dLbl>
            <c:dLbl>
              <c:idx val="11"/>
              <c:layout>
                <c:manualLayout>
                  <c:x val="-0.1345094583684206"/>
                  <c:y val="-0.4642613443992048"/>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Likumdevēji,</a:t>
                    </a:r>
                    <a:r>
                      <a:rPr lang="en-US" sz="700" baseline="0"/>
                      <a:t> amatpersonas un vadītāji</a:t>
                    </a:r>
                    <a:endParaRPr lang="en-US" sz="700"/>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2260198456449831"/>
                      <c:h val="0.10000954952295792"/>
                    </c:manualLayout>
                  </c15:layout>
                </c:ext>
                <c:ext xmlns:c16="http://schemas.microsoft.com/office/drawing/2014/chart" uri="{C3380CC4-5D6E-409C-BE32-E72D297353CC}">
                  <c16:uniqueId val="{0000000B-9FD7-4142-8475-707038BC3F0A}"/>
                </c:ext>
              </c:extLst>
            </c:dLbl>
            <c:dLbl>
              <c:idx val="12"/>
              <c:layout>
                <c:manualLayout>
                  <c:x val="-0.18867183498424336"/>
                  <c:y val="-0.45475765915148147"/>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Šoferi un mobilo iekārtu operatori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1877088958147045"/>
                      <c:h val="6.2505968451848706E-2"/>
                    </c:manualLayout>
                  </c15:layout>
                </c:ext>
                <c:ext xmlns:c16="http://schemas.microsoft.com/office/drawing/2014/chart" uri="{C3380CC4-5D6E-409C-BE32-E72D297353CC}">
                  <c16:uniqueId val="{0000000C-9FD7-4142-8475-707038BC3F0A}"/>
                </c:ext>
              </c:extLst>
            </c:dLbl>
            <c:dLbl>
              <c:idx val="13"/>
              <c:layout>
                <c:manualLayout>
                  <c:x val="-0.17764647666009778"/>
                  <c:y val="-0.4599022476104489"/>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Personīgās aprūpes darbinieki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1877088958147045"/>
                      <c:h val="6.2505968451848706E-2"/>
                    </c:manualLayout>
                  </c15:layout>
                </c:ext>
                <c:ext xmlns:c16="http://schemas.microsoft.com/office/drawing/2014/chart" uri="{C3380CC4-5D6E-409C-BE32-E72D297353CC}">
                  <c16:uniqueId val="{0000000D-9FD7-4142-8475-707038BC3F0A}"/>
                </c:ext>
              </c:extLst>
            </c:dLbl>
            <c:dLbl>
              <c:idx val="14"/>
              <c:layout>
                <c:manualLayout>
                  <c:x val="-0.11983540094974346"/>
                  <c:y val="-0.42218302094818083"/>
                </c:manualLayout>
              </c:layout>
              <c:tx>
                <c:rich>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en-US" sz="700"/>
                      <a:t>Izglītības jomas speciālisti</a:t>
                    </a:r>
                  </a:p>
                </c:rich>
              </c:tx>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18809261300992283"/>
                      <c:h val="6.2505968451848706E-2"/>
                    </c:manualLayout>
                  </c15:layout>
                </c:ext>
                <c:ext xmlns:c16="http://schemas.microsoft.com/office/drawing/2014/chart" uri="{C3380CC4-5D6E-409C-BE32-E72D297353CC}">
                  <c16:uniqueId val="{0000000E-9FD7-4142-8475-707038BC3F0A}"/>
                </c:ext>
              </c:extLst>
            </c:dLbl>
            <c:spPr>
              <a:noFill/>
              <a:ln>
                <a:solidFill>
                  <a:sysClr val="windowText" lastClr="000000"/>
                </a:solidFill>
              </a:ln>
              <a:effectLst/>
            </c:spPr>
            <c:txPr>
              <a:bodyPr rot="-5400000" spcFirstLastPara="1" vertOverflow="clip" horzOverflow="clip" vert="horz" wrap="square" lIns="0" tIns="0" rIns="0" bIns="0" anchor="ctr" anchorCtr="1">
                <a:spAutoFit/>
              </a:bodyPr>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borderCallout2">
                    <a:avLst/>
                  </a:prstGeom>
                  <a:noFill/>
                  <a:ln>
                    <a:noFill/>
                  </a:ln>
                </c15:spPr>
                <c15:showLeaderLines val="0"/>
              </c:ext>
            </c:extLst>
          </c:dLbls>
          <c:xVal>
            <c:numRef>
              <c:f>Sheet1!$A$2:$A$16</c:f>
              <c:numCache>
                <c:formatCode>General</c:formatCode>
                <c:ptCount val="15"/>
                <c:pt idx="0">
                  <c:v>65</c:v>
                </c:pt>
                <c:pt idx="1">
                  <c:v>53</c:v>
                </c:pt>
                <c:pt idx="2">
                  <c:v>35</c:v>
                </c:pt>
                <c:pt idx="3">
                  <c:v>59</c:v>
                </c:pt>
                <c:pt idx="4">
                  <c:v>49</c:v>
                </c:pt>
                <c:pt idx="5">
                  <c:v>34</c:v>
                </c:pt>
                <c:pt idx="6">
                  <c:v>59</c:v>
                </c:pt>
                <c:pt idx="7">
                  <c:v>45</c:v>
                </c:pt>
                <c:pt idx="8">
                  <c:v>33</c:v>
                </c:pt>
                <c:pt idx="9">
                  <c:v>59</c:v>
                </c:pt>
                <c:pt idx="10">
                  <c:v>44</c:v>
                </c:pt>
                <c:pt idx="11">
                  <c:v>30</c:v>
                </c:pt>
                <c:pt idx="12">
                  <c:v>58</c:v>
                </c:pt>
                <c:pt idx="13">
                  <c:v>43</c:v>
                </c:pt>
                <c:pt idx="14">
                  <c:v>28</c:v>
                </c:pt>
              </c:numCache>
            </c:numRef>
          </c:xVal>
          <c:yVal>
            <c:numRef>
              <c:f>Sheet1!$B$2:$B$16</c:f>
              <c:numCache>
                <c:formatCode>General</c:formatCode>
                <c:ptCount val="15"/>
                <c:pt idx="0">
                  <c:v>30</c:v>
                </c:pt>
                <c:pt idx="1">
                  <c:v>30</c:v>
                </c:pt>
                <c:pt idx="2">
                  <c:v>30</c:v>
                </c:pt>
                <c:pt idx="3">
                  <c:v>30</c:v>
                </c:pt>
                <c:pt idx="4">
                  <c:v>30</c:v>
                </c:pt>
                <c:pt idx="5">
                  <c:v>30</c:v>
                </c:pt>
                <c:pt idx="6">
                  <c:v>30</c:v>
                </c:pt>
                <c:pt idx="7">
                  <c:v>30</c:v>
                </c:pt>
                <c:pt idx="8">
                  <c:v>30</c:v>
                </c:pt>
                <c:pt idx="9">
                  <c:v>30</c:v>
                </c:pt>
                <c:pt idx="10">
                  <c:v>30</c:v>
                </c:pt>
                <c:pt idx="11">
                  <c:v>30</c:v>
                </c:pt>
                <c:pt idx="12">
                  <c:v>30</c:v>
                </c:pt>
                <c:pt idx="13">
                  <c:v>30</c:v>
                </c:pt>
                <c:pt idx="14">
                  <c:v>30</c:v>
                </c:pt>
              </c:numCache>
            </c:numRef>
          </c:yVal>
          <c:smooth val="0"/>
          <c:extLst>
            <c:ext xmlns:c16="http://schemas.microsoft.com/office/drawing/2014/chart" uri="{C3380CC4-5D6E-409C-BE32-E72D297353CC}">
              <c16:uniqueId val="{0000000F-9FD7-4142-8475-707038BC3F0A}"/>
            </c:ext>
          </c:extLst>
        </c:ser>
        <c:dLbls>
          <c:showLegendKey val="0"/>
          <c:showVal val="0"/>
          <c:showCatName val="0"/>
          <c:showSerName val="0"/>
          <c:showPercent val="0"/>
          <c:showBubbleSize val="0"/>
        </c:dLbls>
        <c:axId val="652743320"/>
        <c:axId val="652744888"/>
      </c:scatterChart>
      <c:valAx>
        <c:axId val="652743320"/>
        <c:scaling>
          <c:orientation val="minMax"/>
          <c:max val="65"/>
          <c:min val="25"/>
        </c:scaling>
        <c:delete val="0"/>
        <c:axPos val="b"/>
        <c:majorGridlines>
          <c:spPr>
            <a:ln w="3175" cap="flat" cmpd="sng" algn="ctr">
              <a:solidFill>
                <a:schemeClr val="bg1">
                  <a:lumMod val="65000"/>
                </a:schemeClr>
              </a:solidFill>
              <a:round/>
            </a:ln>
            <a:effectLst/>
          </c:spPr>
        </c:majorGridlines>
        <c:title>
          <c:tx>
            <c:rich>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lv-LV"/>
                  <a:t>Vidējā automatizācijas varbūtība pēc profesiju tipa, %</a:t>
                </a:r>
                <a:endParaRPr lang="en-GB"/>
              </a:p>
            </c:rich>
          </c:tx>
          <c:layout>
            <c:manualLayout>
              <c:xMode val="edge"/>
              <c:yMode val="edge"/>
              <c:x val="0.28975543117351293"/>
              <c:y val="0.9308926562751084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title>
        <c:numFmt formatCode="General" sourceLinked="1"/>
        <c:majorTickMark val="none"/>
        <c:minorTickMark val="none"/>
        <c:tickLblPos val="nextTo"/>
        <c:spPr>
          <a:noFill/>
          <a:ln w="6350" cap="flat" cmpd="sng" algn="ctr">
            <a:solidFill>
              <a:schemeClr val="bg1">
                <a:lumMod val="6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44888"/>
        <c:crosses val="autoZero"/>
        <c:crossBetween val="midCat"/>
        <c:majorUnit val="10"/>
      </c:valAx>
      <c:valAx>
        <c:axId val="652744888"/>
        <c:scaling>
          <c:orientation val="minMax"/>
          <c:max val="60"/>
        </c:scaling>
        <c:delete val="1"/>
        <c:axPos val="l"/>
        <c:majorGridlines>
          <c:spPr>
            <a:ln w="3175" cap="flat" cmpd="sng" algn="ctr">
              <a:solidFill>
                <a:schemeClr val="bg1">
                  <a:lumMod val="65000"/>
                </a:schemeClr>
              </a:solidFill>
              <a:round/>
            </a:ln>
            <a:effectLst/>
          </c:spPr>
        </c:majorGridlines>
        <c:numFmt formatCode="General" sourceLinked="1"/>
        <c:majorTickMark val="out"/>
        <c:minorTickMark val="none"/>
        <c:tickLblPos val="nextTo"/>
        <c:crossAx val="652743320"/>
        <c:crosses val="autoZero"/>
        <c:crossBetween val="midCat"/>
        <c:majorUnit val="6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862938654551102E-2"/>
          <c:y val="2.7784345653677142E-2"/>
          <c:w val="0.92139843986323589"/>
          <c:h val="0.54359477021748337"/>
        </c:manualLayout>
      </c:layout>
      <c:barChart>
        <c:barDir val="col"/>
        <c:grouping val="clustered"/>
        <c:varyColors val="0"/>
        <c:ser>
          <c:idx val="0"/>
          <c:order val="0"/>
          <c:tx>
            <c:strRef>
              <c:f>Sheet1!$D$1</c:f>
              <c:strCache>
                <c:ptCount val="1"/>
                <c:pt idx="0">
                  <c:v>Vadītāji</c:v>
                </c:pt>
              </c:strCache>
            </c:strRef>
          </c:tx>
          <c:spPr>
            <a:solidFill>
              <a:schemeClr val="accent1"/>
            </a:solidFill>
            <a:ln>
              <a:noFill/>
            </a:ln>
            <a:effectLst/>
          </c:spPr>
          <c:invertIfNegative val="0"/>
          <c:cat>
            <c:strRef>
              <c:f>Sheet1!$C$2:$C$50</c:f>
              <c:strCache>
                <c:ptCount val="49"/>
                <c:pt idx="1">
                  <c:v>Uzņēmumu vadītāji</c:v>
                </c:pt>
                <c:pt idx="2">
                  <c:v>vadītāji, ierēdņi un likumdevēji</c:v>
                </c:pt>
                <c:pt idx="3">
                  <c:v>Viesmīlības un mazumtirdzniecības uzņēmumu vadītāji</c:v>
                </c:pt>
                <c:pt idx="4">
                  <c:v>Tehniskie vadītāji</c:v>
                </c:pt>
                <c:pt idx="6">
                  <c:v>Veselības aprūpes vecākie speciālisti</c:v>
                </c:pt>
                <c:pt idx="7">
                  <c:v>IKT vecākie speciālisti</c:v>
                </c:pt>
                <c:pt idx="8">
                  <c:v>Juridisko un sociālo lietu vecākie speciālisti</c:v>
                </c:pt>
                <c:pt idx="9">
                  <c:v>Biroju vecākie speciālisti</c:v>
                </c:pt>
                <c:pt idx="10">
                  <c:v>Pētnieki un inženieri</c:v>
                </c:pt>
                <c:pt idx="11">
                  <c:v>Mācību vecākie speciālisti</c:v>
                </c:pt>
                <c:pt idx="13">
                  <c:v>Veselības jomas  speciālisti</c:v>
                </c:pt>
                <c:pt idx="14">
                  <c:v>IKT tehniķi</c:v>
                </c:pt>
                <c:pt idx="15">
                  <c:v>Juridiskie un sociālie speciālisti</c:v>
                </c:pt>
                <c:pt idx="16">
                  <c:v>Biroju palīgdarbinieki</c:v>
                </c:pt>
                <c:pt idx="17">
                  <c:v>Zinātnes un inženiertehniskie speciālisti</c:v>
                </c:pt>
                <c:pt idx="19">
                  <c:v>Grāmatveži</c:v>
                </c:pt>
                <c:pt idx="20">
                  <c:v>Klientu apkalpotāji</c:v>
                </c:pt>
                <c:pt idx="21">
                  <c:v>Biroju darbinieki</c:v>
                </c:pt>
                <c:pt idx="22">
                  <c:v>Citi palīgdarbinieki</c:v>
                </c:pt>
                <c:pt idx="24">
                  <c:v>Aprūpes darbinieki</c:v>
                </c:pt>
                <c:pt idx="25">
                  <c:v>Personīgo pakalpojumu darbinieki</c:v>
                </c:pt>
                <c:pt idx="26">
                  <c:v>Aizsardzības darbinieki</c:v>
                </c:pt>
                <c:pt idx="27">
                  <c:v>Tirdzniecības darbinieki</c:v>
                </c:pt>
                <c:pt idx="29">
                  <c:v>Lauksaimniecības strādnieki un dārzkopji</c:v>
                </c:pt>
                <c:pt idx="30">
                  <c:v>Meža un zvejniecības strādnieki</c:v>
                </c:pt>
                <c:pt idx="31">
                  <c:v>Zemnieku saimniecības strādnieki, kas nodarbojas ar naturālo lauksaimniecību</c:v>
                </c:pt>
                <c:pt idx="33">
                  <c:v>Būvstrādnieki</c:v>
                </c:pt>
                <c:pt idx="34">
                  <c:v>Elektrotehnikas darbinieki</c:v>
                </c:pt>
                <c:pt idx="35">
                  <c:v>Amatniecības un poligrāfijas darbinieki</c:v>
                </c:pt>
                <c:pt idx="36">
                  <c:v>Metāla un mašīnbūves strādnieki</c:v>
                </c:pt>
                <c:pt idx="37">
                  <c:v>Citi ražošanas darbinieki</c:v>
                </c:pt>
                <c:pt idx="39">
                  <c:v>Montieri</c:v>
                </c:pt>
                <c:pt idx="40">
                  <c:v>Autovadītāji un transportlīdzekļu operatori</c:v>
                </c:pt>
                <c:pt idx="41">
                  <c:v>Mašīnu un iekārtu operatori</c:v>
                </c:pt>
                <c:pt idx="43">
                  <c:v>Lauksaimniecības strādnieki</c:v>
                </c:pt>
                <c:pt idx="44">
                  <c:v>Uzkopēji un palīgstrādnieki</c:v>
                </c:pt>
                <c:pt idx="45">
                  <c:v>Ēdiena gatavošanas palīgstrādnieki</c:v>
                </c:pt>
                <c:pt idx="46">
                  <c:v>Citi vienkāršo profesiju strādnieki</c:v>
                </c:pt>
                <c:pt idx="47">
                  <c:v>Ielu pakalpojumu darbinieki</c:v>
                </c:pt>
                <c:pt idx="48">
                  <c:v>Tehniskie strādnieki</c:v>
                </c:pt>
              </c:strCache>
            </c:strRef>
          </c:cat>
          <c:val>
            <c:numRef>
              <c:f>Sheet1!$D$2:$D$50</c:f>
              <c:numCache>
                <c:formatCode>General</c:formatCode>
                <c:ptCount val="49"/>
                <c:pt idx="1">
                  <c:v>0.03</c:v>
                </c:pt>
                <c:pt idx="2">
                  <c:v>0.02</c:v>
                </c:pt>
                <c:pt idx="3">
                  <c:v>0.04</c:v>
                </c:pt>
                <c:pt idx="4">
                  <c:v>0.03</c:v>
                </c:pt>
              </c:numCache>
            </c:numRef>
          </c:val>
          <c:extLst>
            <c:ext xmlns:c16="http://schemas.microsoft.com/office/drawing/2014/chart" uri="{C3380CC4-5D6E-409C-BE32-E72D297353CC}">
              <c16:uniqueId val="{00000000-C16C-4CB6-AFB5-D5BD3FE243D9}"/>
            </c:ext>
          </c:extLst>
        </c:ser>
        <c:ser>
          <c:idx val="1"/>
          <c:order val="1"/>
          <c:tx>
            <c:strRef>
              <c:f>Sheet1!$E$1</c:f>
              <c:strCache>
                <c:ptCount val="1"/>
                <c:pt idx="0">
                  <c:v>Vecākie speciālisti</c:v>
                </c:pt>
              </c:strCache>
            </c:strRef>
          </c:tx>
          <c:spPr>
            <a:solidFill>
              <a:schemeClr val="accent2"/>
            </a:solidFill>
            <a:ln>
              <a:noFill/>
            </a:ln>
            <a:effectLst/>
          </c:spPr>
          <c:invertIfNegative val="0"/>
          <c:cat>
            <c:strRef>
              <c:f>Sheet1!$C$2:$C$50</c:f>
              <c:strCache>
                <c:ptCount val="49"/>
                <c:pt idx="1">
                  <c:v>Uzņēmumu vadītāji</c:v>
                </c:pt>
                <c:pt idx="2">
                  <c:v>vadītāji, ierēdņi un likumdevēji</c:v>
                </c:pt>
                <c:pt idx="3">
                  <c:v>Viesmīlības un mazumtirdzniecības uzņēmumu vadītāji</c:v>
                </c:pt>
                <c:pt idx="4">
                  <c:v>Tehniskie vadītāji</c:v>
                </c:pt>
                <c:pt idx="6">
                  <c:v>Veselības aprūpes vecākie speciālisti</c:v>
                </c:pt>
                <c:pt idx="7">
                  <c:v>IKT vecākie speciālisti</c:v>
                </c:pt>
                <c:pt idx="8">
                  <c:v>Juridisko un sociālo lietu vecākie speciālisti</c:v>
                </c:pt>
                <c:pt idx="9">
                  <c:v>Biroju vecākie speciālisti</c:v>
                </c:pt>
                <c:pt idx="10">
                  <c:v>Pētnieki un inženieri</c:v>
                </c:pt>
                <c:pt idx="11">
                  <c:v>Mācību vecākie speciālisti</c:v>
                </c:pt>
                <c:pt idx="13">
                  <c:v>Veselības jomas  speciālisti</c:v>
                </c:pt>
                <c:pt idx="14">
                  <c:v>IKT tehniķi</c:v>
                </c:pt>
                <c:pt idx="15">
                  <c:v>Juridiskie un sociālie speciālisti</c:v>
                </c:pt>
                <c:pt idx="16">
                  <c:v>Biroju palīgdarbinieki</c:v>
                </c:pt>
                <c:pt idx="17">
                  <c:v>Zinātnes un inženiertehniskie speciālisti</c:v>
                </c:pt>
                <c:pt idx="19">
                  <c:v>Grāmatveži</c:v>
                </c:pt>
                <c:pt idx="20">
                  <c:v>Klientu apkalpotāji</c:v>
                </c:pt>
                <c:pt idx="21">
                  <c:v>Biroju darbinieki</c:v>
                </c:pt>
                <c:pt idx="22">
                  <c:v>Citi palīgdarbinieki</c:v>
                </c:pt>
                <c:pt idx="24">
                  <c:v>Aprūpes darbinieki</c:v>
                </c:pt>
                <c:pt idx="25">
                  <c:v>Personīgo pakalpojumu darbinieki</c:v>
                </c:pt>
                <c:pt idx="26">
                  <c:v>Aizsardzības darbinieki</c:v>
                </c:pt>
                <c:pt idx="27">
                  <c:v>Tirdzniecības darbinieki</c:v>
                </c:pt>
                <c:pt idx="29">
                  <c:v>Lauksaimniecības strādnieki un dārzkopji</c:v>
                </c:pt>
                <c:pt idx="30">
                  <c:v>Meža un zvejniecības strādnieki</c:v>
                </c:pt>
                <c:pt idx="31">
                  <c:v>Zemnieku saimniecības strādnieki, kas nodarbojas ar naturālo lauksaimniecību</c:v>
                </c:pt>
                <c:pt idx="33">
                  <c:v>Būvstrādnieki</c:v>
                </c:pt>
                <c:pt idx="34">
                  <c:v>Elektrotehnikas darbinieki</c:v>
                </c:pt>
                <c:pt idx="35">
                  <c:v>Amatniecības un poligrāfijas darbinieki</c:v>
                </c:pt>
                <c:pt idx="36">
                  <c:v>Metāla un mašīnbūves strādnieki</c:v>
                </c:pt>
                <c:pt idx="37">
                  <c:v>Citi ražošanas darbinieki</c:v>
                </c:pt>
                <c:pt idx="39">
                  <c:v>Montieri</c:v>
                </c:pt>
                <c:pt idx="40">
                  <c:v>Autovadītāji un transportlīdzekļu operatori</c:v>
                </c:pt>
                <c:pt idx="41">
                  <c:v>Mašīnu un iekārtu operatori</c:v>
                </c:pt>
                <c:pt idx="43">
                  <c:v>Lauksaimniecības strādnieki</c:v>
                </c:pt>
                <c:pt idx="44">
                  <c:v>Uzkopēji un palīgstrādnieki</c:v>
                </c:pt>
                <c:pt idx="45">
                  <c:v>Ēdiena gatavošanas palīgstrādnieki</c:v>
                </c:pt>
                <c:pt idx="46">
                  <c:v>Citi vienkāršo profesiju strādnieki</c:v>
                </c:pt>
                <c:pt idx="47">
                  <c:v>Ielu pakalpojumu darbinieki</c:v>
                </c:pt>
                <c:pt idx="48">
                  <c:v>Tehniskie strādnieki</c:v>
                </c:pt>
              </c:strCache>
            </c:strRef>
          </c:cat>
          <c:val>
            <c:numRef>
              <c:f>Sheet1!$E$2:$E$50</c:f>
              <c:numCache>
                <c:formatCode>General</c:formatCode>
                <c:ptCount val="49"/>
                <c:pt idx="6">
                  <c:v>0.05</c:v>
                </c:pt>
                <c:pt idx="7">
                  <c:v>0.06</c:v>
                </c:pt>
                <c:pt idx="8">
                  <c:v>0.05</c:v>
                </c:pt>
                <c:pt idx="9">
                  <c:v>7.0000000000000007E-2</c:v>
                </c:pt>
                <c:pt idx="10">
                  <c:v>0.08</c:v>
                </c:pt>
                <c:pt idx="11">
                  <c:v>0.08</c:v>
                </c:pt>
              </c:numCache>
            </c:numRef>
          </c:val>
          <c:extLst>
            <c:ext xmlns:c16="http://schemas.microsoft.com/office/drawing/2014/chart" uri="{C3380CC4-5D6E-409C-BE32-E72D297353CC}">
              <c16:uniqueId val="{00000001-C16C-4CB6-AFB5-D5BD3FE243D9}"/>
            </c:ext>
          </c:extLst>
        </c:ser>
        <c:ser>
          <c:idx val="2"/>
          <c:order val="2"/>
          <c:tx>
            <c:strRef>
              <c:f>Sheet1!$F$1</c:f>
              <c:strCache>
                <c:ptCount val="1"/>
                <c:pt idx="0">
                  <c:v>Speciālisti</c:v>
                </c:pt>
              </c:strCache>
            </c:strRef>
          </c:tx>
          <c:spPr>
            <a:solidFill>
              <a:schemeClr val="accent3"/>
            </a:solidFill>
            <a:ln>
              <a:noFill/>
            </a:ln>
            <a:effectLst/>
          </c:spPr>
          <c:invertIfNegative val="0"/>
          <c:cat>
            <c:strRef>
              <c:f>Sheet1!$C$2:$C$50</c:f>
              <c:strCache>
                <c:ptCount val="49"/>
                <c:pt idx="1">
                  <c:v>Uzņēmumu vadītāji</c:v>
                </c:pt>
                <c:pt idx="2">
                  <c:v>vadītāji, ierēdņi un likumdevēji</c:v>
                </c:pt>
                <c:pt idx="3">
                  <c:v>Viesmīlības un mazumtirdzniecības uzņēmumu vadītāji</c:v>
                </c:pt>
                <c:pt idx="4">
                  <c:v>Tehniskie vadītāji</c:v>
                </c:pt>
                <c:pt idx="6">
                  <c:v>Veselības aprūpes vecākie speciālisti</c:v>
                </c:pt>
                <c:pt idx="7">
                  <c:v>IKT vecākie speciālisti</c:v>
                </c:pt>
                <c:pt idx="8">
                  <c:v>Juridisko un sociālo lietu vecākie speciālisti</c:v>
                </c:pt>
                <c:pt idx="9">
                  <c:v>Biroju vecākie speciālisti</c:v>
                </c:pt>
                <c:pt idx="10">
                  <c:v>Pētnieki un inženieri</c:v>
                </c:pt>
                <c:pt idx="11">
                  <c:v>Mācību vecākie speciālisti</c:v>
                </c:pt>
                <c:pt idx="13">
                  <c:v>Veselības jomas  speciālisti</c:v>
                </c:pt>
                <c:pt idx="14">
                  <c:v>IKT tehniķi</c:v>
                </c:pt>
                <c:pt idx="15">
                  <c:v>Juridiskie un sociālie speciālisti</c:v>
                </c:pt>
                <c:pt idx="16">
                  <c:v>Biroju palīgdarbinieki</c:v>
                </c:pt>
                <c:pt idx="17">
                  <c:v>Zinātnes un inženiertehniskie speciālisti</c:v>
                </c:pt>
                <c:pt idx="19">
                  <c:v>Grāmatveži</c:v>
                </c:pt>
                <c:pt idx="20">
                  <c:v>Klientu apkalpotāji</c:v>
                </c:pt>
                <c:pt idx="21">
                  <c:v>Biroju darbinieki</c:v>
                </c:pt>
                <c:pt idx="22">
                  <c:v>Citi palīgdarbinieki</c:v>
                </c:pt>
                <c:pt idx="24">
                  <c:v>Aprūpes darbinieki</c:v>
                </c:pt>
                <c:pt idx="25">
                  <c:v>Personīgo pakalpojumu darbinieki</c:v>
                </c:pt>
                <c:pt idx="26">
                  <c:v>Aizsardzības darbinieki</c:v>
                </c:pt>
                <c:pt idx="27">
                  <c:v>Tirdzniecības darbinieki</c:v>
                </c:pt>
                <c:pt idx="29">
                  <c:v>Lauksaimniecības strādnieki un dārzkopji</c:v>
                </c:pt>
                <c:pt idx="30">
                  <c:v>Meža un zvejniecības strādnieki</c:v>
                </c:pt>
                <c:pt idx="31">
                  <c:v>Zemnieku saimniecības strādnieki, kas nodarbojas ar naturālo lauksaimniecību</c:v>
                </c:pt>
                <c:pt idx="33">
                  <c:v>Būvstrādnieki</c:v>
                </c:pt>
                <c:pt idx="34">
                  <c:v>Elektrotehnikas darbinieki</c:v>
                </c:pt>
                <c:pt idx="35">
                  <c:v>Amatniecības un poligrāfijas darbinieki</c:v>
                </c:pt>
                <c:pt idx="36">
                  <c:v>Metāla un mašīnbūves strādnieki</c:v>
                </c:pt>
                <c:pt idx="37">
                  <c:v>Citi ražošanas darbinieki</c:v>
                </c:pt>
                <c:pt idx="39">
                  <c:v>Montieri</c:v>
                </c:pt>
                <c:pt idx="40">
                  <c:v>Autovadītāji un transportlīdzekļu operatori</c:v>
                </c:pt>
                <c:pt idx="41">
                  <c:v>Mašīnu un iekārtu operatori</c:v>
                </c:pt>
                <c:pt idx="43">
                  <c:v>Lauksaimniecības strādnieki</c:v>
                </c:pt>
                <c:pt idx="44">
                  <c:v>Uzkopēji un palīgstrādnieki</c:v>
                </c:pt>
                <c:pt idx="45">
                  <c:v>Ēdiena gatavošanas palīgstrādnieki</c:v>
                </c:pt>
                <c:pt idx="46">
                  <c:v>Citi vienkāršo profesiju strādnieki</c:v>
                </c:pt>
                <c:pt idx="47">
                  <c:v>Ielu pakalpojumu darbinieki</c:v>
                </c:pt>
                <c:pt idx="48">
                  <c:v>Tehniskie strādnieki</c:v>
                </c:pt>
              </c:strCache>
            </c:strRef>
          </c:cat>
          <c:val>
            <c:numRef>
              <c:f>Sheet1!$F$2:$F$50</c:f>
              <c:numCache>
                <c:formatCode>General</c:formatCode>
                <c:ptCount val="49"/>
                <c:pt idx="13">
                  <c:v>7.0000000000000007E-2</c:v>
                </c:pt>
                <c:pt idx="14">
                  <c:v>0.06</c:v>
                </c:pt>
                <c:pt idx="15">
                  <c:v>0.05</c:v>
                </c:pt>
                <c:pt idx="16">
                  <c:v>0.05</c:v>
                </c:pt>
                <c:pt idx="17">
                  <c:v>0.08</c:v>
                </c:pt>
              </c:numCache>
            </c:numRef>
          </c:val>
          <c:extLst>
            <c:ext xmlns:c16="http://schemas.microsoft.com/office/drawing/2014/chart" uri="{C3380CC4-5D6E-409C-BE32-E72D297353CC}">
              <c16:uniqueId val="{00000002-C16C-4CB6-AFB5-D5BD3FE243D9}"/>
            </c:ext>
          </c:extLst>
        </c:ser>
        <c:ser>
          <c:idx val="3"/>
          <c:order val="3"/>
          <c:tx>
            <c:strRef>
              <c:f>Sheet1!$G$1</c:f>
              <c:strCache>
                <c:ptCount val="1"/>
                <c:pt idx="0">
                  <c:v>Kalpotāji</c:v>
                </c:pt>
              </c:strCache>
            </c:strRef>
          </c:tx>
          <c:spPr>
            <a:solidFill>
              <a:schemeClr val="accent4"/>
            </a:solidFill>
            <a:ln>
              <a:noFill/>
            </a:ln>
            <a:effectLst/>
          </c:spPr>
          <c:invertIfNegative val="0"/>
          <c:cat>
            <c:strRef>
              <c:f>Sheet1!$C$2:$C$50</c:f>
              <c:strCache>
                <c:ptCount val="49"/>
                <c:pt idx="1">
                  <c:v>Uzņēmumu vadītāji</c:v>
                </c:pt>
                <c:pt idx="2">
                  <c:v>vadītāji, ierēdņi un likumdevēji</c:v>
                </c:pt>
                <c:pt idx="3">
                  <c:v>Viesmīlības un mazumtirdzniecības uzņēmumu vadītāji</c:v>
                </c:pt>
                <c:pt idx="4">
                  <c:v>Tehniskie vadītāji</c:v>
                </c:pt>
                <c:pt idx="6">
                  <c:v>Veselības aprūpes vecākie speciālisti</c:v>
                </c:pt>
                <c:pt idx="7">
                  <c:v>IKT vecākie speciālisti</c:v>
                </c:pt>
                <c:pt idx="8">
                  <c:v>Juridisko un sociālo lietu vecākie speciālisti</c:v>
                </c:pt>
                <c:pt idx="9">
                  <c:v>Biroju vecākie speciālisti</c:v>
                </c:pt>
                <c:pt idx="10">
                  <c:v>Pētnieki un inženieri</c:v>
                </c:pt>
                <c:pt idx="11">
                  <c:v>Mācību vecākie speciālisti</c:v>
                </c:pt>
                <c:pt idx="13">
                  <c:v>Veselības jomas  speciālisti</c:v>
                </c:pt>
                <c:pt idx="14">
                  <c:v>IKT tehniķi</c:v>
                </c:pt>
                <c:pt idx="15">
                  <c:v>Juridiskie un sociālie speciālisti</c:v>
                </c:pt>
                <c:pt idx="16">
                  <c:v>Biroju palīgdarbinieki</c:v>
                </c:pt>
                <c:pt idx="17">
                  <c:v>Zinātnes un inženiertehniskie speciālisti</c:v>
                </c:pt>
                <c:pt idx="19">
                  <c:v>Grāmatveži</c:v>
                </c:pt>
                <c:pt idx="20">
                  <c:v>Klientu apkalpotāji</c:v>
                </c:pt>
                <c:pt idx="21">
                  <c:v>Biroju darbinieki</c:v>
                </c:pt>
                <c:pt idx="22">
                  <c:v>Citi palīgdarbinieki</c:v>
                </c:pt>
                <c:pt idx="24">
                  <c:v>Aprūpes darbinieki</c:v>
                </c:pt>
                <c:pt idx="25">
                  <c:v>Personīgo pakalpojumu darbinieki</c:v>
                </c:pt>
                <c:pt idx="26">
                  <c:v>Aizsardzības darbinieki</c:v>
                </c:pt>
                <c:pt idx="27">
                  <c:v>Tirdzniecības darbinieki</c:v>
                </c:pt>
                <c:pt idx="29">
                  <c:v>Lauksaimniecības strādnieki un dārzkopji</c:v>
                </c:pt>
                <c:pt idx="30">
                  <c:v>Meža un zvejniecības strādnieki</c:v>
                </c:pt>
                <c:pt idx="31">
                  <c:v>Zemnieku saimniecības strādnieki, kas nodarbojas ar naturālo lauksaimniecību</c:v>
                </c:pt>
                <c:pt idx="33">
                  <c:v>Būvstrādnieki</c:v>
                </c:pt>
                <c:pt idx="34">
                  <c:v>Elektrotehnikas darbinieki</c:v>
                </c:pt>
                <c:pt idx="35">
                  <c:v>Amatniecības un poligrāfijas darbinieki</c:v>
                </c:pt>
                <c:pt idx="36">
                  <c:v>Metāla un mašīnbūves strādnieki</c:v>
                </c:pt>
                <c:pt idx="37">
                  <c:v>Citi ražošanas darbinieki</c:v>
                </c:pt>
                <c:pt idx="39">
                  <c:v>Montieri</c:v>
                </c:pt>
                <c:pt idx="40">
                  <c:v>Autovadītāji un transportlīdzekļu operatori</c:v>
                </c:pt>
                <c:pt idx="41">
                  <c:v>Mašīnu un iekārtu operatori</c:v>
                </c:pt>
                <c:pt idx="43">
                  <c:v>Lauksaimniecības strādnieki</c:v>
                </c:pt>
                <c:pt idx="44">
                  <c:v>Uzkopēji un palīgstrādnieki</c:v>
                </c:pt>
                <c:pt idx="45">
                  <c:v>Ēdiena gatavošanas palīgstrādnieki</c:v>
                </c:pt>
                <c:pt idx="46">
                  <c:v>Citi vienkāršo profesiju strādnieki</c:v>
                </c:pt>
                <c:pt idx="47">
                  <c:v>Ielu pakalpojumu darbinieki</c:v>
                </c:pt>
                <c:pt idx="48">
                  <c:v>Tehniskie strādnieki</c:v>
                </c:pt>
              </c:strCache>
            </c:strRef>
          </c:cat>
          <c:val>
            <c:numRef>
              <c:f>Sheet1!$G$2:$G$50</c:f>
              <c:numCache>
                <c:formatCode>General</c:formatCode>
                <c:ptCount val="49"/>
                <c:pt idx="19">
                  <c:v>0.06</c:v>
                </c:pt>
                <c:pt idx="20">
                  <c:v>0.05</c:v>
                </c:pt>
                <c:pt idx="21">
                  <c:v>0.06</c:v>
                </c:pt>
                <c:pt idx="22">
                  <c:v>0.05</c:v>
                </c:pt>
              </c:numCache>
            </c:numRef>
          </c:val>
          <c:extLst>
            <c:ext xmlns:c16="http://schemas.microsoft.com/office/drawing/2014/chart" uri="{C3380CC4-5D6E-409C-BE32-E72D297353CC}">
              <c16:uniqueId val="{00000003-C16C-4CB6-AFB5-D5BD3FE243D9}"/>
            </c:ext>
          </c:extLst>
        </c:ser>
        <c:ser>
          <c:idx val="4"/>
          <c:order val="4"/>
          <c:tx>
            <c:strRef>
              <c:f>Sheet1!$H$1</c:f>
              <c:strCache>
                <c:ptCount val="1"/>
                <c:pt idx="0">
                  <c:v>Pakalpojumu un tirdzniecības darbinieki</c:v>
                </c:pt>
              </c:strCache>
            </c:strRef>
          </c:tx>
          <c:spPr>
            <a:solidFill>
              <a:schemeClr val="accent5"/>
            </a:solidFill>
            <a:ln>
              <a:noFill/>
            </a:ln>
            <a:effectLst/>
          </c:spPr>
          <c:invertIfNegative val="0"/>
          <c:cat>
            <c:strRef>
              <c:f>Sheet1!$C$2:$C$50</c:f>
              <c:strCache>
                <c:ptCount val="49"/>
                <c:pt idx="1">
                  <c:v>Uzņēmumu vadītāji</c:v>
                </c:pt>
                <c:pt idx="2">
                  <c:v>vadītāji, ierēdņi un likumdevēji</c:v>
                </c:pt>
                <c:pt idx="3">
                  <c:v>Viesmīlības un mazumtirdzniecības uzņēmumu vadītāji</c:v>
                </c:pt>
                <c:pt idx="4">
                  <c:v>Tehniskie vadītāji</c:v>
                </c:pt>
                <c:pt idx="6">
                  <c:v>Veselības aprūpes vecākie speciālisti</c:v>
                </c:pt>
                <c:pt idx="7">
                  <c:v>IKT vecākie speciālisti</c:v>
                </c:pt>
                <c:pt idx="8">
                  <c:v>Juridisko un sociālo lietu vecākie speciālisti</c:v>
                </c:pt>
                <c:pt idx="9">
                  <c:v>Biroju vecākie speciālisti</c:v>
                </c:pt>
                <c:pt idx="10">
                  <c:v>Pētnieki un inženieri</c:v>
                </c:pt>
                <c:pt idx="11">
                  <c:v>Mācību vecākie speciālisti</c:v>
                </c:pt>
                <c:pt idx="13">
                  <c:v>Veselības jomas  speciālisti</c:v>
                </c:pt>
                <c:pt idx="14">
                  <c:v>IKT tehniķi</c:v>
                </c:pt>
                <c:pt idx="15">
                  <c:v>Juridiskie un sociālie speciālisti</c:v>
                </c:pt>
                <c:pt idx="16">
                  <c:v>Biroju palīgdarbinieki</c:v>
                </c:pt>
                <c:pt idx="17">
                  <c:v>Zinātnes un inženiertehniskie speciālisti</c:v>
                </c:pt>
                <c:pt idx="19">
                  <c:v>Grāmatveži</c:v>
                </c:pt>
                <c:pt idx="20">
                  <c:v>Klientu apkalpotāji</c:v>
                </c:pt>
                <c:pt idx="21">
                  <c:v>Biroju darbinieki</c:v>
                </c:pt>
                <c:pt idx="22">
                  <c:v>Citi palīgdarbinieki</c:v>
                </c:pt>
                <c:pt idx="24">
                  <c:v>Aprūpes darbinieki</c:v>
                </c:pt>
                <c:pt idx="25">
                  <c:v>Personīgo pakalpojumu darbinieki</c:v>
                </c:pt>
                <c:pt idx="26">
                  <c:v>Aizsardzības darbinieki</c:v>
                </c:pt>
                <c:pt idx="27">
                  <c:v>Tirdzniecības darbinieki</c:v>
                </c:pt>
                <c:pt idx="29">
                  <c:v>Lauksaimniecības strādnieki un dārzkopji</c:v>
                </c:pt>
                <c:pt idx="30">
                  <c:v>Meža un zvejniecības strādnieki</c:v>
                </c:pt>
                <c:pt idx="31">
                  <c:v>Zemnieku saimniecības strādnieki, kas nodarbojas ar naturālo lauksaimniecību</c:v>
                </c:pt>
                <c:pt idx="33">
                  <c:v>Būvstrādnieki</c:v>
                </c:pt>
                <c:pt idx="34">
                  <c:v>Elektrotehnikas darbinieki</c:v>
                </c:pt>
                <c:pt idx="35">
                  <c:v>Amatniecības un poligrāfijas darbinieki</c:v>
                </c:pt>
                <c:pt idx="36">
                  <c:v>Metāla un mašīnbūves strādnieki</c:v>
                </c:pt>
                <c:pt idx="37">
                  <c:v>Citi ražošanas darbinieki</c:v>
                </c:pt>
                <c:pt idx="39">
                  <c:v>Montieri</c:v>
                </c:pt>
                <c:pt idx="40">
                  <c:v>Autovadītāji un transportlīdzekļu operatori</c:v>
                </c:pt>
                <c:pt idx="41">
                  <c:v>Mašīnu un iekārtu operatori</c:v>
                </c:pt>
                <c:pt idx="43">
                  <c:v>Lauksaimniecības strādnieki</c:v>
                </c:pt>
                <c:pt idx="44">
                  <c:v>Uzkopēji un palīgstrādnieki</c:v>
                </c:pt>
                <c:pt idx="45">
                  <c:v>Ēdiena gatavošanas palīgstrādnieki</c:v>
                </c:pt>
                <c:pt idx="46">
                  <c:v>Citi vienkāršo profesiju strādnieki</c:v>
                </c:pt>
                <c:pt idx="47">
                  <c:v>Ielu pakalpojumu darbinieki</c:v>
                </c:pt>
                <c:pt idx="48">
                  <c:v>Tehniskie strādnieki</c:v>
                </c:pt>
              </c:strCache>
            </c:strRef>
          </c:cat>
          <c:val>
            <c:numRef>
              <c:f>Sheet1!$H$2:$H$50</c:f>
              <c:numCache>
                <c:formatCode>General</c:formatCode>
                <c:ptCount val="49"/>
                <c:pt idx="24">
                  <c:v>0.04</c:v>
                </c:pt>
                <c:pt idx="25">
                  <c:v>0.08</c:v>
                </c:pt>
                <c:pt idx="26">
                  <c:v>0.1</c:v>
                </c:pt>
                <c:pt idx="27">
                  <c:v>0.09</c:v>
                </c:pt>
              </c:numCache>
            </c:numRef>
          </c:val>
          <c:extLst>
            <c:ext xmlns:c16="http://schemas.microsoft.com/office/drawing/2014/chart" uri="{C3380CC4-5D6E-409C-BE32-E72D297353CC}">
              <c16:uniqueId val="{00000004-C16C-4CB6-AFB5-D5BD3FE243D9}"/>
            </c:ext>
          </c:extLst>
        </c:ser>
        <c:ser>
          <c:idx val="5"/>
          <c:order val="5"/>
          <c:tx>
            <c:strRef>
              <c:f>Sheet1!$I$1</c:f>
              <c:strCache>
                <c:ptCount val="1"/>
                <c:pt idx="0">
                  <c:v>Kvalificēti lauksaimniecības, mežsaimniecības un zivsaimniecības darbinieki</c:v>
                </c:pt>
              </c:strCache>
            </c:strRef>
          </c:tx>
          <c:spPr>
            <a:solidFill>
              <a:schemeClr val="accent6"/>
            </a:solidFill>
            <a:ln>
              <a:noFill/>
            </a:ln>
            <a:effectLst/>
          </c:spPr>
          <c:invertIfNegative val="0"/>
          <c:cat>
            <c:strRef>
              <c:f>Sheet1!$C$2:$C$50</c:f>
              <c:strCache>
                <c:ptCount val="49"/>
                <c:pt idx="1">
                  <c:v>Uzņēmumu vadītāji</c:v>
                </c:pt>
                <c:pt idx="2">
                  <c:v>vadītāji, ierēdņi un likumdevēji</c:v>
                </c:pt>
                <c:pt idx="3">
                  <c:v>Viesmīlības un mazumtirdzniecības uzņēmumu vadītāji</c:v>
                </c:pt>
                <c:pt idx="4">
                  <c:v>Tehniskie vadītāji</c:v>
                </c:pt>
                <c:pt idx="6">
                  <c:v>Veselības aprūpes vecākie speciālisti</c:v>
                </c:pt>
                <c:pt idx="7">
                  <c:v>IKT vecākie speciālisti</c:v>
                </c:pt>
                <c:pt idx="8">
                  <c:v>Juridisko un sociālo lietu vecākie speciālisti</c:v>
                </c:pt>
                <c:pt idx="9">
                  <c:v>Biroju vecākie speciālisti</c:v>
                </c:pt>
                <c:pt idx="10">
                  <c:v>Pētnieki un inženieri</c:v>
                </c:pt>
                <c:pt idx="11">
                  <c:v>Mācību vecākie speciālisti</c:v>
                </c:pt>
                <c:pt idx="13">
                  <c:v>Veselības jomas  speciālisti</c:v>
                </c:pt>
                <c:pt idx="14">
                  <c:v>IKT tehniķi</c:v>
                </c:pt>
                <c:pt idx="15">
                  <c:v>Juridiskie un sociālie speciālisti</c:v>
                </c:pt>
                <c:pt idx="16">
                  <c:v>Biroju palīgdarbinieki</c:v>
                </c:pt>
                <c:pt idx="17">
                  <c:v>Zinātnes un inženiertehniskie speciālisti</c:v>
                </c:pt>
                <c:pt idx="19">
                  <c:v>Grāmatveži</c:v>
                </c:pt>
                <c:pt idx="20">
                  <c:v>Klientu apkalpotāji</c:v>
                </c:pt>
                <c:pt idx="21">
                  <c:v>Biroju darbinieki</c:v>
                </c:pt>
                <c:pt idx="22">
                  <c:v>Citi palīgdarbinieki</c:v>
                </c:pt>
                <c:pt idx="24">
                  <c:v>Aprūpes darbinieki</c:v>
                </c:pt>
                <c:pt idx="25">
                  <c:v>Personīgo pakalpojumu darbinieki</c:v>
                </c:pt>
                <c:pt idx="26">
                  <c:v>Aizsardzības darbinieki</c:v>
                </c:pt>
                <c:pt idx="27">
                  <c:v>Tirdzniecības darbinieki</c:v>
                </c:pt>
                <c:pt idx="29">
                  <c:v>Lauksaimniecības strādnieki un dārzkopji</c:v>
                </c:pt>
                <c:pt idx="30">
                  <c:v>Meža un zvejniecības strādnieki</c:v>
                </c:pt>
                <c:pt idx="31">
                  <c:v>Zemnieku saimniecības strādnieki, kas nodarbojas ar naturālo lauksaimniecību</c:v>
                </c:pt>
                <c:pt idx="33">
                  <c:v>Būvstrādnieki</c:v>
                </c:pt>
                <c:pt idx="34">
                  <c:v>Elektrotehnikas darbinieki</c:v>
                </c:pt>
                <c:pt idx="35">
                  <c:v>Amatniecības un poligrāfijas darbinieki</c:v>
                </c:pt>
                <c:pt idx="36">
                  <c:v>Metāla un mašīnbūves strādnieki</c:v>
                </c:pt>
                <c:pt idx="37">
                  <c:v>Citi ražošanas darbinieki</c:v>
                </c:pt>
                <c:pt idx="39">
                  <c:v>Montieri</c:v>
                </c:pt>
                <c:pt idx="40">
                  <c:v>Autovadītāji un transportlīdzekļu operatori</c:v>
                </c:pt>
                <c:pt idx="41">
                  <c:v>Mašīnu un iekārtu operatori</c:v>
                </c:pt>
                <c:pt idx="43">
                  <c:v>Lauksaimniecības strādnieki</c:v>
                </c:pt>
                <c:pt idx="44">
                  <c:v>Uzkopēji un palīgstrādnieki</c:v>
                </c:pt>
                <c:pt idx="45">
                  <c:v>Ēdiena gatavošanas palīgstrādnieki</c:v>
                </c:pt>
                <c:pt idx="46">
                  <c:v>Citi vienkāršo profesiju strādnieki</c:v>
                </c:pt>
                <c:pt idx="47">
                  <c:v>Ielu pakalpojumu darbinieki</c:v>
                </c:pt>
                <c:pt idx="48">
                  <c:v>Tehniskie strādnieki</c:v>
                </c:pt>
              </c:strCache>
            </c:strRef>
          </c:cat>
          <c:val>
            <c:numRef>
              <c:f>Sheet1!$I$2:$I$50</c:f>
              <c:numCache>
                <c:formatCode>General</c:formatCode>
                <c:ptCount val="49"/>
                <c:pt idx="29">
                  <c:v>0.13</c:v>
                </c:pt>
                <c:pt idx="30">
                  <c:v>0.08</c:v>
                </c:pt>
                <c:pt idx="31">
                  <c:v>0.18</c:v>
                </c:pt>
              </c:numCache>
            </c:numRef>
          </c:val>
          <c:extLst>
            <c:ext xmlns:c16="http://schemas.microsoft.com/office/drawing/2014/chart" uri="{C3380CC4-5D6E-409C-BE32-E72D297353CC}">
              <c16:uniqueId val="{00000005-C16C-4CB6-AFB5-D5BD3FE243D9}"/>
            </c:ext>
          </c:extLst>
        </c:ser>
        <c:ser>
          <c:idx val="6"/>
          <c:order val="6"/>
          <c:tx>
            <c:strRef>
              <c:f>Sheet1!$J$1</c:f>
              <c:strCache>
                <c:ptCount val="1"/>
                <c:pt idx="0">
                  <c:v>Kvalificēti strādnieki un amatnieki</c:v>
                </c:pt>
              </c:strCache>
            </c:strRef>
          </c:tx>
          <c:spPr>
            <a:solidFill>
              <a:schemeClr val="accent1">
                <a:lumMod val="60000"/>
              </a:schemeClr>
            </a:solidFill>
            <a:ln>
              <a:noFill/>
            </a:ln>
            <a:effectLst/>
          </c:spPr>
          <c:invertIfNegative val="0"/>
          <c:cat>
            <c:strRef>
              <c:f>Sheet1!$C$2:$C$50</c:f>
              <c:strCache>
                <c:ptCount val="49"/>
                <c:pt idx="1">
                  <c:v>Uzņēmumu vadītāji</c:v>
                </c:pt>
                <c:pt idx="2">
                  <c:v>vadītāji, ierēdņi un likumdevēji</c:v>
                </c:pt>
                <c:pt idx="3">
                  <c:v>Viesmīlības un mazumtirdzniecības uzņēmumu vadītāji</c:v>
                </c:pt>
                <c:pt idx="4">
                  <c:v>Tehniskie vadītāji</c:v>
                </c:pt>
                <c:pt idx="6">
                  <c:v>Veselības aprūpes vecākie speciālisti</c:v>
                </c:pt>
                <c:pt idx="7">
                  <c:v>IKT vecākie speciālisti</c:v>
                </c:pt>
                <c:pt idx="8">
                  <c:v>Juridisko un sociālo lietu vecākie speciālisti</c:v>
                </c:pt>
                <c:pt idx="9">
                  <c:v>Biroju vecākie speciālisti</c:v>
                </c:pt>
                <c:pt idx="10">
                  <c:v>Pētnieki un inženieri</c:v>
                </c:pt>
                <c:pt idx="11">
                  <c:v>Mācību vecākie speciālisti</c:v>
                </c:pt>
                <c:pt idx="13">
                  <c:v>Veselības jomas  speciālisti</c:v>
                </c:pt>
                <c:pt idx="14">
                  <c:v>IKT tehniķi</c:v>
                </c:pt>
                <c:pt idx="15">
                  <c:v>Juridiskie un sociālie speciālisti</c:v>
                </c:pt>
                <c:pt idx="16">
                  <c:v>Biroju palīgdarbinieki</c:v>
                </c:pt>
                <c:pt idx="17">
                  <c:v>Zinātnes un inženiertehniskie speciālisti</c:v>
                </c:pt>
                <c:pt idx="19">
                  <c:v>Grāmatveži</c:v>
                </c:pt>
                <c:pt idx="20">
                  <c:v>Klientu apkalpotāji</c:v>
                </c:pt>
                <c:pt idx="21">
                  <c:v>Biroju darbinieki</c:v>
                </c:pt>
                <c:pt idx="22">
                  <c:v>Citi palīgdarbinieki</c:v>
                </c:pt>
                <c:pt idx="24">
                  <c:v>Aprūpes darbinieki</c:v>
                </c:pt>
                <c:pt idx="25">
                  <c:v>Personīgo pakalpojumu darbinieki</c:v>
                </c:pt>
                <c:pt idx="26">
                  <c:v>Aizsardzības darbinieki</c:v>
                </c:pt>
                <c:pt idx="27">
                  <c:v>Tirdzniecības darbinieki</c:v>
                </c:pt>
                <c:pt idx="29">
                  <c:v>Lauksaimniecības strādnieki un dārzkopji</c:v>
                </c:pt>
                <c:pt idx="30">
                  <c:v>Meža un zvejniecības strādnieki</c:v>
                </c:pt>
                <c:pt idx="31">
                  <c:v>Zemnieku saimniecības strādnieki, kas nodarbojas ar naturālo lauksaimniecību</c:v>
                </c:pt>
                <c:pt idx="33">
                  <c:v>Būvstrādnieki</c:v>
                </c:pt>
                <c:pt idx="34">
                  <c:v>Elektrotehnikas darbinieki</c:v>
                </c:pt>
                <c:pt idx="35">
                  <c:v>Amatniecības un poligrāfijas darbinieki</c:v>
                </c:pt>
                <c:pt idx="36">
                  <c:v>Metāla un mašīnbūves strādnieki</c:v>
                </c:pt>
                <c:pt idx="37">
                  <c:v>Citi ražošanas darbinieki</c:v>
                </c:pt>
                <c:pt idx="39">
                  <c:v>Montieri</c:v>
                </c:pt>
                <c:pt idx="40">
                  <c:v>Autovadītāji un transportlīdzekļu operatori</c:v>
                </c:pt>
                <c:pt idx="41">
                  <c:v>Mašīnu un iekārtu operatori</c:v>
                </c:pt>
                <c:pt idx="43">
                  <c:v>Lauksaimniecības strādnieki</c:v>
                </c:pt>
                <c:pt idx="44">
                  <c:v>Uzkopēji un palīgstrādnieki</c:v>
                </c:pt>
                <c:pt idx="45">
                  <c:v>Ēdiena gatavošanas palīgstrādnieki</c:v>
                </c:pt>
                <c:pt idx="46">
                  <c:v>Citi vienkāršo profesiju strādnieki</c:v>
                </c:pt>
                <c:pt idx="47">
                  <c:v>Ielu pakalpojumu darbinieki</c:v>
                </c:pt>
                <c:pt idx="48">
                  <c:v>Tehniskie strādnieki</c:v>
                </c:pt>
              </c:strCache>
            </c:strRef>
          </c:cat>
          <c:val>
            <c:numRef>
              <c:f>Sheet1!$J$2:$J$50</c:f>
              <c:numCache>
                <c:formatCode>General</c:formatCode>
                <c:ptCount val="49"/>
                <c:pt idx="33">
                  <c:v>0.16</c:v>
                </c:pt>
                <c:pt idx="34">
                  <c:v>0.11</c:v>
                </c:pt>
                <c:pt idx="35">
                  <c:v>0.18</c:v>
                </c:pt>
                <c:pt idx="36">
                  <c:v>0.15</c:v>
                </c:pt>
                <c:pt idx="37">
                  <c:v>0.18</c:v>
                </c:pt>
              </c:numCache>
            </c:numRef>
          </c:val>
          <c:extLst>
            <c:ext xmlns:c16="http://schemas.microsoft.com/office/drawing/2014/chart" uri="{C3380CC4-5D6E-409C-BE32-E72D297353CC}">
              <c16:uniqueId val="{00000006-C16C-4CB6-AFB5-D5BD3FE243D9}"/>
            </c:ext>
          </c:extLst>
        </c:ser>
        <c:ser>
          <c:idx val="7"/>
          <c:order val="7"/>
          <c:tx>
            <c:strRef>
              <c:f>Sheet1!$K$1</c:f>
              <c:strCache>
                <c:ptCount val="1"/>
                <c:pt idx="0">
                  <c:v>Iekārtu un mašīnu operatori un izstrādājumu montieri</c:v>
                </c:pt>
              </c:strCache>
            </c:strRef>
          </c:tx>
          <c:spPr>
            <a:solidFill>
              <a:schemeClr val="accent2">
                <a:lumMod val="60000"/>
              </a:schemeClr>
            </a:solidFill>
            <a:ln>
              <a:noFill/>
            </a:ln>
            <a:effectLst/>
          </c:spPr>
          <c:invertIfNegative val="0"/>
          <c:cat>
            <c:strRef>
              <c:f>Sheet1!$C$2:$C$50</c:f>
              <c:strCache>
                <c:ptCount val="49"/>
                <c:pt idx="1">
                  <c:v>Uzņēmumu vadītāji</c:v>
                </c:pt>
                <c:pt idx="2">
                  <c:v>vadītāji, ierēdņi un likumdevēji</c:v>
                </c:pt>
                <c:pt idx="3">
                  <c:v>Viesmīlības un mazumtirdzniecības uzņēmumu vadītāji</c:v>
                </c:pt>
                <c:pt idx="4">
                  <c:v>Tehniskie vadītāji</c:v>
                </c:pt>
                <c:pt idx="6">
                  <c:v>Veselības aprūpes vecākie speciālisti</c:v>
                </c:pt>
                <c:pt idx="7">
                  <c:v>IKT vecākie speciālisti</c:v>
                </c:pt>
                <c:pt idx="8">
                  <c:v>Juridisko un sociālo lietu vecākie speciālisti</c:v>
                </c:pt>
                <c:pt idx="9">
                  <c:v>Biroju vecākie speciālisti</c:v>
                </c:pt>
                <c:pt idx="10">
                  <c:v>Pētnieki un inženieri</c:v>
                </c:pt>
                <c:pt idx="11">
                  <c:v>Mācību vecākie speciālisti</c:v>
                </c:pt>
                <c:pt idx="13">
                  <c:v>Veselības jomas  speciālisti</c:v>
                </c:pt>
                <c:pt idx="14">
                  <c:v>IKT tehniķi</c:v>
                </c:pt>
                <c:pt idx="15">
                  <c:v>Juridiskie un sociālie speciālisti</c:v>
                </c:pt>
                <c:pt idx="16">
                  <c:v>Biroju palīgdarbinieki</c:v>
                </c:pt>
                <c:pt idx="17">
                  <c:v>Zinātnes un inženiertehniskie speciālisti</c:v>
                </c:pt>
                <c:pt idx="19">
                  <c:v>Grāmatveži</c:v>
                </c:pt>
                <c:pt idx="20">
                  <c:v>Klientu apkalpotāji</c:v>
                </c:pt>
                <c:pt idx="21">
                  <c:v>Biroju darbinieki</c:v>
                </c:pt>
                <c:pt idx="22">
                  <c:v>Citi palīgdarbinieki</c:v>
                </c:pt>
                <c:pt idx="24">
                  <c:v>Aprūpes darbinieki</c:v>
                </c:pt>
                <c:pt idx="25">
                  <c:v>Personīgo pakalpojumu darbinieki</c:v>
                </c:pt>
                <c:pt idx="26">
                  <c:v>Aizsardzības darbinieki</c:v>
                </c:pt>
                <c:pt idx="27">
                  <c:v>Tirdzniecības darbinieki</c:v>
                </c:pt>
                <c:pt idx="29">
                  <c:v>Lauksaimniecības strādnieki un dārzkopji</c:v>
                </c:pt>
                <c:pt idx="30">
                  <c:v>Meža un zvejniecības strādnieki</c:v>
                </c:pt>
                <c:pt idx="31">
                  <c:v>Zemnieku saimniecības strādnieki, kas nodarbojas ar naturālo lauksaimniecību</c:v>
                </c:pt>
                <c:pt idx="33">
                  <c:v>Būvstrādnieki</c:v>
                </c:pt>
                <c:pt idx="34">
                  <c:v>Elektrotehnikas darbinieki</c:v>
                </c:pt>
                <c:pt idx="35">
                  <c:v>Amatniecības un poligrāfijas darbinieki</c:v>
                </c:pt>
                <c:pt idx="36">
                  <c:v>Metāla un mašīnbūves strādnieki</c:v>
                </c:pt>
                <c:pt idx="37">
                  <c:v>Citi ražošanas darbinieki</c:v>
                </c:pt>
                <c:pt idx="39">
                  <c:v>Montieri</c:v>
                </c:pt>
                <c:pt idx="40">
                  <c:v>Autovadītāji un transportlīdzekļu operatori</c:v>
                </c:pt>
                <c:pt idx="41">
                  <c:v>Mašīnu un iekārtu operatori</c:v>
                </c:pt>
                <c:pt idx="43">
                  <c:v>Lauksaimniecības strādnieki</c:v>
                </c:pt>
                <c:pt idx="44">
                  <c:v>Uzkopēji un palīgstrādnieki</c:v>
                </c:pt>
                <c:pt idx="45">
                  <c:v>Ēdiena gatavošanas palīgstrādnieki</c:v>
                </c:pt>
                <c:pt idx="46">
                  <c:v>Citi vienkāršo profesiju strādnieki</c:v>
                </c:pt>
                <c:pt idx="47">
                  <c:v>Ielu pakalpojumu darbinieki</c:v>
                </c:pt>
                <c:pt idx="48">
                  <c:v>Tehniskie strādnieki</c:v>
                </c:pt>
              </c:strCache>
            </c:strRef>
          </c:cat>
          <c:val>
            <c:numRef>
              <c:f>Sheet1!$K$2:$K$50</c:f>
              <c:numCache>
                <c:formatCode>General</c:formatCode>
                <c:ptCount val="49"/>
                <c:pt idx="39">
                  <c:v>0.17</c:v>
                </c:pt>
                <c:pt idx="40">
                  <c:v>0.13</c:v>
                </c:pt>
                <c:pt idx="41">
                  <c:v>0.17</c:v>
                </c:pt>
              </c:numCache>
            </c:numRef>
          </c:val>
          <c:extLst>
            <c:ext xmlns:c16="http://schemas.microsoft.com/office/drawing/2014/chart" uri="{C3380CC4-5D6E-409C-BE32-E72D297353CC}">
              <c16:uniqueId val="{00000007-C16C-4CB6-AFB5-D5BD3FE243D9}"/>
            </c:ext>
          </c:extLst>
        </c:ser>
        <c:ser>
          <c:idx val="8"/>
          <c:order val="8"/>
          <c:tx>
            <c:strRef>
              <c:f>Sheet1!$L$1</c:f>
              <c:strCache>
                <c:ptCount val="1"/>
                <c:pt idx="0">
                  <c:v>Vienkāršās profesijas</c:v>
                </c:pt>
              </c:strCache>
            </c:strRef>
          </c:tx>
          <c:spPr>
            <a:solidFill>
              <a:schemeClr val="accent3">
                <a:lumMod val="60000"/>
              </a:schemeClr>
            </a:solidFill>
            <a:ln>
              <a:noFill/>
            </a:ln>
            <a:effectLst/>
          </c:spPr>
          <c:invertIfNegative val="0"/>
          <c:cat>
            <c:strRef>
              <c:f>Sheet1!$C$2:$C$50</c:f>
              <c:strCache>
                <c:ptCount val="49"/>
                <c:pt idx="1">
                  <c:v>Uzņēmumu vadītāji</c:v>
                </c:pt>
                <c:pt idx="2">
                  <c:v>vadītāji, ierēdņi un likumdevēji</c:v>
                </c:pt>
                <c:pt idx="3">
                  <c:v>Viesmīlības un mazumtirdzniecības uzņēmumu vadītāji</c:v>
                </c:pt>
                <c:pt idx="4">
                  <c:v>Tehniskie vadītāji</c:v>
                </c:pt>
                <c:pt idx="6">
                  <c:v>Veselības aprūpes vecākie speciālisti</c:v>
                </c:pt>
                <c:pt idx="7">
                  <c:v>IKT vecākie speciālisti</c:v>
                </c:pt>
                <c:pt idx="8">
                  <c:v>Juridisko un sociālo lietu vecākie speciālisti</c:v>
                </c:pt>
                <c:pt idx="9">
                  <c:v>Biroju vecākie speciālisti</c:v>
                </c:pt>
                <c:pt idx="10">
                  <c:v>Pētnieki un inženieri</c:v>
                </c:pt>
                <c:pt idx="11">
                  <c:v>Mācību vecākie speciālisti</c:v>
                </c:pt>
                <c:pt idx="13">
                  <c:v>Veselības jomas  speciālisti</c:v>
                </c:pt>
                <c:pt idx="14">
                  <c:v>IKT tehniķi</c:v>
                </c:pt>
                <c:pt idx="15">
                  <c:v>Juridiskie un sociālie speciālisti</c:v>
                </c:pt>
                <c:pt idx="16">
                  <c:v>Biroju palīgdarbinieki</c:v>
                </c:pt>
                <c:pt idx="17">
                  <c:v>Zinātnes un inženiertehniskie speciālisti</c:v>
                </c:pt>
                <c:pt idx="19">
                  <c:v>Grāmatveži</c:v>
                </c:pt>
                <c:pt idx="20">
                  <c:v>Klientu apkalpotāji</c:v>
                </c:pt>
                <c:pt idx="21">
                  <c:v>Biroju darbinieki</c:v>
                </c:pt>
                <c:pt idx="22">
                  <c:v>Citi palīgdarbinieki</c:v>
                </c:pt>
                <c:pt idx="24">
                  <c:v>Aprūpes darbinieki</c:v>
                </c:pt>
                <c:pt idx="25">
                  <c:v>Personīgo pakalpojumu darbinieki</c:v>
                </c:pt>
                <c:pt idx="26">
                  <c:v>Aizsardzības darbinieki</c:v>
                </c:pt>
                <c:pt idx="27">
                  <c:v>Tirdzniecības darbinieki</c:v>
                </c:pt>
                <c:pt idx="29">
                  <c:v>Lauksaimniecības strādnieki un dārzkopji</c:v>
                </c:pt>
                <c:pt idx="30">
                  <c:v>Meža un zvejniecības strādnieki</c:v>
                </c:pt>
                <c:pt idx="31">
                  <c:v>Zemnieku saimniecības strādnieki, kas nodarbojas ar naturālo lauksaimniecību</c:v>
                </c:pt>
                <c:pt idx="33">
                  <c:v>Būvstrādnieki</c:v>
                </c:pt>
                <c:pt idx="34">
                  <c:v>Elektrotehnikas darbinieki</c:v>
                </c:pt>
                <c:pt idx="35">
                  <c:v>Amatniecības un poligrāfijas darbinieki</c:v>
                </c:pt>
                <c:pt idx="36">
                  <c:v>Metāla un mašīnbūves strādnieki</c:v>
                </c:pt>
                <c:pt idx="37">
                  <c:v>Citi ražošanas darbinieki</c:v>
                </c:pt>
                <c:pt idx="39">
                  <c:v>Montieri</c:v>
                </c:pt>
                <c:pt idx="40">
                  <c:v>Autovadītāji un transportlīdzekļu operatori</c:v>
                </c:pt>
                <c:pt idx="41">
                  <c:v>Mašīnu un iekārtu operatori</c:v>
                </c:pt>
                <c:pt idx="43">
                  <c:v>Lauksaimniecības strādnieki</c:v>
                </c:pt>
                <c:pt idx="44">
                  <c:v>Uzkopēji un palīgstrādnieki</c:v>
                </c:pt>
                <c:pt idx="45">
                  <c:v>Ēdiena gatavošanas palīgstrādnieki</c:v>
                </c:pt>
                <c:pt idx="46">
                  <c:v>Citi vienkāršo profesiju strādnieki</c:v>
                </c:pt>
                <c:pt idx="47">
                  <c:v>Ielu pakalpojumu darbinieki</c:v>
                </c:pt>
                <c:pt idx="48">
                  <c:v>Tehniskie strādnieki</c:v>
                </c:pt>
              </c:strCache>
            </c:strRef>
          </c:cat>
          <c:val>
            <c:numRef>
              <c:f>Sheet1!$L$2:$L$50</c:f>
              <c:numCache>
                <c:formatCode>General</c:formatCode>
                <c:ptCount val="49"/>
                <c:pt idx="43">
                  <c:v>0.12</c:v>
                </c:pt>
                <c:pt idx="44">
                  <c:v>0.13</c:v>
                </c:pt>
                <c:pt idx="45">
                  <c:v>0.1</c:v>
                </c:pt>
                <c:pt idx="46">
                  <c:v>0.12</c:v>
                </c:pt>
                <c:pt idx="47">
                  <c:v>0.04</c:v>
                </c:pt>
                <c:pt idx="48">
                  <c:v>0.13</c:v>
                </c:pt>
              </c:numCache>
            </c:numRef>
          </c:val>
          <c:extLst>
            <c:ext xmlns:c16="http://schemas.microsoft.com/office/drawing/2014/chart" uri="{C3380CC4-5D6E-409C-BE32-E72D297353CC}">
              <c16:uniqueId val="{00000008-C16C-4CB6-AFB5-D5BD3FE243D9}"/>
            </c:ext>
          </c:extLst>
        </c:ser>
        <c:dLbls>
          <c:showLegendKey val="0"/>
          <c:showVal val="0"/>
          <c:showCatName val="0"/>
          <c:showSerName val="0"/>
          <c:showPercent val="0"/>
          <c:showBubbleSize val="0"/>
        </c:dLbls>
        <c:gapWidth val="0"/>
        <c:overlap val="93"/>
        <c:axId val="493040943"/>
        <c:axId val="724932991"/>
      </c:barChart>
      <c:catAx>
        <c:axId val="493040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24932991"/>
        <c:crosses val="autoZero"/>
        <c:auto val="1"/>
        <c:lblAlgn val="ctr"/>
        <c:lblOffset val="100"/>
        <c:noMultiLvlLbl val="0"/>
      </c:catAx>
      <c:valAx>
        <c:axId val="724932991"/>
        <c:scaling>
          <c:orientation val="minMax"/>
          <c:max val="0.18000000000000002"/>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493040943"/>
        <c:crosses val="autoZero"/>
        <c:crossBetween val="between"/>
        <c:majorUnit val="3.0000000000000006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404449602630528E-4"/>
          <c:y val="4.3650793650793648E-2"/>
          <c:w val="0.99958595550397367"/>
          <c:h val="0.93650793650793651"/>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Komunālie pakalpojumi</c:v>
                </c:pt>
                <c:pt idx="1">
                  <c:v>Būvniecība</c:v>
                </c:pt>
                <c:pt idx="2">
                  <c:v>Lauksaimniecība, mežsaimniecība un zvejniecība</c:v>
                </c:pt>
                <c:pt idx="3">
                  <c:v>Ražošana</c:v>
                </c:pt>
                <c:pt idx="4">
                  <c:v>Mazumtirdzniecība un vairumtirdzniecība</c:v>
                </c:pt>
                <c:pt idx="5">
                  <c:v>Finanses, apdrošināšana un nekustamais īpašums</c:v>
                </c:pt>
                <c:pt idx="6">
                  <c:v>Transports un uzglabāšana</c:v>
                </c:pt>
                <c:pt idx="7">
                  <c:v>IKT</c:v>
                </c:pt>
                <c:pt idx="8">
                  <c:v>Profesionālie, zinātniskie un tehniskie pakalpojumi</c:v>
                </c:pt>
                <c:pt idx="9">
                  <c:v>Publiskā pārvalde un atbalsta pakalpojumi</c:v>
                </c:pt>
                <c:pt idx="10">
                  <c:v>Kultūras nozares</c:v>
                </c:pt>
                <c:pt idx="11">
                  <c:v>Viesmīlība un ēdināšanas pakalpojumi</c:v>
                </c:pt>
                <c:pt idx="12">
                  <c:v>Sociālie un personīgie pakalpojumi</c:v>
                </c:pt>
                <c:pt idx="13">
                  <c:v>Izglītība un veselības aprūpe</c:v>
                </c:pt>
              </c:strCache>
            </c:strRef>
          </c:cat>
          <c:val>
            <c:numRef>
              <c:f>Sheet1!$B$2:$B$15</c:f>
              <c:numCache>
                <c:formatCode>General</c:formatCode>
                <c:ptCount val="14"/>
                <c:pt idx="0">
                  <c:v>0.21</c:v>
                </c:pt>
                <c:pt idx="1">
                  <c:v>0.2</c:v>
                </c:pt>
                <c:pt idx="2">
                  <c:v>0.19</c:v>
                </c:pt>
                <c:pt idx="3">
                  <c:v>0.19</c:v>
                </c:pt>
                <c:pt idx="4">
                  <c:v>0.17</c:v>
                </c:pt>
                <c:pt idx="5">
                  <c:v>0.17</c:v>
                </c:pt>
                <c:pt idx="6">
                  <c:v>0.15</c:v>
                </c:pt>
                <c:pt idx="7">
                  <c:v>0.13</c:v>
                </c:pt>
                <c:pt idx="8">
                  <c:v>0.11</c:v>
                </c:pt>
                <c:pt idx="9">
                  <c:v>0.1</c:v>
                </c:pt>
                <c:pt idx="10">
                  <c:v>0.09</c:v>
                </c:pt>
                <c:pt idx="11">
                  <c:v>7.0000000000000007E-2</c:v>
                </c:pt>
                <c:pt idx="12">
                  <c:v>7.0000000000000007E-2</c:v>
                </c:pt>
                <c:pt idx="13">
                  <c:v>0.03</c:v>
                </c:pt>
              </c:numCache>
            </c:numRef>
          </c:val>
          <c:extLst>
            <c:ext xmlns:c16="http://schemas.microsoft.com/office/drawing/2014/chart" uri="{C3380CC4-5D6E-409C-BE32-E72D297353CC}">
              <c16:uniqueId val="{00000000-D685-4665-B239-50EF47147ADD}"/>
            </c:ext>
          </c:extLst>
        </c:ser>
        <c:dLbls>
          <c:showLegendKey val="0"/>
          <c:showVal val="0"/>
          <c:showCatName val="0"/>
          <c:showSerName val="0"/>
          <c:showPercent val="0"/>
          <c:showBubbleSize val="0"/>
        </c:dLbls>
        <c:gapWidth val="60"/>
        <c:axId val="1195995760"/>
        <c:axId val="2112968719"/>
      </c:barChart>
      <c:catAx>
        <c:axId val="119599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2112968719"/>
        <c:crosses val="autoZero"/>
        <c:auto val="1"/>
        <c:lblAlgn val="ctr"/>
        <c:lblOffset val="100"/>
        <c:noMultiLvlLbl val="0"/>
      </c:catAx>
      <c:valAx>
        <c:axId val="2112968719"/>
        <c:scaling>
          <c:orientation val="minMax"/>
        </c:scaling>
        <c:delete val="1"/>
        <c:axPos val="l"/>
        <c:numFmt formatCode="0%" sourceLinked="0"/>
        <c:majorTickMark val="none"/>
        <c:minorTickMark val="none"/>
        <c:tickLblPos val="nextTo"/>
        <c:crossAx val="1195995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Sheet1!$A$2:$B$66</cx:f>
        <cx:lvl ptCount="65">
          <cx:pt idx="0">Augkopība, lopkopība</cx:pt>
          <cx:pt idx="1">Mežsaimniecība</cx:pt>
          <cx:pt idx="2">Zivsaimniecība</cx:pt>
          <cx:pt idx="3">Ieguves rūpniecība</cx:pt>
          <cx:pt idx="4">Pārtikas ražošana</cx:pt>
          <cx:pt idx="5">Vieglā rūpniecība</cx:pt>
          <cx:pt idx="6">Kokapstrāde</cx:pt>
          <cx:pt idx="7">Papīra ražošana</cx:pt>
          <cx:pt idx="8">Poligrāfija</cx:pt>
          <cx:pt idx="9">Ķīmiskā rūpniecība</cx:pt>
          <cx:pt idx="10">Farmācija</cx:pt>
          <cx:pt idx="11">Gumija, plastmasa</cx:pt>
          <cx:pt idx="12">Nemetāliskie minerāli</cx:pt>
          <cx:pt idx="13">Metālapstrāde</cx:pt>
          <cx:pt idx="14">Datori, elektroniskās iekārtas</cx:pt>
          <cx:pt idx="15">Elektrisko iekārtu ražošana</cx:pt>
          <cx:pt idx="16">Mašīnas un iekārtas</cx:pt>
          <cx:pt idx="17">Transportlīdzekļu ražošana</cx:pt>
          <cx:pt idx="18">Mēbeles</cx:pt>
          <cx:pt idx="19">Cita ražošana</cx:pt>
          <cx:pt idx="20">Enerģētika</cx:pt>
          <cx:pt idx="21">Ūdens apgāde</cx:pt>
          <cx:pt idx="22">Notekūdeņi, atkritumi</cx:pt>
          <cx:pt idx="23">Ēku būvniecība</cx:pt>
          <cx:pt idx="24">Inženierbūvniecība</cx:pt>
          <cx:pt idx="25">Specializētie būvdarbi</cx:pt>
          <cx:pt idx="26">Auto tirdzniecība</cx:pt>
          <cx:pt idx="27">Vairumtirdzniecība</cx:pt>
          <cx:pt idx="28">Mazumtirdzniecība</cx:pt>
          <cx:pt idx="29">Sauszemes transports</cx:pt>
          <cx:pt idx="30">Ūdens</cx:pt>
          <cx:pt idx="31">Gaisa</cx:pt>
          <cx:pt idx="32">Transporta palīgdarbības</cx:pt>
          <cx:pt idx="33">Pasts, kurjeri</cx:pt>
          <cx:pt idx="34">Izmitināšana </cx:pt>
          <cx:pt idx="35">Ēdināšana</cx:pt>
          <cx:pt idx="36">Izdevējdarbība, TV</cx:pt>
          <cx:pt idx="37">Telekomunikācija</cx:pt>
          <cx:pt idx="38">Datorprogrammēšana</cx:pt>
          <cx:pt idx="39">Finanšu pakalpojumi</cx:pt>
          <cx:pt idx="40">Apdrošināšana</cx:pt>
          <cx:pt idx="41">Finanšu palīgdarbības</cx:pt>
          <cx:pt idx="42">Īpašumu apsaimniekošana</cx:pt>
          <cx:pt idx="43">Nosacītā īre</cx:pt>
          <cx:pt idx="44">Juridiskie, grāmatvedības pakalpojumi</cx:pt>
          <cx:pt idx="45">Arhitektūra, inženiertehniski pak.</cx:pt>
          <cx:pt idx="46">Zinātne</cx:pt>
          <cx:pt idx="47">Reklāma</cx:pt>
          <cx:pt idx="48">Citi komercpakalpojumi</cx:pt>
          <cx:pt idx="49">Iznomāšana, līzings</cx:pt>
          <cx:pt idx="50">Darbaspēka meklēšana</cx:pt>
          <cx:pt idx="51">Ceļojumu biroji</cx:pt>
          <cx:pt idx="52">Apsardze, uzņēmumu palīgdarbības</cx:pt>
          <cx:pt idx="53">Valsts pārvalde un aizsardzība</cx:pt>
          <cx:pt idx="54">Izglītība</cx:pt>
          <cx:pt idx="55">Veselības aizsardzība</cx:pt>
          <cx:pt idx="56">Sociālā aprūpe</cx:pt>
          <cx:pt idx="57">Radošas, mākslinieciskas darbības</cx:pt>
          <cx:pt idx="58">Bibliotēkas, muzeji</cx:pt>
          <cx:pt idx="59"> Azartspēles</cx:pt>
          <cx:pt idx="60">Sports</cx:pt>
          <cx:pt idx="61">Sabiedriskās organizācijas</cx:pt>
          <cx:pt idx="62">Piederumu remonts</cx:pt>
          <cx:pt idx="63">Pārējie pakalpojumi</cx:pt>
          <cx:pt idx="64">Mājsaimniecības kā darba devējs</cx:pt>
        </cx:lvl>
        <cx:lvl ptCount="65">
          <cx:pt idx="0">Lauksaimniecība, mežsaimniecība</cx:pt>
          <cx:pt idx="1">Lauksaimniecība, mežsaimniecība</cx:pt>
          <cx:pt idx="2">Lauksaimniecība, mežsaimniecība</cx:pt>
          <cx:pt idx="3">Ieguves rūpniecība</cx:pt>
          <cx:pt idx="4">Apstrādes rūpniecība</cx:pt>
          <cx:pt idx="5">Apstrādes rūpniecība</cx:pt>
          <cx:pt idx="6">Apstrādes rūpniecība</cx:pt>
          <cx:pt idx="7">Apstrādes rūpniecība</cx:pt>
          <cx:pt idx="8">Apstrādes rūpniecība</cx:pt>
          <cx:pt idx="9">Apstrādes rūpniecība</cx:pt>
          <cx:pt idx="10">Apstrādes rūpniecība</cx:pt>
          <cx:pt idx="11">Apstrādes rūpniecība</cx:pt>
          <cx:pt idx="12">Apstrādes rūpniecība</cx:pt>
          <cx:pt idx="13">Apstrādes rūpniecība</cx:pt>
          <cx:pt idx="14">Apstrādes rūpniecība</cx:pt>
          <cx:pt idx="15">Apstrādes rūpniecība</cx:pt>
          <cx:pt idx="16">Apstrādes rūpniecība</cx:pt>
          <cx:pt idx="17">Apstrādes rūpniecība</cx:pt>
          <cx:pt idx="18">Apstrādes rūpniecība</cx:pt>
          <cx:pt idx="19">Apstrādes rūpniecība</cx:pt>
          <cx:pt idx="20">Enerģētika</cx:pt>
          <cx:pt idx="21">Ūdens apgāde</cx:pt>
          <cx:pt idx="22">Ūdens apgāde</cx:pt>
          <cx:pt idx="23">Būvniecība</cx:pt>
          <cx:pt idx="24">Būvniecība</cx:pt>
          <cx:pt idx="25">Būvniecība</cx:pt>
          <cx:pt idx="26">Tirdzniecība</cx:pt>
          <cx:pt idx="27">Tirdzniecība</cx:pt>
          <cx:pt idx="28">Tirdzniecība</cx:pt>
          <cx:pt idx="29">Transports un uzglabāšana</cx:pt>
          <cx:pt idx="30">Transports un uzglabāšana</cx:pt>
          <cx:pt idx="31">Transports un uzglabāšana</cx:pt>
          <cx:pt idx="32">Transports un uzglabāšana</cx:pt>
          <cx:pt idx="33">Transports un uzglabāšana</cx:pt>
          <cx:pt idx="34">Izmitināšana un ēdināšana</cx:pt>
          <cx:pt idx="35">Izmitināšana un ēdināšana</cx:pt>
          <cx:pt idx="36">IKT</cx:pt>
          <cx:pt idx="37">IKT</cx:pt>
          <cx:pt idx="38">IKT</cx:pt>
          <cx:pt idx="39">Finanšu un apdrošināšanas darbības</cx:pt>
          <cx:pt idx="40">Finanšu un apdrošināšanas darbības</cx:pt>
          <cx:pt idx="41">Finanšu un apdrošināšanas darbības</cx:pt>
          <cx:pt idx="42">Operācijas ar nekustamo īpašumu</cx:pt>
          <cx:pt idx="43">Operācijas ar nekustamo īpašumu</cx:pt>
          <cx:pt idx="44">Profesionālie, zinātniskie un tehniskie pakalpojumi</cx:pt>
          <cx:pt idx="45">Profesionālie, zinātniskie un tehniskie pakalpojumi</cx:pt>
          <cx:pt idx="46">Profesionālie, zinātniskie un tehniskie pakalpojumi</cx:pt>
          <cx:pt idx="47">Profesionālie, zinātniskie un tehniskie pakalpojumi</cx:pt>
          <cx:pt idx="48">Profesionālie, zinātniskie un tehniskie pakalpojumi</cx:pt>
          <cx:pt idx="49">Administratīvie un apkalpojošie dienesti</cx:pt>
          <cx:pt idx="50">Administratīvie un apkalpojošie dienesti</cx:pt>
          <cx:pt idx="51">Administratīvie un apkalpojošie dienesti</cx:pt>
          <cx:pt idx="52">Administratīvie un apkalpojošie dienesti</cx:pt>
          <cx:pt idx="53">Valsts pārvalde un aizsardzība</cx:pt>
          <cx:pt idx="54">Izglītība</cx:pt>
          <cx:pt idx="55">Veselība un sociālā aprūpe</cx:pt>
          <cx:pt idx="56">Veselība un sociālā aprūpe</cx:pt>
          <cx:pt idx="57">Māksla, izklaide un atpūta</cx:pt>
          <cx:pt idx="58">Māksla, izklaide un atpūta</cx:pt>
          <cx:pt idx="59">Māksla, izklaide un atpūta</cx:pt>
          <cx:pt idx="60">Māksla, izklaide un atpūta</cx:pt>
          <cx:pt idx="61">Citi pakalpojumi</cx:pt>
          <cx:pt idx="62">Citi pakalpojumi</cx:pt>
          <cx:pt idx="63">Citi pakalpojumi</cx:pt>
          <cx:pt idx="64">Mājsaimniecību kā darba devēju darbība</cx:pt>
        </cx:lvl>
      </cx:strDim>
      <cx:numDim type="size">
        <cx:f>Sheet1!$C$2:$C$66</cx:f>
        <cx:lvl ptCount="65" formatCode="0.0%">
          <cx:pt idx="0">0.02155893740455251</cx:pt>
          <cx:pt idx="1">0.023502366143156529</cx:pt>
          <cx:pt idx="2">0.0022051728981903125</cx:pt>
          <cx:pt idx="3">0.0053552605550016476</cx:pt>
          <cx:pt idx="4">0.029695109803778798</cx:pt>
          <cx:pt idx="5">0.0039311241178280523</cx:pt>
          <cx:pt idx="6">0.035596946767010883</cx:pt>
          <cx:pt idx="7">0.00099696751027505254</cx:pt>
          <cx:pt idx="8">0.0033232250342501743</cx:pt>
          <cx:pt idx="9">0.0036799655040908987</cx:pt>
          <cx:pt idx="10">0.0036799655040908987</cx:pt>
          <cx:pt idx="11">0.0046646191311140763</cx:pt>
          <cx:pt idx="12">0.0068345364897356717</cx:pt>
          <cx:pt idx="13">0.01224904047470881</cx:pt>
          <cx:pt idx="14">0.0073653153460085377</cx:pt>
          <cx:pt idx="15">0.0059718773075744898</cx:pt>
          <cx:pt idx="16">0.0038622124941711999</cx:pt>
          <cx:pt idx="17">0.005822096838364002</cx:pt>
          <cx:pt idx="18">0.0034617711959966076</cx:pt>
          <cx:pt idx="19">0.0038612063339962155</cx:pt>
          <cx:pt idx="20">0.026843443122241021</cx:pt>
          <cx:pt idx="21">0.0031920807617697041</cx:pt>
          <cx:pt idx="22">0.0081987297942083346</cx:pt>
          <cx:pt idx="23">0.022540850214568069</cx:pt>
          <cx:pt idx="24">0.017302898075934759</cx:pt>
          <cx:pt idx="25">0.019009646525601793</cx:pt>
          <cx:pt idx="26">0.019926365137834346</cx:pt>
          <cx:pt idx="27">0.048117465044422617</cx:pt>
          <cx:pt idx="28">0.053747283755191576</cx:pt>
          <cx:pt idx="29">0.038002503198383025</cx:pt>
          <cx:pt idx="30">0.00074508807161831542</cx:pt>
          <cx:pt idx="31">0.004830786797126038</cx:pt>
          <cx:pt idx="32">0.015673417153882051</cx:pt>
          <cx:pt idx="33">0.002399145149311859</cx:pt>
          <cx:pt idx="34">0.0052224116346696386</cx:pt>
          <cx:pt idx="35">0.015919974657801299</cx:pt>
          <cx:pt idx="36">0.0061258398516126217</cx:pt>
          <cx:pt idx="37">0.017923839686087763</cx:pt>
          <cx:pt idx="38">0.044909377031820269</cx:pt>
          <cx:pt idx="39">0.024045833625657671</cx:pt>
          <cx:pt idx="40">0.0085496336570554127</cx:pt>
          <cx:pt idx="41">0.0067481127918630167</cx:pt>
          <cx:pt idx="42">0.041614711029578387</cx:pt>
          <cx:pt idx="43">0.068906975922043742</cx:pt>
          <cx:pt idx="44">0.022208787640046482</cx:pt>
          <cx:pt idx="45">0.0085568094526567197</cx:pt>
          <cx:pt idx="46">0.0049580639766959259</cx:pt>
          <cx:pt idx="47">0.0093463596224974948</cx:pt>
          <cx:pt idx="48">0.005561743884178765</cx:pt>
          <cx:pt idx="49">0.0087298953888842908</cx:pt>
          <cx:pt idx="50">0.0070258287079694301</cx:pt>
          <cx:pt idx="51">0.0045026419816336181</cx:pt>
          <cx:pt idx="52">0.017711944918276983</cx:pt>
          <cx:pt idx="53">0.073261662404015868</cx:pt>
          <cx:pt idx="54">0.047794968623400581</cx:pt>
          <cx:pt idx="55">0.044473029992891391</cx:pt>
          <cx:pt idx="56">0.0076504346502516201</cx:pt>
          <cx:pt idx="57">0.0070126884704701398</cx:pt>
          <cx:pt idx="58">0.0019615547633307219</cx:pt>
          <cx:pt idx="59">0.0073408579426128308</cx:pt>
          <cx:pt idx="60">0.0043917621627073116</cx:pt>
          <cx:pt idx="61">0.0039442662099066546</cx:pt>
          <cx:pt idx="62">0.00041019346563501735</cx:pt>
          <cx:pt idx="63">0.0039242714164006449</cx:pt>
          <cx:pt idx="64">0.0011181047813587524</cx:pt>
        </cx:lvl>
      </cx:numDim>
    </cx:data>
  </cx:chartData>
  <cx:chart>
    <cx:plotArea>
      <cx:plotAreaRegion>
        <cx:series layoutId="treemap" uniqueId="{18424DB8-F556-498A-AB18-EE74F7A63052}">
          <cx:tx>
            <cx:txData>
              <cx:f>Sheet1!$C$1</cx:f>
              <cx:v>Series1</cx:v>
            </cx:txData>
          </cx:tx>
          <cx:spPr>
            <a:ln>
              <a:noFill/>
            </a:ln>
          </cx:spPr>
          <cx:dataPt idx="67">
            <cx:spPr>
              <a:solidFill>
                <a:srgbClr val="ED7D31">
                  <a:lumMod val="20000"/>
                  <a:lumOff val="80000"/>
                </a:srgbClr>
              </a:solidFill>
            </cx:spPr>
          </cx:dataPt>
          <cx:dataId val="0"/>
          <cx:layoutPr/>
        </cx:series>
      </cx:plotAreaRegion>
    </cx:plotArea>
  </cx:chart>
  <cx:spPr>
    <a:noFill/>
    <a:ln>
      <a:noFill/>
    </a:ln>
  </cx:spPr>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Sheet1!$A$2:$B$84</cx:f>
        <cx:lvl ptCount="83">
          <cx:pt idx="0">Augkopība un lopkopība</cx:pt>
          <cx:pt idx="1">Mežsaimniecība un mežizstrāde</cx:pt>
          <cx:pt idx="2">Zivsaimniecība</cx:pt>
          <cx:pt idx="3">Jēlnaftas un dabasgāzes ieguve</cx:pt>
          <cx:pt idx="4">Karjeru izstrāde</cx:pt>
          <cx:pt idx="5">Rūpniecības palīgdarbības</cx:pt>
          <cx:pt idx="6">Pārtikas produktu ražošana</cx:pt>
          <cx:pt idx="7">Dzērienu ražošana</cx:pt>
          <cx:pt idx="8">Tabakas izstrādājumu ražošana</cx:pt>
          <cx:pt idx="9">Tekstilizstrādājumu ražošana</cx:pt>
          <cx:pt idx="10">Apģērbu ražošana</cx:pt>
          <cx:pt idx="11">Ādas izstrādājumu ražošana</cx:pt>
          <cx:pt idx="12">Kokapstrāde</cx:pt>
          <cx:pt idx="13">Papīra izstrādājumu ražošana</cx:pt>
          <cx:pt idx="14">Poligrāfija</cx:pt>
          <cx:pt idx="15">Naftas pārstrādes produktu ražošana</cx:pt>
          <cx:pt idx="16">Ķīmiskā rūpniecība</cx:pt>
          <cx:pt idx="17">Farmācija</cx:pt>
          <cx:pt idx="18">Gumijas un plastmasu ražošana</cx:pt>
          <cx:pt idx="19">Nemetālisko minerālu ražošana</cx:pt>
          <cx:pt idx="20">Metālu ražošana</cx:pt>
          <cx:pt idx="21">Metalapstrāde</cx:pt>
          <cx:pt idx="22">Datoru, elektronisko un optisko iekārtu ražošana</cx:pt>
          <cx:pt idx="23">Elektrisko iekārtu ražošana</cx:pt>
          <cx:pt idx="24">Mehānismu un darba mašīnu ražošana</cx:pt>
          <cx:pt idx="25">Transportlīdzekļu ražošana</cx:pt>
          <cx:pt idx="26">Citu transportlīdzekļu ražošana</cx:pt>
          <cx:pt idx="27">Mēbeļu ražošana</cx:pt>
          <cx:pt idx="28">Cita veida ražošana</cx:pt>
          <cx:pt idx="29">Iekārtu un ierīču remonts</cx:pt>
          <cx:pt idx="30">Elektroenerģija, gāzes apgāde, siltumapgāde</cx:pt>
          <cx:pt idx="31">Ūdens ieguve, attīrīšana un apgāde</cx:pt>
          <cx:pt idx="32">Notekūdeņu attīrīšana</cx:pt>
          <cx:pt idx="33">Atkritumu savākšana, pārstrāde</cx:pt>
          <cx:pt idx="34">Sanitārija</cx:pt>
          <cx:pt idx="35">Ēku būvniecība</cx:pt>
          <cx:pt idx="36">Inženierbūvniecība</cx:pt>
          <cx:pt idx="37">Specializētie būvdarbi</cx:pt>
          <cx:pt idx="38">Auto un moto tirdzniecība</cx:pt>
          <cx:pt idx="39">Vairumtirdzniecība</cx:pt>
          <cx:pt idx="40">Mazumtirdzniecība</cx:pt>
          <cx:pt idx="41">Sauszemes un cauruļvadu transports</cx:pt>
          <cx:pt idx="42">Ūdens transports</cx:pt>
          <cx:pt idx="43">Gaisa transports</cx:pt>
          <cx:pt idx="44">Uzglabāšanas un transporta palīgdarbības</cx:pt>
          <cx:pt idx="45">Pasta un kurjeru darbība</cx:pt>
          <cx:pt idx="46">Izmitināšana</cx:pt>
          <cx:pt idx="47">Ēdināšanas pakalpojumi</cx:pt>
          <cx:pt idx="48">Izdevējdarbība</cx:pt>
          <cx:pt idx="49">TV programmu un ierakstu producēšana</cx:pt>
          <cx:pt idx="50">Radio un TV programmu izstrāde</cx:pt>
          <cx:pt idx="51">Telekomunikācija</cx:pt>
          <cx:pt idx="52">Datorprogrammēšana un saistītas darbības</cx:pt>
          <cx:pt idx="53">Informācijas pakalpojumi</cx:pt>
          <cx:pt idx="54">Finanšu pakalpojumi</cx:pt>
          <cx:pt idx="55">Apdrošināšana</cx:pt>
          <cx:pt idx="56">Finanšu pakalpojumu palīgdarbības</cx:pt>
          <cx:pt idx="57">Operācijas ar nekustamo īpašumu</cx:pt>
          <cx:pt idx="58">Juridiskie un grāmatvedības pakalpojumi</cx:pt>
          <cx:pt idx="59">Centrālo biroju darbība, konsultēšana</cx:pt>
          <cx:pt idx="60">Arhitektūras, inženiertehniski pakalpojumi</cx:pt>
          <cx:pt idx="61">Zinātniskās pētniecības darbs</cx:pt>
          <cx:pt idx="62">Reklāmas un tirgus izpētes pakalpojumi</cx:pt>
          <cx:pt idx="63">Citi profesionālie, zinātniskie un tehniskie pakal...</cx:pt>
          <cx:pt idx="64">Veterinārie pakalpojumi</cx:pt>
          <cx:pt idx="65">Iznomāšana un ekspluatācijas līzings</cx:pt>
          <cx:pt idx="66">Personāla nodrošināšana</cx:pt>
          <cx:pt idx="67">Ceļojumu biroju pakalpojumi</cx:pt>
          <cx:pt idx="68">Apsardzes pakalpojumi</cx:pt>
          <cx:pt idx="69">Ēku uzturēšanas pakalpojumi</cx:pt>
          <cx:pt idx="70">Biroju administratīvā darbība</cx:pt>
          <cx:pt idx="71">Valsts pārvalde un aizsardzība</cx:pt>
          <cx:pt idx="72">Izglītība</cx:pt>
          <cx:pt idx="73">Veselības aizsardzība</cx:pt>
          <cx:pt idx="74">Sociālā aprūpe ar izmitināšanu</cx:pt>
          <cx:pt idx="75">Sociālā aprūpe bez izmitināšanas</cx:pt>
          <cx:pt idx="76">Izklaides darbības</cx:pt>
          <cx:pt idx="77">Kultūras iestāžu darbība</cx:pt>
          <cx:pt idx="78">Azartspēles un derības</cx:pt>
          <cx:pt idx="79">Sporta un atpūtas darbības</cx:pt>
          <cx:pt idx="80">Sabiedrisko un politisko organizāciju darbība</cx:pt>
          <cx:pt idx="81">Mājsaimniecības piederumu remonts</cx:pt>
          <cx:pt idx="82">Individuālie pakalpojumi</cx:pt>
        </cx:lvl>
        <cx:lvl ptCount="83">
          <cx:pt idx="0">Lauksaimniecība, mežsaimniecība un zivsaimniecība</cx:pt>
          <cx:pt idx="1">Lauksaimniecība, mežsaimniecība un zivsaimniecība</cx:pt>
          <cx:pt idx="2">Lauksaimniecība, mežsaimniecība un zivsaimniecība</cx:pt>
          <cx:pt idx="3">Ieguves rūpniecība un karjeru izstrāde</cx:pt>
          <cx:pt idx="4">Ieguves rūpniecība un karjeru izstrāde</cx:pt>
          <cx:pt idx="5">Ieguves rūpniecība un karjeru izstrāde</cx:pt>
          <cx:pt idx="6">Apstrādes rūpniecība</cx:pt>
          <cx:pt idx="7">Apstrādes rūpniecība</cx:pt>
          <cx:pt idx="8">Apstrādes rūpniecība</cx:pt>
          <cx:pt idx="9">Apstrādes rūpniecība</cx:pt>
          <cx:pt idx="10">Apstrādes rūpniecība</cx:pt>
          <cx:pt idx="11">Apstrādes rūpniecība</cx:pt>
          <cx:pt idx="12">Apstrādes rūpniecība</cx:pt>
          <cx:pt idx="13">Apstrādes rūpniecība</cx:pt>
          <cx:pt idx="14">Apstrādes rūpniecība</cx:pt>
          <cx:pt idx="15">Apstrādes rūpniecība</cx:pt>
          <cx:pt idx="16">Apstrādes rūpniecība</cx:pt>
          <cx:pt idx="17">Apstrādes rūpniecība</cx:pt>
          <cx:pt idx="18">Apstrādes rūpniecība</cx:pt>
          <cx:pt idx="19">Apstrādes rūpniecība</cx:pt>
          <cx:pt idx="20">Apstrādes rūpniecība</cx:pt>
          <cx:pt idx="21">Apstrādes rūpniecība</cx:pt>
          <cx:pt idx="22">Apstrādes rūpniecība</cx:pt>
          <cx:pt idx="23">Apstrādes rūpniecība</cx:pt>
          <cx:pt idx="24">Apstrādes rūpniecība</cx:pt>
          <cx:pt idx="25">Apstrādes rūpniecība</cx:pt>
          <cx:pt idx="26">Apstrādes rūpniecība</cx:pt>
          <cx:pt idx="27">Apstrādes rūpniecība</cx:pt>
          <cx:pt idx="28">Apstrādes rūpniecība</cx:pt>
          <cx:pt idx="29">Apstrādes rūpniecība</cx:pt>
          <cx:pt idx="30">Elektroenerģija, gāzes un siltumapgāde</cx:pt>
          <cx:pt idx="31">Ūdens apgāde; notekūdeņu un atkritumu apsaimniekoš</cx:pt>
          <cx:pt idx="32">Ūdens apgāde; notekūdeņu un atkritumu apsaimniekoš</cx:pt>
          <cx:pt idx="33">Ūdens apgāde; notekūdeņu un atkritumu apsaimniekoš</cx:pt>
          <cx:pt idx="34">Ūdens apgāde; notekūdeņu un atkritumu apsaimniekoš</cx:pt>
          <cx:pt idx="35">Būvniecība</cx:pt>
          <cx:pt idx="36">Būvniecība</cx:pt>
          <cx:pt idx="37">Būvniecība</cx:pt>
          <cx:pt idx="38">Tirdzniecība</cx:pt>
          <cx:pt idx="39">Tirdzniecība</cx:pt>
          <cx:pt idx="40">Tirdzniecība</cx:pt>
          <cx:pt idx="41">Transports un uzglabāšana</cx:pt>
          <cx:pt idx="42">Transports un uzglabāšana</cx:pt>
          <cx:pt idx="43">Transports un uzglabāšana</cx:pt>
          <cx:pt idx="44">Transports un uzglabāšana</cx:pt>
          <cx:pt idx="45">Transports un uzglabāšana</cx:pt>
          <cx:pt idx="46">Izmitināšana un ēdināšanas pakalpojumi</cx:pt>
          <cx:pt idx="47">Izmitināšana un ēdināšanas pakalpojumi</cx:pt>
          <cx:pt idx="48">Informācijas un komunikācijas pakalpojumi</cx:pt>
          <cx:pt idx="49">Informācijas un komunikācijas pakalpojumi</cx:pt>
          <cx:pt idx="50">Informācijas un komunikācijas pakalpojumi</cx:pt>
          <cx:pt idx="51">Informācijas un komunikācijas pakalpojumi</cx:pt>
          <cx:pt idx="52">Informācijas un komunikācijas pakalpojumi</cx:pt>
          <cx:pt idx="53">Informācijas un komunikācijas pakalpojumi</cx:pt>
          <cx:pt idx="54">Finanšu un apdrošināšanas darbības</cx:pt>
          <cx:pt idx="55">Finanšu un apdrošināšanas darbības</cx:pt>
          <cx:pt idx="56">Finanšu un apdrošināšanas darbības</cx:pt>
          <cx:pt idx="57">Operācijas ar nekustamo īpašumu</cx:pt>
          <cx:pt idx="58">Profesionālie, zinātniskie un tehniskie pakalpojum</cx:pt>
          <cx:pt idx="59">Profesionālie, zinātniskie un tehniskie pakalpojum</cx:pt>
          <cx:pt idx="60">Profesionālie, zinātniskie un tehniskie pakalpojum</cx:pt>
          <cx:pt idx="61">Profesionālie, zinātniskie un tehniskie pakalpojum</cx:pt>
          <cx:pt idx="62">Profesionālie, zinātniskie un tehniskie pakalpojum</cx:pt>
          <cx:pt idx="63">Profesionālie, zinātniskie un tehniskie pakalpojum</cx:pt>
          <cx:pt idx="64">Profesionālie, zinātniskie un tehniskie pakalpojum</cx:pt>
          <cx:pt idx="65">Administratīvo un apkalpojošo dienestu darbība</cx:pt>
          <cx:pt idx="66">Administratīvo un apkalpojošo dienestu darbība</cx:pt>
          <cx:pt idx="67">Administratīvo un apkalpojošo dienestu darbība</cx:pt>
          <cx:pt idx="68">Administratīvo un apkalpojošo dienestu darbība</cx:pt>
          <cx:pt idx="69">Administratīvo un apkalpojošo dienestu darbība</cx:pt>
          <cx:pt idx="70">Administratīvo un apkalpojošo dienestu darbība</cx:pt>
          <cx:pt idx="71">Valsts pārvalde un aizsardzība</cx:pt>
          <cx:pt idx="72">Izglītība</cx:pt>
          <cx:pt idx="73">Veselība un sociālā aprūpe</cx:pt>
          <cx:pt idx="74">Veselība un sociālā aprūpe</cx:pt>
          <cx:pt idx="75">Veselība un sociālā aprūpe</cx:pt>
          <cx:pt idx="76">Māksla, izklaide un atpūta</cx:pt>
          <cx:pt idx="77">Māksla, izklaide un atpūta</cx:pt>
          <cx:pt idx="78">Māksla, izklaide un atpūta</cx:pt>
          <cx:pt idx="79">Māksla, izklaide un atpūta</cx:pt>
          <cx:pt idx="80">Citi pakalp...</cx:pt>
          <cx:pt idx="81">Citi pakalp...</cx:pt>
          <cx:pt idx="82">Citi pakalp...</cx:pt>
        </cx:lvl>
      </cx:strDim>
      <cx:numDim type="size">
        <cx:f>Sheet1!$C$2:$C$84</cx:f>
        <cx:lvl ptCount="83" formatCode="0.0%">
          <cx:pt idx="0">0.0111480843169588</cx:pt>
          <cx:pt idx="1">0.012713311566803758</cx:pt>
          <cx:pt idx="2">0.0010970691895309706</cx:pt>
          <cx:pt idx="3">1.3537100539199635e-05</cx:pt>
          <cx:pt idx="4">0.0036268148527939022</cx:pt>
          <cx:pt idx="5">3.3278705492199107e-05</cx:pt>
          <cx:pt idx="6">0.021643849601684917</cx:pt>
          <cx:pt idx="7">0.0028154348892256245</cx:pt>
          <cx:pt idx="8">1.1280917115999697e-06</cx:pt>
          <cx:pt idx="9">0.0028526619157084234</cx:pt>
          <cx:pt idx="10">0.0069947326577756118</cx:pt>
          <cx:pt idx="11">0.00021715765448299416</cx:pt>
          <cx:pt idx="12">0.025185775553180922</cx:pt>
          <cx:pt idx="13">0.0015426654156129585</cx:pt>
          <cx:pt idx="14">0.0039020692304242949</cx:pt>
          <cx:pt idx="15">1.9741604952999468e-05</cx:pt>
          <cx:pt idx="16">0.0031752961452260146</cx:pt>
          <cx:pt idx="17">0.0023695566402157364</cx:pt>
          <cx:pt idx="18">0.0037965926553896979</cx:pt>
          <cx:pt idx="19">0.0062812146501886306</cx:pt>
          <cx:pt idx="20">0.00096705661976907394</cx:pt>
          <cx:pt idx="21">0.013477029655556937</cx:pt>
          <cx:pt idx="22">0.0031659893886053147</cx:pt>
          <cx:pt idx="23">0.0047368570970082726</cx:pt>
          <cx:pt idx="24">0.0037703645230949987</cx:pt>
          <cx:pt idx="25">0.0026487593388367287</cx:pt>
          <cx:pt idx="26">0.0022347496806795399</cx:pt>
          <cx:pt idx="27">0.0068449784830607163</cx:pt>
          <cx:pt idx="28">0.0024262432487236348</cx:pt>
          <cx:pt idx="29">0.0055750292387270499</cx:pt>
          <cx:pt idx="30">0.011690132384382585</cx:pt>
          <cx:pt idx="31">0.0017902815463091519</cx:pt>
          <cx:pt idx="32">0.0017632073452307525</cx:pt>
          <cx:pt idx="33">0.0040904605462614898</cx:pt>
          <cx:pt idx="34">6.0070883642698386e-05</cx:pt>
          <cx:pt idx="35">0.022301809092475599</cx:pt>
          <cx:pt idx="36">0.016339280350813959</cx:pt>
          <cx:pt idx="37">0.027167550667534169</cx:pt>
          <cx:pt idx="38">0.018691915615355697</cx:pt>
          <cx:pt idx="39">0.050799097865058235</cx:pt>
          <cx:pt idx="40">0.086511661225034273</cx:pt>
          <cx:pt idx="41">0.041581460489574881</cx:pt>
          <cx:pt idx="42">0.0005854795983203842</cx:pt>
          <cx:pt idx="43">0.0031837568330630142</cx:pt>
          <cx:pt idx="44">0.025548457038460311</cx:pt>
          <cx:pt idx="45">0.00444862966469448</cx:pt>
          <cx:pt idx="46">0.0069701966630483121</cx:pt>
          <cx:pt idx="47">0.028309743525529139</cx:pt>
          <cx:pt idx="48">0.0022770531198645387</cx:pt>
          <cx:pt idx="49">0.001147551293625069</cx:pt>
          <cx:pt idx="50">0.0016845229483466546</cx:pt>
          <cx:pt idx="51">0.0053482828046954563</cx:pt>
          <cx:pt idx="52">0.023470512105693168</cx:pt>
          <cx:pt idx="53">0.010663286903898714</cx:pt>
          <cx:pt idx="54">0.011292762078971496</cx:pt>
          <cx:pt idx="55">0.0033808908596651092</cx:pt>
          <cx:pt idx="56">0.0041843741812521871</cx:pt>
          <cx:pt idx="57">0.031220784187312861</cx:pt>
          <cx:pt idx="58">0.011330835174237995</cx:pt>
          <cx:pt idx="59">0.0067623457651860182</cx:pt>
          <cx:pt idx="60">0.0111196000012409</cx:pt>
          <cx:pt idx="61">0.0028884788275517223</cx:pt>
          <cx:pt idx="62">0.0063091349200507301</cx:pt>
          <cx:pt idx="63">0.0049777046774348663</cx:pt>
          <cx:pt idx="64">0.00075553942384407968</cx:pt>
          <cx:pt idx="65">0.0051291509897171622</cx:pt>
          <cx:pt idx="66">0.0066450242271796208</cx:pt>
          <cx:pt idx="67">0.0021363236788424426</cx:pt>
          <cx:pt idx="68">0.011107755038269102</cx:pt>
          <cx:pt idx="69">0.014073790170993321</cx:pt>
          <cx:pt idx="70">0.0047464458765568724</cx:pt>
          <cx:pt idx="71">0.070179431447417812</cx:pt>
          <cx:pt idx="72">0.10810079837870659</cx:pt>
          <cx:pt idx="73">0.059389234225964101</cx:pt>
          <cx:pt idx="74">0.010172849032280626</cx:pt>
          <cx:pt idx="75">0.024273995427280246</cx:pt>
          <cx:pt idx="76">0.010871701847616808</cx:pt>
          <cx:pt idx="77">0.005550775266927651</cx:pt>
          <cx:pt idx="78">0.0029914171962352196</cx:pt>
          <cx:pt idx="79">0.0061120008934486356</cx:pt>
          <cx:pt idx="80">0.0061142570768718358</cx:pt>
          <cx:pt idx="81">0.0010426387644462719</cx:pt>
          <cx:pt idx="82">0.0054385301416234539</cx:pt>
        </cx:lvl>
      </cx:numDim>
    </cx:data>
  </cx:chartData>
  <cx:chart>
    <cx:plotArea>
      <cx:plotAreaRegion>
        <cx:series layoutId="treemap" uniqueId="{75819AD3-20BC-4DF0-9903-356B5C92C723}">
          <cx:tx>
            <cx:txData>
              <cx:f>Sheet1!$C$1</cx:f>
              <cx:v>Series1</cx:v>
            </cx:txData>
          </cx:tx>
          <cx:spPr>
            <a:ln>
              <a:noFill/>
            </a:ln>
          </cx:spPr>
          <cx:dataId val="0"/>
          <cx:layoutPr/>
        </cx:series>
      </cx:plotAreaRegion>
    </cx:plotArea>
  </cx:chart>
  <cx:spPr>
    <a:noFill/>
    <a:ln>
      <a:noFill/>
    </a:ln>
  </cx:spPr>
  <cx:clrMapOvr bg1="lt1" tx1="dk1" bg2="lt2" tx2="dk2" accent1="accent1" accent2="accent2" accent3="accent3" accent4="accent4" accent5="accent5" accent6="accent6" hlink="hlink" folHlink="folHlink"/>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Sheet1!$A$2:$A$17</cx:f>
        <cx:lvl ptCount="16">
          <cx:pt idx="0">Elektronisko un optisko iekārtu ražošana, informācijas un komunikācijas tehnoloģijas</cx:pt>
          <cx:pt idx="1">Uzņēmējdarbība, finanšu, grāmatvedības un administrēšana (vairumtirdzniecība un mazumtirdzniecība, komerczinības)</cx:pt>
          <cx:pt idx="2">Būvniecība</cx:pt>
          <cx:pt idx="3">Transports un loģistika</cx:pt>
          <cx:pt idx="4">Mākslas nozares dizaina un radošo industriju sektors</cx:pt>
          <cx:pt idx="5">Metālapstrāde, mašīnbūve un mašīnzinības</cx:pt>
          <cx:pt idx="6">Kokrūpniecība</cx:pt>
          <cx:pt idx="7">Ēdināšanas pakalpojumi un tūrisms</cx:pt>
          <cx:pt idx="8">Mūžizglītības kompetences</cx:pt>
          <cx:pt idx="9">Tekstilizstrādājumu, apģērbu, ādas un ādas izstrādājumu ražošana</cx:pt>
          <cx:pt idx="10">Enerģētika</cx:pt>
          <cx:pt idx="11">Drukas un mediju tehnoloģijas</cx:pt>
          <cx:pt idx="12">Pārtikas rūpniecība un lauksaimniecība</cx:pt>
          <cx:pt idx="13">Lauksaimniecība</cx:pt>
          <cx:pt idx="14">Ķīmiskā rūpniecība</cx:pt>
          <cx:pt idx="15">Kultūra</cx:pt>
        </cx:lvl>
        <cx:lvl ptCount="0"/>
        <cx:lvl ptCount="0"/>
      </cx:strDim>
      <cx:numDim type="size">
        <cx:f>Sheet1!$B$2:$B$17</cx:f>
        <cx:lvl ptCount="16" formatCode="0.0">
          <cx:pt idx="0">28.149000000000001</cx:pt>
          <cx:pt idx="1">12.144</cx:pt>
          <cx:pt idx="2">5.4809999999999999</cx:pt>
          <cx:pt idx="3">4.6269999999999998</cx:pt>
          <cx:pt idx="4">3.1190000000000002</cx:pt>
          <cx:pt idx="5">2.4809999999999999</cx:pt>
          <cx:pt idx="6">2.2839999999999998</cx:pt>
          <cx:pt idx="7">2.2280000000000002</cx:pt>
          <cx:pt idx="8">1.8460000000000001</cx:pt>
          <cx:pt idx="9">1.7849999999999999</cx:pt>
          <cx:pt idx="10">1.764</cx:pt>
          <cx:pt idx="11">0.93799999999999994</cx:pt>
          <cx:pt idx="12">0.51200000000000001</cx:pt>
          <cx:pt idx="13">0.47499999999999998</cx:pt>
          <cx:pt idx="14">0.20000000000000001</cx:pt>
          <cx:pt idx="15">0.193</cx:pt>
        </cx:lvl>
      </cx:numDim>
    </cx:data>
  </cx:chartData>
  <cx:chart>
    <cx:plotArea>
      <cx:plotAreaRegion>
        <cx:series layoutId="treemap" uniqueId="{DA521F3D-29F3-40A3-8D56-3641D97A4FA2}">
          <cx:tx>
            <cx:txData>
              <cx:f>Sheet1!$B$1</cx:f>
              <cx:v>Series1</cx:v>
            </cx:txData>
          </cx:tx>
          <cx:spPr>
            <a:ln>
              <a:noFill/>
            </a:ln>
          </cx:spPr>
          <cx:dataId val="0"/>
          <cx:layoutPr>
            <cx:parentLabelLayout val="overlapping"/>
          </cx:layoutPr>
        </cx:series>
      </cx:plotAreaRegion>
    </cx:plotArea>
  </cx:chart>
  <cx:spPr>
    <a:solidFill>
      <a:schemeClr val="accent4">
        <a:lumMod val="20000"/>
        <a:lumOff val="80000"/>
      </a:schemeClr>
    </a:solidFill>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0.62984</cdr:x>
      <cdr:y>0.44257</cdr:y>
    </cdr:from>
    <cdr:to>
      <cdr:x>0.90802</cdr:x>
      <cdr:y>0.56525</cdr:y>
    </cdr:to>
    <cdr:sp macro="" textlink="">
      <cdr:nvSpPr>
        <cdr:cNvPr id="2" name="Text Box 1"/>
        <cdr:cNvSpPr txBox="1"/>
      </cdr:nvSpPr>
      <cdr:spPr>
        <a:xfrm xmlns:a="http://schemas.openxmlformats.org/drawingml/2006/main">
          <a:off x="1771765" y="764686"/>
          <a:ext cx="782535" cy="2119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lv-LV" sz="800" b="0" dirty="0">
              <a:latin typeface="Segoe UI Light" panose="020B0502040204020203" pitchFamily="34" charset="0"/>
              <a:cs typeface="Segoe UI Light" panose="020B0502040204020203" pitchFamily="34" charset="0"/>
            </a:rPr>
            <a:t>vidēji – 5.1%</a:t>
          </a:r>
        </a:p>
      </cdr:txBody>
    </cdr:sp>
  </cdr:relSizeAnchor>
</c:userShapes>
</file>

<file path=word/drawings/drawing10.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11.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2.xml><?xml version="1.0" encoding="utf-8"?>
<c:userShapes xmlns:c="http://schemas.openxmlformats.org/drawingml/2006/chart">
  <cdr:relSizeAnchor xmlns:cdr="http://schemas.openxmlformats.org/drawingml/2006/chartDrawing">
    <cdr:from>
      <cdr:x>0.58726</cdr:x>
      <cdr:y>0</cdr:y>
    </cdr:from>
    <cdr:to>
      <cdr:x>0.58726</cdr:x>
      <cdr:y>0.92229</cdr:y>
    </cdr:to>
    <cdr:cxnSp macro="">
      <cdr:nvCxnSpPr>
        <cdr:cNvPr id="3" name="Straight Connector 2"/>
        <cdr:cNvCxnSpPr/>
      </cdr:nvCxnSpPr>
      <cdr:spPr>
        <a:xfrm xmlns:a="http://schemas.openxmlformats.org/drawingml/2006/main">
          <a:off x="1479698" y="0"/>
          <a:ext cx="0" cy="3156676"/>
        </a:xfrm>
        <a:prstGeom xmlns:a="http://schemas.openxmlformats.org/drawingml/2006/main" prst="line">
          <a:avLst/>
        </a:prstGeom>
        <a:ln xmlns:a="http://schemas.openxmlformats.org/drawingml/2006/main" w="25400">
          <a:solidFill>
            <a:schemeClr val="accent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0.59217</cdr:x>
      <cdr:y>0.63352</cdr:y>
    </cdr:from>
    <cdr:to>
      <cdr:x>0.95355</cdr:x>
      <cdr:y>0.89027</cdr:y>
    </cdr:to>
    <cdr:sp macro="" textlink="">
      <cdr:nvSpPr>
        <cdr:cNvPr id="4" name="Text Box 3"/>
        <cdr:cNvSpPr txBox="1"/>
      </cdr:nvSpPr>
      <cdr:spPr>
        <a:xfrm xmlns:a="http://schemas.openxmlformats.org/drawingml/2006/main">
          <a:off x="1492075" y="2168312"/>
          <a:ext cx="910562" cy="878765"/>
        </a:xfrm>
        <a:prstGeom xmlns:a="http://schemas.openxmlformats.org/drawingml/2006/main" prst="rect">
          <a:avLst/>
        </a:prstGeom>
      </cdr:spPr>
      <cdr:txBody>
        <a:bodyPr xmlns:a="http://schemas.openxmlformats.org/drawingml/2006/main" vertOverflow="clip" wrap="square" tIns="36000" bIns="36000" rtlCol="0"/>
        <a:lstStyle xmlns:a="http://schemas.openxmlformats.org/drawingml/2006/main"/>
        <a:p xmlns:a="http://schemas.openxmlformats.org/drawingml/2006/main">
          <a:pPr algn="l"/>
          <a:r>
            <a:rPr lang="lv-LV" sz="800">
              <a:latin typeface="Segoe UI Light" panose="020B0502040204020203" pitchFamily="34" charset="0"/>
              <a:cs typeface="Segoe UI Semilight" panose="020B0402040204020203" pitchFamily="34" charset="0"/>
            </a:rPr>
            <a:t>Vidējais </a:t>
          </a:r>
          <a:r>
            <a:rPr lang="lv-LV" sz="800" baseline="0">
              <a:latin typeface="Segoe UI Light" panose="020B0502040204020203" pitchFamily="34" charset="0"/>
              <a:cs typeface="Segoe UI Semilight" panose="020B0402040204020203" pitchFamily="34" charset="0"/>
            </a:rPr>
            <a:t>līmenis</a:t>
          </a:r>
          <a:endParaRPr lang="lv-LV" sz="800" baseline="0">
            <a:latin typeface="Segoe UI Light" panose="020B0502040204020203" pitchFamily="34" charset="0"/>
            <a:ea typeface="+mn-ea"/>
            <a:cs typeface="Segoe UI Semilight" panose="020B0402040204020203" pitchFamily="34" charset="0"/>
          </a:endParaRPr>
        </a:p>
        <a:p xmlns:a="http://schemas.openxmlformats.org/drawingml/2006/main">
          <a:pPr algn="l"/>
          <a:r>
            <a:rPr lang="lv-LV" sz="800" baseline="0">
              <a:latin typeface="Segoe UI Light" panose="020B0502040204020203" pitchFamily="34" charset="0"/>
              <a:cs typeface="Segoe UI Semilight" panose="020B0402040204020203" pitchFamily="34" charset="0"/>
            </a:rPr>
            <a:t>šīs kvalifikācijas</a:t>
          </a:r>
        </a:p>
        <a:p xmlns:a="http://schemas.openxmlformats.org/drawingml/2006/main">
          <a:pPr algn="l"/>
          <a:r>
            <a:rPr lang="lv-LV" sz="800" baseline="0">
              <a:latin typeface="Segoe UI Light" panose="020B0502040204020203" pitchFamily="34" charset="0"/>
              <a:cs typeface="Segoe UI Light" panose="020B0502040204020203" pitchFamily="34" charset="0"/>
            </a:rPr>
            <a:t>profesijās </a:t>
          </a:r>
          <a:r>
            <a:rPr lang="lv-LV" sz="800">
              <a:effectLst/>
              <a:latin typeface="Segoe UI Light" panose="020B0502040204020203" pitchFamily="34" charset="0"/>
              <a:ea typeface="+mn-ea"/>
              <a:cs typeface="Segoe UI Light" panose="020B0502040204020203" pitchFamily="34" charset="0"/>
            </a:rPr>
            <a:t>–</a:t>
          </a:r>
          <a:r>
            <a:rPr lang="lv-LV" sz="800" baseline="0">
              <a:latin typeface="Segoe UI Light" panose="020B0502040204020203" pitchFamily="34" charset="0"/>
              <a:cs typeface="Segoe UI Light" panose="020B0502040204020203" pitchFamily="34" charset="0"/>
            </a:rPr>
            <a:t> 33%</a:t>
          </a:r>
          <a:endParaRPr lang="lv-LV" sz="800">
            <a:latin typeface="Segoe UI Light" panose="020B0502040204020203" pitchFamily="34" charset="0"/>
            <a:cs typeface="Segoe UI Light" panose="020B0502040204020203"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0.64426</cdr:x>
      <cdr:y>0.01764</cdr:y>
    </cdr:from>
    <cdr:to>
      <cdr:x>0.64426</cdr:x>
      <cdr:y>0.94495</cdr:y>
    </cdr:to>
    <cdr:cxnSp macro="">
      <cdr:nvCxnSpPr>
        <cdr:cNvPr id="3" name="Straight Connector 2"/>
        <cdr:cNvCxnSpPr/>
      </cdr:nvCxnSpPr>
      <cdr:spPr>
        <a:xfrm xmlns:a="http://schemas.openxmlformats.org/drawingml/2006/main">
          <a:off x="1275584" y="76200"/>
          <a:ext cx="0" cy="4005891"/>
        </a:xfrm>
        <a:prstGeom xmlns:a="http://schemas.openxmlformats.org/drawingml/2006/main" prst="line">
          <a:avLst/>
        </a:prstGeom>
        <a:ln xmlns:a="http://schemas.openxmlformats.org/drawingml/2006/main" w="25400">
          <a:solidFill>
            <a:schemeClr val="accent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0.67969</cdr:x>
      <cdr:y>0.6703</cdr:y>
    </cdr:from>
    <cdr:to>
      <cdr:x>1</cdr:x>
      <cdr:y>0.91284</cdr:y>
    </cdr:to>
    <cdr:sp macro="" textlink="">
      <cdr:nvSpPr>
        <cdr:cNvPr id="4" name="Text Box 3"/>
        <cdr:cNvSpPr txBox="1"/>
      </cdr:nvSpPr>
      <cdr:spPr>
        <a:xfrm xmlns:a="http://schemas.openxmlformats.org/drawingml/2006/main">
          <a:off x="1527874" y="2895612"/>
          <a:ext cx="720026" cy="1047750"/>
        </a:xfrm>
        <a:prstGeom xmlns:a="http://schemas.openxmlformats.org/drawingml/2006/main" prst="rect">
          <a:avLst/>
        </a:prstGeom>
      </cdr:spPr>
      <cdr:txBody>
        <a:bodyPr xmlns:a="http://schemas.openxmlformats.org/drawingml/2006/main" vertOverflow="clip" wrap="square" lIns="0" tIns="36000" rIns="0" bIns="36000" rtlCol="0"/>
        <a:lstStyle xmlns:a="http://schemas.openxmlformats.org/drawingml/2006/main"/>
        <a:p xmlns:a="http://schemas.openxmlformats.org/drawingml/2006/main">
          <a:pPr algn="l"/>
          <a:r>
            <a:rPr lang="lv-LV" sz="800">
              <a:latin typeface="Segoe UI Light" panose="020B0502040204020203" pitchFamily="34" charset="0"/>
              <a:cs typeface="Segoe UI Light" panose="020B0502040204020203" pitchFamily="34" charset="0"/>
            </a:rPr>
            <a:t>Vidējais </a:t>
          </a:r>
          <a:r>
            <a:rPr lang="lv-LV" sz="800" baseline="0">
              <a:latin typeface="Segoe UI Light" panose="020B0502040204020203" pitchFamily="34" charset="0"/>
              <a:cs typeface="Segoe UI Light" panose="020B0502040204020203" pitchFamily="34" charset="0"/>
            </a:rPr>
            <a:t>līmenis</a:t>
          </a:r>
          <a:endParaRPr lang="lv-LV" sz="800" baseline="0">
            <a:latin typeface="Segoe UI Light" panose="020B0502040204020203" pitchFamily="34" charset="0"/>
            <a:ea typeface="+mn-ea"/>
            <a:cs typeface="Segoe UI Light" panose="020B0502040204020203" pitchFamily="34" charset="0"/>
          </a:endParaRPr>
        </a:p>
        <a:p xmlns:a="http://schemas.openxmlformats.org/drawingml/2006/main">
          <a:pPr algn="l"/>
          <a:r>
            <a:rPr lang="lv-LV" sz="800" baseline="0">
              <a:latin typeface="Segoe UI Light" panose="020B0502040204020203" pitchFamily="34" charset="0"/>
              <a:cs typeface="Segoe UI Light" panose="020B0502040204020203" pitchFamily="34" charset="0"/>
            </a:rPr>
            <a:t>šīs kvalifikācijas</a:t>
          </a:r>
        </a:p>
        <a:p xmlns:a="http://schemas.openxmlformats.org/drawingml/2006/main">
          <a:pPr algn="l"/>
          <a:r>
            <a:rPr lang="lv-LV" sz="800" baseline="0">
              <a:latin typeface="Segoe UI Light" panose="020B0502040204020203" pitchFamily="34" charset="0"/>
              <a:cs typeface="Segoe UI Light" panose="020B0502040204020203" pitchFamily="34" charset="0"/>
            </a:rPr>
            <a:t>profesijās </a:t>
          </a:r>
          <a:r>
            <a:rPr lang="lv-LV" sz="800">
              <a:effectLst/>
              <a:latin typeface="Segoe UI Light" panose="020B0502040204020203" pitchFamily="34" charset="0"/>
              <a:ea typeface="+mn-ea"/>
              <a:cs typeface="Segoe UI Light" panose="020B0502040204020203" pitchFamily="34" charset="0"/>
            </a:rPr>
            <a:t>–</a:t>
          </a:r>
          <a:r>
            <a:rPr lang="en-US" sz="800" baseline="0">
              <a:latin typeface="Segoe UI Light" panose="020B0502040204020203" pitchFamily="34" charset="0"/>
              <a:cs typeface="Segoe UI Light" panose="020B0502040204020203" pitchFamily="34" charset="0"/>
            </a:rPr>
            <a:t> </a:t>
          </a:r>
          <a:r>
            <a:rPr lang="lv-LV" sz="800" baseline="0">
              <a:latin typeface="Segoe UI Light" panose="020B0502040204020203" pitchFamily="34" charset="0"/>
              <a:cs typeface="Segoe UI Light" panose="020B0502040204020203" pitchFamily="34" charset="0"/>
            </a:rPr>
            <a:t>41%</a:t>
          </a:r>
          <a:endParaRPr lang="lv-LV" sz="800">
            <a:latin typeface="Segoe UI Light" panose="020B0502040204020203" pitchFamily="34" charset="0"/>
            <a:cs typeface="Segoe UI Light" panose="020B0502040204020203" pitchFamily="34" charset="0"/>
          </a:endParaRPr>
        </a:p>
        <a:p xmlns:a="http://schemas.openxmlformats.org/drawingml/2006/main">
          <a:pPr algn="r"/>
          <a:endParaRPr lang="lv-LV" sz="800">
            <a:latin typeface="Segoe UI Light" panose="020B0502040204020203" pitchFamily="34" charset="0"/>
            <a:cs typeface="Segoe UI Light" panose="020B0502040204020203"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0.63576</cdr:x>
      <cdr:y>0.42281</cdr:y>
    </cdr:from>
    <cdr:to>
      <cdr:x>0.97724</cdr:x>
      <cdr:y>0.67559</cdr:y>
    </cdr:to>
    <cdr:sp macro="" textlink="">
      <cdr:nvSpPr>
        <cdr:cNvPr id="3" name="Text Box 57"/>
        <cdr:cNvSpPr txBox="1"/>
      </cdr:nvSpPr>
      <cdr:spPr bwMode="auto">
        <a:xfrm xmlns:a="http://schemas.openxmlformats.org/drawingml/2006/main">
          <a:off x="3657600" y="1273681"/>
          <a:ext cx="1964552" cy="76148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rot="0" vert="horz" wrap="square" lIns="36000" tIns="0" rIns="36000" bIns="0" anchor="t" anchorCtr="0" upright="1"/>
        <a:lstStyle xmlns:a="http://schemas.openxmlformats.org/drawingml/2006/main"/>
        <a:p xmlns:a="http://schemas.openxmlformats.org/drawingml/2006/main">
          <a:pPr algn="ctr" fontAlgn="base">
            <a:lnSpc>
              <a:spcPct val="107000"/>
            </a:lnSpc>
            <a:spcAft>
              <a:spcPts val="0"/>
            </a:spcAft>
          </a:pPr>
          <a:r>
            <a:rPr lang="lv-LV" sz="700" b="1" kern="1200">
              <a:solidFill>
                <a:schemeClr val="accent5">
                  <a:lumMod val="50000"/>
                </a:schemeClr>
              </a:solidFill>
              <a:effectLst/>
              <a:latin typeface="Segoe UI Light" panose="020B0502040204020203" pitchFamily="34" charset="0"/>
              <a:ea typeface="Calibri" panose="020F0502020204030204" pitchFamily="34" charset="0"/>
              <a:cs typeface="Arial" panose="020B0604020202020204" pitchFamily="34" charset="0"/>
            </a:rPr>
            <a:t>MĒRĶA SCENĀRIJS</a:t>
          </a:r>
          <a:endParaRPr lang="lv-LV" sz="700">
            <a:solidFill>
              <a:schemeClr val="accent5">
                <a:lumMod val="50000"/>
              </a:schemeClr>
            </a:solidFill>
            <a:effectLst/>
            <a:latin typeface="Segoe UI Light" panose="020B0502040204020203" pitchFamily="34" charset="0"/>
            <a:ea typeface="Calibri" panose="020F0502020204030204" pitchFamily="34" charset="0"/>
            <a:cs typeface="Times New Roman" panose="02020603050405020304" pitchFamily="18" charset="0"/>
          </a:endParaRPr>
        </a:p>
        <a:p xmlns:a="http://schemas.openxmlformats.org/drawingml/2006/main">
          <a:pPr algn="ctr" fontAlgn="base">
            <a:lnSpc>
              <a:spcPct val="107000"/>
            </a:lnSpc>
            <a:spcAft>
              <a:spcPts val="0"/>
            </a:spcAft>
          </a:pPr>
          <a:r>
            <a:rPr lang="lv-LV" sz="700" kern="1200">
              <a:solidFill>
                <a:srgbClr val="000000"/>
              </a:solidFill>
              <a:effectLst/>
              <a:latin typeface="Segoe UI Light" panose="020B0502040204020203" pitchFamily="34" charset="0"/>
              <a:ea typeface="Calibri" panose="020F0502020204030204" pitchFamily="34" charset="0"/>
              <a:cs typeface="Arial" panose="020B0604020202020204" pitchFamily="34" charset="0"/>
            </a:rPr>
            <a:t>Latvijas ekonomikas konkurētspējas priekšrocības pamatā tiek balstītas uz tehnoloģiskiem faktoriem, ražošanas efektivitāti, inovācijām</a:t>
          </a: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0.54351</cdr:x>
      <cdr:y>0.88395</cdr:y>
    </cdr:from>
    <cdr:to>
      <cdr:x>0.70482</cdr:x>
      <cdr:y>0.97955</cdr:y>
    </cdr:to>
    <cdr:sp macro="" textlink="">
      <cdr:nvSpPr>
        <cdr:cNvPr id="10" name="TextBox 27"/>
        <cdr:cNvSpPr txBox="1"/>
      </cdr:nvSpPr>
      <cdr:spPr>
        <a:xfrm xmlns:a="http://schemas.openxmlformats.org/drawingml/2006/main">
          <a:off x="3126877" y="2662849"/>
          <a:ext cx="928047" cy="288000"/>
        </a:xfrm>
        <a:prstGeom xmlns:a="http://schemas.openxmlformats.org/drawingml/2006/main" prst="rect">
          <a:avLst/>
        </a:prstGeom>
        <a:solidFill xmlns:a="http://schemas.openxmlformats.org/drawingml/2006/main">
          <a:schemeClr val="accent5">
            <a:lumMod val="75000"/>
            <a:alpha val="67000"/>
          </a:schemeClr>
        </a:solidFill>
      </cdr:spPr>
      <cdr:txBody>
        <a:bodyPr xmlns:a="http://schemas.openxmlformats.org/drawingml/2006/main" wrap="square" lIns="36000" tIns="18000" rIns="36000" bIns="1800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lnSpc>
              <a:spcPct val="107000"/>
            </a:lnSpc>
            <a:spcAft>
              <a:spcPts val="0"/>
            </a:spcAft>
          </a:pPr>
          <a:r>
            <a:rPr lang="lv-LV" sz="700" b="1" kern="1200">
              <a:solidFill>
                <a:schemeClr val="bg1"/>
              </a:solidFill>
              <a:effectLst/>
              <a:latin typeface="Segoe UI Light" panose="020B0502040204020203" pitchFamily="34" charset="0"/>
              <a:ea typeface="Verdana" panose="020B0604030504040204" pitchFamily="34" charset="0"/>
              <a:cs typeface="Verdana" panose="020B0604030504040204" pitchFamily="34" charset="0"/>
            </a:rPr>
            <a:t>2024.-2030. </a:t>
          </a:r>
        </a:p>
        <a:p xmlns:a="http://schemas.openxmlformats.org/drawingml/2006/main">
          <a:pPr algn="ctr" fontAlgn="base">
            <a:lnSpc>
              <a:spcPct val="107000"/>
            </a:lnSpc>
            <a:spcAft>
              <a:spcPts val="0"/>
            </a:spcAft>
          </a:pPr>
          <a:r>
            <a:rPr lang="lv-LV" sz="700" kern="1200">
              <a:solidFill>
                <a:schemeClr val="bg1"/>
              </a:solidFill>
              <a:effectLst/>
              <a:latin typeface="Segoe UI Light" panose="020B0502040204020203" pitchFamily="34" charset="0"/>
              <a:ea typeface="Verdana" panose="020B0604030504040204" pitchFamily="34" charset="0"/>
              <a:cs typeface="Verdana" panose="020B0604030504040204" pitchFamily="34" charset="0"/>
            </a:rPr>
            <a:t>IKP </a:t>
          </a:r>
          <a:r>
            <a:rPr lang="lv-LV" sz="700" kern="1200">
              <a:solidFill>
                <a:schemeClr val="bg1"/>
              </a:solidFill>
              <a:effectLst/>
              <a:latin typeface="Segoe UI Light" panose="020B0502040204020203" pitchFamily="34" charset="0"/>
              <a:ea typeface="Verdana" panose="020B0604030504040204" pitchFamily="34" charset="0"/>
              <a:cs typeface="Arial" panose="020B0604020202020204" pitchFamily="34" charset="0"/>
            </a:rPr>
            <a:t>↑</a:t>
          </a:r>
          <a:r>
            <a:rPr lang="lv-LV" sz="700" kern="1200">
              <a:solidFill>
                <a:schemeClr val="bg1"/>
              </a:solidFill>
              <a:effectLst/>
              <a:latin typeface="Segoe UI Light" panose="020B0502040204020203" pitchFamily="34" charset="0"/>
              <a:ea typeface="Verdana" panose="020B0604030504040204" pitchFamily="34" charset="0"/>
              <a:cs typeface="Verdana" panose="020B0604030504040204" pitchFamily="34" charset="0"/>
            </a:rPr>
            <a:t> vidēji 4,1% gadā</a:t>
          </a:r>
          <a:endParaRPr lang="lv-LV" sz="700">
            <a:solidFill>
              <a:schemeClr val="bg1"/>
            </a:solidFill>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0.70391</cdr:x>
      <cdr:y>0.88431</cdr:y>
    </cdr:from>
    <cdr:to>
      <cdr:x>0.9858</cdr:x>
      <cdr:y>0.97991</cdr:y>
    </cdr:to>
    <cdr:sp macro="" textlink="">
      <cdr:nvSpPr>
        <cdr:cNvPr id="11" name="TextBox 27"/>
        <cdr:cNvSpPr txBox="1"/>
      </cdr:nvSpPr>
      <cdr:spPr>
        <a:xfrm xmlns:a="http://schemas.openxmlformats.org/drawingml/2006/main">
          <a:off x="4049637" y="2663920"/>
          <a:ext cx="1621757" cy="288000"/>
        </a:xfrm>
        <a:prstGeom xmlns:a="http://schemas.openxmlformats.org/drawingml/2006/main" prst="rect">
          <a:avLst/>
        </a:prstGeom>
        <a:solidFill xmlns:a="http://schemas.openxmlformats.org/drawingml/2006/main">
          <a:schemeClr val="accent5">
            <a:lumMod val="75000"/>
            <a:alpha val="18000"/>
          </a:schemeClr>
        </a:solidFill>
      </cdr:spPr>
      <cdr:txBody>
        <a:bodyPr xmlns:a="http://schemas.openxmlformats.org/drawingml/2006/main" wrap="square" tIns="18000" bIns="1800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lnSpc>
              <a:spcPct val="107000"/>
            </a:lnSpc>
            <a:spcAft>
              <a:spcPts val="0"/>
            </a:spcAft>
          </a:pPr>
          <a:r>
            <a:rPr lang="lv-LV" sz="700" b="1" kern="1200">
              <a:solidFill>
                <a:schemeClr val="tx1">
                  <a:lumMod val="65000"/>
                  <a:lumOff val="35000"/>
                </a:schemeClr>
              </a:solidFill>
              <a:effectLst/>
              <a:latin typeface="Segoe UI Light" panose="020B0502040204020203" pitchFamily="34" charset="0"/>
              <a:ea typeface="Verdana" panose="020B0604030504040204" pitchFamily="34" charset="0"/>
              <a:cs typeface="Verdana" panose="020B0604030504040204" pitchFamily="34" charset="0"/>
            </a:rPr>
            <a:t>2030.-2040.</a:t>
          </a:r>
        </a:p>
        <a:p xmlns:a="http://schemas.openxmlformats.org/drawingml/2006/main">
          <a:pPr algn="ctr" fontAlgn="base">
            <a:lnSpc>
              <a:spcPct val="107000"/>
            </a:lnSpc>
            <a:spcAft>
              <a:spcPts val="0"/>
            </a:spcAft>
          </a:pPr>
          <a:r>
            <a:rPr lang="lv-LV" sz="700" b="0" kern="1200">
              <a:solidFill>
                <a:schemeClr val="tx1">
                  <a:lumMod val="65000"/>
                  <a:lumOff val="35000"/>
                </a:schemeClr>
              </a:solidFill>
              <a:effectLst/>
              <a:latin typeface="Segoe UI Light" panose="020B0502040204020203" pitchFamily="34" charset="0"/>
              <a:ea typeface="Verdana" panose="020B0604030504040204" pitchFamily="34" charset="0"/>
              <a:cs typeface="Verdana" panose="020B0604030504040204" pitchFamily="34" charset="0"/>
            </a:rPr>
            <a:t>IKP ↑ vidēji 3.7% gadā</a:t>
          </a:r>
        </a:p>
      </cdr:txBody>
    </cdr:sp>
  </cdr:relSizeAnchor>
  <cdr:relSizeAnchor xmlns:cdr="http://schemas.openxmlformats.org/drawingml/2006/chartDrawing">
    <cdr:from>
      <cdr:x>0.17915</cdr:x>
      <cdr:y>0.8843</cdr:y>
    </cdr:from>
    <cdr:to>
      <cdr:x>0.54369</cdr:x>
      <cdr:y>0.97858</cdr:y>
    </cdr:to>
    <cdr:sp macro="" textlink="">
      <cdr:nvSpPr>
        <cdr:cNvPr id="13" name="TextBox 27"/>
        <cdr:cNvSpPr txBox="1"/>
      </cdr:nvSpPr>
      <cdr:spPr>
        <a:xfrm xmlns:a="http://schemas.openxmlformats.org/drawingml/2006/main">
          <a:off x="1030668" y="2663901"/>
          <a:ext cx="2097235" cy="284015"/>
        </a:xfrm>
        <a:prstGeom xmlns:a="http://schemas.openxmlformats.org/drawingml/2006/main" prst="rect">
          <a:avLst/>
        </a:prstGeom>
        <a:solidFill xmlns:a="http://schemas.openxmlformats.org/drawingml/2006/main">
          <a:schemeClr val="accent5">
            <a:lumMod val="50000"/>
            <a:alpha val="67000"/>
          </a:schemeClr>
        </a:solidFill>
      </cdr:spPr>
      <cdr:txBody>
        <a:bodyPr xmlns:a="http://schemas.openxmlformats.org/drawingml/2006/main" wrap="square" lIns="36000" tIns="18000" rIns="36000" bIns="1800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lnSpc>
              <a:spcPct val="107000"/>
            </a:lnSpc>
            <a:spcAft>
              <a:spcPts val="0"/>
            </a:spcAft>
          </a:pPr>
          <a:r>
            <a:rPr lang="lv-LV" sz="700" b="1" kern="1200">
              <a:solidFill>
                <a:schemeClr val="bg1"/>
              </a:solidFill>
              <a:effectLst/>
              <a:latin typeface="Segoe UI Light" panose="020B0502040204020203" pitchFamily="34" charset="0"/>
              <a:ea typeface="Verdana" panose="020B0604030504040204" pitchFamily="34" charset="0"/>
              <a:cs typeface="Verdana" panose="020B0604030504040204" pitchFamily="34" charset="0"/>
            </a:rPr>
            <a:t>2011.-2023. </a:t>
          </a:r>
        </a:p>
        <a:p xmlns:a="http://schemas.openxmlformats.org/drawingml/2006/main">
          <a:pPr algn="ctr" fontAlgn="base">
            <a:lnSpc>
              <a:spcPct val="107000"/>
            </a:lnSpc>
            <a:spcAft>
              <a:spcPts val="0"/>
            </a:spcAft>
          </a:pPr>
          <a:r>
            <a:rPr lang="lv-LV" sz="700" kern="1200">
              <a:solidFill>
                <a:schemeClr val="bg1"/>
              </a:solidFill>
              <a:effectLst/>
              <a:latin typeface="Segoe UI Light" panose="020B0502040204020203" pitchFamily="34" charset="0"/>
              <a:ea typeface="Verdana" panose="020B0604030504040204" pitchFamily="34" charset="0"/>
              <a:cs typeface="Verdana" panose="020B0604030504040204" pitchFamily="34" charset="0"/>
            </a:rPr>
            <a:t>IKP </a:t>
          </a:r>
          <a:r>
            <a:rPr lang="lv-LV" sz="700" kern="1200">
              <a:solidFill>
                <a:schemeClr val="bg1"/>
              </a:solidFill>
              <a:effectLst/>
              <a:latin typeface="Segoe UI Light" panose="020B0502040204020203" pitchFamily="34" charset="0"/>
              <a:ea typeface="Verdana" panose="020B0604030504040204" pitchFamily="34" charset="0"/>
              <a:cs typeface="Arial" panose="020B0604020202020204" pitchFamily="34" charset="0"/>
            </a:rPr>
            <a:t>↑</a:t>
          </a:r>
          <a:r>
            <a:rPr lang="lv-LV" sz="700" kern="1200">
              <a:solidFill>
                <a:schemeClr val="bg1"/>
              </a:solidFill>
              <a:effectLst/>
              <a:latin typeface="Segoe UI Light" panose="020B0502040204020203" pitchFamily="34" charset="0"/>
              <a:ea typeface="Verdana" panose="020B0604030504040204" pitchFamily="34" charset="0"/>
              <a:cs typeface="Verdana" panose="020B0604030504040204" pitchFamily="34" charset="0"/>
            </a:rPr>
            <a:t> vidēji 2,5% gadā</a:t>
          </a:r>
          <a:endParaRPr lang="lv-LV" sz="700">
            <a:solidFill>
              <a:schemeClr val="bg1"/>
            </a:solidFill>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0.03675</cdr:x>
      <cdr:y>0.88362</cdr:y>
    </cdr:from>
    <cdr:to>
      <cdr:x>0.18007</cdr:x>
      <cdr:y>0.97923</cdr:y>
    </cdr:to>
    <cdr:sp macro="" textlink="">
      <cdr:nvSpPr>
        <cdr:cNvPr id="14" name="TextBox 27"/>
        <cdr:cNvSpPr txBox="1"/>
      </cdr:nvSpPr>
      <cdr:spPr>
        <a:xfrm xmlns:a="http://schemas.openxmlformats.org/drawingml/2006/main">
          <a:off x="211422" y="2661860"/>
          <a:ext cx="824546" cy="288000"/>
        </a:xfrm>
        <a:prstGeom xmlns:a="http://schemas.openxmlformats.org/drawingml/2006/main" prst="rect">
          <a:avLst/>
        </a:prstGeom>
        <a:solidFill xmlns:a="http://schemas.openxmlformats.org/drawingml/2006/main">
          <a:schemeClr val="accent5">
            <a:lumMod val="50000"/>
            <a:alpha val="80000"/>
          </a:schemeClr>
        </a:solidFill>
      </cdr:spPr>
      <cdr:txBody>
        <a:bodyPr xmlns:a="http://schemas.openxmlformats.org/drawingml/2006/main" wrap="square" lIns="36000" tIns="18000" rIns="36000" bIns="1800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lnSpc>
              <a:spcPct val="107000"/>
            </a:lnSpc>
            <a:spcAft>
              <a:spcPts val="0"/>
            </a:spcAft>
          </a:pPr>
          <a:r>
            <a:rPr lang="lv-LV" sz="700" b="1" kern="1200">
              <a:solidFill>
                <a:schemeClr val="bg1"/>
              </a:solidFill>
              <a:effectLst/>
              <a:latin typeface="Segoe UI Light" panose="020B0502040204020203" pitchFamily="34" charset="0"/>
              <a:ea typeface="Verdana" panose="020B0604030504040204" pitchFamily="34" charset="0"/>
              <a:cs typeface="Verdana" panose="020B0604030504040204" pitchFamily="34" charset="0"/>
            </a:rPr>
            <a:t>2005.-2010. </a:t>
          </a:r>
        </a:p>
        <a:p xmlns:a="http://schemas.openxmlformats.org/drawingml/2006/main">
          <a:pPr algn="ctr" fontAlgn="base">
            <a:lnSpc>
              <a:spcPct val="107000"/>
            </a:lnSpc>
            <a:spcAft>
              <a:spcPts val="0"/>
            </a:spcAft>
          </a:pPr>
          <a:r>
            <a:rPr lang="lv-LV" sz="700" kern="1200">
              <a:solidFill>
                <a:schemeClr val="bg1"/>
              </a:solidFill>
              <a:effectLst/>
              <a:latin typeface="Segoe UI Light" panose="020B0502040204020203" pitchFamily="34" charset="0"/>
              <a:ea typeface="Verdana" panose="020B0604030504040204" pitchFamily="34" charset="0"/>
              <a:cs typeface="Verdana" panose="020B0604030504040204" pitchFamily="34" charset="0"/>
            </a:rPr>
            <a:t>IKP </a:t>
          </a:r>
          <a:r>
            <a:rPr lang="lv-LV" sz="700" kern="1200">
              <a:solidFill>
                <a:schemeClr val="bg1"/>
              </a:solidFill>
              <a:effectLst/>
              <a:latin typeface="Segoe UI Light" panose="020B0502040204020203" pitchFamily="34" charset="0"/>
              <a:ea typeface="Verdana" panose="020B0604030504040204" pitchFamily="34" charset="0"/>
              <a:cs typeface="Arial" panose="020B0604020202020204" pitchFamily="34" charset="0"/>
            </a:rPr>
            <a:t>↑</a:t>
          </a:r>
          <a:r>
            <a:rPr lang="lv-LV" sz="700" kern="1200">
              <a:solidFill>
                <a:schemeClr val="bg1"/>
              </a:solidFill>
              <a:effectLst/>
              <a:latin typeface="Segoe UI Light" panose="020B0502040204020203" pitchFamily="34" charset="0"/>
              <a:ea typeface="Verdana" panose="020B0604030504040204" pitchFamily="34" charset="0"/>
              <a:cs typeface="Verdana" panose="020B0604030504040204" pitchFamily="34" charset="0"/>
            </a:rPr>
            <a:t> vidēji 1,3% gadā</a:t>
          </a:r>
          <a:endParaRPr lang="lv-LV" sz="700">
            <a:solidFill>
              <a:schemeClr val="bg1"/>
            </a:solidFill>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0.31908</cdr:x>
      <cdr:y>0.41743</cdr:y>
    </cdr:from>
    <cdr:to>
      <cdr:x>0.61231</cdr:x>
      <cdr:y>0.52703</cdr:y>
    </cdr:to>
    <cdr:sp macro="" textlink="">
      <cdr:nvSpPr>
        <cdr:cNvPr id="8" name="Text Box 1"/>
        <cdr:cNvSpPr txBox="1"/>
      </cdr:nvSpPr>
      <cdr:spPr>
        <a:xfrm xmlns:a="http://schemas.openxmlformats.org/drawingml/2006/main">
          <a:off x="877731" y="969097"/>
          <a:ext cx="806623" cy="2544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0">
              <a:solidFill>
                <a:schemeClr val="bg1"/>
              </a:solidFill>
              <a:latin typeface="Segoe UI Light" panose="020B0502040204020203" pitchFamily="34" charset="0"/>
              <a:cs typeface="Segoe UI Light" panose="020B0502040204020203" pitchFamily="34" charset="0"/>
            </a:rPr>
            <a:t>872,3</a:t>
          </a:r>
          <a:r>
            <a:rPr lang="lv-LV" sz="800" b="0" baseline="0">
              <a:solidFill>
                <a:schemeClr val="bg1"/>
              </a:solidFill>
              <a:latin typeface="Segoe UI Light" panose="020B0502040204020203" pitchFamily="34" charset="0"/>
              <a:cs typeface="Segoe UI Light" panose="020B0502040204020203" pitchFamily="34" charset="0"/>
            </a:rPr>
            <a:t> tūkst.</a:t>
          </a:r>
          <a:endParaRPr lang="lv-LV" sz="800" b="0">
            <a:solidFill>
              <a:schemeClr val="bg1"/>
            </a:solidFill>
            <a:latin typeface="Segoe UI Light" panose="020B0502040204020203" pitchFamily="34" charset="0"/>
            <a:cs typeface="Segoe UI Light" panose="020B0502040204020203" pitchFamily="34" charset="0"/>
          </a:endParaRPr>
        </a:p>
      </cdr:txBody>
    </cdr:sp>
  </cdr:relSizeAnchor>
  <cdr:relSizeAnchor xmlns:cdr="http://schemas.openxmlformats.org/drawingml/2006/chartDrawing">
    <cdr:from>
      <cdr:x>0.58811</cdr:x>
      <cdr:y>0.42132</cdr:y>
    </cdr:from>
    <cdr:to>
      <cdr:x>0.88133</cdr:x>
      <cdr:y>0.53092</cdr:y>
    </cdr:to>
    <cdr:sp macro="" textlink="">
      <cdr:nvSpPr>
        <cdr:cNvPr id="9" name="Text Box 1"/>
        <cdr:cNvSpPr txBox="1"/>
      </cdr:nvSpPr>
      <cdr:spPr>
        <a:xfrm xmlns:a="http://schemas.openxmlformats.org/drawingml/2006/main">
          <a:off x="1617781" y="978122"/>
          <a:ext cx="806596" cy="2544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0">
              <a:solidFill>
                <a:schemeClr val="bg1"/>
              </a:solidFill>
              <a:latin typeface="Segoe UI Light" panose="020B0502040204020203" pitchFamily="34" charset="0"/>
              <a:cs typeface="Segoe UI Light" panose="020B0502040204020203" pitchFamily="34" charset="0"/>
            </a:rPr>
            <a:t>1010,7</a:t>
          </a:r>
          <a:r>
            <a:rPr lang="lv-LV" sz="800" b="0" baseline="0">
              <a:solidFill>
                <a:schemeClr val="bg1"/>
              </a:solidFill>
              <a:latin typeface="Segoe UI Light" panose="020B0502040204020203" pitchFamily="34" charset="0"/>
              <a:cs typeface="Segoe UI Light" panose="020B0502040204020203" pitchFamily="34" charset="0"/>
            </a:rPr>
            <a:t> tūkst.</a:t>
          </a:r>
          <a:endParaRPr lang="lv-LV" sz="800" b="0">
            <a:solidFill>
              <a:schemeClr val="bg1"/>
            </a:solidFill>
            <a:latin typeface="Segoe UI Light" panose="020B0502040204020203" pitchFamily="34" charset="0"/>
            <a:cs typeface="Segoe UI Light" panose="020B0502040204020203"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0.32181</cdr:x>
      <cdr:y>0.40023</cdr:y>
    </cdr:from>
    <cdr:to>
      <cdr:x>0.6013</cdr:x>
      <cdr:y>0.50947</cdr:y>
    </cdr:to>
    <cdr:sp macro="" textlink="">
      <cdr:nvSpPr>
        <cdr:cNvPr id="2" name="Text Box 1"/>
        <cdr:cNvSpPr txBox="1"/>
      </cdr:nvSpPr>
      <cdr:spPr>
        <a:xfrm xmlns:a="http://schemas.openxmlformats.org/drawingml/2006/main">
          <a:off x="928775" y="932213"/>
          <a:ext cx="806629" cy="2544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0">
              <a:solidFill>
                <a:schemeClr val="bg1"/>
              </a:solidFill>
              <a:latin typeface="Segoe UI Light" panose="020B0502040204020203" pitchFamily="34" charset="0"/>
              <a:cs typeface="Segoe UI Light" panose="020B0502040204020203" pitchFamily="34" charset="0"/>
            </a:rPr>
            <a:t>846,8</a:t>
          </a:r>
          <a:r>
            <a:rPr lang="lv-LV" sz="800" b="0" baseline="0">
              <a:solidFill>
                <a:schemeClr val="bg1"/>
              </a:solidFill>
              <a:latin typeface="Segoe UI Light" panose="020B0502040204020203" pitchFamily="34" charset="0"/>
              <a:cs typeface="Segoe UI Light" panose="020B0502040204020203" pitchFamily="34" charset="0"/>
            </a:rPr>
            <a:t> tūkst.</a:t>
          </a:r>
          <a:endParaRPr lang="lv-LV" sz="800" b="0">
            <a:solidFill>
              <a:schemeClr val="bg1"/>
            </a:solidFill>
            <a:latin typeface="Segoe UI Light" panose="020B0502040204020203" pitchFamily="34" charset="0"/>
            <a:cs typeface="Segoe UI Light" panose="020B0502040204020203" pitchFamily="34"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8.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9.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344CA-53E1-444A-973E-AF61E611A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111</Pages>
  <Words>198464</Words>
  <Characters>113126</Characters>
  <Application>Microsoft Office Word</Application>
  <DocSecurity>0</DocSecurity>
  <Lines>942</Lines>
  <Paragraphs>621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310969</CharactersWithSpaces>
  <SharedDoc>false</SharedDoc>
  <HLinks>
    <vt:vector size="300" baseType="variant">
      <vt:variant>
        <vt:i4>4259870</vt:i4>
      </vt:variant>
      <vt:variant>
        <vt:i4>204</vt:i4>
      </vt:variant>
      <vt:variant>
        <vt:i4>0</vt:i4>
      </vt:variant>
      <vt:variant>
        <vt:i4>5</vt:i4>
      </vt:variant>
      <vt:variant>
        <vt:lpwstr>https://www.cedefop.europa.eu/en/projects/digitalisation-and-future-work/automation-work-and-skills-2</vt:lpwstr>
      </vt:variant>
      <vt:variant>
        <vt:lpwstr/>
      </vt:variant>
      <vt:variant>
        <vt:i4>5111816</vt:i4>
      </vt:variant>
      <vt:variant>
        <vt:i4>186</vt:i4>
      </vt:variant>
      <vt:variant>
        <vt:i4>0</vt:i4>
      </vt:variant>
      <vt:variant>
        <vt:i4>5</vt:i4>
      </vt:variant>
      <vt:variant>
        <vt:lpwstr>https://skillspanorama.cedefop.europa.eu/en/skills-themes/future-jobs</vt:lpwstr>
      </vt:variant>
      <vt:variant>
        <vt:lpwstr/>
      </vt:variant>
      <vt:variant>
        <vt:i4>1114172</vt:i4>
      </vt:variant>
      <vt:variant>
        <vt:i4>179</vt:i4>
      </vt:variant>
      <vt:variant>
        <vt:i4>0</vt:i4>
      </vt:variant>
      <vt:variant>
        <vt:i4>5</vt:i4>
      </vt:variant>
      <vt:variant>
        <vt:lpwstr/>
      </vt:variant>
      <vt:variant>
        <vt:lpwstr>_Toc169260228</vt:lpwstr>
      </vt:variant>
      <vt:variant>
        <vt:i4>1114172</vt:i4>
      </vt:variant>
      <vt:variant>
        <vt:i4>173</vt:i4>
      </vt:variant>
      <vt:variant>
        <vt:i4>0</vt:i4>
      </vt:variant>
      <vt:variant>
        <vt:i4>5</vt:i4>
      </vt:variant>
      <vt:variant>
        <vt:lpwstr/>
      </vt:variant>
      <vt:variant>
        <vt:lpwstr>_Toc169260227</vt:lpwstr>
      </vt:variant>
      <vt:variant>
        <vt:i4>1114172</vt:i4>
      </vt:variant>
      <vt:variant>
        <vt:i4>167</vt:i4>
      </vt:variant>
      <vt:variant>
        <vt:i4>0</vt:i4>
      </vt:variant>
      <vt:variant>
        <vt:i4>5</vt:i4>
      </vt:variant>
      <vt:variant>
        <vt:lpwstr/>
      </vt:variant>
      <vt:variant>
        <vt:lpwstr>_Toc169260226</vt:lpwstr>
      </vt:variant>
      <vt:variant>
        <vt:i4>1114172</vt:i4>
      </vt:variant>
      <vt:variant>
        <vt:i4>161</vt:i4>
      </vt:variant>
      <vt:variant>
        <vt:i4>0</vt:i4>
      </vt:variant>
      <vt:variant>
        <vt:i4>5</vt:i4>
      </vt:variant>
      <vt:variant>
        <vt:lpwstr/>
      </vt:variant>
      <vt:variant>
        <vt:lpwstr>_Toc169260225</vt:lpwstr>
      </vt:variant>
      <vt:variant>
        <vt:i4>1114172</vt:i4>
      </vt:variant>
      <vt:variant>
        <vt:i4>155</vt:i4>
      </vt:variant>
      <vt:variant>
        <vt:i4>0</vt:i4>
      </vt:variant>
      <vt:variant>
        <vt:i4>5</vt:i4>
      </vt:variant>
      <vt:variant>
        <vt:lpwstr/>
      </vt:variant>
      <vt:variant>
        <vt:lpwstr>_Toc169260224</vt:lpwstr>
      </vt:variant>
      <vt:variant>
        <vt:i4>1114172</vt:i4>
      </vt:variant>
      <vt:variant>
        <vt:i4>149</vt:i4>
      </vt:variant>
      <vt:variant>
        <vt:i4>0</vt:i4>
      </vt:variant>
      <vt:variant>
        <vt:i4>5</vt:i4>
      </vt:variant>
      <vt:variant>
        <vt:lpwstr/>
      </vt:variant>
      <vt:variant>
        <vt:lpwstr>_Toc169260223</vt:lpwstr>
      </vt:variant>
      <vt:variant>
        <vt:i4>1114172</vt:i4>
      </vt:variant>
      <vt:variant>
        <vt:i4>143</vt:i4>
      </vt:variant>
      <vt:variant>
        <vt:i4>0</vt:i4>
      </vt:variant>
      <vt:variant>
        <vt:i4>5</vt:i4>
      </vt:variant>
      <vt:variant>
        <vt:lpwstr/>
      </vt:variant>
      <vt:variant>
        <vt:lpwstr>_Toc169260222</vt:lpwstr>
      </vt:variant>
      <vt:variant>
        <vt:i4>1114172</vt:i4>
      </vt:variant>
      <vt:variant>
        <vt:i4>137</vt:i4>
      </vt:variant>
      <vt:variant>
        <vt:i4>0</vt:i4>
      </vt:variant>
      <vt:variant>
        <vt:i4>5</vt:i4>
      </vt:variant>
      <vt:variant>
        <vt:lpwstr/>
      </vt:variant>
      <vt:variant>
        <vt:lpwstr>_Toc169260221</vt:lpwstr>
      </vt:variant>
      <vt:variant>
        <vt:i4>1114172</vt:i4>
      </vt:variant>
      <vt:variant>
        <vt:i4>131</vt:i4>
      </vt:variant>
      <vt:variant>
        <vt:i4>0</vt:i4>
      </vt:variant>
      <vt:variant>
        <vt:i4>5</vt:i4>
      </vt:variant>
      <vt:variant>
        <vt:lpwstr/>
      </vt:variant>
      <vt:variant>
        <vt:lpwstr>_Toc169260220</vt:lpwstr>
      </vt:variant>
      <vt:variant>
        <vt:i4>1179708</vt:i4>
      </vt:variant>
      <vt:variant>
        <vt:i4>125</vt:i4>
      </vt:variant>
      <vt:variant>
        <vt:i4>0</vt:i4>
      </vt:variant>
      <vt:variant>
        <vt:i4>5</vt:i4>
      </vt:variant>
      <vt:variant>
        <vt:lpwstr/>
      </vt:variant>
      <vt:variant>
        <vt:lpwstr>_Toc169260219</vt:lpwstr>
      </vt:variant>
      <vt:variant>
        <vt:i4>1179708</vt:i4>
      </vt:variant>
      <vt:variant>
        <vt:i4>119</vt:i4>
      </vt:variant>
      <vt:variant>
        <vt:i4>0</vt:i4>
      </vt:variant>
      <vt:variant>
        <vt:i4>5</vt:i4>
      </vt:variant>
      <vt:variant>
        <vt:lpwstr/>
      </vt:variant>
      <vt:variant>
        <vt:lpwstr>_Toc169260218</vt:lpwstr>
      </vt:variant>
      <vt:variant>
        <vt:i4>1179708</vt:i4>
      </vt:variant>
      <vt:variant>
        <vt:i4>113</vt:i4>
      </vt:variant>
      <vt:variant>
        <vt:i4>0</vt:i4>
      </vt:variant>
      <vt:variant>
        <vt:i4>5</vt:i4>
      </vt:variant>
      <vt:variant>
        <vt:lpwstr/>
      </vt:variant>
      <vt:variant>
        <vt:lpwstr>_Toc169260217</vt:lpwstr>
      </vt:variant>
      <vt:variant>
        <vt:i4>1179708</vt:i4>
      </vt:variant>
      <vt:variant>
        <vt:i4>107</vt:i4>
      </vt:variant>
      <vt:variant>
        <vt:i4>0</vt:i4>
      </vt:variant>
      <vt:variant>
        <vt:i4>5</vt:i4>
      </vt:variant>
      <vt:variant>
        <vt:lpwstr/>
      </vt:variant>
      <vt:variant>
        <vt:lpwstr>_Toc169260216</vt:lpwstr>
      </vt:variant>
      <vt:variant>
        <vt:i4>1179708</vt:i4>
      </vt:variant>
      <vt:variant>
        <vt:i4>101</vt:i4>
      </vt:variant>
      <vt:variant>
        <vt:i4>0</vt:i4>
      </vt:variant>
      <vt:variant>
        <vt:i4>5</vt:i4>
      </vt:variant>
      <vt:variant>
        <vt:lpwstr/>
      </vt:variant>
      <vt:variant>
        <vt:lpwstr>_Toc169260215</vt:lpwstr>
      </vt:variant>
      <vt:variant>
        <vt:i4>1179708</vt:i4>
      </vt:variant>
      <vt:variant>
        <vt:i4>95</vt:i4>
      </vt:variant>
      <vt:variant>
        <vt:i4>0</vt:i4>
      </vt:variant>
      <vt:variant>
        <vt:i4>5</vt:i4>
      </vt:variant>
      <vt:variant>
        <vt:lpwstr/>
      </vt:variant>
      <vt:variant>
        <vt:lpwstr>_Toc169260214</vt:lpwstr>
      </vt:variant>
      <vt:variant>
        <vt:i4>1179708</vt:i4>
      </vt:variant>
      <vt:variant>
        <vt:i4>89</vt:i4>
      </vt:variant>
      <vt:variant>
        <vt:i4>0</vt:i4>
      </vt:variant>
      <vt:variant>
        <vt:i4>5</vt:i4>
      </vt:variant>
      <vt:variant>
        <vt:lpwstr/>
      </vt:variant>
      <vt:variant>
        <vt:lpwstr>_Toc169260213</vt:lpwstr>
      </vt:variant>
      <vt:variant>
        <vt:i4>1179708</vt:i4>
      </vt:variant>
      <vt:variant>
        <vt:i4>83</vt:i4>
      </vt:variant>
      <vt:variant>
        <vt:i4>0</vt:i4>
      </vt:variant>
      <vt:variant>
        <vt:i4>5</vt:i4>
      </vt:variant>
      <vt:variant>
        <vt:lpwstr/>
      </vt:variant>
      <vt:variant>
        <vt:lpwstr>_Toc169260212</vt:lpwstr>
      </vt:variant>
      <vt:variant>
        <vt:i4>1179708</vt:i4>
      </vt:variant>
      <vt:variant>
        <vt:i4>77</vt:i4>
      </vt:variant>
      <vt:variant>
        <vt:i4>0</vt:i4>
      </vt:variant>
      <vt:variant>
        <vt:i4>5</vt:i4>
      </vt:variant>
      <vt:variant>
        <vt:lpwstr/>
      </vt:variant>
      <vt:variant>
        <vt:lpwstr>_Toc169260211</vt:lpwstr>
      </vt:variant>
      <vt:variant>
        <vt:i4>1179708</vt:i4>
      </vt:variant>
      <vt:variant>
        <vt:i4>71</vt:i4>
      </vt:variant>
      <vt:variant>
        <vt:i4>0</vt:i4>
      </vt:variant>
      <vt:variant>
        <vt:i4>5</vt:i4>
      </vt:variant>
      <vt:variant>
        <vt:lpwstr/>
      </vt:variant>
      <vt:variant>
        <vt:lpwstr>_Toc169260210</vt:lpwstr>
      </vt:variant>
      <vt:variant>
        <vt:i4>1245244</vt:i4>
      </vt:variant>
      <vt:variant>
        <vt:i4>65</vt:i4>
      </vt:variant>
      <vt:variant>
        <vt:i4>0</vt:i4>
      </vt:variant>
      <vt:variant>
        <vt:i4>5</vt:i4>
      </vt:variant>
      <vt:variant>
        <vt:lpwstr/>
      </vt:variant>
      <vt:variant>
        <vt:lpwstr>_Toc169260209</vt:lpwstr>
      </vt:variant>
      <vt:variant>
        <vt:i4>1245244</vt:i4>
      </vt:variant>
      <vt:variant>
        <vt:i4>59</vt:i4>
      </vt:variant>
      <vt:variant>
        <vt:i4>0</vt:i4>
      </vt:variant>
      <vt:variant>
        <vt:i4>5</vt:i4>
      </vt:variant>
      <vt:variant>
        <vt:lpwstr/>
      </vt:variant>
      <vt:variant>
        <vt:lpwstr>_Toc169260208</vt:lpwstr>
      </vt:variant>
      <vt:variant>
        <vt:i4>1245244</vt:i4>
      </vt:variant>
      <vt:variant>
        <vt:i4>53</vt:i4>
      </vt:variant>
      <vt:variant>
        <vt:i4>0</vt:i4>
      </vt:variant>
      <vt:variant>
        <vt:i4>5</vt:i4>
      </vt:variant>
      <vt:variant>
        <vt:lpwstr/>
      </vt:variant>
      <vt:variant>
        <vt:lpwstr>_Toc169260207</vt:lpwstr>
      </vt:variant>
      <vt:variant>
        <vt:i4>1245244</vt:i4>
      </vt:variant>
      <vt:variant>
        <vt:i4>47</vt:i4>
      </vt:variant>
      <vt:variant>
        <vt:i4>0</vt:i4>
      </vt:variant>
      <vt:variant>
        <vt:i4>5</vt:i4>
      </vt:variant>
      <vt:variant>
        <vt:lpwstr/>
      </vt:variant>
      <vt:variant>
        <vt:lpwstr>_Toc169260206</vt:lpwstr>
      </vt:variant>
      <vt:variant>
        <vt:i4>1245244</vt:i4>
      </vt:variant>
      <vt:variant>
        <vt:i4>41</vt:i4>
      </vt:variant>
      <vt:variant>
        <vt:i4>0</vt:i4>
      </vt:variant>
      <vt:variant>
        <vt:i4>5</vt:i4>
      </vt:variant>
      <vt:variant>
        <vt:lpwstr/>
      </vt:variant>
      <vt:variant>
        <vt:lpwstr>_Toc169260205</vt:lpwstr>
      </vt:variant>
      <vt:variant>
        <vt:i4>1245244</vt:i4>
      </vt:variant>
      <vt:variant>
        <vt:i4>35</vt:i4>
      </vt:variant>
      <vt:variant>
        <vt:i4>0</vt:i4>
      </vt:variant>
      <vt:variant>
        <vt:i4>5</vt:i4>
      </vt:variant>
      <vt:variant>
        <vt:lpwstr/>
      </vt:variant>
      <vt:variant>
        <vt:lpwstr>_Toc169260204</vt:lpwstr>
      </vt:variant>
      <vt:variant>
        <vt:i4>1245244</vt:i4>
      </vt:variant>
      <vt:variant>
        <vt:i4>29</vt:i4>
      </vt:variant>
      <vt:variant>
        <vt:i4>0</vt:i4>
      </vt:variant>
      <vt:variant>
        <vt:i4>5</vt:i4>
      </vt:variant>
      <vt:variant>
        <vt:lpwstr/>
      </vt:variant>
      <vt:variant>
        <vt:lpwstr>_Toc169260203</vt:lpwstr>
      </vt:variant>
      <vt:variant>
        <vt:i4>1245244</vt:i4>
      </vt:variant>
      <vt:variant>
        <vt:i4>23</vt:i4>
      </vt:variant>
      <vt:variant>
        <vt:i4>0</vt:i4>
      </vt:variant>
      <vt:variant>
        <vt:i4>5</vt:i4>
      </vt:variant>
      <vt:variant>
        <vt:lpwstr/>
      </vt:variant>
      <vt:variant>
        <vt:lpwstr>_Toc169260202</vt:lpwstr>
      </vt:variant>
      <vt:variant>
        <vt:i4>1245244</vt:i4>
      </vt:variant>
      <vt:variant>
        <vt:i4>17</vt:i4>
      </vt:variant>
      <vt:variant>
        <vt:i4>0</vt:i4>
      </vt:variant>
      <vt:variant>
        <vt:i4>5</vt:i4>
      </vt:variant>
      <vt:variant>
        <vt:lpwstr/>
      </vt:variant>
      <vt:variant>
        <vt:lpwstr>_Toc169260201</vt:lpwstr>
      </vt:variant>
      <vt:variant>
        <vt:i4>1245244</vt:i4>
      </vt:variant>
      <vt:variant>
        <vt:i4>11</vt:i4>
      </vt:variant>
      <vt:variant>
        <vt:i4>0</vt:i4>
      </vt:variant>
      <vt:variant>
        <vt:i4>5</vt:i4>
      </vt:variant>
      <vt:variant>
        <vt:lpwstr/>
      </vt:variant>
      <vt:variant>
        <vt:lpwstr>_Toc169260200</vt:lpwstr>
      </vt:variant>
      <vt:variant>
        <vt:i4>1703999</vt:i4>
      </vt:variant>
      <vt:variant>
        <vt:i4>5</vt:i4>
      </vt:variant>
      <vt:variant>
        <vt:i4>0</vt:i4>
      </vt:variant>
      <vt:variant>
        <vt:i4>5</vt:i4>
      </vt:variant>
      <vt:variant>
        <vt:lpwstr/>
      </vt:variant>
      <vt:variant>
        <vt:lpwstr>_Toc169260199</vt:lpwstr>
      </vt:variant>
      <vt:variant>
        <vt:i4>2031684</vt:i4>
      </vt:variant>
      <vt:variant>
        <vt:i4>0</vt:i4>
      </vt:variant>
      <vt:variant>
        <vt:i4>0</vt:i4>
      </vt:variant>
      <vt:variant>
        <vt:i4>5</vt:i4>
      </vt:variant>
      <vt:variant>
        <vt:lpwstr>https://prognozes.em.gov.lv/</vt:lpwstr>
      </vt:variant>
      <vt:variant>
        <vt:lpwstr/>
      </vt:variant>
      <vt:variant>
        <vt:i4>458760</vt:i4>
      </vt:variant>
      <vt:variant>
        <vt:i4>48</vt:i4>
      </vt:variant>
      <vt:variant>
        <vt:i4>0</vt:i4>
      </vt:variant>
      <vt:variant>
        <vt:i4>5</vt:i4>
      </vt:variant>
      <vt:variant>
        <vt:lpwstr>https://likumi.lv/ta/id/325828-par-socialas-aizsardzibas-un-darba-tirgus-politikas-pamatnostadnem-2021-2027-gadam</vt:lpwstr>
      </vt:variant>
      <vt:variant>
        <vt:lpwstr/>
      </vt:variant>
      <vt:variant>
        <vt:i4>5439580</vt:i4>
      </vt:variant>
      <vt:variant>
        <vt:i4>45</vt:i4>
      </vt:variant>
      <vt:variant>
        <vt:i4>0</vt:i4>
      </vt:variant>
      <vt:variant>
        <vt:i4>5</vt:i4>
      </vt:variant>
      <vt:variant>
        <vt:lpwstr>https://petijumi.mk.gov.lv/node/3417</vt:lpwstr>
      </vt:variant>
      <vt:variant>
        <vt:lpwstr/>
      </vt:variant>
      <vt:variant>
        <vt:i4>3997818</vt:i4>
      </vt:variant>
      <vt:variant>
        <vt:i4>42</vt:i4>
      </vt:variant>
      <vt:variant>
        <vt:i4>0</vt:i4>
      </vt:variant>
      <vt:variant>
        <vt:i4>5</vt:i4>
      </vt:variant>
      <vt:variant>
        <vt:lpwstr>https://likumi.lv/ta/id/324332-par-izglitibas-attistibas-pamatnostadnem-20212027-gadam</vt:lpwstr>
      </vt:variant>
      <vt:variant>
        <vt:lpwstr/>
      </vt:variant>
      <vt:variant>
        <vt:i4>1638499</vt:i4>
      </vt:variant>
      <vt:variant>
        <vt:i4>39</vt:i4>
      </vt:variant>
      <vt:variant>
        <vt:i4>0</vt:i4>
      </vt:variant>
      <vt:variant>
        <vt:i4>5</vt:i4>
      </vt:variant>
      <vt:variant>
        <vt:lpwstr>https://tapportals.mk.gov.lv/legal_acts/3ee763e4-6022-41f5-a3d9-3055fdf261cb</vt:lpwstr>
      </vt:variant>
      <vt:variant>
        <vt:lpwstr/>
      </vt:variant>
      <vt:variant>
        <vt:i4>1179658</vt:i4>
      </vt:variant>
      <vt:variant>
        <vt:i4>36</vt:i4>
      </vt:variant>
      <vt:variant>
        <vt:i4>0</vt:i4>
      </vt:variant>
      <vt:variant>
        <vt:i4>5</vt:i4>
      </vt:variant>
      <vt:variant>
        <vt:lpwstr>https://www.em.gov.lv/lv/media/14720/download?attachment</vt:lpwstr>
      </vt:variant>
      <vt:variant>
        <vt:lpwstr/>
      </vt:variant>
      <vt:variant>
        <vt:i4>7274556</vt:i4>
      </vt:variant>
      <vt:variant>
        <vt:i4>33</vt:i4>
      </vt:variant>
      <vt:variant>
        <vt:i4>0</vt:i4>
      </vt:variant>
      <vt:variant>
        <vt:i4>5</vt:i4>
      </vt:variant>
      <vt:variant>
        <vt:lpwstr>https://eur-lex.europa.eu/legal-content/LV/TXT/?qid=1588580774040&amp;uri=CELEX:52019DC0640</vt:lpwstr>
      </vt:variant>
      <vt:variant>
        <vt:lpwstr/>
      </vt:variant>
      <vt:variant>
        <vt:i4>4653110</vt:i4>
      </vt:variant>
      <vt:variant>
        <vt:i4>30</vt:i4>
      </vt:variant>
      <vt:variant>
        <vt:i4>0</vt:i4>
      </vt:variant>
      <vt:variant>
        <vt:i4>5</vt:i4>
      </vt:variant>
      <vt:variant>
        <vt:lpwstr>https://ec.europa.eu/info/strategy/priorities-2019-2024/european-green-deal_lv</vt:lpwstr>
      </vt:variant>
      <vt:variant>
        <vt:lpwstr/>
      </vt:variant>
      <vt:variant>
        <vt:i4>2883627</vt:i4>
      </vt:variant>
      <vt:variant>
        <vt:i4>27</vt:i4>
      </vt:variant>
      <vt:variant>
        <vt:i4>0</vt:i4>
      </vt:variant>
      <vt:variant>
        <vt:i4>5</vt:i4>
      </vt:variant>
      <vt:variant>
        <vt:lpwstr>http://www.jscholaronline.org/full-text/JNSM/e101/Smart-materials-from-nanotechnology-for-global-challenges.php</vt:lpwstr>
      </vt:variant>
      <vt:variant>
        <vt:lpwstr/>
      </vt:variant>
      <vt:variant>
        <vt:i4>6094970</vt:i4>
      </vt:variant>
      <vt:variant>
        <vt:i4>24</vt:i4>
      </vt:variant>
      <vt:variant>
        <vt:i4>0</vt:i4>
      </vt:variant>
      <vt:variant>
        <vt:i4>5</vt:i4>
      </vt:variant>
      <vt:variant>
        <vt:lpwstr>https://www.researchgate.net/publication/273515631_The_Grand_Challenges_in_Smart_Materials_Research</vt:lpwstr>
      </vt:variant>
      <vt:variant>
        <vt:lpwstr/>
      </vt:variant>
      <vt:variant>
        <vt:i4>917591</vt:i4>
      </vt:variant>
      <vt:variant>
        <vt:i4>21</vt:i4>
      </vt:variant>
      <vt:variant>
        <vt:i4>0</vt:i4>
      </vt:variant>
      <vt:variant>
        <vt:i4>5</vt:i4>
      </vt:variant>
      <vt:variant>
        <vt:lpwstr>https://www.em.gov.lv/lv/industriala-politika</vt:lpwstr>
      </vt:variant>
      <vt:variant>
        <vt:lpwstr/>
      </vt:variant>
      <vt:variant>
        <vt:i4>4259929</vt:i4>
      </vt:variant>
      <vt:variant>
        <vt:i4>18</vt:i4>
      </vt:variant>
      <vt:variant>
        <vt:i4>0</vt:i4>
      </vt:variant>
      <vt:variant>
        <vt:i4>5</vt:i4>
      </vt:variant>
      <vt:variant>
        <vt:lpwstr>https://pkc.gov.lv/lv/nap2027</vt:lpwstr>
      </vt:variant>
      <vt:variant>
        <vt:lpwstr/>
      </vt:variant>
      <vt:variant>
        <vt:i4>65603</vt:i4>
      </vt:variant>
      <vt:variant>
        <vt:i4>15</vt:i4>
      </vt:variant>
      <vt:variant>
        <vt:i4>0</vt:i4>
      </vt:variant>
      <vt:variant>
        <vt:i4>5</vt:i4>
      </vt:variant>
      <vt:variant>
        <vt:lpwstr>https://pkc.gov.lv/lv/valsts-attistibas-planosana/latvijas-ilgtspejigas-attistibas-strategija</vt:lpwstr>
      </vt:variant>
      <vt:variant>
        <vt:lpwstr/>
      </vt:variant>
      <vt:variant>
        <vt:i4>3670034</vt:i4>
      </vt:variant>
      <vt:variant>
        <vt:i4>12</vt:i4>
      </vt:variant>
      <vt:variant>
        <vt:i4>0</vt:i4>
      </vt:variant>
      <vt:variant>
        <vt:i4>5</vt:i4>
      </vt:variant>
      <vt:variant>
        <vt:lpwstr>https://em.gov.lv/files/attachments/DarbaTirgus_Gala zinojums.pdf</vt:lpwstr>
      </vt:variant>
      <vt:variant>
        <vt:lpwstr/>
      </vt:variant>
      <vt:variant>
        <vt:i4>5439568</vt:i4>
      </vt:variant>
      <vt:variant>
        <vt:i4>9</vt:i4>
      </vt:variant>
      <vt:variant>
        <vt:i4>0</vt:i4>
      </vt:variant>
      <vt:variant>
        <vt:i4>5</vt:i4>
      </vt:variant>
      <vt:variant>
        <vt:lpwstr>https://www.em.gov.lv/files/tautsaimniecibas_attistiba/Dokumentacija_Lat.pdf</vt:lpwstr>
      </vt:variant>
      <vt:variant>
        <vt:lpwstr/>
      </vt:variant>
      <vt:variant>
        <vt:i4>2949132</vt:i4>
      </vt:variant>
      <vt:variant>
        <vt:i4>6</vt:i4>
      </vt:variant>
      <vt:variant>
        <vt:i4>0</vt:i4>
      </vt:variant>
      <vt:variant>
        <vt:i4>5</vt:i4>
      </vt:variant>
      <vt:variant>
        <vt:lpwstr>http://www.lm.gov.lv/upload/darba_tirgus/darba_tirgus/petijumi/ilgtermina_prognozesana.pdf</vt:lpwstr>
      </vt:variant>
      <vt:variant>
        <vt:lpwstr/>
      </vt:variant>
      <vt:variant>
        <vt:i4>3014697</vt:i4>
      </vt:variant>
      <vt:variant>
        <vt:i4>3</vt:i4>
      </vt:variant>
      <vt:variant>
        <vt:i4>0</vt:i4>
      </vt:variant>
      <vt:variant>
        <vt:i4>5</vt:i4>
      </vt:variant>
      <vt:variant>
        <vt:lpwstr>https://www.saeima.lv/petijumi/Pieauguso_izglitiba_petijums.pdf</vt:lpwstr>
      </vt:variant>
      <vt:variant>
        <vt:lpwstr/>
      </vt:variant>
      <vt:variant>
        <vt:i4>7864355</vt:i4>
      </vt:variant>
      <vt:variant>
        <vt:i4>0</vt:i4>
      </vt:variant>
      <vt:variant>
        <vt:i4>0</vt:i4>
      </vt:variant>
      <vt:variant>
        <vt:i4>5</vt:i4>
      </vt:variant>
      <vt:variant>
        <vt:lpwstr>https://likumi.lv/ta/id/266406-par-izglitibas-attistibas-pamatnostadnu-20142020gadam-apstiprinasanu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Ozols</dc:creator>
  <cp:keywords/>
  <dc:description/>
  <cp:lastModifiedBy>EM</cp:lastModifiedBy>
  <cp:revision>7</cp:revision>
  <cp:lastPrinted>2022-06-27T22:02:00Z</cp:lastPrinted>
  <dcterms:created xsi:type="dcterms:W3CDTF">2024-11-27T15:13:00Z</dcterms:created>
  <dcterms:modified xsi:type="dcterms:W3CDTF">2024-11-29T07:44:00Z</dcterms:modified>
</cp:coreProperties>
</file>