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02290" w:rsidP="00A13B32" w:rsidRDefault="00E920D4" w14:paraId="4CA8B660" w14:textId="322CF61E">
      <w:pPr>
        <w:jc w:val="center"/>
        <w:rPr>
          <w:b/>
          <w:bCs/>
        </w:rPr>
      </w:pPr>
      <w:bookmarkStart w:name="_Hlk46742949" w:id="0"/>
      <w:r w:rsidRPr="2B3E1191">
        <w:rPr>
          <w:b/>
          <w:bCs/>
        </w:rPr>
        <w:t>Latvijas Republikas nacionālā pozīcija Nr. 1 “</w:t>
      </w:r>
      <w:r w:rsidRPr="00986D88" w:rsidR="00986D88">
        <w:rPr>
          <w:b/>
          <w:bCs/>
        </w:rPr>
        <w:t>Priekšlikums Eiropas Parlamenta un Padomes Direktīvai, ar ko groza Padomes Direktīvu 92/106/EEK attiecībā uz atbalsta sistēmu intermodālajiem kravu pārvadājumiem un Eiropas Parlamenta un Padomes Regulu (ES) 2020/1056 attiecībā uz ārējo izmaksu ietaupījuma aprēķiniem un apkopoto datu ģenerēšanu</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1CA628EE">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986D88" w:rsidR="00986D88">
        <w:rPr>
          <w:b/>
          <w:bCs/>
        </w:rPr>
        <w:t>Priekšlikums Eiropas Parlamenta un Padomes Direktīvai, ar ko groza Padomes Direktīvu 92/106/EEK attiecībā uz atbalsta sistēmu intermodālajiem kravu pārvadājumiem un Eiropas Parlamenta un Padomes Regulu (ES) 2020/1056 attiecībā uz ārējo izmaksu ietaupījuma aprēķiniem un apkopoto datu ģenerēšanu</w:t>
      </w:r>
      <w:r w:rsidRPr="00AD53ED" w:rsidR="00AD53ED">
        <w:rPr>
          <w:b/>
          <w:bCs/>
        </w:rPr>
        <w:t>”</w:t>
      </w:r>
      <w:r w:rsidRPr="2B3E1191" w:rsidR="003B7F13">
        <w:rPr>
          <w:b/>
          <w:bCs/>
        </w:rPr>
        <w:t>.</w:t>
      </w:r>
    </w:p>
    <w:p w:rsidR="00C37347" w:rsidP="2B3E1191" w:rsidRDefault="0035318A" w14:paraId="1EE9BE53" w14:textId="60FE3B7A">
      <w:pPr>
        <w:ind w:firstLine="720"/>
        <w:jc w:val="both"/>
        <w:rPr>
          <w:color w:val="000000" w:themeColor="text1"/>
        </w:rPr>
      </w:pPr>
      <w:r w:rsidRPr="00DF1050">
        <w:rPr>
          <w:color w:val="000000" w:themeColor="text1"/>
        </w:rPr>
        <w:t>P</w:t>
      </w:r>
      <w:r w:rsidRPr="00DF1050"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00DF1050" w:rsidR="00030A24">
        <w:rPr>
          <w:color w:val="000000" w:themeColor="text1"/>
        </w:rPr>
        <w:t xml:space="preserve"> </w:t>
      </w:r>
      <w:r w:rsidRPr="00DF1050"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CA6736" w:rsidR="00CA6736">
        <w:rPr>
          <w:color w:val="000000" w:themeColor="text1"/>
        </w:rPr>
        <w:t>Ārlietu ministriju, Finanšu ministriju, Vides aizsardzības un reģionālās attīstības ministriju, Klimata un enerģētikas ministriju</w:t>
      </w:r>
      <w:r w:rsidR="00CA6736">
        <w:rPr>
          <w:color w:val="000000" w:themeColor="text1"/>
        </w:rPr>
        <w:t>.</w:t>
      </w:r>
    </w:p>
    <w:p w:rsidR="00F94F11" w:rsidP="2B3E1191" w:rsidRDefault="00F94F11" w14:paraId="62E352A7" w14:textId="58AE0FB6">
      <w:pPr>
        <w:ind w:firstLine="720"/>
        <w:jc w:val="both"/>
        <w:rPr>
          <w:color w:val="000000" w:themeColor="text1"/>
        </w:rPr>
      </w:pPr>
      <w:r w:rsidRPr="00F94F11">
        <w:rPr>
          <w:color w:val="000000" w:themeColor="text1"/>
        </w:rPr>
        <w:t>Priekšlikums izstrādāts ņemot vērā nosprausto Eiropas Savienības (turpmāk tekstā – ES) līdz 2050. gadam samazināt transporta radītās samazināt siltumnīcefekta gāzu (turpmāk tekstā – SEG) emisijas par 90 %, lai sasniegtu klimata neitralitāti. Eiropas Zaļā Kusa aicinājums ir pārcelt 75 % no iekšzemes kravu pārvadājumiem ar autotransportu pārcelt uz dzelzceļu un iekšzemes ūdensceļiem</w:t>
      </w:r>
      <w:r>
        <w:rPr>
          <w:color w:val="000000" w:themeColor="text1"/>
        </w:rPr>
        <w:t>.</w:t>
      </w:r>
      <w:r w:rsidRPr="00F94F11">
        <w:rPr>
          <w:color w:val="000000" w:themeColor="text1"/>
        </w:rPr>
        <w:t xml:space="preserve"> Lai samazinātu savu atkarību no fosilā kurināmā, ES ir arī jāuzlabo energoefektivitāte, kā uzsvērts </w:t>
      </w:r>
      <w:r w:rsidRPr="00F94F11">
        <w:rPr>
          <w:i/>
          <w:iCs/>
          <w:color w:val="000000" w:themeColor="text1"/>
        </w:rPr>
        <w:t>REPowerEU</w:t>
      </w:r>
      <w:r w:rsidRPr="00F94F11">
        <w:rPr>
          <w:color w:val="000000" w:themeColor="text1"/>
        </w:rPr>
        <w:t xml:space="preserve"> tiesību aktos, </w:t>
      </w:r>
      <w:r>
        <w:rPr>
          <w:color w:val="000000" w:themeColor="text1"/>
        </w:rPr>
        <w:t xml:space="preserve">kur </w:t>
      </w:r>
      <w:r w:rsidRPr="00F94F11">
        <w:rPr>
          <w:color w:val="000000" w:themeColor="text1"/>
        </w:rPr>
        <w:t>Kombinētā transporta direktīvas (</w:t>
      </w:r>
      <w:r w:rsidR="00341209">
        <w:rPr>
          <w:color w:val="000000" w:themeColor="text1"/>
        </w:rPr>
        <w:t>Kombinētā direktīva</w:t>
      </w:r>
      <w:r w:rsidRPr="00F94F11">
        <w:rPr>
          <w:color w:val="000000" w:themeColor="text1"/>
        </w:rPr>
        <w:t>) pārskatīšana ir minēts kā svarīga instruments šajā sakarā.</w:t>
      </w:r>
    </w:p>
    <w:p w:rsidR="00F94F11" w:rsidP="00341209" w:rsidRDefault="00F94F11" w14:paraId="3C03C619" w14:textId="5F735675">
      <w:pPr>
        <w:ind w:firstLine="720"/>
        <w:jc w:val="both"/>
        <w:rPr>
          <w:color w:val="000000" w:themeColor="text1"/>
        </w:rPr>
      </w:pPr>
      <w:r w:rsidRPr="00F94F11">
        <w:rPr>
          <w:color w:val="000000" w:themeColor="text1"/>
        </w:rPr>
        <w:t xml:space="preserve">Šobrīd 1992. gadā </w:t>
      </w:r>
      <w:r w:rsidR="00341209">
        <w:rPr>
          <w:color w:val="000000" w:themeColor="text1"/>
        </w:rPr>
        <w:t>pieņemtā Kombinētā direktīva</w:t>
      </w:r>
      <w:r w:rsidRPr="00F94F11">
        <w:rPr>
          <w:color w:val="000000" w:themeColor="text1"/>
        </w:rPr>
        <w:t xml:space="preserve"> ir vienīgais juridiskais instruments</w:t>
      </w:r>
      <w:r w:rsidR="00341209">
        <w:rPr>
          <w:color w:val="000000" w:themeColor="text1"/>
        </w:rPr>
        <w:t xml:space="preserve"> </w:t>
      </w:r>
      <w:r w:rsidR="00CB3102">
        <w:rPr>
          <w:color w:val="000000" w:themeColor="text1"/>
        </w:rPr>
        <w:t>ES</w:t>
      </w:r>
      <w:r w:rsidRPr="00F94F11">
        <w:rPr>
          <w:color w:val="000000" w:themeColor="text1"/>
        </w:rPr>
        <w:t xml:space="preserve">, kas tieši atbalsta intermodālos pārvadājumus un veicina pāreju no autopārvadājumiem uz mazāku emisiju transporta veidiem. Spēkā esošajā </w:t>
      </w:r>
      <w:r w:rsidR="00341209">
        <w:rPr>
          <w:color w:val="000000" w:themeColor="text1"/>
        </w:rPr>
        <w:t>Kombinētajā direktīvā</w:t>
      </w:r>
      <w:r w:rsidRPr="00F94F11" w:rsidR="00341209">
        <w:rPr>
          <w:color w:val="000000" w:themeColor="text1"/>
        </w:rPr>
        <w:t xml:space="preserve"> </w:t>
      </w:r>
      <w:r w:rsidRPr="00F94F11">
        <w:rPr>
          <w:color w:val="000000" w:themeColor="text1"/>
        </w:rPr>
        <w:t xml:space="preserve">tiesības uz priekšrocībām ir balstītas uz ģeogrāfiskiem attāluma ierobežojumiem dažādās kombinētā transporta darbības daļās. Šāda pieeja “kombinēto pārvadājumu operāciju” definēšanai nepietiekami atbalsta ārējo izmaksu samazināšanas mērķi un tiek atzīta par nepietiekami mērķtiecīgu. Tādēļ tiek piedāvāts sniegto atbalstu attiecināt tikai uz intermodālajiem pārvadājumiem, kas nodrošina pietiekamu ārējo izmaksu ietaupījumu un ļauj optimāli izmantot transporta tīklu. Tiek paredzēts 40 % ietaupījuma slieksnis no ārējām izmaksām, tostarp SEG emisijām, gaisa piesārņojuma, ievainojumiem un nāves gadījumiem, trokšņa un sastrēgumiem attiecībā uz intermodālo pārvadājumu operāciju salīdzinājumā ar komerciāli dzīvotspējīgu alternatīvu unimodālu ceļu darbību. Šim slieksnim būtu jāļauj gūt labumu visām transporta veidu kombinācijām, vienlaikus nodrošinot, ka dzelzceļš, iekšzemes ūdensceļi un tuvsatiksmes kuģošanas posmi veido lielāko intermodālās darbības daļu. </w:t>
      </w:r>
    </w:p>
    <w:p w:rsidR="00F94F11" w:rsidP="2B3E1191" w:rsidRDefault="00341209" w14:paraId="08EBDD69" w14:textId="3BA963DE">
      <w:pPr>
        <w:ind w:firstLine="720"/>
        <w:jc w:val="both"/>
        <w:rPr>
          <w:color w:val="000000" w:themeColor="text1"/>
        </w:rPr>
      </w:pPr>
      <w:r>
        <w:rPr>
          <w:color w:val="000000" w:themeColor="text1"/>
        </w:rPr>
        <w:t>Līdz ar to Eiropas Komisija ir nākusi klajā ar Direktīvas projektu</w:t>
      </w:r>
      <w:r w:rsidRPr="00F94F11" w:rsidR="00F94F11">
        <w:rPr>
          <w:color w:val="000000" w:themeColor="text1"/>
        </w:rPr>
        <w:t xml:space="preserve">, kas paredz fokusēties uz </w:t>
      </w:r>
      <w:r w:rsidR="00F94F11">
        <w:rPr>
          <w:color w:val="000000" w:themeColor="text1"/>
        </w:rPr>
        <w:t xml:space="preserve">atbalsta nosacījumiem un ietvariem, tirgus darbības pārredzamību, </w:t>
      </w:r>
      <w:r w:rsidR="007421EB">
        <w:rPr>
          <w:color w:val="000000" w:themeColor="text1"/>
        </w:rPr>
        <w:t xml:space="preserve">kā arī termināļu caurspīdīguma prasībām, lai nodrošinātu, ka </w:t>
      </w:r>
      <w:r w:rsidRPr="007421EB" w:rsidR="007421EB">
        <w:rPr>
          <w:color w:val="000000" w:themeColor="text1"/>
        </w:rPr>
        <w:t>vis</w:t>
      </w:r>
      <w:r w:rsidR="007421EB">
        <w:rPr>
          <w:color w:val="000000" w:themeColor="text1"/>
        </w:rPr>
        <w:t>u</w:t>
      </w:r>
      <w:r w:rsidRPr="007421EB" w:rsidR="007421EB">
        <w:rPr>
          <w:color w:val="000000" w:themeColor="text1"/>
        </w:rPr>
        <w:t xml:space="preserve"> termināļ</w:t>
      </w:r>
      <w:r w:rsidR="007421EB">
        <w:rPr>
          <w:color w:val="000000" w:themeColor="text1"/>
        </w:rPr>
        <w:t>u</w:t>
      </w:r>
      <w:r w:rsidRPr="007421EB" w:rsidR="007421EB">
        <w:rPr>
          <w:color w:val="000000" w:themeColor="text1"/>
        </w:rPr>
        <w:t xml:space="preserve"> </w:t>
      </w:r>
      <w:r w:rsidR="007421EB">
        <w:rPr>
          <w:color w:val="000000" w:themeColor="text1"/>
        </w:rPr>
        <w:t>dati</w:t>
      </w:r>
      <w:r w:rsidRPr="007421EB" w:rsidR="007421EB">
        <w:rPr>
          <w:color w:val="000000" w:themeColor="text1"/>
        </w:rPr>
        <w:t xml:space="preserve"> par termināļu iekārtām un pakalpojumiem</w:t>
      </w:r>
      <w:r w:rsidR="007421EB">
        <w:rPr>
          <w:color w:val="000000" w:themeColor="text1"/>
        </w:rPr>
        <w:t xml:space="preserve"> ir publiski pieejami. Vienlaikus i</w:t>
      </w:r>
      <w:r w:rsidRPr="00F94F11" w:rsidR="00F94F11">
        <w:rPr>
          <w:color w:val="000000" w:themeColor="text1"/>
        </w:rPr>
        <w:t>ntermodālā operācija direktīvas priekšlikumā ir attiecināma uz pārvadājumiem ES teritorijā, gan tiem, kas sākās un beidzās ES iekšienē, gan tiem, kuru sākotnējais un/vai beidzamais punkts ir ārpus ES teritorijas. Intermodālā operācija var notikt arī tranzītā caur valsti, kas nav ES dalīb</w:t>
      </w:r>
      <w:r w:rsidR="007421EB">
        <w:rPr>
          <w:color w:val="000000" w:themeColor="text1"/>
        </w:rPr>
        <w:t>v</w:t>
      </w:r>
      <w:r w:rsidRPr="00F94F11" w:rsidR="00F94F11">
        <w:rPr>
          <w:color w:val="000000" w:themeColor="text1"/>
        </w:rPr>
        <w:t>alsts.</w:t>
      </w:r>
      <w:r w:rsidR="00F94F11">
        <w:rPr>
          <w:color w:val="000000" w:themeColor="text1"/>
        </w:rPr>
        <w:t xml:space="preserve"> </w:t>
      </w:r>
    </w:p>
    <w:p w:rsidR="007421EB" w:rsidP="0032672D" w:rsidRDefault="007421EB" w14:paraId="75DC85DB" w14:textId="0142C3C8">
      <w:pPr>
        <w:ind w:firstLine="720"/>
        <w:jc w:val="both"/>
      </w:pPr>
      <w:r>
        <w:rPr>
          <w:color w:val="000000" w:themeColor="text1"/>
        </w:rPr>
        <w:t>Latvija</w:t>
      </w:r>
      <w:r w:rsidRPr="007421EB">
        <w:t xml:space="preserve"> </w:t>
      </w:r>
      <w:r w:rsidRPr="007421EB">
        <w:rPr>
          <w:b/>
          <w:bCs/>
          <w:color w:val="000000" w:themeColor="text1"/>
        </w:rPr>
        <w:t>kopumā atbalsta priekšlikumu</w:t>
      </w:r>
      <w:r>
        <w:rPr>
          <w:color w:val="000000" w:themeColor="text1"/>
        </w:rPr>
        <w:t xml:space="preserve">, jo tas paredz ES </w:t>
      </w:r>
      <w:r w:rsidRPr="00F3180E">
        <w:t>regulējuma pilnveidošanu</w:t>
      </w:r>
      <w:r>
        <w:t xml:space="preserve">. Vienlaikus </w:t>
      </w:r>
      <w:r w:rsidRPr="007421EB">
        <w:t>Latvija uzskata, ka šis priekšlikums ir jāskata paralēli un koordinēt</w:t>
      </w:r>
      <w:r>
        <w:t>i</w:t>
      </w:r>
      <w:r w:rsidRPr="007421EB">
        <w:t xml:space="preserve"> ar citām iniciatīvām par kurām notiek diskusijas, kā piemēram, dzelzceļa jaudas pārvaldīšanu, grozījumiem masu un gabarītu direktīvas autotransportā u.c.</w:t>
      </w:r>
    </w:p>
    <w:p w:rsidRPr="00CA6736" w:rsidR="00867BCF" w:rsidP="2B3E1191" w:rsidRDefault="00867BCF" w14:paraId="37D16309" w14:textId="142614FF">
      <w:pPr>
        <w:ind w:firstLine="720"/>
        <w:jc w:val="both"/>
        <w:rPr>
          <w:color w:val="000000" w:themeColor="text1"/>
          <w:highlight w:val="yellow"/>
        </w:rPr>
      </w:pPr>
      <w:r w:rsidRPr="00867BCF">
        <w:rPr>
          <w:color w:val="000000" w:themeColor="text1"/>
        </w:rPr>
        <w:t>Jautājums tiks skatīts Padomes Starpnozaru jautājumu darba grupā</w:t>
      </w:r>
    </w:p>
    <w:p w:rsidR="000630CA" w:rsidP="2B3E1191" w:rsidRDefault="000630CA" w14:paraId="2FA0180D" w14:textId="77777777"/>
    <w:p w:rsidR="002A27D9" w:rsidP="2B3E1191" w:rsidRDefault="002A27D9" w14:paraId="3D691D8C" w14:textId="3CBABB09">
      <w:pPr>
        <w:ind w:left="720"/>
      </w:pPr>
      <w:r w:rsidRPr="2B3E1191">
        <w:t>Satiksmes ministrs</w:t>
      </w:r>
      <w:r>
        <w:tab/>
      </w:r>
      <w:r>
        <w:tab/>
      </w:r>
      <w:r>
        <w:tab/>
      </w:r>
      <w:r>
        <w:tab/>
      </w:r>
      <w:r>
        <w:tab/>
      </w:r>
      <w:r>
        <w:tab/>
      </w:r>
      <w:r>
        <w:tab/>
      </w:r>
      <w:r w:rsidR="005F03EC">
        <w:t>K. Briškens</w:t>
      </w:r>
      <w:r w:rsidRPr="2B3E1191">
        <w:t xml:space="preserve">  </w:t>
      </w:r>
    </w:p>
    <w:p w:rsidR="000630CA" w:rsidP="2B3E1191" w:rsidRDefault="000630CA" w14:paraId="1BB4ADD9" w14:textId="77777777"/>
    <w:p w:rsidR="007162BE" w:rsidP="007162BE" w:rsidRDefault="007162BE" w14:paraId="1B2D04CE" w14:textId="77777777">
      <w:pPr>
        <w:ind w:firstLine="720"/>
      </w:pPr>
      <w:r>
        <w:t>Vizē:</w:t>
      </w:r>
    </w:p>
    <w:p w:rsidR="007162BE" w:rsidP="007162BE" w:rsidRDefault="007162BE" w14:paraId="291E0BB5" w14:textId="77777777">
      <w:r>
        <w:tab/>
        <w:t xml:space="preserve">Valsts sekretāres vietā – </w:t>
      </w:r>
    </w:p>
    <w:p w:rsidR="007162BE" w:rsidP="007162BE" w:rsidRDefault="007162BE" w14:paraId="00B3F36D" w14:textId="79F15AED">
      <w:r>
        <w:tab/>
        <w:t>Valsts sekretāres vietniece</w:t>
      </w:r>
      <w:r>
        <w:tab/>
      </w:r>
      <w:r>
        <w:tab/>
      </w:r>
      <w:r>
        <w:tab/>
      </w:r>
      <w:r>
        <w:tab/>
      </w:r>
      <w:r>
        <w:tab/>
      </w:r>
      <w:r>
        <w:tab/>
        <w:t>L.Austrupe</w:t>
      </w:r>
    </w:p>
    <w:p w:rsidR="003F634E" w:rsidP="2B3E1191" w:rsidRDefault="003F634E" w14:paraId="1ED871D6" w14:textId="77777777">
      <w:pPr>
        <w:ind w:firstLine="720"/>
      </w:pPr>
    </w:p>
    <w:p w:rsidR="003F634E" w:rsidP="2B3E1191" w:rsidRDefault="003F634E" w14:paraId="74BA8012" w14:textId="77777777">
      <w:pPr>
        <w:ind w:firstLine="720"/>
      </w:pPr>
    </w:p>
    <w:p w:rsidRPr="00000F43" w:rsidR="00014887" w:rsidP="2B3E1191" w:rsidRDefault="00014887" w14:paraId="33F55606" w14:textId="1BA00BBF">
      <w:pPr>
        <w:ind w:firstLine="720"/>
      </w:pPr>
      <w:r w:rsidRPr="00000F43">
        <w:tab/>
      </w:r>
      <w:r w:rsidRPr="2B3E1191">
        <w:t xml:space="preserve"> </w:t>
      </w:r>
    </w:p>
    <w:p w:rsidRPr="00B81753" w:rsidR="00000F43" w:rsidP="2B3E1191" w:rsidRDefault="00000F43" w14:paraId="4695A0AD" w14:textId="0E9D2D34">
      <w:pPr>
        <w:ind w:firstLine="720"/>
        <w:rPr>
          <w:sz w:val="16"/>
          <w:szCs w:val="16"/>
        </w:rPr>
      </w:pPr>
      <w:r w:rsidRPr="00B81753">
        <w:rPr>
          <w:sz w:val="16"/>
          <w:szCs w:val="16"/>
        </w:rPr>
        <w:t>Evita Nagle</w:t>
      </w:r>
    </w:p>
    <w:p w:rsidRPr="00B81753" w:rsidR="00000F43" w:rsidP="00F02660" w:rsidRDefault="00000F43" w14:paraId="4ADA16C7" w14:textId="6D4F1E3F">
      <w:pPr>
        <w:tabs>
          <w:tab w:val="right" w:pos="9638"/>
        </w:tabs>
        <w:ind w:firstLine="720"/>
        <w:rPr>
          <w:sz w:val="16"/>
          <w:szCs w:val="16"/>
        </w:rPr>
      </w:pPr>
      <w:r w:rsidRPr="00B81753">
        <w:rPr>
          <w:sz w:val="16"/>
          <w:szCs w:val="16"/>
        </w:rPr>
        <w:t>Tel. 67028190</w:t>
      </w:r>
      <w:r w:rsidR="00B81753">
        <w:rPr>
          <w:sz w:val="16"/>
          <w:szCs w:val="16"/>
        </w:rPr>
        <w:t>;</w:t>
      </w:r>
      <w:r w:rsidRPr="00B81753" w:rsidR="00AD53ED">
        <w:rPr>
          <w:sz w:val="16"/>
          <w:szCs w:val="16"/>
        </w:rPr>
        <w:t xml:space="preserve"> </w:t>
      </w:r>
      <w:r w:rsidRPr="00B81753">
        <w:rPr>
          <w:sz w:val="16"/>
          <w:szCs w:val="16"/>
        </w:rPr>
        <w:t xml:space="preserve">Evita.nagle@sam.gov.lv </w:t>
      </w:r>
      <w:r w:rsidR="00F02660">
        <w:rPr>
          <w:sz w:val="16"/>
          <w:szCs w:val="16"/>
        </w:rPr>
        <w:tab/>
      </w:r>
    </w:p>
    <w:sectPr w:rsidRPr="00B81753" w:rsidR="00000F43" w:rsidSect="007A3165">
      <w:footerReference w:type="even" r:id="rId8"/>
      <w:footerReference w:type="default" r:id="rId9"/>
      <w:footerReference w:type="firs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1C555" w14:textId="77777777" w:rsidR="007A3165" w:rsidRDefault="007A3165" w:rsidP="002A27D9">
      <w:r>
        <w:separator/>
      </w:r>
    </w:p>
  </w:endnote>
  <w:endnote w:type="continuationSeparator" w:id="0">
    <w:p w14:paraId="635FA10C" w14:textId="77777777" w:rsidR="007A3165" w:rsidRDefault="007A3165"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E121F2"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E121F2" w:rsidRDefault="00E121F2"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663436"/>
      <w:docPartObj>
        <w:docPartGallery w:val="Page Numbers (Bottom of Page)"/>
        <w:docPartUnique/>
      </w:docPartObj>
    </w:sdtPr>
    <w:sdtEndPr>
      <w:rPr>
        <w:noProof/>
      </w:rPr>
    </w:sdtEndPr>
    <w:sdtContent>
      <w:p w14:paraId="7154CFF4" w14:textId="77777777" w:rsidR="001601B7" w:rsidRDefault="001601B7">
        <w:pPr>
          <w:pStyle w:val="Footer"/>
          <w:jc w:val="right"/>
        </w:pPr>
      </w:p>
      <w:p w14:paraId="309994E5" w14:textId="6D33DF94" w:rsidR="006916A6" w:rsidRDefault="006916A6">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sidR="00764A62">
          <w:rPr>
            <w:noProof/>
          </w:rPr>
          <w:t>2</w:t>
        </w:r>
      </w:p>
    </w:sdtContent>
  </w:sdt>
  <w:p w14:paraId="48C510D4" w14:textId="0FF82E45" w:rsidR="006916A6" w:rsidRDefault="006916A6">
    <w:pPr>
      <w:pStyle w:val="Footer"/>
    </w:pPr>
    <w:r w:rsidRPr="00E40025">
      <w:t>SAMzino_</w:t>
    </w:r>
    <w:r w:rsidR="00986D88" w:rsidRPr="00986D88">
      <w:t>220124_kombinetie_parvadajumi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F74" w14:textId="77777777" w:rsidR="00C71B77" w:rsidRDefault="00C71B77" w:rsidP="00B00CBB">
    <w:pPr>
      <w:pStyle w:val="Footer"/>
      <w:jc w:val="right"/>
    </w:pPr>
  </w:p>
  <w:p w14:paraId="1611DC30" w14:textId="1AEAAA25" w:rsidR="00B00CBB" w:rsidRDefault="00B00CBB" w:rsidP="00B00CBB">
    <w:pPr>
      <w:pStyle w:val="Footer"/>
      <w:jc w:val="right"/>
    </w:pPr>
    <w:r>
      <w:t>1-</w:t>
    </w:r>
    <w:r w:rsidR="00C502FE">
      <w:t>2</w:t>
    </w:r>
  </w:p>
  <w:p w14:paraId="0CA846E0" w14:textId="77C84304" w:rsidR="00B00CBB" w:rsidRDefault="00E40025" w:rsidP="00E40025">
    <w:pPr>
      <w:pStyle w:val="Footer"/>
    </w:pPr>
    <w:r w:rsidRPr="00E40025">
      <w:t>SAMzino_</w:t>
    </w:r>
    <w:r w:rsidR="00C502FE">
      <w:t>2108</w:t>
    </w:r>
    <w:r w:rsidRPr="00E40025">
      <w:t>23_</w:t>
    </w:r>
    <w:r w:rsidR="00C502FE">
      <w:t>EMSA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EAE9C" w14:textId="77777777" w:rsidR="007A3165" w:rsidRDefault="007A3165" w:rsidP="002A27D9">
      <w:r>
        <w:separator/>
      </w:r>
    </w:p>
  </w:footnote>
  <w:footnote w:type="continuationSeparator" w:id="0">
    <w:p w14:paraId="08C38E00" w14:textId="77777777" w:rsidR="007A3165" w:rsidRDefault="007A3165"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3"/>
  </w:num>
  <w:num w:numId="2" w16cid:durableId="121196698">
    <w:abstractNumId w:val="1"/>
  </w:num>
  <w:num w:numId="3" w16cid:durableId="785853288">
    <w:abstractNumId w:val="0"/>
  </w:num>
  <w:num w:numId="4" w16cid:durableId="930889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32BC7"/>
    <w:rsid w:val="000630CA"/>
    <w:rsid w:val="000719D1"/>
    <w:rsid w:val="00072644"/>
    <w:rsid w:val="00077B81"/>
    <w:rsid w:val="00090631"/>
    <w:rsid w:val="00093FD4"/>
    <w:rsid w:val="000C374C"/>
    <w:rsid w:val="000C58D3"/>
    <w:rsid w:val="000D41F4"/>
    <w:rsid w:val="000E23ED"/>
    <w:rsid w:val="0010296C"/>
    <w:rsid w:val="00105185"/>
    <w:rsid w:val="0013043D"/>
    <w:rsid w:val="00135589"/>
    <w:rsid w:val="00136489"/>
    <w:rsid w:val="00136C56"/>
    <w:rsid w:val="001436E1"/>
    <w:rsid w:val="001504D7"/>
    <w:rsid w:val="001601B7"/>
    <w:rsid w:val="00164AD9"/>
    <w:rsid w:val="00170128"/>
    <w:rsid w:val="00170FE4"/>
    <w:rsid w:val="00174AD2"/>
    <w:rsid w:val="00183052"/>
    <w:rsid w:val="001834D5"/>
    <w:rsid w:val="00187C12"/>
    <w:rsid w:val="001A0B4C"/>
    <w:rsid w:val="001A2B9D"/>
    <w:rsid w:val="001B3982"/>
    <w:rsid w:val="001B595E"/>
    <w:rsid w:val="001B5A08"/>
    <w:rsid w:val="001C78AC"/>
    <w:rsid w:val="001D5A72"/>
    <w:rsid w:val="001D613F"/>
    <w:rsid w:val="001E736D"/>
    <w:rsid w:val="001F1FAD"/>
    <w:rsid w:val="001F7AEF"/>
    <w:rsid w:val="00221B62"/>
    <w:rsid w:val="002248BE"/>
    <w:rsid w:val="00233F8D"/>
    <w:rsid w:val="0023703C"/>
    <w:rsid w:val="00247118"/>
    <w:rsid w:val="00247815"/>
    <w:rsid w:val="00262239"/>
    <w:rsid w:val="0028401A"/>
    <w:rsid w:val="00286F3B"/>
    <w:rsid w:val="00292A7B"/>
    <w:rsid w:val="00292AAA"/>
    <w:rsid w:val="002A27D9"/>
    <w:rsid w:val="002A325C"/>
    <w:rsid w:val="002B034A"/>
    <w:rsid w:val="002B1FE3"/>
    <w:rsid w:val="002B2211"/>
    <w:rsid w:val="002D3FF7"/>
    <w:rsid w:val="002D7226"/>
    <w:rsid w:val="00322DE6"/>
    <w:rsid w:val="0032506E"/>
    <w:rsid w:val="0032672D"/>
    <w:rsid w:val="00334B24"/>
    <w:rsid w:val="00334CA8"/>
    <w:rsid w:val="00341209"/>
    <w:rsid w:val="00341A84"/>
    <w:rsid w:val="00345F3C"/>
    <w:rsid w:val="0035318A"/>
    <w:rsid w:val="00366D71"/>
    <w:rsid w:val="00374148"/>
    <w:rsid w:val="00387525"/>
    <w:rsid w:val="003961BD"/>
    <w:rsid w:val="00396446"/>
    <w:rsid w:val="003A39B2"/>
    <w:rsid w:val="003B7F13"/>
    <w:rsid w:val="003D0D99"/>
    <w:rsid w:val="003D2ABC"/>
    <w:rsid w:val="003D438D"/>
    <w:rsid w:val="003E5FCF"/>
    <w:rsid w:val="003F1AFC"/>
    <w:rsid w:val="003F5614"/>
    <w:rsid w:val="003F634E"/>
    <w:rsid w:val="004037B9"/>
    <w:rsid w:val="004158F3"/>
    <w:rsid w:val="00417821"/>
    <w:rsid w:val="00421468"/>
    <w:rsid w:val="004248D7"/>
    <w:rsid w:val="00437BE4"/>
    <w:rsid w:val="004401C6"/>
    <w:rsid w:val="00471D2E"/>
    <w:rsid w:val="00477D65"/>
    <w:rsid w:val="0048165C"/>
    <w:rsid w:val="004833C9"/>
    <w:rsid w:val="0049776D"/>
    <w:rsid w:val="004A3116"/>
    <w:rsid w:val="004B2B2C"/>
    <w:rsid w:val="004C0971"/>
    <w:rsid w:val="004C47C5"/>
    <w:rsid w:val="004C5BB6"/>
    <w:rsid w:val="004C704D"/>
    <w:rsid w:val="004D0957"/>
    <w:rsid w:val="004D26DF"/>
    <w:rsid w:val="00501038"/>
    <w:rsid w:val="00502290"/>
    <w:rsid w:val="00507F2F"/>
    <w:rsid w:val="00510B89"/>
    <w:rsid w:val="00511462"/>
    <w:rsid w:val="00513E2B"/>
    <w:rsid w:val="005168B7"/>
    <w:rsid w:val="005244E7"/>
    <w:rsid w:val="00526531"/>
    <w:rsid w:val="00535444"/>
    <w:rsid w:val="0054499E"/>
    <w:rsid w:val="00556FFC"/>
    <w:rsid w:val="00573662"/>
    <w:rsid w:val="0059038D"/>
    <w:rsid w:val="005906C5"/>
    <w:rsid w:val="00592D43"/>
    <w:rsid w:val="00594F7C"/>
    <w:rsid w:val="005A490E"/>
    <w:rsid w:val="005B1E12"/>
    <w:rsid w:val="005B3CA6"/>
    <w:rsid w:val="005B5E6D"/>
    <w:rsid w:val="005D5BF5"/>
    <w:rsid w:val="005D6A24"/>
    <w:rsid w:val="005E3B41"/>
    <w:rsid w:val="005F03EC"/>
    <w:rsid w:val="005F6D94"/>
    <w:rsid w:val="00601879"/>
    <w:rsid w:val="00620577"/>
    <w:rsid w:val="006205FE"/>
    <w:rsid w:val="006374FD"/>
    <w:rsid w:val="00641B46"/>
    <w:rsid w:val="0065611A"/>
    <w:rsid w:val="006773A2"/>
    <w:rsid w:val="006916A6"/>
    <w:rsid w:val="006A60A1"/>
    <w:rsid w:val="006B4C17"/>
    <w:rsid w:val="006D1B0A"/>
    <w:rsid w:val="006D36BA"/>
    <w:rsid w:val="006D3A84"/>
    <w:rsid w:val="006E447B"/>
    <w:rsid w:val="006F462C"/>
    <w:rsid w:val="006F4F72"/>
    <w:rsid w:val="006F7DBA"/>
    <w:rsid w:val="00710C1B"/>
    <w:rsid w:val="007162BE"/>
    <w:rsid w:val="0072192B"/>
    <w:rsid w:val="00733DE4"/>
    <w:rsid w:val="007421EB"/>
    <w:rsid w:val="00743468"/>
    <w:rsid w:val="007500D8"/>
    <w:rsid w:val="00750824"/>
    <w:rsid w:val="00752323"/>
    <w:rsid w:val="00760168"/>
    <w:rsid w:val="00764A62"/>
    <w:rsid w:val="00765BF1"/>
    <w:rsid w:val="00796F60"/>
    <w:rsid w:val="007A05F5"/>
    <w:rsid w:val="007A2636"/>
    <w:rsid w:val="007A3165"/>
    <w:rsid w:val="007A5ECB"/>
    <w:rsid w:val="007C4BB2"/>
    <w:rsid w:val="007C595A"/>
    <w:rsid w:val="007C6CDC"/>
    <w:rsid w:val="007D11C6"/>
    <w:rsid w:val="007D5434"/>
    <w:rsid w:val="007F212B"/>
    <w:rsid w:val="007F4FE5"/>
    <w:rsid w:val="00804EC5"/>
    <w:rsid w:val="0081413D"/>
    <w:rsid w:val="008202EA"/>
    <w:rsid w:val="00826B84"/>
    <w:rsid w:val="00835E29"/>
    <w:rsid w:val="0084049C"/>
    <w:rsid w:val="008463AD"/>
    <w:rsid w:val="008612D6"/>
    <w:rsid w:val="00861B81"/>
    <w:rsid w:val="00867BCF"/>
    <w:rsid w:val="0087061F"/>
    <w:rsid w:val="00870B56"/>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86D88"/>
    <w:rsid w:val="00993C24"/>
    <w:rsid w:val="009A0646"/>
    <w:rsid w:val="009A313A"/>
    <w:rsid w:val="009A76C0"/>
    <w:rsid w:val="009B039F"/>
    <w:rsid w:val="009B2DA1"/>
    <w:rsid w:val="009C1C8F"/>
    <w:rsid w:val="009F00CA"/>
    <w:rsid w:val="00A0190C"/>
    <w:rsid w:val="00A1392C"/>
    <w:rsid w:val="00A13B32"/>
    <w:rsid w:val="00A23590"/>
    <w:rsid w:val="00A34AE6"/>
    <w:rsid w:val="00A425F3"/>
    <w:rsid w:val="00A61779"/>
    <w:rsid w:val="00A62D37"/>
    <w:rsid w:val="00A64237"/>
    <w:rsid w:val="00A74483"/>
    <w:rsid w:val="00A8023A"/>
    <w:rsid w:val="00A93A05"/>
    <w:rsid w:val="00AA53EF"/>
    <w:rsid w:val="00AA5FB9"/>
    <w:rsid w:val="00AB3A16"/>
    <w:rsid w:val="00AD04C0"/>
    <w:rsid w:val="00AD53ED"/>
    <w:rsid w:val="00B00CBB"/>
    <w:rsid w:val="00B0116A"/>
    <w:rsid w:val="00B039B2"/>
    <w:rsid w:val="00B05E50"/>
    <w:rsid w:val="00B06093"/>
    <w:rsid w:val="00B208F3"/>
    <w:rsid w:val="00B23F9C"/>
    <w:rsid w:val="00B26B14"/>
    <w:rsid w:val="00B346C8"/>
    <w:rsid w:val="00B43442"/>
    <w:rsid w:val="00B52C87"/>
    <w:rsid w:val="00B5341E"/>
    <w:rsid w:val="00B55071"/>
    <w:rsid w:val="00B81753"/>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B77"/>
    <w:rsid w:val="00C810B6"/>
    <w:rsid w:val="00C81CEB"/>
    <w:rsid w:val="00C83490"/>
    <w:rsid w:val="00C8378E"/>
    <w:rsid w:val="00C8413E"/>
    <w:rsid w:val="00C87082"/>
    <w:rsid w:val="00CA3170"/>
    <w:rsid w:val="00CA4732"/>
    <w:rsid w:val="00CA6736"/>
    <w:rsid w:val="00CB0A65"/>
    <w:rsid w:val="00CB3102"/>
    <w:rsid w:val="00CB68B4"/>
    <w:rsid w:val="00CE102B"/>
    <w:rsid w:val="00CF1CA1"/>
    <w:rsid w:val="00D1700E"/>
    <w:rsid w:val="00D22421"/>
    <w:rsid w:val="00D23316"/>
    <w:rsid w:val="00D2357E"/>
    <w:rsid w:val="00D268E9"/>
    <w:rsid w:val="00D5742D"/>
    <w:rsid w:val="00D70BB3"/>
    <w:rsid w:val="00D74646"/>
    <w:rsid w:val="00D74CED"/>
    <w:rsid w:val="00D754FF"/>
    <w:rsid w:val="00D874E5"/>
    <w:rsid w:val="00DB24DA"/>
    <w:rsid w:val="00DC3B65"/>
    <w:rsid w:val="00DC655A"/>
    <w:rsid w:val="00DD77FB"/>
    <w:rsid w:val="00DE1D02"/>
    <w:rsid w:val="00DF1050"/>
    <w:rsid w:val="00E121F2"/>
    <w:rsid w:val="00E14001"/>
    <w:rsid w:val="00E27FD6"/>
    <w:rsid w:val="00E32AEC"/>
    <w:rsid w:val="00E32DB4"/>
    <w:rsid w:val="00E35D35"/>
    <w:rsid w:val="00E40025"/>
    <w:rsid w:val="00E40535"/>
    <w:rsid w:val="00E920D4"/>
    <w:rsid w:val="00E92A91"/>
    <w:rsid w:val="00EB27ED"/>
    <w:rsid w:val="00EC660A"/>
    <w:rsid w:val="00ED1B50"/>
    <w:rsid w:val="00ED4083"/>
    <w:rsid w:val="00EE7E1B"/>
    <w:rsid w:val="00EF4DD2"/>
    <w:rsid w:val="00EF6BA1"/>
    <w:rsid w:val="00F02660"/>
    <w:rsid w:val="00F04303"/>
    <w:rsid w:val="00F04AF8"/>
    <w:rsid w:val="00F06ED1"/>
    <w:rsid w:val="00F07E81"/>
    <w:rsid w:val="00F169D6"/>
    <w:rsid w:val="00F20469"/>
    <w:rsid w:val="00F30F22"/>
    <w:rsid w:val="00F34613"/>
    <w:rsid w:val="00F3725B"/>
    <w:rsid w:val="00F42C3A"/>
    <w:rsid w:val="00F43B76"/>
    <w:rsid w:val="00F66290"/>
    <w:rsid w:val="00F73E3F"/>
    <w:rsid w:val="00F76A94"/>
    <w:rsid w:val="00F82F7C"/>
    <w:rsid w:val="00F90958"/>
    <w:rsid w:val="00F90DD6"/>
    <w:rsid w:val="00F92E0C"/>
    <w:rsid w:val="00F93EC2"/>
    <w:rsid w:val="00F94F11"/>
    <w:rsid w:val="00FA3CD5"/>
    <w:rsid w:val="00FB424F"/>
    <w:rsid w:val="00FB5AB8"/>
    <w:rsid w:val="00FC7C02"/>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 w:type="paragraph" w:customStyle="1" w:styleId="Bullet1">
    <w:name w:val="Bullet 1"/>
    <w:basedOn w:val="Normal"/>
    <w:rsid w:val="00CE102B"/>
    <w:pPr>
      <w:numPr>
        <w:numId w:val="4"/>
      </w:numPr>
      <w:spacing w:before="120" w:after="120"/>
      <w:jc w:val="both"/>
    </w:pPr>
    <w:rPr>
      <w:rFonts w:eastAsiaTheme="minorHAns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2864</Words>
  <Characters>1633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Direktīvai, ar ko groza Padomes Direktīvu 92/106/EEK attiecībā uz atbalsta sistēmu intermodālajiem kravu pārvadājumiem un Eiropas Parlamenta un</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Direktīvai, ar ko groza Padomes Direktīvu 92/106/EEK attiecībā uz atbalsta sistēmu intermodālajiem kravu pārvadājumiem un Eiropas Parlamenta un Padomes Regulu (ES) 2020/1056 attiecībā uz ārējo izmaksu ietaupījuma aprēķiniem un apkopoto datu ģenerēšanu”</dc:title>
  <dc:subject>Informatīvais ziņojums</dc:subject>
  <dc:creator>Satiksmes ministrija</dc:creator>
  <cp:keywords>Satiksmes ministrija</cp:keywords>
  <dc:description>Evita Nagle _x000d_
67028190_x000d_
evita.nagle@sam.gov.lv</dc:description>
  <cp:lastModifiedBy>Evita Nagle</cp:lastModifiedBy>
  <cp:revision>71</cp:revision>
  <cp:lastPrinted>2017-05-18T08:16:00Z</cp:lastPrinted>
  <dcterms:created xsi:type="dcterms:W3CDTF">2022-03-16T13:19:00Z</dcterms:created>
  <dcterms:modified xsi:type="dcterms:W3CDTF">2024-01-16T11:52:00Z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L452501</vt:lpwstr>
  </property>
  <property fmtid="{D5CDD505-2E9C-101B-9397-08002B2CF9AE}" pid="6" name="DISCesvisSigner">
    <vt:lpwstr>satiksmes ministrs Kaspars Briškens</vt:lpwstr>
  </property>
  <property fmtid="{D5CDD505-2E9C-101B-9397-08002B2CF9AE}" pid="7" name="DISTaskPaneUrl">
    <vt:lpwstr>https://lim.esvis.gov.lv/cs/idcplg?ClientControlled=DocMan&amp;coreContentOnly=1&amp;WebdavRequest=1&amp;IdcService=DOC_INFO&amp;dID=532007</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Direktīvai, ar ko groza Padomes Direktīvu 92/106/EEK attiecībā uz atbalsta sistēmu intermodālajiem kravu pārvadājumiem un Eiropas Parlamenta un Padomes Regulu (ES) 2020/1056 attiecībā uz ārējo izmaksu ietaupījuma aprēķiniem un apkopoto datu ģenerēšanu”"</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532007</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ies>
</file>