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4E2100" w14:textId="77777777" w:rsidR="00B27EB1" w:rsidRPr="00AC74B0" w:rsidRDefault="00B27EB1" w:rsidP="00CC55D5">
      <w:pPr>
        <w:ind w:left="-142" w:right="-143"/>
        <w:jc w:val="center"/>
        <w:rPr>
          <w:b/>
          <w:sz w:val="28"/>
          <w:szCs w:val="28"/>
        </w:rPr>
      </w:pPr>
      <w:r w:rsidRPr="00AC74B0">
        <w:rPr>
          <w:b/>
          <w:sz w:val="28"/>
          <w:szCs w:val="28"/>
        </w:rPr>
        <w:t xml:space="preserve">Informatīvais ziņojums </w:t>
      </w:r>
    </w:p>
    <w:p w14:paraId="5316ABA0" w14:textId="7C0E847D" w:rsidR="00CC3B65" w:rsidRPr="00AC74B0" w:rsidRDefault="00B27EB1" w:rsidP="006152F4">
      <w:pPr>
        <w:ind w:left="-426" w:right="-199"/>
        <w:jc w:val="center"/>
        <w:rPr>
          <w:b/>
          <w:sz w:val="28"/>
          <w:szCs w:val="28"/>
        </w:rPr>
      </w:pPr>
      <w:r w:rsidRPr="00AC74B0">
        <w:rPr>
          <w:b/>
          <w:sz w:val="28"/>
          <w:szCs w:val="28"/>
        </w:rPr>
        <w:t>„</w:t>
      </w:r>
      <w:r w:rsidR="004950AE" w:rsidRPr="004950AE">
        <w:rPr>
          <w:b/>
          <w:sz w:val="28"/>
          <w:szCs w:val="28"/>
        </w:rPr>
        <w:t xml:space="preserve">Par </w:t>
      </w:r>
      <w:r w:rsidR="00BE292A" w:rsidRPr="00BE292A">
        <w:rPr>
          <w:b/>
          <w:sz w:val="28"/>
          <w:szCs w:val="28"/>
        </w:rPr>
        <w:t xml:space="preserve">nepieciešamo turpmāko rīcību </w:t>
      </w:r>
      <w:r w:rsidR="004950AE" w:rsidRPr="004950AE">
        <w:rPr>
          <w:b/>
          <w:sz w:val="28"/>
          <w:szCs w:val="28"/>
        </w:rPr>
        <w:t xml:space="preserve">2025. gada Eiropas čempionāta </w:t>
      </w:r>
      <w:r w:rsidR="00747D14">
        <w:rPr>
          <w:b/>
          <w:sz w:val="28"/>
          <w:szCs w:val="28"/>
        </w:rPr>
        <w:t>finālturnīra basketbolā vīriešiem</w:t>
      </w:r>
      <w:r w:rsidR="004950AE" w:rsidRPr="004950AE">
        <w:rPr>
          <w:b/>
          <w:sz w:val="28"/>
          <w:szCs w:val="28"/>
        </w:rPr>
        <w:t xml:space="preserve"> (</w:t>
      </w:r>
      <w:r w:rsidR="004950AE" w:rsidRPr="004950AE">
        <w:rPr>
          <w:b/>
          <w:i/>
          <w:sz w:val="28"/>
          <w:szCs w:val="28"/>
        </w:rPr>
        <w:t>FIBA EuroBasket 2025</w:t>
      </w:r>
      <w:r w:rsidR="00821854">
        <w:rPr>
          <w:b/>
          <w:sz w:val="28"/>
          <w:szCs w:val="28"/>
        </w:rPr>
        <w:t>) organizēšan</w:t>
      </w:r>
      <w:r w:rsidR="00BE292A">
        <w:rPr>
          <w:b/>
          <w:sz w:val="28"/>
          <w:szCs w:val="28"/>
        </w:rPr>
        <w:t>ai</w:t>
      </w:r>
      <w:r w:rsidR="00821854">
        <w:rPr>
          <w:b/>
          <w:sz w:val="28"/>
          <w:szCs w:val="28"/>
        </w:rPr>
        <w:t xml:space="preserve"> Latvijā”</w:t>
      </w:r>
    </w:p>
    <w:p w14:paraId="53FD9E01" w14:textId="77777777" w:rsidR="00BE292A" w:rsidRDefault="00BE292A" w:rsidP="004367D9">
      <w:pPr>
        <w:rPr>
          <w:szCs w:val="24"/>
        </w:rPr>
      </w:pPr>
    </w:p>
    <w:p w14:paraId="4885D841" w14:textId="77777777" w:rsidR="00096F9C" w:rsidRDefault="00096F9C" w:rsidP="0088186C">
      <w:pPr>
        <w:rPr>
          <w:szCs w:val="24"/>
        </w:rPr>
      </w:pPr>
    </w:p>
    <w:p w14:paraId="1DEB8EDC" w14:textId="77777777" w:rsidR="0088186C" w:rsidRPr="00F066B4" w:rsidRDefault="0088186C" w:rsidP="0088186C">
      <w:pPr>
        <w:rPr>
          <w:b/>
          <w:szCs w:val="24"/>
        </w:rPr>
      </w:pPr>
      <w:r w:rsidRPr="00F066B4">
        <w:rPr>
          <w:b/>
          <w:szCs w:val="24"/>
        </w:rPr>
        <w:t xml:space="preserve">1. </w:t>
      </w:r>
      <w:r>
        <w:rPr>
          <w:b/>
          <w:szCs w:val="24"/>
        </w:rPr>
        <w:t xml:space="preserve">ESOŠĀS </w:t>
      </w:r>
      <w:r w:rsidRPr="00F066B4">
        <w:rPr>
          <w:b/>
          <w:szCs w:val="24"/>
        </w:rPr>
        <w:t>SITUĀCIJAS RAKSTUROJUMS</w:t>
      </w:r>
    </w:p>
    <w:p w14:paraId="7C3F27EC" w14:textId="77777777" w:rsidR="0088186C" w:rsidRPr="00096F9C" w:rsidRDefault="0088186C" w:rsidP="0088186C">
      <w:pPr>
        <w:rPr>
          <w:szCs w:val="24"/>
        </w:rPr>
      </w:pPr>
    </w:p>
    <w:p w14:paraId="7DE02321" w14:textId="5F52A785" w:rsidR="00096F9C" w:rsidRDefault="00096F9C" w:rsidP="00096F9C">
      <w:pPr>
        <w:ind w:firstLine="720"/>
        <w:rPr>
          <w:szCs w:val="24"/>
        </w:rPr>
      </w:pPr>
      <w:r>
        <w:rPr>
          <w:szCs w:val="24"/>
        </w:rPr>
        <w:t>Ministru kabineta 2021. gada 30. novembra sēdē, izskatot Izglītības un zinātnes ministrijas (turpmāk – IZM) sagatavoto informatīvo ziņojumu „</w:t>
      </w:r>
      <w:r w:rsidRPr="00096F9C">
        <w:rPr>
          <w:szCs w:val="24"/>
        </w:rPr>
        <w:t>Par kandidēšanu uz 2025. gada Eiropas čempionāta finālturnīra basketbolā vīriešiem (</w:t>
      </w:r>
      <w:r w:rsidRPr="00096F9C">
        <w:rPr>
          <w:i/>
          <w:szCs w:val="24"/>
        </w:rPr>
        <w:t>FIBA EuroBasket 2025</w:t>
      </w:r>
      <w:r w:rsidRPr="00096F9C">
        <w:rPr>
          <w:szCs w:val="24"/>
        </w:rPr>
        <w:t>) organizēšanu Latvijā</w:t>
      </w:r>
      <w:r>
        <w:rPr>
          <w:szCs w:val="24"/>
        </w:rPr>
        <w:t>”</w:t>
      </w:r>
      <w:r w:rsidR="006905DB">
        <w:rPr>
          <w:szCs w:val="24"/>
        </w:rPr>
        <w:t xml:space="preserve"> </w:t>
      </w:r>
      <w:r w:rsidR="00091ED4">
        <w:rPr>
          <w:szCs w:val="24"/>
        </w:rPr>
        <w:t>(</w:t>
      </w:r>
      <w:r w:rsidR="00091ED4" w:rsidRPr="00091ED4">
        <w:rPr>
          <w:szCs w:val="24"/>
        </w:rPr>
        <w:t>21-TA-1349</w:t>
      </w:r>
      <w:r w:rsidR="00091ED4">
        <w:rPr>
          <w:szCs w:val="24"/>
        </w:rPr>
        <w:t xml:space="preserve">) </w:t>
      </w:r>
      <w:r w:rsidR="006905DB">
        <w:rPr>
          <w:szCs w:val="24"/>
        </w:rPr>
        <w:t>(turpmāk – Kandidēšanas ziņojums)</w:t>
      </w:r>
      <w:r>
        <w:rPr>
          <w:szCs w:val="24"/>
        </w:rPr>
        <w:t>, tika nolemts</w:t>
      </w:r>
      <w:r w:rsidRPr="00096F9C">
        <w:rPr>
          <w:szCs w:val="24"/>
        </w:rPr>
        <w:t xml:space="preserve"> </w:t>
      </w:r>
      <w:r>
        <w:rPr>
          <w:szCs w:val="24"/>
        </w:rPr>
        <w:t xml:space="preserve">(prot. </w:t>
      </w:r>
      <w:r w:rsidRPr="00096F9C">
        <w:rPr>
          <w:szCs w:val="24"/>
        </w:rPr>
        <w:t>Nr. 78 35. §</w:t>
      </w:r>
      <w:r>
        <w:rPr>
          <w:szCs w:val="24"/>
        </w:rPr>
        <w:t>):</w:t>
      </w:r>
    </w:p>
    <w:p w14:paraId="32265EF4" w14:textId="1E30691C" w:rsidR="00096F9C" w:rsidRPr="00096F9C" w:rsidRDefault="00096F9C" w:rsidP="00096F9C">
      <w:pPr>
        <w:ind w:firstLine="720"/>
        <w:rPr>
          <w:szCs w:val="24"/>
        </w:rPr>
      </w:pPr>
      <w:r>
        <w:rPr>
          <w:szCs w:val="24"/>
        </w:rPr>
        <w:t>(1) a</w:t>
      </w:r>
      <w:r w:rsidRPr="00096F9C">
        <w:rPr>
          <w:szCs w:val="24"/>
        </w:rPr>
        <w:t xml:space="preserve">tbalstīt 2025. gada Eiropas čempionāta finālturnīra basketbolā vīriešiem </w:t>
      </w:r>
      <w:r w:rsidR="00C07B50">
        <w:rPr>
          <w:szCs w:val="24"/>
        </w:rPr>
        <w:t>(turpmāk</w:t>
      </w:r>
      <w:r w:rsidR="003570A4">
        <w:rPr>
          <w:szCs w:val="24"/>
        </w:rPr>
        <w:t xml:space="preserve"> </w:t>
      </w:r>
      <w:r w:rsidR="00C07B50">
        <w:rPr>
          <w:szCs w:val="24"/>
        </w:rPr>
        <w:t xml:space="preserve">– </w:t>
      </w:r>
      <w:r w:rsidR="003570A4" w:rsidRPr="003570A4">
        <w:rPr>
          <w:i/>
          <w:szCs w:val="24"/>
        </w:rPr>
        <w:t>FIBA</w:t>
      </w:r>
      <w:r w:rsidR="003570A4">
        <w:rPr>
          <w:szCs w:val="24"/>
        </w:rPr>
        <w:t xml:space="preserve"> </w:t>
      </w:r>
      <w:r w:rsidR="00C07B50" w:rsidRPr="009B4C91">
        <w:rPr>
          <w:i/>
          <w:szCs w:val="24"/>
        </w:rPr>
        <w:t>EuroBasket</w:t>
      </w:r>
      <w:r w:rsidR="00C07B50">
        <w:rPr>
          <w:i/>
          <w:szCs w:val="24"/>
        </w:rPr>
        <w:t xml:space="preserve"> </w:t>
      </w:r>
      <w:r w:rsidR="00C07B50" w:rsidRPr="009B4C91">
        <w:rPr>
          <w:i/>
          <w:szCs w:val="24"/>
        </w:rPr>
        <w:t>2025</w:t>
      </w:r>
      <w:r w:rsidR="00C07B50">
        <w:rPr>
          <w:szCs w:val="24"/>
        </w:rPr>
        <w:t xml:space="preserve">) </w:t>
      </w:r>
      <w:r w:rsidRPr="00096F9C">
        <w:rPr>
          <w:szCs w:val="24"/>
        </w:rPr>
        <w:t xml:space="preserve">grupas turnīra un finālposma </w:t>
      </w:r>
      <w:r>
        <w:rPr>
          <w:szCs w:val="24"/>
        </w:rPr>
        <w:t>organizēšanu Latvijā</w:t>
      </w:r>
      <w:r w:rsidR="00C07B50">
        <w:rPr>
          <w:szCs w:val="24"/>
        </w:rPr>
        <w:t xml:space="preserve"> (protokollēmuma 2. punkts)</w:t>
      </w:r>
      <w:r>
        <w:rPr>
          <w:szCs w:val="24"/>
        </w:rPr>
        <w:t>;</w:t>
      </w:r>
    </w:p>
    <w:p w14:paraId="59D0BCAA" w14:textId="3D29F8D2" w:rsidR="00C07B50" w:rsidRDefault="00C07B50" w:rsidP="00096F9C">
      <w:pPr>
        <w:ind w:firstLine="720"/>
        <w:rPr>
          <w:szCs w:val="24"/>
        </w:rPr>
      </w:pPr>
      <w:r>
        <w:rPr>
          <w:szCs w:val="24"/>
        </w:rPr>
        <w:t>(2) p</w:t>
      </w:r>
      <w:r w:rsidR="00096F9C" w:rsidRPr="00096F9C">
        <w:rPr>
          <w:szCs w:val="24"/>
        </w:rPr>
        <w:t xml:space="preserve">ilnvarot izglītības un zinātnes ministru parakstīt garantiju vēstuli Starptautiskās Basketbola federācijas Eiropas nodaļai </w:t>
      </w:r>
      <w:r w:rsidR="00D96479">
        <w:rPr>
          <w:szCs w:val="24"/>
        </w:rPr>
        <w:t>(turpmāk</w:t>
      </w:r>
      <w:r w:rsidR="003570A4">
        <w:rPr>
          <w:szCs w:val="24"/>
        </w:rPr>
        <w:t xml:space="preserve"> </w:t>
      </w:r>
      <w:r w:rsidR="00D96479">
        <w:rPr>
          <w:szCs w:val="24"/>
        </w:rPr>
        <w:t xml:space="preserve">– </w:t>
      </w:r>
      <w:r w:rsidR="00D96479" w:rsidRPr="00C07B50">
        <w:rPr>
          <w:i/>
          <w:szCs w:val="24"/>
        </w:rPr>
        <w:t xml:space="preserve">FIBA </w:t>
      </w:r>
      <w:r w:rsidR="00D96479" w:rsidRPr="00D96479">
        <w:rPr>
          <w:i/>
          <w:szCs w:val="24"/>
        </w:rPr>
        <w:t>Europe</w:t>
      </w:r>
      <w:r w:rsidR="00D96479">
        <w:rPr>
          <w:szCs w:val="24"/>
        </w:rPr>
        <w:t xml:space="preserve">) </w:t>
      </w:r>
      <w:r w:rsidR="00096F9C" w:rsidRPr="00D96479">
        <w:rPr>
          <w:szCs w:val="24"/>
        </w:rPr>
        <w:t>atbilstoši</w:t>
      </w:r>
      <w:r w:rsidR="00096F9C" w:rsidRPr="00096F9C">
        <w:rPr>
          <w:szCs w:val="24"/>
        </w:rPr>
        <w:t xml:space="preserve"> informatīvā ziņojuma p</w:t>
      </w:r>
      <w:r>
        <w:rPr>
          <w:szCs w:val="24"/>
        </w:rPr>
        <w:t>ielikumā pievienotai redakcijai (protokollēmuma 3. punkts);</w:t>
      </w:r>
    </w:p>
    <w:p w14:paraId="5B172608" w14:textId="503C9106" w:rsidR="00D96479" w:rsidRDefault="00C07B50" w:rsidP="00D96479">
      <w:pPr>
        <w:ind w:firstLine="720"/>
        <w:rPr>
          <w:szCs w:val="24"/>
        </w:rPr>
      </w:pPr>
      <w:r>
        <w:rPr>
          <w:szCs w:val="24"/>
        </w:rPr>
        <w:t>(</w:t>
      </w:r>
      <w:r w:rsidR="00D96479">
        <w:rPr>
          <w:szCs w:val="24"/>
        </w:rPr>
        <w:t>3</w:t>
      </w:r>
      <w:r>
        <w:rPr>
          <w:szCs w:val="24"/>
        </w:rPr>
        <w:t>)</w:t>
      </w:r>
      <w:r w:rsidR="0029280B">
        <w:rPr>
          <w:szCs w:val="24"/>
        </w:rPr>
        <w:t xml:space="preserve"> </w:t>
      </w:r>
      <w:r>
        <w:rPr>
          <w:szCs w:val="24"/>
        </w:rPr>
        <w:t xml:space="preserve">ja </w:t>
      </w:r>
      <w:r w:rsidR="003570A4" w:rsidRPr="00C07B50">
        <w:rPr>
          <w:i/>
          <w:szCs w:val="24"/>
        </w:rPr>
        <w:t xml:space="preserve">FIBA </w:t>
      </w:r>
      <w:r w:rsidR="003570A4" w:rsidRPr="00D96479">
        <w:rPr>
          <w:i/>
          <w:szCs w:val="24"/>
        </w:rPr>
        <w:t>Europe</w:t>
      </w:r>
      <w:r w:rsidR="003570A4" w:rsidRPr="00096F9C">
        <w:rPr>
          <w:szCs w:val="24"/>
        </w:rPr>
        <w:t xml:space="preserve"> </w:t>
      </w:r>
      <w:r w:rsidR="00096F9C" w:rsidRPr="00096F9C">
        <w:rPr>
          <w:szCs w:val="24"/>
        </w:rPr>
        <w:t xml:space="preserve">pieņem lēmumu par </w:t>
      </w:r>
      <w:r w:rsidR="003570A4" w:rsidRPr="003570A4">
        <w:rPr>
          <w:i/>
          <w:szCs w:val="24"/>
        </w:rPr>
        <w:t>FIBA</w:t>
      </w:r>
      <w:r w:rsidR="003570A4">
        <w:rPr>
          <w:szCs w:val="24"/>
        </w:rPr>
        <w:t xml:space="preserve"> </w:t>
      </w:r>
      <w:r w:rsidR="003570A4" w:rsidRPr="009B4C91">
        <w:rPr>
          <w:i/>
          <w:szCs w:val="24"/>
        </w:rPr>
        <w:t>EuroBasket</w:t>
      </w:r>
      <w:r w:rsidR="003570A4">
        <w:rPr>
          <w:i/>
          <w:szCs w:val="24"/>
        </w:rPr>
        <w:t xml:space="preserve"> </w:t>
      </w:r>
      <w:r w:rsidR="003570A4" w:rsidRPr="009B4C91">
        <w:rPr>
          <w:i/>
          <w:szCs w:val="24"/>
        </w:rPr>
        <w:t>2025</w:t>
      </w:r>
      <w:r w:rsidR="003570A4">
        <w:rPr>
          <w:i/>
          <w:szCs w:val="24"/>
        </w:rPr>
        <w:t xml:space="preserve"> </w:t>
      </w:r>
      <w:r w:rsidR="00096F9C" w:rsidRPr="00096F9C">
        <w:rPr>
          <w:szCs w:val="24"/>
        </w:rPr>
        <w:t>grupas turnīra vai grupas turnīra un fināl</w:t>
      </w:r>
      <w:r>
        <w:rPr>
          <w:szCs w:val="24"/>
        </w:rPr>
        <w:t>posma organizēšanu Latvijā (Rīgā), IZM sadarbībā ar biedrību „</w:t>
      </w:r>
      <w:r w:rsidR="00096F9C" w:rsidRPr="00096F9C">
        <w:rPr>
          <w:szCs w:val="24"/>
        </w:rPr>
        <w:t>Latvijas Basketbola savienība</w:t>
      </w:r>
      <w:r>
        <w:rPr>
          <w:szCs w:val="24"/>
        </w:rPr>
        <w:t>” (turpmāk – LBS)</w:t>
      </w:r>
      <w:r w:rsidR="00096F9C" w:rsidRPr="00096F9C">
        <w:rPr>
          <w:szCs w:val="24"/>
        </w:rPr>
        <w:t xml:space="preserve"> </w:t>
      </w:r>
      <w:r>
        <w:rPr>
          <w:szCs w:val="24"/>
        </w:rPr>
        <w:t xml:space="preserve">jāsagatavo </w:t>
      </w:r>
      <w:r w:rsidR="00096F9C" w:rsidRPr="00096F9C">
        <w:rPr>
          <w:szCs w:val="24"/>
        </w:rPr>
        <w:t xml:space="preserve">un izglītības un zinātnes ministram divu mēnešu laikā pēc attiecīga </w:t>
      </w:r>
      <w:r w:rsidR="003570A4" w:rsidRPr="00C07B50">
        <w:rPr>
          <w:i/>
          <w:szCs w:val="24"/>
        </w:rPr>
        <w:t xml:space="preserve">FIBA </w:t>
      </w:r>
      <w:r w:rsidR="003570A4" w:rsidRPr="00D96479">
        <w:rPr>
          <w:i/>
          <w:szCs w:val="24"/>
        </w:rPr>
        <w:t>Europe</w:t>
      </w:r>
      <w:r w:rsidR="003570A4" w:rsidRPr="00096F9C">
        <w:rPr>
          <w:szCs w:val="24"/>
        </w:rPr>
        <w:t xml:space="preserve"> </w:t>
      </w:r>
      <w:r w:rsidR="00096F9C" w:rsidRPr="00096F9C">
        <w:rPr>
          <w:szCs w:val="24"/>
        </w:rPr>
        <w:t xml:space="preserve">lēmuma pieņemšanas noteiktā kārtībā </w:t>
      </w:r>
      <w:r>
        <w:rPr>
          <w:szCs w:val="24"/>
        </w:rPr>
        <w:t>jāiesniedz</w:t>
      </w:r>
      <w:r w:rsidR="00096F9C" w:rsidRPr="00096F9C">
        <w:rPr>
          <w:szCs w:val="24"/>
        </w:rPr>
        <w:t xml:space="preserve"> izskatīšanai Ministru kabinetā priekšlikum</w:t>
      </w:r>
      <w:r>
        <w:rPr>
          <w:szCs w:val="24"/>
        </w:rPr>
        <w:t>i</w:t>
      </w:r>
      <w:r w:rsidR="00096F9C" w:rsidRPr="00096F9C">
        <w:rPr>
          <w:szCs w:val="24"/>
        </w:rPr>
        <w:t xml:space="preserve"> par nepieciešamo turpmāko rīcību </w:t>
      </w:r>
      <w:r w:rsidR="003570A4" w:rsidRPr="003570A4">
        <w:rPr>
          <w:i/>
          <w:szCs w:val="24"/>
        </w:rPr>
        <w:t>FIBA</w:t>
      </w:r>
      <w:r w:rsidR="003570A4">
        <w:rPr>
          <w:szCs w:val="24"/>
        </w:rPr>
        <w:t xml:space="preserve"> </w:t>
      </w:r>
      <w:r w:rsidR="003570A4" w:rsidRPr="009B4C91">
        <w:rPr>
          <w:i/>
          <w:szCs w:val="24"/>
        </w:rPr>
        <w:t>EuroBasket</w:t>
      </w:r>
      <w:r w:rsidR="003570A4">
        <w:rPr>
          <w:i/>
          <w:szCs w:val="24"/>
        </w:rPr>
        <w:t xml:space="preserve"> </w:t>
      </w:r>
      <w:r w:rsidR="003570A4" w:rsidRPr="009B4C91">
        <w:rPr>
          <w:i/>
          <w:szCs w:val="24"/>
        </w:rPr>
        <w:t>2025</w:t>
      </w:r>
      <w:r w:rsidR="003570A4">
        <w:rPr>
          <w:i/>
          <w:szCs w:val="24"/>
        </w:rPr>
        <w:t xml:space="preserve"> </w:t>
      </w:r>
      <w:r w:rsidR="00096F9C" w:rsidRPr="00096F9C">
        <w:rPr>
          <w:szCs w:val="24"/>
        </w:rPr>
        <w:t xml:space="preserve"> organizēšanai, kā arī par efektīvāko piedāvājumu nepieciešamā finansējuma nodrošināšanai, ņemot vērā, ka finansējums grupas turnīra gadījumā nepārsniedz 4 515 000 </w:t>
      </w:r>
      <w:r w:rsidR="004566C1">
        <w:t>EUR</w:t>
      </w:r>
      <w:r w:rsidR="00096F9C" w:rsidRPr="00096F9C">
        <w:rPr>
          <w:szCs w:val="24"/>
        </w:rPr>
        <w:t xml:space="preserve">, savukārt grupas turnīra un finālposma organizēšanas gadījumā nepārsniedz 10 000 000 </w:t>
      </w:r>
      <w:r w:rsidR="004566C1">
        <w:t>EUR</w:t>
      </w:r>
      <w:r w:rsidR="004566C1">
        <w:rPr>
          <w:szCs w:val="24"/>
        </w:rPr>
        <w:t xml:space="preserve"> </w:t>
      </w:r>
      <w:r w:rsidR="00D96479">
        <w:rPr>
          <w:szCs w:val="24"/>
        </w:rPr>
        <w:t>(protokollēmuma 4. punkts)</w:t>
      </w:r>
      <w:r w:rsidR="005E4929">
        <w:rPr>
          <w:szCs w:val="24"/>
        </w:rPr>
        <w:t>;</w:t>
      </w:r>
    </w:p>
    <w:p w14:paraId="39A45C12" w14:textId="118512AC" w:rsidR="00096F9C" w:rsidRDefault="00D96479" w:rsidP="00D96479">
      <w:pPr>
        <w:ind w:firstLine="720"/>
        <w:rPr>
          <w:szCs w:val="24"/>
        </w:rPr>
      </w:pPr>
      <w:r>
        <w:rPr>
          <w:szCs w:val="24"/>
        </w:rPr>
        <w:t>(4) j</w:t>
      </w:r>
      <w:r w:rsidR="00096F9C" w:rsidRPr="00096F9C">
        <w:rPr>
          <w:szCs w:val="24"/>
        </w:rPr>
        <w:t xml:space="preserve">autājums par valsts budžeta līdzekļu piešķiršanu </w:t>
      </w:r>
      <w:r w:rsidR="003570A4" w:rsidRPr="003570A4">
        <w:rPr>
          <w:i/>
          <w:szCs w:val="24"/>
        </w:rPr>
        <w:t>FIBA</w:t>
      </w:r>
      <w:r w:rsidR="003570A4">
        <w:rPr>
          <w:szCs w:val="24"/>
        </w:rPr>
        <w:t xml:space="preserve"> </w:t>
      </w:r>
      <w:r w:rsidR="003570A4" w:rsidRPr="009B4C91">
        <w:rPr>
          <w:i/>
          <w:szCs w:val="24"/>
        </w:rPr>
        <w:t>EuroBasket</w:t>
      </w:r>
      <w:r w:rsidR="003570A4">
        <w:rPr>
          <w:i/>
          <w:szCs w:val="24"/>
        </w:rPr>
        <w:t xml:space="preserve"> </w:t>
      </w:r>
      <w:r w:rsidR="003570A4" w:rsidRPr="009B4C91">
        <w:rPr>
          <w:i/>
          <w:szCs w:val="24"/>
        </w:rPr>
        <w:t>2025</w:t>
      </w:r>
      <w:r w:rsidR="003570A4">
        <w:rPr>
          <w:i/>
          <w:szCs w:val="24"/>
        </w:rPr>
        <w:t xml:space="preserve"> </w:t>
      </w:r>
      <w:r w:rsidR="00096F9C" w:rsidRPr="00096F9C">
        <w:rPr>
          <w:szCs w:val="24"/>
        </w:rPr>
        <w:t xml:space="preserve"> organizēšanai Latvijā ir izskatāms Ministru kabinetā gadskārtējā valsts budžeta likumprojekta sagatavošanas laikā kopā ar visu nozaru ministriju iesniegtajiem prioritāro pasākumu pieteikumiem ņemot vērā valsts budžeta finansiālās iespējas</w:t>
      </w:r>
      <w:r w:rsidR="005E4929">
        <w:rPr>
          <w:szCs w:val="24"/>
        </w:rPr>
        <w:t xml:space="preserve"> (protokollēmuma 5. punkts)</w:t>
      </w:r>
      <w:r w:rsidR="00096F9C" w:rsidRPr="00096F9C">
        <w:rPr>
          <w:szCs w:val="24"/>
        </w:rPr>
        <w:t>.</w:t>
      </w:r>
    </w:p>
    <w:p w14:paraId="0EEBBB9A" w14:textId="77777777" w:rsidR="00CA6A50" w:rsidRDefault="00CA6A50" w:rsidP="005E4929">
      <w:pPr>
        <w:ind w:firstLine="720"/>
        <w:rPr>
          <w:szCs w:val="24"/>
        </w:rPr>
      </w:pPr>
    </w:p>
    <w:p w14:paraId="0CCCD63A" w14:textId="5DD3F9BF" w:rsidR="005E4929" w:rsidRPr="00DB2724" w:rsidRDefault="005E4929" w:rsidP="005E4929">
      <w:pPr>
        <w:ind w:firstLine="720"/>
      </w:pPr>
      <w:r>
        <w:rPr>
          <w:szCs w:val="24"/>
        </w:rPr>
        <w:t>2021. gada 3</w:t>
      </w:r>
      <w:r w:rsidR="008F7D2E">
        <w:rPr>
          <w:szCs w:val="24"/>
        </w:rPr>
        <w:t>0</w:t>
      </w:r>
      <w:r>
        <w:rPr>
          <w:szCs w:val="24"/>
        </w:rPr>
        <w:t xml:space="preserve">. novembrī, ņemot vērā Ministru kabineta sniegto pilnvarojumu, IZM nosūtīja </w:t>
      </w:r>
      <w:r w:rsidRPr="005E4929">
        <w:rPr>
          <w:i/>
          <w:szCs w:val="24"/>
        </w:rPr>
        <w:t>FIBA Europe</w:t>
      </w:r>
      <w:r>
        <w:rPr>
          <w:szCs w:val="24"/>
        </w:rPr>
        <w:t xml:space="preserve"> </w:t>
      </w:r>
      <w:r w:rsidR="0029280B">
        <w:rPr>
          <w:szCs w:val="24"/>
        </w:rPr>
        <w:t xml:space="preserve">valdības </w:t>
      </w:r>
      <w:r>
        <w:rPr>
          <w:szCs w:val="24"/>
        </w:rPr>
        <w:t xml:space="preserve">garantiju vēstuli, kurā tika norādīts, ka gadījumā, ja LBS </w:t>
      </w:r>
      <w:r w:rsidR="007749C6">
        <w:t>tik</w:t>
      </w:r>
      <w:r>
        <w:t>s</w:t>
      </w:r>
      <w:r w:rsidRPr="00DB2724">
        <w:t xml:space="preserve"> apstiprināta par vienu no </w:t>
      </w:r>
      <w:r w:rsidRPr="003570A4">
        <w:rPr>
          <w:i/>
          <w:szCs w:val="24"/>
        </w:rPr>
        <w:t>FIBA</w:t>
      </w:r>
      <w:r>
        <w:rPr>
          <w:szCs w:val="24"/>
        </w:rPr>
        <w:t xml:space="preserve"> </w:t>
      </w:r>
      <w:r w:rsidRPr="009B4C91">
        <w:rPr>
          <w:i/>
          <w:szCs w:val="24"/>
        </w:rPr>
        <w:t>EuroBasket</w:t>
      </w:r>
      <w:r>
        <w:rPr>
          <w:i/>
          <w:szCs w:val="24"/>
        </w:rPr>
        <w:t xml:space="preserve"> </w:t>
      </w:r>
      <w:r w:rsidRPr="009B4C91">
        <w:rPr>
          <w:i/>
          <w:szCs w:val="24"/>
        </w:rPr>
        <w:t>2025</w:t>
      </w:r>
      <w:r>
        <w:rPr>
          <w:i/>
          <w:szCs w:val="24"/>
        </w:rPr>
        <w:t xml:space="preserve"> </w:t>
      </w:r>
      <w:r w:rsidRPr="00096F9C">
        <w:rPr>
          <w:szCs w:val="24"/>
        </w:rPr>
        <w:t xml:space="preserve"> </w:t>
      </w:r>
      <w:r w:rsidRPr="00DB2724">
        <w:t>rīkotājām, Latvijas Republika garantē, ka</w:t>
      </w:r>
      <w:r w:rsidR="004566C1">
        <w:t>:</w:t>
      </w:r>
    </w:p>
    <w:p w14:paraId="367C575C" w14:textId="22B2A147" w:rsidR="005E4929" w:rsidRDefault="005E4929" w:rsidP="005E4929">
      <w:pPr>
        <w:pStyle w:val="Pa2"/>
        <w:spacing w:line="240" w:lineRule="auto"/>
        <w:jc w:val="both"/>
        <w:rPr>
          <w:rFonts w:ascii="Times New Roman" w:hAnsi="Times New Roman" w:cs="Times New Roman"/>
          <w:lang w:val="lv-LV"/>
        </w:rPr>
      </w:pPr>
      <w:r>
        <w:rPr>
          <w:rFonts w:ascii="Times New Roman" w:hAnsi="Times New Roman" w:cs="Times New Roman"/>
          <w:lang w:val="lv-LV"/>
        </w:rPr>
        <w:tab/>
        <w:t xml:space="preserve">(1) </w:t>
      </w:r>
      <w:r w:rsidRPr="00DB2724">
        <w:rPr>
          <w:rFonts w:ascii="Times New Roman" w:hAnsi="Times New Roman" w:cs="Times New Roman"/>
          <w:lang w:val="lv-LV"/>
        </w:rPr>
        <w:t>tā</w:t>
      </w:r>
      <w:r w:rsidR="007749C6">
        <w:rPr>
          <w:rFonts w:ascii="Times New Roman" w:hAnsi="Times New Roman" w:cs="Times New Roman"/>
          <w:lang w:val="lv-LV"/>
        </w:rPr>
        <w:t xml:space="preserve"> pilnībā atbalstīs un veicinās </w:t>
      </w:r>
      <w:r w:rsidRPr="007749C6">
        <w:rPr>
          <w:rFonts w:ascii="Times New Roman" w:hAnsi="Times New Roman" w:cs="Times New Roman"/>
          <w:i/>
          <w:lang w:val="lv-LV"/>
        </w:rPr>
        <w:t>FIBA EuroBasket 2025</w:t>
      </w:r>
      <w:r w:rsidRPr="00DB2724">
        <w:rPr>
          <w:rFonts w:ascii="Times New Roman" w:hAnsi="Times New Roman" w:cs="Times New Roman"/>
          <w:lang w:val="lv-LV"/>
        </w:rPr>
        <w:t xml:space="preserve"> organizēšanu un norisi Latvijā, un klasificēs </w:t>
      </w:r>
      <w:r w:rsidRPr="00CD470D">
        <w:rPr>
          <w:rFonts w:ascii="Times New Roman" w:hAnsi="Times New Roman" w:cs="Times New Roman"/>
          <w:i/>
          <w:lang w:val="lv-LV"/>
        </w:rPr>
        <w:t>FIBA EuroBasket 2025</w:t>
      </w:r>
      <w:r w:rsidRPr="00DB2724">
        <w:rPr>
          <w:rFonts w:ascii="Times New Roman" w:hAnsi="Times New Roman" w:cs="Times New Roman"/>
          <w:lang w:val="lv-LV"/>
        </w:rPr>
        <w:t xml:space="preserve"> sagatavošanu un norisi kā kopējas ieinteresētības jautājumu;</w:t>
      </w:r>
    </w:p>
    <w:p w14:paraId="7563A5D2" w14:textId="3C2AFE2A" w:rsidR="005E4929" w:rsidRPr="00DB2724" w:rsidRDefault="005E4929" w:rsidP="005E4929">
      <w:pPr>
        <w:pStyle w:val="Pa2"/>
        <w:spacing w:line="240" w:lineRule="auto"/>
        <w:ind w:firstLine="720"/>
        <w:jc w:val="both"/>
        <w:rPr>
          <w:rFonts w:ascii="Times New Roman" w:hAnsi="Times New Roman" w:cs="Times New Roman"/>
          <w:lang w:val="lv-LV"/>
        </w:rPr>
      </w:pPr>
      <w:r>
        <w:rPr>
          <w:rFonts w:ascii="Times New Roman" w:hAnsi="Times New Roman" w:cs="Times New Roman"/>
          <w:lang w:val="lv-LV"/>
        </w:rPr>
        <w:t xml:space="preserve">(2) </w:t>
      </w:r>
      <w:r w:rsidRPr="00DB2724">
        <w:rPr>
          <w:rFonts w:ascii="Times New Roman" w:hAnsi="Times New Roman" w:cs="Times New Roman"/>
          <w:lang w:val="lv-LV"/>
        </w:rPr>
        <w:t>tā veiks visus pasākumus, tostarp vajadzīgo normatīvo aktu un/vai dekrētu pieņemšanu, kas nepieciešami, lai izpildītu f</w:t>
      </w:r>
      <w:r w:rsidR="006905DB">
        <w:rPr>
          <w:rFonts w:ascii="Times New Roman" w:hAnsi="Times New Roman" w:cs="Times New Roman"/>
          <w:lang w:val="lv-LV"/>
        </w:rPr>
        <w:t xml:space="preserve">ederācijas līgumsaistības pret </w:t>
      </w:r>
      <w:r w:rsidRPr="006905DB">
        <w:rPr>
          <w:rFonts w:ascii="Times New Roman" w:hAnsi="Times New Roman" w:cs="Times New Roman"/>
          <w:i/>
          <w:lang w:val="lv-LV"/>
        </w:rPr>
        <w:t>FIBA Europe</w:t>
      </w:r>
      <w:r w:rsidRPr="00DB2724">
        <w:rPr>
          <w:rFonts w:ascii="Times New Roman" w:hAnsi="Times New Roman" w:cs="Times New Roman"/>
          <w:lang w:val="lv-LV"/>
        </w:rPr>
        <w:t xml:space="preserve"> saistībā ar </w:t>
      </w:r>
      <w:r w:rsidR="006905DB" w:rsidRPr="00CD470D">
        <w:rPr>
          <w:rFonts w:ascii="Times New Roman" w:hAnsi="Times New Roman" w:cs="Times New Roman"/>
          <w:i/>
          <w:lang w:val="lv-LV"/>
        </w:rPr>
        <w:t xml:space="preserve">FIBA </w:t>
      </w:r>
      <w:r w:rsidRPr="006905DB">
        <w:rPr>
          <w:rFonts w:ascii="Times New Roman" w:hAnsi="Times New Roman" w:cs="Times New Roman"/>
          <w:i/>
          <w:lang w:val="lv-LV"/>
        </w:rPr>
        <w:t>EuroBasket 2025</w:t>
      </w:r>
      <w:r w:rsidRPr="00DB2724">
        <w:rPr>
          <w:rFonts w:ascii="Times New Roman" w:hAnsi="Times New Roman" w:cs="Times New Roman"/>
          <w:lang w:val="lv-LV"/>
        </w:rPr>
        <w:t>;</w:t>
      </w:r>
    </w:p>
    <w:p w14:paraId="0ADD4E12" w14:textId="61CA4B81" w:rsidR="005E4929" w:rsidRPr="00DB2724" w:rsidRDefault="005E4929" w:rsidP="005E4929">
      <w:pPr>
        <w:pStyle w:val="Pa2"/>
        <w:spacing w:line="240" w:lineRule="auto"/>
        <w:ind w:firstLine="720"/>
        <w:jc w:val="both"/>
        <w:rPr>
          <w:rFonts w:ascii="Times New Roman" w:hAnsi="Times New Roman" w:cs="Times New Roman"/>
          <w:lang w:val="lv-LV"/>
        </w:rPr>
      </w:pPr>
      <w:r>
        <w:rPr>
          <w:rFonts w:ascii="Times New Roman" w:hAnsi="Times New Roman" w:cs="Times New Roman"/>
          <w:lang w:val="lv-LV"/>
        </w:rPr>
        <w:t xml:space="preserve">(3) </w:t>
      </w:r>
      <w:r w:rsidRPr="00DB2724">
        <w:rPr>
          <w:rFonts w:ascii="Times New Roman" w:hAnsi="Times New Roman" w:cs="Times New Roman"/>
          <w:lang w:val="lv-LV"/>
        </w:rPr>
        <w:t xml:space="preserve">tā veiks visus nepieciešamos pasākumus, lai izpildītu muitas un intelektuālā īpašuma nosacījumus, tostarp visus īpašos tiesību aktus, kas pieņemti, lai aizsargātu </w:t>
      </w:r>
      <w:r w:rsidRPr="005E4929">
        <w:rPr>
          <w:rFonts w:ascii="Times New Roman" w:hAnsi="Times New Roman" w:cs="Times New Roman"/>
          <w:i/>
          <w:lang w:val="lv-LV"/>
        </w:rPr>
        <w:t>FIBA Europe</w:t>
      </w:r>
      <w:r w:rsidRPr="00DB2724">
        <w:rPr>
          <w:rFonts w:ascii="Times New Roman" w:hAnsi="Times New Roman" w:cs="Times New Roman"/>
          <w:lang w:val="lv-LV"/>
        </w:rPr>
        <w:t xml:space="preserve"> intelektuālo īpašumu saistībā ar </w:t>
      </w:r>
      <w:r w:rsidRPr="005E4929">
        <w:rPr>
          <w:rFonts w:ascii="Times New Roman" w:hAnsi="Times New Roman" w:cs="Times New Roman"/>
          <w:i/>
          <w:lang w:val="lv-LV"/>
        </w:rPr>
        <w:t>FIBA EuroBasket 2025</w:t>
      </w:r>
      <w:r w:rsidRPr="00DB2724">
        <w:rPr>
          <w:rFonts w:ascii="Times New Roman" w:hAnsi="Times New Roman" w:cs="Times New Roman"/>
          <w:lang w:val="lv-LV"/>
        </w:rPr>
        <w:t>, lai aizliegtu slēpto mārketingu, nelikumīgas darbības ar biļetēm, neoficiālu ielu tirdzniecību un neatļautu publisku sacensību vērošanu;</w:t>
      </w:r>
    </w:p>
    <w:p w14:paraId="6708C7DA" w14:textId="142B6C35" w:rsidR="005E4929" w:rsidRDefault="005E4929" w:rsidP="005E4929">
      <w:pPr>
        <w:pStyle w:val="Pa2"/>
        <w:spacing w:line="240" w:lineRule="auto"/>
        <w:ind w:firstLine="720"/>
        <w:jc w:val="both"/>
        <w:rPr>
          <w:rFonts w:ascii="Times New Roman" w:hAnsi="Times New Roman" w:cs="Times New Roman"/>
          <w:lang w:val="lv-LV"/>
        </w:rPr>
      </w:pPr>
      <w:r>
        <w:rPr>
          <w:rFonts w:ascii="Times New Roman" w:hAnsi="Times New Roman" w:cs="Times New Roman"/>
          <w:lang w:val="lv-LV"/>
        </w:rPr>
        <w:t xml:space="preserve">(4) pozitīva </w:t>
      </w:r>
      <w:r w:rsidRPr="005E4929">
        <w:rPr>
          <w:rFonts w:ascii="Times New Roman" w:hAnsi="Times New Roman" w:cs="Times New Roman"/>
          <w:i/>
          <w:lang w:val="lv-LV"/>
        </w:rPr>
        <w:t>FIBA Europe</w:t>
      </w:r>
      <w:r w:rsidRPr="00DB2724">
        <w:rPr>
          <w:rFonts w:ascii="Times New Roman" w:hAnsi="Times New Roman" w:cs="Times New Roman"/>
          <w:lang w:val="lv-LV"/>
        </w:rPr>
        <w:t xml:space="preserve"> lēmuma gadījumā IZM sagatavos priekšlikumu budžeta pieprasījumam saskaņā ar budžeta sagatavošanas grafiku, lai atbilstoši valsts budžeta finansiālajām iespējām un attiecīgā gada budžetā paredzētā f</w:t>
      </w:r>
      <w:r>
        <w:rPr>
          <w:rFonts w:ascii="Times New Roman" w:hAnsi="Times New Roman" w:cs="Times New Roman"/>
          <w:lang w:val="lv-LV"/>
        </w:rPr>
        <w:t xml:space="preserve">inansējuma ietvaros atbalstītu </w:t>
      </w:r>
      <w:r w:rsidRPr="005E4929">
        <w:rPr>
          <w:rFonts w:ascii="Times New Roman" w:hAnsi="Times New Roman" w:cs="Times New Roman"/>
          <w:i/>
          <w:lang w:val="lv-LV"/>
        </w:rPr>
        <w:t>FIBA EuroBasket 2025</w:t>
      </w:r>
      <w:r w:rsidRPr="00DB2724">
        <w:rPr>
          <w:rFonts w:ascii="Times New Roman" w:hAnsi="Times New Roman" w:cs="Times New Roman"/>
          <w:lang w:val="lv-LV"/>
        </w:rPr>
        <w:t xml:space="preserve"> sagatavošanu un norisi. Grupas turnīra gadījumā nepieciešamais finansējums nepārsniegs</w:t>
      </w:r>
      <w:r>
        <w:rPr>
          <w:rFonts w:ascii="Times New Roman" w:hAnsi="Times New Roman" w:cs="Times New Roman"/>
          <w:lang w:val="lv-LV"/>
        </w:rPr>
        <w:t xml:space="preserve"> </w:t>
      </w:r>
      <w:r w:rsidRPr="00DB2724">
        <w:rPr>
          <w:rFonts w:ascii="Times New Roman" w:hAnsi="Times New Roman" w:cs="Times New Roman"/>
          <w:lang w:val="lv-LV"/>
        </w:rPr>
        <w:t xml:space="preserve">4 515 000 </w:t>
      </w:r>
      <w:r w:rsidR="004566C1">
        <w:rPr>
          <w:rFonts w:ascii="Times New Roman" w:hAnsi="Times New Roman" w:cs="Times New Roman"/>
          <w:lang w:val="lv-LV"/>
        </w:rPr>
        <w:t>EUR</w:t>
      </w:r>
      <w:r w:rsidRPr="00DB2724">
        <w:rPr>
          <w:rFonts w:ascii="Times New Roman" w:hAnsi="Times New Roman" w:cs="Times New Roman"/>
          <w:lang w:val="lv-LV"/>
        </w:rPr>
        <w:t xml:space="preserve">, savukārt grupas turnīra un finālposma organizēšanas gadījumā finansējums nepārsniegs </w:t>
      </w:r>
      <w:r>
        <w:rPr>
          <w:rFonts w:ascii="Times New Roman" w:hAnsi="Times New Roman" w:cs="Times New Roman"/>
          <w:lang w:val="lv-LV"/>
        </w:rPr>
        <w:br/>
      </w:r>
      <w:r w:rsidRPr="00DB2724">
        <w:rPr>
          <w:rFonts w:ascii="Times New Roman" w:hAnsi="Times New Roman" w:cs="Times New Roman"/>
          <w:lang w:val="lv-LV"/>
        </w:rPr>
        <w:t xml:space="preserve">10 000 000 </w:t>
      </w:r>
      <w:r w:rsidR="004566C1">
        <w:rPr>
          <w:rFonts w:ascii="Times New Roman" w:hAnsi="Times New Roman" w:cs="Times New Roman"/>
          <w:lang w:val="lv-LV"/>
        </w:rPr>
        <w:t>EUR</w:t>
      </w:r>
      <w:r w:rsidRPr="00DB2724">
        <w:rPr>
          <w:rFonts w:ascii="Times New Roman" w:hAnsi="Times New Roman" w:cs="Times New Roman"/>
          <w:lang w:val="lv-LV"/>
        </w:rPr>
        <w:t>. IZM sadarbībā ar LBS izstrādās efektīvāko piedāvājumu nepieciešamā finansējuma nodrošināšanai un iesniegs Ministru kabinetā.</w:t>
      </w:r>
    </w:p>
    <w:p w14:paraId="43221E28" w14:textId="77777777" w:rsidR="00CA6A50" w:rsidRDefault="00CA6A50" w:rsidP="00CA6A50"/>
    <w:p w14:paraId="66D2F3AD" w14:textId="64AD5AA0" w:rsidR="00096F9C" w:rsidRDefault="00CA6A50" w:rsidP="006905DB">
      <w:pPr>
        <w:rPr>
          <w:szCs w:val="24"/>
        </w:rPr>
      </w:pPr>
      <w:r>
        <w:tab/>
      </w:r>
      <w:r w:rsidR="00D96479">
        <w:rPr>
          <w:szCs w:val="24"/>
        </w:rPr>
        <w:t xml:space="preserve">2022. gada 29. martā </w:t>
      </w:r>
      <w:r w:rsidR="00D96479" w:rsidRPr="00C07B50">
        <w:rPr>
          <w:i/>
          <w:szCs w:val="24"/>
        </w:rPr>
        <w:t>FIBA Europe</w:t>
      </w:r>
      <w:r w:rsidR="00D96479">
        <w:rPr>
          <w:szCs w:val="24"/>
        </w:rPr>
        <w:t xml:space="preserve"> </w:t>
      </w:r>
      <w:r w:rsidR="003570A4">
        <w:rPr>
          <w:szCs w:val="24"/>
        </w:rPr>
        <w:t>valdes sēdē tika nolemts</w:t>
      </w:r>
      <w:r w:rsidR="00470AC3">
        <w:rPr>
          <w:rStyle w:val="FootnoteReference"/>
          <w:szCs w:val="24"/>
        </w:rPr>
        <w:footnoteReference w:id="1"/>
      </w:r>
      <w:r w:rsidR="003570A4">
        <w:rPr>
          <w:szCs w:val="24"/>
        </w:rPr>
        <w:t xml:space="preserve">, ka </w:t>
      </w:r>
      <w:r w:rsidR="003570A4" w:rsidRPr="003570A4">
        <w:rPr>
          <w:i/>
          <w:szCs w:val="24"/>
        </w:rPr>
        <w:t>FIBA</w:t>
      </w:r>
      <w:r w:rsidR="003570A4">
        <w:rPr>
          <w:szCs w:val="24"/>
        </w:rPr>
        <w:t xml:space="preserve"> </w:t>
      </w:r>
      <w:r w:rsidR="003570A4" w:rsidRPr="009B4C91">
        <w:rPr>
          <w:i/>
          <w:szCs w:val="24"/>
        </w:rPr>
        <w:t>EuroBasket</w:t>
      </w:r>
      <w:r w:rsidR="003570A4">
        <w:rPr>
          <w:i/>
          <w:szCs w:val="24"/>
        </w:rPr>
        <w:t xml:space="preserve"> </w:t>
      </w:r>
      <w:r w:rsidR="003570A4" w:rsidRPr="009B4C91">
        <w:rPr>
          <w:i/>
          <w:szCs w:val="24"/>
        </w:rPr>
        <w:t>2025</w:t>
      </w:r>
      <w:r w:rsidR="003570A4">
        <w:rPr>
          <w:i/>
          <w:szCs w:val="24"/>
        </w:rPr>
        <w:t xml:space="preserve"> </w:t>
      </w:r>
      <w:r w:rsidR="003570A4" w:rsidRPr="00096F9C">
        <w:rPr>
          <w:szCs w:val="24"/>
        </w:rPr>
        <w:t xml:space="preserve"> </w:t>
      </w:r>
      <w:r w:rsidR="003570A4">
        <w:rPr>
          <w:szCs w:val="24"/>
        </w:rPr>
        <w:t xml:space="preserve">grupas turnīrs (viens no četriem) un finālposms norisināsies Latvijā (Rīgā), piešķirot šī nozīmīgā starptautiskā sporta pasākuma rīkošanas tiesības LBS. Uzreiz pēc šī lēmuma pieņemšanas (2022. gada 29. martā) </w:t>
      </w:r>
      <w:r w:rsidR="003570A4" w:rsidRPr="003570A4">
        <w:rPr>
          <w:szCs w:val="24"/>
        </w:rPr>
        <w:t xml:space="preserve">tika parakstīts līgums starp LBS un </w:t>
      </w:r>
      <w:r w:rsidR="003570A4" w:rsidRPr="003570A4">
        <w:rPr>
          <w:i/>
          <w:szCs w:val="24"/>
        </w:rPr>
        <w:t>FIBA Europe</w:t>
      </w:r>
      <w:r w:rsidR="003570A4" w:rsidRPr="003570A4">
        <w:rPr>
          <w:szCs w:val="24"/>
        </w:rPr>
        <w:t xml:space="preserve"> par </w:t>
      </w:r>
      <w:r w:rsidR="003570A4" w:rsidRPr="003570A4">
        <w:rPr>
          <w:i/>
          <w:szCs w:val="24"/>
        </w:rPr>
        <w:t>FIBA</w:t>
      </w:r>
      <w:r w:rsidR="003570A4">
        <w:rPr>
          <w:szCs w:val="24"/>
        </w:rPr>
        <w:t xml:space="preserve"> </w:t>
      </w:r>
      <w:r w:rsidR="003570A4" w:rsidRPr="009B4C91">
        <w:rPr>
          <w:i/>
          <w:szCs w:val="24"/>
        </w:rPr>
        <w:t>EuroBasket</w:t>
      </w:r>
      <w:r w:rsidR="003570A4">
        <w:rPr>
          <w:i/>
          <w:szCs w:val="24"/>
        </w:rPr>
        <w:t xml:space="preserve"> </w:t>
      </w:r>
      <w:r w:rsidR="003570A4" w:rsidRPr="009B4C91">
        <w:rPr>
          <w:i/>
          <w:szCs w:val="24"/>
        </w:rPr>
        <w:t>2025</w:t>
      </w:r>
      <w:r w:rsidR="003570A4">
        <w:rPr>
          <w:i/>
          <w:szCs w:val="24"/>
        </w:rPr>
        <w:t xml:space="preserve"> </w:t>
      </w:r>
      <w:r w:rsidR="003570A4">
        <w:rPr>
          <w:szCs w:val="24"/>
        </w:rPr>
        <w:t xml:space="preserve">rīkošanu (turpmāk </w:t>
      </w:r>
      <w:r w:rsidR="00470AC3">
        <w:rPr>
          <w:szCs w:val="24"/>
        </w:rPr>
        <w:t xml:space="preserve">– </w:t>
      </w:r>
      <w:r w:rsidR="003570A4">
        <w:rPr>
          <w:szCs w:val="24"/>
        </w:rPr>
        <w:t>Organizēšanas līgums)</w:t>
      </w:r>
      <w:r w:rsidR="003570A4" w:rsidRPr="003570A4">
        <w:rPr>
          <w:szCs w:val="24"/>
        </w:rPr>
        <w:t xml:space="preserve">, </w:t>
      </w:r>
      <w:r w:rsidR="003570A4">
        <w:rPr>
          <w:szCs w:val="24"/>
        </w:rPr>
        <w:t>nosakot pušu tiesības un pienākumus</w:t>
      </w:r>
      <w:r w:rsidR="003570A4" w:rsidRPr="003570A4">
        <w:rPr>
          <w:i/>
          <w:szCs w:val="24"/>
        </w:rPr>
        <w:t xml:space="preserve"> FIBA</w:t>
      </w:r>
      <w:r w:rsidR="003570A4">
        <w:rPr>
          <w:szCs w:val="24"/>
        </w:rPr>
        <w:t xml:space="preserve"> </w:t>
      </w:r>
      <w:r w:rsidR="003570A4" w:rsidRPr="009B4C91">
        <w:rPr>
          <w:i/>
          <w:szCs w:val="24"/>
        </w:rPr>
        <w:t>EuroBasket</w:t>
      </w:r>
      <w:r w:rsidR="003570A4">
        <w:rPr>
          <w:i/>
          <w:szCs w:val="24"/>
        </w:rPr>
        <w:t xml:space="preserve"> </w:t>
      </w:r>
      <w:r w:rsidR="003570A4" w:rsidRPr="009B4C91">
        <w:rPr>
          <w:i/>
          <w:szCs w:val="24"/>
        </w:rPr>
        <w:t>2025</w:t>
      </w:r>
      <w:r w:rsidR="003570A4">
        <w:rPr>
          <w:i/>
          <w:szCs w:val="24"/>
        </w:rPr>
        <w:t xml:space="preserve"> </w:t>
      </w:r>
      <w:r w:rsidR="003570A4" w:rsidRPr="00096F9C">
        <w:rPr>
          <w:szCs w:val="24"/>
        </w:rPr>
        <w:t xml:space="preserve"> </w:t>
      </w:r>
      <w:r w:rsidR="003570A4">
        <w:rPr>
          <w:szCs w:val="24"/>
        </w:rPr>
        <w:lastRenderedPageBreak/>
        <w:t xml:space="preserve">grupas turnīra un finālposma organizēšanā, tai skaitā juridiski nostiprinot </w:t>
      </w:r>
      <w:r w:rsidR="00361CE7">
        <w:rPr>
          <w:szCs w:val="24"/>
        </w:rPr>
        <w:t>arī LBS finansiālo saistību un sagatavošanās procesa izpildes kārtību un termiņus.</w:t>
      </w:r>
    </w:p>
    <w:p w14:paraId="4BDF3DAF" w14:textId="77777777" w:rsidR="006905DB" w:rsidRDefault="006905DB" w:rsidP="00D33975">
      <w:pPr>
        <w:ind w:firstLine="720"/>
        <w:rPr>
          <w:szCs w:val="24"/>
        </w:rPr>
      </w:pPr>
    </w:p>
    <w:p w14:paraId="3920C113" w14:textId="5A541F7D" w:rsidR="00C02FC6" w:rsidRPr="008A2FEA" w:rsidRDefault="004566C1" w:rsidP="004566C1">
      <w:pPr>
        <w:autoSpaceDE w:val="0"/>
        <w:autoSpaceDN w:val="0"/>
        <w:adjustRightInd w:val="0"/>
        <w:ind w:left="-142" w:right="-86"/>
        <w:jc w:val="center"/>
        <w:rPr>
          <w:rFonts w:eastAsiaTheme="minorHAnsi"/>
          <w:b/>
          <w:bCs/>
          <w:i/>
          <w:color w:val="000000"/>
          <w:szCs w:val="24"/>
        </w:rPr>
      </w:pPr>
      <w:r>
        <w:rPr>
          <w:rFonts w:ascii="TimesNewRomanPS-BoldMT" w:eastAsiaTheme="minorHAnsi" w:hAnsi="TimesNewRomanPS-BoldMT" w:cs="TimesNewRomanPS-BoldMT"/>
          <w:b/>
          <w:bCs/>
          <w:i/>
          <w:color w:val="000000"/>
          <w:szCs w:val="24"/>
        </w:rPr>
        <w:t>Kandidēšanas ziņojumā norādītais v</w:t>
      </w:r>
      <w:r w:rsidR="00C02FC6">
        <w:rPr>
          <w:rFonts w:ascii="TimesNewRomanPS-BoldMT" w:eastAsiaTheme="minorHAnsi" w:hAnsi="TimesNewRomanPS-BoldMT" w:cs="TimesNewRomanPS-BoldMT"/>
          <w:b/>
          <w:bCs/>
          <w:i/>
          <w:color w:val="000000"/>
          <w:szCs w:val="24"/>
        </w:rPr>
        <w:t xml:space="preserve">alsts nodrošināmais </w:t>
      </w:r>
      <w:r w:rsidR="00C02FC6" w:rsidRPr="008A2FEA">
        <w:rPr>
          <w:rFonts w:ascii="TimesNewRomanPS-BoldMT" w:eastAsiaTheme="minorHAnsi" w:hAnsi="TimesNewRomanPS-BoldMT" w:cs="TimesNewRomanPS-BoldMT"/>
          <w:b/>
          <w:bCs/>
          <w:i/>
          <w:color w:val="000000"/>
          <w:szCs w:val="24"/>
        </w:rPr>
        <w:t xml:space="preserve">līdzfinansējums </w:t>
      </w:r>
      <w:r w:rsidR="00C02FC6">
        <w:rPr>
          <w:rFonts w:ascii="TimesNewRomanPS-BoldMT" w:eastAsiaTheme="minorHAnsi" w:hAnsi="TimesNewRomanPS-BoldMT" w:cs="TimesNewRomanPS-BoldMT"/>
          <w:b/>
          <w:bCs/>
          <w:i/>
          <w:color w:val="000000"/>
          <w:szCs w:val="24"/>
        </w:rPr>
        <w:t xml:space="preserve">FIBA </w:t>
      </w:r>
      <w:r w:rsidR="00C02FC6" w:rsidRPr="008A2FEA">
        <w:rPr>
          <w:rFonts w:ascii="TimesNewRomanPS-BoldMT" w:eastAsiaTheme="minorHAnsi" w:hAnsi="TimesNewRomanPS-BoldMT" w:cs="TimesNewRomanPS-BoldMT"/>
          <w:b/>
          <w:bCs/>
          <w:i/>
          <w:color w:val="000000"/>
          <w:szCs w:val="24"/>
        </w:rPr>
        <w:t>EuroBasket 2025 grupas turnīra un finālposma sarīkošanai</w:t>
      </w:r>
      <w:r w:rsidR="00C02FC6">
        <w:rPr>
          <w:rFonts w:ascii="TimesNewRomanPS-BoldMT" w:eastAsiaTheme="minorHAnsi" w:hAnsi="TimesNewRomanPS-BoldMT" w:cs="TimesNewRomanPS-BoldMT"/>
          <w:b/>
          <w:bCs/>
          <w:i/>
          <w:color w:val="000000"/>
          <w:szCs w:val="24"/>
        </w:rPr>
        <w:t xml:space="preserve"> </w:t>
      </w:r>
      <w:r w:rsidR="00C02FC6" w:rsidRPr="008A2FEA">
        <w:rPr>
          <w:rFonts w:ascii="TimesNewRomanPS-BoldMT" w:eastAsiaTheme="minorHAnsi" w:hAnsi="TimesNewRomanPS-BoldMT" w:cs="TimesNewRomanPS-BoldMT"/>
          <w:b/>
          <w:bCs/>
          <w:i/>
          <w:color w:val="000000"/>
          <w:szCs w:val="24"/>
        </w:rPr>
        <w:t>(sadalījumā pa izdevumu pozīcijām)</w:t>
      </w:r>
      <w:r>
        <w:rPr>
          <w:rFonts w:ascii="TimesNewRomanPS-BoldMT" w:eastAsiaTheme="minorHAnsi" w:hAnsi="TimesNewRomanPS-BoldMT" w:cs="TimesNewRomanPS-BoldMT"/>
          <w:b/>
          <w:bCs/>
          <w:i/>
          <w:color w:val="000000"/>
          <w:szCs w:val="24"/>
        </w:rPr>
        <w:t xml:space="preserve"> 2022. – 2025. gadam</w:t>
      </w:r>
    </w:p>
    <w:p w14:paraId="389BBC0A" w14:textId="77777777" w:rsidR="00C02FC6" w:rsidRDefault="00C02FC6" w:rsidP="00C02FC6">
      <w:pPr>
        <w:rPr>
          <w:szCs w:val="24"/>
        </w:rPr>
      </w:pPr>
    </w:p>
    <w:tbl>
      <w:tblPr>
        <w:tblW w:w="9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3"/>
        <w:gridCol w:w="1309"/>
        <w:gridCol w:w="4394"/>
      </w:tblGrid>
      <w:tr w:rsidR="00C02FC6" w:rsidRPr="00850658" w14:paraId="58DD3FB3" w14:textId="77777777" w:rsidTr="000D7695">
        <w:trPr>
          <w:trHeight w:val="116"/>
          <w:jc w:val="center"/>
        </w:trPr>
        <w:tc>
          <w:tcPr>
            <w:tcW w:w="3823" w:type="dxa"/>
            <w:vAlign w:val="center"/>
          </w:tcPr>
          <w:p w14:paraId="49898E18" w14:textId="77777777" w:rsidR="00C02FC6" w:rsidRPr="00850658" w:rsidRDefault="00C02FC6" w:rsidP="00C02FC6">
            <w:pPr>
              <w:jc w:val="center"/>
              <w:rPr>
                <w:szCs w:val="24"/>
              </w:rPr>
            </w:pPr>
            <w:r w:rsidRPr="00850658">
              <w:rPr>
                <w:b/>
                <w:bCs/>
                <w:szCs w:val="24"/>
              </w:rPr>
              <w:t>Pozīcija</w:t>
            </w:r>
          </w:p>
        </w:tc>
        <w:tc>
          <w:tcPr>
            <w:tcW w:w="1309" w:type="dxa"/>
            <w:vAlign w:val="center"/>
          </w:tcPr>
          <w:p w14:paraId="3D1D0CFB" w14:textId="77777777" w:rsidR="00C02FC6" w:rsidRPr="00850658" w:rsidRDefault="00C02FC6" w:rsidP="00C02FC6">
            <w:pPr>
              <w:jc w:val="center"/>
              <w:rPr>
                <w:szCs w:val="24"/>
              </w:rPr>
            </w:pPr>
            <w:r w:rsidRPr="00850658">
              <w:rPr>
                <w:b/>
                <w:bCs/>
                <w:szCs w:val="24"/>
              </w:rPr>
              <w:t>Summa</w:t>
            </w:r>
            <w:r>
              <w:rPr>
                <w:b/>
                <w:bCs/>
                <w:szCs w:val="24"/>
              </w:rPr>
              <w:t xml:space="preserve"> EUR</w:t>
            </w:r>
          </w:p>
        </w:tc>
        <w:tc>
          <w:tcPr>
            <w:tcW w:w="4394" w:type="dxa"/>
            <w:vAlign w:val="center"/>
          </w:tcPr>
          <w:p w14:paraId="1E87BFFE" w14:textId="77777777" w:rsidR="00C02FC6" w:rsidRPr="00850658" w:rsidRDefault="00C02FC6" w:rsidP="00C02FC6">
            <w:pPr>
              <w:jc w:val="center"/>
              <w:rPr>
                <w:szCs w:val="24"/>
              </w:rPr>
            </w:pPr>
            <w:r w:rsidRPr="00850658">
              <w:rPr>
                <w:b/>
                <w:bCs/>
                <w:szCs w:val="24"/>
              </w:rPr>
              <w:t>Termiņš</w:t>
            </w:r>
          </w:p>
        </w:tc>
      </w:tr>
      <w:tr w:rsidR="00C02FC6" w:rsidRPr="00850658" w14:paraId="249C0681" w14:textId="77777777" w:rsidTr="000D7695">
        <w:trPr>
          <w:trHeight w:val="274"/>
          <w:jc w:val="center"/>
        </w:trPr>
        <w:tc>
          <w:tcPr>
            <w:tcW w:w="3823" w:type="dxa"/>
            <w:vAlign w:val="center"/>
          </w:tcPr>
          <w:p w14:paraId="48AB7DA5" w14:textId="77777777" w:rsidR="00C02FC6" w:rsidRDefault="00C02FC6" w:rsidP="00C02FC6">
            <w:pPr>
              <w:jc w:val="center"/>
              <w:rPr>
                <w:bCs/>
                <w:szCs w:val="24"/>
              </w:rPr>
            </w:pPr>
            <w:r w:rsidRPr="00850658">
              <w:rPr>
                <w:bCs/>
                <w:szCs w:val="24"/>
              </w:rPr>
              <w:t>Licences maksas</w:t>
            </w:r>
            <w:r>
              <w:rPr>
                <w:bCs/>
                <w:szCs w:val="24"/>
              </w:rPr>
              <w:t xml:space="preserve"> </w:t>
            </w:r>
          </w:p>
          <w:p w14:paraId="75FFF6C8" w14:textId="5FDA247C" w:rsidR="00C02FC6" w:rsidRPr="00850658" w:rsidRDefault="00C02FC6" w:rsidP="00C02FC6">
            <w:pPr>
              <w:jc w:val="center"/>
              <w:rPr>
                <w:i/>
                <w:szCs w:val="24"/>
              </w:rPr>
            </w:pPr>
            <w:r w:rsidRPr="00850658">
              <w:rPr>
                <w:bCs/>
                <w:i/>
                <w:szCs w:val="24"/>
              </w:rPr>
              <w:t xml:space="preserve">(maksājums veicams </w:t>
            </w:r>
            <w:r w:rsidR="0024109C" w:rsidRPr="00850658">
              <w:rPr>
                <w:bCs/>
                <w:i/>
                <w:szCs w:val="24"/>
              </w:rPr>
              <w:t>FIBA</w:t>
            </w:r>
            <w:r w:rsidR="0024109C">
              <w:rPr>
                <w:bCs/>
                <w:i/>
                <w:szCs w:val="24"/>
              </w:rPr>
              <w:t xml:space="preserve"> Europe</w:t>
            </w:r>
            <w:r w:rsidRPr="00850658">
              <w:rPr>
                <w:bCs/>
                <w:i/>
                <w:szCs w:val="24"/>
              </w:rPr>
              <w:t>)</w:t>
            </w:r>
          </w:p>
        </w:tc>
        <w:tc>
          <w:tcPr>
            <w:tcW w:w="1309" w:type="dxa"/>
            <w:vAlign w:val="center"/>
          </w:tcPr>
          <w:p w14:paraId="77AB60AC" w14:textId="77777777" w:rsidR="00C02FC6" w:rsidRPr="00850658" w:rsidRDefault="00C02FC6" w:rsidP="00C02FC6">
            <w:pPr>
              <w:jc w:val="center"/>
              <w:rPr>
                <w:szCs w:val="24"/>
              </w:rPr>
            </w:pPr>
            <w:r>
              <w:rPr>
                <w:szCs w:val="24"/>
              </w:rPr>
              <w:t>5</w:t>
            </w:r>
            <w:r w:rsidRPr="00850658">
              <w:rPr>
                <w:szCs w:val="24"/>
              </w:rPr>
              <w:t xml:space="preserve"> 000 000</w:t>
            </w:r>
          </w:p>
        </w:tc>
        <w:tc>
          <w:tcPr>
            <w:tcW w:w="4394" w:type="dxa"/>
            <w:vAlign w:val="center"/>
          </w:tcPr>
          <w:p w14:paraId="04A896CE" w14:textId="77777777" w:rsidR="00C02FC6" w:rsidRDefault="00C02FC6" w:rsidP="00C02FC6">
            <w:pPr>
              <w:jc w:val="center"/>
              <w:rPr>
                <w:szCs w:val="24"/>
              </w:rPr>
            </w:pPr>
            <w:r w:rsidRPr="00760283">
              <w:rPr>
                <w:szCs w:val="24"/>
              </w:rPr>
              <w:t>2022.</w:t>
            </w:r>
            <w:r>
              <w:rPr>
                <w:szCs w:val="24"/>
              </w:rPr>
              <w:t xml:space="preserve"> </w:t>
            </w:r>
            <w:r w:rsidRPr="00760283">
              <w:rPr>
                <w:szCs w:val="24"/>
              </w:rPr>
              <w:t>gada 30.</w:t>
            </w:r>
            <w:r>
              <w:rPr>
                <w:szCs w:val="24"/>
              </w:rPr>
              <w:t xml:space="preserve"> septemb</w:t>
            </w:r>
            <w:r w:rsidRPr="00760283">
              <w:rPr>
                <w:szCs w:val="24"/>
              </w:rPr>
              <w:t>r</w:t>
            </w:r>
            <w:r>
              <w:rPr>
                <w:szCs w:val="24"/>
              </w:rPr>
              <w:t>i</w:t>
            </w:r>
            <w:r w:rsidRPr="00760283">
              <w:rPr>
                <w:szCs w:val="24"/>
              </w:rPr>
              <w:t xml:space="preserve">s – 800 000 </w:t>
            </w:r>
            <w:r>
              <w:rPr>
                <w:szCs w:val="24"/>
              </w:rPr>
              <w:t>EUR</w:t>
            </w:r>
          </w:p>
          <w:p w14:paraId="52AE1B1A" w14:textId="77777777" w:rsidR="00C02FC6" w:rsidRDefault="00C02FC6" w:rsidP="00C02FC6">
            <w:pPr>
              <w:jc w:val="center"/>
              <w:rPr>
                <w:szCs w:val="24"/>
              </w:rPr>
            </w:pPr>
            <w:r w:rsidRPr="00760283">
              <w:rPr>
                <w:szCs w:val="24"/>
              </w:rPr>
              <w:t>2023.</w:t>
            </w:r>
            <w:r>
              <w:rPr>
                <w:szCs w:val="24"/>
              </w:rPr>
              <w:t xml:space="preserve"> </w:t>
            </w:r>
            <w:r w:rsidRPr="00760283">
              <w:rPr>
                <w:szCs w:val="24"/>
              </w:rPr>
              <w:t>gada 31.</w:t>
            </w:r>
            <w:r>
              <w:rPr>
                <w:szCs w:val="24"/>
              </w:rPr>
              <w:t xml:space="preserve"> </w:t>
            </w:r>
            <w:r w:rsidRPr="00760283">
              <w:rPr>
                <w:szCs w:val="24"/>
              </w:rPr>
              <w:t xml:space="preserve">marts – 650 000 </w:t>
            </w:r>
            <w:r>
              <w:rPr>
                <w:szCs w:val="24"/>
              </w:rPr>
              <w:t>EUR</w:t>
            </w:r>
          </w:p>
          <w:p w14:paraId="7C528C1C" w14:textId="77777777" w:rsidR="00C02FC6" w:rsidRDefault="00C02FC6" w:rsidP="00C02FC6">
            <w:pPr>
              <w:jc w:val="center"/>
              <w:rPr>
                <w:szCs w:val="24"/>
              </w:rPr>
            </w:pPr>
            <w:r w:rsidRPr="00760283">
              <w:rPr>
                <w:szCs w:val="24"/>
              </w:rPr>
              <w:t>2023.</w:t>
            </w:r>
            <w:r>
              <w:rPr>
                <w:szCs w:val="24"/>
              </w:rPr>
              <w:t xml:space="preserve"> </w:t>
            </w:r>
            <w:r w:rsidRPr="00760283">
              <w:rPr>
                <w:szCs w:val="24"/>
              </w:rPr>
              <w:t>gada 30.</w:t>
            </w:r>
            <w:r>
              <w:rPr>
                <w:szCs w:val="24"/>
              </w:rPr>
              <w:t xml:space="preserve"> septemb</w:t>
            </w:r>
            <w:r w:rsidRPr="00760283">
              <w:rPr>
                <w:szCs w:val="24"/>
              </w:rPr>
              <w:t>r</w:t>
            </w:r>
            <w:r>
              <w:rPr>
                <w:szCs w:val="24"/>
              </w:rPr>
              <w:t>i</w:t>
            </w:r>
            <w:r w:rsidRPr="00760283">
              <w:rPr>
                <w:szCs w:val="24"/>
              </w:rPr>
              <w:t xml:space="preserve">s – 650 000 </w:t>
            </w:r>
            <w:r>
              <w:rPr>
                <w:szCs w:val="24"/>
              </w:rPr>
              <w:t>EUR</w:t>
            </w:r>
          </w:p>
          <w:p w14:paraId="05D5FBF2" w14:textId="77777777" w:rsidR="00C02FC6" w:rsidRDefault="00C02FC6" w:rsidP="00C02FC6">
            <w:pPr>
              <w:jc w:val="center"/>
              <w:rPr>
                <w:szCs w:val="24"/>
              </w:rPr>
            </w:pPr>
            <w:r w:rsidRPr="00760283">
              <w:rPr>
                <w:szCs w:val="24"/>
              </w:rPr>
              <w:t>2024.</w:t>
            </w:r>
            <w:r>
              <w:rPr>
                <w:szCs w:val="24"/>
              </w:rPr>
              <w:t xml:space="preserve"> </w:t>
            </w:r>
            <w:r w:rsidRPr="00760283">
              <w:rPr>
                <w:szCs w:val="24"/>
              </w:rPr>
              <w:t>gada 31.</w:t>
            </w:r>
            <w:r>
              <w:rPr>
                <w:szCs w:val="24"/>
              </w:rPr>
              <w:t xml:space="preserve"> </w:t>
            </w:r>
            <w:r w:rsidRPr="00760283">
              <w:rPr>
                <w:szCs w:val="24"/>
              </w:rPr>
              <w:t xml:space="preserve">marts – 650 000 </w:t>
            </w:r>
            <w:r>
              <w:rPr>
                <w:szCs w:val="24"/>
              </w:rPr>
              <w:t>EUR</w:t>
            </w:r>
          </w:p>
          <w:p w14:paraId="7D2F2A6F" w14:textId="77777777" w:rsidR="00C02FC6" w:rsidRDefault="00C02FC6" w:rsidP="00C02FC6">
            <w:pPr>
              <w:jc w:val="center"/>
              <w:rPr>
                <w:szCs w:val="24"/>
              </w:rPr>
            </w:pPr>
            <w:r w:rsidRPr="00760283">
              <w:rPr>
                <w:szCs w:val="24"/>
              </w:rPr>
              <w:t>2024.</w:t>
            </w:r>
            <w:r>
              <w:rPr>
                <w:szCs w:val="24"/>
              </w:rPr>
              <w:t xml:space="preserve"> </w:t>
            </w:r>
            <w:r w:rsidRPr="00760283">
              <w:rPr>
                <w:szCs w:val="24"/>
              </w:rPr>
              <w:t>gada 30.</w:t>
            </w:r>
            <w:r>
              <w:rPr>
                <w:szCs w:val="24"/>
              </w:rPr>
              <w:t xml:space="preserve"> </w:t>
            </w:r>
            <w:r w:rsidRPr="00760283">
              <w:rPr>
                <w:szCs w:val="24"/>
              </w:rPr>
              <w:t xml:space="preserve">septembris – 650 000 </w:t>
            </w:r>
            <w:r>
              <w:rPr>
                <w:szCs w:val="24"/>
              </w:rPr>
              <w:t xml:space="preserve"> EUR</w:t>
            </w:r>
          </w:p>
          <w:p w14:paraId="157BD505" w14:textId="77777777" w:rsidR="00C02FC6" w:rsidRDefault="00C02FC6" w:rsidP="00C02FC6">
            <w:pPr>
              <w:jc w:val="center"/>
              <w:rPr>
                <w:szCs w:val="24"/>
              </w:rPr>
            </w:pPr>
            <w:r w:rsidRPr="00760283">
              <w:rPr>
                <w:szCs w:val="24"/>
              </w:rPr>
              <w:t>2025.</w:t>
            </w:r>
            <w:r>
              <w:rPr>
                <w:szCs w:val="24"/>
              </w:rPr>
              <w:t xml:space="preserve"> </w:t>
            </w:r>
            <w:r w:rsidRPr="00760283">
              <w:rPr>
                <w:szCs w:val="24"/>
              </w:rPr>
              <w:t>gada 31.</w:t>
            </w:r>
            <w:r>
              <w:rPr>
                <w:szCs w:val="24"/>
              </w:rPr>
              <w:t xml:space="preserve"> </w:t>
            </w:r>
            <w:r w:rsidRPr="00760283">
              <w:rPr>
                <w:szCs w:val="24"/>
              </w:rPr>
              <w:t xml:space="preserve">marts – 800 000 </w:t>
            </w:r>
            <w:r>
              <w:rPr>
                <w:szCs w:val="24"/>
              </w:rPr>
              <w:t>EUR</w:t>
            </w:r>
          </w:p>
          <w:p w14:paraId="4AA7DB7C" w14:textId="77777777" w:rsidR="00C02FC6" w:rsidRPr="00850658" w:rsidRDefault="00C02FC6" w:rsidP="00C02FC6">
            <w:pPr>
              <w:jc w:val="center"/>
              <w:rPr>
                <w:szCs w:val="24"/>
              </w:rPr>
            </w:pPr>
            <w:r w:rsidRPr="00760283">
              <w:rPr>
                <w:szCs w:val="24"/>
              </w:rPr>
              <w:t>2025.</w:t>
            </w:r>
            <w:r>
              <w:rPr>
                <w:szCs w:val="24"/>
              </w:rPr>
              <w:t xml:space="preserve"> </w:t>
            </w:r>
            <w:r w:rsidRPr="00760283">
              <w:rPr>
                <w:szCs w:val="24"/>
              </w:rPr>
              <w:t>gada 30.</w:t>
            </w:r>
            <w:r>
              <w:rPr>
                <w:szCs w:val="24"/>
              </w:rPr>
              <w:t xml:space="preserve"> </w:t>
            </w:r>
            <w:r w:rsidRPr="00760283">
              <w:rPr>
                <w:szCs w:val="24"/>
              </w:rPr>
              <w:t>jūnijs – 800</w:t>
            </w:r>
            <w:r>
              <w:rPr>
                <w:szCs w:val="24"/>
              </w:rPr>
              <w:t> </w:t>
            </w:r>
            <w:r w:rsidRPr="00760283">
              <w:rPr>
                <w:szCs w:val="24"/>
              </w:rPr>
              <w:t>000</w:t>
            </w:r>
            <w:r>
              <w:rPr>
                <w:szCs w:val="24"/>
              </w:rPr>
              <w:t xml:space="preserve"> EUR</w:t>
            </w:r>
          </w:p>
        </w:tc>
      </w:tr>
      <w:tr w:rsidR="00C02FC6" w:rsidRPr="00850658" w14:paraId="0972C267" w14:textId="77777777" w:rsidTr="000D7695">
        <w:trPr>
          <w:trHeight w:val="118"/>
          <w:jc w:val="center"/>
        </w:trPr>
        <w:tc>
          <w:tcPr>
            <w:tcW w:w="3823" w:type="dxa"/>
            <w:vAlign w:val="center"/>
          </w:tcPr>
          <w:p w14:paraId="10B25044" w14:textId="77777777" w:rsidR="00C02FC6" w:rsidRDefault="00C02FC6" w:rsidP="00C02FC6">
            <w:pPr>
              <w:jc w:val="center"/>
              <w:rPr>
                <w:bCs/>
                <w:szCs w:val="24"/>
              </w:rPr>
            </w:pPr>
            <w:r w:rsidRPr="00850658">
              <w:rPr>
                <w:bCs/>
                <w:szCs w:val="24"/>
              </w:rPr>
              <w:t>TV translāciju izmaksas</w:t>
            </w:r>
            <w:r>
              <w:rPr>
                <w:bCs/>
                <w:szCs w:val="24"/>
              </w:rPr>
              <w:t xml:space="preserve"> grupas fāzei</w:t>
            </w:r>
          </w:p>
          <w:p w14:paraId="23BE0C88" w14:textId="298F4AB8" w:rsidR="00C02FC6" w:rsidRPr="00850658" w:rsidRDefault="00C02FC6" w:rsidP="00C02FC6">
            <w:pPr>
              <w:jc w:val="center"/>
              <w:rPr>
                <w:szCs w:val="24"/>
              </w:rPr>
            </w:pPr>
            <w:r w:rsidRPr="00850658">
              <w:rPr>
                <w:bCs/>
                <w:i/>
                <w:szCs w:val="24"/>
              </w:rPr>
              <w:t>(maksājums veicams FIBA</w:t>
            </w:r>
            <w:r w:rsidR="0024109C">
              <w:rPr>
                <w:bCs/>
                <w:i/>
                <w:szCs w:val="24"/>
              </w:rPr>
              <w:t xml:space="preserve"> Europe</w:t>
            </w:r>
            <w:r w:rsidRPr="00850658">
              <w:rPr>
                <w:bCs/>
                <w:i/>
                <w:szCs w:val="24"/>
              </w:rPr>
              <w:t>)</w:t>
            </w:r>
          </w:p>
        </w:tc>
        <w:tc>
          <w:tcPr>
            <w:tcW w:w="1309" w:type="dxa"/>
            <w:vAlign w:val="center"/>
          </w:tcPr>
          <w:p w14:paraId="4CF3905A" w14:textId="77777777" w:rsidR="00C02FC6" w:rsidRPr="00850658" w:rsidRDefault="00C02FC6" w:rsidP="00C02FC6">
            <w:pPr>
              <w:jc w:val="center"/>
              <w:rPr>
                <w:szCs w:val="24"/>
              </w:rPr>
            </w:pPr>
            <w:r w:rsidRPr="00850658">
              <w:rPr>
                <w:szCs w:val="24"/>
              </w:rPr>
              <w:t>500 000</w:t>
            </w:r>
          </w:p>
        </w:tc>
        <w:tc>
          <w:tcPr>
            <w:tcW w:w="4394" w:type="dxa"/>
            <w:vAlign w:val="center"/>
          </w:tcPr>
          <w:p w14:paraId="36F5A975" w14:textId="77777777" w:rsidR="00C02FC6" w:rsidRPr="00850658" w:rsidRDefault="00C02FC6" w:rsidP="00C02FC6">
            <w:pPr>
              <w:jc w:val="center"/>
              <w:rPr>
                <w:szCs w:val="24"/>
              </w:rPr>
            </w:pPr>
            <w:r w:rsidRPr="00850658">
              <w:rPr>
                <w:szCs w:val="24"/>
              </w:rPr>
              <w:t>2025.</w:t>
            </w:r>
            <w:r>
              <w:rPr>
                <w:szCs w:val="24"/>
              </w:rPr>
              <w:t xml:space="preserve"> </w:t>
            </w:r>
            <w:r w:rsidRPr="00850658">
              <w:rPr>
                <w:szCs w:val="24"/>
              </w:rPr>
              <w:t>gada 31.</w:t>
            </w:r>
            <w:r>
              <w:rPr>
                <w:szCs w:val="24"/>
              </w:rPr>
              <w:t xml:space="preserve"> </w:t>
            </w:r>
            <w:r w:rsidRPr="00850658">
              <w:rPr>
                <w:szCs w:val="24"/>
              </w:rPr>
              <w:t>janvāris</w:t>
            </w:r>
          </w:p>
        </w:tc>
      </w:tr>
      <w:tr w:rsidR="00C02FC6" w:rsidRPr="00850658" w14:paraId="1275F8A8" w14:textId="77777777" w:rsidTr="000D7695">
        <w:trPr>
          <w:trHeight w:val="118"/>
          <w:jc w:val="center"/>
        </w:trPr>
        <w:tc>
          <w:tcPr>
            <w:tcW w:w="3823" w:type="dxa"/>
            <w:vAlign w:val="center"/>
          </w:tcPr>
          <w:p w14:paraId="1298952E" w14:textId="77777777" w:rsidR="00C02FC6" w:rsidRDefault="00C02FC6" w:rsidP="00C02FC6">
            <w:pPr>
              <w:jc w:val="center"/>
              <w:rPr>
                <w:bCs/>
                <w:szCs w:val="24"/>
              </w:rPr>
            </w:pPr>
            <w:r w:rsidRPr="00850658">
              <w:rPr>
                <w:bCs/>
                <w:szCs w:val="24"/>
              </w:rPr>
              <w:t>TV translāciju izmaksas</w:t>
            </w:r>
            <w:r>
              <w:rPr>
                <w:bCs/>
                <w:szCs w:val="24"/>
              </w:rPr>
              <w:t xml:space="preserve"> fināla fāzei</w:t>
            </w:r>
          </w:p>
          <w:p w14:paraId="029FBC30" w14:textId="4BC224E3" w:rsidR="00C02FC6" w:rsidRPr="00850658" w:rsidRDefault="00C02FC6" w:rsidP="00C02FC6">
            <w:pPr>
              <w:jc w:val="center"/>
              <w:rPr>
                <w:bCs/>
                <w:szCs w:val="24"/>
              </w:rPr>
            </w:pPr>
            <w:r w:rsidRPr="00850658">
              <w:rPr>
                <w:bCs/>
                <w:i/>
                <w:szCs w:val="24"/>
              </w:rPr>
              <w:t xml:space="preserve">(maksājums veicams </w:t>
            </w:r>
            <w:r w:rsidR="0024109C" w:rsidRPr="00850658">
              <w:rPr>
                <w:bCs/>
                <w:i/>
                <w:szCs w:val="24"/>
              </w:rPr>
              <w:t>FIBA</w:t>
            </w:r>
            <w:r w:rsidR="0024109C">
              <w:rPr>
                <w:bCs/>
                <w:i/>
                <w:szCs w:val="24"/>
              </w:rPr>
              <w:t xml:space="preserve"> Europe</w:t>
            </w:r>
            <w:r w:rsidRPr="00850658">
              <w:rPr>
                <w:bCs/>
                <w:i/>
                <w:szCs w:val="24"/>
              </w:rPr>
              <w:t>)</w:t>
            </w:r>
          </w:p>
        </w:tc>
        <w:tc>
          <w:tcPr>
            <w:tcW w:w="1309" w:type="dxa"/>
            <w:vAlign w:val="center"/>
          </w:tcPr>
          <w:p w14:paraId="450332F0" w14:textId="77777777" w:rsidR="00C02FC6" w:rsidRPr="00850658" w:rsidRDefault="00C02FC6" w:rsidP="00C02FC6">
            <w:pPr>
              <w:jc w:val="center"/>
              <w:rPr>
                <w:szCs w:val="24"/>
              </w:rPr>
            </w:pPr>
            <w:r>
              <w:rPr>
                <w:szCs w:val="24"/>
              </w:rPr>
              <w:t>580</w:t>
            </w:r>
            <w:r w:rsidRPr="00850658">
              <w:rPr>
                <w:szCs w:val="24"/>
              </w:rPr>
              <w:t xml:space="preserve"> 000</w:t>
            </w:r>
          </w:p>
        </w:tc>
        <w:tc>
          <w:tcPr>
            <w:tcW w:w="4394" w:type="dxa"/>
            <w:vAlign w:val="center"/>
          </w:tcPr>
          <w:p w14:paraId="26C5EF31" w14:textId="77777777" w:rsidR="00C02FC6" w:rsidRPr="00850658" w:rsidRDefault="00C02FC6" w:rsidP="00C02FC6">
            <w:pPr>
              <w:jc w:val="center"/>
              <w:rPr>
                <w:szCs w:val="24"/>
              </w:rPr>
            </w:pPr>
            <w:r w:rsidRPr="00850658">
              <w:rPr>
                <w:szCs w:val="24"/>
              </w:rPr>
              <w:t>2025.</w:t>
            </w:r>
            <w:r>
              <w:rPr>
                <w:szCs w:val="24"/>
              </w:rPr>
              <w:t xml:space="preserve"> </w:t>
            </w:r>
            <w:r w:rsidRPr="00850658">
              <w:rPr>
                <w:szCs w:val="24"/>
              </w:rPr>
              <w:t>gada 31.</w:t>
            </w:r>
            <w:r>
              <w:rPr>
                <w:szCs w:val="24"/>
              </w:rPr>
              <w:t xml:space="preserve"> </w:t>
            </w:r>
            <w:r w:rsidRPr="00850658">
              <w:rPr>
                <w:szCs w:val="24"/>
              </w:rPr>
              <w:t>janvāris</w:t>
            </w:r>
          </w:p>
        </w:tc>
      </w:tr>
      <w:tr w:rsidR="00C02FC6" w:rsidRPr="00850658" w14:paraId="2B94DFCE" w14:textId="77777777" w:rsidTr="000D7695">
        <w:trPr>
          <w:trHeight w:val="118"/>
          <w:jc w:val="center"/>
        </w:trPr>
        <w:tc>
          <w:tcPr>
            <w:tcW w:w="3823" w:type="dxa"/>
            <w:vAlign w:val="center"/>
          </w:tcPr>
          <w:p w14:paraId="52D0EDF1" w14:textId="77777777" w:rsidR="00C02FC6" w:rsidRDefault="00C02FC6" w:rsidP="00C02FC6">
            <w:pPr>
              <w:jc w:val="center"/>
              <w:rPr>
                <w:bCs/>
                <w:szCs w:val="24"/>
              </w:rPr>
            </w:pPr>
            <w:r w:rsidRPr="00850658">
              <w:rPr>
                <w:bCs/>
                <w:szCs w:val="24"/>
              </w:rPr>
              <w:t>IT nodrošinājums</w:t>
            </w:r>
          </w:p>
          <w:p w14:paraId="34451722" w14:textId="1A0763AD" w:rsidR="00C02FC6" w:rsidRPr="00850658" w:rsidRDefault="00C02FC6" w:rsidP="00C02FC6">
            <w:pPr>
              <w:jc w:val="center"/>
              <w:rPr>
                <w:szCs w:val="24"/>
              </w:rPr>
            </w:pPr>
            <w:r w:rsidRPr="00850658">
              <w:rPr>
                <w:bCs/>
                <w:i/>
                <w:szCs w:val="24"/>
              </w:rPr>
              <w:t xml:space="preserve">(maksājums veicams </w:t>
            </w:r>
            <w:r w:rsidR="0024109C" w:rsidRPr="00850658">
              <w:rPr>
                <w:bCs/>
                <w:i/>
                <w:szCs w:val="24"/>
              </w:rPr>
              <w:t>FIBA</w:t>
            </w:r>
            <w:r w:rsidR="0024109C">
              <w:rPr>
                <w:bCs/>
                <w:i/>
                <w:szCs w:val="24"/>
              </w:rPr>
              <w:t xml:space="preserve"> Europe</w:t>
            </w:r>
            <w:r w:rsidRPr="00850658">
              <w:rPr>
                <w:bCs/>
                <w:i/>
                <w:szCs w:val="24"/>
              </w:rPr>
              <w:t>)</w:t>
            </w:r>
          </w:p>
        </w:tc>
        <w:tc>
          <w:tcPr>
            <w:tcW w:w="1309" w:type="dxa"/>
            <w:vAlign w:val="center"/>
          </w:tcPr>
          <w:p w14:paraId="5995525C" w14:textId="77777777" w:rsidR="00C02FC6" w:rsidRPr="00850658" w:rsidRDefault="00C02FC6" w:rsidP="00C02FC6">
            <w:pPr>
              <w:jc w:val="center"/>
              <w:rPr>
                <w:szCs w:val="24"/>
              </w:rPr>
            </w:pPr>
            <w:r>
              <w:rPr>
                <w:szCs w:val="24"/>
              </w:rPr>
              <w:t>250</w:t>
            </w:r>
            <w:r w:rsidRPr="00850658">
              <w:rPr>
                <w:szCs w:val="24"/>
              </w:rPr>
              <w:t xml:space="preserve"> 000</w:t>
            </w:r>
          </w:p>
        </w:tc>
        <w:tc>
          <w:tcPr>
            <w:tcW w:w="4394" w:type="dxa"/>
            <w:vAlign w:val="center"/>
          </w:tcPr>
          <w:p w14:paraId="5085798C" w14:textId="77777777" w:rsidR="00C02FC6" w:rsidRPr="00850658" w:rsidRDefault="00C02FC6" w:rsidP="00C02FC6">
            <w:pPr>
              <w:jc w:val="center"/>
              <w:rPr>
                <w:szCs w:val="24"/>
              </w:rPr>
            </w:pPr>
            <w:r w:rsidRPr="00850658">
              <w:rPr>
                <w:szCs w:val="24"/>
              </w:rPr>
              <w:t>2023.</w:t>
            </w:r>
            <w:r>
              <w:rPr>
                <w:szCs w:val="24"/>
              </w:rPr>
              <w:t xml:space="preserve"> </w:t>
            </w:r>
            <w:r w:rsidRPr="00850658">
              <w:rPr>
                <w:szCs w:val="24"/>
              </w:rPr>
              <w:t>gada 31.augusts</w:t>
            </w:r>
          </w:p>
        </w:tc>
      </w:tr>
      <w:tr w:rsidR="00C02FC6" w:rsidRPr="00850658" w14:paraId="72BE1CFD" w14:textId="77777777" w:rsidTr="000D7695">
        <w:trPr>
          <w:trHeight w:val="118"/>
          <w:jc w:val="center"/>
        </w:trPr>
        <w:tc>
          <w:tcPr>
            <w:tcW w:w="3823" w:type="dxa"/>
            <w:vAlign w:val="center"/>
          </w:tcPr>
          <w:p w14:paraId="095AA38D" w14:textId="73A22984" w:rsidR="00C02FC6" w:rsidRDefault="00C02FC6" w:rsidP="00C02FC6">
            <w:pPr>
              <w:jc w:val="center"/>
              <w:rPr>
                <w:bCs/>
                <w:szCs w:val="24"/>
              </w:rPr>
            </w:pPr>
            <w:r w:rsidRPr="00850658">
              <w:rPr>
                <w:bCs/>
                <w:szCs w:val="24"/>
              </w:rPr>
              <w:t>Depozīta iemaksa*</w:t>
            </w:r>
          </w:p>
          <w:p w14:paraId="75411729" w14:textId="787F71E3" w:rsidR="00C02FC6" w:rsidRPr="00850658" w:rsidRDefault="00C02FC6" w:rsidP="00C02FC6">
            <w:pPr>
              <w:jc w:val="center"/>
              <w:rPr>
                <w:szCs w:val="24"/>
              </w:rPr>
            </w:pPr>
            <w:r w:rsidRPr="00850658">
              <w:rPr>
                <w:bCs/>
                <w:i/>
                <w:szCs w:val="24"/>
              </w:rPr>
              <w:t xml:space="preserve">(maksājums veicams </w:t>
            </w:r>
            <w:r w:rsidR="0024109C" w:rsidRPr="00850658">
              <w:rPr>
                <w:bCs/>
                <w:i/>
                <w:szCs w:val="24"/>
              </w:rPr>
              <w:t>FIBA</w:t>
            </w:r>
            <w:r w:rsidR="0024109C">
              <w:rPr>
                <w:bCs/>
                <w:i/>
                <w:szCs w:val="24"/>
              </w:rPr>
              <w:t xml:space="preserve"> Europe</w:t>
            </w:r>
            <w:r w:rsidRPr="00850658">
              <w:rPr>
                <w:bCs/>
                <w:i/>
                <w:szCs w:val="24"/>
              </w:rPr>
              <w:t>)</w:t>
            </w:r>
          </w:p>
        </w:tc>
        <w:tc>
          <w:tcPr>
            <w:tcW w:w="1309" w:type="dxa"/>
            <w:vAlign w:val="center"/>
          </w:tcPr>
          <w:p w14:paraId="5D226FE9" w14:textId="77777777" w:rsidR="00C02FC6" w:rsidRPr="00850658" w:rsidRDefault="00C02FC6" w:rsidP="00C02FC6">
            <w:pPr>
              <w:jc w:val="center"/>
              <w:rPr>
                <w:szCs w:val="24"/>
              </w:rPr>
            </w:pPr>
            <w:r>
              <w:rPr>
                <w:szCs w:val="24"/>
              </w:rPr>
              <w:t>300</w:t>
            </w:r>
            <w:r w:rsidRPr="00850658">
              <w:rPr>
                <w:szCs w:val="24"/>
              </w:rPr>
              <w:t xml:space="preserve"> 000</w:t>
            </w:r>
          </w:p>
        </w:tc>
        <w:tc>
          <w:tcPr>
            <w:tcW w:w="4394" w:type="dxa"/>
            <w:vAlign w:val="center"/>
          </w:tcPr>
          <w:p w14:paraId="0D2C2CC4" w14:textId="77777777" w:rsidR="00C02FC6" w:rsidRPr="00850658" w:rsidRDefault="00C02FC6" w:rsidP="00C02FC6">
            <w:pPr>
              <w:jc w:val="center"/>
              <w:rPr>
                <w:szCs w:val="24"/>
              </w:rPr>
            </w:pPr>
            <w:r w:rsidRPr="00850658">
              <w:rPr>
                <w:szCs w:val="24"/>
              </w:rPr>
              <w:t>2022.</w:t>
            </w:r>
            <w:r>
              <w:rPr>
                <w:szCs w:val="24"/>
              </w:rPr>
              <w:t xml:space="preserve"> </w:t>
            </w:r>
            <w:r w:rsidRPr="00850658">
              <w:rPr>
                <w:szCs w:val="24"/>
              </w:rPr>
              <w:t>gada 31.</w:t>
            </w:r>
            <w:r>
              <w:rPr>
                <w:szCs w:val="24"/>
              </w:rPr>
              <w:t xml:space="preserve"> </w:t>
            </w:r>
            <w:r w:rsidRPr="00850658">
              <w:rPr>
                <w:szCs w:val="24"/>
              </w:rPr>
              <w:t>maijs</w:t>
            </w:r>
          </w:p>
        </w:tc>
      </w:tr>
      <w:tr w:rsidR="00C02FC6" w:rsidRPr="00850658" w14:paraId="5CAB8925" w14:textId="77777777" w:rsidTr="000D7695">
        <w:trPr>
          <w:trHeight w:val="118"/>
          <w:jc w:val="center"/>
        </w:trPr>
        <w:tc>
          <w:tcPr>
            <w:tcW w:w="3823" w:type="dxa"/>
            <w:vAlign w:val="center"/>
          </w:tcPr>
          <w:p w14:paraId="026B0230" w14:textId="77777777" w:rsidR="00C02FC6" w:rsidRPr="00850658" w:rsidRDefault="00C02FC6" w:rsidP="00C02FC6">
            <w:pPr>
              <w:jc w:val="center"/>
              <w:rPr>
                <w:bCs/>
                <w:szCs w:val="24"/>
              </w:rPr>
            </w:pPr>
            <w:r>
              <w:rPr>
                <w:bCs/>
                <w:szCs w:val="24"/>
              </w:rPr>
              <w:t>LBS tiešie organizēšanas izdevumi</w:t>
            </w:r>
          </w:p>
        </w:tc>
        <w:tc>
          <w:tcPr>
            <w:tcW w:w="1309" w:type="dxa"/>
            <w:vAlign w:val="center"/>
          </w:tcPr>
          <w:p w14:paraId="5E3F8AAE" w14:textId="77777777" w:rsidR="00C02FC6" w:rsidRPr="00850658" w:rsidRDefault="00C02FC6" w:rsidP="00C02FC6">
            <w:pPr>
              <w:jc w:val="center"/>
              <w:rPr>
                <w:szCs w:val="24"/>
              </w:rPr>
            </w:pPr>
            <w:r>
              <w:rPr>
                <w:szCs w:val="24"/>
              </w:rPr>
              <w:t>3 330 000</w:t>
            </w:r>
          </w:p>
        </w:tc>
        <w:tc>
          <w:tcPr>
            <w:tcW w:w="4394" w:type="dxa"/>
            <w:vAlign w:val="center"/>
          </w:tcPr>
          <w:p w14:paraId="46B82B9A" w14:textId="77777777" w:rsidR="00C02FC6" w:rsidRPr="00A4594B" w:rsidRDefault="00C02FC6" w:rsidP="00C02FC6">
            <w:pPr>
              <w:jc w:val="center"/>
              <w:rPr>
                <w:szCs w:val="24"/>
              </w:rPr>
            </w:pPr>
            <w:r>
              <w:rPr>
                <w:szCs w:val="24"/>
              </w:rPr>
              <w:t xml:space="preserve">2022. gadā – 50 </w:t>
            </w:r>
            <w:r w:rsidRPr="00A4594B">
              <w:rPr>
                <w:szCs w:val="24"/>
              </w:rPr>
              <w:t xml:space="preserve">000 </w:t>
            </w:r>
            <w:r>
              <w:rPr>
                <w:szCs w:val="24"/>
              </w:rPr>
              <w:t>EUR</w:t>
            </w:r>
          </w:p>
          <w:p w14:paraId="226D7D20" w14:textId="77777777" w:rsidR="00C02FC6" w:rsidRPr="00A4594B" w:rsidRDefault="00C02FC6" w:rsidP="00C02FC6">
            <w:pPr>
              <w:jc w:val="center"/>
              <w:rPr>
                <w:szCs w:val="24"/>
              </w:rPr>
            </w:pPr>
            <w:r>
              <w:rPr>
                <w:szCs w:val="24"/>
              </w:rPr>
              <w:t xml:space="preserve">2023. gadā – 270 </w:t>
            </w:r>
            <w:r w:rsidRPr="00A4594B">
              <w:rPr>
                <w:szCs w:val="24"/>
              </w:rPr>
              <w:t xml:space="preserve">000 </w:t>
            </w:r>
            <w:r>
              <w:rPr>
                <w:szCs w:val="24"/>
              </w:rPr>
              <w:t>EUR</w:t>
            </w:r>
          </w:p>
          <w:p w14:paraId="5D6607B8" w14:textId="77777777" w:rsidR="00C02FC6" w:rsidRPr="00A4594B" w:rsidRDefault="00C02FC6" w:rsidP="00C02FC6">
            <w:pPr>
              <w:jc w:val="center"/>
              <w:rPr>
                <w:szCs w:val="24"/>
              </w:rPr>
            </w:pPr>
            <w:r w:rsidRPr="00A4594B">
              <w:rPr>
                <w:szCs w:val="24"/>
              </w:rPr>
              <w:t>2024. gadā – 720</w:t>
            </w:r>
            <w:r>
              <w:rPr>
                <w:szCs w:val="24"/>
              </w:rPr>
              <w:t xml:space="preserve"> </w:t>
            </w:r>
            <w:r w:rsidRPr="00A4594B">
              <w:rPr>
                <w:szCs w:val="24"/>
              </w:rPr>
              <w:t xml:space="preserve">000 </w:t>
            </w:r>
            <w:r>
              <w:rPr>
                <w:szCs w:val="24"/>
              </w:rPr>
              <w:t>EUR</w:t>
            </w:r>
          </w:p>
          <w:p w14:paraId="2E43088B" w14:textId="77777777" w:rsidR="00C02FC6" w:rsidRPr="00850658" w:rsidRDefault="00C02FC6" w:rsidP="00C02FC6">
            <w:pPr>
              <w:jc w:val="center"/>
              <w:rPr>
                <w:szCs w:val="24"/>
              </w:rPr>
            </w:pPr>
            <w:r w:rsidRPr="00A4594B">
              <w:rPr>
                <w:szCs w:val="24"/>
              </w:rPr>
              <w:t>2025. gadā – 2</w:t>
            </w:r>
            <w:r>
              <w:rPr>
                <w:szCs w:val="24"/>
              </w:rPr>
              <w:t> </w:t>
            </w:r>
            <w:r w:rsidRPr="00A4594B">
              <w:rPr>
                <w:szCs w:val="24"/>
              </w:rPr>
              <w:t>290</w:t>
            </w:r>
            <w:r>
              <w:rPr>
                <w:szCs w:val="24"/>
              </w:rPr>
              <w:t xml:space="preserve"> </w:t>
            </w:r>
            <w:r w:rsidRPr="00A4594B">
              <w:rPr>
                <w:szCs w:val="24"/>
              </w:rPr>
              <w:t xml:space="preserve">000 </w:t>
            </w:r>
            <w:r>
              <w:rPr>
                <w:szCs w:val="24"/>
              </w:rPr>
              <w:t>EUR</w:t>
            </w:r>
          </w:p>
        </w:tc>
      </w:tr>
      <w:tr w:rsidR="00C02FC6" w:rsidRPr="00850658" w14:paraId="491293F7" w14:textId="77777777" w:rsidTr="000D7695">
        <w:trPr>
          <w:trHeight w:val="118"/>
          <w:jc w:val="center"/>
        </w:trPr>
        <w:tc>
          <w:tcPr>
            <w:tcW w:w="3823" w:type="dxa"/>
            <w:vAlign w:val="center"/>
          </w:tcPr>
          <w:p w14:paraId="3BB949AD" w14:textId="77777777" w:rsidR="00C02FC6" w:rsidRPr="00760283" w:rsidRDefault="00C02FC6" w:rsidP="00C02FC6">
            <w:pPr>
              <w:jc w:val="right"/>
              <w:rPr>
                <w:b/>
                <w:bCs/>
                <w:szCs w:val="24"/>
              </w:rPr>
            </w:pPr>
            <w:r w:rsidRPr="00760283">
              <w:rPr>
                <w:b/>
                <w:bCs/>
                <w:szCs w:val="24"/>
              </w:rPr>
              <w:t>KOPĀ:</w:t>
            </w:r>
          </w:p>
        </w:tc>
        <w:tc>
          <w:tcPr>
            <w:tcW w:w="1309" w:type="dxa"/>
            <w:vAlign w:val="center"/>
          </w:tcPr>
          <w:p w14:paraId="4E4C47A4" w14:textId="7159BC89" w:rsidR="00C02FC6" w:rsidRPr="00760283" w:rsidRDefault="004566C1" w:rsidP="004566C1">
            <w:pPr>
              <w:jc w:val="center"/>
              <w:rPr>
                <w:b/>
                <w:szCs w:val="24"/>
              </w:rPr>
            </w:pPr>
            <w:r>
              <w:rPr>
                <w:b/>
                <w:szCs w:val="24"/>
              </w:rPr>
              <w:t>9 960</w:t>
            </w:r>
            <w:r w:rsidR="00C02FC6">
              <w:rPr>
                <w:b/>
                <w:szCs w:val="24"/>
              </w:rPr>
              <w:t xml:space="preserve"> 000</w:t>
            </w:r>
          </w:p>
        </w:tc>
        <w:tc>
          <w:tcPr>
            <w:tcW w:w="4394" w:type="dxa"/>
            <w:vAlign w:val="center"/>
          </w:tcPr>
          <w:p w14:paraId="5F653797" w14:textId="77777777" w:rsidR="00C02FC6" w:rsidRPr="00760283" w:rsidRDefault="00C02FC6" w:rsidP="00C02FC6">
            <w:pPr>
              <w:jc w:val="center"/>
              <w:rPr>
                <w:szCs w:val="24"/>
              </w:rPr>
            </w:pPr>
          </w:p>
        </w:tc>
      </w:tr>
      <w:tr w:rsidR="004566C1" w:rsidRPr="00850658" w14:paraId="3FBF8B81" w14:textId="77777777" w:rsidTr="000D7695">
        <w:trPr>
          <w:trHeight w:val="118"/>
          <w:jc w:val="center"/>
        </w:trPr>
        <w:tc>
          <w:tcPr>
            <w:tcW w:w="3823" w:type="dxa"/>
            <w:vAlign w:val="center"/>
          </w:tcPr>
          <w:p w14:paraId="0AA0ACA1" w14:textId="50F00BFB" w:rsidR="004566C1" w:rsidRPr="008F7D2E" w:rsidRDefault="004566C1" w:rsidP="004566C1">
            <w:pPr>
              <w:jc w:val="right"/>
              <w:rPr>
                <w:bCs/>
                <w:i/>
                <w:szCs w:val="24"/>
              </w:rPr>
            </w:pPr>
            <w:r w:rsidRPr="008F7D2E">
              <w:rPr>
                <w:bCs/>
                <w:i/>
                <w:szCs w:val="24"/>
              </w:rPr>
              <w:t>tai skaitā 2022. gadā:</w:t>
            </w:r>
          </w:p>
        </w:tc>
        <w:tc>
          <w:tcPr>
            <w:tcW w:w="1309" w:type="dxa"/>
            <w:vAlign w:val="center"/>
          </w:tcPr>
          <w:p w14:paraId="510B640B" w14:textId="29453475" w:rsidR="004566C1" w:rsidRPr="004566C1" w:rsidRDefault="004566C1" w:rsidP="004566C1">
            <w:pPr>
              <w:jc w:val="center"/>
              <w:rPr>
                <w:b/>
                <w:i/>
                <w:szCs w:val="24"/>
              </w:rPr>
            </w:pPr>
            <w:r w:rsidRPr="004566C1">
              <w:rPr>
                <w:i/>
                <w:szCs w:val="24"/>
              </w:rPr>
              <w:t>1 150 000</w:t>
            </w:r>
          </w:p>
        </w:tc>
        <w:tc>
          <w:tcPr>
            <w:tcW w:w="4394" w:type="dxa"/>
            <w:vAlign w:val="center"/>
          </w:tcPr>
          <w:p w14:paraId="3D09E5BE" w14:textId="77777777" w:rsidR="004566C1" w:rsidRPr="00760283" w:rsidRDefault="004566C1" w:rsidP="004566C1">
            <w:pPr>
              <w:jc w:val="center"/>
              <w:rPr>
                <w:szCs w:val="24"/>
              </w:rPr>
            </w:pPr>
          </w:p>
        </w:tc>
      </w:tr>
      <w:tr w:rsidR="004566C1" w:rsidRPr="00850658" w14:paraId="78D7F41A" w14:textId="77777777" w:rsidTr="000D7695">
        <w:trPr>
          <w:trHeight w:val="118"/>
          <w:jc w:val="center"/>
        </w:trPr>
        <w:tc>
          <w:tcPr>
            <w:tcW w:w="3823" w:type="dxa"/>
            <w:vAlign w:val="center"/>
          </w:tcPr>
          <w:p w14:paraId="613A07A1" w14:textId="1C6A0073" w:rsidR="004566C1" w:rsidRPr="008F7D2E" w:rsidRDefault="004566C1" w:rsidP="004566C1">
            <w:pPr>
              <w:jc w:val="right"/>
              <w:rPr>
                <w:bCs/>
                <w:szCs w:val="24"/>
              </w:rPr>
            </w:pPr>
            <w:r w:rsidRPr="008F7D2E">
              <w:rPr>
                <w:bCs/>
                <w:i/>
                <w:szCs w:val="24"/>
              </w:rPr>
              <w:t>tai skaitā 2023. gadā:</w:t>
            </w:r>
          </w:p>
        </w:tc>
        <w:tc>
          <w:tcPr>
            <w:tcW w:w="1309" w:type="dxa"/>
            <w:vAlign w:val="center"/>
          </w:tcPr>
          <w:p w14:paraId="0A439F2E" w14:textId="5EFA3B41" w:rsidR="004566C1" w:rsidRPr="004566C1" w:rsidRDefault="004566C1" w:rsidP="004566C1">
            <w:pPr>
              <w:jc w:val="center"/>
              <w:rPr>
                <w:b/>
                <w:i/>
                <w:szCs w:val="24"/>
              </w:rPr>
            </w:pPr>
            <w:r w:rsidRPr="004566C1">
              <w:rPr>
                <w:i/>
                <w:szCs w:val="24"/>
              </w:rPr>
              <w:t>1 820 000</w:t>
            </w:r>
          </w:p>
        </w:tc>
        <w:tc>
          <w:tcPr>
            <w:tcW w:w="4394" w:type="dxa"/>
            <w:vAlign w:val="center"/>
          </w:tcPr>
          <w:p w14:paraId="5F3E6C92" w14:textId="77777777" w:rsidR="004566C1" w:rsidRPr="00760283" w:rsidRDefault="004566C1" w:rsidP="004566C1">
            <w:pPr>
              <w:jc w:val="center"/>
              <w:rPr>
                <w:szCs w:val="24"/>
              </w:rPr>
            </w:pPr>
          </w:p>
        </w:tc>
      </w:tr>
      <w:tr w:rsidR="004566C1" w:rsidRPr="00850658" w14:paraId="56522299" w14:textId="77777777" w:rsidTr="000D7695">
        <w:trPr>
          <w:trHeight w:val="118"/>
          <w:jc w:val="center"/>
        </w:trPr>
        <w:tc>
          <w:tcPr>
            <w:tcW w:w="3823" w:type="dxa"/>
            <w:vAlign w:val="center"/>
          </w:tcPr>
          <w:p w14:paraId="07CEE34A" w14:textId="79BB4A7C" w:rsidR="004566C1" w:rsidRPr="008F7D2E" w:rsidRDefault="004566C1" w:rsidP="004566C1">
            <w:pPr>
              <w:jc w:val="right"/>
              <w:rPr>
                <w:bCs/>
                <w:szCs w:val="24"/>
              </w:rPr>
            </w:pPr>
            <w:r w:rsidRPr="008F7D2E">
              <w:rPr>
                <w:bCs/>
                <w:i/>
                <w:szCs w:val="24"/>
              </w:rPr>
              <w:t>tai skaitā 2024. gadā:</w:t>
            </w:r>
          </w:p>
        </w:tc>
        <w:tc>
          <w:tcPr>
            <w:tcW w:w="1309" w:type="dxa"/>
            <w:vAlign w:val="center"/>
          </w:tcPr>
          <w:p w14:paraId="26F23094" w14:textId="40C002C8" w:rsidR="004566C1" w:rsidRPr="004566C1" w:rsidRDefault="004566C1" w:rsidP="004566C1">
            <w:pPr>
              <w:jc w:val="center"/>
              <w:rPr>
                <w:b/>
                <w:i/>
                <w:szCs w:val="24"/>
              </w:rPr>
            </w:pPr>
            <w:r w:rsidRPr="004566C1">
              <w:rPr>
                <w:i/>
                <w:szCs w:val="24"/>
              </w:rPr>
              <w:t>2 020 000</w:t>
            </w:r>
          </w:p>
        </w:tc>
        <w:tc>
          <w:tcPr>
            <w:tcW w:w="4394" w:type="dxa"/>
            <w:vAlign w:val="center"/>
          </w:tcPr>
          <w:p w14:paraId="343E5510" w14:textId="77777777" w:rsidR="004566C1" w:rsidRPr="00760283" w:rsidRDefault="004566C1" w:rsidP="004566C1">
            <w:pPr>
              <w:jc w:val="center"/>
              <w:rPr>
                <w:szCs w:val="24"/>
              </w:rPr>
            </w:pPr>
          </w:p>
        </w:tc>
      </w:tr>
      <w:tr w:rsidR="004566C1" w:rsidRPr="00850658" w14:paraId="63A82606" w14:textId="77777777" w:rsidTr="000D7695">
        <w:trPr>
          <w:trHeight w:val="118"/>
          <w:jc w:val="center"/>
        </w:trPr>
        <w:tc>
          <w:tcPr>
            <w:tcW w:w="3823" w:type="dxa"/>
            <w:vAlign w:val="center"/>
          </w:tcPr>
          <w:p w14:paraId="6F84C823" w14:textId="36A45541" w:rsidR="004566C1" w:rsidRPr="008F7D2E" w:rsidRDefault="004566C1" w:rsidP="004566C1">
            <w:pPr>
              <w:jc w:val="right"/>
              <w:rPr>
                <w:bCs/>
                <w:szCs w:val="24"/>
              </w:rPr>
            </w:pPr>
            <w:r w:rsidRPr="008F7D2E">
              <w:rPr>
                <w:bCs/>
                <w:i/>
                <w:szCs w:val="24"/>
              </w:rPr>
              <w:t>tai skaitā 2025. gadā:</w:t>
            </w:r>
          </w:p>
        </w:tc>
        <w:tc>
          <w:tcPr>
            <w:tcW w:w="1309" w:type="dxa"/>
            <w:vAlign w:val="center"/>
          </w:tcPr>
          <w:p w14:paraId="53FEE5CB" w14:textId="21378827" w:rsidR="004566C1" w:rsidRPr="004566C1" w:rsidRDefault="004566C1" w:rsidP="004566C1">
            <w:pPr>
              <w:jc w:val="center"/>
              <w:rPr>
                <w:b/>
                <w:i/>
                <w:szCs w:val="24"/>
              </w:rPr>
            </w:pPr>
            <w:r w:rsidRPr="004566C1">
              <w:rPr>
                <w:i/>
                <w:szCs w:val="24"/>
              </w:rPr>
              <w:t>4 970 000</w:t>
            </w:r>
          </w:p>
        </w:tc>
        <w:tc>
          <w:tcPr>
            <w:tcW w:w="4394" w:type="dxa"/>
            <w:vAlign w:val="center"/>
          </w:tcPr>
          <w:p w14:paraId="74C278FB" w14:textId="77777777" w:rsidR="004566C1" w:rsidRPr="00760283" w:rsidRDefault="004566C1" w:rsidP="004566C1">
            <w:pPr>
              <w:jc w:val="center"/>
              <w:rPr>
                <w:szCs w:val="24"/>
              </w:rPr>
            </w:pPr>
          </w:p>
        </w:tc>
      </w:tr>
    </w:tbl>
    <w:p w14:paraId="68C34B16" w14:textId="77777777" w:rsidR="00C02FC6" w:rsidRPr="00F62EB2" w:rsidRDefault="00C02FC6" w:rsidP="00C02FC6">
      <w:pPr>
        <w:rPr>
          <w:sz w:val="16"/>
          <w:szCs w:val="16"/>
        </w:rPr>
      </w:pPr>
    </w:p>
    <w:p w14:paraId="3DA129FF" w14:textId="1AA2D3C0" w:rsidR="00C02FC6" w:rsidRDefault="00C02FC6" w:rsidP="00C02FC6">
      <w:pPr>
        <w:rPr>
          <w:szCs w:val="24"/>
        </w:rPr>
      </w:pPr>
      <w:r w:rsidRPr="006E730A">
        <w:rPr>
          <w:szCs w:val="24"/>
        </w:rPr>
        <w:t xml:space="preserve">* - veiksmīgi noorganizēta čempionāta gadījumā depozīta iemaksu </w:t>
      </w:r>
      <w:r w:rsidRPr="006E730A">
        <w:rPr>
          <w:i/>
          <w:szCs w:val="24"/>
        </w:rPr>
        <w:t>FIBA Europe</w:t>
      </w:r>
      <w:r w:rsidRPr="006E730A">
        <w:rPr>
          <w:szCs w:val="24"/>
        </w:rPr>
        <w:t xml:space="preserve"> atmaksā LBS, kas to pārskaita valsts budžetā.</w:t>
      </w:r>
    </w:p>
    <w:p w14:paraId="6AD4E417" w14:textId="77777777" w:rsidR="00C02FC6" w:rsidRDefault="00C02FC6" w:rsidP="00C02FC6">
      <w:pPr>
        <w:rPr>
          <w:szCs w:val="24"/>
        </w:rPr>
      </w:pPr>
    </w:p>
    <w:p w14:paraId="085746FB" w14:textId="07513AEA" w:rsidR="00C02FC6" w:rsidRDefault="00613F7C" w:rsidP="00D33975">
      <w:pPr>
        <w:ind w:firstLine="720"/>
        <w:rPr>
          <w:szCs w:val="24"/>
        </w:rPr>
      </w:pPr>
      <w:r>
        <w:rPr>
          <w:szCs w:val="24"/>
        </w:rPr>
        <w:t xml:space="preserve">LBS 2022. gada 7. aprīļa vēstulē Nr. </w:t>
      </w:r>
      <w:r w:rsidRPr="00613F7C">
        <w:rPr>
          <w:szCs w:val="24"/>
        </w:rPr>
        <w:t>03/42</w:t>
      </w:r>
      <w:r>
        <w:rPr>
          <w:szCs w:val="24"/>
        </w:rPr>
        <w:t xml:space="preserve"> atbilstoši </w:t>
      </w:r>
      <w:r w:rsidR="00267440">
        <w:rPr>
          <w:szCs w:val="24"/>
        </w:rPr>
        <w:t>Kandidēšanas ziņojumā iekļautam</w:t>
      </w:r>
      <w:r>
        <w:rPr>
          <w:szCs w:val="24"/>
        </w:rPr>
        <w:t xml:space="preserve"> </w:t>
      </w:r>
      <w:r w:rsidR="00267440">
        <w:rPr>
          <w:szCs w:val="24"/>
        </w:rPr>
        <w:t xml:space="preserve">pieprasītā </w:t>
      </w:r>
      <w:r>
        <w:rPr>
          <w:szCs w:val="24"/>
        </w:rPr>
        <w:t>valsts līdzfinansējuma grafikam un tajā iekļautajām izdevumu pozīcijām</w:t>
      </w:r>
      <w:r w:rsidR="000B48CD">
        <w:rPr>
          <w:szCs w:val="24"/>
        </w:rPr>
        <w:t>, kā arī saskaņā ar Organizēšanas līgumā uzņemtajām saistībām</w:t>
      </w:r>
      <w:r>
        <w:rPr>
          <w:szCs w:val="24"/>
        </w:rPr>
        <w:t xml:space="preserve"> ir lūgusi </w:t>
      </w:r>
      <w:r w:rsidR="00150D67" w:rsidRPr="00150D67">
        <w:rPr>
          <w:i/>
          <w:szCs w:val="24"/>
        </w:rPr>
        <w:t xml:space="preserve">FIBA EuroBasket 2025 </w:t>
      </w:r>
      <w:r w:rsidR="00C82753" w:rsidRPr="00C82753">
        <w:rPr>
          <w:szCs w:val="24"/>
        </w:rPr>
        <w:t>organizēšanas</w:t>
      </w:r>
      <w:r w:rsidR="00C82753">
        <w:rPr>
          <w:i/>
          <w:szCs w:val="24"/>
        </w:rPr>
        <w:t xml:space="preserve"> </w:t>
      </w:r>
      <w:r w:rsidR="00150D67">
        <w:rPr>
          <w:szCs w:val="24"/>
        </w:rPr>
        <w:t xml:space="preserve">2022. gada izdevumu segšanai </w:t>
      </w:r>
      <w:r>
        <w:rPr>
          <w:szCs w:val="24"/>
        </w:rPr>
        <w:t>piešķirt LBS</w:t>
      </w:r>
      <w:r w:rsidR="0088186C">
        <w:rPr>
          <w:szCs w:val="24"/>
        </w:rPr>
        <w:t xml:space="preserve"> 1 150 000 EUR, tai skaitā:</w:t>
      </w:r>
    </w:p>
    <w:p w14:paraId="2CEDC491" w14:textId="42EB5699" w:rsidR="00613F7C" w:rsidRDefault="0088186C" w:rsidP="0088186C">
      <w:pPr>
        <w:ind w:firstLine="720"/>
        <w:rPr>
          <w:szCs w:val="24"/>
        </w:rPr>
      </w:pPr>
      <w:r>
        <w:rPr>
          <w:szCs w:val="24"/>
        </w:rPr>
        <w:t xml:space="preserve">(1) 300 000 EUR </w:t>
      </w:r>
      <w:r w:rsidR="00613F7C" w:rsidRPr="0088186C">
        <w:rPr>
          <w:szCs w:val="24"/>
        </w:rPr>
        <w:t xml:space="preserve">līgumā ar </w:t>
      </w:r>
      <w:r w:rsidR="00613F7C" w:rsidRPr="0088186C">
        <w:rPr>
          <w:i/>
          <w:szCs w:val="24"/>
        </w:rPr>
        <w:t>FIBA Europe</w:t>
      </w:r>
      <w:r w:rsidR="00613F7C" w:rsidRPr="0088186C">
        <w:rPr>
          <w:szCs w:val="24"/>
        </w:rPr>
        <w:t xml:space="preserve"> paredzētā depozīta</w:t>
      </w:r>
      <w:r w:rsidRPr="0088186C">
        <w:rPr>
          <w:szCs w:val="24"/>
        </w:rPr>
        <w:t xml:space="preserve"> </w:t>
      </w:r>
      <w:r w:rsidR="00613F7C" w:rsidRPr="0088186C">
        <w:rPr>
          <w:szCs w:val="24"/>
        </w:rPr>
        <w:t>iemaksāšanai;</w:t>
      </w:r>
    </w:p>
    <w:p w14:paraId="389AB423" w14:textId="0FE242EF" w:rsidR="00613F7C" w:rsidRPr="00613F7C" w:rsidRDefault="0088186C" w:rsidP="0088186C">
      <w:pPr>
        <w:ind w:firstLine="720"/>
        <w:rPr>
          <w:szCs w:val="24"/>
        </w:rPr>
      </w:pPr>
      <w:r>
        <w:rPr>
          <w:szCs w:val="24"/>
        </w:rPr>
        <w:t xml:space="preserve">(2) </w:t>
      </w:r>
      <w:r w:rsidR="00613F7C" w:rsidRPr="00613F7C">
        <w:rPr>
          <w:szCs w:val="24"/>
        </w:rPr>
        <w:t xml:space="preserve">800 000 EUR </w:t>
      </w:r>
      <w:r w:rsidR="00613F7C" w:rsidRPr="0088186C">
        <w:rPr>
          <w:i/>
          <w:szCs w:val="24"/>
        </w:rPr>
        <w:t>FIBA EuroBasket 2025</w:t>
      </w:r>
      <w:r w:rsidR="00613F7C" w:rsidRPr="00613F7C">
        <w:rPr>
          <w:szCs w:val="24"/>
        </w:rPr>
        <w:t xml:space="preserve"> licences </w:t>
      </w:r>
      <w:r>
        <w:rPr>
          <w:szCs w:val="24"/>
        </w:rPr>
        <w:t xml:space="preserve">pirmā maksājuma veikšanai </w:t>
      </w:r>
      <w:r w:rsidRPr="0088186C">
        <w:rPr>
          <w:i/>
          <w:szCs w:val="24"/>
        </w:rPr>
        <w:t>FIBA Europe</w:t>
      </w:r>
      <w:r w:rsidR="00613F7C" w:rsidRPr="00613F7C">
        <w:rPr>
          <w:szCs w:val="24"/>
        </w:rPr>
        <w:t>;</w:t>
      </w:r>
    </w:p>
    <w:p w14:paraId="0630DA7D" w14:textId="75BE0BDB" w:rsidR="00613F7C" w:rsidRDefault="0088186C" w:rsidP="00613F7C">
      <w:pPr>
        <w:ind w:firstLine="720"/>
        <w:rPr>
          <w:szCs w:val="24"/>
        </w:rPr>
      </w:pPr>
      <w:r>
        <w:rPr>
          <w:szCs w:val="24"/>
        </w:rPr>
        <w:t xml:space="preserve">(3) </w:t>
      </w:r>
      <w:r w:rsidR="00613F7C" w:rsidRPr="00613F7C">
        <w:rPr>
          <w:szCs w:val="24"/>
        </w:rPr>
        <w:t xml:space="preserve">50 000 EUR </w:t>
      </w:r>
      <w:r>
        <w:rPr>
          <w:szCs w:val="24"/>
        </w:rPr>
        <w:t xml:space="preserve">LBS </w:t>
      </w:r>
      <w:r w:rsidR="00613F7C" w:rsidRPr="00613F7C">
        <w:rPr>
          <w:szCs w:val="24"/>
        </w:rPr>
        <w:t>administra</w:t>
      </w:r>
      <w:r>
        <w:rPr>
          <w:szCs w:val="24"/>
        </w:rPr>
        <w:t>tīvajiem un ārzemju komandējumu</w:t>
      </w:r>
      <w:r w:rsidR="00673F27">
        <w:rPr>
          <w:rStyle w:val="FootnoteReference"/>
          <w:szCs w:val="24"/>
        </w:rPr>
        <w:footnoteReference w:id="2"/>
      </w:r>
      <w:r>
        <w:rPr>
          <w:szCs w:val="24"/>
        </w:rPr>
        <w:t xml:space="preserve"> </w:t>
      </w:r>
      <w:r w:rsidR="00613F7C" w:rsidRPr="00613F7C">
        <w:rPr>
          <w:szCs w:val="24"/>
        </w:rPr>
        <w:t>izdevumiem 2022. gadam.</w:t>
      </w:r>
    </w:p>
    <w:p w14:paraId="2A27E391" w14:textId="0F917D05" w:rsidR="00C02FC6" w:rsidRDefault="00714B8E" w:rsidP="00D33975">
      <w:pPr>
        <w:ind w:firstLine="720"/>
        <w:rPr>
          <w:szCs w:val="24"/>
        </w:rPr>
      </w:pPr>
      <w:r>
        <w:rPr>
          <w:szCs w:val="24"/>
        </w:rPr>
        <w:t xml:space="preserve">Minētā </w:t>
      </w:r>
      <w:r w:rsidR="0088186C">
        <w:rPr>
          <w:szCs w:val="24"/>
        </w:rPr>
        <w:t xml:space="preserve">LBS vēstule, noslēgtais līgums ar </w:t>
      </w:r>
      <w:r w:rsidR="0088186C" w:rsidRPr="0088186C">
        <w:rPr>
          <w:i/>
          <w:szCs w:val="24"/>
        </w:rPr>
        <w:t>FIBA Europe</w:t>
      </w:r>
      <w:r w:rsidR="0088186C">
        <w:rPr>
          <w:szCs w:val="24"/>
        </w:rPr>
        <w:t xml:space="preserve">, kā arī </w:t>
      </w:r>
      <w:r w:rsidR="00625B26" w:rsidRPr="0088186C">
        <w:rPr>
          <w:i/>
          <w:szCs w:val="24"/>
        </w:rPr>
        <w:t>FIBA EuroBasket 2025</w:t>
      </w:r>
      <w:r w:rsidR="00625B26" w:rsidRPr="00613F7C">
        <w:rPr>
          <w:szCs w:val="24"/>
        </w:rPr>
        <w:t xml:space="preserve"> </w:t>
      </w:r>
      <w:r w:rsidR="00625B26">
        <w:rPr>
          <w:szCs w:val="24"/>
        </w:rPr>
        <w:t xml:space="preserve">ieņēmumu un izdevumu tāme (tai skaitā par LBS </w:t>
      </w:r>
      <w:r w:rsidR="00625B26" w:rsidRPr="00613F7C">
        <w:rPr>
          <w:szCs w:val="24"/>
        </w:rPr>
        <w:t>administra</w:t>
      </w:r>
      <w:r w:rsidR="00625B26">
        <w:rPr>
          <w:szCs w:val="24"/>
        </w:rPr>
        <w:t xml:space="preserve">tīvajiem un ārzemju komandējumu </w:t>
      </w:r>
      <w:r w:rsidR="00625B26" w:rsidRPr="00613F7C">
        <w:rPr>
          <w:szCs w:val="24"/>
        </w:rPr>
        <w:t>izdevumiem 2022. gadam</w:t>
      </w:r>
      <w:r w:rsidR="00625B26">
        <w:rPr>
          <w:szCs w:val="24"/>
        </w:rPr>
        <w:t>)</w:t>
      </w:r>
      <w:r w:rsidR="00F327C8">
        <w:rPr>
          <w:szCs w:val="24"/>
        </w:rPr>
        <w:t xml:space="preserve"> ir pievienota šī i</w:t>
      </w:r>
      <w:r w:rsidR="0088186C" w:rsidRPr="0088186C">
        <w:rPr>
          <w:szCs w:val="24"/>
        </w:rPr>
        <w:t>nformatīvā ziņojuma paskaidrojošajiem materiāliem.</w:t>
      </w:r>
    </w:p>
    <w:p w14:paraId="1CFF8DED" w14:textId="77777777" w:rsidR="0088186C" w:rsidRDefault="0088186C" w:rsidP="00D33975">
      <w:pPr>
        <w:ind w:firstLine="720"/>
        <w:rPr>
          <w:szCs w:val="24"/>
        </w:rPr>
      </w:pPr>
    </w:p>
    <w:p w14:paraId="1A5A45C5" w14:textId="5EFF434D" w:rsidR="006E730A" w:rsidRDefault="0088186C" w:rsidP="00540A16">
      <w:pPr>
        <w:ind w:firstLine="720"/>
        <w:rPr>
          <w:szCs w:val="24"/>
        </w:rPr>
      </w:pPr>
      <w:r>
        <w:rPr>
          <w:szCs w:val="24"/>
        </w:rPr>
        <w:t xml:space="preserve">Kandidēšanas ziņojumā tika norādīts, ka gadījumā, ja </w:t>
      </w:r>
      <w:r w:rsidRPr="00934465">
        <w:rPr>
          <w:i/>
          <w:szCs w:val="24"/>
        </w:rPr>
        <w:t>FIBA Europe</w:t>
      </w:r>
      <w:r>
        <w:rPr>
          <w:szCs w:val="24"/>
        </w:rPr>
        <w:t xml:space="preserve"> pieņems lēmumu </w:t>
      </w:r>
      <w:r w:rsidRPr="00934465">
        <w:rPr>
          <w:szCs w:val="24"/>
        </w:rPr>
        <w:t xml:space="preserve">par </w:t>
      </w:r>
      <w:r w:rsidRPr="006905DB">
        <w:rPr>
          <w:i/>
          <w:szCs w:val="24"/>
        </w:rPr>
        <w:t>FIBA EuroBasket</w:t>
      </w:r>
      <w:r w:rsidRPr="00934465">
        <w:rPr>
          <w:i/>
          <w:szCs w:val="24"/>
        </w:rPr>
        <w:t xml:space="preserve"> 2025</w:t>
      </w:r>
      <w:r w:rsidRPr="00934465">
        <w:rPr>
          <w:szCs w:val="24"/>
        </w:rPr>
        <w:t xml:space="preserve"> grupas turnīra vai grupas turnīra un finālpo</w:t>
      </w:r>
      <w:r>
        <w:rPr>
          <w:szCs w:val="24"/>
        </w:rPr>
        <w:t xml:space="preserve">sma organizēšanu Latvijā (Rīgā), tad </w:t>
      </w:r>
      <w:r>
        <w:rPr>
          <w:szCs w:val="24"/>
        </w:rPr>
        <w:lastRenderedPageBreak/>
        <w:t>jautājums par 2022. gadā nepieciešamo līdzfinansējumu (</w:t>
      </w:r>
      <w:r w:rsidRPr="00DB2724">
        <w:t xml:space="preserve">grupas turnīra un finālposma </w:t>
      </w:r>
      <w:r>
        <w:t>gadījumā</w:t>
      </w:r>
      <w:r>
        <w:rPr>
          <w:szCs w:val="24"/>
        </w:rPr>
        <w:t xml:space="preserve"> līdz 1 150 000 </w:t>
      </w:r>
      <w:r>
        <w:t>EUR</w:t>
      </w:r>
      <w:r>
        <w:rPr>
          <w:szCs w:val="24"/>
        </w:rPr>
        <w:t>) atsevišķi izskatāms Ministru kabinetā, kā iespējamo līdzekļu avotu izvērtējot 2022. gada valsts budžeta programmu 02.00.00 „</w:t>
      </w:r>
      <w:r w:rsidRPr="00C5430A">
        <w:rPr>
          <w:szCs w:val="24"/>
        </w:rPr>
        <w:t>Lī</w:t>
      </w:r>
      <w:r>
        <w:rPr>
          <w:szCs w:val="24"/>
        </w:rPr>
        <w:t>dzekļi neparedzētiem gadījumiem” vai kādu citu avotu, savukārt jautājums par nepieciešamo līdzfinansējumu 2023. gadā (</w:t>
      </w:r>
      <w:r w:rsidRPr="00DB2724">
        <w:t xml:space="preserve">grupas turnīra un finālposma </w:t>
      </w:r>
      <w:r>
        <w:t>gadījumā</w:t>
      </w:r>
      <w:r>
        <w:rPr>
          <w:szCs w:val="24"/>
        </w:rPr>
        <w:t xml:space="preserve"> līdz </w:t>
      </w:r>
      <w:r w:rsidRPr="00BC75D9">
        <w:rPr>
          <w:szCs w:val="24"/>
        </w:rPr>
        <w:t>1 820</w:t>
      </w:r>
      <w:r>
        <w:rPr>
          <w:szCs w:val="24"/>
        </w:rPr>
        <w:t> </w:t>
      </w:r>
      <w:r w:rsidRPr="00BC75D9">
        <w:rPr>
          <w:szCs w:val="24"/>
        </w:rPr>
        <w:t>000</w:t>
      </w:r>
      <w:r>
        <w:rPr>
          <w:szCs w:val="24"/>
        </w:rPr>
        <w:t xml:space="preserve"> </w:t>
      </w:r>
      <w:r>
        <w:t>EUR</w:t>
      </w:r>
      <w:r>
        <w:rPr>
          <w:szCs w:val="24"/>
        </w:rPr>
        <w:t>), 2024. gadā (</w:t>
      </w:r>
      <w:r w:rsidRPr="00DB2724">
        <w:t xml:space="preserve">grupas turnīra un finālposma </w:t>
      </w:r>
      <w:r>
        <w:t>gadījumā</w:t>
      </w:r>
      <w:r>
        <w:rPr>
          <w:szCs w:val="24"/>
        </w:rPr>
        <w:t xml:space="preserve"> līdz </w:t>
      </w:r>
      <w:r>
        <w:rPr>
          <w:szCs w:val="24"/>
        </w:rPr>
        <w:br/>
      </w:r>
      <w:r w:rsidRPr="00007539">
        <w:rPr>
          <w:szCs w:val="24"/>
        </w:rPr>
        <w:t>2 020</w:t>
      </w:r>
      <w:r>
        <w:rPr>
          <w:szCs w:val="24"/>
        </w:rPr>
        <w:t> </w:t>
      </w:r>
      <w:r w:rsidRPr="00007539">
        <w:rPr>
          <w:szCs w:val="24"/>
        </w:rPr>
        <w:t>000</w:t>
      </w:r>
      <w:r>
        <w:rPr>
          <w:szCs w:val="24"/>
        </w:rPr>
        <w:t xml:space="preserve"> </w:t>
      </w:r>
      <w:r>
        <w:t>EUR</w:t>
      </w:r>
      <w:r>
        <w:rPr>
          <w:szCs w:val="24"/>
        </w:rPr>
        <w:t>) un 2025. gadā (</w:t>
      </w:r>
      <w:r w:rsidRPr="00DB2724">
        <w:t xml:space="preserve">grupas turnīra un finālposma </w:t>
      </w:r>
      <w:r>
        <w:t>gadījumā</w:t>
      </w:r>
      <w:r>
        <w:rPr>
          <w:szCs w:val="24"/>
        </w:rPr>
        <w:t xml:space="preserve"> līdz </w:t>
      </w:r>
      <w:r w:rsidRPr="00007539">
        <w:rPr>
          <w:szCs w:val="24"/>
        </w:rPr>
        <w:t>4 970</w:t>
      </w:r>
      <w:r>
        <w:rPr>
          <w:szCs w:val="24"/>
        </w:rPr>
        <w:t> </w:t>
      </w:r>
      <w:r w:rsidRPr="00007539">
        <w:rPr>
          <w:szCs w:val="24"/>
        </w:rPr>
        <w:t>000</w:t>
      </w:r>
      <w:r>
        <w:rPr>
          <w:szCs w:val="24"/>
        </w:rPr>
        <w:t xml:space="preserve"> </w:t>
      </w:r>
      <w:r>
        <w:t>EUR</w:t>
      </w:r>
      <w:r>
        <w:rPr>
          <w:szCs w:val="24"/>
        </w:rPr>
        <w:t xml:space="preserve">) izskatāms </w:t>
      </w:r>
      <w:r w:rsidRPr="000B5364">
        <w:rPr>
          <w:szCs w:val="24"/>
        </w:rPr>
        <w:t>Ministru kabinetā gadskārtējā valsts budžeta likumprojekta sagatavošanas laikā kopā ar visu nozaru ministriju iesniegtajiem prioritāro pasākumu pieteikumiem ņemot vērā valsts budžeta finansiālās  iespējas</w:t>
      </w:r>
      <w:r w:rsidRPr="00C5430A">
        <w:rPr>
          <w:szCs w:val="24"/>
        </w:rPr>
        <w:t>.</w:t>
      </w:r>
      <w:r w:rsidR="006C61B9">
        <w:rPr>
          <w:szCs w:val="24"/>
        </w:rPr>
        <w:t xml:space="preserve"> </w:t>
      </w:r>
      <w:r w:rsidR="009D435D" w:rsidRPr="00227AB7">
        <w:rPr>
          <w:szCs w:val="24"/>
        </w:rPr>
        <w:t>Saskaņā ar  Ministru kabineta 2018.</w:t>
      </w:r>
      <w:r w:rsidR="009D435D">
        <w:rPr>
          <w:szCs w:val="24"/>
        </w:rPr>
        <w:t xml:space="preserve"> </w:t>
      </w:r>
      <w:r w:rsidR="009D435D" w:rsidRPr="00227AB7">
        <w:rPr>
          <w:szCs w:val="24"/>
        </w:rPr>
        <w:t>gada 17.</w:t>
      </w:r>
      <w:r w:rsidR="009D435D">
        <w:rPr>
          <w:szCs w:val="24"/>
        </w:rPr>
        <w:t xml:space="preserve"> </w:t>
      </w:r>
      <w:r w:rsidR="009D435D" w:rsidRPr="00227AB7">
        <w:rPr>
          <w:szCs w:val="24"/>
        </w:rPr>
        <w:t>jūlija noteikumu Nr.</w:t>
      </w:r>
      <w:r w:rsidR="009D435D">
        <w:rPr>
          <w:szCs w:val="24"/>
        </w:rPr>
        <w:t xml:space="preserve"> </w:t>
      </w:r>
      <w:r w:rsidR="009D435D" w:rsidRPr="00227AB7">
        <w:rPr>
          <w:szCs w:val="24"/>
        </w:rPr>
        <w:t>421 „Kārtība, kādā veic gadskārtējā valsts budžeta likumā noteiktās apropriācijas izmaiņas” 41. punktu  līdzekļus no programmas „Līdzekļi neparedzētiem gadījumiem” piešķir valstiski īpaši nozīmīgiem pasākumiem, valsts pamatbudžeta apropriācijās neparedzētiem izdevumiem katastrofu un dabas stihiju seku novēršanai un to radīto zaudējumu kompensēšanai un citiem neparedzētiem gadījumiem.  Līdzekļu piešķiršanu valstiski īpaši nozīmīgiem pasākumiem paredz arī Likuma par budžetu un finanšu vadību 12. panta pirmā daļa.</w:t>
      </w:r>
      <w:r w:rsidR="009D435D">
        <w:rPr>
          <w:szCs w:val="24"/>
        </w:rPr>
        <w:t xml:space="preserve"> IZM ieskatā </w:t>
      </w:r>
      <w:r w:rsidR="009D435D" w:rsidRPr="00150D67">
        <w:rPr>
          <w:i/>
          <w:szCs w:val="24"/>
        </w:rPr>
        <w:t>FIBA EuroBasket 2025</w:t>
      </w:r>
      <w:r w:rsidR="009D435D">
        <w:rPr>
          <w:szCs w:val="24"/>
        </w:rPr>
        <w:t xml:space="preserve"> organizēšana ir uzskatāma par valstiski īpaši nozīmīgu pasākumu, tādēļ līdzekļu piešķiršana minētam mērķim no valsts budžeta </w:t>
      </w:r>
      <w:r w:rsidR="009D435D" w:rsidRPr="00227AB7">
        <w:rPr>
          <w:szCs w:val="24"/>
        </w:rPr>
        <w:t>programmas „Līdzekļi neparedzētiem gadījumiem”</w:t>
      </w:r>
      <w:r w:rsidR="009D435D">
        <w:rPr>
          <w:szCs w:val="24"/>
        </w:rPr>
        <w:t xml:space="preserve"> ir atbilstoša tiesiskajam regulējumam. </w:t>
      </w:r>
      <w:r w:rsidR="006C61B9">
        <w:rPr>
          <w:szCs w:val="24"/>
        </w:rPr>
        <w:t>Ievērojot minēto, kā arī, ņemot vērā saņemto LBS finanšu pieprasījumu, IZM ro</w:t>
      </w:r>
      <w:r w:rsidR="009D435D">
        <w:rPr>
          <w:szCs w:val="24"/>
        </w:rPr>
        <w:t xml:space="preserve">sina </w:t>
      </w:r>
      <w:r w:rsidR="006C61B9" w:rsidRPr="00150D67">
        <w:rPr>
          <w:i/>
          <w:szCs w:val="24"/>
        </w:rPr>
        <w:t xml:space="preserve">FIBA EuroBasket 2025 </w:t>
      </w:r>
      <w:r w:rsidR="006C61B9" w:rsidRPr="00C82753">
        <w:rPr>
          <w:szCs w:val="24"/>
        </w:rPr>
        <w:t>organizēšanas</w:t>
      </w:r>
      <w:r w:rsidR="006C61B9">
        <w:rPr>
          <w:i/>
          <w:szCs w:val="24"/>
        </w:rPr>
        <w:t xml:space="preserve"> </w:t>
      </w:r>
      <w:r w:rsidR="006C61B9">
        <w:rPr>
          <w:szCs w:val="24"/>
        </w:rPr>
        <w:t>2022. gada izdevumu segšanai</w:t>
      </w:r>
      <w:r w:rsidR="00227AB7">
        <w:rPr>
          <w:szCs w:val="24"/>
        </w:rPr>
        <w:t xml:space="preserve"> nepieciešamos</w:t>
      </w:r>
      <w:r w:rsidR="006C61B9">
        <w:rPr>
          <w:szCs w:val="24"/>
        </w:rPr>
        <w:t xml:space="preserve"> </w:t>
      </w:r>
      <w:r w:rsidR="00227AB7">
        <w:rPr>
          <w:szCs w:val="24"/>
        </w:rPr>
        <w:t>līdzekļus 1 1</w:t>
      </w:r>
      <w:r w:rsidR="00041611">
        <w:rPr>
          <w:szCs w:val="24"/>
        </w:rPr>
        <w:t>0</w:t>
      </w:r>
      <w:r w:rsidR="00227AB7">
        <w:rPr>
          <w:szCs w:val="24"/>
        </w:rPr>
        <w:t xml:space="preserve">0 000 EUR apmērā </w:t>
      </w:r>
      <w:r w:rsidR="00540A16">
        <w:rPr>
          <w:szCs w:val="24"/>
        </w:rPr>
        <w:t>(</w:t>
      </w:r>
      <w:r w:rsidR="00540A16" w:rsidRPr="00540A16">
        <w:rPr>
          <w:szCs w:val="24"/>
        </w:rPr>
        <w:t xml:space="preserve">300 000 EUR līgumā ar </w:t>
      </w:r>
      <w:r w:rsidR="00540A16" w:rsidRPr="00540A16">
        <w:rPr>
          <w:i/>
          <w:szCs w:val="24"/>
        </w:rPr>
        <w:t>FIBA Europe</w:t>
      </w:r>
      <w:r w:rsidR="00540A16" w:rsidRPr="00540A16">
        <w:rPr>
          <w:szCs w:val="24"/>
        </w:rPr>
        <w:t xml:space="preserve"> paredzētā depozīta iemaksāšanai</w:t>
      </w:r>
      <w:r w:rsidR="00540A16">
        <w:rPr>
          <w:szCs w:val="24"/>
        </w:rPr>
        <w:t xml:space="preserve"> un </w:t>
      </w:r>
      <w:r w:rsidR="00540A16" w:rsidRPr="00540A16">
        <w:rPr>
          <w:szCs w:val="24"/>
        </w:rPr>
        <w:t xml:space="preserve">800 000 EUR </w:t>
      </w:r>
      <w:r w:rsidR="00540A16" w:rsidRPr="00540A16">
        <w:rPr>
          <w:i/>
          <w:szCs w:val="24"/>
        </w:rPr>
        <w:t>FIBA EuroBasket 2025</w:t>
      </w:r>
      <w:r w:rsidR="00540A16" w:rsidRPr="00540A16">
        <w:rPr>
          <w:szCs w:val="24"/>
        </w:rPr>
        <w:t xml:space="preserve"> licences pirmā maksājuma veikšanai </w:t>
      </w:r>
      <w:r w:rsidR="00540A16" w:rsidRPr="00540A16">
        <w:rPr>
          <w:i/>
          <w:szCs w:val="24"/>
        </w:rPr>
        <w:t>FIBA Europe</w:t>
      </w:r>
      <w:r w:rsidR="00540A16">
        <w:rPr>
          <w:szCs w:val="24"/>
        </w:rPr>
        <w:t xml:space="preserve">) </w:t>
      </w:r>
      <w:r w:rsidR="00227AB7">
        <w:rPr>
          <w:szCs w:val="24"/>
        </w:rPr>
        <w:t>LBS piešķirt no 202</w:t>
      </w:r>
      <w:r w:rsidR="009D435D">
        <w:rPr>
          <w:szCs w:val="24"/>
        </w:rPr>
        <w:t>2. gada valsts budžeta programmas</w:t>
      </w:r>
      <w:r w:rsidR="00227AB7">
        <w:rPr>
          <w:szCs w:val="24"/>
        </w:rPr>
        <w:t xml:space="preserve"> 02.00.00 „</w:t>
      </w:r>
      <w:r w:rsidR="00227AB7" w:rsidRPr="00C5430A">
        <w:rPr>
          <w:szCs w:val="24"/>
        </w:rPr>
        <w:t>Lī</w:t>
      </w:r>
      <w:r w:rsidR="00227AB7">
        <w:rPr>
          <w:szCs w:val="24"/>
        </w:rPr>
        <w:t>dzekļi neparedzētiem gadījumiem”</w:t>
      </w:r>
      <w:r w:rsidR="00133B76">
        <w:rPr>
          <w:szCs w:val="24"/>
        </w:rPr>
        <w:t xml:space="preserve">, vienlaikus nosakot, ka </w:t>
      </w:r>
      <w:r w:rsidR="00133B76" w:rsidRPr="00133B76">
        <w:rPr>
          <w:szCs w:val="24"/>
        </w:rPr>
        <w:t xml:space="preserve">LBS divu mēnešu laikā pēc </w:t>
      </w:r>
      <w:r w:rsidR="00133B76" w:rsidRPr="00133B76">
        <w:rPr>
          <w:i/>
          <w:szCs w:val="24"/>
        </w:rPr>
        <w:t>FIBA EuroBasket 2025</w:t>
      </w:r>
      <w:r w:rsidR="00133B76" w:rsidRPr="00133B76">
        <w:rPr>
          <w:szCs w:val="24"/>
        </w:rPr>
        <w:t xml:space="preserve"> norises no FIBA Europe saņemt</w:t>
      </w:r>
      <w:r w:rsidR="00133B76">
        <w:rPr>
          <w:szCs w:val="24"/>
        </w:rPr>
        <w:t>ais</w:t>
      </w:r>
      <w:r w:rsidR="00133B76" w:rsidRPr="00133B76">
        <w:rPr>
          <w:szCs w:val="24"/>
        </w:rPr>
        <w:t xml:space="preserve"> drošības depozīta maksājum</w:t>
      </w:r>
      <w:r w:rsidR="00133B76">
        <w:rPr>
          <w:szCs w:val="24"/>
        </w:rPr>
        <w:t>s (300 000 EUR) pilnā apmērā ieskaitāms</w:t>
      </w:r>
      <w:r w:rsidR="00133B76" w:rsidRPr="00133B76">
        <w:rPr>
          <w:szCs w:val="24"/>
        </w:rPr>
        <w:t xml:space="preserve"> valsts budžetā.</w:t>
      </w:r>
      <w:r w:rsidR="006E730A">
        <w:rPr>
          <w:szCs w:val="24"/>
        </w:rPr>
        <w:t xml:space="preserve"> Atzīmējams, ka finansējuma piešķiršanas atbilstības</w:t>
      </w:r>
      <w:r w:rsidR="006E730A" w:rsidRPr="006E730A">
        <w:rPr>
          <w:szCs w:val="24"/>
        </w:rPr>
        <w:t xml:space="preserve"> komercdarbības atbalsta kontroles regulējumam</w:t>
      </w:r>
      <w:r w:rsidR="006E730A">
        <w:rPr>
          <w:szCs w:val="24"/>
        </w:rPr>
        <w:t xml:space="preserve"> izvērtējums tika ietverts Kandidēšanas ziņojumā un tajā tika secināts, ka </w:t>
      </w:r>
      <w:r w:rsidR="006E730A" w:rsidRPr="006E730A">
        <w:rPr>
          <w:szCs w:val="24"/>
        </w:rPr>
        <w:t xml:space="preserve">finansiālā atbalsta sniegšana LBS ar </w:t>
      </w:r>
      <w:r w:rsidR="006E730A" w:rsidRPr="006E730A">
        <w:rPr>
          <w:i/>
          <w:szCs w:val="24"/>
        </w:rPr>
        <w:t>FIBA EuroBasket 2025</w:t>
      </w:r>
      <w:r w:rsidR="006E730A" w:rsidRPr="006E730A">
        <w:rPr>
          <w:szCs w:val="24"/>
        </w:rPr>
        <w:t xml:space="preserve"> organizēšanu saistīto izdevumu segšanai vienlaikus neatbilst visām Komercdarbības atbalsta kontroles likuma 5. pantā noteiktajām pazīmēm un attiecīgi minētais atbalsts nav uzskatāms par komercdarbības atbalstu</w:t>
      </w:r>
      <w:r w:rsidR="006E730A">
        <w:rPr>
          <w:szCs w:val="24"/>
        </w:rPr>
        <w:t>.</w:t>
      </w:r>
    </w:p>
    <w:p w14:paraId="12BCEADB" w14:textId="77777777" w:rsidR="006E730A" w:rsidRDefault="006E730A" w:rsidP="006E730A">
      <w:pPr>
        <w:ind w:firstLine="720"/>
        <w:rPr>
          <w:szCs w:val="24"/>
        </w:rPr>
      </w:pPr>
    </w:p>
    <w:p w14:paraId="5B7060B6" w14:textId="4073149B" w:rsidR="005E4929" w:rsidRDefault="005E4929" w:rsidP="001356E4">
      <w:pPr>
        <w:ind w:firstLine="720"/>
        <w:rPr>
          <w:szCs w:val="24"/>
        </w:rPr>
      </w:pPr>
      <w:r w:rsidRPr="005E4929">
        <w:rPr>
          <w:szCs w:val="24"/>
        </w:rPr>
        <w:t xml:space="preserve">Ņemot vērā pieredzi līdzīga mēroga nacionālas nozīmes starptautisku sporta pasākumu organizēšanā (2006. </w:t>
      </w:r>
      <w:r w:rsidR="000B48CD">
        <w:rPr>
          <w:szCs w:val="24"/>
        </w:rPr>
        <w:t xml:space="preserve">un 2021. </w:t>
      </w:r>
      <w:r w:rsidRPr="005E4929">
        <w:rPr>
          <w:szCs w:val="24"/>
        </w:rPr>
        <w:t xml:space="preserve">gada  pasaules čempionāts hokejā vīriešiem un 2015.gada Eiropas čempionāta basketbolā vīriešiem finālturnīra grupas turnīrs), lai sekmētu valsts pārvaldes sadarbību ar </w:t>
      </w:r>
      <w:r w:rsidR="000B48CD" w:rsidRPr="0088186C">
        <w:rPr>
          <w:i/>
          <w:szCs w:val="24"/>
        </w:rPr>
        <w:t>FIBA EuroBasket 2025</w:t>
      </w:r>
      <w:r w:rsidR="000B48CD" w:rsidRPr="00613F7C">
        <w:rPr>
          <w:szCs w:val="24"/>
        </w:rPr>
        <w:t xml:space="preserve"> </w:t>
      </w:r>
      <w:r w:rsidRPr="005E4929">
        <w:rPr>
          <w:szCs w:val="24"/>
        </w:rPr>
        <w:t xml:space="preserve">rīkotājiem, kā arī nodrošinātu regulāru informācijas apmaiņu </w:t>
      </w:r>
      <w:r w:rsidR="000B48CD">
        <w:rPr>
          <w:szCs w:val="24"/>
        </w:rPr>
        <w:t xml:space="preserve">par tā sagatavošanas gaitu, IZM ieskatā būtu nepieciešams izveidot </w:t>
      </w:r>
      <w:r w:rsidRPr="005E4929">
        <w:rPr>
          <w:szCs w:val="24"/>
        </w:rPr>
        <w:t>rīcības komitej</w:t>
      </w:r>
      <w:r w:rsidR="000B48CD">
        <w:rPr>
          <w:szCs w:val="24"/>
        </w:rPr>
        <w:t>u</w:t>
      </w:r>
      <w:r w:rsidRPr="005E4929">
        <w:rPr>
          <w:szCs w:val="24"/>
        </w:rPr>
        <w:t xml:space="preserve"> </w:t>
      </w:r>
      <w:r w:rsidR="000B48CD" w:rsidRPr="0088186C">
        <w:rPr>
          <w:i/>
          <w:szCs w:val="24"/>
        </w:rPr>
        <w:t>FIBA EuroBasket 2025</w:t>
      </w:r>
      <w:r w:rsidR="000B48CD" w:rsidRPr="00613F7C">
        <w:rPr>
          <w:szCs w:val="24"/>
        </w:rPr>
        <w:t xml:space="preserve"> </w:t>
      </w:r>
      <w:r w:rsidRPr="005E4929">
        <w:rPr>
          <w:szCs w:val="24"/>
        </w:rPr>
        <w:t xml:space="preserve">organizēšanas uzraudzībai, tās vadību uzticot </w:t>
      </w:r>
      <w:r w:rsidR="000B48CD">
        <w:rPr>
          <w:szCs w:val="24"/>
        </w:rPr>
        <w:t>izglītības un zinātnes ministr</w:t>
      </w:r>
      <w:r w:rsidR="006C61B9">
        <w:rPr>
          <w:szCs w:val="24"/>
        </w:rPr>
        <w:t>ei</w:t>
      </w:r>
      <w:r w:rsidR="000B48CD">
        <w:rPr>
          <w:szCs w:val="24"/>
        </w:rPr>
        <w:t xml:space="preserve"> </w:t>
      </w:r>
      <w:r w:rsidRPr="005E4929">
        <w:rPr>
          <w:szCs w:val="24"/>
        </w:rPr>
        <w:t xml:space="preserve">un sastāvā iekļaujot finanšu ministru, </w:t>
      </w:r>
      <w:r w:rsidR="00554254" w:rsidRPr="005E4929">
        <w:rPr>
          <w:szCs w:val="24"/>
        </w:rPr>
        <w:t>Rīgas domes priekšsēdētāju</w:t>
      </w:r>
      <w:r w:rsidR="00554254">
        <w:rPr>
          <w:szCs w:val="24"/>
        </w:rPr>
        <w:t xml:space="preserve">, </w:t>
      </w:r>
      <w:r w:rsidR="00554254" w:rsidRPr="00554254">
        <w:rPr>
          <w:szCs w:val="24"/>
        </w:rPr>
        <w:t>Latvijas Investīciju un attīstības aģentūra</w:t>
      </w:r>
      <w:r w:rsidR="00554254">
        <w:rPr>
          <w:szCs w:val="24"/>
        </w:rPr>
        <w:t>s direktoru, augsta līmeņa pārstāvi no IZM un Iekšlietu ministrijas, kā arī LBS</w:t>
      </w:r>
      <w:r w:rsidRPr="005E4929">
        <w:rPr>
          <w:szCs w:val="24"/>
        </w:rPr>
        <w:t xml:space="preserve"> prezidentu</w:t>
      </w:r>
      <w:r w:rsidR="00554254">
        <w:rPr>
          <w:szCs w:val="24"/>
        </w:rPr>
        <w:t xml:space="preserve">, </w:t>
      </w:r>
      <w:r w:rsidRPr="005E4929">
        <w:rPr>
          <w:szCs w:val="24"/>
        </w:rPr>
        <w:t>ģenerālsekretāru</w:t>
      </w:r>
      <w:r w:rsidR="00554254">
        <w:rPr>
          <w:szCs w:val="24"/>
        </w:rPr>
        <w:t xml:space="preserve"> un sacensību direktoru.</w:t>
      </w:r>
      <w:r w:rsidR="006C61B9">
        <w:rPr>
          <w:szCs w:val="24"/>
        </w:rPr>
        <w:t xml:space="preserve"> IZM </w:t>
      </w:r>
      <w:r w:rsidR="00227AB7">
        <w:rPr>
          <w:szCs w:val="24"/>
        </w:rPr>
        <w:t>sagatavos</w:t>
      </w:r>
      <w:r w:rsidR="006C61B9">
        <w:rPr>
          <w:szCs w:val="24"/>
        </w:rPr>
        <w:t xml:space="preserve"> un </w:t>
      </w:r>
      <w:r w:rsidR="005F266B">
        <w:rPr>
          <w:szCs w:val="24"/>
        </w:rPr>
        <w:t xml:space="preserve">mēneša laikā </w:t>
      </w:r>
      <w:r w:rsidR="006C61B9">
        <w:rPr>
          <w:szCs w:val="24"/>
        </w:rPr>
        <w:t xml:space="preserve">noteiktā kārtībā iesniegs Valsts kancelejā attiecīgu Ministru </w:t>
      </w:r>
      <w:r w:rsidR="00227AB7">
        <w:rPr>
          <w:szCs w:val="24"/>
        </w:rPr>
        <w:t xml:space="preserve">prezidenta </w:t>
      </w:r>
      <w:r w:rsidR="006C61B9">
        <w:rPr>
          <w:szCs w:val="24"/>
        </w:rPr>
        <w:t>rīkojuma projektu.</w:t>
      </w:r>
      <w:r w:rsidR="00227AB7">
        <w:rPr>
          <w:szCs w:val="24"/>
        </w:rPr>
        <w:t xml:space="preserve"> Minētās rīcības komitejas ietvaros </w:t>
      </w:r>
      <w:r w:rsidR="007225D6">
        <w:rPr>
          <w:szCs w:val="24"/>
        </w:rPr>
        <w:t xml:space="preserve">plānots </w:t>
      </w:r>
      <w:r w:rsidR="006E730A">
        <w:rPr>
          <w:szCs w:val="24"/>
        </w:rPr>
        <w:t xml:space="preserve">arī izstrādāt </w:t>
      </w:r>
      <w:r w:rsidR="006E730A" w:rsidRPr="006E730A">
        <w:rPr>
          <w:szCs w:val="24"/>
        </w:rPr>
        <w:t>efektīvāk</w:t>
      </w:r>
      <w:r w:rsidR="007225D6">
        <w:rPr>
          <w:szCs w:val="24"/>
        </w:rPr>
        <w:t>o</w:t>
      </w:r>
      <w:r w:rsidR="006E730A" w:rsidRPr="006E730A">
        <w:rPr>
          <w:szCs w:val="24"/>
        </w:rPr>
        <w:t xml:space="preserve"> piedāvājum</w:t>
      </w:r>
      <w:r w:rsidR="007225D6">
        <w:rPr>
          <w:szCs w:val="24"/>
        </w:rPr>
        <w:t>u</w:t>
      </w:r>
      <w:r w:rsidR="006E730A" w:rsidRPr="006E730A">
        <w:rPr>
          <w:szCs w:val="24"/>
        </w:rPr>
        <w:t xml:space="preserve"> </w:t>
      </w:r>
      <w:r w:rsidR="006E730A" w:rsidRPr="0088186C">
        <w:rPr>
          <w:i/>
          <w:szCs w:val="24"/>
        </w:rPr>
        <w:t>FIBA EuroBasket 2025</w:t>
      </w:r>
      <w:r w:rsidR="006E730A" w:rsidRPr="00613F7C">
        <w:rPr>
          <w:szCs w:val="24"/>
        </w:rPr>
        <w:t xml:space="preserve"> </w:t>
      </w:r>
      <w:r w:rsidR="006E730A">
        <w:rPr>
          <w:szCs w:val="24"/>
        </w:rPr>
        <w:t xml:space="preserve">organizēšanai </w:t>
      </w:r>
      <w:r w:rsidR="006E730A" w:rsidRPr="006E730A">
        <w:rPr>
          <w:szCs w:val="24"/>
        </w:rPr>
        <w:t>nepieciešamā finansējuma nodrošināšanai</w:t>
      </w:r>
      <w:r w:rsidR="006E730A">
        <w:rPr>
          <w:szCs w:val="24"/>
        </w:rPr>
        <w:t xml:space="preserve"> 2023., 2024. un 2025. gadam</w:t>
      </w:r>
      <w:r w:rsidR="00E62D13">
        <w:rPr>
          <w:szCs w:val="24"/>
        </w:rPr>
        <w:t xml:space="preserve">, tai skaitā </w:t>
      </w:r>
      <w:r w:rsidR="00673F27">
        <w:rPr>
          <w:szCs w:val="24"/>
        </w:rPr>
        <w:t xml:space="preserve">izvērtējot </w:t>
      </w:r>
      <w:r w:rsidR="00673F27" w:rsidRPr="0088186C">
        <w:rPr>
          <w:i/>
          <w:szCs w:val="24"/>
        </w:rPr>
        <w:t>FIBA EuroBasket 2025</w:t>
      </w:r>
      <w:r w:rsidR="00673F27" w:rsidRPr="00613F7C">
        <w:rPr>
          <w:szCs w:val="24"/>
        </w:rPr>
        <w:t xml:space="preserve"> </w:t>
      </w:r>
      <w:r w:rsidR="00E62D13">
        <w:rPr>
          <w:szCs w:val="24"/>
        </w:rPr>
        <w:t>bud</w:t>
      </w:r>
      <w:r w:rsidR="00673F27">
        <w:rPr>
          <w:szCs w:val="24"/>
        </w:rPr>
        <w:t>žeta ieņēmumu un izdevumu pozīcijas, pašu piesaistītā finansējuma (kas nav valsts vai pašvaldību budžets) īpatsvaru</w:t>
      </w:r>
      <w:r w:rsidR="004B0661">
        <w:rPr>
          <w:szCs w:val="24"/>
        </w:rPr>
        <w:t xml:space="preserve"> un iespējamos veidus tā palielināšanai</w:t>
      </w:r>
      <w:r w:rsidR="00673F27">
        <w:rPr>
          <w:szCs w:val="24"/>
        </w:rPr>
        <w:t>, LBS administratīvo izdevumu pamatotību</w:t>
      </w:r>
      <w:r w:rsidR="00041611">
        <w:rPr>
          <w:szCs w:val="24"/>
        </w:rPr>
        <w:t xml:space="preserve"> (tai skaitā </w:t>
      </w:r>
      <w:r w:rsidR="00540A16">
        <w:rPr>
          <w:szCs w:val="24"/>
        </w:rPr>
        <w:t xml:space="preserve">izvērtēt </w:t>
      </w:r>
      <w:r w:rsidR="00041611">
        <w:rPr>
          <w:szCs w:val="24"/>
        </w:rPr>
        <w:t xml:space="preserve">2022. gadam LBS </w:t>
      </w:r>
      <w:r w:rsidR="00540A16" w:rsidRPr="00613F7C">
        <w:rPr>
          <w:szCs w:val="24"/>
        </w:rPr>
        <w:t>administra</w:t>
      </w:r>
      <w:r w:rsidR="00540A16">
        <w:rPr>
          <w:szCs w:val="24"/>
        </w:rPr>
        <w:t>tīvajiem un ārzemju komandējumu</w:t>
      </w:r>
      <w:r w:rsidR="00540A16">
        <w:rPr>
          <w:szCs w:val="24"/>
        </w:rPr>
        <w:t xml:space="preserve"> </w:t>
      </w:r>
      <w:r w:rsidR="00041611">
        <w:rPr>
          <w:szCs w:val="24"/>
        </w:rPr>
        <w:t>pieprasīt</w:t>
      </w:r>
      <w:r w:rsidR="00540A16">
        <w:rPr>
          <w:szCs w:val="24"/>
        </w:rPr>
        <w:t>o</w:t>
      </w:r>
      <w:r w:rsidR="00041611">
        <w:rPr>
          <w:szCs w:val="24"/>
        </w:rPr>
        <w:t xml:space="preserve"> 50 000 </w:t>
      </w:r>
      <w:r w:rsidR="00540A16">
        <w:rPr>
          <w:szCs w:val="24"/>
        </w:rPr>
        <w:t>EUR pamatotību un samērību</w:t>
      </w:r>
      <w:r w:rsidR="00041611">
        <w:rPr>
          <w:szCs w:val="24"/>
        </w:rPr>
        <w:t xml:space="preserve">) </w:t>
      </w:r>
      <w:r w:rsidR="00673F27">
        <w:rPr>
          <w:szCs w:val="24"/>
        </w:rPr>
        <w:t>u.tml.</w:t>
      </w:r>
      <w:bookmarkStart w:id="0" w:name="_GoBack"/>
      <w:bookmarkEnd w:id="0"/>
    </w:p>
    <w:p w14:paraId="76F320FD" w14:textId="77777777" w:rsidR="00E17028" w:rsidRDefault="00E17028" w:rsidP="001356E4">
      <w:pPr>
        <w:ind w:firstLine="720"/>
        <w:rPr>
          <w:szCs w:val="24"/>
        </w:rPr>
      </w:pPr>
    </w:p>
    <w:p w14:paraId="44E2119D" w14:textId="3447E826" w:rsidR="0088186C" w:rsidRPr="00F066B4" w:rsidRDefault="0088186C" w:rsidP="0088186C">
      <w:pPr>
        <w:rPr>
          <w:b/>
          <w:szCs w:val="24"/>
        </w:rPr>
      </w:pPr>
      <w:r>
        <w:rPr>
          <w:b/>
          <w:szCs w:val="24"/>
        </w:rPr>
        <w:t>2</w:t>
      </w:r>
      <w:r w:rsidRPr="00F066B4">
        <w:rPr>
          <w:b/>
          <w:szCs w:val="24"/>
        </w:rPr>
        <w:t xml:space="preserve">. </w:t>
      </w:r>
      <w:r>
        <w:rPr>
          <w:b/>
          <w:szCs w:val="24"/>
        </w:rPr>
        <w:t>PRIEKŠLIKUMI TURPMĀKAI RĪCĪBAI</w:t>
      </w:r>
    </w:p>
    <w:p w14:paraId="2FCA99CA" w14:textId="77777777" w:rsidR="0088186C" w:rsidRDefault="0088186C" w:rsidP="0088186C">
      <w:pPr>
        <w:ind w:firstLine="720"/>
        <w:rPr>
          <w:szCs w:val="24"/>
        </w:rPr>
      </w:pPr>
    </w:p>
    <w:p w14:paraId="0A7AA77D" w14:textId="36D8BFC6" w:rsidR="0088186C" w:rsidRDefault="0088186C" w:rsidP="0088186C">
      <w:pPr>
        <w:ind w:firstLine="720"/>
        <w:rPr>
          <w:szCs w:val="24"/>
        </w:rPr>
      </w:pPr>
      <w:r>
        <w:rPr>
          <w:szCs w:val="24"/>
        </w:rPr>
        <w:t xml:space="preserve">Ņemot vērā </w:t>
      </w:r>
      <w:r w:rsidR="006E730A">
        <w:rPr>
          <w:szCs w:val="24"/>
        </w:rPr>
        <w:t xml:space="preserve">iepriekš minēto, </w:t>
      </w:r>
      <w:r>
        <w:rPr>
          <w:szCs w:val="24"/>
        </w:rPr>
        <w:t>IZM aicina Ministru kabinetu:</w:t>
      </w:r>
    </w:p>
    <w:p w14:paraId="54C0E375" w14:textId="52003206" w:rsidR="006E730A" w:rsidRDefault="006E730A" w:rsidP="00EA29A4">
      <w:pPr>
        <w:pStyle w:val="ListParagraph"/>
        <w:numPr>
          <w:ilvl w:val="0"/>
          <w:numId w:val="37"/>
        </w:numPr>
        <w:rPr>
          <w:szCs w:val="24"/>
        </w:rPr>
      </w:pPr>
      <w:r w:rsidRPr="006E730A">
        <w:rPr>
          <w:i/>
          <w:szCs w:val="24"/>
        </w:rPr>
        <w:t>FIBA EuroBasket 2025</w:t>
      </w:r>
      <w:r w:rsidRPr="006E730A">
        <w:rPr>
          <w:szCs w:val="24"/>
        </w:rPr>
        <w:t xml:space="preserve"> organizēšanas 2022. gada izdevumu segšanai nepieciešamos līdzekļus 1 1</w:t>
      </w:r>
      <w:r w:rsidR="00041611">
        <w:rPr>
          <w:szCs w:val="24"/>
        </w:rPr>
        <w:t>0</w:t>
      </w:r>
      <w:r w:rsidRPr="006E730A">
        <w:rPr>
          <w:szCs w:val="24"/>
        </w:rPr>
        <w:t>0 000 EUR apmērā LBS piešķirt no 2022. gada valsts budžeta programm</w:t>
      </w:r>
      <w:r w:rsidR="009D435D">
        <w:rPr>
          <w:szCs w:val="24"/>
        </w:rPr>
        <w:t>as</w:t>
      </w:r>
      <w:r w:rsidRPr="006E730A">
        <w:rPr>
          <w:szCs w:val="24"/>
        </w:rPr>
        <w:t xml:space="preserve"> 02.00.00 „Līdz</w:t>
      </w:r>
      <w:r w:rsidR="009D435D">
        <w:rPr>
          <w:szCs w:val="24"/>
        </w:rPr>
        <w:t xml:space="preserve">ekļi neparedzētiem gadījumiem”, </w:t>
      </w:r>
      <w:r w:rsidR="009806E3">
        <w:rPr>
          <w:szCs w:val="24"/>
        </w:rPr>
        <w:t xml:space="preserve">par ko IZM ir sagatavojusi atsevišķu Ministru kabineta rīkojuma projektu, kas tiek virzīts vienotā dokumentu paketē ar šo informatīvo ziņojumu. Ministru kabineta rīkojumā nosakāms IZM pienākums </w:t>
      </w:r>
      <w:r w:rsidR="009806E3" w:rsidRPr="00227AB7">
        <w:rPr>
          <w:szCs w:val="24"/>
        </w:rPr>
        <w:t xml:space="preserve">nodrošināt, ka </w:t>
      </w:r>
      <w:r w:rsidR="00EA29A4">
        <w:rPr>
          <w:szCs w:val="24"/>
        </w:rPr>
        <w:t>LBS</w:t>
      </w:r>
      <w:r w:rsidR="00EA29A4" w:rsidRPr="00EA29A4">
        <w:rPr>
          <w:szCs w:val="24"/>
        </w:rPr>
        <w:t xml:space="preserve"> divu mēnešu laikā pēc </w:t>
      </w:r>
      <w:r w:rsidR="00EA29A4" w:rsidRPr="009D435D">
        <w:rPr>
          <w:i/>
          <w:szCs w:val="24"/>
        </w:rPr>
        <w:t>FIBA EuroBasket 2025</w:t>
      </w:r>
      <w:r w:rsidR="00EA29A4" w:rsidRPr="009D435D">
        <w:rPr>
          <w:szCs w:val="24"/>
        </w:rPr>
        <w:t xml:space="preserve"> </w:t>
      </w:r>
      <w:r w:rsidR="00EA29A4" w:rsidRPr="00EA29A4">
        <w:rPr>
          <w:szCs w:val="24"/>
        </w:rPr>
        <w:t xml:space="preserve">norises no </w:t>
      </w:r>
      <w:r w:rsidR="00EA29A4" w:rsidRPr="00EA29A4">
        <w:rPr>
          <w:i/>
          <w:szCs w:val="24"/>
        </w:rPr>
        <w:t>FIBA Europe</w:t>
      </w:r>
      <w:r w:rsidR="00EA29A4" w:rsidRPr="00EA29A4">
        <w:rPr>
          <w:szCs w:val="24"/>
        </w:rPr>
        <w:t xml:space="preserve"> saņemto drošības depozīta maksājumu pilnā apmērā ieskaita valsts budžetā.</w:t>
      </w:r>
      <w:r w:rsidR="009806E3">
        <w:rPr>
          <w:szCs w:val="24"/>
        </w:rPr>
        <w:t xml:space="preserve"> </w:t>
      </w:r>
    </w:p>
    <w:p w14:paraId="68456E63" w14:textId="6C8BE333" w:rsidR="00E17028" w:rsidRPr="00E17028" w:rsidRDefault="009D435D">
      <w:pPr>
        <w:pStyle w:val="ListParagraph"/>
        <w:numPr>
          <w:ilvl w:val="0"/>
          <w:numId w:val="37"/>
        </w:numPr>
        <w:rPr>
          <w:szCs w:val="24"/>
        </w:rPr>
      </w:pPr>
      <w:r w:rsidRPr="009D435D">
        <w:rPr>
          <w:szCs w:val="24"/>
        </w:rPr>
        <w:lastRenderedPageBreak/>
        <w:t xml:space="preserve">Atbalstīt IZM priekšlikumu par rīcības komitejas </w:t>
      </w:r>
      <w:r w:rsidRPr="009D435D">
        <w:rPr>
          <w:i/>
          <w:szCs w:val="24"/>
        </w:rPr>
        <w:t>FIBA EuroBasket 2025</w:t>
      </w:r>
      <w:r w:rsidRPr="009D435D">
        <w:rPr>
          <w:szCs w:val="24"/>
        </w:rPr>
        <w:t xml:space="preserve"> organizēšanas uzraudzībai izveidi, lai sekmētu valsts pārvaldes sadarbību ar </w:t>
      </w:r>
      <w:r w:rsidRPr="009D435D">
        <w:rPr>
          <w:i/>
          <w:szCs w:val="24"/>
        </w:rPr>
        <w:t>FIBA EuroBasket 2025</w:t>
      </w:r>
      <w:r w:rsidRPr="009D435D">
        <w:rPr>
          <w:szCs w:val="24"/>
        </w:rPr>
        <w:t xml:space="preserve"> rīkotājiem, kā arī nodrošinātu regulāru informācijas apmaiņu </w:t>
      </w:r>
      <w:r>
        <w:rPr>
          <w:szCs w:val="24"/>
        </w:rPr>
        <w:t xml:space="preserve">par tā sagatavošanas gaitu, uzdodot IZM sagatavot un </w:t>
      </w:r>
      <w:r w:rsidRPr="002E1C44">
        <w:rPr>
          <w:szCs w:val="24"/>
        </w:rPr>
        <w:t>izglītības un zinātnes ministram</w:t>
      </w:r>
      <w:r w:rsidR="002A7683">
        <w:rPr>
          <w:szCs w:val="24"/>
        </w:rPr>
        <w:t xml:space="preserve"> noteikt</w:t>
      </w:r>
      <w:r w:rsidRPr="002E1C44">
        <w:rPr>
          <w:szCs w:val="24"/>
        </w:rPr>
        <w:t xml:space="preserve"> </w:t>
      </w:r>
      <w:r w:rsidR="00041611">
        <w:rPr>
          <w:szCs w:val="24"/>
        </w:rPr>
        <w:t xml:space="preserve">uzdevumu </w:t>
      </w:r>
      <w:r>
        <w:rPr>
          <w:szCs w:val="24"/>
        </w:rPr>
        <w:t>mēneša laikā</w:t>
      </w:r>
      <w:r w:rsidR="002A7683">
        <w:rPr>
          <w:szCs w:val="24"/>
        </w:rPr>
        <w:t xml:space="preserve"> noteiktā kārtībā</w:t>
      </w:r>
      <w:r>
        <w:rPr>
          <w:szCs w:val="24"/>
        </w:rPr>
        <w:t xml:space="preserve"> iesniegt Valsts kancelejā Ministru prezidenta rīkojuma projektu</w:t>
      </w:r>
      <w:r w:rsidR="002A7683">
        <w:rPr>
          <w:szCs w:val="24"/>
        </w:rPr>
        <w:t xml:space="preserve"> par </w:t>
      </w:r>
      <w:r w:rsidR="002A7683" w:rsidRPr="009D435D">
        <w:rPr>
          <w:szCs w:val="24"/>
        </w:rPr>
        <w:t>rīcības komitejas</w:t>
      </w:r>
      <w:r w:rsidR="002A7683">
        <w:rPr>
          <w:szCs w:val="24"/>
        </w:rPr>
        <w:t xml:space="preserve"> izveidi</w:t>
      </w:r>
      <w:r>
        <w:rPr>
          <w:szCs w:val="24"/>
        </w:rPr>
        <w:t>.</w:t>
      </w:r>
    </w:p>
    <w:sectPr w:rsidR="00E17028" w:rsidRPr="00E17028" w:rsidSect="00150D67">
      <w:headerReference w:type="default" r:id="rId8"/>
      <w:headerReference w:type="first" r:id="rId9"/>
      <w:footerReference w:type="first" r:id="rId10"/>
      <w:pgSz w:w="11907" w:h="16840" w:code="9"/>
      <w:pgMar w:top="851" w:right="851" w:bottom="426" w:left="1361" w:header="425" w:footer="125"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38FCC5" w14:textId="77777777" w:rsidR="000C5A3D" w:rsidRDefault="000C5A3D" w:rsidP="00565577">
      <w:r>
        <w:separator/>
      </w:r>
    </w:p>
  </w:endnote>
  <w:endnote w:type="continuationSeparator" w:id="0">
    <w:p w14:paraId="5CC75B9B" w14:textId="77777777" w:rsidR="000C5A3D" w:rsidRDefault="000C5A3D" w:rsidP="00565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LT CYR 47 Lt Cn">
    <w:altName w:val="Calibri"/>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Fiba">
    <w:altName w:val="Sitka Small"/>
    <w:panose1 w:val="00000000000000000000"/>
    <w:charset w:val="00"/>
    <w:family w:val="modern"/>
    <w:notTrueType/>
    <w:pitch w:val="variable"/>
    <w:sig w:usb0="00000287" w:usb1="00000001" w:usb2="00000000" w:usb3="00000000" w:csb0="0000009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87A092" w14:textId="4A96A9B6" w:rsidR="00C02FC6" w:rsidRDefault="00C02FC6" w:rsidP="00BD0A5C">
    <w:pPr>
      <w:pStyle w:val="Head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9C8C9C" w14:textId="77777777" w:rsidR="000C5A3D" w:rsidRDefault="000C5A3D" w:rsidP="00565577">
      <w:r>
        <w:separator/>
      </w:r>
    </w:p>
  </w:footnote>
  <w:footnote w:type="continuationSeparator" w:id="0">
    <w:p w14:paraId="08548901" w14:textId="77777777" w:rsidR="000C5A3D" w:rsidRDefault="000C5A3D" w:rsidP="00565577">
      <w:r>
        <w:continuationSeparator/>
      </w:r>
    </w:p>
  </w:footnote>
  <w:footnote w:id="1">
    <w:p w14:paraId="55F3138C" w14:textId="461C4B13" w:rsidR="00470AC3" w:rsidRDefault="00470AC3">
      <w:pPr>
        <w:pStyle w:val="FootnoteText"/>
      </w:pPr>
      <w:r>
        <w:rPr>
          <w:rStyle w:val="FootnoteReference"/>
        </w:rPr>
        <w:footnoteRef/>
      </w:r>
      <w:r>
        <w:t xml:space="preserve"> </w:t>
      </w:r>
      <w:hyperlink r:id="rId1" w:history="1">
        <w:r w:rsidRPr="00470AC3">
          <w:rPr>
            <w:rStyle w:val="Hyperlink"/>
            <w:i/>
          </w:rPr>
          <w:t>https://www.fiba.basketball/news/latvia-cyprus-and-finland-named-fiba-eurobasket-2025-hosts</w:t>
        </w:r>
      </w:hyperlink>
      <w:r>
        <w:t xml:space="preserve"> </w:t>
      </w:r>
    </w:p>
  </w:footnote>
  <w:footnote w:id="2">
    <w:p w14:paraId="16D9BB56" w14:textId="67E6E661" w:rsidR="00673F27" w:rsidRDefault="00673F27" w:rsidP="00673F27">
      <w:pPr>
        <w:pStyle w:val="FootnoteText"/>
      </w:pPr>
      <w:r>
        <w:rPr>
          <w:rStyle w:val="FootnoteReference"/>
        </w:rPr>
        <w:footnoteRef/>
      </w:r>
      <w:r>
        <w:t xml:space="preserve"> Saskaņā ar LBS sniegto skaidrojumu 2022. gadā komandējumi pamatā būs saistīti ar LBS vadības un atbildīgo darbinieku pieredzes apmaiņas braucieniem uz </w:t>
      </w:r>
      <w:r w:rsidRPr="00673F27">
        <w:rPr>
          <w:i/>
        </w:rPr>
        <w:t>FIBA EuroBasket 2022</w:t>
      </w:r>
      <w:r>
        <w:t xml:space="preserve"> norises vietām Vācijā (Berlīne, Ķelne), Itālijā (Milāna), Čehijā (Prāga) un Gruzijā (Tbilisi) un paredzēti gan sagatavošanas posmā, gan </w:t>
      </w:r>
      <w:r w:rsidRPr="00673F27">
        <w:rPr>
          <w:i/>
        </w:rPr>
        <w:t>FIBA EuroBasket 2022</w:t>
      </w:r>
      <w:r>
        <w:t xml:space="preserve"> norises laikā (2022. gada 1.-18. septembris). </w:t>
      </w:r>
      <w:r w:rsidR="00267440">
        <w:t xml:space="preserve">IZM ir izvērtējusi minēto finanšu pieprasījumu un atzīst tajā iekļautās pozīcijas par atbilstošām </w:t>
      </w:r>
      <w:r w:rsidR="00267440" w:rsidRPr="00520D62">
        <w:rPr>
          <w:i/>
        </w:rPr>
        <w:t>FIBA EuroBasket 2025</w:t>
      </w:r>
      <w:r w:rsidR="00267440">
        <w:t xml:space="preserve"> tiešām organizēšanas izmaksām</w:t>
      </w:r>
      <w:r w:rsidR="00041611">
        <w:t>, tomēr pirms virzīšanas izskatīšanai Ministru kabinetā minētais jautājums izvērtējams arī Rīcības komitejā</w:t>
      </w:r>
      <w:r w:rsidR="00041611" w:rsidRPr="00041611">
        <w:t xml:space="preserve"> </w:t>
      </w:r>
      <w:r w:rsidR="00041611" w:rsidRPr="00041611">
        <w:rPr>
          <w:i/>
        </w:rPr>
        <w:t>FIBA EuroBasket 2025</w:t>
      </w:r>
      <w:r w:rsidR="00041611" w:rsidRPr="00041611">
        <w:t xml:space="preserve"> organizēšanas uzraudzībai</w:t>
      </w:r>
      <w:r w:rsidR="00267440">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5414659"/>
      <w:docPartObj>
        <w:docPartGallery w:val="Page Numbers (Top of Page)"/>
        <w:docPartUnique/>
      </w:docPartObj>
    </w:sdtPr>
    <w:sdtEndPr>
      <w:rPr>
        <w:noProof/>
      </w:rPr>
    </w:sdtEndPr>
    <w:sdtContent>
      <w:p w14:paraId="3B0CED8C" w14:textId="22AAA75C" w:rsidR="00C02FC6" w:rsidRDefault="00C02FC6">
        <w:pPr>
          <w:pStyle w:val="Header"/>
          <w:jc w:val="center"/>
        </w:pPr>
        <w:r>
          <w:fldChar w:fldCharType="begin"/>
        </w:r>
        <w:r>
          <w:instrText xml:space="preserve"> PAGE   \* MERGEFORMAT </w:instrText>
        </w:r>
        <w:r>
          <w:fldChar w:fldCharType="separate"/>
        </w:r>
        <w:r w:rsidR="00540A16">
          <w:rPr>
            <w:noProof/>
          </w:rPr>
          <w:t>4</w:t>
        </w:r>
        <w:r>
          <w:rPr>
            <w:noProof/>
          </w:rPr>
          <w:fldChar w:fldCharType="end"/>
        </w:r>
      </w:p>
    </w:sdtContent>
  </w:sdt>
  <w:p w14:paraId="7A01F989" w14:textId="77777777" w:rsidR="00C02FC6" w:rsidRPr="001E77C9" w:rsidRDefault="00C02FC6">
    <w:pPr>
      <w:pStyle w:val="Header"/>
      <w:rPr>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EF6CBA" w14:textId="475608A6" w:rsidR="00C02FC6" w:rsidRDefault="00C02FC6" w:rsidP="00BD0A5C">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55018"/>
    <w:multiLevelType w:val="hybridMultilevel"/>
    <w:tmpl w:val="0B6EF380"/>
    <w:lvl w:ilvl="0" w:tplc="6D3C125E">
      <w:start w:val="3"/>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nsid w:val="04321606"/>
    <w:multiLevelType w:val="hybridMultilevel"/>
    <w:tmpl w:val="82209BB2"/>
    <w:lvl w:ilvl="0" w:tplc="B86EFBA4">
      <w:start w:val="1"/>
      <w:numFmt w:val="decimal"/>
      <w:lvlText w:val="(%1)"/>
      <w:lvlJc w:val="left"/>
      <w:pPr>
        <w:ind w:left="502" w:hanging="360"/>
      </w:pPr>
      <w:rPr>
        <w:rFonts w:hint="default"/>
        <w:sz w:val="25"/>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2">
    <w:nsid w:val="09326542"/>
    <w:multiLevelType w:val="hybridMultilevel"/>
    <w:tmpl w:val="04DA8288"/>
    <w:lvl w:ilvl="0" w:tplc="A1C2272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nsid w:val="09DC6E41"/>
    <w:multiLevelType w:val="hybridMultilevel"/>
    <w:tmpl w:val="15D87E0A"/>
    <w:lvl w:ilvl="0" w:tplc="AD3A34D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nsid w:val="0A522551"/>
    <w:multiLevelType w:val="hybridMultilevel"/>
    <w:tmpl w:val="8D1046D8"/>
    <w:lvl w:ilvl="0" w:tplc="DDF0D778">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nsid w:val="0CFC519A"/>
    <w:multiLevelType w:val="hybridMultilevel"/>
    <w:tmpl w:val="AA7A7BF4"/>
    <w:lvl w:ilvl="0" w:tplc="04260019">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nsid w:val="1239554C"/>
    <w:multiLevelType w:val="hybridMultilevel"/>
    <w:tmpl w:val="5ABEBBA8"/>
    <w:lvl w:ilvl="0" w:tplc="13FA9B04">
      <w:numFmt w:val="bullet"/>
      <w:lvlText w:val="-"/>
      <w:lvlJc w:val="left"/>
      <w:pPr>
        <w:ind w:left="720" w:hanging="360"/>
      </w:pPr>
      <w:rPr>
        <w:rFonts w:ascii="Univers LT CYR 47 Lt Cn" w:eastAsiaTheme="minorHAnsi" w:hAnsi="Univers LT CYR 47 Lt Cn" w:cs="Univers LT CYR 47 Lt C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12795BF1"/>
    <w:multiLevelType w:val="hybridMultilevel"/>
    <w:tmpl w:val="E992103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nsid w:val="151F7C76"/>
    <w:multiLevelType w:val="hybridMultilevel"/>
    <w:tmpl w:val="C4545D12"/>
    <w:lvl w:ilvl="0" w:tplc="D4740D3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nsid w:val="16C0705C"/>
    <w:multiLevelType w:val="hybridMultilevel"/>
    <w:tmpl w:val="FA74D746"/>
    <w:lvl w:ilvl="0" w:tplc="23887FE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nsid w:val="17BF3613"/>
    <w:multiLevelType w:val="hybridMultilevel"/>
    <w:tmpl w:val="56E61D1C"/>
    <w:lvl w:ilvl="0" w:tplc="F68278C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nsid w:val="1A7D606F"/>
    <w:multiLevelType w:val="hybridMultilevel"/>
    <w:tmpl w:val="F562633C"/>
    <w:lvl w:ilvl="0" w:tplc="E326A608">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nsid w:val="1AB37ACE"/>
    <w:multiLevelType w:val="hybridMultilevel"/>
    <w:tmpl w:val="1C844630"/>
    <w:lvl w:ilvl="0" w:tplc="493CCFB0">
      <w:start w:val="4"/>
      <w:numFmt w:val="lowerLetter"/>
      <w:lvlText w:val="%1."/>
      <w:lvlJc w:val="left"/>
      <w:pPr>
        <w:ind w:left="144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nsid w:val="1D1E2F62"/>
    <w:multiLevelType w:val="hybridMultilevel"/>
    <w:tmpl w:val="7AE065D2"/>
    <w:lvl w:ilvl="0" w:tplc="1F1CFBA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20E82E45"/>
    <w:multiLevelType w:val="multilevel"/>
    <w:tmpl w:val="B364A878"/>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nsid w:val="2288641A"/>
    <w:multiLevelType w:val="hybridMultilevel"/>
    <w:tmpl w:val="02A49C8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nsid w:val="290557EB"/>
    <w:multiLevelType w:val="hybridMultilevel"/>
    <w:tmpl w:val="7CBA82AC"/>
    <w:lvl w:ilvl="0" w:tplc="48FC709C">
      <w:start w:val="2"/>
      <w:numFmt w:val="bullet"/>
      <w:lvlText w:val="-"/>
      <w:lvlJc w:val="left"/>
      <w:pPr>
        <w:ind w:left="720" w:hanging="360"/>
      </w:pPr>
      <w:rPr>
        <w:rFonts w:ascii="Calibri" w:eastAsiaTheme="minorEastAsia" w:hAnsi="Calibri"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7">
    <w:nsid w:val="2AD145EB"/>
    <w:multiLevelType w:val="hybridMultilevel"/>
    <w:tmpl w:val="CE9A8FEC"/>
    <w:lvl w:ilvl="0" w:tplc="A168B79E">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nsid w:val="2CA85F2D"/>
    <w:multiLevelType w:val="multilevel"/>
    <w:tmpl w:val="1EFCF276"/>
    <w:lvl w:ilvl="0">
      <w:start w:val="1"/>
      <w:numFmt w:val="decimal"/>
      <w:lvlText w:val="%1."/>
      <w:lvlJc w:val="left"/>
      <w:pPr>
        <w:ind w:left="720" w:hanging="360"/>
      </w:pPr>
      <w:rPr>
        <w:rFonts w:hint="default"/>
      </w:rPr>
    </w:lvl>
    <w:lvl w:ilvl="1">
      <w:start w:val="1"/>
      <w:numFmt w:val="decimal"/>
      <w:isLgl/>
      <w:lvlText w:val="%1.%2."/>
      <w:lvlJc w:val="left"/>
      <w:pPr>
        <w:ind w:left="1777"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031155B"/>
    <w:multiLevelType w:val="hybridMultilevel"/>
    <w:tmpl w:val="417490E4"/>
    <w:lvl w:ilvl="0" w:tplc="93A82D9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nsid w:val="349B5C37"/>
    <w:multiLevelType w:val="hybridMultilevel"/>
    <w:tmpl w:val="EB1A0A4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nsid w:val="3E2006D9"/>
    <w:multiLevelType w:val="hybridMultilevel"/>
    <w:tmpl w:val="BDFC231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nsid w:val="3FE87B28"/>
    <w:multiLevelType w:val="hybridMultilevel"/>
    <w:tmpl w:val="FDE4BB70"/>
    <w:lvl w:ilvl="0" w:tplc="C94C009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nsid w:val="4A351CD6"/>
    <w:multiLevelType w:val="hybridMultilevel"/>
    <w:tmpl w:val="A35434BC"/>
    <w:lvl w:ilvl="0" w:tplc="04260005">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nsid w:val="4B3B6C8A"/>
    <w:multiLevelType w:val="hybridMultilevel"/>
    <w:tmpl w:val="6F2ED71E"/>
    <w:lvl w:ilvl="0" w:tplc="0426000F">
      <w:start w:val="1"/>
      <w:numFmt w:val="decimal"/>
      <w:lvlText w:val="%1."/>
      <w:lvlJc w:val="left"/>
      <w:pPr>
        <w:ind w:left="720" w:hanging="360"/>
      </w:p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5">
    <w:nsid w:val="4CBE49DB"/>
    <w:multiLevelType w:val="multilevel"/>
    <w:tmpl w:val="5844A4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nsid w:val="4E0E313F"/>
    <w:multiLevelType w:val="hybridMultilevel"/>
    <w:tmpl w:val="4CE0BC96"/>
    <w:lvl w:ilvl="0" w:tplc="6688FAC8">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nsid w:val="4E3D476C"/>
    <w:multiLevelType w:val="hybridMultilevel"/>
    <w:tmpl w:val="F2B0F896"/>
    <w:lvl w:ilvl="0" w:tplc="67405FB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nsid w:val="4F9D77D0"/>
    <w:multiLevelType w:val="hybridMultilevel"/>
    <w:tmpl w:val="156C287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nsid w:val="5028547A"/>
    <w:multiLevelType w:val="hybridMultilevel"/>
    <w:tmpl w:val="358CC9D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nsid w:val="51493301"/>
    <w:multiLevelType w:val="hybridMultilevel"/>
    <w:tmpl w:val="F4923D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nsid w:val="51BA146C"/>
    <w:multiLevelType w:val="hybridMultilevel"/>
    <w:tmpl w:val="3446AF44"/>
    <w:lvl w:ilvl="0" w:tplc="BD32B2C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2">
    <w:nsid w:val="53B5197D"/>
    <w:multiLevelType w:val="hybridMultilevel"/>
    <w:tmpl w:val="EDA8CBC6"/>
    <w:lvl w:ilvl="0" w:tplc="DE643374">
      <w:start w:val="1"/>
      <w:numFmt w:val="bullet"/>
      <w:lvlText w:val=""/>
      <w:lvlJc w:val="left"/>
      <w:pPr>
        <w:tabs>
          <w:tab w:val="num" w:pos="720"/>
        </w:tabs>
        <w:ind w:left="720" w:hanging="360"/>
      </w:pPr>
      <w:rPr>
        <w:rFonts w:ascii="Wingdings" w:hAnsi="Wingdings" w:hint="default"/>
      </w:rPr>
    </w:lvl>
    <w:lvl w:ilvl="1" w:tplc="604C9C74">
      <w:start w:val="255"/>
      <w:numFmt w:val="bullet"/>
      <w:lvlText w:val=""/>
      <w:lvlJc w:val="left"/>
      <w:pPr>
        <w:tabs>
          <w:tab w:val="num" w:pos="1440"/>
        </w:tabs>
        <w:ind w:left="1440" w:hanging="360"/>
      </w:pPr>
      <w:rPr>
        <w:rFonts w:ascii="Wingdings" w:hAnsi="Wingdings" w:hint="default"/>
      </w:rPr>
    </w:lvl>
    <w:lvl w:ilvl="2" w:tplc="B4E087C2" w:tentative="1">
      <w:start w:val="1"/>
      <w:numFmt w:val="bullet"/>
      <w:lvlText w:val=""/>
      <w:lvlJc w:val="left"/>
      <w:pPr>
        <w:tabs>
          <w:tab w:val="num" w:pos="2160"/>
        </w:tabs>
        <w:ind w:left="2160" w:hanging="360"/>
      </w:pPr>
      <w:rPr>
        <w:rFonts w:ascii="Wingdings" w:hAnsi="Wingdings" w:hint="default"/>
      </w:rPr>
    </w:lvl>
    <w:lvl w:ilvl="3" w:tplc="828E28CA" w:tentative="1">
      <w:start w:val="1"/>
      <w:numFmt w:val="bullet"/>
      <w:lvlText w:val=""/>
      <w:lvlJc w:val="left"/>
      <w:pPr>
        <w:tabs>
          <w:tab w:val="num" w:pos="2880"/>
        </w:tabs>
        <w:ind w:left="2880" w:hanging="360"/>
      </w:pPr>
      <w:rPr>
        <w:rFonts w:ascii="Wingdings" w:hAnsi="Wingdings" w:hint="default"/>
      </w:rPr>
    </w:lvl>
    <w:lvl w:ilvl="4" w:tplc="5C602BA4" w:tentative="1">
      <w:start w:val="1"/>
      <w:numFmt w:val="bullet"/>
      <w:lvlText w:val=""/>
      <w:lvlJc w:val="left"/>
      <w:pPr>
        <w:tabs>
          <w:tab w:val="num" w:pos="3600"/>
        </w:tabs>
        <w:ind w:left="3600" w:hanging="360"/>
      </w:pPr>
      <w:rPr>
        <w:rFonts w:ascii="Wingdings" w:hAnsi="Wingdings" w:hint="default"/>
      </w:rPr>
    </w:lvl>
    <w:lvl w:ilvl="5" w:tplc="981C110C" w:tentative="1">
      <w:start w:val="1"/>
      <w:numFmt w:val="bullet"/>
      <w:lvlText w:val=""/>
      <w:lvlJc w:val="left"/>
      <w:pPr>
        <w:tabs>
          <w:tab w:val="num" w:pos="4320"/>
        </w:tabs>
        <w:ind w:left="4320" w:hanging="360"/>
      </w:pPr>
      <w:rPr>
        <w:rFonts w:ascii="Wingdings" w:hAnsi="Wingdings" w:hint="default"/>
      </w:rPr>
    </w:lvl>
    <w:lvl w:ilvl="6" w:tplc="5A4C7482" w:tentative="1">
      <w:start w:val="1"/>
      <w:numFmt w:val="bullet"/>
      <w:lvlText w:val=""/>
      <w:lvlJc w:val="left"/>
      <w:pPr>
        <w:tabs>
          <w:tab w:val="num" w:pos="5040"/>
        </w:tabs>
        <w:ind w:left="5040" w:hanging="360"/>
      </w:pPr>
      <w:rPr>
        <w:rFonts w:ascii="Wingdings" w:hAnsi="Wingdings" w:hint="default"/>
      </w:rPr>
    </w:lvl>
    <w:lvl w:ilvl="7" w:tplc="13AE51E2" w:tentative="1">
      <w:start w:val="1"/>
      <w:numFmt w:val="bullet"/>
      <w:lvlText w:val=""/>
      <w:lvlJc w:val="left"/>
      <w:pPr>
        <w:tabs>
          <w:tab w:val="num" w:pos="5760"/>
        </w:tabs>
        <w:ind w:left="5760" w:hanging="360"/>
      </w:pPr>
      <w:rPr>
        <w:rFonts w:ascii="Wingdings" w:hAnsi="Wingdings" w:hint="default"/>
      </w:rPr>
    </w:lvl>
    <w:lvl w:ilvl="8" w:tplc="DC6A57C6" w:tentative="1">
      <w:start w:val="1"/>
      <w:numFmt w:val="bullet"/>
      <w:lvlText w:val=""/>
      <w:lvlJc w:val="left"/>
      <w:pPr>
        <w:tabs>
          <w:tab w:val="num" w:pos="6480"/>
        </w:tabs>
        <w:ind w:left="6480" w:hanging="360"/>
      </w:pPr>
      <w:rPr>
        <w:rFonts w:ascii="Wingdings" w:hAnsi="Wingdings" w:hint="default"/>
      </w:rPr>
    </w:lvl>
  </w:abstractNum>
  <w:abstractNum w:abstractNumId="33">
    <w:nsid w:val="57B631BD"/>
    <w:multiLevelType w:val="hybridMultilevel"/>
    <w:tmpl w:val="01ECFE5A"/>
    <w:lvl w:ilvl="0" w:tplc="B5F87B48">
      <w:start w:val="202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4">
    <w:nsid w:val="583D68C3"/>
    <w:multiLevelType w:val="hybridMultilevel"/>
    <w:tmpl w:val="BA5848A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5">
    <w:nsid w:val="59A83AB6"/>
    <w:multiLevelType w:val="hybridMultilevel"/>
    <w:tmpl w:val="3522C96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6">
    <w:nsid w:val="5C05773E"/>
    <w:multiLevelType w:val="hybridMultilevel"/>
    <w:tmpl w:val="1B2AA22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nsid w:val="636C6DCB"/>
    <w:multiLevelType w:val="hybridMultilevel"/>
    <w:tmpl w:val="013CA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02D3B0D"/>
    <w:multiLevelType w:val="hybridMultilevel"/>
    <w:tmpl w:val="2168FAF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9">
    <w:nsid w:val="735135E3"/>
    <w:multiLevelType w:val="hybridMultilevel"/>
    <w:tmpl w:val="AE92AFCA"/>
    <w:lvl w:ilvl="0" w:tplc="0426000B">
      <w:start w:val="1"/>
      <w:numFmt w:val="bullet"/>
      <w:lvlText w:val=""/>
      <w:lvlJc w:val="left"/>
      <w:pPr>
        <w:ind w:left="720" w:hanging="360"/>
      </w:pPr>
      <w:rPr>
        <w:rFonts w:ascii="Wingdings" w:hAnsi="Wingding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nsid w:val="73D33549"/>
    <w:multiLevelType w:val="hybridMultilevel"/>
    <w:tmpl w:val="E3281AE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nsid w:val="75965B71"/>
    <w:multiLevelType w:val="hybridMultilevel"/>
    <w:tmpl w:val="929877A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2">
    <w:nsid w:val="797E307D"/>
    <w:multiLevelType w:val="multilevel"/>
    <w:tmpl w:val="EE2210F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3">
    <w:nsid w:val="7B651889"/>
    <w:multiLevelType w:val="hybridMultilevel"/>
    <w:tmpl w:val="DEC022BE"/>
    <w:lvl w:ilvl="0" w:tplc="F58C85AE">
      <w:start w:val="1"/>
      <w:numFmt w:val="lowerLetter"/>
      <w:lvlText w:val="%1."/>
      <w:lvlJc w:val="left"/>
      <w:pPr>
        <w:ind w:left="144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nsid w:val="7E721DF5"/>
    <w:multiLevelType w:val="hybridMultilevel"/>
    <w:tmpl w:val="A42EECE2"/>
    <w:lvl w:ilvl="0" w:tplc="C8C6C748">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8"/>
  </w:num>
  <w:num w:numId="2">
    <w:abstractNumId w:val="38"/>
  </w:num>
  <w:num w:numId="3">
    <w:abstractNumId w:val="7"/>
  </w:num>
  <w:num w:numId="4">
    <w:abstractNumId w:val="41"/>
  </w:num>
  <w:num w:numId="5">
    <w:abstractNumId w:val="30"/>
  </w:num>
  <w:num w:numId="6">
    <w:abstractNumId w:val="1"/>
  </w:num>
  <w:num w:numId="7">
    <w:abstractNumId w:val="27"/>
  </w:num>
  <w:num w:numId="8">
    <w:abstractNumId w:val="2"/>
  </w:num>
  <w:num w:numId="9">
    <w:abstractNumId w:val="10"/>
  </w:num>
  <w:num w:numId="10">
    <w:abstractNumId w:val="21"/>
  </w:num>
  <w:num w:numId="11">
    <w:abstractNumId w:val="22"/>
  </w:num>
  <w:num w:numId="12">
    <w:abstractNumId w:val="29"/>
  </w:num>
  <w:num w:numId="13">
    <w:abstractNumId w:val="34"/>
  </w:num>
  <w:num w:numId="14">
    <w:abstractNumId w:val="25"/>
  </w:num>
  <w:num w:numId="15">
    <w:abstractNumId w:val="32"/>
  </w:num>
  <w:num w:numId="16">
    <w:abstractNumId w:val="20"/>
  </w:num>
  <w:num w:numId="17">
    <w:abstractNumId w:val="16"/>
  </w:num>
  <w:num w:numId="18">
    <w:abstractNumId w:val="24"/>
    <w:lvlOverride w:ilvl="0">
      <w:startOverride w:val="1"/>
    </w:lvlOverride>
    <w:lvlOverride w:ilvl="1"/>
    <w:lvlOverride w:ilvl="2"/>
    <w:lvlOverride w:ilvl="3"/>
    <w:lvlOverride w:ilvl="4"/>
    <w:lvlOverride w:ilvl="5"/>
    <w:lvlOverride w:ilvl="6"/>
    <w:lvlOverride w:ilvl="7"/>
    <w:lvlOverride w:ilvl="8"/>
  </w:num>
  <w:num w:numId="19">
    <w:abstractNumId w:val="40"/>
  </w:num>
  <w:num w:numId="20">
    <w:abstractNumId w:val="4"/>
  </w:num>
  <w:num w:numId="21">
    <w:abstractNumId w:val="26"/>
  </w:num>
  <w:num w:numId="22">
    <w:abstractNumId w:val="37"/>
  </w:num>
  <w:num w:numId="23">
    <w:abstractNumId w:val="8"/>
  </w:num>
  <w:num w:numId="24">
    <w:abstractNumId w:val="33"/>
  </w:num>
  <w:num w:numId="25">
    <w:abstractNumId w:val="9"/>
  </w:num>
  <w:num w:numId="26">
    <w:abstractNumId w:val="18"/>
  </w:num>
  <w:num w:numId="27">
    <w:abstractNumId w:val="44"/>
  </w:num>
  <w:num w:numId="28">
    <w:abstractNumId w:val="13"/>
  </w:num>
  <w:num w:numId="29">
    <w:abstractNumId w:val="3"/>
  </w:num>
  <w:num w:numId="30">
    <w:abstractNumId w:val="23"/>
  </w:num>
  <w:num w:numId="31">
    <w:abstractNumId w:val="36"/>
  </w:num>
  <w:num w:numId="32">
    <w:abstractNumId w:val="15"/>
  </w:num>
  <w:num w:numId="33">
    <w:abstractNumId w:val="0"/>
  </w:num>
  <w:num w:numId="34">
    <w:abstractNumId w:val="35"/>
  </w:num>
  <w:num w:numId="35">
    <w:abstractNumId w:val="11"/>
  </w:num>
  <w:num w:numId="36">
    <w:abstractNumId w:val="39"/>
  </w:num>
  <w:num w:numId="37">
    <w:abstractNumId w:val="17"/>
  </w:num>
  <w:num w:numId="38">
    <w:abstractNumId w:val="5"/>
  </w:num>
  <w:num w:numId="39">
    <w:abstractNumId w:val="43"/>
  </w:num>
  <w:num w:numId="40">
    <w:abstractNumId w:val="12"/>
  </w:num>
  <w:num w:numId="41">
    <w:abstractNumId w:val="42"/>
  </w:num>
  <w:num w:numId="42">
    <w:abstractNumId w:val="14"/>
  </w:num>
  <w:num w:numId="43">
    <w:abstractNumId w:val="6"/>
  </w:num>
  <w:num w:numId="44">
    <w:abstractNumId w:val="31"/>
  </w:num>
  <w:num w:numId="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2B9"/>
    <w:rsid w:val="00000A3F"/>
    <w:rsid w:val="00004060"/>
    <w:rsid w:val="00005839"/>
    <w:rsid w:val="00005CF4"/>
    <w:rsid w:val="000064B3"/>
    <w:rsid w:val="00007238"/>
    <w:rsid w:val="000072F5"/>
    <w:rsid w:val="00007539"/>
    <w:rsid w:val="0001049F"/>
    <w:rsid w:val="00011746"/>
    <w:rsid w:val="00017727"/>
    <w:rsid w:val="00020361"/>
    <w:rsid w:val="00020D02"/>
    <w:rsid w:val="0003650A"/>
    <w:rsid w:val="00041140"/>
    <w:rsid w:val="00041611"/>
    <w:rsid w:val="0004197A"/>
    <w:rsid w:val="00043A08"/>
    <w:rsid w:val="0004411C"/>
    <w:rsid w:val="000457E8"/>
    <w:rsid w:val="00052E16"/>
    <w:rsid w:val="000568F8"/>
    <w:rsid w:val="000576FC"/>
    <w:rsid w:val="00060742"/>
    <w:rsid w:val="00061EF8"/>
    <w:rsid w:val="00064559"/>
    <w:rsid w:val="000652AB"/>
    <w:rsid w:val="00065A9F"/>
    <w:rsid w:val="000668F5"/>
    <w:rsid w:val="00071ACD"/>
    <w:rsid w:val="00072F69"/>
    <w:rsid w:val="00073007"/>
    <w:rsid w:val="00075BD6"/>
    <w:rsid w:val="000762AB"/>
    <w:rsid w:val="00085B55"/>
    <w:rsid w:val="00090411"/>
    <w:rsid w:val="00090FC1"/>
    <w:rsid w:val="00091ED4"/>
    <w:rsid w:val="00092055"/>
    <w:rsid w:val="00092DFF"/>
    <w:rsid w:val="00095723"/>
    <w:rsid w:val="000963F5"/>
    <w:rsid w:val="00096F9C"/>
    <w:rsid w:val="000A1755"/>
    <w:rsid w:val="000A3DEE"/>
    <w:rsid w:val="000A7521"/>
    <w:rsid w:val="000B3354"/>
    <w:rsid w:val="000B48CD"/>
    <w:rsid w:val="000B5364"/>
    <w:rsid w:val="000B548A"/>
    <w:rsid w:val="000B7CEB"/>
    <w:rsid w:val="000B7CF9"/>
    <w:rsid w:val="000C3412"/>
    <w:rsid w:val="000C5A3D"/>
    <w:rsid w:val="000D175A"/>
    <w:rsid w:val="000D21A6"/>
    <w:rsid w:val="000D4CC1"/>
    <w:rsid w:val="000D7695"/>
    <w:rsid w:val="000D7939"/>
    <w:rsid w:val="000E3A7A"/>
    <w:rsid w:val="000E484E"/>
    <w:rsid w:val="000E4F3C"/>
    <w:rsid w:val="000F21FD"/>
    <w:rsid w:val="000F3C2E"/>
    <w:rsid w:val="000F5922"/>
    <w:rsid w:val="00100424"/>
    <w:rsid w:val="001048EF"/>
    <w:rsid w:val="00106053"/>
    <w:rsid w:val="00106722"/>
    <w:rsid w:val="0011347A"/>
    <w:rsid w:val="00122EDB"/>
    <w:rsid w:val="001244BF"/>
    <w:rsid w:val="0012582A"/>
    <w:rsid w:val="0012640D"/>
    <w:rsid w:val="0013213F"/>
    <w:rsid w:val="00132F6D"/>
    <w:rsid w:val="00133B76"/>
    <w:rsid w:val="001356E4"/>
    <w:rsid w:val="00141C9F"/>
    <w:rsid w:val="001428D1"/>
    <w:rsid w:val="001432A9"/>
    <w:rsid w:val="001455F1"/>
    <w:rsid w:val="00145F1E"/>
    <w:rsid w:val="00146852"/>
    <w:rsid w:val="001469FB"/>
    <w:rsid w:val="00147DC9"/>
    <w:rsid w:val="00150D67"/>
    <w:rsid w:val="00152B2A"/>
    <w:rsid w:val="00155491"/>
    <w:rsid w:val="00155C2E"/>
    <w:rsid w:val="00160609"/>
    <w:rsid w:val="00164DBE"/>
    <w:rsid w:val="001662A7"/>
    <w:rsid w:val="00171E8D"/>
    <w:rsid w:val="00175DAB"/>
    <w:rsid w:val="001813D3"/>
    <w:rsid w:val="0018305F"/>
    <w:rsid w:val="00184885"/>
    <w:rsid w:val="001907B7"/>
    <w:rsid w:val="00190FFF"/>
    <w:rsid w:val="001A15F3"/>
    <w:rsid w:val="001A1F9F"/>
    <w:rsid w:val="001A277C"/>
    <w:rsid w:val="001B12DC"/>
    <w:rsid w:val="001B1C7F"/>
    <w:rsid w:val="001B45C8"/>
    <w:rsid w:val="001B4A9E"/>
    <w:rsid w:val="001B4AA3"/>
    <w:rsid w:val="001B6027"/>
    <w:rsid w:val="001B7815"/>
    <w:rsid w:val="001B7E92"/>
    <w:rsid w:val="001C106E"/>
    <w:rsid w:val="001C5C28"/>
    <w:rsid w:val="001D0215"/>
    <w:rsid w:val="001D155C"/>
    <w:rsid w:val="001D2980"/>
    <w:rsid w:val="001E2840"/>
    <w:rsid w:val="001E2CFD"/>
    <w:rsid w:val="001E4FA2"/>
    <w:rsid w:val="001E5953"/>
    <w:rsid w:val="001E77C9"/>
    <w:rsid w:val="001F0AC1"/>
    <w:rsid w:val="001F0B91"/>
    <w:rsid w:val="001F2716"/>
    <w:rsid w:val="001F2D9C"/>
    <w:rsid w:val="001F52C7"/>
    <w:rsid w:val="001F5DD3"/>
    <w:rsid w:val="00202F54"/>
    <w:rsid w:val="002034DB"/>
    <w:rsid w:val="00203CB2"/>
    <w:rsid w:val="00206AE7"/>
    <w:rsid w:val="00215128"/>
    <w:rsid w:val="00216AE2"/>
    <w:rsid w:val="002228FB"/>
    <w:rsid w:val="00224283"/>
    <w:rsid w:val="00224E49"/>
    <w:rsid w:val="00226A8B"/>
    <w:rsid w:val="00227AB7"/>
    <w:rsid w:val="00227ED3"/>
    <w:rsid w:val="00234BE0"/>
    <w:rsid w:val="0024109C"/>
    <w:rsid w:val="0024574C"/>
    <w:rsid w:val="00245CA9"/>
    <w:rsid w:val="00252E7B"/>
    <w:rsid w:val="002544D4"/>
    <w:rsid w:val="00256F00"/>
    <w:rsid w:val="0025784A"/>
    <w:rsid w:val="002635B9"/>
    <w:rsid w:val="00265DD5"/>
    <w:rsid w:val="00266A60"/>
    <w:rsid w:val="00267440"/>
    <w:rsid w:val="002742E1"/>
    <w:rsid w:val="00275555"/>
    <w:rsid w:val="002762B7"/>
    <w:rsid w:val="00276734"/>
    <w:rsid w:val="00277595"/>
    <w:rsid w:val="002816C1"/>
    <w:rsid w:val="00282BB8"/>
    <w:rsid w:val="00287E4C"/>
    <w:rsid w:val="0029280B"/>
    <w:rsid w:val="002967EF"/>
    <w:rsid w:val="002A28E8"/>
    <w:rsid w:val="002A3F48"/>
    <w:rsid w:val="002A5A9E"/>
    <w:rsid w:val="002A5AF7"/>
    <w:rsid w:val="002A70BF"/>
    <w:rsid w:val="002A7683"/>
    <w:rsid w:val="002A7793"/>
    <w:rsid w:val="002B1230"/>
    <w:rsid w:val="002B16B5"/>
    <w:rsid w:val="002B3532"/>
    <w:rsid w:val="002B488F"/>
    <w:rsid w:val="002C1782"/>
    <w:rsid w:val="002C4DB9"/>
    <w:rsid w:val="002D468D"/>
    <w:rsid w:val="002E1715"/>
    <w:rsid w:val="002E1B55"/>
    <w:rsid w:val="002E1C44"/>
    <w:rsid w:val="002E4B6C"/>
    <w:rsid w:val="002E7AA7"/>
    <w:rsid w:val="002F347D"/>
    <w:rsid w:val="002F52CA"/>
    <w:rsid w:val="002F7880"/>
    <w:rsid w:val="00300586"/>
    <w:rsid w:val="00303AA7"/>
    <w:rsid w:val="00317289"/>
    <w:rsid w:val="00317D12"/>
    <w:rsid w:val="0032070F"/>
    <w:rsid w:val="003229DD"/>
    <w:rsid w:val="00323277"/>
    <w:rsid w:val="00323804"/>
    <w:rsid w:val="003266EA"/>
    <w:rsid w:val="00330E34"/>
    <w:rsid w:val="00331263"/>
    <w:rsid w:val="003315A7"/>
    <w:rsid w:val="00331D5E"/>
    <w:rsid w:val="00332F41"/>
    <w:rsid w:val="00341442"/>
    <w:rsid w:val="00343ABC"/>
    <w:rsid w:val="00344640"/>
    <w:rsid w:val="00345CE5"/>
    <w:rsid w:val="003464F9"/>
    <w:rsid w:val="00346A30"/>
    <w:rsid w:val="00351393"/>
    <w:rsid w:val="0035166B"/>
    <w:rsid w:val="0035251E"/>
    <w:rsid w:val="00354434"/>
    <w:rsid w:val="00354A4A"/>
    <w:rsid w:val="00356520"/>
    <w:rsid w:val="003570A4"/>
    <w:rsid w:val="00361CE7"/>
    <w:rsid w:val="00363CA6"/>
    <w:rsid w:val="003647A4"/>
    <w:rsid w:val="003701E2"/>
    <w:rsid w:val="00370562"/>
    <w:rsid w:val="00372043"/>
    <w:rsid w:val="00373AD0"/>
    <w:rsid w:val="003757F3"/>
    <w:rsid w:val="003766DA"/>
    <w:rsid w:val="003820A8"/>
    <w:rsid w:val="00383E5E"/>
    <w:rsid w:val="00383FF8"/>
    <w:rsid w:val="0038523A"/>
    <w:rsid w:val="00386298"/>
    <w:rsid w:val="0039064E"/>
    <w:rsid w:val="00390A5F"/>
    <w:rsid w:val="00391A97"/>
    <w:rsid w:val="00392307"/>
    <w:rsid w:val="0039362D"/>
    <w:rsid w:val="00393E5B"/>
    <w:rsid w:val="003A0E0D"/>
    <w:rsid w:val="003A6DD8"/>
    <w:rsid w:val="003A782A"/>
    <w:rsid w:val="003B2B41"/>
    <w:rsid w:val="003B30AF"/>
    <w:rsid w:val="003C621C"/>
    <w:rsid w:val="003D0810"/>
    <w:rsid w:val="003D1DAC"/>
    <w:rsid w:val="003D4CE0"/>
    <w:rsid w:val="003D590A"/>
    <w:rsid w:val="003D7EDD"/>
    <w:rsid w:val="003E6334"/>
    <w:rsid w:val="003F0305"/>
    <w:rsid w:val="003F0AE6"/>
    <w:rsid w:val="003F2814"/>
    <w:rsid w:val="00400C93"/>
    <w:rsid w:val="004112DC"/>
    <w:rsid w:val="00412C5E"/>
    <w:rsid w:val="00412D6C"/>
    <w:rsid w:val="00414F81"/>
    <w:rsid w:val="00417B1D"/>
    <w:rsid w:val="00420243"/>
    <w:rsid w:val="00422A56"/>
    <w:rsid w:val="0042332F"/>
    <w:rsid w:val="0042627D"/>
    <w:rsid w:val="00427D17"/>
    <w:rsid w:val="0043513E"/>
    <w:rsid w:val="00436772"/>
    <w:rsid w:val="004367D9"/>
    <w:rsid w:val="00440CF5"/>
    <w:rsid w:val="0044126B"/>
    <w:rsid w:val="00445931"/>
    <w:rsid w:val="0044679A"/>
    <w:rsid w:val="00446FFE"/>
    <w:rsid w:val="004566C1"/>
    <w:rsid w:val="00461253"/>
    <w:rsid w:val="00464ACF"/>
    <w:rsid w:val="00467210"/>
    <w:rsid w:val="00470AC3"/>
    <w:rsid w:val="00471C22"/>
    <w:rsid w:val="00475ACD"/>
    <w:rsid w:val="004827C2"/>
    <w:rsid w:val="0048342D"/>
    <w:rsid w:val="00483D0F"/>
    <w:rsid w:val="00485EE8"/>
    <w:rsid w:val="00487A99"/>
    <w:rsid w:val="004916B9"/>
    <w:rsid w:val="004950AE"/>
    <w:rsid w:val="004A21E3"/>
    <w:rsid w:val="004A4A48"/>
    <w:rsid w:val="004A7E42"/>
    <w:rsid w:val="004B0661"/>
    <w:rsid w:val="004C4E4A"/>
    <w:rsid w:val="004C5643"/>
    <w:rsid w:val="004D3A89"/>
    <w:rsid w:val="004D57BD"/>
    <w:rsid w:val="004D5D80"/>
    <w:rsid w:val="004E01B9"/>
    <w:rsid w:val="004E12C3"/>
    <w:rsid w:val="004E3541"/>
    <w:rsid w:val="004E3750"/>
    <w:rsid w:val="004E75EF"/>
    <w:rsid w:val="004F28E6"/>
    <w:rsid w:val="004F31F4"/>
    <w:rsid w:val="004F5455"/>
    <w:rsid w:val="00502DC5"/>
    <w:rsid w:val="00504C47"/>
    <w:rsid w:val="00506C43"/>
    <w:rsid w:val="00510F66"/>
    <w:rsid w:val="00511DC7"/>
    <w:rsid w:val="00512E6E"/>
    <w:rsid w:val="00515584"/>
    <w:rsid w:val="00520940"/>
    <w:rsid w:val="00520D62"/>
    <w:rsid w:val="00523917"/>
    <w:rsid w:val="00525B62"/>
    <w:rsid w:val="00525CD6"/>
    <w:rsid w:val="00527359"/>
    <w:rsid w:val="00534AB0"/>
    <w:rsid w:val="005365E2"/>
    <w:rsid w:val="00540A16"/>
    <w:rsid w:val="00546384"/>
    <w:rsid w:val="005466D6"/>
    <w:rsid w:val="0055268B"/>
    <w:rsid w:val="00554254"/>
    <w:rsid w:val="00565577"/>
    <w:rsid w:val="005669A1"/>
    <w:rsid w:val="00573C1F"/>
    <w:rsid w:val="00576983"/>
    <w:rsid w:val="0058144F"/>
    <w:rsid w:val="00582A9E"/>
    <w:rsid w:val="005850EF"/>
    <w:rsid w:val="005859CA"/>
    <w:rsid w:val="0058683C"/>
    <w:rsid w:val="00590A7E"/>
    <w:rsid w:val="00591025"/>
    <w:rsid w:val="00591EB0"/>
    <w:rsid w:val="00597206"/>
    <w:rsid w:val="005A0091"/>
    <w:rsid w:val="005A5747"/>
    <w:rsid w:val="005B1701"/>
    <w:rsid w:val="005B553C"/>
    <w:rsid w:val="005C307C"/>
    <w:rsid w:val="005C3CE6"/>
    <w:rsid w:val="005C5DB1"/>
    <w:rsid w:val="005C6E06"/>
    <w:rsid w:val="005D19CD"/>
    <w:rsid w:val="005D2D47"/>
    <w:rsid w:val="005D592D"/>
    <w:rsid w:val="005D6A79"/>
    <w:rsid w:val="005E0D52"/>
    <w:rsid w:val="005E12E8"/>
    <w:rsid w:val="005E27B5"/>
    <w:rsid w:val="005E3121"/>
    <w:rsid w:val="005E313A"/>
    <w:rsid w:val="005E4929"/>
    <w:rsid w:val="005E5BDD"/>
    <w:rsid w:val="005E608C"/>
    <w:rsid w:val="005E65B3"/>
    <w:rsid w:val="005E7B56"/>
    <w:rsid w:val="005F266B"/>
    <w:rsid w:val="005F2DB6"/>
    <w:rsid w:val="005F59E9"/>
    <w:rsid w:val="005F7636"/>
    <w:rsid w:val="006004B4"/>
    <w:rsid w:val="00607BC1"/>
    <w:rsid w:val="00611B9B"/>
    <w:rsid w:val="00613F7C"/>
    <w:rsid w:val="00614024"/>
    <w:rsid w:val="00615221"/>
    <w:rsid w:val="006152F4"/>
    <w:rsid w:val="00616BB2"/>
    <w:rsid w:val="006176EF"/>
    <w:rsid w:val="00617C4B"/>
    <w:rsid w:val="00621D1B"/>
    <w:rsid w:val="00621D82"/>
    <w:rsid w:val="00624AE8"/>
    <w:rsid w:val="00625B26"/>
    <w:rsid w:val="00626696"/>
    <w:rsid w:val="006371ED"/>
    <w:rsid w:val="006378AA"/>
    <w:rsid w:val="00642F66"/>
    <w:rsid w:val="0064392F"/>
    <w:rsid w:val="006449D4"/>
    <w:rsid w:val="00645298"/>
    <w:rsid w:val="00645D93"/>
    <w:rsid w:val="00646998"/>
    <w:rsid w:val="00653CA4"/>
    <w:rsid w:val="006549E2"/>
    <w:rsid w:val="006556D5"/>
    <w:rsid w:val="006579A5"/>
    <w:rsid w:val="00657EDF"/>
    <w:rsid w:val="0066034F"/>
    <w:rsid w:val="00661BF1"/>
    <w:rsid w:val="0066346B"/>
    <w:rsid w:val="0066374F"/>
    <w:rsid w:val="0066605D"/>
    <w:rsid w:val="00666FCF"/>
    <w:rsid w:val="006728FC"/>
    <w:rsid w:val="00673F27"/>
    <w:rsid w:val="00676911"/>
    <w:rsid w:val="00686F46"/>
    <w:rsid w:val="00687D40"/>
    <w:rsid w:val="006905DB"/>
    <w:rsid w:val="006910C3"/>
    <w:rsid w:val="00692057"/>
    <w:rsid w:val="00692C3B"/>
    <w:rsid w:val="0069352A"/>
    <w:rsid w:val="00693E43"/>
    <w:rsid w:val="006974F3"/>
    <w:rsid w:val="006A1265"/>
    <w:rsid w:val="006B120C"/>
    <w:rsid w:val="006B7900"/>
    <w:rsid w:val="006C0607"/>
    <w:rsid w:val="006C2C0A"/>
    <w:rsid w:val="006C380B"/>
    <w:rsid w:val="006C61B9"/>
    <w:rsid w:val="006D2C60"/>
    <w:rsid w:val="006D5DEC"/>
    <w:rsid w:val="006D7085"/>
    <w:rsid w:val="006D7747"/>
    <w:rsid w:val="006E5F16"/>
    <w:rsid w:val="006E69CF"/>
    <w:rsid w:val="006E730A"/>
    <w:rsid w:val="00702DBD"/>
    <w:rsid w:val="007040B5"/>
    <w:rsid w:val="00714B8E"/>
    <w:rsid w:val="00717B69"/>
    <w:rsid w:val="007225D6"/>
    <w:rsid w:val="00723D85"/>
    <w:rsid w:val="00724102"/>
    <w:rsid w:val="00724668"/>
    <w:rsid w:val="00726115"/>
    <w:rsid w:val="00726265"/>
    <w:rsid w:val="00726DAF"/>
    <w:rsid w:val="00733F0C"/>
    <w:rsid w:val="00734182"/>
    <w:rsid w:val="0074495F"/>
    <w:rsid w:val="0074518C"/>
    <w:rsid w:val="0074716C"/>
    <w:rsid w:val="00747D14"/>
    <w:rsid w:val="00750BBF"/>
    <w:rsid w:val="007516D3"/>
    <w:rsid w:val="00756A39"/>
    <w:rsid w:val="00756B90"/>
    <w:rsid w:val="00756FF0"/>
    <w:rsid w:val="00760283"/>
    <w:rsid w:val="007654DF"/>
    <w:rsid w:val="00766D31"/>
    <w:rsid w:val="00767930"/>
    <w:rsid w:val="00772938"/>
    <w:rsid w:val="007736BD"/>
    <w:rsid w:val="007749C6"/>
    <w:rsid w:val="007754A9"/>
    <w:rsid w:val="0078262E"/>
    <w:rsid w:val="00784B76"/>
    <w:rsid w:val="00785B6A"/>
    <w:rsid w:val="00785B71"/>
    <w:rsid w:val="00785D56"/>
    <w:rsid w:val="007867BA"/>
    <w:rsid w:val="007908C3"/>
    <w:rsid w:val="0079149A"/>
    <w:rsid w:val="007942B9"/>
    <w:rsid w:val="00794693"/>
    <w:rsid w:val="007A51FD"/>
    <w:rsid w:val="007A6DFC"/>
    <w:rsid w:val="007B20D7"/>
    <w:rsid w:val="007B3E68"/>
    <w:rsid w:val="007B6003"/>
    <w:rsid w:val="007B6ACB"/>
    <w:rsid w:val="007B6F07"/>
    <w:rsid w:val="007C0CAD"/>
    <w:rsid w:val="007C1287"/>
    <w:rsid w:val="007C3727"/>
    <w:rsid w:val="007C3EDF"/>
    <w:rsid w:val="007C7D76"/>
    <w:rsid w:val="007D177D"/>
    <w:rsid w:val="007D1FF3"/>
    <w:rsid w:val="007D2315"/>
    <w:rsid w:val="007D3502"/>
    <w:rsid w:val="007D37C9"/>
    <w:rsid w:val="007D4C0C"/>
    <w:rsid w:val="007D4C7A"/>
    <w:rsid w:val="007E3126"/>
    <w:rsid w:val="007E5CE1"/>
    <w:rsid w:val="007F252F"/>
    <w:rsid w:val="007F2DF3"/>
    <w:rsid w:val="007F4E50"/>
    <w:rsid w:val="007F51E7"/>
    <w:rsid w:val="007F590E"/>
    <w:rsid w:val="008079BE"/>
    <w:rsid w:val="008157CC"/>
    <w:rsid w:val="00821854"/>
    <w:rsid w:val="00821E82"/>
    <w:rsid w:val="00827C0F"/>
    <w:rsid w:val="008423D9"/>
    <w:rsid w:val="008429B1"/>
    <w:rsid w:val="008457AE"/>
    <w:rsid w:val="0084753E"/>
    <w:rsid w:val="00850108"/>
    <w:rsid w:val="00850658"/>
    <w:rsid w:val="00850A03"/>
    <w:rsid w:val="00853528"/>
    <w:rsid w:val="00857736"/>
    <w:rsid w:val="00864B1F"/>
    <w:rsid w:val="00870F98"/>
    <w:rsid w:val="00871454"/>
    <w:rsid w:val="00871D3B"/>
    <w:rsid w:val="0088158F"/>
    <w:rsid w:val="0088186C"/>
    <w:rsid w:val="0089064C"/>
    <w:rsid w:val="00895A7E"/>
    <w:rsid w:val="00897ED2"/>
    <w:rsid w:val="008A2FEA"/>
    <w:rsid w:val="008B5B2F"/>
    <w:rsid w:val="008B74BD"/>
    <w:rsid w:val="008C07DE"/>
    <w:rsid w:val="008C081C"/>
    <w:rsid w:val="008C4D0D"/>
    <w:rsid w:val="008D301E"/>
    <w:rsid w:val="008D3B29"/>
    <w:rsid w:val="008D3E85"/>
    <w:rsid w:val="008E0785"/>
    <w:rsid w:val="008E12E6"/>
    <w:rsid w:val="008E6AEF"/>
    <w:rsid w:val="008E7237"/>
    <w:rsid w:val="008F09B8"/>
    <w:rsid w:val="008F1FB6"/>
    <w:rsid w:val="008F2D8F"/>
    <w:rsid w:val="008F326F"/>
    <w:rsid w:val="008F49F0"/>
    <w:rsid w:val="008F5621"/>
    <w:rsid w:val="008F7A85"/>
    <w:rsid w:val="008F7C79"/>
    <w:rsid w:val="008F7D2E"/>
    <w:rsid w:val="009017DB"/>
    <w:rsid w:val="0090449A"/>
    <w:rsid w:val="009053E9"/>
    <w:rsid w:val="00905C8A"/>
    <w:rsid w:val="0090777F"/>
    <w:rsid w:val="009141AD"/>
    <w:rsid w:val="00914391"/>
    <w:rsid w:val="00914666"/>
    <w:rsid w:val="00917858"/>
    <w:rsid w:val="00921317"/>
    <w:rsid w:val="00925983"/>
    <w:rsid w:val="00927E9F"/>
    <w:rsid w:val="00930C78"/>
    <w:rsid w:val="0093409F"/>
    <w:rsid w:val="00934465"/>
    <w:rsid w:val="0093551E"/>
    <w:rsid w:val="00943C33"/>
    <w:rsid w:val="00950D0E"/>
    <w:rsid w:val="00951532"/>
    <w:rsid w:val="00951833"/>
    <w:rsid w:val="00953667"/>
    <w:rsid w:val="0095562D"/>
    <w:rsid w:val="00957839"/>
    <w:rsid w:val="009713A9"/>
    <w:rsid w:val="009731CE"/>
    <w:rsid w:val="009768F1"/>
    <w:rsid w:val="00977786"/>
    <w:rsid w:val="009806E3"/>
    <w:rsid w:val="00982B45"/>
    <w:rsid w:val="009867CD"/>
    <w:rsid w:val="00991BDF"/>
    <w:rsid w:val="0099389A"/>
    <w:rsid w:val="00995D51"/>
    <w:rsid w:val="009A0DDC"/>
    <w:rsid w:val="009A3D53"/>
    <w:rsid w:val="009A7AB1"/>
    <w:rsid w:val="009B0888"/>
    <w:rsid w:val="009B0972"/>
    <w:rsid w:val="009B409B"/>
    <w:rsid w:val="009B4C91"/>
    <w:rsid w:val="009C00B4"/>
    <w:rsid w:val="009C1FDF"/>
    <w:rsid w:val="009C29A4"/>
    <w:rsid w:val="009C51C0"/>
    <w:rsid w:val="009C548D"/>
    <w:rsid w:val="009C5987"/>
    <w:rsid w:val="009C6083"/>
    <w:rsid w:val="009D088A"/>
    <w:rsid w:val="009D0BB5"/>
    <w:rsid w:val="009D2DCC"/>
    <w:rsid w:val="009D435D"/>
    <w:rsid w:val="009D4992"/>
    <w:rsid w:val="009D4D9B"/>
    <w:rsid w:val="009E03EA"/>
    <w:rsid w:val="009E0963"/>
    <w:rsid w:val="009E0ADF"/>
    <w:rsid w:val="009E0FFF"/>
    <w:rsid w:val="009E2F85"/>
    <w:rsid w:val="009E4688"/>
    <w:rsid w:val="009E72CE"/>
    <w:rsid w:val="009E7583"/>
    <w:rsid w:val="009F0D84"/>
    <w:rsid w:val="009F1154"/>
    <w:rsid w:val="009F54C5"/>
    <w:rsid w:val="009F69B0"/>
    <w:rsid w:val="00A02F1E"/>
    <w:rsid w:val="00A118F2"/>
    <w:rsid w:val="00A15EB4"/>
    <w:rsid w:val="00A2344E"/>
    <w:rsid w:val="00A24287"/>
    <w:rsid w:val="00A24346"/>
    <w:rsid w:val="00A25CF5"/>
    <w:rsid w:val="00A2628C"/>
    <w:rsid w:val="00A35331"/>
    <w:rsid w:val="00A403A0"/>
    <w:rsid w:val="00A40CB6"/>
    <w:rsid w:val="00A4272B"/>
    <w:rsid w:val="00A4594B"/>
    <w:rsid w:val="00A5027D"/>
    <w:rsid w:val="00A50758"/>
    <w:rsid w:val="00A55F64"/>
    <w:rsid w:val="00A601A9"/>
    <w:rsid w:val="00A61692"/>
    <w:rsid w:val="00A63053"/>
    <w:rsid w:val="00A66DF6"/>
    <w:rsid w:val="00A70C91"/>
    <w:rsid w:val="00A7642E"/>
    <w:rsid w:val="00A77641"/>
    <w:rsid w:val="00A854E5"/>
    <w:rsid w:val="00A96F8D"/>
    <w:rsid w:val="00AB0351"/>
    <w:rsid w:val="00AB0ADA"/>
    <w:rsid w:val="00AB5A16"/>
    <w:rsid w:val="00AB6770"/>
    <w:rsid w:val="00AC0AB7"/>
    <w:rsid w:val="00AC1903"/>
    <w:rsid w:val="00AC2EE4"/>
    <w:rsid w:val="00AC31F2"/>
    <w:rsid w:val="00AC6257"/>
    <w:rsid w:val="00AC74B0"/>
    <w:rsid w:val="00AF05AC"/>
    <w:rsid w:val="00AF3CD0"/>
    <w:rsid w:val="00AF6F69"/>
    <w:rsid w:val="00B02013"/>
    <w:rsid w:val="00B05FFB"/>
    <w:rsid w:val="00B103B3"/>
    <w:rsid w:val="00B17286"/>
    <w:rsid w:val="00B17F25"/>
    <w:rsid w:val="00B2105F"/>
    <w:rsid w:val="00B27924"/>
    <w:rsid w:val="00B27B9D"/>
    <w:rsid w:val="00B27EB1"/>
    <w:rsid w:val="00B3070B"/>
    <w:rsid w:val="00B3107C"/>
    <w:rsid w:val="00B346C7"/>
    <w:rsid w:val="00B36884"/>
    <w:rsid w:val="00B425AF"/>
    <w:rsid w:val="00B436B0"/>
    <w:rsid w:val="00B43962"/>
    <w:rsid w:val="00B447F6"/>
    <w:rsid w:val="00B46286"/>
    <w:rsid w:val="00B47190"/>
    <w:rsid w:val="00B51EE7"/>
    <w:rsid w:val="00B528CA"/>
    <w:rsid w:val="00B53FF2"/>
    <w:rsid w:val="00B61229"/>
    <w:rsid w:val="00B61958"/>
    <w:rsid w:val="00B6216D"/>
    <w:rsid w:val="00B62840"/>
    <w:rsid w:val="00B631BE"/>
    <w:rsid w:val="00B63FC9"/>
    <w:rsid w:val="00B65A4B"/>
    <w:rsid w:val="00B65E8D"/>
    <w:rsid w:val="00B67B3A"/>
    <w:rsid w:val="00B67D03"/>
    <w:rsid w:val="00B71E0B"/>
    <w:rsid w:val="00B726D9"/>
    <w:rsid w:val="00B76CE9"/>
    <w:rsid w:val="00B773DF"/>
    <w:rsid w:val="00B81CD4"/>
    <w:rsid w:val="00B84751"/>
    <w:rsid w:val="00B86A5E"/>
    <w:rsid w:val="00B9062D"/>
    <w:rsid w:val="00B95EEE"/>
    <w:rsid w:val="00BA77FB"/>
    <w:rsid w:val="00BB0CC1"/>
    <w:rsid w:val="00BB18C0"/>
    <w:rsid w:val="00BB4538"/>
    <w:rsid w:val="00BB45C2"/>
    <w:rsid w:val="00BC0E45"/>
    <w:rsid w:val="00BC4F3F"/>
    <w:rsid w:val="00BC75D9"/>
    <w:rsid w:val="00BC7DDD"/>
    <w:rsid w:val="00BD0A5C"/>
    <w:rsid w:val="00BD2D52"/>
    <w:rsid w:val="00BD3AB8"/>
    <w:rsid w:val="00BD6071"/>
    <w:rsid w:val="00BE13E7"/>
    <w:rsid w:val="00BE2226"/>
    <w:rsid w:val="00BE292A"/>
    <w:rsid w:val="00BE44D8"/>
    <w:rsid w:val="00BF0976"/>
    <w:rsid w:val="00BF0B20"/>
    <w:rsid w:val="00BF2AB6"/>
    <w:rsid w:val="00BF532A"/>
    <w:rsid w:val="00C01F1C"/>
    <w:rsid w:val="00C020D2"/>
    <w:rsid w:val="00C02FC6"/>
    <w:rsid w:val="00C07B50"/>
    <w:rsid w:val="00C10150"/>
    <w:rsid w:val="00C12558"/>
    <w:rsid w:val="00C12EC3"/>
    <w:rsid w:val="00C14FB5"/>
    <w:rsid w:val="00C15C40"/>
    <w:rsid w:val="00C16BD2"/>
    <w:rsid w:val="00C17AC2"/>
    <w:rsid w:val="00C2105D"/>
    <w:rsid w:val="00C27CBB"/>
    <w:rsid w:val="00C30BDB"/>
    <w:rsid w:val="00C326BD"/>
    <w:rsid w:val="00C35C51"/>
    <w:rsid w:val="00C4353C"/>
    <w:rsid w:val="00C4470D"/>
    <w:rsid w:val="00C45E1D"/>
    <w:rsid w:val="00C471BB"/>
    <w:rsid w:val="00C52EE1"/>
    <w:rsid w:val="00C5430A"/>
    <w:rsid w:val="00C5624C"/>
    <w:rsid w:val="00C601E9"/>
    <w:rsid w:val="00C63B5E"/>
    <w:rsid w:val="00C6410C"/>
    <w:rsid w:val="00C65808"/>
    <w:rsid w:val="00C67F66"/>
    <w:rsid w:val="00C71D10"/>
    <w:rsid w:val="00C74E4D"/>
    <w:rsid w:val="00C75841"/>
    <w:rsid w:val="00C77CD0"/>
    <w:rsid w:val="00C806EB"/>
    <w:rsid w:val="00C82753"/>
    <w:rsid w:val="00C82C2B"/>
    <w:rsid w:val="00C842F7"/>
    <w:rsid w:val="00C95828"/>
    <w:rsid w:val="00CA0001"/>
    <w:rsid w:val="00CA3F35"/>
    <w:rsid w:val="00CA54B4"/>
    <w:rsid w:val="00CA6A50"/>
    <w:rsid w:val="00CA6A54"/>
    <w:rsid w:val="00CA733D"/>
    <w:rsid w:val="00CA7540"/>
    <w:rsid w:val="00CB0F32"/>
    <w:rsid w:val="00CB1AE9"/>
    <w:rsid w:val="00CB2BD1"/>
    <w:rsid w:val="00CC3B65"/>
    <w:rsid w:val="00CC55D5"/>
    <w:rsid w:val="00CC613A"/>
    <w:rsid w:val="00CC75DB"/>
    <w:rsid w:val="00CD470D"/>
    <w:rsid w:val="00CD5468"/>
    <w:rsid w:val="00CD7F15"/>
    <w:rsid w:val="00CE297A"/>
    <w:rsid w:val="00CE640D"/>
    <w:rsid w:val="00CE7685"/>
    <w:rsid w:val="00CF2EE2"/>
    <w:rsid w:val="00CF5CF0"/>
    <w:rsid w:val="00CF7915"/>
    <w:rsid w:val="00D002C9"/>
    <w:rsid w:val="00D05355"/>
    <w:rsid w:val="00D06FCE"/>
    <w:rsid w:val="00D12332"/>
    <w:rsid w:val="00D14138"/>
    <w:rsid w:val="00D3143C"/>
    <w:rsid w:val="00D31DA1"/>
    <w:rsid w:val="00D33975"/>
    <w:rsid w:val="00D36C03"/>
    <w:rsid w:val="00D42A07"/>
    <w:rsid w:val="00D44A2C"/>
    <w:rsid w:val="00D467CA"/>
    <w:rsid w:val="00D57BE7"/>
    <w:rsid w:val="00D630C0"/>
    <w:rsid w:val="00D65646"/>
    <w:rsid w:val="00D65798"/>
    <w:rsid w:val="00D67EC9"/>
    <w:rsid w:val="00D71295"/>
    <w:rsid w:val="00D744E6"/>
    <w:rsid w:val="00D80221"/>
    <w:rsid w:val="00D803B0"/>
    <w:rsid w:val="00D80AED"/>
    <w:rsid w:val="00D86A2D"/>
    <w:rsid w:val="00D93FE2"/>
    <w:rsid w:val="00D9558C"/>
    <w:rsid w:val="00D96479"/>
    <w:rsid w:val="00DA1A3A"/>
    <w:rsid w:val="00DA53CD"/>
    <w:rsid w:val="00DA53F8"/>
    <w:rsid w:val="00DA66E0"/>
    <w:rsid w:val="00DA78C5"/>
    <w:rsid w:val="00DB3D92"/>
    <w:rsid w:val="00DB4F66"/>
    <w:rsid w:val="00DB6E60"/>
    <w:rsid w:val="00DC044B"/>
    <w:rsid w:val="00DC2FE2"/>
    <w:rsid w:val="00DC3EEA"/>
    <w:rsid w:val="00DC4F1D"/>
    <w:rsid w:val="00DC53FC"/>
    <w:rsid w:val="00DC66E2"/>
    <w:rsid w:val="00DC6FF7"/>
    <w:rsid w:val="00DC7EC9"/>
    <w:rsid w:val="00DD01FA"/>
    <w:rsid w:val="00DD1510"/>
    <w:rsid w:val="00DD1599"/>
    <w:rsid w:val="00DE39A1"/>
    <w:rsid w:val="00DE6FB6"/>
    <w:rsid w:val="00DF00B3"/>
    <w:rsid w:val="00DF08F7"/>
    <w:rsid w:val="00DF55C4"/>
    <w:rsid w:val="00DF76D1"/>
    <w:rsid w:val="00E00608"/>
    <w:rsid w:val="00E03CAA"/>
    <w:rsid w:val="00E04A0D"/>
    <w:rsid w:val="00E04EE5"/>
    <w:rsid w:val="00E05143"/>
    <w:rsid w:val="00E05A4F"/>
    <w:rsid w:val="00E10333"/>
    <w:rsid w:val="00E12B03"/>
    <w:rsid w:val="00E14232"/>
    <w:rsid w:val="00E16640"/>
    <w:rsid w:val="00E17028"/>
    <w:rsid w:val="00E20B4C"/>
    <w:rsid w:val="00E21832"/>
    <w:rsid w:val="00E235B6"/>
    <w:rsid w:val="00E2610D"/>
    <w:rsid w:val="00E27060"/>
    <w:rsid w:val="00E27523"/>
    <w:rsid w:val="00E277A5"/>
    <w:rsid w:val="00E32823"/>
    <w:rsid w:val="00E40C3C"/>
    <w:rsid w:val="00E430C2"/>
    <w:rsid w:val="00E52A5A"/>
    <w:rsid w:val="00E538CF"/>
    <w:rsid w:val="00E62D13"/>
    <w:rsid w:val="00E66980"/>
    <w:rsid w:val="00E716B8"/>
    <w:rsid w:val="00E72C8F"/>
    <w:rsid w:val="00E762B5"/>
    <w:rsid w:val="00E8049B"/>
    <w:rsid w:val="00E81D46"/>
    <w:rsid w:val="00E837A5"/>
    <w:rsid w:val="00E84302"/>
    <w:rsid w:val="00E96400"/>
    <w:rsid w:val="00E97A12"/>
    <w:rsid w:val="00EA03E6"/>
    <w:rsid w:val="00EA2371"/>
    <w:rsid w:val="00EA29A4"/>
    <w:rsid w:val="00EA497A"/>
    <w:rsid w:val="00EB0739"/>
    <w:rsid w:val="00EB0A3A"/>
    <w:rsid w:val="00EB1A5E"/>
    <w:rsid w:val="00EB71C6"/>
    <w:rsid w:val="00EB7841"/>
    <w:rsid w:val="00EC047E"/>
    <w:rsid w:val="00EC19DD"/>
    <w:rsid w:val="00EC5C10"/>
    <w:rsid w:val="00EC6D50"/>
    <w:rsid w:val="00EC7FE0"/>
    <w:rsid w:val="00ED132F"/>
    <w:rsid w:val="00ED422F"/>
    <w:rsid w:val="00ED5611"/>
    <w:rsid w:val="00EE4156"/>
    <w:rsid w:val="00EE4D39"/>
    <w:rsid w:val="00EF5A5D"/>
    <w:rsid w:val="00F022E1"/>
    <w:rsid w:val="00F066B4"/>
    <w:rsid w:val="00F109AF"/>
    <w:rsid w:val="00F12534"/>
    <w:rsid w:val="00F1305F"/>
    <w:rsid w:val="00F225F6"/>
    <w:rsid w:val="00F226C4"/>
    <w:rsid w:val="00F25D5A"/>
    <w:rsid w:val="00F327C8"/>
    <w:rsid w:val="00F35ACB"/>
    <w:rsid w:val="00F454FE"/>
    <w:rsid w:val="00F50155"/>
    <w:rsid w:val="00F51FD7"/>
    <w:rsid w:val="00F55071"/>
    <w:rsid w:val="00F579CE"/>
    <w:rsid w:val="00F57A0C"/>
    <w:rsid w:val="00F57A59"/>
    <w:rsid w:val="00F61FA5"/>
    <w:rsid w:val="00F62EB2"/>
    <w:rsid w:val="00F62F5B"/>
    <w:rsid w:val="00F63DB6"/>
    <w:rsid w:val="00F64EDC"/>
    <w:rsid w:val="00F65DB2"/>
    <w:rsid w:val="00F7016B"/>
    <w:rsid w:val="00F72080"/>
    <w:rsid w:val="00F73BFF"/>
    <w:rsid w:val="00F92BD9"/>
    <w:rsid w:val="00F95F87"/>
    <w:rsid w:val="00FA36A3"/>
    <w:rsid w:val="00FA5864"/>
    <w:rsid w:val="00FA6284"/>
    <w:rsid w:val="00FB0D05"/>
    <w:rsid w:val="00FB12E9"/>
    <w:rsid w:val="00FB239A"/>
    <w:rsid w:val="00FB6A3A"/>
    <w:rsid w:val="00FC0661"/>
    <w:rsid w:val="00FC484C"/>
    <w:rsid w:val="00FC51FD"/>
    <w:rsid w:val="00FD1F1A"/>
    <w:rsid w:val="00FD433F"/>
    <w:rsid w:val="00FD51E5"/>
    <w:rsid w:val="00FE30E9"/>
    <w:rsid w:val="00FE375E"/>
    <w:rsid w:val="00FF1AE7"/>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AF4F48"/>
  <w15:docId w15:val="{DFA3D7C8-069D-4A71-8AB3-35EE95C43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B71"/>
    <w:pPr>
      <w:spacing w:after="0" w:line="240" w:lineRule="auto"/>
      <w:jc w:val="both"/>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42B9"/>
    <w:pPr>
      <w:spacing w:before="100" w:beforeAutospacing="1" w:after="100" w:afterAutospacing="1"/>
    </w:pPr>
    <w:rPr>
      <w:rFonts w:eastAsia="Times New Roman"/>
      <w:szCs w:val="24"/>
      <w:lang w:eastAsia="lv-LV"/>
    </w:rPr>
  </w:style>
  <w:style w:type="character" w:styleId="Strong">
    <w:name w:val="Strong"/>
    <w:basedOn w:val="DefaultParagraphFont"/>
    <w:uiPriority w:val="22"/>
    <w:qFormat/>
    <w:rsid w:val="007942B9"/>
    <w:rPr>
      <w:b/>
      <w:bCs/>
    </w:rPr>
  </w:style>
  <w:style w:type="paragraph" w:customStyle="1" w:styleId="article-intro">
    <w:name w:val="article-intro"/>
    <w:basedOn w:val="Normal"/>
    <w:rsid w:val="007942B9"/>
    <w:pPr>
      <w:spacing w:before="30" w:after="100" w:afterAutospacing="1"/>
    </w:pPr>
    <w:rPr>
      <w:rFonts w:eastAsia="Times New Roman"/>
      <w:sz w:val="20"/>
      <w:szCs w:val="20"/>
      <w:lang w:eastAsia="lv-LV"/>
    </w:rPr>
  </w:style>
  <w:style w:type="paragraph" w:customStyle="1" w:styleId="article-pic-details-author">
    <w:name w:val="article-pic-details-author"/>
    <w:basedOn w:val="Normal"/>
    <w:rsid w:val="007942B9"/>
    <w:pPr>
      <w:spacing w:before="100" w:beforeAutospacing="1" w:after="100" w:afterAutospacing="1"/>
    </w:pPr>
    <w:rPr>
      <w:rFonts w:eastAsia="Times New Roman"/>
      <w:szCs w:val="24"/>
      <w:lang w:eastAsia="lv-LV"/>
    </w:rPr>
  </w:style>
  <w:style w:type="paragraph" w:styleId="ListParagraph">
    <w:name w:val="List Paragraph"/>
    <w:aliases w:val="H&amp;P List Paragraph,2,Strip"/>
    <w:basedOn w:val="Normal"/>
    <w:link w:val="ListParagraphChar"/>
    <w:uiPriority w:val="34"/>
    <w:qFormat/>
    <w:rsid w:val="009E0FFF"/>
    <w:pPr>
      <w:ind w:left="720"/>
      <w:contextualSpacing/>
    </w:pPr>
  </w:style>
  <w:style w:type="paragraph" w:styleId="NoSpacing">
    <w:name w:val="No Spacing"/>
    <w:qFormat/>
    <w:rsid w:val="009E0FFF"/>
    <w:pPr>
      <w:spacing w:after="0" w:line="240" w:lineRule="auto"/>
    </w:pPr>
  </w:style>
  <w:style w:type="character" w:styleId="Hyperlink">
    <w:name w:val="Hyperlink"/>
    <w:basedOn w:val="DefaultParagraphFont"/>
    <w:uiPriority w:val="99"/>
    <w:unhideWhenUsed/>
    <w:rsid w:val="0078262E"/>
    <w:rPr>
      <w:color w:val="0563C1" w:themeColor="hyperlink"/>
      <w:u w:val="single"/>
    </w:rPr>
  </w:style>
  <w:style w:type="paragraph" w:styleId="FootnoteText">
    <w:name w:val="footnote text"/>
    <w:aliases w:val="Footnote,Fußnote"/>
    <w:basedOn w:val="Normal"/>
    <w:link w:val="FootnoteTextChar"/>
    <w:unhideWhenUsed/>
    <w:rsid w:val="00565577"/>
    <w:rPr>
      <w:sz w:val="20"/>
      <w:szCs w:val="20"/>
    </w:rPr>
  </w:style>
  <w:style w:type="character" w:customStyle="1" w:styleId="FootnoteTextChar">
    <w:name w:val="Footnote Text Char"/>
    <w:aliases w:val="Footnote Char,Fußnote Char"/>
    <w:basedOn w:val="DefaultParagraphFont"/>
    <w:link w:val="FootnoteText"/>
    <w:rsid w:val="00565577"/>
    <w:rPr>
      <w:rFonts w:ascii="Times New Roman" w:eastAsia="Calibri" w:hAnsi="Times New Roman" w:cs="Times New Roman"/>
      <w:sz w:val="20"/>
      <w:szCs w:val="20"/>
    </w:rPr>
  </w:style>
  <w:style w:type="character" w:styleId="FootnoteReference">
    <w:name w:val="footnote reference"/>
    <w:aliases w:val="Footnote Reference Number"/>
    <w:unhideWhenUsed/>
    <w:rsid w:val="00565577"/>
    <w:rPr>
      <w:vertAlign w:val="superscript"/>
    </w:rPr>
  </w:style>
  <w:style w:type="paragraph" w:styleId="BalloonText">
    <w:name w:val="Balloon Text"/>
    <w:basedOn w:val="Normal"/>
    <w:link w:val="BalloonTextChar"/>
    <w:uiPriority w:val="99"/>
    <w:semiHidden/>
    <w:unhideWhenUsed/>
    <w:rsid w:val="00A262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28C"/>
    <w:rPr>
      <w:rFonts w:ascii="Segoe UI" w:eastAsia="Calibri" w:hAnsi="Segoe UI" w:cs="Segoe UI"/>
      <w:sz w:val="18"/>
      <w:szCs w:val="18"/>
    </w:rPr>
  </w:style>
  <w:style w:type="table" w:styleId="TableGrid">
    <w:name w:val="Table Grid"/>
    <w:basedOn w:val="TableNormal"/>
    <w:uiPriority w:val="39"/>
    <w:rsid w:val="004E01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
    <w:name w:val="Body text_"/>
    <w:link w:val="Bodytext1"/>
    <w:uiPriority w:val="99"/>
    <w:locked/>
    <w:rsid w:val="00354434"/>
    <w:rPr>
      <w:rFonts w:ascii="Times New Roman" w:hAnsi="Times New Roman" w:cs="Times New Roman"/>
      <w:shd w:val="clear" w:color="auto" w:fill="FFFFFF"/>
    </w:rPr>
  </w:style>
  <w:style w:type="paragraph" w:customStyle="1" w:styleId="Bodytext1">
    <w:name w:val="Body text1"/>
    <w:basedOn w:val="Normal"/>
    <w:link w:val="Bodytext"/>
    <w:uiPriority w:val="99"/>
    <w:rsid w:val="00354434"/>
    <w:pPr>
      <w:widowControl w:val="0"/>
      <w:shd w:val="clear" w:color="auto" w:fill="FFFFFF"/>
      <w:spacing w:after="660" w:line="286" w:lineRule="exact"/>
      <w:jc w:val="left"/>
    </w:pPr>
    <w:rPr>
      <w:rFonts w:eastAsiaTheme="minorHAnsi"/>
      <w:sz w:val="22"/>
    </w:rPr>
  </w:style>
  <w:style w:type="paragraph" w:styleId="Header">
    <w:name w:val="header"/>
    <w:basedOn w:val="Normal"/>
    <w:link w:val="HeaderChar"/>
    <w:uiPriority w:val="99"/>
    <w:unhideWhenUsed/>
    <w:rsid w:val="00485EE8"/>
    <w:pPr>
      <w:tabs>
        <w:tab w:val="center" w:pos="4513"/>
        <w:tab w:val="right" w:pos="9026"/>
      </w:tabs>
    </w:pPr>
  </w:style>
  <w:style w:type="character" w:customStyle="1" w:styleId="HeaderChar">
    <w:name w:val="Header Char"/>
    <w:basedOn w:val="DefaultParagraphFont"/>
    <w:link w:val="Header"/>
    <w:uiPriority w:val="99"/>
    <w:rsid w:val="00485EE8"/>
    <w:rPr>
      <w:rFonts w:ascii="Times New Roman" w:eastAsia="Calibri" w:hAnsi="Times New Roman" w:cs="Times New Roman"/>
      <w:sz w:val="24"/>
    </w:rPr>
  </w:style>
  <w:style w:type="paragraph" w:styleId="Footer">
    <w:name w:val="footer"/>
    <w:basedOn w:val="Normal"/>
    <w:link w:val="FooterChar"/>
    <w:uiPriority w:val="99"/>
    <w:unhideWhenUsed/>
    <w:rsid w:val="00485EE8"/>
    <w:pPr>
      <w:tabs>
        <w:tab w:val="center" w:pos="4513"/>
        <w:tab w:val="right" w:pos="9026"/>
      </w:tabs>
    </w:pPr>
  </w:style>
  <w:style w:type="character" w:customStyle="1" w:styleId="FooterChar">
    <w:name w:val="Footer Char"/>
    <w:basedOn w:val="DefaultParagraphFont"/>
    <w:link w:val="Footer"/>
    <w:uiPriority w:val="99"/>
    <w:rsid w:val="00485EE8"/>
    <w:rPr>
      <w:rFonts w:ascii="Times New Roman" w:eastAsia="Calibri" w:hAnsi="Times New Roman" w:cs="Times New Roman"/>
      <w:sz w:val="24"/>
    </w:rPr>
  </w:style>
  <w:style w:type="character" w:styleId="CommentReference">
    <w:name w:val="annotation reference"/>
    <w:basedOn w:val="DefaultParagraphFont"/>
    <w:uiPriority w:val="99"/>
    <w:semiHidden/>
    <w:unhideWhenUsed/>
    <w:rsid w:val="00CC3B65"/>
    <w:rPr>
      <w:sz w:val="16"/>
      <w:szCs w:val="16"/>
    </w:rPr>
  </w:style>
  <w:style w:type="paragraph" w:styleId="CommentText">
    <w:name w:val="annotation text"/>
    <w:basedOn w:val="Normal"/>
    <w:link w:val="CommentTextChar"/>
    <w:uiPriority w:val="99"/>
    <w:semiHidden/>
    <w:unhideWhenUsed/>
    <w:rsid w:val="00CC3B65"/>
    <w:rPr>
      <w:sz w:val="20"/>
      <w:szCs w:val="20"/>
    </w:rPr>
  </w:style>
  <w:style w:type="character" w:customStyle="1" w:styleId="CommentTextChar">
    <w:name w:val="Comment Text Char"/>
    <w:basedOn w:val="DefaultParagraphFont"/>
    <w:link w:val="CommentText"/>
    <w:uiPriority w:val="99"/>
    <w:semiHidden/>
    <w:rsid w:val="00CC3B65"/>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C3B65"/>
    <w:rPr>
      <w:b/>
      <w:bCs/>
    </w:rPr>
  </w:style>
  <w:style w:type="character" w:customStyle="1" w:styleId="CommentSubjectChar">
    <w:name w:val="Comment Subject Char"/>
    <w:basedOn w:val="CommentTextChar"/>
    <w:link w:val="CommentSubject"/>
    <w:uiPriority w:val="99"/>
    <w:semiHidden/>
    <w:rsid w:val="00CC3B65"/>
    <w:rPr>
      <w:rFonts w:ascii="Times New Roman" w:eastAsia="Calibri" w:hAnsi="Times New Roman" w:cs="Times New Roman"/>
      <w:b/>
      <w:bCs/>
      <w:sz w:val="20"/>
      <w:szCs w:val="20"/>
    </w:rPr>
  </w:style>
  <w:style w:type="character" w:styleId="FollowedHyperlink">
    <w:name w:val="FollowedHyperlink"/>
    <w:basedOn w:val="DefaultParagraphFont"/>
    <w:uiPriority w:val="99"/>
    <w:semiHidden/>
    <w:unhideWhenUsed/>
    <w:rsid w:val="003315A7"/>
    <w:rPr>
      <w:color w:val="954F72" w:themeColor="followedHyperlink"/>
      <w:u w:val="single"/>
    </w:rPr>
  </w:style>
  <w:style w:type="character" w:customStyle="1" w:styleId="ListParagraphChar">
    <w:name w:val="List Paragraph Char"/>
    <w:aliases w:val="H&amp;P List Paragraph Char,2 Char,Strip Char"/>
    <w:link w:val="ListParagraph"/>
    <w:uiPriority w:val="34"/>
    <w:locked/>
    <w:rsid w:val="007F4E50"/>
    <w:rPr>
      <w:rFonts w:ascii="Times New Roman" w:eastAsia="Calibri" w:hAnsi="Times New Roman" w:cs="Times New Roman"/>
      <w:sz w:val="24"/>
    </w:rPr>
  </w:style>
  <w:style w:type="character" w:customStyle="1" w:styleId="normalchar1">
    <w:name w:val="normal__char1"/>
    <w:rsid w:val="007F4E50"/>
    <w:rPr>
      <w:rFonts w:ascii="Times New Roman" w:hAnsi="Times New Roman" w:cs="Times New Roman"/>
      <w:strike w:val="0"/>
      <w:dstrike w:val="0"/>
      <w:sz w:val="20"/>
      <w:szCs w:val="20"/>
      <w:u w:val="none"/>
    </w:rPr>
  </w:style>
  <w:style w:type="paragraph" w:customStyle="1" w:styleId="Default">
    <w:name w:val="Default"/>
    <w:rsid w:val="004F28E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2">
    <w:name w:val="Pa2"/>
    <w:basedOn w:val="Normal"/>
    <w:next w:val="Normal"/>
    <w:uiPriority w:val="99"/>
    <w:rsid w:val="005E4929"/>
    <w:pPr>
      <w:autoSpaceDE w:val="0"/>
      <w:autoSpaceDN w:val="0"/>
      <w:adjustRightInd w:val="0"/>
      <w:spacing w:line="221" w:lineRule="atLeast"/>
      <w:jc w:val="left"/>
    </w:pPr>
    <w:rPr>
      <w:rFonts w:ascii="Fiba" w:eastAsiaTheme="minorHAnsi" w:hAnsi="Fiba" w:cstheme="minorBidi"/>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1012">
      <w:bodyDiv w:val="1"/>
      <w:marLeft w:val="0"/>
      <w:marRight w:val="0"/>
      <w:marTop w:val="0"/>
      <w:marBottom w:val="0"/>
      <w:divBdr>
        <w:top w:val="none" w:sz="0" w:space="0" w:color="auto"/>
        <w:left w:val="none" w:sz="0" w:space="0" w:color="auto"/>
        <w:bottom w:val="none" w:sz="0" w:space="0" w:color="auto"/>
        <w:right w:val="none" w:sz="0" w:space="0" w:color="auto"/>
      </w:divBdr>
    </w:div>
    <w:div w:id="47190537">
      <w:bodyDiv w:val="1"/>
      <w:marLeft w:val="0"/>
      <w:marRight w:val="0"/>
      <w:marTop w:val="0"/>
      <w:marBottom w:val="0"/>
      <w:divBdr>
        <w:top w:val="none" w:sz="0" w:space="0" w:color="auto"/>
        <w:left w:val="none" w:sz="0" w:space="0" w:color="auto"/>
        <w:bottom w:val="none" w:sz="0" w:space="0" w:color="auto"/>
        <w:right w:val="none" w:sz="0" w:space="0" w:color="auto"/>
      </w:divBdr>
    </w:div>
    <w:div w:id="223756393">
      <w:bodyDiv w:val="1"/>
      <w:marLeft w:val="0"/>
      <w:marRight w:val="0"/>
      <w:marTop w:val="0"/>
      <w:marBottom w:val="0"/>
      <w:divBdr>
        <w:top w:val="none" w:sz="0" w:space="0" w:color="auto"/>
        <w:left w:val="none" w:sz="0" w:space="0" w:color="auto"/>
        <w:bottom w:val="none" w:sz="0" w:space="0" w:color="auto"/>
        <w:right w:val="none" w:sz="0" w:space="0" w:color="auto"/>
      </w:divBdr>
      <w:divsChild>
        <w:div w:id="1369992350">
          <w:marLeft w:val="0"/>
          <w:marRight w:val="0"/>
          <w:marTop w:val="100"/>
          <w:marBottom w:val="100"/>
          <w:divBdr>
            <w:top w:val="none" w:sz="0" w:space="0" w:color="auto"/>
            <w:left w:val="none" w:sz="0" w:space="0" w:color="auto"/>
            <w:bottom w:val="none" w:sz="0" w:space="0" w:color="auto"/>
            <w:right w:val="none" w:sz="0" w:space="0" w:color="auto"/>
          </w:divBdr>
          <w:divsChild>
            <w:div w:id="36945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682628">
      <w:bodyDiv w:val="1"/>
      <w:marLeft w:val="0"/>
      <w:marRight w:val="0"/>
      <w:marTop w:val="0"/>
      <w:marBottom w:val="0"/>
      <w:divBdr>
        <w:top w:val="none" w:sz="0" w:space="0" w:color="auto"/>
        <w:left w:val="none" w:sz="0" w:space="0" w:color="auto"/>
        <w:bottom w:val="none" w:sz="0" w:space="0" w:color="auto"/>
        <w:right w:val="none" w:sz="0" w:space="0" w:color="auto"/>
      </w:divBdr>
    </w:div>
    <w:div w:id="1011566298">
      <w:bodyDiv w:val="1"/>
      <w:marLeft w:val="0"/>
      <w:marRight w:val="0"/>
      <w:marTop w:val="0"/>
      <w:marBottom w:val="0"/>
      <w:divBdr>
        <w:top w:val="none" w:sz="0" w:space="0" w:color="auto"/>
        <w:left w:val="none" w:sz="0" w:space="0" w:color="auto"/>
        <w:bottom w:val="none" w:sz="0" w:space="0" w:color="auto"/>
        <w:right w:val="none" w:sz="0" w:space="0" w:color="auto"/>
      </w:divBdr>
    </w:div>
    <w:div w:id="1270771590">
      <w:bodyDiv w:val="1"/>
      <w:marLeft w:val="0"/>
      <w:marRight w:val="0"/>
      <w:marTop w:val="0"/>
      <w:marBottom w:val="0"/>
      <w:divBdr>
        <w:top w:val="none" w:sz="0" w:space="0" w:color="auto"/>
        <w:left w:val="none" w:sz="0" w:space="0" w:color="auto"/>
        <w:bottom w:val="none" w:sz="0" w:space="0" w:color="auto"/>
        <w:right w:val="none" w:sz="0" w:space="0" w:color="auto"/>
      </w:divBdr>
    </w:div>
    <w:div w:id="1592469451">
      <w:bodyDiv w:val="1"/>
      <w:marLeft w:val="0"/>
      <w:marRight w:val="0"/>
      <w:marTop w:val="0"/>
      <w:marBottom w:val="0"/>
      <w:divBdr>
        <w:top w:val="none" w:sz="0" w:space="0" w:color="auto"/>
        <w:left w:val="none" w:sz="0" w:space="0" w:color="auto"/>
        <w:bottom w:val="none" w:sz="0" w:space="0" w:color="auto"/>
        <w:right w:val="none" w:sz="0" w:space="0" w:color="auto"/>
      </w:divBdr>
    </w:div>
    <w:div w:id="1628512206">
      <w:bodyDiv w:val="1"/>
      <w:marLeft w:val="0"/>
      <w:marRight w:val="0"/>
      <w:marTop w:val="0"/>
      <w:marBottom w:val="0"/>
      <w:divBdr>
        <w:top w:val="none" w:sz="0" w:space="0" w:color="auto"/>
        <w:left w:val="none" w:sz="0" w:space="0" w:color="auto"/>
        <w:bottom w:val="none" w:sz="0" w:space="0" w:color="auto"/>
        <w:right w:val="none" w:sz="0" w:space="0" w:color="auto"/>
      </w:divBdr>
      <w:divsChild>
        <w:div w:id="898976015">
          <w:marLeft w:val="0"/>
          <w:marRight w:val="0"/>
          <w:marTop w:val="100"/>
          <w:marBottom w:val="100"/>
          <w:divBdr>
            <w:top w:val="none" w:sz="0" w:space="0" w:color="auto"/>
            <w:left w:val="none" w:sz="0" w:space="0" w:color="auto"/>
            <w:bottom w:val="none" w:sz="0" w:space="0" w:color="auto"/>
            <w:right w:val="none" w:sz="0" w:space="0" w:color="auto"/>
          </w:divBdr>
          <w:divsChild>
            <w:div w:id="65950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656037">
      <w:bodyDiv w:val="1"/>
      <w:marLeft w:val="0"/>
      <w:marRight w:val="0"/>
      <w:marTop w:val="0"/>
      <w:marBottom w:val="0"/>
      <w:divBdr>
        <w:top w:val="none" w:sz="0" w:space="0" w:color="auto"/>
        <w:left w:val="none" w:sz="0" w:space="0" w:color="auto"/>
        <w:bottom w:val="none" w:sz="0" w:space="0" w:color="auto"/>
        <w:right w:val="none" w:sz="0" w:space="0" w:color="auto"/>
      </w:divBdr>
      <w:divsChild>
        <w:div w:id="840315135">
          <w:marLeft w:val="547"/>
          <w:marRight w:val="0"/>
          <w:marTop w:val="0"/>
          <w:marBottom w:val="0"/>
          <w:divBdr>
            <w:top w:val="none" w:sz="0" w:space="0" w:color="auto"/>
            <w:left w:val="none" w:sz="0" w:space="0" w:color="auto"/>
            <w:bottom w:val="none" w:sz="0" w:space="0" w:color="auto"/>
            <w:right w:val="none" w:sz="0" w:space="0" w:color="auto"/>
          </w:divBdr>
        </w:div>
        <w:div w:id="1373964307">
          <w:marLeft w:val="547"/>
          <w:marRight w:val="0"/>
          <w:marTop w:val="0"/>
          <w:marBottom w:val="0"/>
          <w:divBdr>
            <w:top w:val="none" w:sz="0" w:space="0" w:color="auto"/>
            <w:left w:val="none" w:sz="0" w:space="0" w:color="auto"/>
            <w:bottom w:val="none" w:sz="0" w:space="0" w:color="auto"/>
            <w:right w:val="none" w:sz="0" w:space="0" w:color="auto"/>
          </w:divBdr>
        </w:div>
        <w:div w:id="964774084">
          <w:marLeft w:val="1282"/>
          <w:marRight w:val="0"/>
          <w:marTop w:val="0"/>
          <w:marBottom w:val="0"/>
          <w:divBdr>
            <w:top w:val="none" w:sz="0" w:space="0" w:color="auto"/>
            <w:left w:val="none" w:sz="0" w:space="0" w:color="auto"/>
            <w:bottom w:val="none" w:sz="0" w:space="0" w:color="auto"/>
            <w:right w:val="none" w:sz="0" w:space="0" w:color="auto"/>
          </w:divBdr>
        </w:div>
        <w:div w:id="1270310802">
          <w:marLeft w:val="1282"/>
          <w:marRight w:val="0"/>
          <w:marTop w:val="0"/>
          <w:marBottom w:val="0"/>
          <w:divBdr>
            <w:top w:val="none" w:sz="0" w:space="0" w:color="auto"/>
            <w:left w:val="none" w:sz="0" w:space="0" w:color="auto"/>
            <w:bottom w:val="none" w:sz="0" w:space="0" w:color="auto"/>
            <w:right w:val="none" w:sz="0" w:space="0" w:color="auto"/>
          </w:divBdr>
        </w:div>
        <w:div w:id="2091461383">
          <w:marLeft w:val="547"/>
          <w:marRight w:val="0"/>
          <w:marTop w:val="0"/>
          <w:marBottom w:val="0"/>
          <w:divBdr>
            <w:top w:val="none" w:sz="0" w:space="0" w:color="auto"/>
            <w:left w:val="none" w:sz="0" w:space="0" w:color="auto"/>
            <w:bottom w:val="none" w:sz="0" w:space="0" w:color="auto"/>
            <w:right w:val="none" w:sz="0" w:space="0" w:color="auto"/>
          </w:divBdr>
        </w:div>
        <w:div w:id="1032804293">
          <w:marLeft w:val="547"/>
          <w:marRight w:val="0"/>
          <w:marTop w:val="0"/>
          <w:marBottom w:val="0"/>
          <w:divBdr>
            <w:top w:val="none" w:sz="0" w:space="0" w:color="auto"/>
            <w:left w:val="none" w:sz="0" w:space="0" w:color="auto"/>
            <w:bottom w:val="none" w:sz="0" w:space="0" w:color="auto"/>
            <w:right w:val="none" w:sz="0" w:space="0" w:color="auto"/>
          </w:divBdr>
        </w:div>
        <w:div w:id="1548487787">
          <w:marLeft w:val="547"/>
          <w:marRight w:val="0"/>
          <w:marTop w:val="0"/>
          <w:marBottom w:val="0"/>
          <w:divBdr>
            <w:top w:val="none" w:sz="0" w:space="0" w:color="auto"/>
            <w:left w:val="none" w:sz="0" w:space="0" w:color="auto"/>
            <w:bottom w:val="none" w:sz="0" w:space="0" w:color="auto"/>
            <w:right w:val="none" w:sz="0" w:space="0" w:color="auto"/>
          </w:divBdr>
        </w:div>
        <w:div w:id="1008752716">
          <w:marLeft w:val="547"/>
          <w:marRight w:val="0"/>
          <w:marTop w:val="0"/>
          <w:marBottom w:val="0"/>
          <w:divBdr>
            <w:top w:val="none" w:sz="0" w:space="0" w:color="auto"/>
            <w:left w:val="none" w:sz="0" w:space="0" w:color="auto"/>
            <w:bottom w:val="none" w:sz="0" w:space="0" w:color="auto"/>
            <w:right w:val="none" w:sz="0" w:space="0" w:color="auto"/>
          </w:divBdr>
        </w:div>
        <w:div w:id="1352954260">
          <w:marLeft w:val="547"/>
          <w:marRight w:val="0"/>
          <w:marTop w:val="0"/>
          <w:marBottom w:val="0"/>
          <w:divBdr>
            <w:top w:val="none" w:sz="0" w:space="0" w:color="auto"/>
            <w:left w:val="none" w:sz="0" w:space="0" w:color="auto"/>
            <w:bottom w:val="none" w:sz="0" w:space="0" w:color="auto"/>
            <w:right w:val="none" w:sz="0" w:space="0" w:color="auto"/>
          </w:divBdr>
        </w:div>
        <w:div w:id="781270523">
          <w:marLeft w:val="547"/>
          <w:marRight w:val="0"/>
          <w:marTop w:val="0"/>
          <w:marBottom w:val="0"/>
          <w:divBdr>
            <w:top w:val="none" w:sz="0" w:space="0" w:color="auto"/>
            <w:left w:val="none" w:sz="0" w:space="0" w:color="auto"/>
            <w:bottom w:val="none" w:sz="0" w:space="0" w:color="auto"/>
            <w:right w:val="none" w:sz="0" w:space="0" w:color="auto"/>
          </w:divBdr>
        </w:div>
      </w:divsChild>
    </w:div>
    <w:div w:id="1869638156">
      <w:bodyDiv w:val="1"/>
      <w:marLeft w:val="0"/>
      <w:marRight w:val="0"/>
      <w:marTop w:val="0"/>
      <w:marBottom w:val="0"/>
      <w:divBdr>
        <w:top w:val="none" w:sz="0" w:space="0" w:color="auto"/>
        <w:left w:val="none" w:sz="0" w:space="0" w:color="auto"/>
        <w:bottom w:val="none" w:sz="0" w:space="0" w:color="auto"/>
        <w:right w:val="none" w:sz="0" w:space="0" w:color="auto"/>
      </w:divBdr>
      <w:divsChild>
        <w:div w:id="1040932396">
          <w:marLeft w:val="0"/>
          <w:marRight w:val="0"/>
          <w:marTop w:val="0"/>
          <w:marBottom w:val="0"/>
          <w:divBdr>
            <w:top w:val="none" w:sz="0" w:space="0" w:color="auto"/>
            <w:left w:val="none" w:sz="0" w:space="0" w:color="auto"/>
            <w:bottom w:val="none" w:sz="0" w:space="0" w:color="auto"/>
            <w:right w:val="none" w:sz="0" w:space="0" w:color="auto"/>
          </w:divBdr>
          <w:divsChild>
            <w:div w:id="1645504664">
              <w:marLeft w:val="0"/>
              <w:marRight w:val="0"/>
              <w:marTop w:val="225"/>
              <w:marBottom w:val="0"/>
              <w:divBdr>
                <w:top w:val="none" w:sz="0" w:space="0" w:color="auto"/>
                <w:left w:val="none" w:sz="0" w:space="0" w:color="auto"/>
                <w:bottom w:val="none" w:sz="0" w:space="0" w:color="auto"/>
                <w:right w:val="none" w:sz="0" w:space="0" w:color="auto"/>
              </w:divBdr>
              <w:divsChild>
                <w:div w:id="992834420">
                  <w:marLeft w:val="300"/>
                  <w:marRight w:val="300"/>
                  <w:marTop w:val="0"/>
                  <w:marBottom w:val="0"/>
                  <w:divBdr>
                    <w:top w:val="none" w:sz="0" w:space="0" w:color="auto"/>
                    <w:left w:val="none" w:sz="0" w:space="0" w:color="auto"/>
                    <w:bottom w:val="none" w:sz="0" w:space="0" w:color="auto"/>
                    <w:right w:val="none" w:sz="0" w:space="0" w:color="auto"/>
                  </w:divBdr>
                  <w:divsChild>
                    <w:div w:id="87300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956894">
      <w:bodyDiv w:val="1"/>
      <w:marLeft w:val="0"/>
      <w:marRight w:val="0"/>
      <w:marTop w:val="0"/>
      <w:marBottom w:val="0"/>
      <w:divBdr>
        <w:top w:val="none" w:sz="0" w:space="0" w:color="auto"/>
        <w:left w:val="none" w:sz="0" w:space="0" w:color="auto"/>
        <w:bottom w:val="none" w:sz="0" w:space="0" w:color="auto"/>
        <w:right w:val="none" w:sz="0" w:space="0" w:color="auto"/>
      </w:divBdr>
      <w:divsChild>
        <w:div w:id="1934586097">
          <w:marLeft w:val="0"/>
          <w:marRight w:val="0"/>
          <w:marTop w:val="0"/>
          <w:marBottom w:val="0"/>
          <w:divBdr>
            <w:top w:val="none" w:sz="0" w:space="0" w:color="auto"/>
            <w:left w:val="none" w:sz="0" w:space="0" w:color="auto"/>
            <w:bottom w:val="none" w:sz="0" w:space="0" w:color="auto"/>
            <w:right w:val="none" w:sz="0" w:space="0" w:color="auto"/>
          </w:divBdr>
          <w:divsChild>
            <w:div w:id="1472207576">
              <w:marLeft w:val="0"/>
              <w:marRight w:val="0"/>
              <w:marTop w:val="0"/>
              <w:marBottom w:val="0"/>
              <w:divBdr>
                <w:top w:val="single" w:sz="48" w:space="0" w:color="FFFFFF"/>
                <w:left w:val="none" w:sz="0" w:space="0" w:color="auto"/>
                <w:bottom w:val="none" w:sz="0" w:space="0" w:color="auto"/>
                <w:right w:val="none" w:sz="0" w:space="0" w:color="auto"/>
              </w:divBdr>
              <w:divsChild>
                <w:div w:id="91366918">
                  <w:marLeft w:val="0"/>
                  <w:marRight w:val="15"/>
                  <w:marTop w:val="0"/>
                  <w:marBottom w:val="0"/>
                  <w:divBdr>
                    <w:top w:val="none" w:sz="0" w:space="0" w:color="auto"/>
                    <w:left w:val="none" w:sz="0" w:space="0" w:color="auto"/>
                    <w:bottom w:val="none" w:sz="0" w:space="0" w:color="auto"/>
                    <w:right w:val="none" w:sz="0" w:space="0" w:color="auto"/>
                  </w:divBdr>
                  <w:divsChild>
                    <w:div w:id="2011562151">
                      <w:marLeft w:val="0"/>
                      <w:marRight w:val="0"/>
                      <w:marTop w:val="0"/>
                      <w:marBottom w:val="0"/>
                      <w:divBdr>
                        <w:top w:val="none" w:sz="0" w:space="0" w:color="auto"/>
                        <w:left w:val="none" w:sz="0" w:space="0" w:color="auto"/>
                        <w:bottom w:val="none" w:sz="0" w:space="0" w:color="auto"/>
                        <w:right w:val="none" w:sz="0" w:space="0" w:color="auto"/>
                      </w:divBdr>
                      <w:divsChild>
                        <w:div w:id="1777628604">
                          <w:marLeft w:val="0"/>
                          <w:marRight w:val="0"/>
                          <w:marTop w:val="0"/>
                          <w:marBottom w:val="0"/>
                          <w:divBdr>
                            <w:top w:val="none" w:sz="0" w:space="0" w:color="auto"/>
                            <w:left w:val="none" w:sz="0" w:space="0" w:color="auto"/>
                            <w:bottom w:val="none" w:sz="0" w:space="0" w:color="auto"/>
                            <w:right w:val="none" w:sz="0" w:space="0" w:color="auto"/>
                          </w:divBdr>
                          <w:divsChild>
                            <w:div w:id="2113895268">
                              <w:marLeft w:val="0"/>
                              <w:marRight w:val="0"/>
                              <w:marTop w:val="0"/>
                              <w:marBottom w:val="0"/>
                              <w:divBdr>
                                <w:top w:val="none" w:sz="0" w:space="0" w:color="auto"/>
                                <w:left w:val="none" w:sz="0" w:space="0" w:color="auto"/>
                                <w:bottom w:val="none" w:sz="0" w:space="0" w:color="auto"/>
                                <w:right w:val="none" w:sz="0" w:space="0" w:color="auto"/>
                              </w:divBdr>
                            </w:div>
                          </w:divsChild>
                        </w:div>
                        <w:div w:id="98255246">
                          <w:marLeft w:val="0"/>
                          <w:marRight w:val="0"/>
                          <w:marTop w:val="0"/>
                          <w:marBottom w:val="0"/>
                          <w:divBdr>
                            <w:top w:val="none" w:sz="0" w:space="0" w:color="auto"/>
                            <w:left w:val="none" w:sz="0" w:space="0" w:color="auto"/>
                            <w:bottom w:val="none" w:sz="0" w:space="0" w:color="auto"/>
                            <w:right w:val="none" w:sz="0" w:space="0" w:color="auto"/>
                          </w:divBdr>
                          <w:divsChild>
                            <w:div w:id="2121413576">
                              <w:marLeft w:val="0"/>
                              <w:marRight w:val="0"/>
                              <w:marTop w:val="0"/>
                              <w:marBottom w:val="0"/>
                              <w:divBdr>
                                <w:top w:val="none" w:sz="0" w:space="0" w:color="auto"/>
                                <w:left w:val="none" w:sz="0" w:space="0" w:color="auto"/>
                                <w:bottom w:val="none" w:sz="0" w:space="0" w:color="auto"/>
                                <w:right w:val="none" w:sz="0" w:space="0" w:color="auto"/>
                              </w:divBdr>
                              <w:divsChild>
                                <w:div w:id="1425568492">
                                  <w:marLeft w:val="0"/>
                                  <w:marRight w:val="0"/>
                                  <w:marTop w:val="0"/>
                                  <w:marBottom w:val="0"/>
                                  <w:divBdr>
                                    <w:top w:val="none" w:sz="0" w:space="0" w:color="auto"/>
                                    <w:left w:val="none" w:sz="0" w:space="0" w:color="auto"/>
                                    <w:bottom w:val="none" w:sz="0" w:space="0" w:color="auto"/>
                                    <w:right w:val="none" w:sz="0" w:space="0" w:color="auto"/>
                                  </w:divBdr>
                                  <w:divsChild>
                                    <w:div w:id="167449837">
                                      <w:marLeft w:val="75"/>
                                      <w:marRight w:val="0"/>
                                      <w:marTop w:val="0"/>
                                      <w:marBottom w:val="150"/>
                                      <w:divBdr>
                                        <w:top w:val="none" w:sz="0" w:space="0" w:color="auto"/>
                                        <w:left w:val="none" w:sz="0" w:space="0" w:color="auto"/>
                                        <w:bottom w:val="dotted" w:sz="6" w:space="6" w:color="999999"/>
                                        <w:right w:val="none" w:sz="0" w:space="0" w:color="auto"/>
                                      </w:divBdr>
                                      <w:divsChild>
                                        <w:div w:id="173319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fiba.basketball/news/latvia-cyprus-and-finland-named-fiba-eurobasket-2025-ho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C4959-9391-4227-9985-D378D9D94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4</Pages>
  <Words>7604</Words>
  <Characters>4335</Characters>
  <Application>Microsoft Office Word</Application>
  <DocSecurity>0</DocSecurity>
  <Lines>36</Lines>
  <Paragraphs>23</Paragraphs>
  <ScaleCrop>false</ScaleCrop>
  <HeadingPairs>
    <vt:vector size="2" baseType="variant">
      <vt:variant>
        <vt:lpstr>Title</vt:lpstr>
      </vt:variant>
      <vt:variant>
        <vt:i4>1</vt:i4>
      </vt:variant>
    </vt:vector>
  </HeadingPairs>
  <TitlesOfParts>
    <vt:vector size="1" baseType="lpstr">
      <vt:lpstr>Par kandidēšanu uz 2025. gada Eiropas čempionāta finālturnīra basketbolā vīriešiem (FIBA EuroBasket 2025) organizēšanu Latvijā</vt:lpstr>
    </vt:vector>
  </TitlesOfParts>
  <Company>Izglītības un zinātnes ministrija, Sporta departaments</Company>
  <LinksUpToDate>false</LinksUpToDate>
  <CharactersWithSpaces>11916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kandidēšanu uz 2025. gada Eiropas čempionāta finālturnīra basketbolā vīriešiem (FIBA EuroBasket 2025) organizēšanu Latvijā</dc:title>
  <dc:subject>Informatīvais ziņojums</dc:subject>
  <dc:creator>Edgars Severs</dc:creator>
  <cp:keywords/>
  <dc:description>Izglītības un zinātnes ministrijas_x000d_
valsts sekretāra vietnieks – _x000d_
Sporta departamenta direktors_x000d_
edgars.severs@izm.gov.lv_x000d_
tālr.: 67047935</dc:description>
  <cp:lastModifiedBy>Edgars Severs</cp:lastModifiedBy>
  <cp:revision>37</cp:revision>
  <cp:lastPrinted>2020-10-19T06:21:00Z</cp:lastPrinted>
  <dcterms:created xsi:type="dcterms:W3CDTF">2022-05-10T19:26:00Z</dcterms:created>
  <dcterms:modified xsi:type="dcterms:W3CDTF">2022-05-18T11:01:00Z</dcterms:modified>
</cp:coreProperties>
</file>