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CDA93" w14:textId="717B1E3F" w:rsidR="00196013" w:rsidRDefault="00CA204E" w:rsidP="00122330">
      <w:pPr>
        <w:pStyle w:val="Nosaukums"/>
      </w:pPr>
      <w:r>
        <w:t>Informatīvais ziņojums</w:t>
      </w:r>
      <w:r w:rsidR="304A9736">
        <w:t xml:space="preserve"> par Eiropas Savienības Tiesas 2022. gada 22. novembra spriedumu apvienotajās lietās C-37/20 un C-601/20</w:t>
      </w:r>
      <w:r w:rsidR="7185CC65">
        <w:t xml:space="preserve"> un patieso labuma guvēju </w:t>
      </w:r>
      <w:r w:rsidR="006814D5">
        <w:t xml:space="preserve">ziņu </w:t>
      </w:r>
      <w:r w:rsidR="7185CC65">
        <w:t>turpmāku pieejamību</w:t>
      </w:r>
    </w:p>
    <w:p w14:paraId="7FD57CF1" w14:textId="264FE8A5" w:rsidR="00122330" w:rsidRDefault="00122330" w:rsidP="00122330">
      <w:r w:rsidRPr="00122330">
        <w:t xml:space="preserve">Tieslietu ministrija sadarbībā ar Latvijas Republikas Uzņēmumu reģistru </w:t>
      </w:r>
      <w:r w:rsidR="00907182">
        <w:t xml:space="preserve">un </w:t>
      </w:r>
      <w:r w:rsidR="00E372EF">
        <w:t>Ārlietu</w:t>
      </w:r>
      <w:r w:rsidR="00907182">
        <w:t xml:space="preserve"> ministriju </w:t>
      </w:r>
      <w:r w:rsidRPr="00122330">
        <w:t>ir sagatavojusi ziņojumu par patieso labuma guvēju reģistra pieejamības ikvienai personai regulējuma atbilstību Eiropas Savienības Tiesas judikatūrai.</w:t>
      </w:r>
      <w:r w:rsidR="00A04478">
        <w:t xml:space="preserve"> Ziņojums saskaņots ar </w:t>
      </w:r>
      <w:r w:rsidR="00E372EF">
        <w:t>Finanšu</w:t>
      </w:r>
      <w:r w:rsidR="00A04478">
        <w:t xml:space="preserve"> ministriju</w:t>
      </w:r>
      <w:r w:rsidR="00907182">
        <w:t xml:space="preserve"> un</w:t>
      </w:r>
      <w:r w:rsidR="00A04478">
        <w:t xml:space="preserve"> Ekonomikas ministriju.</w:t>
      </w:r>
    </w:p>
    <w:p w14:paraId="702A42CA" w14:textId="67F3A169" w:rsidR="004F6283" w:rsidRDefault="6689EF23" w:rsidP="00122330">
      <w:proofErr w:type="spellStart"/>
      <w:r>
        <w:t>Izvērtējumā</w:t>
      </w:r>
      <w:proofErr w:type="spellEnd"/>
      <w:r>
        <w:t xml:space="preserve"> izklāstīts</w:t>
      </w:r>
      <w:r w:rsidR="57BE6ACB">
        <w:t xml:space="preserve"> Eiropas Savienības</w:t>
      </w:r>
      <w:r>
        <w:t xml:space="preserve"> Tiesas 2022. gada 22. novembra spriedumā apvienotajās lietās C-37/20 un C601/20 </w:t>
      </w:r>
      <w:proofErr w:type="spellStart"/>
      <w:r w:rsidRPr="0F711F34">
        <w:rPr>
          <w:i/>
          <w:iCs/>
        </w:rPr>
        <w:t>Luxembourg</w:t>
      </w:r>
      <w:proofErr w:type="spellEnd"/>
      <w:r w:rsidRPr="0F711F34">
        <w:rPr>
          <w:i/>
          <w:iCs/>
        </w:rPr>
        <w:t xml:space="preserve"> </w:t>
      </w:r>
      <w:proofErr w:type="spellStart"/>
      <w:r w:rsidRPr="0F711F34">
        <w:rPr>
          <w:i/>
          <w:iCs/>
        </w:rPr>
        <w:t>Business</w:t>
      </w:r>
      <w:proofErr w:type="spellEnd"/>
      <w:r w:rsidRPr="0F711F34">
        <w:rPr>
          <w:i/>
          <w:iCs/>
        </w:rPr>
        <w:t xml:space="preserve"> </w:t>
      </w:r>
      <w:proofErr w:type="spellStart"/>
      <w:r w:rsidRPr="0F711F34">
        <w:rPr>
          <w:i/>
          <w:iCs/>
        </w:rPr>
        <w:t>Registers</w:t>
      </w:r>
      <w:proofErr w:type="spellEnd"/>
      <w:r>
        <w:t xml:space="preserve"> analizētais un secinātais. Tāpat sniegts pārskats par Latvijas nacionālo </w:t>
      </w:r>
      <w:r w:rsidR="7CC29949">
        <w:t xml:space="preserve">patieso labuma guvēju reģistra pieejamības </w:t>
      </w:r>
      <w:r w:rsidR="723DF3C6">
        <w:t xml:space="preserve">ikvienai personai </w:t>
      </w:r>
      <w:r>
        <w:t xml:space="preserve">regulējumu un tā mērķiem, kā arī </w:t>
      </w:r>
      <w:r w:rsidR="362E7143">
        <w:t>minētā s</w:t>
      </w:r>
      <w:r>
        <w:t xml:space="preserve">prieduma ietekmi uz to un turpmāku </w:t>
      </w:r>
      <w:r w:rsidR="362E7143">
        <w:t>patieso labuma guvēju</w:t>
      </w:r>
      <w:r>
        <w:t xml:space="preserve"> reģistra pieejamību ikvienai personai</w:t>
      </w:r>
      <w:r w:rsidR="0B01279B">
        <w:t>, izvērtējot</w:t>
      </w:r>
      <w:r>
        <w:t xml:space="preserve"> nacionālā regulējuma samērīgumu un </w:t>
      </w:r>
      <w:r w:rsidR="3EB2638D">
        <w:t xml:space="preserve">patieso labuma guvēju datu publiskas pieejamības tiesiskumu. </w:t>
      </w:r>
    </w:p>
    <w:p w14:paraId="0884196E" w14:textId="77777777" w:rsidR="00405969" w:rsidRDefault="00405969" w:rsidP="00122330"/>
    <w:p w14:paraId="662404B4" w14:textId="24E2C2EA" w:rsidR="004F6283" w:rsidRDefault="7F17A454" w:rsidP="004F6283">
      <w:pPr>
        <w:pStyle w:val="Virsraksts1"/>
      </w:pPr>
      <w:r>
        <w:t>Ziņojumā lietotie saīsinājumi</w:t>
      </w:r>
    </w:p>
    <w:p w14:paraId="7260B19F" w14:textId="77777777" w:rsidR="00D01DE3" w:rsidRDefault="00D01DE3" w:rsidP="00D1653C">
      <w:pPr>
        <w:ind w:firstLine="0"/>
      </w:pPr>
      <w:r w:rsidRPr="0F711F34">
        <w:rPr>
          <w:b/>
          <w:bCs/>
          <w:color w:val="840B55"/>
        </w:rPr>
        <w:t>AML IV direktīva</w:t>
      </w:r>
      <w:r w:rsidRPr="0F711F34">
        <w:rPr>
          <w:color w:val="840B55"/>
        </w:rPr>
        <w:t xml:space="preserve"> </w:t>
      </w:r>
      <w:r>
        <w:t>- Eiropas Parlamenta un Padomes 2015. gada 20. maija Direktīva (ES) 2015/849 par to, lai nepieļautu finanšu sistēmas izmantošanu nelikumīgi iegūtu līdzekļu legalizēšanai vai teroristu finansēšanai, un ar ko groza Eiropas Parlamenta un Padomes Regulu (ES) Nr. 684/2012 un atceļ Eiropas Parlamenta un Padomes Direktīvu 2005/60/EK un Komisijas Direktīvu 2006/70/EK</w:t>
      </w:r>
    </w:p>
    <w:p w14:paraId="028B2337" w14:textId="77777777" w:rsidR="00D01DE3" w:rsidRDefault="00D01DE3" w:rsidP="00D1653C">
      <w:pPr>
        <w:ind w:firstLine="0"/>
      </w:pPr>
      <w:r w:rsidRPr="0F711F34">
        <w:rPr>
          <w:b/>
          <w:bCs/>
          <w:color w:val="840B55"/>
        </w:rPr>
        <w:t>AML V direktīva</w:t>
      </w:r>
      <w:r w:rsidRPr="0F711F34">
        <w:rPr>
          <w:color w:val="840B55"/>
        </w:rPr>
        <w:t xml:space="preserve"> </w:t>
      </w:r>
      <w:r>
        <w:t>- Eiropas Parlamenta un Padomes 2018. gada 30. maija direktīva (ES) 2018/843, ar ko groza Direktīvu (ES) 2015/849 par to, lai nepieļautu finanšu sistēmas izmantošanu nelikumīgi iegūtu līdzekļu legalizēšanai vai teroristu finansēšanai, un ar ko groza Direktīvas 2009/138/EK un 2013/36/ES</w:t>
      </w:r>
    </w:p>
    <w:p w14:paraId="1C5E999E" w14:textId="201F07CD" w:rsidR="00F73CB1" w:rsidRDefault="00F73CB1" w:rsidP="00AC2267">
      <w:pPr>
        <w:ind w:firstLine="0"/>
      </w:pPr>
      <w:r>
        <w:rPr>
          <w:b/>
          <w:bCs/>
          <w:color w:val="840B55"/>
        </w:rPr>
        <w:t>Konvencija</w:t>
      </w:r>
      <w:r w:rsidRPr="00F73CB1">
        <w:t xml:space="preserve"> </w:t>
      </w:r>
      <w:r>
        <w:t>– Eiropas Cilvēka tiesību un pamatbrīvību aizsardzības konvencija</w:t>
      </w:r>
    </w:p>
    <w:p w14:paraId="2ED2B199" w14:textId="77777777" w:rsidR="00D01DE3" w:rsidRDefault="00D01DE3" w:rsidP="00AC2267">
      <w:pPr>
        <w:ind w:firstLine="0"/>
      </w:pPr>
      <w:r w:rsidRPr="0F711F34">
        <w:rPr>
          <w:b/>
          <w:bCs/>
          <w:color w:val="840B55"/>
        </w:rPr>
        <w:t>Faktiskais īpašnieks</w:t>
      </w:r>
      <w:r w:rsidRPr="0F711F34">
        <w:rPr>
          <w:color w:val="840B55"/>
        </w:rPr>
        <w:t xml:space="preserve"> </w:t>
      </w:r>
      <w:r>
        <w:t>– patiesais labuma guvējs</w:t>
      </w:r>
    </w:p>
    <w:p w14:paraId="63F41266" w14:textId="77777777" w:rsidR="00D01DE3" w:rsidRDefault="00D01DE3" w:rsidP="00D1653C">
      <w:pPr>
        <w:ind w:firstLine="0"/>
      </w:pPr>
      <w:r w:rsidRPr="0F711F34">
        <w:rPr>
          <w:b/>
          <w:bCs/>
          <w:color w:val="840B55"/>
        </w:rPr>
        <w:t>Harta</w:t>
      </w:r>
      <w:r w:rsidRPr="0F711F34">
        <w:rPr>
          <w:color w:val="840B55"/>
        </w:rPr>
        <w:t xml:space="preserve"> </w:t>
      </w:r>
      <w:r>
        <w:t xml:space="preserve">– Eiropas Savienības </w:t>
      </w:r>
      <w:proofErr w:type="spellStart"/>
      <w:r>
        <w:t>Pamattiesību</w:t>
      </w:r>
      <w:proofErr w:type="spellEnd"/>
      <w:r>
        <w:t xml:space="preserve"> Harta</w:t>
      </w:r>
    </w:p>
    <w:p w14:paraId="2572BF67" w14:textId="77777777" w:rsidR="00D01DE3" w:rsidRDefault="00D01DE3" w:rsidP="00AC2267">
      <w:pPr>
        <w:ind w:firstLine="0"/>
      </w:pPr>
      <w:r w:rsidRPr="0F711F34">
        <w:rPr>
          <w:b/>
          <w:bCs/>
          <w:color w:val="840B55"/>
        </w:rPr>
        <w:t>Novēršanas likums</w:t>
      </w:r>
      <w:r w:rsidRPr="0F711F34">
        <w:rPr>
          <w:color w:val="840B55"/>
        </w:rPr>
        <w:t xml:space="preserve"> </w:t>
      </w:r>
      <w:r>
        <w:t>– Noziedzīgi iegūtu līdzekļu legalizācijas un terorisma un proliferācijas finansēšanas novēršanas likums</w:t>
      </w:r>
    </w:p>
    <w:p w14:paraId="6FE799F9" w14:textId="5E0FFD67" w:rsidR="00034DF1" w:rsidRDefault="00034DF1" w:rsidP="00AC2267">
      <w:pPr>
        <w:ind w:firstLine="0"/>
      </w:pPr>
      <w:r w:rsidRPr="00C44516">
        <w:rPr>
          <w:b/>
          <w:color w:val="840B55"/>
        </w:rPr>
        <w:t>Pakts</w:t>
      </w:r>
      <w:r>
        <w:t xml:space="preserve"> – A</w:t>
      </w:r>
      <w:r w:rsidR="00D86C12">
        <w:t>pvienoto Nāciju Organizācijas</w:t>
      </w:r>
      <w:r>
        <w:t xml:space="preserve"> Starptautiskais pakts par pilsoniskajām un politiskajām tiesībām</w:t>
      </w:r>
    </w:p>
    <w:p w14:paraId="3E259EEC" w14:textId="77777777" w:rsidR="00D01DE3" w:rsidRDefault="00D01DE3" w:rsidP="00D1653C">
      <w:pPr>
        <w:ind w:firstLine="0"/>
      </w:pPr>
      <w:r w:rsidRPr="009C7454">
        <w:rPr>
          <w:b/>
          <w:bCs/>
          <w:color w:val="840B55"/>
        </w:rPr>
        <w:t>PLG</w:t>
      </w:r>
      <w:r>
        <w:t xml:space="preserve"> – patiesais labuma guvējs</w:t>
      </w:r>
    </w:p>
    <w:p w14:paraId="444E88AB" w14:textId="77777777" w:rsidR="00D01DE3" w:rsidRDefault="00D01DE3" w:rsidP="00D1653C">
      <w:pPr>
        <w:ind w:firstLine="0"/>
      </w:pPr>
      <w:r w:rsidRPr="0F711F34">
        <w:rPr>
          <w:b/>
          <w:bCs/>
          <w:color w:val="840B55"/>
        </w:rPr>
        <w:t>Reģistrs</w:t>
      </w:r>
      <w:r>
        <w:t xml:space="preserve"> – Latvijas Republikas Uzņēmumu reģistrs</w:t>
      </w:r>
    </w:p>
    <w:p w14:paraId="13DDE629" w14:textId="77777777" w:rsidR="00D01DE3" w:rsidRDefault="00D01DE3" w:rsidP="00D1653C">
      <w:pPr>
        <w:ind w:firstLine="0"/>
      </w:pPr>
      <w:r w:rsidRPr="0F711F34">
        <w:rPr>
          <w:b/>
          <w:bCs/>
          <w:color w:val="840B55"/>
        </w:rPr>
        <w:t xml:space="preserve">Sankciju likums </w:t>
      </w:r>
      <w:r>
        <w:t>– Starptautisko un Latvijas Republikas nacionālo sankciju likums</w:t>
      </w:r>
    </w:p>
    <w:p w14:paraId="42D364CC" w14:textId="77777777" w:rsidR="00D01DE3" w:rsidRPr="00F12900" w:rsidRDefault="00D01DE3" w:rsidP="00D1653C">
      <w:pPr>
        <w:ind w:firstLine="0"/>
      </w:pPr>
      <w:r w:rsidRPr="00405969">
        <w:rPr>
          <w:b/>
          <w:bCs/>
          <w:color w:val="840B55"/>
        </w:rPr>
        <w:t>Satversme</w:t>
      </w:r>
      <w:r>
        <w:t xml:space="preserve"> – Latvijas Republikas Satversme</w:t>
      </w:r>
    </w:p>
    <w:p w14:paraId="42CEBEE6" w14:textId="77777777" w:rsidR="00D01DE3" w:rsidRDefault="00D01DE3" w:rsidP="00D1653C">
      <w:pPr>
        <w:ind w:firstLine="0"/>
      </w:pPr>
      <w:r w:rsidRPr="009C7454">
        <w:rPr>
          <w:b/>
          <w:bCs/>
          <w:color w:val="840B55"/>
        </w:rPr>
        <w:lastRenderedPageBreak/>
        <w:t>Spriedums</w:t>
      </w:r>
      <w:r>
        <w:t xml:space="preserve"> - </w:t>
      </w:r>
      <w:r w:rsidRPr="00043217">
        <w:t>Tiesas 2022. gada 22. novembra spriedumā apvienotajās lietās C-37/20 un C</w:t>
      </w:r>
      <w:r w:rsidRPr="00043217">
        <w:noBreakHyphen/>
        <w:t xml:space="preserve">601/20 </w:t>
      </w:r>
      <w:proofErr w:type="spellStart"/>
      <w:r w:rsidRPr="0F711F34">
        <w:rPr>
          <w:i/>
          <w:iCs/>
        </w:rPr>
        <w:t>Luxembourg</w:t>
      </w:r>
      <w:proofErr w:type="spellEnd"/>
      <w:r w:rsidRPr="0F711F34">
        <w:rPr>
          <w:i/>
          <w:iCs/>
        </w:rPr>
        <w:t xml:space="preserve"> </w:t>
      </w:r>
      <w:proofErr w:type="spellStart"/>
      <w:r w:rsidRPr="0F711F34">
        <w:rPr>
          <w:i/>
          <w:iCs/>
        </w:rPr>
        <w:t>Business</w:t>
      </w:r>
      <w:proofErr w:type="spellEnd"/>
      <w:r w:rsidRPr="0F711F34">
        <w:rPr>
          <w:i/>
          <w:iCs/>
        </w:rPr>
        <w:t xml:space="preserve"> </w:t>
      </w:r>
      <w:proofErr w:type="spellStart"/>
      <w:r w:rsidRPr="0F711F34">
        <w:rPr>
          <w:i/>
          <w:iCs/>
        </w:rPr>
        <w:t>Registers</w:t>
      </w:r>
      <w:proofErr w:type="spellEnd"/>
      <w:r w:rsidRPr="00500CE9">
        <w:rPr>
          <w:vertAlign w:val="superscript"/>
        </w:rPr>
        <w:footnoteReference w:id="2"/>
      </w:r>
    </w:p>
    <w:p w14:paraId="107E60C3" w14:textId="4ED05419" w:rsidR="00D01DE3" w:rsidRDefault="00D01DE3" w:rsidP="00D1653C">
      <w:pPr>
        <w:ind w:firstLine="0"/>
      </w:pPr>
      <w:r w:rsidRPr="009C7454">
        <w:rPr>
          <w:b/>
          <w:bCs/>
          <w:color w:val="840B55"/>
        </w:rPr>
        <w:t>Tiesa</w:t>
      </w:r>
      <w:r>
        <w:t xml:space="preserve"> – Eiropas Savienības Tiesa</w:t>
      </w:r>
    </w:p>
    <w:p w14:paraId="29371355" w14:textId="77777777" w:rsidR="00405969" w:rsidRDefault="00405969" w:rsidP="00D1653C">
      <w:pPr>
        <w:ind w:firstLine="0"/>
      </w:pPr>
    </w:p>
    <w:p w14:paraId="1F85760A" w14:textId="3267C62A" w:rsidR="00122330" w:rsidRDefault="304A9736" w:rsidP="00122330">
      <w:pPr>
        <w:pStyle w:val="Virsraksts1"/>
      </w:pPr>
      <w:r>
        <w:t>1. Par Spriedumu</w:t>
      </w:r>
    </w:p>
    <w:p w14:paraId="4A7BC5F8" w14:textId="1060BD1B" w:rsidR="00550F0F" w:rsidRDefault="082FC0EF" w:rsidP="00122330">
      <w:r>
        <w:t>Iepriekš AML</w:t>
      </w:r>
      <w:r w:rsidR="3CB7E394">
        <w:t> </w:t>
      </w:r>
      <w:r>
        <w:t>IV direktīva</w:t>
      </w:r>
      <w:r w:rsidR="0069666C">
        <w:rPr>
          <w:rStyle w:val="Vresatsauce"/>
        </w:rPr>
        <w:footnoteReference w:id="3"/>
      </w:r>
      <w:r>
        <w:t xml:space="preserve"> </w:t>
      </w:r>
      <w:r w:rsidR="27233E89">
        <w:t xml:space="preserve">paredzēja, ka </w:t>
      </w:r>
      <w:r w:rsidR="696503CB">
        <w:t>dalībvalstīm ir jānodrošina</w:t>
      </w:r>
      <w:r w:rsidR="54E608A4">
        <w:t>, lai informācija par faktiskajiem īpašniekiem</w:t>
      </w:r>
      <w:r w:rsidR="4EF8A01F">
        <w:t xml:space="preserve"> vienmēr būtu pieejama cita starp jebkurai personai vai organizācijai, kas var pierādīt, ka tām ir likumīgas intereses. Papildus skaidrots, ka šīm personām jānodrošina piekļuvi vismaz </w:t>
      </w:r>
      <w:r w:rsidR="4EF8A01F" w:rsidRPr="00AC3064">
        <w:t>informācijai par faktiskā īpašnieka vārdu un uzvārdu, dzimšanas mēnesi un gadu, valstspiederību, pastāvīgās dzīvesvietas valsti, kā arī turētās kapitāla daļas veidu un apmēru</w:t>
      </w:r>
      <w:r w:rsidR="4EF8A01F">
        <w:t>.</w:t>
      </w:r>
    </w:p>
    <w:p w14:paraId="7A785716" w14:textId="303271DC" w:rsidR="00550F0F" w:rsidRDefault="4EF8A01F" w:rsidP="00122330">
      <w:r>
        <w:t xml:space="preserve">Savukārt ar </w:t>
      </w:r>
      <w:r w:rsidR="082FC0EF">
        <w:t>AML</w:t>
      </w:r>
      <w:r w:rsidR="3CB7E394">
        <w:t> </w:t>
      </w:r>
      <w:r w:rsidR="082FC0EF">
        <w:t>V direktīv</w:t>
      </w:r>
      <w:r w:rsidR="2A3CEF73">
        <w:t>u</w:t>
      </w:r>
      <w:r w:rsidR="000B4FE3">
        <w:rPr>
          <w:rStyle w:val="Vresatsauce"/>
        </w:rPr>
        <w:footnoteReference w:id="4"/>
      </w:r>
      <w:r w:rsidR="2A3CEF73">
        <w:t xml:space="preserve"> izdarīti grozījumi</w:t>
      </w:r>
      <w:r w:rsidR="5340578E">
        <w:t xml:space="preserve"> AML</w:t>
      </w:r>
      <w:r w:rsidR="3CB7E394">
        <w:t> </w:t>
      </w:r>
      <w:r w:rsidR="5340578E">
        <w:t>IV direktīvā</w:t>
      </w:r>
      <w:r w:rsidR="2A3CEF73">
        <w:t xml:space="preserve">, paredzot, ka </w:t>
      </w:r>
      <w:r w:rsidR="5340578E">
        <w:t>informācijai ir jābūt pieejamai ikvienam sabiedrības loceklim</w:t>
      </w:r>
      <w:r w:rsidR="45F39BFF">
        <w:t xml:space="preserve">, saglabājot </w:t>
      </w:r>
      <w:r w:rsidR="21AA7FEC">
        <w:t>minimālās piekļūstamās informācijas apjomu iepriekšējā apjomā</w:t>
      </w:r>
      <w:r w:rsidR="5340578E">
        <w:t>.</w:t>
      </w:r>
      <w:r w:rsidR="21AA7FEC">
        <w:t xml:space="preserve"> Tādējādi</w:t>
      </w:r>
      <w:r w:rsidR="3CB7E394">
        <w:t xml:space="preserve"> ar</w:t>
      </w:r>
      <w:r w:rsidR="21AA7FEC">
        <w:t xml:space="preserve"> </w:t>
      </w:r>
      <w:r w:rsidR="4E78C3B1">
        <w:t>AML</w:t>
      </w:r>
      <w:r w:rsidR="3CB7E394">
        <w:t> V direktīv</w:t>
      </w:r>
      <w:r w:rsidR="23E1EB3C">
        <w:t>u tika noteikt</w:t>
      </w:r>
      <w:r w:rsidR="362B8548">
        <w:t>a pilnībā brīva piekļuve informācijai par faktiskajiem īpašniekiem</w:t>
      </w:r>
      <w:r w:rsidR="5A3E49ED">
        <w:t xml:space="preserve"> jeb PLG bez nepieciešamības pierādīt personas likum</w:t>
      </w:r>
      <w:r w:rsidR="3006E655">
        <w:t>īgo interesi.</w:t>
      </w:r>
    </w:p>
    <w:p w14:paraId="657FCE23" w14:textId="723540D5" w:rsidR="006F243C" w:rsidRPr="00721F18" w:rsidRDefault="362B8548" w:rsidP="006F243C">
      <w:r>
        <w:t xml:space="preserve">Tiesa </w:t>
      </w:r>
      <w:bookmarkStart w:id="0" w:name="_Hlk125026343"/>
      <w:r>
        <w:t xml:space="preserve">2022. gada 22. novembrī </w:t>
      </w:r>
      <w:bookmarkEnd w:id="0"/>
      <w:r>
        <w:t xml:space="preserve">ir pasludinājusi Spriedumu lietā, kurā tika skatīts jautājums par PLG datu publisku pieejamību. Tiesa </w:t>
      </w:r>
      <w:r w:rsidR="79C6CD0C">
        <w:t>vērtējusi</w:t>
      </w:r>
      <w:r>
        <w:t xml:space="preserve"> AML V direktīvas</w:t>
      </w:r>
      <w:r w:rsidR="567EF421">
        <w:t xml:space="preserve"> 1. panta 15. punkta c) apakšpunkt</w:t>
      </w:r>
      <w:r w:rsidR="005C1FB1">
        <w:t>a</w:t>
      </w:r>
      <w:r w:rsidR="005C1FB1" w:rsidRPr="005C1FB1">
        <w:t xml:space="preserve"> </w:t>
      </w:r>
      <w:r w:rsidR="005C1FB1">
        <w:t xml:space="preserve">pamatotību iepretim Hartas 7. un 8. pantā garantētajām </w:t>
      </w:r>
      <w:proofErr w:type="spellStart"/>
      <w:r w:rsidR="005C1FB1">
        <w:t>pamattiesībām</w:t>
      </w:r>
      <w:proofErr w:type="spellEnd"/>
      <w:r w:rsidR="567EF421">
        <w:t>, ciktāl ar to ir grozīts AML IV 30. panta 5. punkta pirmās daļas c) apakšpunkts</w:t>
      </w:r>
      <w:r w:rsidR="5184FBEE">
        <w:t>, jeb</w:t>
      </w:r>
      <w:r>
        <w:t xml:space="preserve"> norma</w:t>
      </w:r>
      <w:r w:rsidR="79C6CD0C">
        <w:t>s</w:t>
      </w:r>
      <w:r>
        <w:t xml:space="preserve"> par PLG datu vispārpieejamu piekļuvi</w:t>
      </w:r>
      <w:r w:rsidR="1692E579">
        <w:t>.</w:t>
      </w:r>
    </w:p>
    <w:p w14:paraId="198D31AA" w14:textId="435C13FC" w:rsidR="00550F0F" w:rsidRDefault="082FC0EF" w:rsidP="00122330">
      <w:r>
        <w:t xml:space="preserve">Hartas </w:t>
      </w:r>
      <w:r w:rsidR="304A9736">
        <w:t>7. pants paredz, ka ikvienai personai ir tiesības uz savas privātās un ģimenes dzīves, dzīvokļa un saziņas neaizskaramību</w:t>
      </w:r>
      <w:r w:rsidR="58FD77AE">
        <w:t xml:space="preserve">. Savukārt tās </w:t>
      </w:r>
      <w:r w:rsidR="304A9736">
        <w:t>8. pants noteic, ka ikvienai personai ir tiesības uz savu personas datu aizsardzību</w:t>
      </w:r>
      <w:r w:rsidR="2A901CF8">
        <w:t xml:space="preserve">; </w:t>
      </w:r>
      <w:r w:rsidR="304A9736">
        <w:t>šādi dati ir jāapstrādā godprātīgi, noteiktiem mērķiem un ar attiecīgās personas piekrišanu vai ar citu likumīgu pamatojumu, kas paredzēts tiesību aktos. Ikvienam ir pieejas tiesības datiem, kas par viņu savākti, un tiesības ieviest labojumus šajos datos</w:t>
      </w:r>
      <w:r w:rsidR="6463C8C5">
        <w:t>; a</w:t>
      </w:r>
      <w:r w:rsidR="304A9736">
        <w:t xml:space="preserve">tbilstību šiem noteikumiem kontrolē neatkarīga iestāde. </w:t>
      </w:r>
    </w:p>
    <w:p w14:paraId="7290B299" w14:textId="77777777" w:rsidR="002E7F07" w:rsidRDefault="6659DDAF" w:rsidP="0088624C">
      <w:r w:rsidRPr="00122330">
        <w:t xml:space="preserve">Sākotnēji Spriedumā tika konstatēts, ka ikviena sabiedrības locekļa piekļuve informācijai par PLG ir smaga iejaukšanās Hartas 7. un 8. pantā garantētajās </w:t>
      </w:r>
      <w:proofErr w:type="spellStart"/>
      <w:r w:rsidRPr="00122330">
        <w:t>pamattiesībās</w:t>
      </w:r>
      <w:proofErr w:type="spellEnd"/>
      <w:r w:rsidRPr="00122330">
        <w:t xml:space="preserve"> un tika vērtēta ierobežojuma atbilstība Hartas 52. panta 1. punktā</w:t>
      </w:r>
      <w:r w:rsidR="002E7F07">
        <w:rPr>
          <w:rStyle w:val="Vresatsauce"/>
        </w:rPr>
        <w:footnoteReference w:id="5"/>
      </w:r>
      <w:r w:rsidRPr="00122330">
        <w:t xml:space="preserve"> noteiktajiem kritērijiem</w:t>
      </w:r>
      <w:r w:rsidR="4E5A2724">
        <w:t>.</w:t>
      </w:r>
      <w:r w:rsidR="0088624C" w:rsidRPr="00122330">
        <w:rPr>
          <w:vertAlign w:val="superscript"/>
        </w:rPr>
        <w:footnoteReference w:id="6"/>
      </w:r>
      <w:r w:rsidRPr="00122330">
        <w:t xml:space="preserve"> Veicot tālāku ierobežojumu analīzi tika konstatēts, ka ierobežojumi noteikti atbilstoši likumības principam un ierobežojumi neapdraud Hartas 7. un 8. pantā nostiprināto </w:t>
      </w:r>
      <w:proofErr w:type="spellStart"/>
      <w:r w:rsidRPr="00122330">
        <w:t>pamattiesību</w:t>
      </w:r>
      <w:proofErr w:type="spellEnd"/>
      <w:r w:rsidRPr="00122330">
        <w:t xml:space="preserve"> būtību</w:t>
      </w:r>
      <w:r w:rsidR="4E5A2724">
        <w:t>.</w:t>
      </w:r>
      <w:r w:rsidR="0088624C" w:rsidRPr="00122330">
        <w:rPr>
          <w:vertAlign w:val="superscript"/>
        </w:rPr>
        <w:footnoteReference w:id="7"/>
      </w:r>
      <w:r w:rsidRPr="00122330">
        <w:t xml:space="preserve"> </w:t>
      </w:r>
    </w:p>
    <w:p w14:paraId="19A2FDA1" w14:textId="19816099" w:rsidR="0088624C" w:rsidRPr="00122330" w:rsidRDefault="6659DDAF" w:rsidP="0088624C">
      <w:r w:rsidRPr="00122330">
        <w:t xml:space="preserve">Tāpat Spriedumā atzīts, ka paredzot ikviena sabiedrības locekļa piekļuvi informācijai par PLG, likumdevējs ir paredzējis novērst noziedzīgi iegūtu līdzekļu legalizāciju un terorisma </w:t>
      </w:r>
      <w:r w:rsidRPr="00122330">
        <w:lastRenderedPageBreak/>
        <w:t xml:space="preserve">finansēšanu, radot vidi ar lielāku </w:t>
      </w:r>
      <w:proofErr w:type="spellStart"/>
      <w:r w:rsidRPr="00122330">
        <w:t>pārredzamību</w:t>
      </w:r>
      <w:proofErr w:type="spellEnd"/>
      <w:r w:rsidRPr="00122330">
        <w:t xml:space="preserve">, kurā ir mazāka iespēja, ka to izmantos šiem mērķiem, kas var attaisnot pat smagu iejaukšanos Hartas 7. un 8. pantā nostiprinātajās </w:t>
      </w:r>
      <w:proofErr w:type="spellStart"/>
      <w:r w:rsidRPr="00122330">
        <w:t>pamattiesībās</w:t>
      </w:r>
      <w:proofErr w:type="spellEnd"/>
      <w:r w:rsidR="221B64F1">
        <w:t>.</w:t>
      </w:r>
      <w:r w:rsidR="0088624C" w:rsidRPr="00122330">
        <w:rPr>
          <w:vertAlign w:val="superscript"/>
        </w:rPr>
        <w:footnoteReference w:id="8"/>
      </w:r>
    </w:p>
    <w:p w14:paraId="1A0FF436" w14:textId="5CEEDAA2" w:rsidR="00D12262" w:rsidRDefault="221B64F1" w:rsidP="00122330">
      <w:r>
        <w:t>V</w:t>
      </w:r>
      <w:r w:rsidR="304A9736" w:rsidRPr="00122330">
        <w:t>ērtējot ierobežojumu piemērotību, nepieciešamību un samērīgumu</w:t>
      </w:r>
      <w:r>
        <w:t>,</w:t>
      </w:r>
      <w:r w:rsidR="304A9736" w:rsidRPr="00122330">
        <w:t xml:space="preserve"> Spriedumā atzīts, ka, lai gan ikviena sabiedrības locekļa piekļuve informācijai par PLG ir piemērota, lai veicinātu vispārējo interešu mērķa īstenošanu</w:t>
      </w:r>
      <w:r>
        <w:t>,</w:t>
      </w:r>
      <w:r w:rsidR="00122330" w:rsidRPr="00122330">
        <w:rPr>
          <w:vertAlign w:val="superscript"/>
        </w:rPr>
        <w:footnoteReference w:id="9"/>
      </w:r>
      <w:r w:rsidR="304A9736" w:rsidRPr="00122330">
        <w:t xml:space="preserve"> taču šis pasākums nav absolūti nepieciešams, lai novērstu noziedzīgi iegūtu līdzekļu legalizēšanu un terorisma finansēšanu. Ņemot vērā iepriekš minēto, nevar uzskatīt, ka iejaukšanās Hartas 7. un 8. pantā garantētajās tiesībās, kas izriet no plašas publiskas piekļuves informācijai par PLG, ir ierobežota ar absolūti nepieciešamo</w:t>
      </w:r>
      <w:r>
        <w:t>.</w:t>
      </w:r>
      <w:r w:rsidR="00122330" w:rsidRPr="00122330">
        <w:rPr>
          <w:vertAlign w:val="superscript"/>
        </w:rPr>
        <w:footnoteReference w:id="10"/>
      </w:r>
      <w:r w:rsidR="304A9736" w:rsidRPr="00122330">
        <w:t xml:space="preserve"> </w:t>
      </w:r>
    </w:p>
    <w:p w14:paraId="6643A18B" w14:textId="77777777" w:rsidR="009248D6" w:rsidRDefault="304A9736" w:rsidP="008B01FD">
      <w:r>
        <w:t xml:space="preserve">Savukārt, vērtējot samērīgumu starp ikviena sabiedrības locekļa piekļuvi informācijai par PLG un Hartas 7. un 8. pantā noteiktajām </w:t>
      </w:r>
      <w:proofErr w:type="spellStart"/>
      <w:r>
        <w:t>pamattiesībām</w:t>
      </w:r>
      <w:proofErr w:type="spellEnd"/>
      <w:r>
        <w:t>, no otras puses, Tiesa atzina, ka</w:t>
      </w:r>
      <w:r w:rsidR="329E7430">
        <w:t>:</w:t>
      </w:r>
    </w:p>
    <w:p w14:paraId="4B0A9A0D" w14:textId="77777777" w:rsidR="009248D6" w:rsidRDefault="304A9736" w:rsidP="009053C5">
      <w:pPr>
        <w:pStyle w:val="Sarakstarindkopa"/>
        <w:numPr>
          <w:ilvl w:val="0"/>
          <w:numId w:val="3"/>
        </w:numPr>
        <w:tabs>
          <w:tab w:val="left" w:pos="1134"/>
          <w:tab w:val="left" w:pos="1843"/>
        </w:tabs>
        <w:ind w:left="0" w:firstLine="720"/>
      </w:pPr>
      <w:r>
        <w:t>pirmkārt, cīņa pret noziedzīgi iegūtu līdzekļu legalizēšanu un terorisma finansēšanu galvenokārt ir valsts iestāžu un tādu struktūru kā kredītiestādes vai finanšu iestādes kompetencē, uz kurām, ņemot vērā to darbību, attiecas īpaši pienākumi šajā jomā</w:t>
      </w:r>
      <w:r w:rsidR="329E7430">
        <w:t>;</w:t>
      </w:r>
    </w:p>
    <w:p w14:paraId="2ED8C98C" w14:textId="3549A023" w:rsidR="00122330" w:rsidRDefault="486FF89E" w:rsidP="009053C5">
      <w:pPr>
        <w:pStyle w:val="Sarakstarindkopa"/>
        <w:numPr>
          <w:ilvl w:val="0"/>
          <w:numId w:val="3"/>
        </w:numPr>
        <w:tabs>
          <w:tab w:val="left" w:pos="1134"/>
          <w:tab w:val="left" w:pos="1843"/>
        </w:tabs>
        <w:ind w:left="0" w:firstLine="720"/>
      </w:pPr>
      <w:r>
        <w:t>o</w:t>
      </w:r>
      <w:r w:rsidR="6689EF23" w:rsidRPr="00122330">
        <w:t>trkārt, salīdzinot</w:t>
      </w:r>
      <w:r w:rsidR="7AD24DDC">
        <w:t xml:space="preserve"> ar tādu sistēmu, kas tika paredzēta ar</w:t>
      </w:r>
      <w:r w:rsidR="6689EF23" w:rsidRPr="00122330">
        <w:t xml:space="preserve"> </w:t>
      </w:r>
      <w:r w:rsidR="2B94DC91">
        <w:t>AML IV direktīvas regulējumu</w:t>
      </w:r>
      <w:r w:rsidR="5044B513">
        <w:t>, kurā papildus kompetento iestāžu un noteiktu struktūru piekļuvei bija paredzēta jebkuras tādas personas vai or</w:t>
      </w:r>
      <w:r w:rsidR="64D9AB87">
        <w:t xml:space="preserve">ganizācijas </w:t>
      </w:r>
      <w:r w:rsidR="5044B513">
        <w:t>piekļuve</w:t>
      </w:r>
      <w:r w:rsidR="676347A4">
        <w:t>, kas var pie</w:t>
      </w:r>
      <w:r w:rsidR="1577EA54">
        <w:t>rā</w:t>
      </w:r>
      <w:r w:rsidR="676347A4">
        <w:t>d</w:t>
      </w:r>
      <w:r w:rsidR="7C737383">
        <w:t>ī</w:t>
      </w:r>
      <w:r w:rsidR="676347A4">
        <w:t>t likumīgās intereses,</w:t>
      </w:r>
      <w:r w:rsidR="5044B513">
        <w:t xml:space="preserve"> </w:t>
      </w:r>
      <w:r w:rsidR="2B94DC91">
        <w:t>ar AML V direktīvas</w:t>
      </w:r>
      <w:r w:rsidR="4611BFB1">
        <w:t xml:space="preserve"> ieviesto sistēmu</w:t>
      </w:r>
      <w:r w:rsidR="2B94DC91">
        <w:t>,</w:t>
      </w:r>
      <w:r w:rsidR="440715DB">
        <w:t xml:space="preserve"> kurā ir paredzēta ikviena sabiedrības locekļa piekļuve informācijai par PLG,</w:t>
      </w:r>
      <w:r w:rsidR="2B94DC91">
        <w:t xml:space="preserve"> secināts, ka </w:t>
      </w:r>
      <w:r w:rsidR="4B1AB53D">
        <w:t>AML V direktīvas sistēma</w:t>
      </w:r>
      <w:r w:rsidR="6689EF23" w:rsidRPr="00122330">
        <w:t xml:space="preserve"> </w:t>
      </w:r>
      <w:r w:rsidR="4CC96D77">
        <w:t>rada</w:t>
      </w:r>
      <w:r w:rsidR="6689EF23" w:rsidRPr="00122330">
        <w:t xml:space="preserve"> ievērojami smagāku Hartas 7. un 8. pantā garantēto </w:t>
      </w:r>
      <w:proofErr w:type="spellStart"/>
      <w:r w:rsidR="6689EF23" w:rsidRPr="00122330">
        <w:t>pamattiesību</w:t>
      </w:r>
      <w:proofErr w:type="spellEnd"/>
      <w:r w:rsidR="6689EF23" w:rsidRPr="00122330">
        <w:t xml:space="preserve"> aizskārumu</w:t>
      </w:r>
      <w:r w:rsidR="4B1AB53D">
        <w:t>.</w:t>
      </w:r>
      <w:r w:rsidR="6689EF23" w:rsidRPr="00122330">
        <w:t xml:space="preserve"> </w:t>
      </w:r>
      <w:r w:rsidR="361B1EF6">
        <w:t>Vienlaikus norādīts, ka</w:t>
      </w:r>
      <w:r w:rsidR="6689EF23" w:rsidRPr="00122330">
        <w:t xml:space="preserve"> šis papildu smagums neattaisno iespējamos ieguvumus, kas attiecībā uz cīņu pret noziedzīgi iegūtu līdzekļu legalizāciju un terorisma finansēšanu varētu rasties no šīs pēdējās sistēmas salīdzinājumā ar pirmo sistēmu</w:t>
      </w:r>
      <w:r w:rsidR="4B1AB53D">
        <w:t>.</w:t>
      </w:r>
      <w:r w:rsidR="00122330" w:rsidRPr="00122330">
        <w:rPr>
          <w:vertAlign w:val="superscript"/>
        </w:rPr>
        <w:footnoteReference w:id="11"/>
      </w:r>
    </w:p>
    <w:p w14:paraId="1D6B97F6" w14:textId="4D8A185B" w:rsidR="00122330" w:rsidRPr="00122330" w:rsidRDefault="304A9736" w:rsidP="00122330">
      <w:r>
        <w:t xml:space="preserve">Tādējādi ar </w:t>
      </w:r>
      <w:bookmarkStart w:id="1" w:name="_Hlk129278678"/>
      <w:r>
        <w:t xml:space="preserve">Spriedumu </w:t>
      </w:r>
      <w:bookmarkEnd w:id="1"/>
      <w:r>
        <w:t xml:space="preserve">tika atzīts, ka </w:t>
      </w:r>
      <w:bookmarkStart w:id="2" w:name="_Hlk121754951"/>
      <w:r>
        <w:t>AML V</w:t>
      </w:r>
      <w:r w:rsidR="6FB9C36D">
        <w:t> direktīvas</w:t>
      </w:r>
      <w:r>
        <w:t xml:space="preserve"> 1. panta 15. punkta c) apakšpunkts </w:t>
      </w:r>
      <w:bookmarkEnd w:id="2"/>
      <w:r>
        <w:t>nav spēkā, ciktāl ar to ir grozīts AML</w:t>
      </w:r>
      <w:r w:rsidR="6FB9C36D">
        <w:t> </w:t>
      </w:r>
      <w:r>
        <w:t>IV</w:t>
      </w:r>
      <w:r w:rsidR="6FB9C36D">
        <w:t> direktīvas</w:t>
      </w:r>
      <w:r>
        <w:t xml:space="preserve"> 30. panta 5. punkta pirmās daļas c) apakšpunkts, </w:t>
      </w:r>
      <w:bookmarkStart w:id="3" w:name="_Hlk121825244"/>
      <w:r w:rsidR="54DAB4E1">
        <w:t>attiecībā par ziņu par</w:t>
      </w:r>
      <w:r>
        <w:t xml:space="preserve"> PLG </w:t>
      </w:r>
      <w:r w:rsidR="54DAB4E1">
        <w:t>nepārtrauktu pieejamību</w:t>
      </w:r>
      <w:r>
        <w:t xml:space="preserve"> ikvienam sabiedrības loceklim</w:t>
      </w:r>
      <w:bookmarkEnd w:id="3"/>
      <w:r>
        <w:t>.</w:t>
      </w:r>
    </w:p>
    <w:p w14:paraId="3EC67711" w14:textId="60686031" w:rsidR="00122330" w:rsidRPr="00122330" w:rsidRDefault="54DAB4E1" w:rsidP="00D266B4">
      <w:r>
        <w:t>Tiesa</w:t>
      </w:r>
      <w:r w:rsidR="304A9736">
        <w:t xml:space="preserve"> Spriedumā </w:t>
      </w:r>
      <w:r>
        <w:t xml:space="preserve">papildus </w:t>
      </w:r>
      <w:r w:rsidR="32575C53">
        <w:t xml:space="preserve">norādījusi, ka AML V direktīvas </w:t>
      </w:r>
      <w:r w:rsidR="345ECFD9">
        <w:t xml:space="preserve">iepriekš minētā norma ir atzīstama par spēkā neesošu, pamatojoties uz apstākli, ka </w:t>
      </w:r>
      <w:r w:rsidR="304A9736">
        <w:t xml:space="preserve">absolūtās nepieciešamības izvērtējums par ikviena sabiedrības locekļa piekļuvi informācijai par PLG nav pietiekams attiecībā uz konkrēto nolūku, proti, lai novērstu noziedzīgi iegūtu līdzekļu legalizēšanu un terorisma finansēšanu, kā arī konstatējama nesamērīga iejaukšanās Hartas 7. un 8. pantā noteiktajās </w:t>
      </w:r>
      <w:proofErr w:type="spellStart"/>
      <w:r w:rsidR="304A9736">
        <w:t>pamattiesībās</w:t>
      </w:r>
      <w:proofErr w:type="spellEnd"/>
      <w:r w:rsidR="304A9736">
        <w:t xml:space="preserve">. </w:t>
      </w:r>
    </w:p>
    <w:p w14:paraId="5ED2AFED" w14:textId="359AFC89" w:rsidR="00122330" w:rsidRPr="00122330" w:rsidRDefault="304A9736" w:rsidP="00122330">
      <w:r>
        <w:t xml:space="preserve">Spriedumā veiktās atziņas attiecas arī uz Latvijas nacionālo regulējumu par informācijas pieejamību par PLG. Vienlaikus jāvērš uzmanība, ka </w:t>
      </w:r>
      <w:r w:rsidR="372790E9">
        <w:t xml:space="preserve">Sprieduma rezultātā </w:t>
      </w:r>
      <w:r>
        <w:t>par neatbilstošu Tiesas judikatūrai atzīstamas tikai tās nacionālās tiesību normas</w:t>
      </w:r>
      <w:r w:rsidR="372790E9">
        <w:t>,</w:t>
      </w:r>
      <w:r>
        <w:t xml:space="preserve"> ar kurām tikušas transponētas AML V</w:t>
      </w:r>
      <w:r w:rsidR="372790E9">
        <w:t> direktīvas</w:t>
      </w:r>
      <w:r>
        <w:t xml:space="preserve"> 1. panta 15. punkta c) apakšpunktā minētās prasības. Tāpat vēršama uzmanība uz to, ka Spriedums skar tikai informācijas vispārējo pieejamību</w:t>
      </w:r>
      <w:r w:rsidR="372790E9">
        <w:t>, neskarot</w:t>
      </w:r>
      <w:r>
        <w:t xml:space="preserve"> informācijas par PLG pieejamību </w:t>
      </w:r>
      <w:proofErr w:type="spellStart"/>
      <w:r>
        <w:t>tiesībsargājošajām</w:t>
      </w:r>
      <w:proofErr w:type="spellEnd"/>
      <w:r>
        <w:t xml:space="preserve"> iestādēm, kā arī likuma subjektiem, piemēram, </w:t>
      </w:r>
      <w:r w:rsidR="372790E9">
        <w:t>kredītiestādēm</w:t>
      </w:r>
      <w:r>
        <w:t>, kā arī neietekmē juridisko personu pienākumu atklāt savus PLG.</w:t>
      </w:r>
    </w:p>
    <w:p w14:paraId="53FD9330" w14:textId="31095D69" w:rsidR="00122330" w:rsidRDefault="304A9736" w:rsidP="00122330">
      <w:pPr>
        <w:pStyle w:val="Virsraksts1"/>
      </w:pPr>
      <w:r>
        <w:lastRenderedPageBreak/>
        <w:t>2. Par nacionālo regulējumu</w:t>
      </w:r>
    </w:p>
    <w:p w14:paraId="0E034229" w14:textId="77777777" w:rsidR="00823AA7" w:rsidRDefault="6A167B9F" w:rsidP="00122330">
      <w:r>
        <w:t>K</w:t>
      </w:r>
      <w:r w:rsidR="585F4E60">
        <w:t>ārtība</w:t>
      </w:r>
      <w:r>
        <w:t>,</w:t>
      </w:r>
      <w:r w:rsidR="585F4E60">
        <w:t xml:space="preserve"> kādā noskaidrojama informācija par PLG, tās iesniegšanas kārtība Reģistrā, kā arī publicēšanas kārtība noteikta </w:t>
      </w:r>
      <w:r w:rsidR="315E9E31">
        <w:t>Novēršanas likuma</w:t>
      </w:r>
      <w:r w:rsidR="585F4E60">
        <w:t xml:space="preserve"> 18.</w:t>
      </w:r>
      <w:r w:rsidR="585F4E60" w:rsidRPr="0F711F34">
        <w:rPr>
          <w:vertAlign w:val="superscript"/>
        </w:rPr>
        <w:t>1</w:t>
      </w:r>
      <w:r w:rsidR="585F4E60">
        <w:t xml:space="preserve"> – </w:t>
      </w:r>
      <w:bookmarkStart w:id="4" w:name="_Hlk125035770"/>
      <w:r w:rsidR="585F4E60">
        <w:t>18.</w:t>
      </w:r>
      <w:r w:rsidR="585F4E60" w:rsidRPr="0F711F34">
        <w:rPr>
          <w:vertAlign w:val="superscript"/>
        </w:rPr>
        <w:t>3</w:t>
      </w:r>
      <w:r w:rsidR="585F4E60">
        <w:t> pantā</w:t>
      </w:r>
      <w:bookmarkEnd w:id="4"/>
      <w:r w:rsidR="45072BEB">
        <w:t>. Šajās normās paredzēti pienākumi</w:t>
      </w:r>
      <w:r w:rsidR="627999A6">
        <w:t xml:space="preserve"> fiziskajām personām, kurām ir pamats uzskatīt, ka </w:t>
      </w:r>
      <w:r w:rsidR="4EB97026">
        <w:t xml:space="preserve">tās </w:t>
      </w:r>
      <w:r w:rsidR="627999A6">
        <w:t>ir kļuvušas par juridiskās personas PLG</w:t>
      </w:r>
      <w:r w:rsidR="2E670076">
        <w:t>, pienākumi juridiskajām personām attiecībā par to PLG noskaidrošanu</w:t>
      </w:r>
      <w:r w:rsidR="31B0CCCD">
        <w:t>, kā arī notei</w:t>
      </w:r>
      <w:r w:rsidR="4EB97026">
        <w:t xml:space="preserve">kumi par Reģistra rīcību, saņemot </w:t>
      </w:r>
      <w:r w:rsidR="1E7C2C8F">
        <w:t xml:space="preserve">attiecīgo pieteikumu. </w:t>
      </w:r>
      <w:r w:rsidR="32546A18">
        <w:t>Norādāms, ka no šī regulējuma izriet</w:t>
      </w:r>
      <w:r w:rsidR="1E7C2C8F">
        <w:t xml:space="preserve">, ka Reģistrs, pārbaudot tam iesniegto informāciju par PLG, izmanto riskos balstītu pieeju, lai nodrošinātu adekvātas, pareizas un aktuālas informācijas par PLG pieejamību centrālajā reģistrā. </w:t>
      </w:r>
    </w:p>
    <w:p w14:paraId="61E1D8F7" w14:textId="5F9BD7FC" w:rsidR="00150C34" w:rsidRDefault="03106A63" w:rsidP="00122330">
      <w:r>
        <w:t>Uzsverams, ka Spriedumā nav vērtēts</w:t>
      </w:r>
      <w:r w:rsidR="3F865EA7">
        <w:t xml:space="preserve"> </w:t>
      </w:r>
      <w:r w:rsidR="2D48E254">
        <w:t>Novēršanas likuma 18.</w:t>
      </w:r>
      <w:r w:rsidR="2D48E254" w:rsidRPr="0F711F34">
        <w:rPr>
          <w:vertAlign w:val="superscript"/>
        </w:rPr>
        <w:t>1</w:t>
      </w:r>
      <w:r w:rsidR="2D48E254">
        <w:t xml:space="preserve"> – 18.</w:t>
      </w:r>
      <w:r w:rsidR="2D48E254" w:rsidRPr="0F711F34">
        <w:rPr>
          <w:vertAlign w:val="superscript"/>
        </w:rPr>
        <w:t>3</w:t>
      </w:r>
      <w:r w:rsidR="2D48E254">
        <w:t> pantā</w:t>
      </w:r>
      <w:r>
        <w:t xml:space="preserve"> </w:t>
      </w:r>
      <w:r w:rsidR="2D48E254">
        <w:t xml:space="preserve">ietvertais regulējums, izņemot daļā par PLG publisku pieejamību, </w:t>
      </w:r>
      <w:r w:rsidR="3F865EA7">
        <w:t>un</w:t>
      </w:r>
      <w:r>
        <w:t xml:space="preserve"> līdz ar to </w:t>
      </w:r>
      <w:r w:rsidR="5261A5BE">
        <w:t xml:space="preserve">tas </w:t>
      </w:r>
      <w:r>
        <w:t>neietekmē juridisko personu pienākumu atklāt savus PLG un pienākumu minēto informāciju iesniegt reģistrā.</w:t>
      </w:r>
    </w:p>
    <w:p w14:paraId="63BABF44" w14:textId="4A970DE1" w:rsidR="00F74302" w:rsidRDefault="58C91764" w:rsidP="1AB0828D">
      <w:r>
        <w:t>Novēršanas likumā</w:t>
      </w:r>
      <w:r w:rsidR="00514ED3">
        <w:rPr>
          <w:rStyle w:val="Vresatsauce"/>
        </w:rPr>
        <w:footnoteReference w:id="12"/>
      </w:r>
      <w:r>
        <w:t xml:space="preserve"> </w:t>
      </w:r>
      <w:r w:rsidR="22479474">
        <w:t>cita starp</w:t>
      </w:r>
      <w:r>
        <w:t xml:space="preserve"> </w:t>
      </w:r>
      <w:r w:rsidR="0688A781">
        <w:t>noteikti leģitīmie mērķi</w:t>
      </w:r>
      <w:r w:rsidR="2F6AA196">
        <w:t xml:space="preserve"> ikvienas personas </w:t>
      </w:r>
      <w:r w:rsidR="47499EDA">
        <w:t>tiesīb</w:t>
      </w:r>
      <w:r w:rsidR="0688A781">
        <w:t>ām</w:t>
      </w:r>
      <w:r w:rsidR="47499EDA">
        <w:t xml:space="preserve"> saņemt ziņas par PLG.</w:t>
      </w:r>
      <w:r w:rsidR="27AB7AFD">
        <w:t xml:space="preserve"> </w:t>
      </w:r>
      <w:r w:rsidR="75AEE6EB">
        <w:t>Būtiski ņemt vērā</w:t>
      </w:r>
      <w:r w:rsidR="3CD0D464">
        <w:t xml:space="preserve"> Spriedumā ietvertos secinājumus, ka </w:t>
      </w:r>
      <w:r w:rsidR="67157C0C">
        <w:t xml:space="preserve">sabiedrības kontroles nodrošināšana </w:t>
      </w:r>
      <w:r w:rsidR="75AEE6EB">
        <w:t>nav samērīgs mērķis Hartas 7. un 8. pant</w:t>
      </w:r>
      <w:r w:rsidR="0E6A00E8">
        <w:t xml:space="preserve">ā garantēto </w:t>
      </w:r>
      <w:proofErr w:type="spellStart"/>
      <w:r w:rsidR="0E6A00E8">
        <w:t>pamattiesību</w:t>
      </w:r>
      <w:proofErr w:type="spellEnd"/>
      <w:r w:rsidR="75AEE6EB">
        <w:t xml:space="preserve"> ierobežošanai</w:t>
      </w:r>
      <w:r w:rsidR="39B811C4">
        <w:t>, jo tas ir valsts iestāžu vai citu īpaši noteiktu subjektu pienākums</w:t>
      </w:r>
      <w:r w:rsidR="75AEE6EB">
        <w:t xml:space="preserve">. </w:t>
      </w:r>
      <w:r w:rsidR="142C8A3C">
        <w:t xml:space="preserve">Tādējādi </w:t>
      </w:r>
      <w:r w:rsidR="0E6A00E8">
        <w:t xml:space="preserve">šajā </w:t>
      </w:r>
      <w:r w:rsidR="142C8A3C">
        <w:t xml:space="preserve">ziņojumā turpmākā uzmanība pievērsta </w:t>
      </w:r>
      <w:r w:rsidR="6BFFD079">
        <w:t xml:space="preserve">konkrētam </w:t>
      </w:r>
      <w:r w:rsidR="2EAC17CF">
        <w:t>Novēršanas likuma regulējum</w:t>
      </w:r>
      <w:r w:rsidR="00636A2B">
        <w:t>ā</w:t>
      </w:r>
      <w:r w:rsidR="2EAC17CF">
        <w:t xml:space="preserve"> </w:t>
      </w:r>
      <w:r w:rsidR="00636A2B">
        <w:t>ietv</w:t>
      </w:r>
      <w:r w:rsidR="00134FC2">
        <w:t>e</w:t>
      </w:r>
      <w:r w:rsidR="00636A2B">
        <w:t xml:space="preserve">rtajam </w:t>
      </w:r>
      <w:r w:rsidR="2EAC17CF">
        <w:t>mērķim</w:t>
      </w:r>
      <w:r w:rsidR="09B586AA">
        <w:t xml:space="preserve">, kas vērsts uz </w:t>
      </w:r>
      <w:r w:rsidR="1B69DCF8">
        <w:t xml:space="preserve">drošas </w:t>
      </w:r>
      <w:r w:rsidR="09B586AA">
        <w:t>uzņēmējdarbības vides</w:t>
      </w:r>
      <w:r w:rsidR="1B69DCF8">
        <w:t xml:space="preserve"> nodrošināšanu</w:t>
      </w:r>
      <w:r w:rsidR="26D9220B">
        <w:t>,-</w:t>
      </w:r>
      <w:r w:rsidR="0E6A00E8">
        <w:t xml:space="preserve"> </w:t>
      </w:r>
      <w:r>
        <w:t>veicināt uzticēšanos juridisko personu un ārvalsts subjektu veiktajiem darījumiem un finanšu sistēmai, un uzņēmējdarbības videi kopumā</w:t>
      </w:r>
      <w:r w:rsidR="0422C2CD">
        <w:t>, aizsargāt citu personu tiesības un nodrošināt informācijas pieejamību par darījumu partneru — juridisko personu un ārvalsts subjektu — PLG</w:t>
      </w:r>
      <w:r w:rsidR="00623785">
        <w:t>.</w:t>
      </w:r>
    </w:p>
    <w:p w14:paraId="3D9314A5" w14:textId="11703AD3" w:rsidR="00470A89" w:rsidRDefault="00470A89" w:rsidP="00F74302">
      <w:r w:rsidRPr="00470A89">
        <w:t xml:space="preserve">Vienlaikus norādāms, ka atbilstoši Novēršanas likuma regulējumam, informācija par PLG, kurš informācijas izsniegšanas brīdī nav sasniedzis 18 gadu vecumu vai kuram ir ierobežota rīcībspēja, </w:t>
      </w:r>
      <w:r w:rsidR="005A5B87">
        <w:t xml:space="preserve">ir ierobežotas pieejamības informācija un </w:t>
      </w:r>
      <w:r w:rsidRPr="00470A89">
        <w:t>nav pieejama ikvienam.</w:t>
      </w:r>
    </w:p>
    <w:p w14:paraId="203F0592" w14:textId="07A850C1" w:rsidR="00F12900" w:rsidRDefault="7838C0A4" w:rsidP="00F12900">
      <w:pPr>
        <w:rPr>
          <w:rFonts w:eastAsia="Calibri" w:cs="Times New Roman"/>
        </w:rPr>
      </w:pPr>
      <w:r w:rsidRPr="0F711F34">
        <w:rPr>
          <w:rFonts w:eastAsia="Calibri" w:cs="Times New Roman"/>
        </w:rPr>
        <w:t>Tāpat jāuzsver, ka p</w:t>
      </w:r>
      <w:r w:rsidR="3004F8EC" w:rsidRPr="0F711F34">
        <w:rPr>
          <w:rFonts w:eastAsia="Calibri" w:cs="Times New Roman"/>
        </w:rPr>
        <w:t xml:space="preserve">ubliska piekļuve informācijai par PLG ir nepieciešama, lai </w:t>
      </w:r>
      <w:r w:rsidR="00BD586B">
        <w:rPr>
          <w:rFonts w:eastAsia="Calibri" w:cs="Times New Roman"/>
        </w:rPr>
        <w:t>ikviena persona varētu ievērot Sankciju likuma prasības</w:t>
      </w:r>
      <w:r w:rsidR="2F324CC6" w:rsidRPr="0F711F34">
        <w:rPr>
          <w:rFonts w:eastAsia="Calibri" w:cs="Times New Roman"/>
        </w:rPr>
        <w:t>. Saskaņā ar Sankciju likuma 2.</w:t>
      </w:r>
      <w:r w:rsidR="00700905">
        <w:rPr>
          <w:rFonts w:eastAsia="Calibri" w:cs="Times New Roman"/>
        </w:rPr>
        <w:t> </w:t>
      </w:r>
      <w:r w:rsidR="2F324CC6" w:rsidRPr="0F711F34">
        <w:rPr>
          <w:rFonts w:eastAsia="Calibri" w:cs="Times New Roman"/>
        </w:rPr>
        <w:t xml:space="preserve">panta otro daļu visām personām ir pienākums ievērot un izpildīt starptautiskās un nacionālās sankcijas. </w:t>
      </w:r>
      <w:r w:rsidR="00BD586B">
        <w:rPr>
          <w:rFonts w:eastAsia="Calibri" w:cs="Times New Roman"/>
        </w:rPr>
        <w:t>A</w:t>
      </w:r>
      <w:r w:rsidR="29D87AAA" w:rsidRPr="0F711F34">
        <w:rPr>
          <w:rFonts w:eastAsia="Calibri" w:cs="Times New Roman"/>
        </w:rPr>
        <w:t>tsevišķos gadījumos, piemēram, attiecībā uz publisko iepirkumu procedūrām, kā arī publiskās un privātās partnerības procedūrām</w:t>
      </w:r>
      <w:r w:rsidR="28D746C4" w:rsidRPr="0F711F34">
        <w:rPr>
          <w:rFonts w:eastAsia="Calibri" w:cs="Times New Roman"/>
        </w:rPr>
        <w:t xml:space="preserve">, likumdevējs ir </w:t>
      </w:r>
      <w:r w:rsidR="35A4738C" w:rsidRPr="0F711F34">
        <w:rPr>
          <w:rFonts w:eastAsia="Calibri" w:cs="Times New Roman"/>
        </w:rPr>
        <w:t xml:space="preserve">paredzējis pienākumu pārliecināties cita starpā par pretendenta </w:t>
      </w:r>
      <w:r w:rsidR="6DE2C259" w:rsidRPr="0F711F34">
        <w:rPr>
          <w:rFonts w:eastAsia="Calibri" w:cs="Times New Roman"/>
        </w:rPr>
        <w:t>PLG</w:t>
      </w:r>
      <w:r w:rsidR="2DA42A3D" w:rsidRPr="0F711F34">
        <w:rPr>
          <w:rFonts w:eastAsia="Calibri" w:cs="Times New Roman"/>
        </w:rPr>
        <w:t>.</w:t>
      </w:r>
      <w:r w:rsidR="3004F8EC" w:rsidRPr="0F711F34">
        <w:rPr>
          <w:rFonts w:eastAsia="Calibri" w:cs="Times New Roman"/>
        </w:rPr>
        <w:t xml:space="preserve"> </w:t>
      </w:r>
    </w:p>
    <w:p w14:paraId="39620A22" w14:textId="5F2EC338" w:rsidR="000376B7" w:rsidRDefault="3004F8EC" w:rsidP="00A03943">
      <w:pPr>
        <w:rPr>
          <w:rFonts w:eastAsia="Calibri" w:cs="Times New Roman"/>
        </w:rPr>
      </w:pPr>
      <w:r w:rsidRPr="0F711F34">
        <w:rPr>
          <w:rFonts w:eastAsia="Calibri" w:cs="Times New Roman"/>
        </w:rPr>
        <w:t>Atšķirībā no noziedzīgi iegūtu līdzekļu legalizācijas un terorisma un proliferācijas finansēšanas novēršanas, kas atbilstoši Spriedumā paustajām atziņām ir primāri kompetento institūciju uzdevums</w:t>
      </w:r>
      <w:r w:rsidR="11ACAB1A" w:rsidRPr="0F711F34">
        <w:rPr>
          <w:rFonts w:eastAsia="Calibri" w:cs="Times New Roman"/>
        </w:rPr>
        <w:t>,</w:t>
      </w:r>
      <w:r w:rsidR="006A0E4D" w:rsidRPr="0F711F34">
        <w:rPr>
          <w:rFonts w:eastAsia="Calibri" w:cs="Times New Roman"/>
          <w:vertAlign w:val="superscript"/>
        </w:rPr>
        <w:footnoteReference w:id="13"/>
      </w:r>
      <w:r w:rsidRPr="0F711F34">
        <w:rPr>
          <w:rFonts w:eastAsia="Calibri" w:cs="Times New Roman"/>
        </w:rPr>
        <w:t xml:space="preserve"> visām personām ir pienākums ievērot un izpildīt starptautiskās un nacionālās sankcijas</w:t>
      </w:r>
      <w:r w:rsidR="11ACAB1A" w:rsidRPr="0F711F34">
        <w:rPr>
          <w:rFonts w:eastAsia="Calibri" w:cs="Times New Roman"/>
        </w:rPr>
        <w:t>.</w:t>
      </w:r>
      <w:r w:rsidR="006A0E4D" w:rsidRPr="0F711F34">
        <w:rPr>
          <w:rFonts w:eastAsia="Calibri" w:cs="Times New Roman"/>
          <w:vertAlign w:val="superscript"/>
        </w:rPr>
        <w:footnoteReference w:id="14"/>
      </w:r>
      <w:r w:rsidRPr="0F711F34">
        <w:rPr>
          <w:rFonts w:eastAsia="Calibri" w:cs="Times New Roman"/>
        </w:rPr>
        <w:t xml:space="preserve"> Turklāt Krimināllikuma 84. pantā </w:t>
      </w:r>
      <w:r w:rsidR="005A5B87">
        <w:rPr>
          <w:rFonts w:eastAsia="Calibri" w:cs="Times New Roman"/>
        </w:rPr>
        <w:t>ir</w:t>
      </w:r>
      <w:r w:rsidRPr="0F711F34">
        <w:rPr>
          <w:rFonts w:eastAsia="Calibri" w:cs="Times New Roman"/>
        </w:rPr>
        <w:t xml:space="preserve"> paredzēta kriminālatbildība par Apvienoto Nāciju Organizācijas, Eiropas Savienības un citu starptautisko organizāciju noteikto sankciju vai par Latvijas Republikas nacionālo sankciju pārkāpšanu. </w:t>
      </w:r>
    </w:p>
    <w:p w14:paraId="6CC76275" w14:textId="0CD1E14A" w:rsidR="006A0E4D" w:rsidRPr="006A0E4D" w:rsidRDefault="3004F8EC" w:rsidP="0F711F34">
      <w:pPr>
        <w:rPr>
          <w:rFonts w:eastAsia="Calibri" w:cs="Times New Roman"/>
        </w:rPr>
      </w:pPr>
      <w:r w:rsidRPr="0F711F34">
        <w:rPr>
          <w:rFonts w:eastAsia="Calibri" w:cs="Times New Roman"/>
        </w:rPr>
        <w:t>Līdz ar to ikviena sabiedrības locekļa piekļuve</w:t>
      </w:r>
      <w:r w:rsidR="350EDD8C" w:rsidRPr="0F711F34">
        <w:rPr>
          <w:rFonts w:eastAsia="Calibri" w:cs="Times New Roman"/>
        </w:rPr>
        <w:t>i</w:t>
      </w:r>
      <w:r w:rsidRPr="0F711F34">
        <w:rPr>
          <w:rFonts w:eastAsia="Calibri" w:cs="Times New Roman"/>
        </w:rPr>
        <w:t xml:space="preserve"> informācijai par PLG ir būtiska nozīme, lai nodrošinātu</w:t>
      </w:r>
      <w:r w:rsidR="12677FF1" w:rsidRPr="0F711F34">
        <w:rPr>
          <w:rFonts w:eastAsia="Calibri" w:cs="Times New Roman"/>
        </w:rPr>
        <w:t>, ka</w:t>
      </w:r>
      <w:r w:rsidRPr="0F711F34">
        <w:rPr>
          <w:rFonts w:eastAsia="Calibri" w:cs="Times New Roman"/>
        </w:rPr>
        <w:t xml:space="preserve"> </w:t>
      </w:r>
      <w:r w:rsidR="12677FF1" w:rsidRPr="0F711F34">
        <w:rPr>
          <w:rFonts w:eastAsia="Calibri" w:cs="Times New Roman"/>
        </w:rPr>
        <w:t>tiek ievērotas sankcijas</w:t>
      </w:r>
      <w:r w:rsidR="00E2248B">
        <w:rPr>
          <w:rFonts w:eastAsia="Calibri" w:cs="Times New Roman"/>
        </w:rPr>
        <w:t xml:space="preserve">. Ņemot vērā, ka sankcijas ir </w:t>
      </w:r>
      <w:r w:rsidR="00BD586B">
        <w:rPr>
          <w:rFonts w:eastAsia="Calibri" w:cs="Times New Roman"/>
        </w:rPr>
        <w:t>ārpolitisks instruments</w:t>
      </w:r>
      <w:r w:rsidR="00895E85">
        <w:rPr>
          <w:rFonts w:eastAsia="Calibri" w:cs="Times New Roman"/>
        </w:rPr>
        <w:t>, ko valstis un starptautiskās organizācijas izmanto, lai vērstos pret starptautiskā miera, drošības un tiesiskuma apdraudējumu</w:t>
      </w:r>
      <w:r w:rsidR="00E2248B">
        <w:rPr>
          <w:rFonts w:eastAsia="Calibri" w:cs="Times New Roman"/>
        </w:rPr>
        <w:t>, secināms, ka</w:t>
      </w:r>
      <w:r w:rsidR="00895E85">
        <w:rPr>
          <w:rFonts w:eastAsia="Calibri" w:cs="Times New Roman"/>
        </w:rPr>
        <w:t xml:space="preserve"> Sankciju likuma prasību izpilde un Latvijai saistošo </w:t>
      </w:r>
      <w:r w:rsidR="00895E85">
        <w:rPr>
          <w:rFonts w:eastAsia="Calibri" w:cs="Times New Roman"/>
        </w:rPr>
        <w:lastRenderedPageBreak/>
        <w:t xml:space="preserve">nacionālo un starptautisko sankciju ievērošana ir </w:t>
      </w:r>
      <w:r w:rsidR="00E2248B">
        <w:rPr>
          <w:rFonts w:eastAsia="Calibri" w:cs="Times New Roman"/>
        </w:rPr>
        <w:t>nepieciešama</w:t>
      </w:r>
      <w:r w:rsidR="00F73CB1">
        <w:rPr>
          <w:rFonts w:eastAsia="Calibri" w:cs="Times New Roman"/>
        </w:rPr>
        <w:t>, lai novērstu draudus arī Latvijas drošīb</w:t>
      </w:r>
      <w:r w:rsidR="00F6163D">
        <w:rPr>
          <w:rFonts w:eastAsia="Calibri" w:cs="Times New Roman"/>
        </w:rPr>
        <w:t>a</w:t>
      </w:r>
      <w:r w:rsidR="00F73CB1">
        <w:rPr>
          <w:rFonts w:eastAsia="Calibri" w:cs="Times New Roman"/>
        </w:rPr>
        <w:t>i.</w:t>
      </w:r>
      <w:r w:rsidR="00F6163D">
        <w:rPr>
          <w:rFonts w:eastAsia="Calibri" w:cs="Times New Roman"/>
        </w:rPr>
        <w:t xml:space="preserve"> </w:t>
      </w:r>
    </w:p>
    <w:p w14:paraId="1064535C" w14:textId="73DEB966" w:rsidR="00740E73" w:rsidRDefault="00740E73" w:rsidP="00122330"/>
    <w:p w14:paraId="427B7B1C" w14:textId="23F8A6B5" w:rsidR="00740E73" w:rsidRDefault="18C8DD5D" w:rsidP="00740E73">
      <w:pPr>
        <w:pStyle w:val="Virsraksts1"/>
      </w:pPr>
      <w:r>
        <w:t>3. Par nacionālā regulējuma samērīgumu un tiesiskumu saistībā ar Spriedumā norādīto</w:t>
      </w:r>
    </w:p>
    <w:p w14:paraId="4671BC3C" w14:textId="2D113A68" w:rsidR="00740E73" w:rsidRDefault="18C8DD5D" w:rsidP="00122330">
      <w:r>
        <w:t>Kā norādīts iepriekš, PLG datu pieejamības nepieciešamīb</w:t>
      </w:r>
      <w:r w:rsidR="00F73CB1">
        <w:t>a</w:t>
      </w:r>
      <w:r>
        <w:t xml:space="preserve"> </w:t>
      </w:r>
      <w:r w:rsidR="00F12900">
        <w:t xml:space="preserve">Latvijā </w:t>
      </w:r>
      <w:r w:rsidR="00F73CB1">
        <w:t xml:space="preserve">izriet no </w:t>
      </w:r>
      <w:r w:rsidR="71A5701C">
        <w:t>Novēršanas likum</w:t>
      </w:r>
      <w:r w:rsidR="00F73CB1">
        <w:t>a</w:t>
      </w:r>
      <w:r w:rsidR="71A5701C">
        <w:t xml:space="preserve"> un </w:t>
      </w:r>
      <w:r>
        <w:t>Sankciju likum</w:t>
      </w:r>
      <w:r w:rsidR="00F73CB1">
        <w:t>a</w:t>
      </w:r>
      <w:r>
        <w:t xml:space="preserve">. </w:t>
      </w:r>
    </w:p>
    <w:p w14:paraId="003C6EA2" w14:textId="08FA6800" w:rsidR="00740E73" w:rsidRDefault="00740E73" w:rsidP="00740E73">
      <w:r>
        <w:t xml:space="preserve">Hartas 7. pantā nostiprinātajām tiesībām uz </w:t>
      </w:r>
      <w:r w:rsidRPr="00740E73">
        <w:t>privātās un ģimenes dzīves, dzīvokļa un saziņas neaizskaramību</w:t>
      </w:r>
      <w:r>
        <w:t xml:space="preserve"> līdzīga norma ir</w:t>
      </w:r>
      <w:r w:rsidRPr="00740E73">
        <w:t xml:space="preserve"> Satversmes 96. pant</w:t>
      </w:r>
      <w:r>
        <w:t>ā. Tā</w:t>
      </w:r>
      <w:r w:rsidRPr="00740E73">
        <w:t xml:space="preserve"> aizsargā ikviena tiesības uz privātās dzīves, mājokļa un korespondences neaizskaramību</w:t>
      </w:r>
      <w:r>
        <w:t xml:space="preserve">, kas ietver arī </w:t>
      </w:r>
      <w:r w:rsidRPr="00740E73">
        <w:t xml:space="preserve">fiziskās personas datu aizsardzību. </w:t>
      </w:r>
      <w:r w:rsidR="00F73CB1">
        <w:t>Saturā līdzīgas tiesības ietvertas arī Konvencijas 8.</w:t>
      </w:r>
      <w:r w:rsidR="005D026A">
        <w:t> </w:t>
      </w:r>
      <w:r w:rsidR="00F73CB1">
        <w:t>pantā</w:t>
      </w:r>
      <w:r w:rsidR="00D86C12">
        <w:t xml:space="preserve"> un Pakta 17.</w:t>
      </w:r>
      <w:r w:rsidR="005D026A">
        <w:t> </w:t>
      </w:r>
      <w:r w:rsidR="00D86C12">
        <w:t>pantā</w:t>
      </w:r>
      <w:r w:rsidR="00F73CB1">
        <w:t>.</w:t>
      </w:r>
      <w:r w:rsidR="00AB7372">
        <w:t xml:space="preserve"> </w:t>
      </w:r>
    </w:p>
    <w:p w14:paraId="2DE80B4F" w14:textId="09746EAB" w:rsidR="00740E73" w:rsidRPr="00740E73" w:rsidRDefault="18C8DD5D" w:rsidP="00740E73">
      <w:r>
        <w:t xml:space="preserve">Tomēr nedz Hartas 7. pantā, </w:t>
      </w:r>
      <w:r w:rsidR="00F73CB1">
        <w:t>nedz Konvencijas 8.</w:t>
      </w:r>
      <w:r w:rsidR="005D026A">
        <w:t> </w:t>
      </w:r>
      <w:r w:rsidR="00F73CB1">
        <w:t>pantā</w:t>
      </w:r>
      <w:r w:rsidR="00D86C12">
        <w:t xml:space="preserve"> vai Pakta 17.</w:t>
      </w:r>
      <w:r w:rsidR="005D026A">
        <w:t> </w:t>
      </w:r>
      <w:r>
        <w:t xml:space="preserve">pantā, nedz Satversmes 96. pantā noteiktās tiesības nav absolūtas. Tās var ierobežot, ja ierobežojums ir noteikts ar likumu, tas kalpo leģitīmam mērķim un ir nepieciešams demokrātiskā sabiedrībā. Hartas 52. panta 1. punktā ir prasīts ne tikai tas, ka visiem </w:t>
      </w:r>
      <w:proofErr w:type="spellStart"/>
      <w:r>
        <w:t>pamattiesību</w:t>
      </w:r>
      <w:proofErr w:type="spellEnd"/>
      <w:r>
        <w:t xml:space="preserve"> ierobežojumiem ir jābūt “noteiktiem tiesību aktos”, bet arī tas, ka tie ir jāīsteno, stingri ievērojot samērīguma principu. (..) Proti, tajā samērīgums nav noteikts kā vispārējs Eiropas Savienības princips, bet daudz konkrētāk, kā jebkura </w:t>
      </w:r>
      <w:proofErr w:type="spellStart"/>
      <w:r>
        <w:t>pamattiesību</w:t>
      </w:r>
      <w:proofErr w:type="spellEnd"/>
      <w:r>
        <w:t xml:space="preserve"> ierobežojuma būtisks priekšnosacījums.</w:t>
      </w:r>
    </w:p>
    <w:p w14:paraId="2C07E423" w14:textId="52C63F1B" w:rsidR="00740E73" w:rsidRPr="00740E73" w:rsidRDefault="18C8DD5D" w:rsidP="00740E73">
      <w:r>
        <w:t>Latvijas Republikas Satversmes tiesa</w:t>
      </w:r>
      <w:r w:rsidR="00D86C12">
        <w:t xml:space="preserve"> atzinusi, ka</w:t>
      </w:r>
      <w:r w:rsidR="72519DD8">
        <w:t>,</w:t>
      </w:r>
      <w:r w:rsidR="00727154">
        <w:rPr>
          <w:rStyle w:val="Vresatsauce"/>
        </w:rPr>
        <w:footnoteReference w:id="15"/>
      </w:r>
      <w:r w:rsidR="72519DD8">
        <w:t xml:space="preserve"> l</w:t>
      </w:r>
      <w:r w:rsidRPr="00740E73">
        <w:t xml:space="preserve">ai izvērtētu personas </w:t>
      </w:r>
      <w:proofErr w:type="spellStart"/>
      <w:r w:rsidRPr="00740E73">
        <w:t>pamattiesību</w:t>
      </w:r>
      <w:proofErr w:type="spellEnd"/>
      <w:r w:rsidRPr="00740E73">
        <w:t xml:space="preserve"> ierobežojuma samērīgumu, jānoskaidro: 1) vai izraudzītie līdzekļi ir piemēroti leģitīmā mērķa sasniegšanai; 2) vai nepastāv personu </w:t>
      </w:r>
      <w:proofErr w:type="spellStart"/>
      <w:r w:rsidRPr="00740E73">
        <w:t>pamattiesības</w:t>
      </w:r>
      <w:proofErr w:type="spellEnd"/>
      <w:r w:rsidRPr="00740E73">
        <w:t xml:space="preserve"> mazāk ierobežojoši (saudzējošāki) līdzekļi; 3) vai labums, ko iegūs sabiedrība, ir lielāks par indivīda tiesībām un likumiskajām interesēm nodarīto zaudējumu. </w:t>
      </w:r>
      <w:r w:rsidR="00D86C12">
        <w:t>Arī Eiropas Cilvēktiesību tiesa un ANO Cilvēktiesību komiteja savā praksē piemēro līdzīgus kritērijus.</w:t>
      </w:r>
      <w:r w:rsidR="00D86C12">
        <w:rPr>
          <w:rStyle w:val="Vresatsauce"/>
        </w:rPr>
        <w:footnoteReference w:id="16"/>
      </w:r>
    </w:p>
    <w:p w14:paraId="1AB4E929" w14:textId="3C6AAA9C" w:rsidR="00740E73" w:rsidRDefault="00740E73" w:rsidP="00122330">
      <w:r>
        <w:t>Tā kā iepriekš aplūkotie regulējumi ir atšķirīgi, tai skaitā ar atšķirīgiem mērķiem, tad to samērīguma un tiesiskuma izvērtēšana iepretim Hartas 7. un 8. punktā noteiktajam ir veicama atsevišķi.</w:t>
      </w:r>
      <w:r w:rsidR="00AB7372">
        <w:t xml:space="preserve"> Ņemot vērā, ka Konvencija </w:t>
      </w:r>
      <w:r w:rsidR="00D86C12">
        <w:t xml:space="preserve">un Pakts </w:t>
      </w:r>
      <w:r w:rsidR="00AB7372">
        <w:t xml:space="preserve">iepretim Hartai un Satversmei ir uzskatāma par minimālo standartu, tad turpinājumā sniegtais izvērtējums ir attiecināms arī uz regulējuma atbilstību Konvencijas </w:t>
      </w:r>
      <w:r w:rsidR="00D86C12">
        <w:t xml:space="preserve">un Pakta </w:t>
      </w:r>
      <w:r w:rsidR="00AB7372">
        <w:t>prasībām.</w:t>
      </w:r>
    </w:p>
    <w:p w14:paraId="1D1BEB4A" w14:textId="4E39399D" w:rsidR="00740E73" w:rsidRDefault="00740E73" w:rsidP="00122330"/>
    <w:p w14:paraId="04642610" w14:textId="032966EE" w:rsidR="00740E73" w:rsidRDefault="18C8DD5D" w:rsidP="00A03943">
      <w:pPr>
        <w:pStyle w:val="Apakvirsraksts"/>
        <w:ind w:firstLine="0"/>
      </w:pPr>
      <w:r>
        <w:t xml:space="preserve">3.1. Par </w:t>
      </w:r>
      <w:r w:rsidR="057FCE9D">
        <w:t>Novēršanas likum</w:t>
      </w:r>
      <w:r w:rsidR="00AD0622">
        <w:t>ā ietvertā mērķa</w:t>
      </w:r>
      <w:r>
        <w:t xml:space="preserve"> </w:t>
      </w:r>
      <w:r w:rsidR="72519DD8">
        <w:t>samērīguma izvērtējumu</w:t>
      </w:r>
    </w:p>
    <w:p w14:paraId="63AAC96C" w14:textId="4F7F624F" w:rsidR="00A00C8A" w:rsidRDefault="13D38A82" w:rsidP="00A00C8A">
      <w:r>
        <w:t xml:space="preserve">Kā norādīts iepriekš, </w:t>
      </w:r>
      <w:r w:rsidR="69311BEC">
        <w:t>Spr</w:t>
      </w:r>
      <w:r w:rsidR="2570134B">
        <w:t xml:space="preserve">ieduma ievērošanas kontekstā būtiska uzmanība </w:t>
      </w:r>
      <w:r w:rsidR="69311BEC">
        <w:t>pievēr</w:t>
      </w:r>
      <w:r w:rsidR="2570134B">
        <w:t>šam</w:t>
      </w:r>
      <w:r w:rsidR="69311BEC">
        <w:t>a konkrētam Novēršanas likuma regulējum</w:t>
      </w:r>
      <w:r w:rsidR="00DC361F">
        <w:t xml:space="preserve">ā ietvertajam </w:t>
      </w:r>
      <w:r w:rsidR="001E3EDE">
        <w:t xml:space="preserve">informācijas par PLG pieejamības </w:t>
      </w:r>
      <w:r w:rsidR="69311BEC">
        <w:t>mērķim</w:t>
      </w:r>
      <w:r w:rsidR="0AABE156">
        <w:t>. Proti, mērķim,</w:t>
      </w:r>
      <w:r w:rsidR="69311BEC">
        <w:t xml:space="preserve"> kas vērsts uz drošas uzņēmējdarbības vides nodrošināšanu,- </w:t>
      </w:r>
      <w:r w:rsidR="3EAFE8ED" w:rsidRPr="0065448B">
        <w:t>veicināt uzticēšanos juridisko personu un ārvalsts subjektu veiktajiem darījumiem un finanšu sistēmai, un uzņēmējdarbības videi kopumā</w:t>
      </w:r>
      <w:r w:rsidR="69311BEC" w:rsidRPr="0065448B">
        <w:t>.</w:t>
      </w:r>
    </w:p>
    <w:p w14:paraId="333286F3" w14:textId="13315495" w:rsidR="00727154" w:rsidRPr="00727154" w:rsidRDefault="72519DD8" w:rsidP="00A03943">
      <w:pPr>
        <w:pStyle w:val="Apakvirsraksts"/>
        <w:ind w:firstLine="0"/>
      </w:pPr>
      <w:r>
        <w:lastRenderedPageBreak/>
        <w:t>Vai izraudzītie līdzekļi ir piemēroti leģitīmā mērķa sasniegšanai?</w:t>
      </w:r>
    </w:p>
    <w:p w14:paraId="3EAF8BA9" w14:textId="0399A7DD" w:rsidR="00661830" w:rsidRDefault="7A56BC84" w:rsidP="00F067E9">
      <w:r>
        <w:t xml:space="preserve">Uzsverams, ka naudas atmazgāšana, korupcija un krāpšana bieži vien ir saistīta ar sarežģītām un nepārskatāmām korporatīvo īpašumtiesību struktūrām, un to nolūks ir trešajām personām sarežģīt naudas plūsmu izsekošanu, slēpt personas, kas gūst labumu no šādas struktūras, kā arī slēpt patieso darījuma vai juridiskās personas izveidošanas mērķi. </w:t>
      </w:r>
    </w:p>
    <w:p w14:paraId="2A75BDFB" w14:textId="24DDF55A" w:rsidR="00F067E9" w:rsidRPr="00F067E9" w:rsidRDefault="7A56BC84" w:rsidP="00F067E9">
      <w:r>
        <w:t>No vienas puses, PLG identifikācijas mērķis ir pārliecināties, ka persona zina, ar ko patiesībā tiek nodibinātas darījuma attiecības, tādā veidā mazinot biznesa riskus, savukārt, no otras puses, tas ir līdzeklis, lai veicinātu uzticēšanos juridisko personu veiktajiem darījumiem, finanšu sistēmai un uzņēmējdarbības videi kopumā, tādējādi aizsargājot citu personu tiesības. Tādēļ patiesas informācijas par PLG, kuru Reģistrs pirms reģistrācijas ir pārbaudījis, ir būtiska nozīme atklātas biznesa vides nodrošināšanai.</w:t>
      </w:r>
    </w:p>
    <w:p w14:paraId="3AFF91CA" w14:textId="462DC7EB" w:rsidR="00F067E9" w:rsidRDefault="7A56BC84" w:rsidP="00F067E9">
      <w:r>
        <w:t xml:space="preserve">PLG reģistra publiska pieejamība nodrošina, ka ne vien kompetentās iestādes un </w:t>
      </w:r>
      <w:r w:rsidR="7149D253">
        <w:t xml:space="preserve">Novēršanas likuma </w:t>
      </w:r>
      <w:r>
        <w:t xml:space="preserve">subjekti, bet arī ikviena persona var uzzināt informāciju par juridiskām personām, kuras nav norādījušas vai ir nepareizi norādījušas šo juridisko personu PLG. </w:t>
      </w:r>
      <w:r w:rsidR="00ED2F4F">
        <w:t>`</w:t>
      </w:r>
      <w:r w:rsidR="00ED2F4F">
        <w:tab/>
      </w:r>
      <w:r>
        <w:t xml:space="preserve">Zināmos gadījumos tas pats par sevi atturēs no darījumu attiecībām ar šādām juridiskām personām un attiecīgi motivēs juridiskās personas izpildīt PLG noskaidrošanas un atklāšanas pienākumu. Līdz ar to informācijas par PLG atklāšana ir piemērota, lai sasniegtu leģitīmo mērķi </w:t>
      </w:r>
      <w:r w:rsidR="002B0F7F">
        <w:t>– uzticēšanās radīšanai uzņēmējdarbības videi,</w:t>
      </w:r>
      <w:r>
        <w:t xml:space="preserve"> </w:t>
      </w:r>
      <w:r w:rsidRPr="0065448B">
        <w:t>aizsargā</w:t>
      </w:r>
      <w:r w:rsidR="002B0F7F" w:rsidRPr="0065448B">
        <w:t>jo</w:t>
      </w:r>
      <w:r w:rsidRPr="0065448B">
        <w:t>t citu personu tiesības un nodrošin</w:t>
      </w:r>
      <w:r w:rsidR="002B0F7F" w:rsidRPr="0065448B">
        <w:t>ot</w:t>
      </w:r>
      <w:r w:rsidRPr="0065448B">
        <w:t xml:space="preserve"> informācijas pieejamību par darījumu partneru — juridisko personu un ārvalsts subjektu — PLG</w:t>
      </w:r>
      <w:r>
        <w:t>.</w:t>
      </w:r>
    </w:p>
    <w:p w14:paraId="3106E37C" w14:textId="77777777" w:rsidR="00B8193E" w:rsidRPr="00F067E9" w:rsidRDefault="00B8193E" w:rsidP="00F067E9"/>
    <w:p w14:paraId="4D7182F0" w14:textId="6CE1FEFD" w:rsidR="00727154" w:rsidRPr="00727154" w:rsidRDefault="72519DD8" w:rsidP="00A03943">
      <w:pPr>
        <w:pStyle w:val="Apakvirsraksts"/>
        <w:ind w:firstLine="0"/>
      </w:pPr>
      <w:r>
        <w:t xml:space="preserve">Vai nepastāv personu </w:t>
      </w:r>
      <w:proofErr w:type="spellStart"/>
      <w:r>
        <w:t>pamattiesības</w:t>
      </w:r>
      <w:proofErr w:type="spellEnd"/>
      <w:r>
        <w:t xml:space="preserve"> mazāk ierobežojoši (saudzējošāki) līdzekļi?</w:t>
      </w:r>
    </w:p>
    <w:p w14:paraId="573A5CF5" w14:textId="77777777" w:rsidR="00C6429E" w:rsidRPr="00C6429E" w:rsidRDefault="22F49D49" w:rsidP="00C6429E">
      <w:proofErr w:type="spellStart"/>
      <w:r w:rsidRPr="00C6429E">
        <w:t>Pamattiesību</w:t>
      </w:r>
      <w:proofErr w:type="spellEnd"/>
      <w:r w:rsidRPr="00C6429E">
        <w:t xml:space="preserve"> ierobežojums ir nepieciešams, ja nepastāv citi līdzekļi, kuri būtu tikpat iedarbīgi un kurus izvēloties personu </w:t>
      </w:r>
      <w:proofErr w:type="spellStart"/>
      <w:r w:rsidRPr="00C6429E">
        <w:t>pamattiesības</w:t>
      </w:r>
      <w:proofErr w:type="spellEnd"/>
      <w:r w:rsidRPr="00C6429E">
        <w:t xml:space="preserve"> tiktu ierobežotas mazāk.</w:t>
      </w:r>
      <w:r w:rsidR="00C6429E" w:rsidRPr="00C6429E">
        <w:rPr>
          <w:vertAlign w:val="superscript"/>
        </w:rPr>
        <w:footnoteReference w:id="17"/>
      </w:r>
      <w:r w:rsidRPr="00C6429E">
        <w:t xml:space="preserve"> </w:t>
      </w:r>
    </w:p>
    <w:p w14:paraId="28EE587B" w14:textId="17050232" w:rsidR="00544394" w:rsidRDefault="320C9265" w:rsidP="00C6429E">
      <w:r>
        <w:t xml:space="preserve">Ņemot vērā minēto secināms, ka Latvijā ikvienam tiek nodrošināta publiska piekļuve informācijai par PLG, lai sasniegtu plašāku leģitīmo mērķu klāstu, ne tikai lai novērstu noziedzīgi iegūtu līdzekļu legalizāciju un terorisma un proliferācijas finansēšanu. </w:t>
      </w:r>
      <w:r w:rsidR="26904FCF">
        <w:t xml:space="preserve"> </w:t>
      </w:r>
    </w:p>
    <w:p w14:paraId="750D18CA" w14:textId="55E9DECF" w:rsidR="00C6429E" w:rsidRPr="00C6429E" w:rsidRDefault="320C9265" w:rsidP="325AA4CF">
      <w:r>
        <w:t xml:space="preserve">Ja informācija par darījumu partneriem nebūtu brīvi pieejama, privātpersonām zustu vēlme minēto informāciju pārbaudīt, kas, savukārt, būtu pretrunā </w:t>
      </w:r>
      <w:r w:rsidR="7064D9E7">
        <w:t>ar drošas uzņēmējdarbības</w:t>
      </w:r>
      <w:r>
        <w:t xml:space="preserve"> vid</w:t>
      </w:r>
      <w:r w:rsidR="7064D9E7">
        <w:t>es būtību</w:t>
      </w:r>
      <w:r>
        <w:t xml:space="preserve">. </w:t>
      </w:r>
      <w:r w:rsidR="1E916C04">
        <w:t xml:space="preserve">Līdz ar to, drošas </w:t>
      </w:r>
      <w:r w:rsidR="005B53EF">
        <w:t>uzņēmējdarbības</w:t>
      </w:r>
      <w:r w:rsidR="1E916C04">
        <w:t xml:space="preserve"> vides nodrošināšanai Latvijā ir </w:t>
      </w:r>
      <w:r w:rsidR="29E5F0A6">
        <w:t>nepieciešam</w:t>
      </w:r>
      <w:r w:rsidR="06AF4F9A">
        <w:t>s</w:t>
      </w:r>
      <w:r w:rsidR="29E5F0A6">
        <w:t xml:space="preserve"> </w:t>
      </w:r>
      <w:r w:rsidR="06AF4F9A">
        <w:t>radīt</w:t>
      </w:r>
      <w:r w:rsidR="29E5F0A6">
        <w:t xml:space="preserve"> </w:t>
      </w:r>
      <w:r w:rsidR="005B53EF">
        <w:t>tādu</w:t>
      </w:r>
      <w:r w:rsidR="29E5F0A6">
        <w:t xml:space="preserve"> piekļuv</w:t>
      </w:r>
      <w:r w:rsidR="0B8E46A2">
        <w:t>i</w:t>
      </w:r>
      <w:r w:rsidR="29E5F0A6">
        <w:t xml:space="preserve"> informācijai par PLG</w:t>
      </w:r>
      <w:r w:rsidR="005B53EF">
        <w:t xml:space="preserve">, kas veicina </w:t>
      </w:r>
      <w:r w:rsidR="00B60451">
        <w:t>uzņēmējdarbības vidē iesaistīto personu</w:t>
      </w:r>
      <w:r w:rsidR="00BC1F55">
        <w:t xml:space="preserve"> pienākumu pilnvērtīgu i</w:t>
      </w:r>
      <w:r w:rsidR="00FE4FA1">
        <w:t>zpildi, veicot sava esošā vai potenciālā sadarbības partnera pārbaudi</w:t>
      </w:r>
      <w:r w:rsidR="29E5F0A6">
        <w:t xml:space="preserve">. Leģitīmo mērķi nevar sasniegt ar personām mazāku </w:t>
      </w:r>
      <w:proofErr w:type="spellStart"/>
      <w:r w:rsidR="29E5F0A6">
        <w:t>pamattiesību</w:t>
      </w:r>
      <w:proofErr w:type="spellEnd"/>
      <w:r w:rsidR="29E5F0A6">
        <w:t xml:space="preserve"> ierobežojumu.</w:t>
      </w:r>
    </w:p>
    <w:p w14:paraId="127CEBE8" w14:textId="12C2D2D4" w:rsidR="00C6429E" w:rsidRPr="00C6429E" w:rsidRDefault="6FC89C3B" w:rsidP="00C6429E">
      <w:r>
        <w:t>Prasība norādīt leģitīmo interesi katra pieprasījuma gadījumā nav saudzējošāks risinājums, ar kuru leģitīmo mērķi varēs sasniegt tādā pašā kvalitātē, jo tas paredz plašu interpretācijas iespēju leģitīmajām interesēm un tiesvedības par atteikumu sniegt informāciju</w:t>
      </w:r>
      <w:r w:rsidR="30D2B21D">
        <w:t xml:space="preserve">, tāpat ne mazāk svarīgs apstāklis </w:t>
      </w:r>
      <w:r w:rsidR="000F259B">
        <w:t>uzņēmējdarbības</w:t>
      </w:r>
      <w:r w:rsidR="30D2B21D">
        <w:t xml:space="preserve"> vidē ir pieprasītās informācijas </w:t>
      </w:r>
      <w:r w:rsidR="3B7F5D45">
        <w:t xml:space="preserve">saņemšana </w:t>
      </w:r>
      <w:r w:rsidR="008C30A5">
        <w:t>bez liekas vilcināšanās</w:t>
      </w:r>
      <w:r w:rsidR="3B7F5D45">
        <w:t xml:space="preserve">, kas </w:t>
      </w:r>
      <w:r w:rsidR="51EEB217">
        <w:t xml:space="preserve">prasības norādīt leģitīmo </w:t>
      </w:r>
      <w:r w:rsidR="5C7F7CBF">
        <w:t>interesi katra pieprasījuma</w:t>
      </w:r>
      <w:r w:rsidR="30D2B21D">
        <w:t xml:space="preserve"> </w:t>
      </w:r>
      <w:r w:rsidR="51EEB217">
        <w:t>gadījumā,</w:t>
      </w:r>
      <w:r w:rsidR="30D2B21D">
        <w:t xml:space="preserve"> </w:t>
      </w:r>
      <w:r w:rsidR="20496D8D">
        <w:t>prasītu vairāk laika</w:t>
      </w:r>
      <w:r w:rsidR="30D2B21D">
        <w:t xml:space="preserve"> </w:t>
      </w:r>
      <w:r w:rsidR="20496D8D">
        <w:t xml:space="preserve">salīdzinoši ar </w:t>
      </w:r>
      <w:r w:rsidR="295C3E28">
        <w:lastRenderedPageBreak/>
        <w:t>to</w:t>
      </w:r>
      <w:r w:rsidR="20496D8D">
        <w:t>,</w:t>
      </w:r>
      <w:r w:rsidR="30D2B21D">
        <w:t xml:space="preserve"> </w:t>
      </w:r>
      <w:r w:rsidR="20496D8D">
        <w:t xml:space="preserve">ja </w:t>
      </w:r>
      <w:r w:rsidR="689E5DCB">
        <w:t>šāds informācijas pieprasījums par PLG</w:t>
      </w:r>
      <w:r w:rsidR="30D2B21D">
        <w:t xml:space="preserve"> </w:t>
      </w:r>
      <w:r w:rsidR="762F5A41">
        <w:t>nebūtu katru reizi īpaši jāpamato</w:t>
      </w:r>
      <w:r>
        <w:t xml:space="preserve">. Šādi šķēršļi atturēs personas ikdienas darījumos mēģināt noskaidrot PLG. </w:t>
      </w:r>
    </w:p>
    <w:p w14:paraId="5D72D3C2" w14:textId="35AF1959" w:rsidR="00C6429E" w:rsidRPr="00C6429E" w:rsidRDefault="22F49D49" w:rsidP="00C6429E">
      <w:r w:rsidRPr="00C6429E">
        <w:t xml:space="preserve">Lai varētu viennozīmīgi identificēt PLG, nepieciešams apstrādāt tā vārdu, uzvārdu, personas kodu. Papildus, tā kā noziedzīgi iegūtu līdzekļu legalizācijas un terorisma un proliferācijas finansēšanas kontekstā ļoti būtiski identificēt pastāvošos klientu riskus un to līmeni, sniedzot informāciju par PLG, izsniedzama arī informācija par personas valstspiederību un pastāvīgās dzīvesvietas valsti. Datu apstrādes un pieejamības pamatojums ietverts jau iepriekš minētā </w:t>
      </w:r>
      <w:r w:rsidR="7FBAE8A6">
        <w:t xml:space="preserve">Novēršanas likuma </w:t>
      </w:r>
      <w:r w:rsidRPr="00C6429E">
        <w:t>18.</w:t>
      </w:r>
      <w:r w:rsidRPr="00C6429E">
        <w:rPr>
          <w:vertAlign w:val="superscript"/>
        </w:rPr>
        <w:t>3</w:t>
      </w:r>
      <w:r w:rsidRPr="00C6429E">
        <w:t xml:space="preserve"> panta pirmajā daļā un tajā ietvertajos leģitīmajos mērķos. </w:t>
      </w:r>
    </w:p>
    <w:p w14:paraId="102BC81A" w14:textId="25ECB37F" w:rsidR="0043334D" w:rsidRDefault="22F49D49" w:rsidP="00C6429E">
      <w:r>
        <w:t xml:space="preserve">Tāpat ne mazāk svarīga ir informācijas par veidu, kādā tiek īstenota kontrole pār uzņēmumu, publiska pieejamība. Ierobežojot attiecīgās informācijas pieejamību, neatspoguļojot sasaisti ar konkrēto PLG, var tikt panākts maldinošs rezultāts, jo nebūs saprotams, caur kuru personu PLG īsteno kontroli. Visas informācijas par PLG publiska pieejamība ir būtiska kopējā mērķa, kas pamato informācijas par PLG publisku pieejamību, kontekstā. Apstrādājot (darot publiski pieejamus) mazāku skaitu personas datu par PLG, </w:t>
      </w:r>
      <w:r w:rsidR="598B60EE">
        <w:t>piemēram, darot publiski pie</w:t>
      </w:r>
      <w:r w:rsidR="38CB4827">
        <w:t>ejamu</w:t>
      </w:r>
      <w:r w:rsidR="598B60EE">
        <w:t xml:space="preserve"> tikai PLG vārdu un uzvārdu,</w:t>
      </w:r>
      <w:r w:rsidR="11F44842">
        <w:t xml:space="preserve"> </w:t>
      </w:r>
      <w:r w:rsidR="3D22479D">
        <w:t>nenorādot informāciju, par veidu, kādā tiek īstenota kontrole pār uzņēmumu,</w:t>
      </w:r>
      <w:r w:rsidR="11F44842">
        <w:t xml:space="preserve"> </w:t>
      </w:r>
      <w:r>
        <w:t xml:space="preserve">tiktu liegta iespēja iegūt tādu informācijas apjomu par PLG, kas ļautu sasniegt izvirzītos  leģitīmos mērķus. Ievērojot minēto, visa Reģistra rīcībā esošā informācija par PLG ir </w:t>
      </w:r>
      <w:r w:rsidR="27FB4623">
        <w:t>tāda</w:t>
      </w:r>
      <w:r>
        <w:t xml:space="preserve"> informācija</w:t>
      </w:r>
      <w:r w:rsidR="27FB4623">
        <w:t xml:space="preserve">, kam persona var piekļūt, </w:t>
      </w:r>
      <w:r w:rsidR="03124F97">
        <w:t>bez nepieciešamības pierādīt</w:t>
      </w:r>
      <w:r w:rsidR="27FB4623">
        <w:t xml:space="preserve"> tās </w:t>
      </w:r>
      <w:r w:rsidR="03124F97">
        <w:t xml:space="preserve">leģitīmo </w:t>
      </w:r>
      <w:r w:rsidR="27FB4623">
        <w:t>interesi</w:t>
      </w:r>
      <w:r>
        <w:t xml:space="preserve">. </w:t>
      </w:r>
    </w:p>
    <w:p w14:paraId="4749D991" w14:textId="763A7662" w:rsidR="00C6429E" w:rsidRDefault="22F49D49" w:rsidP="00C6429E">
      <w:r>
        <w:t xml:space="preserve">No minētā secināms, ka </w:t>
      </w:r>
      <w:r w:rsidR="0B7B480D">
        <w:t xml:space="preserve">Novēršanas </w:t>
      </w:r>
      <w:r>
        <w:t>likuma 18.</w:t>
      </w:r>
      <w:r w:rsidRPr="0F711F34">
        <w:rPr>
          <w:vertAlign w:val="superscript"/>
        </w:rPr>
        <w:t>3</w:t>
      </w:r>
      <w:r>
        <w:t xml:space="preserve"> pantā ietvertais regulējums ir nepieciešams leģitīmo mērķu sasniegšanai, jo ar minēto tiesību normu jau ir izmantoti visi saudzējošākie līdzekļi, kurus izvēloties personu </w:t>
      </w:r>
      <w:proofErr w:type="spellStart"/>
      <w:r>
        <w:t>pamattiesības</w:t>
      </w:r>
      <w:proofErr w:type="spellEnd"/>
      <w:r>
        <w:t xml:space="preserve"> tiktu ierobežotas mazāk.</w:t>
      </w:r>
    </w:p>
    <w:p w14:paraId="10ADC9FC" w14:textId="77777777" w:rsidR="00B8193E" w:rsidRPr="00C6429E" w:rsidRDefault="00B8193E" w:rsidP="00C6429E"/>
    <w:p w14:paraId="33870E35" w14:textId="65C66692" w:rsidR="00727154" w:rsidRPr="00727154" w:rsidRDefault="72519DD8" w:rsidP="00A03943">
      <w:pPr>
        <w:pStyle w:val="Apakvirsraksts"/>
        <w:ind w:firstLine="0"/>
      </w:pPr>
      <w:r>
        <w:t xml:space="preserve">Vai </w:t>
      </w:r>
      <w:r w:rsidR="7EEDA795">
        <w:t>labums, ko iegūs sabiedrība, ir lielāks par indivīda tiesībām un likumiskajām interesēm nodarīto zaudējumu</w:t>
      </w:r>
      <w:r>
        <w:t>?</w:t>
      </w:r>
    </w:p>
    <w:p w14:paraId="3FE78237" w14:textId="78A6A712" w:rsidR="004A7AD0" w:rsidRPr="004A7AD0" w:rsidRDefault="474D9E02" w:rsidP="004A7AD0">
      <w:r w:rsidRPr="004A7AD0">
        <w:t>Vērtējot ierobežojuma atbilstību samērīguma principam</w:t>
      </w:r>
      <w:r w:rsidR="002B0F7F">
        <w:t>,</w:t>
      </w:r>
      <w:r w:rsidRPr="004A7AD0">
        <w:t xml:space="preserve"> galvenokārt</w:t>
      </w:r>
      <w:r w:rsidR="001177B7">
        <w:t>,</w:t>
      </w:r>
      <w:r w:rsidRPr="004A7AD0">
        <w:t xml:space="preserve"> ir jāizvērtē likumdevēja izmantoto līdzekļu radītās sekas, tas ir, vai tiesību normas piemērošana nenodara indivīda tiesībām un likumiskajām interesēm lielākus zaudējumus nekā iegūst sabiedrība. Vienlaikus ir jāizvērtē šādas tiesību normas ietekme uz ikvienu personu, kuras intereses tā aizskar.</w:t>
      </w:r>
      <w:r w:rsidR="004A7AD0" w:rsidRPr="004A7AD0">
        <w:rPr>
          <w:vertAlign w:val="superscript"/>
        </w:rPr>
        <w:footnoteReference w:id="18"/>
      </w:r>
      <w:r w:rsidRPr="004A7AD0">
        <w:t xml:space="preserve"> </w:t>
      </w:r>
    </w:p>
    <w:p w14:paraId="2F7B3E7D" w14:textId="5964BE9D" w:rsidR="004A7AD0" w:rsidRPr="004A7AD0" w:rsidRDefault="474D9E02" w:rsidP="004A7AD0">
      <w:r>
        <w:t>Izvērtējot kaitējumu, kas informācijas par PLG publicēšanas gadījumā tiek radīts fiziskajām personām, jāsecina, ka iesaistīšanās komercdarbībā pati par sevi nav uzskatāma par tik būtiski aizsargājamu privātās dzīves sastāvdaļu. Personas, iesaistoties atklātā saimnieciskā darbībā, reģistrējot komersantu, nevar cerēt un paļauties, ka šīs ir ziņas, kuras netiek izpaustas citām personām vai nedrīkst nonākt citu personu rīcībā. Tāpat, ja vispārpieejamā reģistrā tiek</w:t>
      </w:r>
      <w:r w:rsidR="5244C888">
        <w:t xml:space="preserve"> atklāti</w:t>
      </w:r>
      <w:r>
        <w:t xml:space="preserve"> dalībnieku dati, tad nav īpaši tiesiski aizsargājama PLG interese nebūt norādītam PLG reģistrā. Interese neatklāt savu identitāti varētu drīzāk liecināt par juridiskas personas izmantošanu prettiesiskiem mērķiem. </w:t>
      </w:r>
    </w:p>
    <w:p w14:paraId="26191854" w14:textId="6DF38D2E" w:rsidR="004A7AD0" w:rsidRPr="004A7AD0" w:rsidRDefault="474D9E02" w:rsidP="004A7AD0">
      <w:r>
        <w:t xml:space="preserve">Lai arī Spriedumā un šajā skaidrojumā uzsvars tiek likts uz komersantiem – ir svarīgi, ka informācija par tiesību subjekta PLG ir publiski pieejama, neatkarīgi no tā tiesiskās formas, jo </w:t>
      </w:r>
      <w:r>
        <w:lastRenderedPageBreak/>
        <w:t xml:space="preserve">korupcija, kā lielākais drauds nacionālajai drošībai un demokrātijai, spēj vienlīdz labi darboties kā </w:t>
      </w:r>
      <w:r w:rsidR="00513FBF">
        <w:t>uzņēmējdarbības vidē</w:t>
      </w:r>
      <w:r>
        <w:t xml:space="preserve"> – tā nevalstiskajā sektorā.</w:t>
      </w:r>
    </w:p>
    <w:p w14:paraId="2BC71CF8" w14:textId="77777777" w:rsidR="004A7AD0" w:rsidRPr="004A7AD0" w:rsidRDefault="474D9E02" w:rsidP="004A7AD0">
      <w:r w:rsidRPr="004A7AD0">
        <w:t xml:space="preserve">Par korupciju un tās postošajām sekām diskutē ne tikai Eiropā, bet arī citviet pasaulē, secinot, ka </w:t>
      </w:r>
      <w:proofErr w:type="spellStart"/>
      <w:r w:rsidRPr="004A7AD0">
        <w:t>kleptokrātija</w:t>
      </w:r>
      <w:proofErr w:type="spellEnd"/>
      <w:r w:rsidR="004A7AD0" w:rsidRPr="004A7AD0">
        <w:rPr>
          <w:vertAlign w:val="superscript"/>
        </w:rPr>
        <w:footnoteReference w:id="19"/>
      </w:r>
      <w:r w:rsidRPr="004A7AD0">
        <w:t xml:space="preserve"> rada draudus nacionālajām interesēm un aizskar tautas vērtības. Tā aizkavē ieguldījumu brīvības un demokrātijas veicināšanā, nabadzības izskaušanā un starptautiskā terorisma un noziedzības apkarošanā.</w:t>
      </w:r>
      <w:r w:rsidR="004A7AD0" w:rsidRPr="004A7AD0">
        <w:rPr>
          <w:vertAlign w:val="superscript"/>
        </w:rPr>
        <w:footnoteReference w:id="20"/>
      </w:r>
      <w:r w:rsidRPr="004A7AD0">
        <w:t xml:space="preserve"> Atgriežoties pie subjektu dalījuma, kuru informācija par to PLG būtu pieejama un, kur nē, tiktu sekmēts ne vien tā jau augstais korupcijas līmenis, bet arī legāla iespēja valstij nelojālajām personām paslepus turpināt graut tās (valsts) pamatus un demokrātisko iekārtu. </w:t>
      </w:r>
    </w:p>
    <w:p w14:paraId="10AF1064" w14:textId="131CD8EB" w:rsidR="004A7AD0" w:rsidRPr="004A7AD0" w:rsidRDefault="004A7AD0" w:rsidP="004A7AD0">
      <w:r>
        <w:t xml:space="preserve">Iestāžu pārskatāmība visos līmeņos veicinātu sabiedrības uzticību valsts pārvaldei, turklāt mazinātu kā iekšējas, tā ārējas korupcijas riskus. </w:t>
      </w:r>
      <w:r w:rsidR="7D43E967">
        <w:t>Tādējādi p</w:t>
      </w:r>
      <w:r w:rsidR="474D9E02" w:rsidRPr="004A7AD0">
        <w:t>olitiķiem un citām personām, kas var apdraudēt valsts pastāvēšanu, būtu arvien grūtāk vai pat neiespējami noslēpt to saistību ar noteiktiem subjektiem,</w:t>
      </w:r>
      <w:r w:rsidRPr="004A7AD0">
        <w:rPr>
          <w:vertAlign w:val="superscript"/>
        </w:rPr>
        <w:footnoteReference w:id="21"/>
      </w:r>
      <w:r w:rsidR="474D9E02" w:rsidRPr="004A7AD0">
        <w:t xml:space="preserve"> tādējādi mazinot noziedzīgi iegūtu līdzekļu legalizācijas iespējas, neregulētu lobēšanu u.c. prettiesiskas darbības. </w:t>
      </w:r>
    </w:p>
    <w:p w14:paraId="27148BF2" w14:textId="2515C448" w:rsidR="004A7AD0" w:rsidRPr="004A7AD0" w:rsidRDefault="474D9E02" w:rsidP="004A7AD0">
      <w:r>
        <w:t>Radot likumīgu iespēju uzzināt</w:t>
      </w:r>
      <w:r w:rsidR="232F58F8">
        <w:t>,</w:t>
      </w:r>
      <w:r>
        <w:t xml:space="preserve"> kas stāv aiz katras juridiskās personas, kas ir tikai fikcija, ti</w:t>
      </w:r>
      <w:r w:rsidR="006B5C08">
        <w:t>e</w:t>
      </w:r>
      <w:r>
        <w:t xml:space="preserve">k veicināta ne vien tiesiska </w:t>
      </w:r>
      <w:r w:rsidR="62CE3EA0">
        <w:t>uzņēmējdarbības</w:t>
      </w:r>
      <w:r w:rsidR="61A5CCFC">
        <w:t xml:space="preserve"> vide</w:t>
      </w:r>
      <w:r>
        <w:t>, bet kas ir vēl svarīgāk – saglabāta un stiprināta demokrātija un valsts iekārta.</w:t>
      </w:r>
    </w:p>
    <w:p w14:paraId="1C898B95" w14:textId="51768A8E" w:rsidR="00727154" w:rsidRDefault="00727154" w:rsidP="00122330"/>
    <w:p w14:paraId="3EFF21EA" w14:textId="1A88A334" w:rsidR="00727154" w:rsidRDefault="72519DD8" w:rsidP="00A03943">
      <w:pPr>
        <w:pStyle w:val="Apakvirsraksts"/>
        <w:ind w:firstLine="0"/>
      </w:pPr>
      <w:r>
        <w:t>3.2. Par Sankciju likum</w:t>
      </w:r>
      <w:r w:rsidR="00AD0622">
        <w:t>ā ietvertā mērķ</w:t>
      </w:r>
      <w:r>
        <w:t>a</w:t>
      </w:r>
      <w:r w:rsidR="568CD81A">
        <w:t xml:space="preserve"> </w:t>
      </w:r>
      <w:r>
        <w:t>samērīguma izvērtējumu</w:t>
      </w:r>
    </w:p>
    <w:p w14:paraId="08ABE542" w14:textId="0E34CBD4" w:rsidR="00727154" w:rsidRDefault="7E968945" w:rsidP="00727154">
      <w:r>
        <w:t>S</w:t>
      </w:r>
      <w:r w:rsidR="316F7595">
        <w:t>ankciju likuma</w:t>
      </w:r>
      <w:r w:rsidR="511BCF16">
        <w:t xml:space="preserve"> </w:t>
      </w:r>
      <w:r w:rsidR="0DE2F225">
        <w:t>m</w:t>
      </w:r>
      <w:r w:rsidR="7A6E1923">
        <w:t>ērķis ir nodrošināt mieru, drošību un tiesiskumu atbilstoši Latvijas starptautiskajām saistībām un nacionālajām interesēm, ieviešot starptautiskās sankcijas, nosakot nacionālās sankcijas vai arī šajā likumā noteiktajos gadījumos piemērojot Eiropas Savienības vai Ziemeļatlantijas līguma organizācijas dalībvalsts noteiktās sankcijas</w:t>
      </w:r>
      <w:r w:rsidR="36D4D813">
        <w:t>. Sankciju l</w:t>
      </w:r>
      <w:r w:rsidR="316F7595">
        <w:t>ikums attiecas uz visām personām, un tām ir pienākums ievērot un izpildīt starptautiskās un nacionālās sankcijas.</w:t>
      </w:r>
    </w:p>
    <w:p w14:paraId="14601E4D" w14:textId="77777777" w:rsidR="00405245" w:rsidRDefault="0053114C">
      <w:pPr>
        <w:rPr>
          <w:rFonts w:eastAsia="Calibri" w:cs="Times New Roman"/>
        </w:rPr>
      </w:pPr>
      <w:r>
        <w:t xml:space="preserve">Atkārtoti jāuzsver, ka </w:t>
      </w:r>
      <w:r w:rsidR="1044E66A">
        <w:t xml:space="preserve">Sankciju likums paredz, ka ikvienam ir pienākums pārliecināties, vai </w:t>
      </w:r>
      <w:r w:rsidR="001B6A17">
        <w:t xml:space="preserve">esošajam vai iecerētajam darījuma partnerim – </w:t>
      </w:r>
      <w:r w:rsidR="1044E66A">
        <w:t xml:space="preserve">attiecīgajai fiziskai vai juridiskai personai (vai to faktiskajiem īpašniekiem) nav piemērotas starptautiskās vai nacionālās sankcijas. </w:t>
      </w:r>
      <w:r w:rsidR="00837204" w:rsidRPr="00837204">
        <w:t>Līdz ar to ikvienai personai ir jāveic savu potenciālo darījumu partneru pārbaude. Kas nozīmē, ka informācijai par PLG ir jāpiekļūst ļoti plašai sabiedrības daļai, kura ietver ikvienu sabiedrības locek</w:t>
      </w:r>
      <w:r w:rsidR="00EA61DC">
        <w:t>l</w:t>
      </w:r>
      <w:r w:rsidR="00837204" w:rsidRPr="00837204">
        <w:t xml:space="preserve">i. </w:t>
      </w:r>
      <w:r w:rsidR="1044E66A">
        <w:t xml:space="preserve">Tas attiecas arī uz kapitāla daļu atsavināšanas darījumiem un </w:t>
      </w:r>
      <w:r w:rsidR="001B6A17">
        <w:t xml:space="preserve">sankcijām </w:t>
      </w:r>
      <w:r w:rsidR="1044E66A">
        <w:t>personu tiesībām dibināt juridiskās personas un reģistrēt darījuma attiecības.</w:t>
      </w:r>
      <w:r w:rsidR="00F6163D" w:rsidRPr="00F6163D">
        <w:rPr>
          <w:rFonts w:eastAsia="Calibri" w:cs="Times New Roman"/>
        </w:rPr>
        <w:t xml:space="preserve"> </w:t>
      </w:r>
    </w:p>
    <w:p w14:paraId="046B3E28" w14:textId="77777777" w:rsidR="001A0A24" w:rsidRDefault="004E1AC6">
      <w:r w:rsidRPr="0F711F34">
        <w:rPr>
          <w:rFonts w:eastAsia="Calibri" w:cs="Times New Roman"/>
        </w:rPr>
        <w:t>Sankciju likum</w:t>
      </w:r>
      <w:r>
        <w:rPr>
          <w:rFonts w:eastAsia="Calibri" w:cs="Times New Roman"/>
        </w:rPr>
        <w:t>s</w:t>
      </w:r>
      <w:r w:rsidRPr="0F711F34">
        <w:rPr>
          <w:rFonts w:eastAsia="Calibri" w:cs="Times New Roman"/>
        </w:rPr>
        <w:t xml:space="preserve"> </w:t>
      </w:r>
      <w:r>
        <w:rPr>
          <w:rFonts w:eastAsia="Calibri" w:cs="Times New Roman"/>
        </w:rPr>
        <w:t>noteic virkni aizliegumu, ja tiek</w:t>
      </w:r>
      <w:r w:rsidRPr="0F711F34">
        <w:rPr>
          <w:rFonts w:eastAsia="Calibri" w:cs="Times New Roman"/>
        </w:rPr>
        <w:t xml:space="preserve"> konstatē</w:t>
      </w:r>
      <w:r>
        <w:rPr>
          <w:rFonts w:eastAsia="Calibri" w:cs="Times New Roman"/>
        </w:rPr>
        <w:t>ta esošo vai iecerēto darījuma partneru saistība ar sankciju subjektu</w:t>
      </w:r>
      <w:r w:rsidR="009C5194">
        <w:rPr>
          <w:rFonts w:eastAsia="Calibri" w:cs="Times New Roman"/>
        </w:rPr>
        <w:t xml:space="preserve">, </w:t>
      </w:r>
      <w:r>
        <w:rPr>
          <w:rFonts w:eastAsia="Calibri" w:cs="Times New Roman"/>
        </w:rPr>
        <w:t>piemēram, aizliegums sadarboties ar juridisku personu, kas ir sankcijām pakļautas fiziskas personas īpašumā</w:t>
      </w:r>
      <w:r w:rsidR="009C5194">
        <w:rPr>
          <w:rFonts w:eastAsia="Calibri" w:cs="Times New Roman"/>
        </w:rPr>
        <w:t>. A</w:t>
      </w:r>
      <w:r w:rsidR="009C5194" w:rsidRPr="0F711F34">
        <w:rPr>
          <w:rFonts w:eastAsia="Calibri" w:cs="Times New Roman"/>
        </w:rPr>
        <w:t>tsevišķos gadījumos, piemēram, attiecībā uz publisko iepirkumu procedūrām, kā arī publiskās un privātās partnerības procedūrām, likumdevējs ir paredzējis pienākumu pārliecināties cita starpā par pretendenta PLG.</w:t>
      </w:r>
      <w:r w:rsidR="009C5194">
        <w:rPr>
          <w:rFonts w:eastAsia="Calibri" w:cs="Times New Roman"/>
        </w:rPr>
        <w:t xml:space="preserve"> </w:t>
      </w:r>
      <w:r w:rsidR="009C5194">
        <w:t xml:space="preserve">Lai nodrošinātu Sankciju likumā noteikto pienākumu izpildi, ir nepieciešama piekļuve PLG informācijai. </w:t>
      </w:r>
    </w:p>
    <w:p w14:paraId="71C33923" w14:textId="34AA4D7B" w:rsidR="7602859C" w:rsidRDefault="009C5194">
      <w:r>
        <w:rPr>
          <w:rFonts w:eastAsia="Calibri" w:cs="Times New Roman"/>
        </w:rPr>
        <w:lastRenderedPageBreak/>
        <w:t>Īpaši jāuzsver, ka Sankciju likums rada vispārīgu ietvaru starptautisko sankciju ieviešanai Latvijā</w:t>
      </w:r>
      <w:r w:rsidR="004E1AC6">
        <w:rPr>
          <w:rFonts w:eastAsia="Calibri" w:cs="Times New Roman"/>
        </w:rPr>
        <w:t xml:space="preserve">, savukārt </w:t>
      </w:r>
      <w:r>
        <w:rPr>
          <w:rFonts w:eastAsia="Calibri" w:cs="Times New Roman"/>
        </w:rPr>
        <w:t>Sankciju likumā paredzēto</w:t>
      </w:r>
      <w:r w:rsidR="004E1AC6">
        <w:rPr>
          <w:rFonts w:eastAsia="Calibri" w:cs="Times New Roman"/>
        </w:rPr>
        <w:t xml:space="preserve"> aizliegumu attiecināmība uz konkrētām personām </w:t>
      </w:r>
      <w:r w:rsidR="00DF457C">
        <w:rPr>
          <w:rFonts w:eastAsia="Calibri" w:cs="Times New Roman"/>
        </w:rPr>
        <w:t xml:space="preserve">un tvērums </w:t>
      </w:r>
      <w:r w:rsidR="004E1AC6">
        <w:rPr>
          <w:rFonts w:eastAsia="Calibri" w:cs="Times New Roman"/>
        </w:rPr>
        <w:t>izriet no Eiropas Savienības tiesību aktiem, kuri noteic Eiropas Savienības ierobežojošos pasākumus,</w:t>
      </w:r>
      <w:r w:rsidR="004E1AC6">
        <w:rPr>
          <w:rStyle w:val="Vresatsauce"/>
          <w:rFonts w:eastAsia="Calibri" w:cs="Times New Roman"/>
        </w:rPr>
        <w:footnoteReference w:id="22"/>
      </w:r>
      <w:r w:rsidR="004E1AC6">
        <w:rPr>
          <w:rFonts w:eastAsia="Calibri" w:cs="Times New Roman"/>
        </w:rPr>
        <w:t xml:space="preserve"> vai Latvijas tiesību aktiem par nacionālo sankciju noteikšanu.</w:t>
      </w:r>
      <w:r w:rsidR="004E1AC6">
        <w:rPr>
          <w:rStyle w:val="Vresatsauce"/>
          <w:rFonts w:eastAsia="Calibri" w:cs="Times New Roman"/>
        </w:rPr>
        <w:footnoteReference w:id="23"/>
      </w:r>
      <w:r w:rsidR="004E1AC6" w:rsidRPr="0F711F34">
        <w:rPr>
          <w:rFonts w:eastAsia="Calibri" w:cs="Times New Roman"/>
        </w:rPr>
        <w:t xml:space="preserve"> </w:t>
      </w:r>
      <w:r>
        <w:rPr>
          <w:rFonts w:eastAsia="Calibri" w:cs="Times New Roman"/>
        </w:rPr>
        <w:t>Citiem vārdiem sakot, lai pienācīgi ievērotu Eiropas Savienības tiesību aktus par ierobežojošajiem pasākumiem attiecībā uz konkrētām personām un nodrošinātu sankciju efektivitāti, ir nepieciešama piekļuve PLG informācijai.</w:t>
      </w:r>
      <w:r w:rsidR="379DEE13">
        <w:t xml:space="preserve"> </w:t>
      </w:r>
    </w:p>
    <w:p w14:paraId="58EA2C92" w14:textId="77777777" w:rsidR="00B8193E" w:rsidRDefault="00B8193E"/>
    <w:p w14:paraId="4586CC6C" w14:textId="77777777" w:rsidR="00727154" w:rsidRPr="00727154" w:rsidRDefault="72519DD8" w:rsidP="00A03943">
      <w:pPr>
        <w:pStyle w:val="Apakvirsraksts"/>
        <w:ind w:firstLine="0"/>
      </w:pPr>
      <w:r>
        <w:t>Vai izraudzītie līdzekļi ir piemēroti leģitīmā mērķa sasniegšanai?</w:t>
      </w:r>
    </w:p>
    <w:p w14:paraId="15C58029" w14:textId="7AA4B00C" w:rsidR="00727154" w:rsidRDefault="34F19F5F" w:rsidP="00727154">
      <w:r>
        <w:t xml:space="preserve">Latvijas normatīvais regulējums sankciju </w:t>
      </w:r>
      <w:r w:rsidR="00AB7372">
        <w:t xml:space="preserve">ievērošanas </w:t>
      </w:r>
      <w:r>
        <w:t xml:space="preserve">jomā paredz decentralizētu sistēmu sankciju piemērošanā. Minētais nozīmē, ka nav </w:t>
      </w:r>
      <w:r w:rsidR="00EF45B7">
        <w:t>vienas iestādes</w:t>
      </w:r>
      <w:r>
        <w:t>, kur</w:t>
      </w:r>
      <w:r w:rsidR="00EF45B7">
        <w:t>as</w:t>
      </w:r>
      <w:r>
        <w:t xml:space="preserve"> pienākums būtu nodrošināt li</w:t>
      </w:r>
      <w:r w:rsidR="0389BF0D">
        <w:t>kuma ievērošanu. Jebkurš sabied</w:t>
      </w:r>
      <w:r w:rsidR="23FE25F0">
        <w:t>rī</w:t>
      </w:r>
      <w:r w:rsidR="0389BF0D">
        <w:t xml:space="preserve">bas loceklis ir </w:t>
      </w:r>
      <w:r w:rsidR="1DA9CABD">
        <w:t xml:space="preserve">atbildīgs par nesadarbošanos ar </w:t>
      </w:r>
      <w:r w:rsidR="00527E81">
        <w:t xml:space="preserve">sankcijām pakļautu </w:t>
      </w:r>
      <w:r w:rsidR="1DA9CABD">
        <w:t xml:space="preserve">personu, </w:t>
      </w:r>
      <w:r w:rsidR="00EF45B7">
        <w:t>tajā skaitā ar juridisku personu</w:t>
      </w:r>
      <w:r w:rsidR="1DA9CABD">
        <w:t xml:space="preserve">, kuru kontrolē </w:t>
      </w:r>
      <w:r w:rsidR="001A225E">
        <w:t xml:space="preserve">sankcijām pakļauta </w:t>
      </w:r>
      <w:r w:rsidR="0C558621">
        <w:t xml:space="preserve">persona. </w:t>
      </w:r>
    </w:p>
    <w:p w14:paraId="0E7F75FB" w14:textId="623E8C9C" w:rsidR="1AFB1B95" w:rsidRDefault="5179F6F1" w:rsidP="6349E9E5">
      <w:r>
        <w:t xml:space="preserve">Uzliekot par pienākumu jebkuram sabiedrības loceklim nodrošināt starptautisko </w:t>
      </w:r>
      <w:r w:rsidR="001A225E">
        <w:t xml:space="preserve">un nacionālo </w:t>
      </w:r>
      <w:r>
        <w:t xml:space="preserve">sankciju </w:t>
      </w:r>
      <w:r w:rsidR="001A225E">
        <w:t>ievērošanu</w:t>
      </w:r>
      <w:r>
        <w:t xml:space="preserve">, kā arī nosakot kriminālatbildību par ierobežojumu </w:t>
      </w:r>
      <w:r w:rsidR="00F6163D">
        <w:t>pārkāpšanu</w:t>
      </w:r>
      <w:r>
        <w:t>, valsts pienākums ir nod</w:t>
      </w:r>
      <w:r w:rsidR="3E6C68EF">
        <w:t xml:space="preserve">rošināt Sankciju likuma prasību izpildei nepieciešamo informāciju. Tikai pilna informācija par juridisko personu īpašumtiesību un kontroles struktūru un </w:t>
      </w:r>
      <w:r w:rsidR="00F6163D">
        <w:t>PLG</w:t>
      </w:r>
      <w:r w:rsidR="3E6C68EF">
        <w:t xml:space="preserve"> nodrošina iespēju veikt </w:t>
      </w:r>
      <w:r w:rsidR="3364612D">
        <w:t>darījumu partneru izpēti un pieņemt izsvērtu lēmumu nesadarboties ar sankcijām pakļautu personu, kā arī nodrošināt, ka finanšu un saimnieciskie resursi nenonāk sankcij</w:t>
      </w:r>
      <w:r w:rsidR="7C5BCBAD">
        <w:t xml:space="preserve">ām pakļautu personu rīcībā. </w:t>
      </w:r>
    </w:p>
    <w:p w14:paraId="0D695966" w14:textId="213C292C" w:rsidR="00FAF27C" w:rsidRDefault="00FAF27C" w:rsidP="6349E9E5">
      <w:r>
        <w:t xml:space="preserve">Līdz ar to informācijas par PLG atklāšana ir piemērota, lai sasniegtu leģitīmo mērķi - panāktu, ka finanšu un saimnieciskie resursi nenokļūst sankcijām pakļautu personu </w:t>
      </w:r>
      <w:r w:rsidR="001621FC">
        <w:t>rīcībā</w:t>
      </w:r>
      <w:r>
        <w:t>, kā arī neļautu gūt citu labumu</w:t>
      </w:r>
      <w:r w:rsidR="00EF45B7">
        <w:t>, vienlaikus nodrošinot, ka valsts ir darījusi pieejamu privātajam sektoram to informāciju, kas ir nepieciešama, lai netiktu pieļauts Krimināllikuma 84.</w:t>
      </w:r>
      <w:r w:rsidR="001A0A24">
        <w:t> </w:t>
      </w:r>
      <w:r w:rsidR="00EF45B7">
        <w:t>pantā paredzētais noziedzīgais nodarījums</w:t>
      </w:r>
      <w:r>
        <w:t>.</w:t>
      </w:r>
      <w:r w:rsidR="7EDEAE8F">
        <w:t xml:space="preserve">.  </w:t>
      </w:r>
    </w:p>
    <w:p w14:paraId="28867BF5" w14:textId="77777777" w:rsidR="00B8193E" w:rsidRDefault="00B8193E" w:rsidP="6349E9E5"/>
    <w:p w14:paraId="54D2609D" w14:textId="77777777" w:rsidR="00727154" w:rsidRPr="00727154" w:rsidRDefault="72519DD8" w:rsidP="00A03943">
      <w:pPr>
        <w:pStyle w:val="Apakvirsraksts"/>
        <w:ind w:firstLine="0"/>
      </w:pPr>
      <w:r>
        <w:t xml:space="preserve">Vai nepastāv personu </w:t>
      </w:r>
      <w:proofErr w:type="spellStart"/>
      <w:r>
        <w:t>pamattiesības</w:t>
      </w:r>
      <w:proofErr w:type="spellEnd"/>
      <w:r>
        <w:t xml:space="preserve"> mazāk ierobežojoši (saudzējošāki) līdzekļi?</w:t>
      </w:r>
    </w:p>
    <w:p w14:paraId="401AE85A" w14:textId="21DF3F17" w:rsidR="19072F53" w:rsidRDefault="19072F53">
      <w:proofErr w:type="spellStart"/>
      <w:r>
        <w:t>Pamattiesību</w:t>
      </w:r>
      <w:proofErr w:type="spellEnd"/>
      <w:r>
        <w:t xml:space="preserve"> ierobežojums ir nepieciešams, ja nepastāv citi līdzekļi, kuri būtu tikpat iedarbīgi un kurus izvēloties personu </w:t>
      </w:r>
      <w:proofErr w:type="spellStart"/>
      <w:r>
        <w:t>pamattiesības</w:t>
      </w:r>
      <w:proofErr w:type="spellEnd"/>
      <w:r>
        <w:t xml:space="preserve"> tiktu ierobežotas mazāk.</w:t>
      </w:r>
      <w:r w:rsidR="00DB6D34" w:rsidRPr="00DB6D34">
        <w:rPr>
          <w:vertAlign w:val="superscript"/>
        </w:rPr>
        <w:t xml:space="preserve"> </w:t>
      </w:r>
      <w:r w:rsidR="00DB6D34" w:rsidRPr="00DB6D34">
        <w:rPr>
          <w:vertAlign w:val="superscript"/>
        </w:rPr>
        <w:footnoteReference w:id="24"/>
      </w:r>
    </w:p>
    <w:p w14:paraId="06F0EE69" w14:textId="0C842203" w:rsidR="19072F53" w:rsidRDefault="19072F53" w:rsidP="6349E9E5">
      <w:r>
        <w:t>Ņemot vērā minēto secināms, ka Latvijā ikvienam tiek nodrošināta brīva publiska piekļuve informācijai par PLG, lai sasniegtu Sankciju likumā noteikto mērķi.</w:t>
      </w:r>
    </w:p>
    <w:p w14:paraId="665C926F" w14:textId="3CC7088A" w:rsidR="00727154" w:rsidRDefault="20924889" w:rsidP="00727154">
      <w:r>
        <w:t xml:space="preserve">Norādāms, ka Sankciju likuma ievērošanas kontekstā mazāk ierobežojošu (saudzējošāku) līdzekļu izvērtējums </w:t>
      </w:r>
      <w:r w:rsidR="0351C3E0">
        <w:t>sakrīt ar iepriekš jau aprakstīto Novēršanas likuma izvērtējum</w:t>
      </w:r>
      <w:r w:rsidR="2A7D9EE2">
        <w:t>u.</w:t>
      </w:r>
    </w:p>
    <w:p w14:paraId="14CD147F" w14:textId="365DEC5A" w:rsidR="007403E4" w:rsidRPr="007403E4" w:rsidRDefault="007403E4" w:rsidP="007403E4">
      <w:r w:rsidRPr="007403E4">
        <w:lastRenderedPageBreak/>
        <w:t xml:space="preserve">Ja informācija par darījumu partneriem nebūtu brīvi pieejama, privātpersonām zustu vēlme minēto informāciju pārbaudīt, kas, savukārt, būtu pretrunā ar </w:t>
      </w:r>
      <w:r w:rsidR="002076DA">
        <w:t>sankciju</w:t>
      </w:r>
      <w:r w:rsidRPr="007403E4">
        <w:t xml:space="preserve"> būtību. Līdz ar to, </w:t>
      </w:r>
      <w:r w:rsidR="00B51685">
        <w:t>sankciju noteikšanas mērķa nodrošināšanas nolūkos</w:t>
      </w:r>
      <w:r w:rsidRPr="007403E4">
        <w:t xml:space="preserve"> ir nepieciešams radīt tādu piekļuvi informācijai par PLG, kas veicina iesaistīto personu pienākumu pilnvērtīgu izpildi, veicot sava esošā vai potenciālā sadarbības partnera pārbaudi. Leģitīmo mērķi nevar sasniegt ar personām mazāku </w:t>
      </w:r>
      <w:proofErr w:type="spellStart"/>
      <w:r w:rsidRPr="007403E4">
        <w:t>pamattiesību</w:t>
      </w:r>
      <w:proofErr w:type="spellEnd"/>
      <w:r w:rsidRPr="007403E4">
        <w:t xml:space="preserve"> ierobežojumu.</w:t>
      </w:r>
    </w:p>
    <w:p w14:paraId="1A981AE4" w14:textId="6DB63312" w:rsidR="007403E4" w:rsidRPr="007403E4" w:rsidRDefault="007403E4" w:rsidP="007403E4">
      <w:r w:rsidRPr="007403E4">
        <w:t>Prasība norādīt leģitīmo interesi katra pieprasījuma gadījumā nav saudzējošāks risinājums, ar kuru leģitīmo mērķi varēs sasniegt tādā pašā kvalitātē, jo tas paredz plašu interpretācijas iespēju leģitīmajām interesēm un tiesvedības par atteikumu sniegt informāciju</w:t>
      </w:r>
      <w:r w:rsidR="005D3D4F">
        <w:t>.</w:t>
      </w:r>
      <w:r w:rsidRPr="007403E4">
        <w:t xml:space="preserve"> </w:t>
      </w:r>
      <w:r w:rsidR="005D3D4F">
        <w:t>T</w:t>
      </w:r>
      <w:r w:rsidRPr="007403E4">
        <w:t xml:space="preserve">āpat ne mazāk svarīgs apstāklis </w:t>
      </w:r>
      <w:r w:rsidR="00C33108">
        <w:t>sankciju noteikšanas mērķa nodrošināšanai</w:t>
      </w:r>
      <w:r w:rsidRPr="007403E4">
        <w:t xml:space="preserve"> ir pieprasītās informācijas saņemšana bez liekas vilcināšanās, kas prasības norādīt leģitīmo interesi katra pieprasījuma gadījumā, prasītu vairāk laika salīdzinoši ar to, ja šāds informācijas pieprasījums par PLG nebūtu katru reizi īpaši jāpamato. Šādi šķēršļi atturēs personas ikdienas darījumos mēģināt noskaidrot PLG. </w:t>
      </w:r>
    </w:p>
    <w:p w14:paraId="00167B84" w14:textId="5F1DD204" w:rsidR="00AF63F1" w:rsidRDefault="009F465D" w:rsidP="00727154">
      <w:r>
        <w:t xml:space="preserve">Papildus norādāms, ka </w:t>
      </w:r>
      <w:r w:rsidR="00A46149">
        <w:t>a</w:t>
      </w:r>
      <w:r w:rsidR="007403E4" w:rsidRPr="007403E4">
        <w:t xml:space="preserve">pstrādājot (darot publiski pieejamus) mazāku skaitu personas datu par PLG, piemēram, darot publiski pieejamu tikai PLG vārdu un uzvārdu, nenorādot informāciju, par veidu, kādā tiek īstenota kontrole pār uzņēmumu, tiktu liegta iespēja iegūt tādu informācijas apjomu par PLG, kas ļautu sasniegt izvirzītos leģitīmos mērķus. Ievērojot minēto, visa Reģistra rīcībā esošā informācija par PLG ir tāda informācija, kam persona var piekļūt, bez nepieciešamības pierādīt tās leģitīmo interesi. </w:t>
      </w:r>
      <w:r w:rsidR="002D553E">
        <w:t>Jau iepriekš skaidrots, ka s</w:t>
      </w:r>
      <w:r w:rsidR="002D553E" w:rsidRPr="002D553E">
        <w:t>askaņā ar Sankciju likuma 2. panta otro daļu visām personām ir pienākums ievērot un izpildīt starptautiskās un nacionālās sankcijas</w:t>
      </w:r>
      <w:r w:rsidR="00EC23FD">
        <w:t>, neatkarīgi no darbības jomas</w:t>
      </w:r>
      <w:r w:rsidR="002D553E" w:rsidRPr="002D553E">
        <w:t>.</w:t>
      </w:r>
      <w:r w:rsidR="00AF63F1">
        <w:t xml:space="preserve"> Savukārt starptautisko un nacionālo sankciju pārkāpšana ir noziedzīgs nodarījums. </w:t>
      </w:r>
    </w:p>
    <w:p w14:paraId="13D2C06F" w14:textId="3DFEA5B6" w:rsidR="006D36CF" w:rsidRDefault="571AFEA5" w:rsidP="00727154">
      <w:r>
        <w:t xml:space="preserve">Līdz ar to ir nepieciešams nodrošināt, ka </w:t>
      </w:r>
      <w:r w:rsidR="00AF63F1">
        <w:t>ikvienai personai ir reāla un efektīva iespēja pārliecināties</w:t>
      </w:r>
      <w:r>
        <w:t xml:space="preserve">, ka tiek </w:t>
      </w:r>
      <w:r w:rsidR="7C0280F6">
        <w:t>izpildīti no</w:t>
      </w:r>
      <w:r>
        <w:t xml:space="preserve"> Sankciju likum</w:t>
      </w:r>
      <w:r w:rsidR="7CCAFCE7">
        <w:t>a izrietošie ikvienas personas pienākumi</w:t>
      </w:r>
      <w:r>
        <w:t>, tostarp identificēt fiziskās personas, lai pārliecinātos, ka uz tām nav attiecināmi Sankciju likumā noteiktie ierobežojumi</w:t>
      </w:r>
      <w:r w:rsidR="00DF457C">
        <w:t>,</w:t>
      </w:r>
      <w:r w:rsidR="006D36CF" w:rsidRPr="00C6429E">
        <w:rPr>
          <w:vertAlign w:val="superscript"/>
        </w:rPr>
        <w:footnoteReference w:id="25"/>
      </w:r>
      <w:r w:rsidR="0022290C" w:rsidRPr="0022290C">
        <w:t xml:space="preserve"> </w:t>
      </w:r>
      <w:r w:rsidR="0022290C">
        <w:t xml:space="preserve">un </w:t>
      </w:r>
      <w:r w:rsidR="00487F35">
        <w:t xml:space="preserve">lai </w:t>
      </w:r>
      <w:r w:rsidR="00DF457C">
        <w:t xml:space="preserve">pienācīgi ievērotu </w:t>
      </w:r>
      <w:r w:rsidR="0022290C">
        <w:t>atbilstošajos Eiropas Savienības tiesību aktos noteikt</w:t>
      </w:r>
      <w:r w:rsidR="00DF457C">
        <w:t>os</w:t>
      </w:r>
      <w:r w:rsidR="0022290C">
        <w:t xml:space="preserve"> ierobežojum</w:t>
      </w:r>
      <w:r w:rsidR="00DF457C">
        <w:t>us.</w:t>
      </w:r>
    </w:p>
    <w:p w14:paraId="15ED931A" w14:textId="77777777" w:rsidR="00B8193E" w:rsidRDefault="00B8193E" w:rsidP="00727154"/>
    <w:p w14:paraId="086AA3C3" w14:textId="3E13E61F" w:rsidR="00727154" w:rsidRPr="00727154" w:rsidRDefault="72519DD8" w:rsidP="00A03943">
      <w:pPr>
        <w:pStyle w:val="Apakvirsraksts"/>
        <w:ind w:firstLine="0"/>
      </w:pPr>
      <w:r>
        <w:t xml:space="preserve">Vai </w:t>
      </w:r>
      <w:r w:rsidR="7EEDA795">
        <w:t>labums, ko iegūs sabiedrība, ir lielāks par indivīda tiesībām un likumiskajām interesēm nodarīto zaudējumu</w:t>
      </w:r>
      <w:r>
        <w:t>?</w:t>
      </w:r>
    </w:p>
    <w:p w14:paraId="0134C511" w14:textId="376FB230" w:rsidR="005B3F62" w:rsidRDefault="005A1127" w:rsidP="00727154">
      <w:r>
        <w:t>Sankciju likuma mērķis ir nodrošināt</w:t>
      </w:r>
      <w:r w:rsidR="000A4910">
        <w:t xml:space="preserve"> mieru, drošību un tiesiskumu</w:t>
      </w:r>
      <w:r w:rsidR="00DF457C">
        <w:t>, radot mehānismu starptautisko un nacionālo sankciju ieviešanai Latvijā</w:t>
      </w:r>
      <w:r w:rsidR="000A4910">
        <w:t xml:space="preserve">. Ziņu par PLG atklāšana ir būtisks elements </w:t>
      </w:r>
      <w:r w:rsidR="00DF457C">
        <w:t xml:space="preserve">Latvijai saistošo sankciju ievērošanā un Sankciju likuma un atbilstošo Eiropas Savienības tiesību aktu </w:t>
      </w:r>
      <w:r w:rsidR="1D1CDB17">
        <w:t xml:space="preserve"> mērķa sasniegšanai.</w:t>
      </w:r>
      <w:r w:rsidR="00DF457C">
        <w:t xml:space="preserve"> Kā minēts iepriekš, </w:t>
      </w:r>
      <w:r w:rsidR="00DF457C">
        <w:rPr>
          <w:rFonts w:eastAsia="Calibri" w:cs="Times New Roman"/>
        </w:rPr>
        <w:t>sankcijas ir instruments, lai vērstos pret starptautiskā miera, drošības un tiesiskuma apdraudējumu, tādēļ Sankciju likuma prasību izpilde un Latvijai saistošo nacionālo un starptautisko sankciju ievērošana ir nepieciešama, lai novērstu draudus arī Latvijas drošībai.</w:t>
      </w:r>
      <w:r w:rsidR="00776014">
        <w:rPr>
          <w:rFonts w:eastAsia="Calibri" w:cs="Times New Roman"/>
        </w:rPr>
        <w:t xml:space="preserve"> </w:t>
      </w:r>
    </w:p>
    <w:p w14:paraId="3DA2B706" w14:textId="38DD9DF5" w:rsidR="002202D3" w:rsidRDefault="00776014" w:rsidP="00727154">
      <w:r>
        <w:t>Šo apsvērumu dēļ</w:t>
      </w:r>
      <w:r w:rsidR="00325950">
        <w:t xml:space="preserve"> </w:t>
      </w:r>
      <w:r w:rsidR="00D27CA8">
        <w:t>ir būtiski nodrošināt</w:t>
      </w:r>
      <w:r>
        <w:t xml:space="preserve">, ka ikviena persona var </w:t>
      </w:r>
      <w:r w:rsidR="00D27CA8">
        <w:t>iegūt uzticamu un aktuālu informāciju par, piemēram, esošā vai iespējamā sadarbības partnera PLG</w:t>
      </w:r>
      <w:r w:rsidR="00DF457C">
        <w:t xml:space="preserve">, lai </w:t>
      </w:r>
      <w:r>
        <w:t xml:space="preserve">ikviena persona varētu izpildīt Sankciju likuma un </w:t>
      </w:r>
      <w:r>
        <w:rPr>
          <w:rFonts w:eastAsia="Calibri" w:cs="Times New Roman"/>
        </w:rPr>
        <w:t xml:space="preserve">Eiropas Savienības tiesību aktu prasības par ierobežojošajiem </w:t>
      </w:r>
      <w:r>
        <w:rPr>
          <w:rFonts w:eastAsia="Calibri" w:cs="Times New Roman"/>
        </w:rPr>
        <w:lastRenderedPageBreak/>
        <w:t>pasākumiem attiecībā uz konkrētām personām</w:t>
      </w:r>
      <w:r w:rsidR="0048170F">
        <w:t>.</w:t>
      </w:r>
      <w:r>
        <w:t xml:space="preserve"> I</w:t>
      </w:r>
      <w:r w:rsidR="0048170F">
        <w:t xml:space="preserve">r jo īpaši būtiski nodrošināt, lai PLG pārbaude </w:t>
      </w:r>
      <w:r w:rsidR="009B5ED4">
        <w:t xml:space="preserve">būtu īstenojama ikkatrā gadījumā un bez liekas vilcināšanās, ko varētu radīt, piemēram, leģitīmās intereses pierādīšanas pienākums. </w:t>
      </w:r>
    </w:p>
    <w:p w14:paraId="3DC9F3D1" w14:textId="0B94A72B" w:rsidR="00325950" w:rsidRDefault="00325950" w:rsidP="00325950">
      <w:r>
        <w:t>Gadījumā, ja ziņu par PLG nepieejamības dēļ ir notikusi sankciju apiešana vai pārkāpšana, tad sekas tiek radītas ne tikai tiesiskā darījuma dalībniekam, bet arī sabiedrībai kopumā, tā kā faktiski tiek radīt</w:t>
      </w:r>
      <w:r w:rsidR="00707214">
        <w:t>a labvēlīga situācija sankcijām pakļautajai personai, kura citādi</w:t>
      </w:r>
      <w:r w:rsidR="006D116D">
        <w:t>, iespējams,</w:t>
      </w:r>
      <w:r w:rsidR="00707214">
        <w:t xml:space="preserve"> </w:t>
      </w:r>
      <w:r w:rsidR="006D116D">
        <w:t>nesaņemtu attiecīgo</w:t>
      </w:r>
      <w:r w:rsidR="001A225E">
        <w:t>s finanšu līdzekļus,</w:t>
      </w:r>
      <w:r w:rsidR="006D116D">
        <w:t xml:space="preserve"> prec</w:t>
      </w:r>
      <w:r w:rsidR="001A225E">
        <w:t>es</w:t>
      </w:r>
      <w:r w:rsidR="006D116D">
        <w:t xml:space="preserve"> vai pakalpojumu</w:t>
      </w:r>
      <w:r w:rsidR="001A225E">
        <w:t>s</w:t>
      </w:r>
      <w:r w:rsidR="006D116D">
        <w:t>.</w:t>
      </w:r>
    </w:p>
    <w:p w14:paraId="7C9D67B3" w14:textId="381193C4" w:rsidR="00570B95" w:rsidRDefault="006D116D" w:rsidP="00727154">
      <w:r>
        <w:t xml:space="preserve">Līdz ar to </w:t>
      </w:r>
      <w:r w:rsidR="00604DEE">
        <w:t xml:space="preserve">ziņu par PLG pieejamība ikvienai personai bez nepieciešamības pamatot </w:t>
      </w:r>
      <w:r w:rsidR="0009531F">
        <w:t xml:space="preserve">tās leģitīmo interesi ir </w:t>
      </w:r>
      <w:r w:rsidR="000828ED">
        <w:t xml:space="preserve">nepieciešama plašāku interešu aizsardzībai (sabiedrības miers, drošība un tiesiskums) un </w:t>
      </w:r>
      <w:r w:rsidR="00D33E75">
        <w:t xml:space="preserve">tādējādi </w:t>
      </w:r>
      <w:r w:rsidR="000828ED">
        <w:t>samērīga iepretim atsevišķu indivīdu interešu ierobežojumam, kas rodas no tā, ka ziņas par PLG ir pieejamas ikvienam bez nepie</w:t>
      </w:r>
      <w:r w:rsidR="00D33E75">
        <w:t>ciešamības pierādīt savu leģitīmo interesi</w:t>
      </w:r>
      <w:r w:rsidR="000828ED">
        <w:t>.</w:t>
      </w:r>
    </w:p>
    <w:p w14:paraId="577AEFFD" w14:textId="77777777" w:rsidR="00727154" w:rsidRDefault="00727154" w:rsidP="00122330"/>
    <w:p w14:paraId="0D82878F" w14:textId="68534733" w:rsidR="00727154" w:rsidRDefault="7B63ACDE" w:rsidP="00973F70">
      <w:pPr>
        <w:pStyle w:val="Virsraksts1"/>
      </w:pPr>
      <w:r>
        <w:t>4. Par PLG reģistra pieejamību ikvienai personai turpmāk</w:t>
      </w:r>
    </w:p>
    <w:p w14:paraId="3DB4A43B" w14:textId="71F5C38F" w:rsidR="00704259" w:rsidRPr="00704259" w:rsidRDefault="008770CD" w:rsidP="00704259">
      <w:r w:rsidRPr="008770CD">
        <w:t>Ņemot vērā iepriekš minēto</w:t>
      </w:r>
      <w:r w:rsidR="00011C71">
        <w:t>,</w:t>
      </w:r>
      <w:r w:rsidRPr="008770CD">
        <w:t xml:space="preserve"> secināms, ka</w:t>
      </w:r>
      <w:r w:rsidR="00704259" w:rsidRPr="00704259">
        <w:t xml:space="preserve"> Satversmes 96. panta ierobežojums, kuru rada informācijas par PLG atklāšana sabiedrībai, ir attaisnojams ar leģitīmiem mērķiem, ir samērīgs un atbilstošs Satversmes 96. pantam un nodrošina Satversmes 100. pantā paredzētās tiesības uz informāciju. </w:t>
      </w:r>
    </w:p>
    <w:p w14:paraId="4FA22350" w14:textId="60DDE4C4" w:rsidR="008770CD" w:rsidRDefault="7A5A605C" w:rsidP="008770CD">
      <w:r>
        <w:t>Latvijā brīva pieeja informācijai par PLG tiek nodrošināta, lai sasniegtu plašāku leģitīmo mērķu klāstu nekā tas ticis vērtēts Spriedumā, līdz ar to Spriedumā paustās atziņas nebūtu tieši attiecināmas uz tiesisko situāciju Latvijā. Turklāt Reģistrs savus publiskos reģistrus atvēra pirms AML V direktīvas pieņemšanas. Ērtā piekļuve informācijai par PLG nodrošina drošu darījumu vidi Latvijā, kā arī ir nepieciešama Sankciju likumā noteikto prasību izpildei.</w:t>
      </w:r>
    </w:p>
    <w:p w14:paraId="10FF512B" w14:textId="5A7C3AAC" w:rsidR="00851E92" w:rsidRPr="00851E92" w:rsidRDefault="7A5A605C" w:rsidP="00851E92">
      <w:r>
        <w:t>Izvērtējot nacionālo regulējumu, secināms, ka nav nepieciešam</w:t>
      </w:r>
      <w:r w:rsidR="3C5A79F6">
        <w:t>s veikt grozījumus</w:t>
      </w:r>
      <w:r>
        <w:t xml:space="preserve"> tajā. </w:t>
      </w:r>
      <w:r w:rsidR="0435B80D">
        <w:t>L</w:t>
      </w:r>
      <w:r w:rsidR="3C5A79F6">
        <w:t>ikuma “Par Latvijas Republikas Uzņēmumu reģistr</w:t>
      </w:r>
      <w:r w:rsidR="07965276">
        <w:t xml:space="preserve">u” </w:t>
      </w:r>
      <w:r w:rsidR="3DA8061E">
        <w:t>4. panta 5.</w:t>
      </w:r>
      <w:r w:rsidR="3DA8061E" w:rsidRPr="0F711F34">
        <w:rPr>
          <w:vertAlign w:val="superscript"/>
        </w:rPr>
        <w:t>14</w:t>
      </w:r>
      <w:r w:rsidR="3DA8061E">
        <w:t> </w:t>
      </w:r>
      <w:r w:rsidR="0435B80D">
        <w:t xml:space="preserve">punktā </w:t>
      </w:r>
      <w:r w:rsidR="001A225E">
        <w:t xml:space="preserve">norādītais Uzņēmumu reģistra uzdevums ir saistāms ar </w:t>
      </w:r>
      <w:r w:rsidR="0435B80D">
        <w:t xml:space="preserve">Novēršanas likuma un Sankciju likuma </w:t>
      </w:r>
      <w:r w:rsidR="001A225E">
        <w:t xml:space="preserve">prasību ievērošanas </w:t>
      </w:r>
      <w:r w:rsidR="0435B80D">
        <w:t>tehnisk</w:t>
      </w:r>
      <w:r w:rsidR="001A225E">
        <w:t>o</w:t>
      </w:r>
      <w:r w:rsidR="0435B80D">
        <w:t xml:space="preserve"> izpildījum</w:t>
      </w:r>
      <w:r w:rsidR="001A225E">
        <w:t>u</w:t>
      </w:r>
      <w:r w:rsidR="0435B80D">
        <w:t xml:space="preserve">. </w:t>
      </w:r>
      <w:r w:rsidR="5EB2AF81">
        <w:t xml:space="preserve">Tādējādi tieši </w:t>
      </w:r>
      <w:r w:rsidR="0435B80D">
        <w:t>Novēršanas likumā un Sankciju likumā ietvertās normas nodrošina ziņu par PLG pieejamības juridisko pamatu</w:t>
      </w:r>
      <w:r w:rsidR="5EB2AF81">
        <w:t xml:space="preserve"> un grozījumu izdarīšana likumā “Par Latvijas Republikas Uzņēmumu reģistru” </w:t>
      </w:r>
      <w:r w:rsidR="6D8CDF4E">
        <w:t>varētu radīt nepamatotas interpretācijas par jauniem vai atšķirīgiem PLG ziņu ierakstīšanas mērķiem.</w:t>
      </w:r>
    </w:p>
    <w:p w14:paraId="1C8C51E4" w14:textId="5AAE47A0" w:rsidR="00851E92" w:rsidRDefault="71550FFE" w:rsidP="00122330">
      <w:r>
        <w:t xml:space="preserve">Ievērojot minēto, </w:t>
      </w:r>
      <w:r w:rsidR="34DB9041">
        <w:t xml:space="preserve">proti, izvērtējot Spriedumā norādīto un Latvijas nacionālo regulējumu, secināms, ka nav pamata mainīt līdzšinējo pieeju, nodrošinot ziņu </w:t>
      </w:r>
      <w:r w:rsidR="04B10670">
        <w:t>par PLG pieejamību ikvienam sabiedrības loceklim bez nepieciešamības pierādīt tā leģitīmo interesi.</w:t>
      </w:r>
    </w:p>
    <w:p w14:paraId="07EF9CC3" w14:textId="77777777" w:rsidR="00CA204E" w:rsidRDefault="00CA204E" w:rsidP="00CA204E">
      <w:pPr>
        <w:ind w:firstLine="0"/>
      </w:pPr>
    </w:p>
    <w:p w14:paraId="391539B5" w14:textId="77777777" w:rsidR="00CA204E" w:rsidRDefault="00CA204E" w:rsidP="00CA204E">
      <w:pPr>
        <w:ind w:firstLine="0"/>
      </w:pPr>
    </w:p>
    <w:p w14:paraId="698F03B6" w14:textId="72547C39" w:rsidR="00CA204E" w:rsidRDefault="00CA204E" w:rsidP="009607F3">
      <w:pPr>
        <w:tabs>
          <w:tab w:val="right" w:pos="9356"/>
        </w:tabs>
        <w:ind w:firstLine="0"/>
      </w:pPr>
      <w:r>
        <w:t>Tieslietu ministre</w:t>
      </w:r>
      <w:r>
        <w:tab/>
        <w:t>I. Lībiņa-Egnere</w:t>
      </w:r>
    </w:p>
    <w:p w14:paraId="4B85C438" w14:textId="77777777" w:rsidR="00CA204E" w:rsidRDefault="00CA204E" w:rsidP="00CA204E">
      <w:pPr>
        <w:tabs>
          <w:tab w:val="right" w:pos="8640"/>
        </w:tabs>
        <w:ind w:firstLine="0"/>
      </w:pPr>
    </w:p>
    <w:p w14:paraId="64A5D0A1" w14:textId="77777777" w:rsidR="00CA204E" w:rsidRDefault="00CA204E" w:rsidP="00CA204E">
      <w:pPr>
        <w:tabs>
          <w:tab w:val="right" w:pos="8640"/>
        </w:tabs>
        <w:ind w:firstLine="0"/>
      </w:pPr>
    </w:p>
    <w:p w14:paraId="18F3C132" w14:textId="5AAD7BA4" w:rsidR="00CA204E" w:rsidRPr="00CA204E" w:rsidRDefault="00CA204E" w:rsidP="00CA204E">
      <w:pPr>
        <w:tabs>
          <w:tab w:val="right" w:pos="8640"/>
        </w:tabs>
        <w:ind w:firstLine="0"/>
        <w:rPr>
          <w:i/>
          <w:iCs/>
          <w:sz w:val="20"/>
          <w:szCs w:val="20"/>
        </w:rPr>
      </w:pPr>
      <w:r>
        <w:rPr>
          <w:i/>
          <w:iCs/>
          <w:sz w:val="20"/>
          <w:szCs w:val="20"/>
        </w:rPr>
        <w:t>L. Ozola 67046147</w:t>
      </w:r>
      <w:r>
        <w:rPr>
          <w:i/>
          <w:iCs/>
          <w:sz w:val="20"/>
          <w:szCs w:val="20"/>
        </w:rPr>
        <w:br/>
        <w:t>Liene.Ozola@tm.gov.lv</w:t>
      </w:r>
    </w:p>
    <w:sectPr w:rsidR="00CA204E" w:rsidRPr="00CA204E" w:rsidSect="008E0082">
      <w:footerReference w:type="default" r:id="rId8"/>
      <w:pgSz w:w="12240" w:h="15840"/>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CABAC" w14:textId="77777777" w:rsidR="000674C0" w:rsidRDefault="000674C0" w:rsidP="00122330">
      <w:pPr>
        <w:spacing w:before="0" w:after="0"/>
      </w:pPr>
      <w:r>
        <w:separator/>
      </w:r>
    </w:p>
  </w:endnote>
  <w:endnote w:type="continuationSeparator" w:id="0">
    <w:p w14:paraId="166A3C30" w14:textId="77777777" w:rsidR="000674C0" w:rsidRDefault="000674C0" w:rsidP="00122330">
      <w:pPr>
        <w:spacing w:before="0" w:after="0"/>
      </w:pPr>
      <w:r>
        <w:continuationSeparator/>
      </w:r>
    </w:p>
  </w:endnote>
  <w:endnote w:type="continuationNotice" w:id="1">
    <w:p w14:paraId="34C546D7" w14:textId="77777777" w:rsidR="000674C0" w:rsidRDefault="000674C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0449807"/>
      <w:docPartObj>
        <w:docPartGallery w:val="Page Numbers (Bottom of Page)"/>
        <w:docPartUnique/>
      </w:docPartObj>
    </w:sdtPr>
    <w:sdtContent>
      <w:p w14:paraId="1B014855" w14:textId="0BAA8C9F" w:rsidR="00A04478" w:rsidRDefault="00A04478" w:rsidP="00CA204E">
        <w:pPr>
          <w:pStyle w:val="Kjene"/>
          <w:ind w:firstLine="0"/>
          <w:jc w:val="center"/>
        </w:pPr>
        <w:r>
          <w:fldChar w:fldCharType="begin"/>
        </w:r>
        <w:r>
          <w:instrText>PAGE   \* MERGEFORMAT</w:instrText>
        </w:r>
        <w:r>
          <w:fldChar w:fldCharType="separate"/>
        </w:r>
        <w:r w:rsidR="0F711F34">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528B5" w14:textId="77777777" w:rsidR="000674C0" w:rsidRDefault="000674C0" w:rsidP="00122330">
      <w:pPr>
        <w:spacing w:before="0" w:after="0"/>
      </w:pPr>
      <w:r>
        <w:separator/>
      </w:r>
    </w:p>
  </w:footnote>
  <w:footnote w:type="continuationSeparator" w:id="0">
    <w:p w14:paraId="2BAEAEE9" w14:textId="77777777" w:rsidR="000674C0" w:rsidRDefault="000674C0" w:rsidP="00122330">
      <w:pPr>
        <w:spacing w:before="0" w:after="0"/>
      </w:pPr>
      <w:r>
        <w:continuationSeparator/>
      </w:r>
    </w:p>
  </w:footnote>
  <w:footnote w:type="continuationNotice" w:id="1">
    <w:p w14:paraId="22826E85" w14:textId="77777777" w:rsidR="000674C0" w:rsidRDefault="000674C0">
      <w:pPr>
        <w:spacing w:before="0" w:after="0"/>
      </w:pPr>
    </w:p>
  </w:footnote>
  <w:footnote w:id="2">
    <w:p w14:paraId="5B52DF32" w14:textId="77777777" w:rsidR="00D01DE3" w:rsidRPr="00BF1988" w:rsidRDefault="00D01DE3" w:rsidP="00F97B74">
      <w:pPr>
        <w:pStyle w:val="Vresteksts"/>
        <w:jc w:val="both"/>
        <w:rPr>
          <w:rFonts w:cs="Times New Roman"/>
        </w:rPr>
      </w:pPr>
      <w:r w:rsidRPr="00BF1988">
        <w:rPr>
          <w:rStyle w:val="Vresatsauce"/>
          <w:rFonts w:cs="Times New Roman"/>
        </w:rPr>
        <w:footnoteRef/>
      </w:r>
      <w:r w:rsidRPr="00BF1988">
        <w:rPr>
          <w:rFonts w:cs="Times New Roman"/>
        </w:rPr>
        <w:t xml:space="preserve"> Pieejams: </w:t>
      </w:r>
      <w:hyperlink r:id="rId1" w:history="1">
        <w:r w:rsidRPr="00BF1988">
          <w:rPr>
            <w:rStyle w:val="Hipersaite"/>
            <w:rFonts w:cs="Times New Roman"/>
          </w:rPr>
          <w:t>https://eur-lex.europa.eu/legal-content/LV/TXT/?uri=CELEX:62020CJ0037</w:t>
        </w:r>
      </w:hyperlink>
      <w:r w:rsidRPr="00BF1988">
        <w:rPr>
          <w:rFonts w:cs="Times New Roman"/>
        </w:rPr>
        <w:t xml:space="preserve"> </w:t>
      </w:r>
    </w:p>
  </w:footnote>
  <w:footnote w:id="3">
    <w:p w14:paraId="76E2B081" w14:textId="4EFC1351" w:rsidR="0069666C" w:rsidRPr="00BF1988" w:rsidRDefault="0069666C" w:rsidP="00F97B74">
      <w:pPr>
        <w:pStyle w:val="Vresteksts"/>
        <w:jc w:val="both"/>
        <w:rPr>
          <w:rFonts w:cs="Times New Roman"/>
        </w:rPr>
      </w:pPr>
      <w:r w:rsidRPr="00BF1988">
        <w:rPr>
          <w:rStyle w:val="Vresatsauce"/>
          <w:rFonts w:cs="Times New Roman"/>
        </w:rPr>
        <w:footnoteRef/>
      </w:r>
      <w:r w:rsidR="0F711F34" w:rsidRPr="00BF1988">
        <w:rPr>
          <w:rFonts w:cs="Times New Roman"/>
        </w:rPr>
        <w:t xml:space="preserve"> Skat. AML IV direktīvas 30. panta 5. punkta pirmās daļas c) apakšpunktu un otro daļu.</w:t>
      </w:r>
    </w:p>
  </w:footnote>
  <w:footnote w:id="4">
    <w:p w14:paraId="498A08BD" w14:textId="613CCAA5" w:rsidR="000B4FE3" w:rsidRPr="00BF1988" w:rsidRDefault="000B4FE3" w:rsidP="00F97B74">
      <w:pPr>
        <w:pStyle w:val="Vresteksts"/>
        <w:jc w:val="both"/>
        <w:rPr>
          <w:rFonts w:cs="Times New Roman"/>
        </w:rPr>
      </w:pPr>
      <w:r w:rsidRPr="00BF1988">
        <w:rPr>
          <w:rStyle w:val="Vresatsauce"/>
          <w:rFonts w:cs="Times New Roman"/>
        </w:rPr>
        <w:footnoteRef/>
      </w:r>
      <w:r w:rsidR="0F711F34" w:rsidRPr="00BF1988">
        <w:rPr>
          <w:rFonts w:cs="Times New Roman"/>
        </w:rPr>
        <w:t xml:space="preserve"> Skat. AML V direktīvas 1. panta 15. punkta c) apakšpunktu</w:t>
      </w:r>
    </w:p>
  </w:footnote>
  <w:footnote w:id="5">
    <w:p w14:paraId="4D444FCF" w14:textId="266200CF" w:rsidR="002E7F07" w:rsidRPr="00BF1988" w:rsidRDefault="002E7F07" w:rsidP="00F97B74">
      <w:pPr>
        <w:pStyle w:val="Vresteksts"/>
        <w:jc w:val="both"/>
        <w:rPr>
          <w:rFonts w:cs="Times New Roman"/>
        </w:rPr>
      </w:pPr>
      <w:r w:rsidRPr="00BF1988">
        <w:rPr>
          <w:rStyle w:val="Vresatsauce"/>
          <w:rFonts w:cs="Times New Roman"/>
        </w:rPr>
        <w:footnoteRef/>
      </w:r>
      <w:r w:rsidR="0F711F34" w:rsidRPr="00BF1988">
        <w:rPr>
          <w:rFonts w:cs="Times New Roman"/>
        </w:rPr>
        <w:t xml:space="preserve"> Hartas 52. panta 1. punkts paredz, ka visiem šajā Hartā atzīto tiesību un brīvību izmantošanas ierobežojumiem ir jābūt noteiktiem tiesību aktos, un tajos jārespektē šo tiesību un brīvību būtība. Ievērojot proporcionalitātes principu, ierobežojumus drīkst uzlikt tikai tad, ja tie ir nepieciešami un patiešām atbilst vispārējas nozīmes mērķiem, ko atzinusi Eiropas Savienība, vai vajadzībai aizsargāt citu personu tiesības un brīvības.</w:t>
      </w:r>
    </w:p>
  </w:footnote>
  <w:footnote w:id="6">
    <w:p w14:paraId="1CE8CF40" w14:textId="75C9EB20" w:rsidR="0088624C" w:rsidRPr="00BF1988" w:rsidRDefault="0088624C" w:rsidP="00F97B74">
      <w:pPr>
        <w:pStyle w:val="Vresteksts"/>
        <w:jc w:val="both"/>
        <w:rPr>
          <w:rFonts w:cs="Times New Roman"/>
        </w:rPr>
      </w:pPr>
      <w:r w:rsidRPr="00BF1988">
        <w:rPr>
          <w:rStyle w:val="Vresatsauce"/>
          <w:rFonts w:cs="Times New Roman"/>
        </w:rPr>
        <w:footnoteRef/>
      </w:r>
      <w:r w:rsidR="0F711F34" w:rsidRPr="00BF1988">
        <w:rPr>
          <w:rFonts w:cs="Times New Roman"/>
        </w:rPr>
        <w:t xml:space="preserve"> Skat. Sprieduma 44. un 46. punktu.  </w:t>
      </w:r>
    </w:p>
  </w:footnote>
  <w:footnote w:id="7">
    <w:p w14:paraId="2A6381D9" w14:textId="4FC661C3" w:rsidR="0088624C" w:rsidRPr="00BF1988" w:rsidRDefault="0088624C" w:rsidP="00F97B74">
      <w:pPr>
        <w:pStyle w:val="Vresteksts"/>
        <w:jc w:val="both"/>
        <w:rPr>
          <w:rFonts w:cs="Times New Roman"/>
        </w:rPr>
      </w:pPr>
      <w:r w:rsidRPr="00BF1988">
        <w:rPr>
          <w:rStyle w:val="Vresatsauce"/>
          <w:rFonts w:cs="Times New Roman"/>
        </w:rPr>
        <w:footnoteRef/>
      </w:r>
      <w:r w:rsidR="0F711F34" w:rsidRPr="00BF1988">
        <w:rPr>
          <w:rFonts w:cs="Times New Roman"/>
        </w:rPr>
        <w:t xml:space="preserve"> Skat. Sprieduma 49. un 54. punktu. </w:t>
      </w:r>
    </w:p>
  </w:footnote>
  <w:footnote w:id="8">
    <w:p w14:paraId="46793321" w14:textId="5F5F0761" w:rsidR="0088624C" w:rsidRPr="00BF1988" w:rsidRDefault="0088624C" w:rsidP="00F97B74">
      <w:pPr>
        <w:pStyle w:val="Vresteksts"/>
        <w:jc w:val="both"/>
        <w:rPr>
          <w:rFonts w:cs="Times New Roman"/>
        </w:rPr>
      </w:pPr>
      <w:r w:rsidRPr="00BF1988">
        <w:rPr>
          <w:rStyle w:val="Vresatsauce"/>
          <w:rFonts w:cs="Times New Roman"/>
        </w:rPr>
        <w:footnoteRef/>
      </w:r>
      <w:r w:rsidR="0F711F34" w:rsidRPr="00BF1988">
        <w:rPr>
          <w:rFonts w:cs="Times New Roman"/>
        </w:rPr>
        <w:t xml:space="preserve"> Skat. Sprieduma 58. punktu. </w:t>
      </w:r>
    </w:p>
  </w:footnote>
  <w:footnote w:id="9">
    <w:p w14:paraId="3473508C" w14:textId="1F24D2DB" w:rsidR="00122330" w:rsidRPr="00BF1988" w:rsidRDefault="00122330" w:rsidP="00F97B74">
      <w:pPr>
        <w:pStyle w:val="Vresteksts"/>
        <w:jc w:val="both"/>
        <w:rPr>
          <w:rFonts w:cs="Times New Roman"/>
        </w:rPr>
      </w:pPr>
      <w:r w:rsidRPr="00BF1988">
        <w:rPr>
          <w:rStyle w:val="Vresatsauce"/>
          <w:rFonts w:cs="Times New Roman"/>
        </w:rPr>
        <w:footnoteRef/>
      </w:r>
      <w:r w:rsidR="0F711F34" w:rsidRPr="00BF1988">
        <w:rPr>
          <w:rFonts w:cs="Times New Roman"/>
        </w:rPr>
        <w:t xml:space="preserve"> Skat. Sprieduma 67. punktu. </w:t>
      </w:r>
    </w:p>
  </w:footnote>
  <w:footnote w:id="10">
    <w:p w14:paraId="46E5E05A" w14:textId="71C76FDC" w:rsidR="00122330" w:rsidRPr="00BF1988" w:rsidRDefault="00122330" w:rsidP="00F97B74">
      <w:pPr>
        <w:pStyle w:val="Vresteksts"/>
        <w:jc w:val="both"/>
        <w:rPr>
          <w:rFonts w:cs="Times New Roman"/>
        </w:rPr>
      </w:pPr>
      <w:r w:rsidRPr="00BF1988">
        <w:rPr>
          <w:rStyle w:val="Vresatsauce"/>
          <w:rFonts w:cs="Times New Roman"/>
        </w:rPr>
        <w:footnoteRef/>
      </w:r>
      <w:r w:rsidR="0F711F34" w:rsidRPr="00BF1988">
        <w:rPr>
          <w:rFonts w:cs="Times New Roman"/>
        </w:rPr>
        <w:t xml:space="preserve"> Skat. Sprieduma 75. un 76. punktu.</w:t>
      </w:r>
    </w:p>
  </w:footnote>
  <w:footnote w:id="11">
    <w:p w14:paraId="7BDCC032" w14:textId="5B5DB206" w:rsidR="00122330" w:rsidRPr="00BF1988" w:rsidRDefault="00122330" w:rsidP="00F97B74">
      <w:pPr>
        <w:pStyle w:val="Vresteksts"/>
        <w:jc w:val="both"/>
        <w:rPr>
          <w:rFonts w:cs="Times New Roman"/>
        </w:rPr>
      </w:pPr>
      <w:r w:rsidRPr="00BF1988">
        <w:rPr>
          <w:rStyle w:val="Vresatsauce"/>
          <w:rFonts w:cs="Times New Roman"/>
        </w:rPr>
        <w:footnoteRef/>
      </w:r>
      <w:r w:rsidR="0F711F34" w:rsidRPr="00BF1988">
        <w:rPr>
          <w:rFonts w:cs="Times New Roman"/>
        </w:rPr>
        <w:t xml:space="preserve"> Skat. Sprieduma 83. – 85. punktu.</w:t>
      </w:r>
    </w:p>
  </w:footnote>
  <w:footnote w:id="12">
    <w:p w14:paraId="10A227E3" w14:textId="45A98A7C" w:rsidR="00514ED3" w:rsidRPr="00BF1988" w:rsidRDefault="00514ED3">
      <w:pPr>
        <w:pStyle w:val="Vresteksts"/>
        <w:rPr>
          <w:rFonts w:cs="Times New Roman"/>
        </w:rPr>
      </w:pPr>
      <w:r w:rsidRPr="00BF1988">
        <w:rPr>
          <w:rStyle w:val="Vresatsauce"/>
          <w:rFonts w:cs="Times New Roman"/>
        </w:rPr>
        <w:footnoteRef/>
      </w:r>
      <w:r w:rsidR="0F711F34" w:rsidRPr="00BF1988">
        <w:rPr>
          <w:rFonts w:cs="Times New Roman"/>
        </w:rPr>
        <w:t xml:space="preserve"> Skat. Novēršanas likuma 18.</w:t>
      </w:r>
      <w:r w:rsidR="0F711F34" w:rsidRPr="00BF1988">
        <w:rPr>
          <w:rFonts w:cs="Times New Roman"/>
          <w:vertAlign w:val="superscript"/>
        </w:rPr>
        <w:t>3</w:t>
      </w:r>
      <w:r w:rsidR="0F711F34" w:rsidRPr="00BF1988">
        <w:rPr>
          <w:rFonts w:cs="Times New Roman"/>
        </w:rPr>
        <w:t> panta pirmo daļu.</w:t>
      </w:r>
    </w:p>
  </w:footnote>
  <w:footnote w:id="13">
    <w:p w14:paraId="15FD4B37" w14:textId="2DF0AE2A" w:rsidR="006A0E4D" w:rsidRPr="00BF1988" w:rsidRDefault="006A0E4D" w:rsidP="006A0E4D">
      <w:pPr>
        <w:pStyle w:val="Vresteksts"/>
        <w:jc w:val="both"/>
        <w:rPr>
          <w:rFonts w:cs="Times New Roman"/>
        </w:rPr>
      </w:pPr>
      <w:r w:rsidRPr="00BF1988">
        <w:rPr>
          <w:rStyle w:val="Vresatsauce"/>
          <w:rFonts w:cs="Times New Roman"/>
        </w:rPr>
        <w:footnoteRef/>
      </w:r>
      <w:r w:rsidR="0F711F34" w:rsidRPr="00BF1988">
        <w:rPr>
          <w:rFonts w:cs="Times New Roman"/>
        </w:rPr>
        <w:t xml:space="preserve"> Skat. Sprieduma 83. punktu.  </w:t>
      </w:r>
    </w:p>
  </w:footnote>
  <w:footnote w:id="14">
    <w:p w14:paraId="313B28E4" w14:textId="2D4E94C1" w:rsidR="006A0E4D" w:rsidRPr="00BF1988" w:rsidRDefault="006A0E4D" w:rsidP="006A0E4D">
      <w:pPr>
        <w:pStyle w:val="Vresteksts"/>
        <w:jc w:val="both"/>
        <w:rPr>
          <w:rFonts w:cs="Times New Roman"/>
        </w:rPr>
      </w:pPr>
      <w:r w:rsidRPr="00BF1988">
        <w:rPr>
          <w:rStyle w:val="Vresatsauce"/>
          <w:rFonts w:cs="Times New Roman"/>
        </w:rPr>
        <w:footnoteRef/>
      </w:r>
      <w:r w:rsidR="0F711F34" w:rsidRPr="00BF1988">
        <w:rPr>
          <w:rFonts w:cs="Times New Roman"/>
        </w:rPr>
        <w:t xml:space="preserve"> Sankciju likuma 2. panta otrā daļa. </w:t>
      </w:r>
    </w:p>
  </w:footnote>
  <w:footnote w:id="15">
    <w:p w14:paraId="5A72C884" w14:textId="610248D0" w:rsidR="00727154" w:rsidRPr="00BF1988" w:rsidRDefault="00727154" w:rsidP="00F97B74">
      <w:pPr>
        <w:pStyle w:val="Vresteksts"/>
        <w:jc w:val="both"/>
        <w:rPr>
          <w:rFonts w:cs="Times New Roman"/>
        </w:rPr>
      </w:pPr>
      <w:r w:rsidRPr="00BF1988">
        <w:rPr>
          <w:rStyle w:val="Vresatsauce"/>
          <w:rFonts w:cs="Times New Roman"/>
        </w:rPr>
        <w:footnoteRef/>
      </w:r>
      <w:r w:rsidR="0F711F34" w:rsidRPr="00BF1988">
        <w:rPr>
          <w:rFonts w:cs="Times New Roman"/>
        </w:rPr>
        <w:t xml:space="preserve"> Skatīt, piemēram, Satversmes tiesas 2011. gada 30. marta sprieduma lietā Nr. 2010-60-01 23. punktu.</w:t>
      </w:r>
    </w:p>
  </w:footnote>
  <w:footnote w:id="16">
    <w:p w14:paraId="6E8545E9" w14:textId="77777777" w:rsidR="00D86C12" w:rsidRPr="00003A70" w:rsidRDefault="00D86C12" w:rsidP="00D86C12">
      <w:pPr>
        <w:pStyle w:val="Vresteksts"/>
        <w:jc w:val="both"/>
      </w:pPr>
      <w:r>
        <w:rPr>
          <w:rStyle w:val="Vresatsauce"/>
        </w:rPr>
        <w:footnoteRef/>
      </w:r>
      <w:r>
        <w:t xml:space="preserve"> Skat. vispārējos principus, piemēram, </w:t>
      </w:r>
      <w:r>
        <w:rPr>
          <w:i/>
        </w:rPr>
        <w:t xml:space="preserve">Satakunnan Markkinaporssi Oy un Satamedia OY pret Somiju </w:t>
      </w:r>
      <w:r>
        <w:t xml:space="preserve">(iesniegums Nr.931/13), 2017.gada 27.jūnija Eiropas Cilvēktiesību tiesas Lielās palātas spriedums; skat. principus vispārīgi, piemēram, arī </w:t>
      </w:r>
      <w:r>
        <w:rPr>
          <w:i/>
        </w:rPr>
        <w:t xml:space="preserve">N.K. pret Nīderlandi </w:t>
      </w:r>
      <w:r>
        <w:t>(iesniegums Nr.2324/2013), ANO Cilvēktiesību komitejas 2017.gada 18.jūlija viedoklis attiecībā uz DNS datu bāzes uzturēšanu.</w:t>
      </w:r>
    </w:p>
  </w:footnote>
  <w:footnote w:id="17">
    <w:p w14:paraId="395871D6" w14:textId="77777777" w:rsidR="00C6429E" w:rsidRDefault="00C6429E" w:rsidP="00C6429E">
      <w:pPr>
        <w:pStyle w:val="Vresteksts"/>
        <w:jc w:val="both"/>
        <w:rPr>
          <w:rFonts w:cs="Times New Roman"/>
        </w:rPr>
      </w:pPr>
      <w:r>
        <w:rPr>
          <w:rStyle w:val="Vresatsauce"/>
          <w:rFonts w:cs="Times New Roman"/>
        </w:rPr>
        <w:footnoteRef/>
      </w:r>
      <w:r w:rsidR="0F711F34">
        <w:rPr>
          <w:rFonts w:cs="Times New Roman"/>
        </w:rPr>
        <w:t xml:space="preserve"> Satversmes tiesas 2005. gada 13. maija sprieduma lietā Nr. 2004-18-0106 secinājumu daļas 19. punkts un 2014. gada 28. novembra sprieduma lietā Nr. 2014-09-01 20.2. punkts.</w:t>
      </w:r>
    </w:p>
  </w:footnote>
  <w:footnote w:id="18">
    <w:p w14:paraId="15EBE590" w14:textId="77777777" w:rsidR="004A7AD0" w:rsidRDefault="004A7AD0" w:rsidP="004A7AD0">
      <w:pPr>
        <w:pStyle w:val="Vresteksts"/>
        <w:jc w:val="both"/>
        <w:rPr>
          <w:rFonts w:cs="Times New Roman"/>
        </w:rPr>
      </w:pPr>
      <w:r>
        <w:rPr>
          <w:rStyle w:val="Vresatsauce"/>
          <w:rFonts w:cs="Times New Roman"/>
        </w:rPr>
        <w:footnoteRef/>
      </w:r>
      <w:r w:rsidR="0F711F34">
        <w:rPr>
          <w:rFonts w:cs="Times New Roman"/>
        </w:rPr>
        <w:t xml:space="preserve"> Satversmes tiesas 2002. gada 19. marta sprieduma lietā Nr. 2001-12-01 3.1. punkts.</w:t>
      </w:r>
    </w:p>
  </w:footnote>
  <w:footnote w:id="19">
    <w:p w14:paraId="15D27C63" w14:textId="77777777" w:rsidR="004A7AD0" w:rsidRDefault="004A7AD0" w:rsidP="004A7AD0">
      <w:pPr>
        <w:pStyle w:val="Vresteksts"/>
        <w:jc w:val="both"/>
        <w:rPr>
          <w:rFonts w:cs="Times New Roman"/>
        </w:rPr>
      </w:pPr>
      <w:r>
        <w:rPr>
          <w:rStyle w:val="Vresatsauce"/>
          <w:rFonts w:cs="Times New Roman"/>
        </w:rPr>
        <w:footnoteRef/>
      </w:r>
      <w:r w:rsidR="0F711F34">
        <w:rPr>
          <w:rFonts w:cs="Times New Roman"/>
        </w:rPr>
        <w:t xml:space="preserve"> Pārvaldes forma, kurā valsts vara pieder nelielai korumpētu cilvēku grupai.</w:t>
      </w:r>
    </w:p>
  </w:footnote>
  <w:footnote w:id="20">
    <w:p w14:paraId="46FAA8D9" w14:textId="77777777" w:rsidR="004A7AD0" w:rsidRDefault="004A7AD0" w:rsidP="004A7AD0">
      <w:pPr>
        <w:pStyle w:val="Vresteksts"/>
        <w:jc w:val="both"/>
        <w:rPr>
          <w:rFonts w:cs="Times New Roman"/>
        </w:rPr>
      </w:pPr>
      <w:r>
        <w:rPr>
          <w:rStyle w:val="Vresatsauce"/>
          <w:rFonts w:cs="Times New Roman"/>
        </w:rPr>
        <w:footnoteRef/>
      </w:r>
      <w:r w:rsidR="0F711F34">
        <w:rPr>
          <w:rFonts w:cs="Times New Roman"/>
        </w:rPr>
        <w:t xml:space="preserve"> “KORUPCIJA POSTKOMUNISMA VALSTĪS” – GRĀMATAS PREZENTĀCIJA. Pieejams: </w:t>
      </w:r>
      <w:hyperlink r:id="rId2" w:history="1">
        <w:r w:rsidR="0F711F34">
          <w:rPr>
            <w:rStyle w:val="Hipersaite"/>
            <w:rFonts w:cs="Times New Roman"/>
          </w:rPr>
          <w:t>https://delna.lv/lv/2006/09/05/korupcija_postkomunisma_valstis__gramatas_prezentacija/</w:t>
        </w:r>
      </w:hyperlink>
      <w:r w:rsidR="0F711F34">
        <w:rPr>
          <w:rFonts w:cs="Times New Roman"/>
        </w:rPr>
        <w:t xml:space="preserve"> </w:t>
      </w:r>
    </w:p>
  </w:footnote>
  <w:footnote w:id="21">
    <w:p w14:paraId="192C603B" w14:textId="77777777" w:rsidR="004A7AD0" w:rsidRDefault="004A7AD0" w:rsidP="004A7AD0">
      <w:pPr>
        <w:pStyle w:val="Vresteksts"/>
        <w:rPr>
          <w:rFonts w:cs="Times New Roman"/>
        </w:rPr>
      </w:pPr>
      <w:r>
        <w:rPr>
          <w:rStyle w:val="Vresatsauce"/>
          <w:rFonts w:cs="Times New Roman"/>
        </w:rPr>
        <w:footnoteRef/>
      </w:r>
      <w:r w:rsidR="0F711F34">
        <w:rPr>
          <w:rFonts w:cs="Times New Roman"/>
        </w:rPr>
        <w:t xml:space="preserve"> Tieša vai netieša dalība/ kontrole, kas izriet no radnieciskām attiecībām, pilnvarojumiem utt. </w:t>
      </w:r>
    </w:p>
  </w:footnote>
  <w:footnote w:id="22">
    <w:p w14:paraId="4B7A9855" w14:textId="77777777" w:rsidR="004E1AC6" w:rsidRDefault="004E1AC6" w:rsidP="004E1AC6">
      <w:pPr>
        <w:pStyle w:val="Vresteksts"/>
        <w:jc w:val="both"/>
      </w:pPr>
      <w:r>
        <w:rPr>
          <w:rStyle w:val="Vresatsauce"/>
        </w:rPr>
        <w:footnoteRef/>
      </w:r>
      <w:r>
        <w:t xml:space="preserve"> Skat., piemēram, </w:t>
      </w:r>
      <w:r w:rsidRPr="008034E2">
        <w:t>Padomes Regula</w:t>
      </w:r>
      <w:r>
        <w:t>s</w:t>
      </w:r>
      <w:r w:rsidRPr="008034E2">
        <w:t xml:space="preserve"> (ES) Nr.</w:t>
      </w:r>
      <w:r>
        <w:t> </w:t>
      </w:r>
      <w:r w:rsidRPr="008034E2">
        <w:t>269/2014 (2014.</w:t>
      </w:r>
      <w:r>
        <w:t> </w:t>
      </w:r>
      <w:r w:rsidRPr="008034E2">
        <w:t>gada 17.</w:t>
      </w:r>
      <w:r>
        <w:t> </w:t>
      </w:r>
      <w:r w:rsidRPr="008034E2">
        <w:t xml:space="preserve">marts) </w:t>
      </w:r>
      <w:r w:rsidRPr="00423DA5">
        <w:rPr>
          <w:i/>
        </w:rPr>
        <w:t>par ierobežojošiem pasākumiem attiecībā uz darbībām, ar ko tiek grauta vai apdraudēta Ukrainas teritoriālā integritāte, suverenitāte un neatkarība</w:t>
      </w:r>
      <w:r>
        <w:t>, 2.pantu.</w:t>
      </w:r>
    </w:p>
  </w:footnote>
  <w:footnote w:id="23">
    <w:p w14:paraId="3932D8FC" w14:textId="77777777" w:rsidR="004E1AC6" w:rsidRDefault="004E1AC6" w:rsidP="004E1AC6">
      <w:pPr>
        <w:pStyle w:val="Vresteksts"/>
        <w:jc w:val="both"/>
      </w:pPr>
      <w:r>
        <w:rPr>
          <w:rStyle w:val="Vresatsauce"/>
        </w:rPr>
        <w:footnoteRef/>
      </w:r>
      <w:r>
        <w:t xml:space="preserve"> Skat., piemēram, 2017.gada 25.jūlija Ministru kabineta noteikumus Nr.419 “Noteikumi par nacionālo sankciju noteikšanu attiecībā uz subjektiem, kas saistīti ar Korejas Tautas Demokrātiskās Republikas īstenoto kodolprogrammu un politisko režīmu” un saskaņā ar šiem noteikumiem izdotos Ministru kabineta rīkojumus.</w:t>
      </w:r>
    </w:p>
  </w:footnote>
  <w:footnote w:id="24">
    <w:p w14:paraId="57A1DEC6" w14:textId="77777777" w:rsidR="00DB6D34" w:rsidRDefault="00DB6D34" w:rsidP="00DB6D34">
      <w:pPr>
        <w:pStyle w:val="Vresteksts"/>
        <w:jc w:val="both"/>
        <w:rPr>
          <w:rFonts w:cs="Times New Roman"/>
        </w:rPr>
      </w:pPr>
      <w:r>
        <w:rPr>
          <w:rStyle w:val="Vresatsauce"/>
          <w:rFonts w:cs="Times New Roman"/>
        </w:rPr>
        <w:footnoteRef/>
      </w:r>
      <w:r>
        <w:rPr>
          <w:rFonts w:cs="Times New Roman"/>
        </w:rPr>
        <w:t xml:space="preserve"> Satversmes tiesas 2005. gada 13. maija sprieduma lietā Nr. 2004-18-0106 secinājumu daļas 19. punkts un 2014. gada 28. novembra sprieduma lietā Nr. 2014-09-01 20.2. punkts.</w:t>
      </w:r>
    </w:p>
  </w:footnote>
  <w:footnote w:id="25">
    <w:p w14:paraId="7CA08B88" w14:textId="77777777" w:rsidR="006D36CF" w:rsidRDefault="006D36CF" w:rsidP="006D36CF">
      <w:pPr>
        <w:pStyle w:val="Vresteksts"/>
        <w:jc w:val="both"/>
        <w:rPr>
          <w:rFonts w:cs="Times New Roman"/>
        </w:rPr>
      </w:pPr>
      <w:r>
        <w:rPr>
          <w:rStyle w:val="Vresatsauce"/>
          <w:rFonts w:cs="Times New Roman"/>
        </w:rPr>
        <w:footnoteRef/>
      </w:r>
      <w:r w:rsidR="0F711F34" w:rsidRPr="0F711F34">
        <w:rPr>
          <w:rFonts w:cs="Times New Roman"/>
        </w:rPr>
        <w:t xml:space="preserve"> Grozījumi likumā "Par Latvijas Republikas Uzņēmumu reģistru" anotācija. Pieejams: https://titania.saeima.lv/LIVS13/SaeimaLIVS13.nsf/0/3F57600E44951D01C225849000663DA0?OpenDocument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937F2E"/>
    <w:multiLevelType w:val="hybridMultilevel"/>
    <w:tmpl w:val="7D92DD40"/>
    <w:lvl w:ilvl="0" w:tplc="B80E81A0">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6FD20982"/>
    <w:multiLevelType w:val="hybridMultilevel"/>
    <w:tmpl w:val="458A0F06"/>
    <w:lvl w:ilvl="0" w:tplc="04260001">
      <w:start w:val="1"/>
      <w:numFmt w:val="bullet"/>
      <w:lvlText w:val=""/>
      <w:lvlJc w:val="left"/>
      <w:pPr>
        <w:ind w:left="1080" w:hanging="360"/>
      </w:pPr>
      <w:rPr>
        <w:rFonts w:ascii="Symbol" w:hAnsi="Symbol" w:cs="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7EF01CD7"/>
    <w:multiLevelType w:val="hybridMultilevel"/>
    <w:tmpl w:val="C9C41898"/>
    <w:lvl w:ilvl="0" w:tplc="0426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num w:numId="1" w16cid:durableId="1372076411">
    <w:abstractNumId w:val="0"/>
  </w:num>
  <w:num w:numId="2" w16cid:durableId="190723901">
    <w:abstractNumId w:val="2"/>
  </w:num>
  <w:num w:numId="3" w16cid:durableId="1956056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330"/>
    <w:rsid w:val="00001C08"/>
    <w:rsid w:val="00006DD2"/>
    <w:rsid w:val="00007A98"/>
    <w:rsid w:val="00011C71"/>
    <w:rsid w:val="00023834"/>
    <w:rsid w:val="000260E3"/>
    <w:rsid w:val="000279DF"/>
    <w:rsid w:val="000333F3"/>
    <w:rsid w:val="00034DF1"/>
    <w:rsid w:val="00036400"/>
    <w:rsid w:val="000376B7"/>
    <w:rsid w:val="00040048"/>
    <w:rsid w:val="0004115C"/>
    <w:rsid w:val="00043217"/>
    <w:rsid w:val="000550E4"/>
    <w:rsid w:val="00057833"/>
    <w:rsid w:val="000674C0"/>
    <w:rsid w:val="0007192F"/>
    <w:rsid w:val="00082501"/>
    <w:rsid w:val="000828ED"/>
    <w:rsid w:val="0008570E"/>
    <w:rsid w:val="00090F1A"/>
    <w:rsid w:val="0009531F"/>
    <w:rsid w:val="000976E2"/>
    <w:rsid w:val="000A46F1"/>
    <w:rsid w:val="000A4910"/>
    <w:rsid w:val="000B1900"/>
    <w:rsid w:val="000B4FE3"/>
    <w:rsid w:val="000B6DD7"/>
    <w:rsid w:val="000D43D0"/>
    <w:rsid w:val="000D5415"/>
    <w:rsid w:val="000D5981"/>
    <w:rsid w:val="000D5C13"/>
    <w:rsid w:val="000D6C12"/>
    <w:rsid w:val="000E3ADC"/>
    <w:rsid w:val="000E466D"/>
    <w:rsid w:val="000E60EA"/>
    <w:rsid w:val="000E6F4D"/>
    <w:rsid w:val="000F259B"/>
    <w:rsid w:val="000F314E"/>
    <w:rsid w:val="000F473E"/>
    <w:rsid w:val="00100395"/>
    <w:rsid w:val="00103C50"/>
    <w:rsid w:val="001067A1"/>
    <w:rsid w:val="00107BB6"/>
    <w:rsid w:val="00116FFD"/>
    <w:rsid w:val="001177B7"/>
    <w:rsid w:val="00122330"/>
    <w:rsid w:val="00134FC2"/>
    <w:rsid w:val="0013548C"/>
    <w:rsid w:val="00135B30"/>
    <w:rsid w:val="00137F54"/>
    <w:rsid w:val="00150C34"/>
    <w:rsid w:val="001521C9"/>
    <w:rsid w:val="0015496A"/>
    <w:rsid w:val="0016046D"/>
    <w:rsid w:val="00161B1D"/>
    <w:rsid w:val="001621FC"/>
    <w:rsid w:val="0016469A"/>
    <w:rsid w:val="00170F1B"/>
    <w:rsid w:val="001749D0"/>
    <w:rsid w:val="00176A94"/>
    <w:rsid w:val="00193EAE"/>
    <w:rsid w:val="00195585"/>
    <w:rsid w:val="00196013"/>
    <w:rsid w:val="001A0A24"/>
    <w:rsid w:val="001A18D7"/>
    <w:rsid w:val="001A225E"/>
    <w:rsid w:val="001B003D"/>
    <w:rsid w:val="001B0667"/>
    <w:rsid w:val="001B0E8C"/>
    <w:rsid w:val="001B2A88"/>
    <w:rsid w:val="001B4545"/>
    <w:rsid w:val="001B6A17"/>
    <w:rsid w:val="001D377A"/>
    <w:rsid w:val="001D3961"/>
    <w:rsid w:val="001D41D4"/>
    <w:rsid w:val="001E1907"/>
    <w:rsid w:val="001E3EDE"/>
    <w:rsid w:val="001F098D"/>
    <w:rsid w:val="001F6CE5"/>
    <w:rsid w:val="001F79E0"/>
    <w:rsid w:val="0020366E"/>
    <w:rsid w:val="00207518"/>
    <w:rsid w:val="002076DA"/>
    <w:rsid w:val="00210829"/>
    <w:rsid w:val="00214F67"/>
    <w:rsid w:val="00217448"/>
    <w:rsid w:val="002202D3"/>
    <w:rsid w:val="00220849"/>
    <w:rsid w:val="00221940"/>
    <w:rsid w:val="0022290C"/>
    <w:rsid w:val="0022667D"/>
    <w:rsid w:val="0023284F"/>
    <w:rsid w:val="0023612E"/>
    <w:rsid w:val="00243AED"/>
    <w:rsid w:val="00243E31"/>
    <w:rsid w:val="00245903"/>
    <w:rsid w:val="00247743"/>
    <w:rsid w:val="002633D8"/>
    <w:rsid w:val="00270A69"/>
    <w:rsid w:val="00271C4D"/>
    <w:rsid w:val="00276BFD"/>
    <w:rsid w:val="00291B9D"/>
    <w:rsid w:val="002B047E"/>
    <w:rsid w:val="002B0F7F"/>
    <w:rsid w:val="002B5918"/>
    <w:rsid w:val="002B6845"/>
    <w:rsid w:val="002B6AFB"/>
    <w:rsid w:val="002B7742"/>
    <w:rsid w:val="002C3379"/>
    <w:rsid w:val="002D03FC"/>
    <w:rsid w:val="002D553E"/>
    <w:rsid w:val="002E1020"/>
    <w:rsid w:val="002E7F07"/>
    <w:rsid w:val="002F0D09"/>
    <w:rsid w:val="00301D63"/>
    <w:rsid w:val="003039CB"/>
    <w:rsid w:val="00304DEF"/>
    <w:rsid w:val="00314612"/>
    <w:rsid w:val="003166A6"/>
    <w:rsid w:val="00325950"/>
    <w:rsid w:val="00341D92"/>
    <w:rsid w:val="00344E02"/>
    <w:rsid w:val="003456F2"/>
    <w:rsid w:val="00357CEA"/>
    <w:rsid w:val="00357DC1"/>
    <w:rsid w:val="00362D4B"/>
    <w:rsid w:val="00372123"/>
    <w:rsid w:val="0038370D"/>
    <w:rsid w:val="003845BE"/>
    <w:rsid w:val="00384E1B"/>
    <w:rsid w:val="00387B40"/>
    <w:rsid w:val="00394DC7"/>
    <w:rsid w:val="003A4B27"/>
    <w:rsid w:val="003B0D84"/>
    <w:rsid w:val="003B120E"/>
    <w:rsid w:val="003B5A24"/>
    <w:rsid w:val="003B73F3"/>
    <w:rsid w:val="003C03A6"/>
    <w:rsid w:val="003C1D83"/>
    <w:rsid w:val="003D18A6"/>
    <w:rsid w:val="003D64CA"/>
    <w:rsid w:val="003F09F6"/>
    <w:rsid w:val="003F48F3"/>
    <w:rsid w:val="003F4A01"/>
    <w:rsid w:val="00401456"/>
    <w:rsid w:val="00405245"/>
    <w:rsid w:val="00405969"/>
    <w:rsid w:val="00406B38"/>
    <w:rsid w:val="004139D0"/>
    <w:rsid w:val="00423BE5"/>
    <w:rsid w:val="0043334D"/>
    <w:rsid w:val="004360E3"/>
    <w:rsid w:val="00445244"/>
    <w:rsid w:val="00446BC5"/>
    <w:rsid w:val="004536F9"/>
    <w:rsid w:val="00455ABD"/>
    <w:rsid w:val="004623AF"/>
    <w:rsid w:val="00467E4B"/>
    <w:rsid w:val="00470608"/>
    <w:rsid w:val="00470A89"/>
    <w:rsid w:val="00471092"/>
    <w:rsid w:val="0047742C"/>
    <w:rsid w:val="0048170F"/>
    <w:rsid w:val="0048702E"/>
    <w:rsid w:val="00487F35"/>
    <w:rsid w:val="00491BD2"/>
    <w:rsid w:val="004952DE"/>
    <w:rsid w:val="00497128"/>
    <w:rsid w:val="004A6EFF"/>
    <w:rsid w:val="004A7AD0"/>
    <w:rsid w:val="004B3EC9"/>
    <w:rsid w:val="004B71F0"/>
    <w:rsid w:val="004C4F78"/>
    <w:rsid w:val="004D522D"/>
    <w:rsid w:val="004E02B6"/>
    <w:rsid w:val="004E1AC6"/>
    <w:rsid w:val="004E7A05"/>
    <w:rsid w:val="004F6283"/>
    <w:rsid w:val="00500CE9"/>
    <w:rsid w:val="00501646"/>
    <w:rsid w:val="00501ADD"/>
    <w:rsid w:val="00501C82"/>
    <w:rsid w:val="005043FD"/>
    <w:rsid w:val="00506473"/>
    <w:rsid w:val="0051339A"/>
    <w:rsid w:val="00513FBF"/>
    <w:rsid w:val="00514ED3"/>
    <w:rsid w:val="00526130"/>
    <w:rsid w:val="0052654E"/>
    <w:rsid w:val="00527E81"/>
    <w:rsid w:val="00530EB2"/>
    <w:rsid w:val="0053114C"/>
    <w:rsid w:val="005326EB"/>
    <w:rsid w:val="00541C1F"/>
    <w:rsid w:val="00544394"/>
    <w:rsid w:val="00550F0F"/>
    <w:rsid w:val="00570B95"/>
    <w:rsid w:val="0058666A"/>
    <w:rsid w:val="005900EA"/>
    <w:rsid w:val="0059104B"/>
    <w:rsid w:val="005A1127"/>
    <w:rsid w:val="005A366B"/>
    <w:rsid w:val="005A5B87"/>
    <w:rsid w:val="005B3F62"/>
    <w:rsid w:val="005B53EF"/>
    <w:rsid w:val="005B6EF8"/>
    <w:rsid w:val="005C0C8A"/>
    <w:rsid w:val="005C1FB1"/>
    <w:rsid w:val="005C3858"/>
    <w:rsid w:val="005C6B8A"/>
    <w:rsid w:val="005C74CC"/>
    <w:rsid w:val="005C77CB"/>
    <w:rsid w:val="005D026A"/>
    <w:rsid w:val="005D20F5"/>
    <w:rsid w:val="005D28EE"/>
    <w:rsid w:val="005D3D4F"/>
    <w:rsid w:val="005D5627"/>
    <w:rsid w:val="005E0E32"/>
    <w:rsid w:val="005E1614"/>
    <w:rsid w:val="005E4DB8"/>
    <w:rsid w:val="005F07B5"/>
    <w:rsid w:val="005F3C95"/>
    <w:rsid w:val="006003E1"/>
    <w:rsid w:val="00604DEE"/>
    <w:rsid w:val="00605B08"/>
    <w:rsid w:val="00612AA7"/>
    <w:rsid w:val="00612F2D"/>
    <w:rsid w:val="00614B15"/>
    <w:rsid w:val="00616A5A"/>
    <w:rsid w:val="00621BA5"/>
    <w:rsid w:val="00623785"/>
    <w:rsid w:val="00627BD0"/>
    <w:rsid w:val="00631DB5"/>
    <w:rsid w:val="00635E81"/>
    <w:rsid w:val="00636A2B"/>
    <w:rsid w:val="006430E3"/>
    <w:rsid w:val="00645022"/>
    <w:rsid w:val="0065448B"/>
    <w:rsid w:val="00657559"/>
    <w:rsid w:val="00661830"/>
    <w:rsid w:val="0066238B"/>
    <w:rsid w:val="006642B1"/>
    <w:rsid w:val="0067582A"/>
    <w:rsid w:val="006814D5"/>
    <w:rsid w:val="006819EC"/>
    <w:rsid w:val="00685162"/>
    <w:rsid w:val="0069666C"/>
    <w:rsid w:val="006A0E4D"/>
    <w:rsid w:val="006A7467"/>
    <w:rsid w:val="006A76F0"/>
    <w:rsid w:val="006B5C08"/>
    <w:rsid w:val="006B6773"/>
    <w:rsid w:val="006C0E40"/>
    <w:rsid w:val="006C4818"/>
    <w:rsid w:val="006C7AB6"/>
    <w:rsid w:val="006D116D"/>
    <w:rsid w:val="006D36CF"/>
    <w:rsid w:val="006D66A5"/>
    <w:rsid w:val="006E470F"/>
    <w:rsid w:val="006F243C"/>
    <w:rsid w:val="006F5C22"/>
    <w:rsid w:val="00700905"/>
    <w:rsid w:val="00700EEA"/>
    <w:rsid w:val="00703D91"/>
    <w:rsid w:val="00704259"/>
    <w:rsid w:val="00707214"/>
    <w:rsid w:val="00714C5D"/>
    <w:rsid w:val="00721F18"/>
    <w:rsid w:val="00727154"/>
    <w:rsid w:val="00736BA6"/>
    <w:rsid w:val="007403E4"/>
    <w:rsid w:val="00740E73"/>
    <w:rsid w:val="007421D9"/>
    <w:rsid w:val="0074737D"/>
    <w:rsid w:val="00747FA3"/>
    <w:rsid w:val="00752121"/>
    <w:rsid w:val="00752CB0"/>
    <w:rsid w:val="00757458"/>
    <w:rsid w:val="007675CC"/>
    <w:rsid w:val="00773909"/>
    <w:rsid w:val="00776014"/>
    <w:rsid w:val="00780A07"/>
    <w:rsid w:val="007856B1"/>
    <w:rsid w:val="0078577C"/>
    <w:rsid w:val="00792394"/>
    <w:rsid w:val="00795877"/>
    <w:rsid w:val="007A3626"/>
    <w:rsid w:val="007A387A"/>
    <w:rsid w:val="007A7C8F"/>
    <w:rsid w:val="007B6DB3"/>
    <w:rsid w:val="007C349C"/>
    <w:rsid w:val="007D7B70"/>
    <w:rsid w:val="007E2B08"/>
    <w:rsid w:val="007E71E0"/>
    <w:rsid w:val="007F0DC9"/>
    <w:rsid w:val="007F5497"/>
    <w:rsid w:val="00802A4D"/>
    <w:rsid w:val="008034E2"/>
    <w:rsid w:val="00821808"/>
    <w:rsid w:val="00822B61"/>
    <w:rsid w:val="00823AA7"/>
    <w:rsid w:val="00837204"/>
    <w:rsid w:val="00837486"/>
    <w:rsid w:val="008377A8"/>
    <w:rsid w:val="008452F8"/>
    <w:rsid w:val="00851565"/>
    <w:rsid w:val="00851E92"/>
    <w:rsid w:val="00855597"/>
    <w:rsid w:val="008556CA"/>
    <w:rsid w:val="00856FF2"/>
    <w:rsid w:val="008570F1"/>
    <w:rsid w:val="00863709"/>
    <w:rsid w:val="008702EE"/>
    <w:rsid w:val="008770CD"/>
    <w:rsid w:val="0088624C"/>
    <w:rsid w:val="00886341"/>
    <w:rsid w:val="00890D16"/>
    <w:rsid w:val="00891195"/>
    <w:rsid w:val="008924E1"/>
    <w:rsid w:val="00895E85"/>
    <w:rsid w:val="008B01FD"/>
    <w:rsid w:val="008B4304"/>
    <w:rsid w:val="008C30A5"/>
    <w:rsid w:val="008D09E6"/>
    <w:rsid w:val="008D3A73"/>
    <w:rsid w:val="008E0082"/>
    <w:rsid w:val="008E02FB"/>
    <w:rsid w:val="008E292D"/>
    <w:rsid w:val="008E4260"/>
    <w:rsid w:val="008F037C"/>
    <w:rsid w:val="0090130B"/>
    <w:rsid w:val="00903BF2"/>
    <w:rsid w:val="009053C5"/>
    <w:rsid w:val="00907182"/>
    <w:rsid w:val="00911386"/>
    <w:rsid w:val="00912243"/>
    <w:rsid w:val="00912B83"/>
    <w:rsid w:val="00916188"/>
    <w:rsid w:val="00917D0E"/>
    <w:rsid w:val="009248D6"/>
    <w:rsid w:val="00937B30"/>
    <w:rsid w:val="0094007F"/>
    <w:rsid w:val="00941E06"/>
    <w:rsid w:val="009500E7"/>
    <w:rsid w:val="00953C64"/>
    <w:rsid w:val="00953EDC"/>
    <w:rsid w:val="0095486E"/>
    <w:rsid w:val="00955EDC"/>
    <w:rsid w:val="00956C61"/>
    <w:rsid w:val="00957EC8"/>
    <w:rsid w:val="009607F3"/>
    <w:rsid w:val="00964045"/>
    <w:rsid w:val="00965EE2"/>
    <w:rsid w:val="009721F9"/>
    <w:rsid w:val="00972B70"/>
    <w:rsid w:val="00973F70"/>
    <w:rsid w:val="00974298"/>
    <w:rsid w:val="00974C72"/>
    <w:rsid w:val="00974F12"/>
    <w:rsid w:val="00975976"/>
    <w:rsid w:val="00980A30"/>
    <w:rsid w:val="009A0591"/>
    <w:rsid w:val="009A15B1"/>
    <w:rsid w:val="009A287E"/>
    <w:rsid w:val="009A5ECF"/>
    <w:rsid w:val="009B1F66"/>
    <w:rsid w:val="009B5ED4"/>
    <w:rsid w:val="009C5194"/>
    <w:rsid w:val="009C57E3"/>
    <w:rsid w:val="009C6844"/>
    <w:rsid w:val="009C7454"/>
    <w:rsid w:val="009D0B5E"/>
    <w:rsid w:val="009E55E1"/>
    <w:rsid w:val="009E72FB"/>
    <w:rsid w:val="009F03B1"/>
    <w:rsid w:val="009F04DD"/>
    <w:rsid w:val="009F313E"/>
    <w:rsid w:val="009F465D"/>
    <w:rsid w:val="009F49C2"/>
    <w:rsid w:val="00A00C8A"/>
    <w:rsid w:val="00A02D24"/>
    <w:rsid w:val="00A03943"/>
    <w:rsid w:val="00A04213"/>
    <w:rsid w:val="00A04478"/>
    <w:rsid w:val="00A06FC0"/>
    <w:rsid w:val="00A15396"/>
    <w:rsid w:val="00A15D57"/>
    <w:rsid w:val="00A224A4"/>
    <w:rsid w:val="00A2589F"/>
    <w:rsid w:val="00A31E56"/>
    <w:rsid w:val="00A36734"/>
    <w:rsid w:val="00A37817"/>
    <w:rsid w:val="00A40FD5"/>
    <w:rsid w:val="00A424F1"/>
    <w:rsid w:val="00A46149"/>
    <w:rsid w:val="00A462CB"/>
    <w:rsid w:val="00A47447"/>
    <w:rsid w:val="00A513CA"/>
    <w:rsid w:val="00A54143"/>
    <w:rsid w:val="00A54703"/>
    <w:rsid w:val="00A7040A"/>
    <w:rsid w:val="00A70D95"/>
    <w:rsid w:val="00A7493D"/>
    <w:rsid w:val="00A8214D"/>
    <w:rsid w:val="00A82662"/>
    <w:rsid w:val="00AA0A91"/>
    <w:rsid w:val="00AA16BF"/>
    <w:rsid w:val="00AA59B4"/>
    <w:rsid w:val="00AA6256"/>
    <w:rsid w:val="00AB171A"/>
    <w:rsid w:val="00AB6A96"/>
    <w:rsid w:val="00AB7372"/>
    <w:rsid w:val="00AC067B"/>
    <w:rsid w:val="00AC2267"/>
    <w:rsid w:val="00AC3064"/>
    <w:rsid w:val="00AD0622"/>
    <w:rsid w:val="00AD0AD8"/>
    <w:rsid w:val="00AD5C58"/>
    <w:rsid w:val="00AE27A9"/>
    <w:rsid w:val="00AE52E0"/>
    <w:rsid w:val="00AF065C"/>
    <w:rsid w:val="00AF070A"/>
    <w:rsid w:val="00AF63F1"/>
    <w:rsid w:val="00B00269"/>
    <w:rsid w:val="00B012C8"/>
    <w:rsid w:val="00B03CAF"/>
    <w:rsid w:val="00B13CE0"/>
    <w:rsid w:val="00B164DF"/>
    <w:rsid w:val="00B36C69"/>
    <w:rsid w:val="00B3778B"/>
    <w:rsid w:val="00B425A9"/>
    <w:rsid w:val="00B459D9"/>
    <w:rsid w:val="00B51685"/>
    <w:rsid w:val="00B5227C"/>
    <w:rsid w:val="00B60451"/>
    <w:rsid w:val="00B647FC"/>
    <w:rsid w:val="00B67E3E"/>
    <w:rsid w:val="00B717AA"/>
    <w:rsid w:val="00B72D07"/>
    <w:rsid w:val="00B8193E"/>
    <w:rsid w:val="00B858DF"/>
    <w:rsid w:val="00B87710"/>
    <w:rsid w:val="00B97406"/>
    <w:rsid w:val="00BA0DD3"/>
    <w:rsid w:val="00BB47D3"/>
    <w:rsid w:val="00BB6FC2"/>
    <w:rsid w:val="00BB7315"/>
    <w:rsid w:val="00BC1F55"/>
    <w:rsid w:val="00BC481B"/>
    <w:rsid w:val="00BC5019"/>
    <w:rsid w:val="00BC5CEC"/>
    <w:rsid w:val="00BD285F"/>
    <w:rsid w:val="00BD55AE"/>
    <w:rsid w:val="00BD586B"/>
    <w:rsid w:val="00BE517A"/>
    <w:rsid w:val="00BF1988"/>
    <w:rsid w:val="00BF2B66"/>
    <w:rsid w:val="00BF7FC1"/>
    <w:rsid w:val="00C04048"/>
    <w:rsid w:val="00C042FB"/>
    <w:rsid w:val="00C04E6D"/>
    <w:rsid w:val="00C05AB6"/>
    <w:rsid w:val="00C104C5"/>
    <w:rsid w:val="00C10D2B"/>
    <w:rsid w:val="00C33108"/>
    <w:rsid w:val="00C346BD"/>
    <w:rsid w:val="00C44516"/>
    <w:rsid w:val="00C52CDB"/>
    <w:rsid w:val="00C575F9"/>
    <w:rsid w:val="00C614CD"/>
    <w:rsid w:val="00C63F2D"/>
    <w:rsid w:val="00C6429E"/>
    <w:rsid w:val="00C67956"/>
    <w:rsid w:val="00C7345A"/>
    <w:rsid w:val="00C74E91"/>
    <w:rsid w:val="00C90FF3"/>
    <w:rsid w:val="00C910A3"/>
    <w:rsid w:val="00C9412A"/>
    <w:rsid w:val="00CA204E"/>
    <w:rsid w:val="00CA3828"/>
    <w:rsid w:val="00CB3E06"/>
    <w:rsid w:val="00CB57BC"/>
    <w:rsid w:val="00CB72B7"/>
    <w:rsid w:val="00CC49E3"/>
    <w:rsid w:val="00CC513A"/>
    <w:rsid w:val="00CD00E9"/>
    <w:rsid w:val="00CE48B4"/>
    <w:rsid w:val="00CF4C51"/>
    <w:rsid w:val="00D01DE3"/>
    <w:rsid w:val="00D01ECC"/>
    <w:rsid w:val="00D12262"/>
    <w:rsid w:val="00D1509E"/>
    <w:rsid w:val="00D15DC8"/>
    <w:rsid w:val="00D1653C"/>
    <w:rsid w:val="00D2293D"/>
    <w:rsid w:val="00D242FC"/>
    <w:rsid w:val="00D2597F"/>
    <w:rsid w:val="00D266B4"/>
    <w:rsid w:val="00D27CA8"/>
    <w:rsid w:val="00D33E75"/>
    <w:rsid w:val="00D33FFA"/>
    <w:rsid w:val="00D34483"/>
    <w:rsid w:val="00D34DC9"/>
    <w:rsid w:val="00D35BE3"/>
    <w:rsid w:val="00D418D8"/>
    <w:rsid w:val="00D50B87"/>
    <w:rsid w:val="00D515FF"/>
    <w:rsid w:val="00D52457"/>
    <w:rsid w:val="00D55A12"/>
    <w:rsid w:val="00D562E3"/>
    <w:rsid w:val="00D62B6D"/>
    <w:rsid w:val="00D75554"/>
    <w:rsid w:val="00D86C12"/>
    <w:rsid w:val="00D9025B"/>
    <w:rsid w:val="00D92DB8"/>
    <w:rsid w:val="00D97453"/>
    <w:rsid w:val="00DA4DD2"/>
    <w:rsid w:val="00DB0ABA"/>
    <w:rsid w:val="00DB19AE"/>
    <w:rsid w:val="00DB4EEE"/>
    <w:rsid w:val="00DB5292"/>
    <w:rsid w:val="00DB67B4"/>
    <w:rsid w:val="00DB6D34"/>
    <w:rsid w:val="00DB71EF"/>
    <w:rsid w:val="00DC1A92"/>
    <w:rsid w:val="00DC1AC3"/>
    <w:rsid w:val="00DC361F"/>
    <w:rsid w:val="00DC3E95"/>
    <w:rsid w:val="00DC48FB"/>
    <w:rsid w:val="00DD171A"/>
    <w:rsid w:val="00DD2801"/>
    <w:rsid w:val="00DD3B52"/>
    <w:rsid w:val="00DE0A9D"/>
    <w:rsid w:val="00DE2F33"/>
    <w:rsid w:val="00DE5CA4"/>
    <w:rsid w:val="00DE71D3"/>
    <w:rsid w:val="00DE741A"/>
    <w:rsid w:val="00DF43AC"/>
    <w:rsid w:val="00DF457C"/>
    <w:rsid w:val="00E013B6"/>
    <w:rsid w:val="00E025AB"/>
    <w:rsid w:val="00E03D55"/>
    <w:rsid w:val="00E0739A"/>
    <w:rsid w:val="00E11D38"/>
    <w:rsid w:val="00E1612E"/>
    <w:rsid w:val="00E2107C"/>
    <w:rsid w:val="00E21EFA"/>
    <w:rsid w:val="00E2248B"/>
    <w:rsid w:val="00E32653"/>
    <w:rsid w:val="00E372EF"/>
    <w:rsid w:val="00E40E29"/>
    <w:rsid w:val="00E42AA4"/>
    <w:rsid w:val="00E43392"/>
    <w:rsid w:val="00E46E62"/>
    <w:rsid w:val="00E640D0"/>
    <w:rsid w:val="00E67F13"/>
    <w:rsid w:val="00E67FCA"/>
    <w:rsid w:val="00E71DB5"/>
    <w:rsid w:val="00E739B7"/>
    <w:rsid w:val="00E74277"/>
    <w:rsid w:val="00E777BA"/>
    <w:rsid w:val="00E824E0"/>
    <w:rsid w:val="00E85C58"/>
    <w:rsid w:val="00E868BE"/>
    <w:rsid w:val="00E97603"/>
    <w:rsid w:val="00EA0423"/>
    <w:rsid w:val="00EA3411"/>
    <w:rsid w:val="00EA4651"/>
    <w:rsid w:val="00EA61DC"/>
    <w:rsid w:val="00EC1B50"/>
    <w:rsid w:val="00EC23FD"/>
    <w:rsid w:val="00EC2471"/>
    <w:rsid w:val="00EC508A"/>
    <w:rsid w:val="00EC5EE9"/>
    <w:rsid w:val="00ED2F4F"/>
    <w:rsid w:val="00ED6EAA"/>
    <w:rsid w:val="00ED7742"/>
    <w:rsid w:val="00EE0EA6"/>
    <w:rsid w:val="00EE343F"/>
    <w:rsid w:val="00EE633C"/>
    <w:rsid w:val="00EE65F4"/>
    <w:rsid w:val="00EF45B7"/>
    <w:rsid w:val="00EF66BA"/>
    <w:rsid w:val="00F0239B"/>
    <w:rsid w:val="00F028DA"/>
    <w:rsid w:val="00F02B78"/>
    <w:rsid w:val="00F050FE"/>
    <w:rsid w:val="00F0568B"/>
    <w:rsid w:val="00F067E9"/>
    <w:rsid w:val="00F071E7"/>
    <w:rsid w:val="00F12118"/>
    <w:rsid w:val="00F12900"/>
    <w:rsid w:val="00F21B84"/>
    <w:rsid w:val="00F240F3"/>
    <w:rsid w:val="00F26952"/>
    <w:rsid w:val="00F27FF0"/>
    <w:rsid w:val="00F30673"/>
    <w:rsid w:val="00F30F61"/>
    <w:rsid w:val="00F32422"/>
    <w:rsid w:val="00F34EE1"/>
    <w:rsid w:val="00F36D05"/>
    <w:rsid w:val="00F52142"/>
    <w:rsid w:val="00F53A29"/>
    <w:rsid w:val="00F6163D"/>
    <w:rsid w:val="00F66BBF"/>
    <w:rsid w:val="00F73CB1"/>
    <w:rsid w:val="00F74302"/>
    <w:rsid w:val="00F77D6B"/>
    <w:rsid w:val="00F80F13"/>
    <w:rsid w:val="00F811F6"/>
    <w:rsid w:val="00F81CF7"/>
    <w:rsid w:val="00F83673"/>
    <w:rsid w:val="00F84841"/>
    <w:rsid w:val="00F91E21"/>
    <w:rsid w:val="00F97B74"/>
    <w:rsid w:val="00FA05DE"/>
    <w:rsid w:val="00FA1A37"/>
    <w:rsid w:val="00FA2374"/>
    <w:rsid w:val="00FA4417"/>
    <w:rsid w:val="00FA554B"/>
    <w:rsid w:val="00FA7F3E"/>
    <w:rsid w:val="00FAF27C"/>
    <w:rsid w:val="00FB0447"/>
    <w:rsid w:val="00FC16E4"/>
    <w:rsid w:val="00FC263F"/>
    <w:rsid w:val="00FC5C7F"/>
    <w:rsid w:val="00FC6FEA"/>
    <w:rsid w:val="00FD07A1"/>
    <w:rsid w:val="00FE2711"/>
    <w:rsid w:val="00FE4FA1"/>
    <w:rsid w:val="00FF7757"/>
    <w:rsid w:val="018B8FF9"/>
    <w:rsid w:val="01930D45"/>
    <w:rsid w:val="01B2BA7A"/>
    <w:rsid w:val="01B31F21"/>
    <w:rsid w:val="01E7DE45"/>
    <w:rsid w:val="02427B59"/>
    <w:rsid w:val="026979F6"/>
    <w:rsid w:val="0271DF70"/>
    <w:rsid w:val="02866A96"/>
    <w:rsid w:val="02AF98E8"/>
    <w:rsid w:val="02D50E86"/>
    <w:rsid w:val="02ECEBE5"/>
    <w:rsid w:val="03106A63"/>
    <w:rsid w:val="0311E1CF"/>
    <w:rsid w:val="03124F97"/>
    <w:rsid w:val="0351C3E0"/>
    <w:rsid w:val="0354B20C"/>
    <w:rsid w:val="0356DD08"/>
    <w:rsid w:val="0389BF0D"/>
    <w:rsid w:val="03CE3440"/>
    <w:rsid w:val="03EEE481"/>
    <w:rsid w:val="03FB3D55"/>
    <w:rsid w:val="04012226"/>
    <w:rsid w:val="0422C2CD"/>
    <w:rsid w:val="042B249C"/>
    <w:rsid w:val="0435B80D"/>
    <w:rsid w:val="04783AE7"/>
    <w:rsid w:val="04B10670"/>
    <w:rsid w:val="04B12042"/>
    <w:rsid w:val="04D2C861"/>
    <w:rsid w:val="04EE9FBE"/>
    <w:rsid w:val="04F2C3EC"/>
    <w:rsid w:val="0530811B"/>
    <w:rsid w:val="057FCE9D"/>
    <w:rsid w:val="0597B3E2"/>
    <w:rsid w:val="05A3A47C"/>
    <w:rsid w:val="05B1CDC7"/>
    <w:rsid w:val="065EF684"/>
    <w:rsid w:val="06771BD5"/>
    <w:rsid w:val="067EB03C"/>
    <w:rsid w:val="06847AD7"/>
    <w:rsid w:val="0688A781"/>
    <w:rsid w:val="068AA1F5"/>
    <w:rsid w:val="06A3B4C3"/>
    <w:rsid w:val="06A3ED73"/>
    <w:rsid w:val="06AF4F9A"/>
    <w:rsid w:val="0776F94B"/>
    <w:rsid w:val="07965276"/>
    <w:rsid w:val="08198D9D"/>
    <w:rsid w:val="0820A12A"/>
    <w:rsid w:val="082FC0EF"/>
    <w:rsid w:val="0831501C"/>
    <w:rsid w:val="083F4F7C"/>
    <w:rsid w:val="089D7E0F"/>
    <w:rsid w:val="09230166"/>
    <w:rsid w:val="098A75E9"/>
    <w:rsid w:val="099EC13A"/>
    <w:rsid w:val="09B55DFE"/>
    <w:rsid w:val="09B586AA"/>
    <w:rsid w:val="0A076F1D"/>
    <w:rsid w:val="0A556A2F"/>
    <w:rsid w:val="0A70CD35"/>
    <w:rsid w:val="0A74449C"/>
    <w:rsid w:val="0AABE156"/>
    <w:rsid w:val="0ADFEEFA"/>
    <w:rsid w:val="0B01279B"/>
    <w:rsid w:val="0B12B385"/>
    <w:rsid w:val="0B4F1A27"/>
    <w:rsid w:val="0B502D28"/>
    <w:rsid w:val="0B505FF9"/>
    <w:rsid w:val="0B6B270A"/>
    <w:rsid w:val="0B7B480D"/>
    <w:rsid w:val="0B8E46A2"/>
    <w:rsid w:val="0B9556E8"/>
    <w:rsid w:val="0BEA8C8F"/>
    <w:rsid w:val="0C22E6C6"/>
    <w:rsid w:val="0C2E49F6"/>
    <w:rsid w:val="0C558621"/>
    <w:rsid w:val="0CC8612C"/>
    <w:rsid w:val="0D00F706"/>
    <w:rsid w:val="0D46856D"/>
    <w:rsid w:val="0D6606BE"/>
    <w:rsid w:val="0DD07DE3"/>
    <w:rsid w:val="0DD7FB2F"/>
    <w:rsid w:val="0DE2F225"/>
    <w:rsid w:val="0DE61A6B"/>
    <w:rsid w:val="0E022015"/>
    <w:rsid w:val="0E6A00E8"/>
    <w:rsid w:val="0E876943"/>
    <w:rsid w:val="0EBD8758"/>
    <w:rsid w:val="0ECEDF5E"/>
    <w:rsid w:val="0ED6FEBA"/>
    <w:rsid w:val="0F2A0952"/>
    <w:rsid w:val="0F711F34"/>
    <w:rsid w:val="0F7974FB"/>
    <w:rsid w:val="0F98D191"/>
    <w:rsid w:val="0F99412E"/>
    <w:rsid w:val="0F99A5D5"/>
    <w:rsid w:val="0FB6974D"/>
    <w:rsid w:val="0FE6BC20"/>
    <w:rsid w:val="1044E66A"/>
    <w:rsid w:val="10485D36"/>
    <w:rsid w:val="11731812"/>
    <w:rsid w:val="11ACAB1A"/>
    <w:rsid w:val="11D2DB23"/>
    <w:rsid w:val="11F44842"/>
    <w:rsid w:val="1211D734"/>
    <w:rsid w:val="121CB325"/>
    <w:rsid w:val="1233B665"/>
    <w:rsid w:val="1237EEE2"/>
    <w:rsid w:val="123AA6D1"/>
    <w:rsid w:val="12570D35"/>
    <w:rsid w:val="12677FF1"/>
    <w:rsid w:val="12BB1A23"/>
    <w:rsid w:val="12BE4A70"/>
    <w:rsid w:val="12D0E1F0"/>
    <w:rsid w:val="12D8CE7B"/>
    <w:rsid w:val="12E709EF"/>
    <w:rsid w:val="139114AF"/>
    <w:rsid w:val="13A74EA1"/>
    <w:rsid w:val="13D38A82"/>
    <w:rsid w:val="142C8A3C"/>
    <w:rsid w:val="14652A6D"/>
    <w:rsid w:val="14EB164A"/>
    <w:rsid w:val="14F0A6E0"/>
    <w:rsid w:val="150A7BE5"/>
    <w:rsid w:val="1577EA54"/>
    <w:rsid w:val="1579A839"/>
    <w:rsid w:val="15D3AF00"/>
    <w:rsid w:val="15DE4BD4"/>
    <w:rsid w:val="15ED8E6D"/>
    <w:rsid w:val="15F5EB32"/>
    <w:rsid w:val="16206750"/>
    <w:rsid w:val="1692E579"/>
    <w:rsid w:val="169A9EA1"/>
    <w:rsid w:val="16B979C5"/>
    <w:rsid w:val="16C59FC8"/>
    <w:rsid w:val="16DE1F3B"/>
    <w:rsid w:val="17069010"/>
    <w:rsid w:val="174B4E3C"/>
    <w:rsid w:val="1787C71A"/>
    <w:rsid w:val="17C80F45"/>
    <w:rsid w:val="17D9D498"/>
    <w:rsid w:val="185B0BA2"/>
    <w:rsid w:val="187337E0"/>
    <w:rsid w:val="18ABA7D0"/>
    <w:rsid w:val="18BF5CA4"/>
    <w:rsid w:val="18C8AAF0"/>
    <w:rsid w:val="18C8DD5D"/>
    <w:rsid w:val="18D487F7"/>
    <w:rsid w:val="19072F53"/>
    <w:rsid w:val="1942AD38"/>
    <w:rsid w:val="196F24C7"/>
    <w:rsid w:val="1976A213"/>
    <w:rsid w:val="19837FF2"/>
    <w:rsid w:val="19D201FA"/>
    <w:rsid w:val="19D23F63"/>
    <w:rsid w:val="19DDED08"/>
    <w:rsid w:val="1A04FB3F"/>
    <w:rsid w:val="1A347DDF"/>
    <w:rsid w:val="1A69FF64"/>
    <w:rsid w:val="1A81F8D1"/>
    <w:rsid w:val="1A898B4D"/>
    <w:rsid w:val="1AB0828D"/>
    <w:rsid w:val="1AFB1B95"/>
    <w:rsid w:val="1B69DCF8"/>
    <w:rsid w:val="1B6E0FC4"/>
    <w:rsid w:val="1BD1A914"/>
    <w:rsid w:val="1C0EB96A"/>
    <w:rsid w:val="1C68B46E"/>
    <w:rsid w:val="1C886E26"/>
    <w:rsid w:val="1CB216AB"/>
    <w:rsid w:val="1CB66CC9"/>
    <w:rsid w:val="1D1CDB17"/>
    <w:rsid w:val="1D5656D4"/>
    <w:rsid w:val="1DA9CABD"/>
    <w:rsid w:val="1E299B5C"/>
    <w:rsid w:val="1E67D8B7"/>
    <w:rsid w:val="1E71BB5E"/>
    <w:rsid w:val="1E7C2C8F"/>
    <w:rsid w:val="1E916C04"/>
    <w:rsid w:val="1E93E846"/>
    <w:rsid w:val="1F35E8A3"/>
    <w:rsid w:val="1F3E7839"/>
    <w:rsid w:val="1F4DE210"/>
    <w:rsid w:val="1F5A8E19"/>
    <w:rsid w:val="1FC4DE6D"/>
    <w:rsid w:val="1FD3ABA6"/>
    <w:rsid w:val="20193A0D"/>
    <w:rsid w:val="20359430"/>
    <w:rsid w:val="20496D8D"/>
    <w:rsid w:val="207DB24D"/>
    <w:rsid w:val="20924889"/>
    <w:rsid w:val="20FAE756"/>
    <w:rsid w:val="21AA7FEC"/>
    <w:rsid w:val="220309E2"/>
    <w:rsid w:val="22161F24"/>
    <w:rsid w:val="221B64F1"/>
    <w:rsid w:val="2232B5A3"/>
    <w:rsid w:val="22479474"/>
    <w:rsid w:val="224CA074"/>
    <w:rsid w:val="22751BE1"/>
    <w:rsid w:val="22E2AF9C"/>
    <w:rsid w:val="22F49D49"/>
    <w:rsid w:val="2306F745"/>
    <w:rsid w:val="23092BA4"/>
    <w:rsid w:val="2327A68B"/>
    <w:rsid w:val="232F58F8"/>
    <w:rsid w:val="2382E6AA"/>
    <w:rsid w:val="23DA3BCD"/>
    <w:rsid w:val="23E1EB3C"/>
    <w:rsid w:val="23FE25F0"/>
    <w:rsid w:val="2493DF1C"/>
    <w:rsid w:val="24DC2DF4"/>
    <w:rsid w:val="251CDF90"/>
    <w:rsid w:val="25288D35"/>
    <w:rsid w:val="253EB2CF"/>
    <w:rsid w:val="2542F94F"/>
    <w:rsid w:val="254DF650"/>
    <w:rsid w:val="2570134B"/>
    <w:rsid w:val="25A363BF"/>
    <w:rsid w:val="25D8809D"/>
    <w:rsid w:val="26904FCF"/>
    <w:rsid w:val="26A10ABD"/>
    <w:rsid w:val="26D81212"/>
    <w:rsid w:val="26D9220B"/>
    <w:rsid w:val="26EB0129"/>
    <w:rsid w:val="27233E89"/>
    <w:rsid w:val="2723AAD7"/>
    <w:rsid w:val="27A5D66E"/>
    <w:rsid w:val="27AB7AFD"/>
    <w:rsid w:val="27D735A7"/>
    <w:rsid w:val="27FB4623"/>
    <w:rsid w:val="282DCD83"/>
    <w:rsid w:val="28658ED3"/>
    <w:rsid w:val="2880A4D6"/>
    <w:rsid w:val="28D746C4"/>
    <w:rsid w:val="28FA212B"/>
    <w:rsid w:val="29321DA7"/>
    <w:rsid w:val="295C3E28"/>
    <w:rsid w:val="29840F09"/>
    <w:rsid w:val="298B7AE6"/>
    <w:rsid w:val="29B10C8B"/>
    <w:rsid w:val="29D87AAA"/>
    <w:rsid w:val="29E5F0A6"/>
    <w:rsid w:val="2A041F9C"/>
    <w:rsid w:val="2A3444D4"/>
    <w:rsid w:val="2A3CEF73"/>
    <w:rsid w:val="2A607A9F"/>
    <w:rsid w:val="2A7D9EE2"/>
    <w:rsid w:val="2A901CF8"/>
    <w:rsid w:val="2AA469DC"/>
    <w:rsid w:val="2AACF972"/>
    <w:rsid w:val="2AD493A4"/>
    <w:rsid w:val="2ADD0DFF"/>
    <w:rsid w:val="2B87BB46"/>
    <w:rsid w:val="2B94DC91"/>
    <w:rsid w:val="2BB030D4"/>
    <w:rsid w:val="2BB8D80E"/>
    <w:rsid w:val="2BE8C7FE"/>
    <w:rsid w:val="2C18DDB6"/>
    <w:rsid w:val="2C29D060"/>
    <w:rsid w:val="2C9BA19A"/>
    <w:rsid w:val="2C9CF1D6"/>
    <w:rsid w:val="2CF0D741"/>
    <w:rsid w:val="2D0EC918"/>
    <w:rsid w:val="2D339F1A"/>
    <w:rsid w:val="2D48E254"/>
    <w:rsid w:val="2D6B652A"/>
    <w:rsid w:val="2D99A460"/>
    <w:rsid w:val="2DA42A3D"/>
    <w:rsid w:val="2DA78036"/>
    <w:rsid w:val="2DE189BA"/>
    <w:rsid w:val="2DE48F9B"/>
    <w:rsid w:val="2E6095B5"/>
    <w:rsid w:val="2E670076"/>
    <w:rsid w:val="2EAC17CF"/>
    <w:rsid w:val="2EDE45E1"/>
    <w:rsid w:val="2F324CC6"/>
    <w:rsid w:val="2F3DDD28"/>
    <w:rsid w:val="2F6AA196"/>
    <w:rsid w:val="2F7FC885"/>
    <w:rsid w:val="2FC4D913"/>
    <w:rsid w:val="2FEBEFE7"/>
    <w:rsid w:val="3004F8EC"/>
    <w:rsid w:val="3006E655"/>
    <w:rsid w:val="304A9736"/>
    <w:rsid w:val="30530D0D"/>
    <w:rsid w:val="30575D39"/>
    <w:rsid w:val="30848D8C"/>
    <w:rsid w:val="30A8A17C"/>
    <w:rsid w:val="30D2B21D"/>
    <w:rsid w:val="312A1136"/>
    <w:rsid w:val="314146EB"/>
    <w:rsid w:val="315A56A9"/>
    <w:rsid w:val="315E9E31"/>
    <w:rsid w:val="316F7595"/>
    <w:rsid w:val="31B0CCCD"/>
    <w:rsid w:val="31E23A3B"/>
    <w:rsid w:val="32035197"/>
    <w:rsid w:val="32069E80"/>
    <w:rsid w:val="320C9265"/>
    <w:rsid w:val="32546A18"/>
    <w:rsid w:val="32575C53"/>
    <w:rsid w:val="325AA4CF"/>
    <w:rsid w:val="326F0BEA"/>
    <w:rsid w:val="3271DAE0"/>
    <w:rsid w:val="3299DA42"/>
    <w:rsid w:val="329E7430"/>
    <w:rsid w:val="32DC244C"/>
    <w:rsid w:val="32EB5735"/>
    <w:rsid w:val="330BFD38"/>
    <w:rsid w:val="3359E11D"/>
    <w:rsid w:val="3364612D"/>
    <w:rsid w:val="3409B22D"/>
    <w:rsid w:val="345ECFD9"/>
    <w:rsid w:val="347196A1"/>
    <w:rsid w:val="349A0197"/>
    <w:rsid w:val="34B04C2F"/>
    <w:rsid w:val="34DB9041"/>
    <w:rsid w:val="34F19F5F"/>
    <w:rsid w:val="350EDD8C"/>
    <w:rsid w:val="3519DAFD"/>
    <w:rsid w:val="356DCDE5"/>
    <w:rsid w:val="358CBCD8"/>
    <w:rsid w:val="35A4738C"/>
    <w:rsid w:val="35B8BCAE"/>
    <w:rsid w:val="361B1EF6"/>
    <w:rsid w:val="361B7AAB"/>
    <w:rsid w:val="362B8548"/>
    <w:rsid w:val="362E7143"/>
    <w:rsid w:val="364B6D85"/>
    <w:rsid w:val="365D4238"/>
    <w:rsid w:val="36C83CB6"/>
    <w:rsid w:val="36D4D813"/>
    <w:rsid w:val="36E1386A"/>
    <w:rsid w:val="36F9F533"/>
    <w:rsid w:val="372790E9"/>
    <w:rsid w:val="37298366"/>
    <w:rsid w:val="37467406"/>
    <w:rsid w:val="375E154F"/>
    <w:rsid w:val="377ACD88"/>
    <w:rsid w:val="379DEE13"/>
    <w:rsid w:val="37F5518F"/>
    <w:rsid w:val="37FCCEDB"/>
    <w:rsid w:val="380482A3"/>
    <w:rsid w:val="38517BBF"/>
    <w:rsid w:val="38BB836E"/>
    <w:rsid w:val="38CB4827"/>
    <w:rsid w:val="391FB372"/>
    <w:rsid w:val="3944D654"/>
    <w:rsid w:val="39546BA9"/>
    <w:rsid w:val="39901A3E"/>
    <w:rsid w:val="39B811C4"/>
    <w:rsid w:val="3A58A617"/>
    <w:rsid w:val="3A695BEA"/>
    <w:rsid w:val="3A71736A"/>
    <w:rsid w:val="3ACBF55C"/>
    <w:rsid w:val="3AE1FC7D"/>
    <w:rsid w:val="3AE2CE2F"/>
    <w:rsid w:val="3AEEE136"/>
    <w:rsid w:val="3B23CB43"/>
    <w:rsid w:val="3B5AEE00"/>
    <w:rsid w:val="3B5F77D5"/>
    <w:rsid w:val="3B70E18E"/>
    <w:rsid w:val="3B7AB13C"/>
    <w:rsid w:val="3B7F5D45"/>
    <w:rsid w:val="3B80BB9F"/>
    <w:rsid w:val="3BC254CE"/>
    <w:rsid w:val="3BF34286"/>
    <w:rsid w:val="3C11CCBA"/>
    <w:rsid w:val="3C1AC0F7"/>
    <w:rsid w:val="3C269DFE"/>
    <w:rsid w:val="3C5A79F6"/>
    <w:rsid w:val="3C94C33F"/>
    <w:rsid w:val="3CB7E394"/>
    <w:rsid w:val="3CC13ACE"/>
    <w:rsid w:val="3CC820A2"/>
    <w:rsid w:val="3CD0D464"/>
    <w:rsid w:val="3CED14DC"/>
    <w:rsid w:val="3D22479D"/>
    <w:rsid w:val="3D4AB872"/>
    <w:rsid w:val="3DA8061E"/>
    <w:rsid w:val="3DBC156B"/>
    <w:rsid w:val="3DD97645"/>
    <w:rsid w:val="3DDBA154"/>
    <w:rsid w:val="3E4B6AB6"/>
    <w:rsid w:val="3E6C68EF"/>
    <w:rsid w:val="3E6F4CBD"/>
    <w:rsid w:val="3EAF6CDD"/>
    <w:rsid w:val="3EAFE8ED"/>
    <w:rsid w:val="3EB2638D"/>
    <w:rsid w:val="3F03DF15"/>
    <w:rsid w:val="3F60CF71"/>
    <w:rsid w:val="3F68B60A"/>
    <w:rsid w:val="3F865EA7"/>
    <w:rsid w:val="4014A74C"/>
    <w:rsid w:val="403F8762"/>
    <w:rsid w:val="40790AE8"/>
    <w:rsid w:val="40AE27C6"/>
    <w:rsid w:val="40D2CD3C"/>
    <w:rsid w:val="40DDB5F9"/>
    <w:rsid w:val="417D218A"/>
    <w:rsid w:val="41917930"/>
    <w:rsid w:val="42013B8E"/>
    <w:rsid w:val="4206E5AD"/>
    <w:rsid w:val="4287FEAA"/>
    <w:rsid w:val="4325C1AD"/>
    <w:rsid w:val="43363336"/>
    <w:rsid w:val="43564BFF"/>
    <w:rsid w:val="4393C5A2"/>
    <w:rsid w:val="43B13E20"/>
    <w:rsid w:val="43E065C1"/>
    <w:rsid w:val="43E66000"/>
    <w:rsid w:val="440715DB"/>
    <w:rsid w:val="4423FAEF"/>
    <w:rsid w:val="4486B3B4"/>
    <w:rsid w:val="45072BEB"/>
    <w:rsid w:val="4559F83C"/>
    <w:rsid w:val="458A1DE7"/>
    <w:rsid w:val="459EB67B"/>
    <w:rsid w:val="45A21CEA"/>
    <w:rsid w:val="45F39BFF"/>
    <w:rsid w:val="4611BFB1"/>
    <w:rsid w:val="4618DBBA"/>
    <w:rsid w:val="465D7EF8"/>
    <w:rsid w:val="46EB0901"/>
    <w:rsid w:val="46F401C0"/>
    <w:rsid w:val="46FEA08E"/>
    <w:rsid w:val="4741EE5C"/>
    <w:rsid w:val="47499EDA"/>
    <w:rsid w:val="474D9E02"/>
    <w:rsid w:val="474EB6DD"/>
    <w:rsid w:val="476719D2"/>
    <w:rsid w:val="476CC20D"/>
    <w:rsid w:val="47A0FE34"/>
    <w:rsid w:val="4836A1DB"/>
    <w:rsid w:val="486FF89E"/>
    <w:rsid w:val="48AB857A"/>
    <w:rsid w:val="48E2B1E9"/>
    <w:rsid w:val="48E5352F"/>
    <w:rsid w:val="48E74F91"/>
    <w:rsid w:val="48F579C6"/>
    <w:rsid w:val="492A96A4"/>
    <w:rsid w:val="493A70B5"/>
    <w:rsid w:val="49429011"/>
    <w:rsid w:val="4980F549"/>
    <w:rsid w:val="49895C1D"/>
    <w:rsid w:val="49BEE0AC"/>
    <w:rsid w:val="4A19F2EF"/>
    <w:rsid w:val="4A384EF7"/>
    <w:rsid w:val="4A56FE43"/>
    <w:rsid w:val="4A5C5A28"/>
    <w:rsid w:val="4A72604E"/>
    <w:rsid w:val="4AF6B894"/>
    <w:rsid w:val="4B1AB53D"/>
    <w:rsid w:val="4B1C66F5"/>
    <w:rsid w:val="4B4FCD1B"/>
    <w:rsid w:val="4B69DBF5"/>
    <w:rsid w:val="4C34A26C"/>
    <w:rsid w:val="4C4C3732"/>
    <w:rsid w:val="4C599042"/>
    <w:rsid w:val="4CC96D77"/>
    <w:rsid w:val="4D032292"/>
    <w:rsid w:val="4D70F7D3"/>
    <w:rsid w:val="4DC82976"/>
    <w:rsid w:val="4DFF0F79"/>
    <w:rsid w:val="4E3898A0"/>
    <w:rsid w:val="4E4D0F6A"/>
    <w:rsid w:val="4E5A2724"/>
    <w:rsid w:val="4E78C3B1"/>
    <w:rsid w:val="4E811D23"/>
    <w:rsid w:val="4EB97026"/>
    <w:rsid w:val="4EC4CD38"/>
    <w:rsid w:val="4EF8A01F"/>
    <w:rsid w:val="4F1A2EC3"/>
    <w:rsid w:val="4F83407C"/>
    <w:rsid w:val="5042ED48"/>
    <w:rsid w:val="5044B513"/>
    <w:rsid w:val="509810E8"/>
    <w:rsid w:val="50A71611"/>
    <w:rsid w:val="50E595B9"/>
    <w:rsid w:val="511BCF16"/>
    <w:rsid w:val="512114AE"/>
    <w:rsid w:val="5135A889"/>
    <w:rsid w:val="51669190"/>
    <w:rsid w:val="5179F6F1"/>
    <w:rsid w:val="5184FBEE"/>
    <w:rsid w:val="51EEB217"/>
    <w:rsid w:val="51F45936"/>
    <w:rsid w:val="52305BE8"/>
    <w:rsid w:val="523A515C"/>
    <w:rsid w:val="5244C888"/>
    <w:rsid w:val="5261A5BE"/>
    <w:rsid w:val="52706BD2"/>
    <w:rsid w:val="52D27604"/>
    <w:rsid w:val="52F22FBC"/>
    <w:rsid w:val="53076011"/>
    <w:rsid w:val="5309852E"/>
    <w:rsid w:val="5340578E"/>
    <w:rsid w:val="5381E418"/>
    <w:rsid w:val="539BCB56"/>
    <w:rsid w:val="53C0708E"/>
    <w:rsid w:val="54935CF2"/>
    <w:rsid w:val="54DAB4E1"/>
    <w:rsid w:val="54E608A4"/>
    <w:rsid w:val="552E4D40"/>
    <w:rsid w:val="5540896D"/>
    <w:rsid w:val="55E44217"/>
    <w:rsid w:val="560A815D"/>
    <w:rsid w:val="5628AAAD"/>
    <w:rsid w:val="563D6D3C"/>
    <w:rsid w:val="567B7E57"/>
    <w:rsid w:val="567EF421"/>
    <w:rsid w:val="568CD81A"/>
    <w:rsid w:val="56B753CB"/>
    <w:rsid w:val="57024569"/>
    <w:rsid w:val="571AFEA5"/>
    <w:rsid w:val="571D541D"/>
    <w:rsid w:val="573825D6"/>
    <w:rsid w:val="577E8800"/>
    <w:rsid w:val="57BAB86B"/>
    <w:rsid w:val="57BE18FB"/>
    <w:rsid w:val="57BE6ACB"/>
    <w:rsid w:val="57DF7AE6"/>
    <w:rsid w:val="57EC179E"/>
    <w:rsid w:val="57F162EE"/>
    <w:rsid w:val="57F394F1"/>
    <w:rsid w:val="585F4E60"/>
    <w:rsid w:val="58747602"/>
    <w:rsid w:val="588C9C8D"/>
    <w:rsid w:val="58B60342"/>
    <w:rsid w:val="58C5BF97"/>
    <w:rsid w:val="58C91764"/>
    <w:rsid w:val="58D210D5"/>
    <w:rsid w:val="58DED2DF"/>
    <w:rsid w:val="58F6F830"/>
    <w:rsid w:val="58FD77AE"/>
    <w:rsid w:val="592F7F97"/>
    <w:rsid w:val="596009E9"/>
    <w:rsid w:val="59604B6F"/>
    <w:rsid w:val="598B60EE"/>
    <w:rsid w:val="5A3E49ED"/>
    <w:rsid w:val="5A4DF857"/>
    <w:rsid w:val="5AB5BF03"/>
    <w:rsid w:val="5B476796"/>
    <w:rsid w:val="5BA8159D"/>
    <w:rsid w:val="5BD0E53A"/>
    <w:rsid w:val="5BE053B7"/>
    <w:rsid w:val="5C0DE211"/>
    <w:rsid w:val="5C32452D"/>
    <w:rsid w:val="5C7F7CBF"/>
    <w:rsid w:val="5C97EC31"/>
    <w:rsid w:val="5D0FCBD0"/>
    <w:rsid w:val="5D415521"/>
    <w:rsid w:val="5D623F5B"/>
    <w:rsid w:val="5D945056"/>
    <w:rsid w:val="5DA6575D"/>
    <w:rsid w:val="5DF35ADC"/>
    <w:rsid w:val="5E3BA500"/>
    <w:rsid w:val="5EA56F7D"/>
    <w:rsid w:val="5EB2AF81"/>
    <w:rsid w:val="5EFF37B0"/>
    <w:rsid w:val="5F45588D"/>
    <w:rsid w:val="5FACB308"/>
    <w:rsid w:val="5FD1646E"/>
    <w:rsid w:val="603E0F36"/>
    <w:rsid w:val="6060BC2D"/>
    <w:rsid w:val="607F7EC8"/>
    <w:rsid w:val="60854546"/>
    <w:rsid w:val="60CA3C35"/>
    <w:rsid w:val="60D90E94"/>
    <w:rsid w:val="610E2B72"/>
    <w:rsid w:val="6116BB08"/>
    <w:rsid w:val="612DB75B"/>
    <w:rsid w:val="615C4F05"/>
    <w:rsid w:val="6180B259"/>
    <w:rsid w:val="619D80BD"/>
    <w:rsid w:val="61A5CCFC"/>
    <w:rsid w:val="61C162C4"/>
    <w:rsid w:val="62210422"/>
    <w:rsid w:val="6275D522"/>
    <w:rsid w:val="627999A6"/>
    <w:rsid w:val="62B99FAC"/>
    <w:rsid w:val="62CE3EA0"/>
    <w:rsid w:val="630CE07C"/>
    <w:rsid w:val="6310F4A1"/>
    <w:rsid w:val="632C9A34"/>
    <w:rsid w:val="632CF945"/>
    <w:rsid w:val="633DDE2A"/>
    <w:rsid w:val="6349E9E5"/>
    <w:rsid w:val="637A528F"/>
    <w:rsid w:val="63A7E610"/>
    <w:rsid w:val="64003DCD"/>
    <w:rsid w:val="6424E343"/>
    <w:rsid w:val="64251BF3"/>
    <w:rsid w:val="6463C8C5"/>
    <w:rsid w:val="64D9AB87"/>
    <w:rsid w:val="650C04C5"/>
    <w:rsid w:val="656BAA64"/>
    <w:rsid w:val="65F65EF7"/>
    <w:rsid w:val="65FEBA27"/>
    <w:rsid w:val="66369979"/>
    <w:rsid w:val="66385FE1"/>
    <w:rsid w:val="6659DDAF"/>
    <w:rsid w:val="6689EF23"/>
    <w:rsid w:val="66B5E8CF"/>
    <w:rsid w:val="66BD661B"/>
    <w:rsid w:val="66D9C03E"/>
    <w:rsid w:val="670A4995"/>
    <w:rsid w:val="67157C0C"/>
    <w:rsid w:val="673F6673"/>
    <w:rsid w:val="67484B16"/>
    <w:rsid w:val="676347A4"/>
    <w:rsid w:val="683A19D2"/>
    <w:rsid w:val="6891A8FD"/>
    <w:rsid w:val="689E5DCB"/>
    <w:rsid w:val="68EA40AA"/>
    <w:rsid w:val="69311BEC"/>
    <w:rsid w:val="696503CB"/>
    <w:rsid w:val="6A167B9F"/>
    <w:rsid w:val="6A7E67DB"/>
    <w:rsid w:val="6A9D1ADC"/>
    <w:rsid w:val="6AEE5F0C"/>
    <w:rsid w:val="6B3AC98D"/>
    <w:rsid w:val="6B4D3B23"/>
    <w:rsid w:val="6B8014C5"/>
    <w:rsid w:val="6BC05E84"/>
    <w:rsid w:val="6BD5FA11"/>
    <w:rsid w:val="6BFFD079"/>
    <w:rsid w:val="6C0B4FB2"/>
    <w:rsid w:val="6C478FCD"/>
    <w:rsid w:val="6C4C6389"/>
    <w:rsid w:val="6C852CA7"/>
    <w:rsid w:val="6C9D2429"/>
    <w:rsid w:val="6CB52F1B"/>
    <w:rsid w:val="6D060311"/>
    <w:rsid w:val="6D605DFF"/>
    <w:rsid w:val="6D8CDF4E"/>
    <w:rsid w:val="6D974844"/>
    <w:rsid w:val="6DC7D6E5"/>
    <w:rsid w:val="6DD9D326"/>
    <w:rsid w:val="6DE2C259"/>
    <w:rsid w:val="6DF17F6A"/>
    <w:rsid w:val="6E57259F"/>
    <w:rsid w:val="6E7FC26B"/>
    <w:rsid w:val="6E802DA3"/>
    <w:rsid w:val="6EE890C9"/>
    <w:rsid w:val="6F2ACFC9"/>
    <w:rsid w:val="6F40E5BB"/>
    <w:rsid w:val="6FB9C36D"/>
    <w:rsid w:val="6FC89C3B"/>
    <w:rsid w:val="6FCBFCF1"/>
    <w:rsid w:val="6FEB453F"/>
    <w:rsid w:val="7001287D"/>
    <w:rsid w:val="703D0C5B"/>
    <w:rsid w:val="704DBB4D"/>
    <w:rsid w:val="70553899"/>
    <w:rsid w:val="7064D9E7"/>
    <w:rsid w:val="7099F6D8"/>
    <w:rsid w:val="70BCC6BF"/>
    <w:rsid w:val="71482B64"/>
    <w:rsid w:val="7149D253"/>
    <w:rsid w:val="71550FFE"/>
    <w:rsid w:val="7158A2CC"/>
    <w:rsid w:val="7185CC65"/>
    <w:rsid w:val="71A5701C"/>
    <w:rsid w:val="71C1A7B9"/>
    <w:rsid w:val="71F16873"/>
    <w:rsid w:val="722BAEA4"/>
    <w:rsid w:val="723DF3C6"/>
    <w:rsid w:val="72519DD8"/>
    <w:rsid w:val="725D041C"/>
    <w:rsid w:val="72649102"/>
    <w:rsid w:val="72B50BE4"/>
    <w:rsid w:val="72EBEE2F"/>
    <w:rsid w:val="736763BD"/>
    <w:rsid w:val="737867BC"/>
    <w:rsid w:val="7395034F"/>
    <w:rsid w:val="73B40E74"/>
    <w:rsid w:val="73DF819E"/>
    <w:rsid w:val="73F9C390"/>
    <w:rsid w:val="742160C6"/>
    <w:rsid w:val="74244E02"/>
    <w:rsid w:val="7452DB6F"/>
    <w:rsid w:val="745B547F"/>
    <w:rsid w:val="745DA1DF"/>
    <w:rsid w:val="74731930"/>
    <w:rsid w:val="74D972FA"/>
    <w:rsid w:val="74F11210"/>
    <w:rsid w:val="7508F59A"/>
    <w:rsid w:val="75AEE6EB"/>
    <w:rsid w:val="75FAD8C3"/>
    <w:rsid w:val="7602859C"/>
    <w:rsid w:val="7616A446"/>
    <w:rsid w:val="761D0EBF"/>
    <w:rsid w:val="7623D690"/>
    <w:rsid w:val="76248C0B"/>
    <w:rsid w:val="762F5A41"/>
    <w:rsid w:val="764445C3"/>
    <w:rsid w:val="76449DE7"/>
    <w:rsid w:val="767136C2"/>
    <w:rsid w:val="7673556B"/>
    <w:rsid w:val="767E1B8E"/>
    <w:rsid w:val="76E75918"/>
    <w:rsid w:val="76EC6473"/>
    <w:rsid w:val="76F7391B"/>
    <w:rsid w:val="770F2457"/>
    <w:rsid w:val="776FE602"/>
    <w:rsid w:val="7803958F"/>
    <w:rsid w:val="78303483"/>
    <w:rsid w:val="7838C0A4"/>
    <w:rsid w:val="7840F511"/>
    <w:rsid w:val="784766BA"/>
    <w:rsid w:val="786C7081"/>
    <w:rsid w:val="78BCA362"/>
    <w:rsid w:val="78F2B66D"/>
    <w:rsid w:val="7913BA4E"/>
    <w:rsid w:val="796000A3"/>
    <w:rsid w:val="796456C1"/>
    <w:rsid w:val="798F8343"/>
    <w:rsid w:val="79C6CD0C"/>
    <w:rsid w:val="7A08F18D"/>
    <w:rsid w:val="7A322DEA"/>
    <w:rsid w:val="7A526BD8"/>
    <w:rsid w:val="7A56BC84"/>
    <w:rsid w:val="7A5A605C"/>
    <w:rsid w:val="7A6E1923"/>
    <w:rsid w:val="7A72DB3E"/>
    <w:rsid w:val="7A96A62A"/>
    <w:rsid w:val="7AD24DDC"/>
    <w:rsid w:val="7AD78554"/>
    <w:rsid w:val="7AE881E5"/>
    <w:rsid w:val="7AE8F7FE"/>
    <w:rsid w:val="7B102F02"/>
    <w:rsid w:val="7B15C2AF"/>
    <w:rsid w:val="7B1648A2"/>
    <w:rsid w:val="7B1841DB"/>
    <w:rsid w:val="7B32B133"/>
    <w:rsid w:val="7B3E2DA5"/>
    <w:rsid w:val="7B50E026"/>
    <w:rsid w:val="7B51C561"/>
    <w:rsid w:val="7B5C9EC1"/>
    <w:rsid w:val="7B63ACDE"/>
    <w:rsid w:val="7C0280F6"/>
    <w:rsid w:val="7C081949"/>
    <w:rsid w:val="7C087811"/>
    <w:rsid w:val="7C555B78"/>
    <w:rsid w:val="7C5BCBAD"/>
    <w:rsid w:val="7C737383"/>
    <w:rsid w:val="7CC29949"/>
    <w:rsid w:val="7CC68C8D"/>
    <w:rsid w:val="7CC72405"/>
    <w:rsid w:val="7CCAFCE7"/>
    <w:rsid w:val="7CEF9993"/>
    <w:rsid w:val="7CF840CD"/>
    <w:rsid w:val="7D2DDC1A"/>
    <w:rsid w:val="7D43E967"/>
    <w:rsid w:val="7DAA7C00"/>
    <w:rsid w:val="7E238D1D"/>
    <w:rsid w:val="7E908FF6"/>
    <w:rsid w:val="7E968945"/>
    <w:rsid w:val="7EA06371"/>
    <w:rsid w:val="7EC0567B"/>
    <w:rsid w:val="7ED5E4F6"/>
    <w:rsid w:val="7EDEAE8F"/>
    <w:rsid w:val="7EE6E8F5"/>
    <w:rsid w:val="7EEDA795"/>
    <w:rsid w:val="7F17A454"/>
    <w:rsid w:val="7F2305D9"/>
    <w:rsid w:val="7F909994"/>
    <w:rsid w:val="7FA4324B"/>
    <w:rsid w:val="7FA5689F"/>
    <w:rsid w:val="7FBAE8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DED69"/>
  <w15:chartTrackingRefBased/>
  <w15:docId w15:val="{ABCF07A4-1EB6-4A54-853D-4BE1303A7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F711F34"/>
    <w:pPr>
      <w:spacing w:before="120" w:after="120"/>
      <w:ind w:firstLine="720"/>
      <w:jc w:val="both"/>
    </w:pPr>
    <w:rPr>
      <w:rFonts w:ascii="Times New Roman" w:hAnsi="Times New Roman"/>
      <w:sz w:val="24"/>
      <w:szCs w:val="24"/>
      <w:lang w:val="lv-LV"/>
    </w:rPr>
  </w:style>
  <w:style w:type="paragraph" w:styleId="Virsraksts1">
    <w:name w:val="heading 1"/>
    <w:basedOn w:val="Parasts"/>
    <w:next w:val="Parasts"/>
    <w:link w:val="Virsraksts1Rakstz"/>
    <w:uiPriority w:val="9"/>
    <w:qFormat/>
    <w:rsid w:val="0F711F34"/>
    <w:pPr>
      <w:keepNext/>
      <w:keepLines/>
      <w:ind w:firstLine="0"/>
      <w:jc w:val="center"/>
      <w:outlineLvl w:val="0"/>
    </w:pPr>
    <w:rPr>
      <w:rFonts w:eastAsiaTheme="majorEastAsia" w:cstheme="majorBidi"/>
      <w:b/>
      <w:bCs/>
      <w:color w:val="840B55"/>
    </w:rPr>
  </w:style>
  <w:style w:type="paragraph" w:styleId="Virsraksts2">
    <w:name w:val="heading 2"/>
    <w:basedOn w:val="Parasts"/>
    <w:next w:val="Parasts"/>
    <w:link w:val="Virsraksts2Rakstz"/>
    <w:uiPriority w:val="9"/>
    <w:unhideWhenUsed/>
    <w:qFormat/>
    <w:rsid w:val="0F711F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F711F34"/>
    <w:pPr>
      <w:keepNext/>
      <w:keepLines/>
      <w:spacing w:before="40" w:after="0"/>
      <w:outlineLvl w:val="2"/>
    </w:pPr>
    <w:rPr>
      <w:rFonts w:asciiTheme="majorHAnsi" w:eastAsiaTheme="majorEastAsia" w:hAnsiTheme="majorHAnsi" w:cstheme="majorBidi"/>
      <w:color w:val="1F3763"/>
    </w:rPr>
  </w:style>
  <w:style w:type="paragraph" w:styleId="Virsraksts4">
    <w:name w:val="heading 4"/>
    <w:basedOn w:val="Parasts"/>
    <w:next w:val="Parasts"/>
    <w:link w:val="Virsraksts4Rakstz"/>
    <w:uiPriority w:val="9"/>
    <w:unhideWhenUsed/>
    <w:qFormat/>
    <w:rsid w:val="0F711F3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unhideWhenUsed/>
    <w:qFormat/>
    <w:rsid w:val="0F711F34"/>
    <w:pPr>
      <w:keepNext/>
      <w:keepLines/>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unhideWhenUsed/>
    <w:qFormat/>
    <w:rsid w:val="0F711F34"/>
    <w:pPr>
      <w:keepNext/>
      <w:keepLines/>
      <w:spacing w:before="40" w:after="0"/>
      <w:outlineLvl w:val="5"/>
    </w:pPr>
    <w:rPr>
      <w:rFonts w:asciiTheme="majorHAnsi" w:eastAsiaTheme="majorEastAsia" w:hAnsiTheme="majorHAnsi" w:cstheme="majorBidi"/>
      <w:color w:val="1F3763"/>
    </w:rPr>
  </w:style>
  <w:style w:type="paragraph" w:styleId="Virsraksts7">
    <w:name w:val="heading 7"/>
    <w:basedOn w:val="Parasts"/>
    <w:next w:val="Parasts"/>
    <w:link w:val="Virsraksts7Rakstz"/>
    <w:uiPriority w:val="9"/>
    <w:unhideWhenUsed/>
    <w:qFormat/>
    <w:rsid w:val="0F711F34"/>
    <w:pPr>
      <w:keepNext/>
      <w:keepLines/>
      <w:spacing w:before="40" w:after="0"/>
      <w:outlineLvl w:val="6"/>
    </w:pPr>
    <w:rPr>
      <w:rFonts w:asciiTheme="majorHAnsi" w:eastAsiaTheme="majorEastAsia" w:hAnsiTheme="majorHAnsi" w:cstheme="majorBidi"/>
      <w:i/>
      <w:iCs/>
      <w:color w:val="1F3763"/>
    </w:rPr>
  </w:style>
  <w:style w:type="paragraph" w:styleId="Virsraksts8">
    <w:name w:val="heading 8"/>
    <w:basedOn w:val="Parasts"/>
    <w:next w:val="Parasts"/>
    <w:link w:val="Virsraksts8Rakstz"/>
    <w:uiPriority w:val="9"/>
    <w:unhideWhenUsed/>
    <w:qFormat/>
    <w:rsid w:val="0F711F34"/>
    <w:pPr>
      <w:keepNext/>
      <w:keepLines/>
      <w:spacing w:before="40" w:after="0"/>
      <w:outlineLvl w:val="7"/>
    </w:pPr>
    <w:rPr>
      <w:rFonts w:asciiTheme="majorHAnsi" w:eastAsiaTheme="majorEastAsia" w:hAnsiTheme="majorHAnsi" w:cstheme="majorBidi"/>
      <w:color w:val="272727"/>
      <w:sz w:val="21"/>
      <w:szCs w:val="21"/>
    </w:rPr>
  </w:style>
  <w:style w:type="paragraph" w:styleId="Virsraksts9">
    <w:name w:val="heading 9"/>
    <w:basedOn w:val="Parasts"/>
    <w:next w:val="Parasts"/>
    <w:link w:val="Virsraksts9Rakstz"/>
    <w:uiPriority w:val="9"/>
    <w:unhideWhenUsed/>
    <w:qFormat/>
    <w:rsid w:val="0F711F34"/>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0F711F34"/>
    <w:pPr>
      <w:ind w:firstLine="0"/>
      <w:contextualSpacing/>
      <w:jc w:val="center"/>
    </w:pPr>
    <w:rPr>
      <w:rFonts w:eastAsiaTheme="majorEastAsia" w:cstheme="majorBidi"/>
      <w:b/>
      <w:bCs/>
      <w:color w:val="840B55"/>
      <w:sz w:val="28"/>
      <w:szCs w:val="28"/>
    </w:rPr>
  </w:style>
  <w:style w:type="character" w:customStyle="1" w:styleId="NosaukumsRakstz">
    <w:name w:val="Nosaukums Rakstz."/>
    <w:basedOn w:val="Noklusjumarindkopasfonts"/>
    <w:link w:val="Nosaukums"/>
    <w:uiPriority w:val="10"/>
    <w:rsid w:val="0F711F34"/>
    <w:rPr>
      <w:rFonts w:ascii="Times New Roman" w:eastAsiaTheme="majorEastAsia" w:hAnsi="Times New Roman" w:cstheme="majorBidi"/>
      <w:b/>
      <w:bCs/>
      <w:noProof w:val="0"/>
      <w:color w:val="840B55"/>
      <w:sz w:val="28"/>
      <w:szCs w:val="28"/>
      <w:lang w:val="lv-LV"/>
    </w:rPr>
  </w:style>
  <w:style w:type="character" w:customStyle="1" w:styleId="Virsraksts1Rakstz">
    <w:name w:val="Virsraksts 1 Rakstz."/>
    <w:basedOn w:val="Noklusjumarindkopasfonts"/>
    <w:link w:val="Virsraksts1"/>
    <w:uiPriority w:val="9"/>
    <w:rsid w:val="0F711F34"/>
    <w:rPr>
      <w:rFonts w:ascii="Times New Roman" w:eastAsiaTheme="majorEastAsia" w:hAnsi="Times New Roman" w:cstheme="majorBidi"/>
      <w:b/>
      <w:bCs/>
      <w:noProof w:val="0"/>
      <w:color w:val="840B55"/>
      <w:sz w:val="24"/>
      <w:szCs w:val="24"/>
      <w:lang w:val="lv-LV"/>
    </w:rPr>
  </w:style>
  <w:style w:type="paragraph" w:styleId="Apakvirsraksts">
    <w:name w:val="Subtitle"/>
    <w:basedOn w:val="Parasts"/>
    <w:next w:val="Parasts"/>
    <w:link w:val="ApakvirsrakstsRakstz"/>
    <w:uiPriority w:val="11"/>
    <w:qFormat/>
    <w:rsid w:val="0F711F34"/>
    <w:pPr>
      <w:jc w:val="center"/>
    </w:pPr>
    <w:rPr>
      <w:rFonts w:eastAsiaTheme="minorEastAsia"/>
      <w:i/>
      <w:iCs/>
      <w:color w:val="840B55"/>
    </w:rPr>
  </w:style>
  <w:style w:type="character" w:customStyle="1" w:styleId="ApakvirsrakstsRakstz">
    <w:name w:val="Apakšvirsraksts Rakstz."/>
    <w:basedOn w:val="Noklusjumarindkopasfonts"/>
    <w:link w:val="Apakvirsraksts"/>
    <w:uiPriority w:val="11"/>
    <w:rsid w:val="0F711F34"/>
    <w:rPr>
      <w:rFonts w:ascii="Times New Roman" w:eastAsiaTheme="minorEastAsia" w:hAnsi="Times New Roman" w:cstheme="minorBidi"/>
      <w:i/>
      <w:iCs/>
      <w:noProof w:val="0"/>
      <w:color w:val="840B55"/>
      <w:sz w:val="24"/>
      <w:szCs w:val="24"/>
      <w:lang w:val="lv-LV"/>
    </w:rPr>
  </w:style>
  <w:style w:type="character" w:styleId="Komentraatsauce">
    <w:name w:val="annotation reference"/>
    <w:basedOn w:val="Noklusjumarindkopasfonts"/>
    <w:uiPriority w:val="99"/>
    <w:semiHidden/>
    <w:unhideWhenUsed/>
    <w:rsid w:val="00122330"/>
    <w:rPr>
      <w:sz w:val="16"/>
      <w:szCs w:val="16"/>
    </w:rPr>
  </w:style>
  <w:style w:type="paragraph" w:styleId="Komentrateksts">
    <w:name w:val="annotation text"/>
    <w:basedOn w:val="Parasts"/>
    <w:link w:val="KomentratekstsRakstz"/>
    <w:uiPriority w:val="99"/>
    <w:unhideWhenUsed/>
    <w:rsid w:val="0F711F34"/>
    <w:rPr>
      <w:sz w:val="20"/>
      <w:szCs w:val="20"/>
    </w:rPr>
  </w:style>
  <w:style w:type="character" w:customStyle="1" w:styleId="KomentratekstsRakstz">
    <w:name w:val="Komentāra teksts Rakstz."/>
    <w:basedOn w:val="Noklusjumarindkopasfonts"/>
    <w:link w:val="Komentrateksts"/>
    <w:uiPriority w:val="99"/>
    <w:rsid w:val="0F711F34"/>
    <w:rPr>
      <w:rFonts w:ascii="Times New Roman" w:eastAsiaTheme="minorEastAsia" w:hAnsi="Times New Roman" w:cstheme="minorBidi"/>
      <w:noProof w:val="0"/>
      <w:sz w:val="20"/>
      <w:szCs w:val="20"/>
      <w:lang w:val="lv-LV"/>
    </w:rPr>
  </w:style>
  <w:style w:type="paragraph" w:styleId="Komentratma">
    <w:name w:val="annotation subject"/>
    <w:basedOn w:val="Komentrateksts"/>
    <w:next w:val="Komentrateksts"/>
    <w:link w:val="KomentratmaRakstz"/>
    <w:uiPriority w:val="99"/>
    <w:semiHidden/>
    <w:unhideWhenUsed/>
    <w:rsid w:val="0F711F34"/>
    <w:rPr>
      <w:b/>
      <w:bCs/>
    </w:rPr>
  </w:style>
  <w:style w:type="character" w:customStyle="1" w:styleId="KomentratmaRakstz">
    <w:name w:val="Komentāra tēma Rakstz."/>
    <w:basedOn w:val="KomentratekstsRakstz"/>
    <w:link w:val="Komentratma"/>
    <w:uiPriority w:val="99"/>
    <w:semiHidden/>
    <w:rsid w:val="0F711F34"/>
    <w:rPr>
      <w:rFonts w:ascii="Times New Roman" w:eastAsiaTheme="minorEastAsia" w:hAnsi="Times New Roman" w:cstheme="minorBidi"/>
      <w:b/>
      <w:bCs/>
      <w:noProof w:val="0"/>
      <w:sz w:val="20"/>
      <w:szCs w:val="20"/>
      <w:lang w:val="lv-LV"/>
    </w:rPr>
  </w:style>
  <w:style w:type="paragraph" w:styleId="Vresteksts">
    <w:name w:val="footnote text"/>
    <w:basedOn w:val="Parasts"/>
    <w:link w:val="VrestekstsRakstz"/>
    <w:uiPriority w:val="99"/>
    <w:unhideWhenUsed/>
    <w:rsid w:val="0F711F34"/>
    <w:pPr>
      <w:spacing w:before="0" w:after="0"/>
      <w:ind w:firstLine="0"/>
      <w:jc w:val="left"/>
    </w:pPr>
    <w:rPr>
      <w:sz w:val="20"/>
      <w:szCs w:val="20"/>
    </w:rPr>
  </w:style>
  <w:style w:type="character" w:customStyle="1" w:styleId="VrestekstsRakstz">
    <w:name w:val="Vēres teksts Rakstz."/>
    <w:basedOn w:val="Noklusjumarindkopasfonts"/>
    <w:link w:val="Vresteksts"/>
    <w:uiPriority w:val="99"/>
    <w:rsid w:val="0F711F34"/>
    <w:rPr>
      <w:noProof w:val="0"/>
      <w:sz w:val="20"/>
      <w:szCs w:val="20"/>
      <w:lang w:val="lv-LV"/>
    </w:rPr>
  </w:style>
  <w:style w:type="character" w:styleId="Vresatsauce">
    <w:name w:val="footnote reference"/>
    <w:basedOn w:val="Noklusjumarindkopasfonts"/>
    <w:uiPriority w:val="99"/>
    <w:unhideWhenUsed/>
    <w:rsid w:val="00122330"/>
    <w:rPr>
      <w:vertAlign w:val="superscript"/>
    </w:rPr>
  </w:style>
  <w:style w:type="character" w:styleId="Hipersaite">
    <w:name w:val="Hyperlink"/>
    <w:basedOn w:val="Noklusjumarindkopasfonts"/>
    <w:uiPriority w:val="99"/>
    <w:unhideWhenUsed/>
    <w:rsid w:val="00E32653"/>
    <w:rPr>
      <w:color w:val="0563C1" w:themeColor="hyperlink"/>
      <w:u w:val="single"/>
    </w:rPr>
  </w:style>
  <w:style w:type="character" w:styleId="Neatrisintapieminana">
    <w:name w:val="Unresolved Mention"/>
    <w:basedOn w:val="Noklusjumarindkopasfonts"/>
    <w:uiPriority w:val="99"/>
    <w:semiHidden/>
    <w:unhideWhenUsed/>
    <w:rsid w:val="00E32653"/>
    <w:rPr>
      <w:color w:val="605E5C"/>
      <w:shd w:val="clear" w:color="auto" w:fill="E1DFDD"/>
    </w:rPr>
  </w:style>
  <w:style w:type="paragraph" w:styleId="Sarakstarindkopa">
    <w:name w:val="List Paragraph"/>
    <w:basedOn w:val="Parasts"/>
    <w:uiPriority w:val="34"/>
    <w:qFormat/>
    <w:rsid w:val="0F711F34"/>
    <w:pPr>
      <w:ind w:left="720"/>
      <w:contextualSpacing/>
    </w:pPr>
  </w:style>
  <w:style w:type="paragraph" w:styleId="Galvene">
    <w:name w:val="header"/>
    <w:basedOn w:val="Parasts"/>
    <w:link w:val="GalveneRakstz"/>
    <w:uiPriority w:val="99"/>
    <w:unhideWhenUsed/>
    <w:rsid w:val="0F711F34"/>
    <w:pPr>
      <w:tabs>
        <w:tab w:val="center" w:pos="4153"/>
        <w:tab w:val="right" w:pos="8306"/>
      </w:tabs>
      <w:spacing w:before="0" w:after="0"/>
    </w:pPr>
  </w:style>
  <w:style w:type="character" w:customStyle="1" w:styleId="GalveneRakstz">
    <w:name w:val="Galvene Rakstz."/>
    <w:basedOn w:val="Noklusjumarindkopasfonts"/>
    <w:link w:val="Galvene"/>
    <w:uiPriority w:val="99"/>
    <w:rsid w:val="0F711F34"/>
    <w:rPr>
      <w:rFonts w:ascii="Times New Roman" w:eastAsiaTheme="minorEastAsia" w:hAnsi="Times New Roman" w:cstheme="minorBidi"/>
      <w:noProof w:val="0"/>
      <w:sz w:val="24"/>
      <w:szCs w:val="24"/>
      <w:lang w:val="lv-LV"/>
    </w:rPr>
  </w:style>
  <w:style w:type="paragraph" w:styleId="Kjene">
    <w:name w:val="footer"/>
    <w:basedOn w:val="Parasts"/>
    <w:link w:val="KjeneRakstz"/>
    <w:uiPriority w:val="99"/>
    <w:unhideWhenUsed/>
    <w:rsid w:val="0F711F34"/>
    <w:pPr>
      <w:tabs>
        <w:tab w:val="center" w:pos="4153"/>
        <w:tab w:val="right" w:pos="8306"/>
      </w:tabs>
      <w:spacing w:before="0" w:after="0"/>
    </w:pPr>
  </w:style>
  <w:style w:type="character" w:customStyle="1" w:styleId="KjeneRakstz">
    <w:name w:val="Kājene Rakstz."/>
    <w:basedOn w:val="Noklusjumarindkopasfonts"/>
    <w:link w:val="Kjene"/>
    <w:uiPriority w:val="99"/>
    <w:rsid w:val="0F711F34"/>
    <w:rPr>
      <w:rFonts w:ascii="Times New Roman" w:eastAsiaTheme="minorEastAsia" w:hAnsi="Times New Roman" w:cstheme="minorBidi"/>
      <w:noProof w:val="0"/>
      <w:sz w:val="24"/>
      <w:szCs w:val="24"/>
      <w:lang w:val="lv-LV"/>
    </w:rPr>
  </w:style>
  <w:style w:type="paragraph" w:styleId="Prskatjums">
    <w:name w:val="Revision"/>
    <w:hidden/>
    <w:uiPriority w:val="99"/>
    <w:semiHidden/>
    <w:rsid w:val="00394DC7"/>
    <w:pPr>
      <w:spacing w:after="0" w:line="240" w:lineRule="auto"/>
    </w:pPr>
    <w:rPr>
      <w:rFonts w:ascii="Times New Roman" w:hAnsi="Times New Roman"/>
      <w:sz w:val="24"/>
      <w:lang w:val="lv-LV"/>
    </w:rPr>
  </w:style>
  <w:style w:type="paragraph" w:styleId="Citts">
    <w:name w:val="Quote"/>
    <w:basedOn w:val="Parasts"/>
    <w:next w:val="Parasts"/>
    <w:link w:val="CittsRakstz"/>
    <w:uiPriority w:val="29"/>
    <w:qFormat/>
    <w:rsid w:val="0F711F34"/>
    <w:pPr>
      <w:spacing w:before="200"/>
      <w:ind w:left="864" w:right="864"/>
      <w:jc w:val="center"/>
    </w:pPr>
    <w:rPr>
      <w:i/>
      <w:iCs/>
      <w:color w:val="404040" w:themeColor="text1" w:themeTint="BF"/>
    </w:rPr>
  </w:style>
  <w:style w:type="paragraph" w:styleId="Intensvscitts">
    <w:name w:val="Intense Quote"/>
    <w:basedOn w:val="Parasts"/>
    <w:next w:val="Parasts"/>
    <w:link w:val="IntensvscittsRakstz"/>
    <w:uiPriority w:val="30"/>
    <w:qFormat/>
    <w:rsid w:val="0F711F34"/>
    <w:pPr>
      <w:spacing w:before="360" w:after="360"/>
      <w:ind w:left="864" w:right="864"/>
      <w:jc w:val="center"/>
    </w:pPr>
    <w:rPr>
      <w:i/>
      <w:iCs/>
      <w:color w:val="4472C4" w:themeColor="accent1"/>
    </w:rPr>
  </w:style>
  <w:style w:type="character" w:customStyle="1" w:styleId="Virsraksts2Rakstz">
    <w:name w:val="Virsraksts 2 Rakstz."/>
    <w:basedOn w:val="Noklusjumarindkopasfonts"/>
    <w:link w:val="Virsraksts2"/>
    <w:uiPriority w:val="9"/>
    <w:rsid w:val="0F711F34"/>
    <w:rPr>
      <w:rFonts w:asciiTheme="majorHAnsi" w:eastAsiaTheme="majorEastAsia" w:hAnsiTheme="majorHAnsi" w:cstheme="majorBidi"/>
      <w:noProof w:val="0"/>
      <w:color w:val="2F5496" w:themeColor="accent1" w:themeShade="BF"/>
      <w:sz w:val="26"/>
      <w:szCs w:val="26"/>
      <w:lang w:val="lv-LV"/>
    </w:rPr>
  </w:style>
  <w:style w:type="character" w:customStyle="1" w:styleId="Virsraksts3Rakstz">
    <w:name w:val="Virsraksts 3 Rakstz."/>
    <w:basedOn w:val="Noklusjumarindkopasfonts"/>
    <w:link w:val="Virsraksts3"/>
    <w:uiPriority w:val="9"/>
    <w:rsid w:val="0F711F34"/>
    <w:rPr>
      <w:rFonts w:asciiTheme="majorHAnsi" w:eastAsiaTheme="majorEastAsia" w:hAnsiTheme="majorHAnsi" w:cstheme="majorBidi"/>
      <w:noProof w:val="0"/>
      <w:color w:val="1F3763"/>
      <w:sz w:val="24"/>
      <w:szCs w:val="24"/>
      <w:lang w:val="lv-LV"/>
    </w:rPr>
  </w:style>
  <w:style w:type="character" w:customStyle="1" w:styleId="Virsraksts4Rakstz">
    <w:name w:val="Virsraksts 4 Rakstz."/>
    <w:basedOn w:val="Noklusjumarindkopasfonts"/>
    <w:link w:val="Virsraksts4"/>
    <w:uiPriority w:val="9"/>
    <w:rsid w:val="0F711F34"/>
    <w:rPr>
      <w:rFonts w:asciiTheme="majorHAnsi" w:eastAsiaTheme="majorEastAsia" w:hAnsiTheme="majorHAnsi" w:cstheme="majorBidi"/>
      <w:i/>
      <w:iCs/>
      <w:noProof w:val="0"/>
      <w:color w:val="2F5496" w:themeColor="accent1" w:themeShade="BF"/>
      <w:lang w:val="lv-LV"/>
    </w:rPr>
  </w:style>
  <w:style w:type="character" w:customStyle="1" w:styleId="Virsraksts5Rakstz">
    <w:name w:val="Virsraksts 5 Rakstz."/>
    <w:basedOn w:val="Noklusjumarindkopasfonts"/>
    <w:link w:val="Virsraksts5"/>
    <w:uiPriority w:val="9"/>
    <w:rsid w:val="0F711F34"/>
    <w:rPr>
      <w:rFonts w:asciiTheme="majorHAnsi" w:eastAsiaTheme="majorEastAsia" w:hAnsiTheme="majorHAnsi" w:cstheme="majorBidi"/>
      <w:noProof w:val="0"/>
      <w:color w:val="2F5496" w:themeColor="accent1" w:themeShade="BF"/>
      <w:lang w:val="lv-LV"/>
    </w:rPr>
  </w:style>
  <w:style w:type="character" w:customStyle="1" w:styleId="Virsraksts6Rakstz">
    <w:name w:val="Virsraksts 6 Rakstz."/>
    <w:basedOn w:val="Noklusjumarindkopasfonts"/>
    <w:link w:val="Virsraksts6"/>
    <w:uiPriority w:val="9"/>
    <w:rsid w:val="0F711F34"/>
    <w:rPr>
      <w:rFonts w:asciiTheme="majorHAnsi" w:eastAsiaTheme="majorEastAsia" w:hAnsiTheme="majorHAnsi" w:cstheme="majorBidi"/>
      <w:noProof w:val="0"/>
      <w:color w:val="1F3763"/>
      <w:lang w:val="lv-LV"/>
    </w:rPr>
  </w:style>
  <w:style w:type="character" w:customStyle="1" w:styleId="Virsraksts7Rakstz">
    <w:name w:val="Virsraksts 7 Rakstz."/>
    <w:basedOn w:val="Noklusjumarindkopasfonts"/>
    <w:link w:val="Virsraksts7"/>
    <w:uiPriority w:val="9"/>
    <w:rsid w:val="0F711F34"/>
    <w:rPr>
      <w:rFonts w:asciiTheme="majorHAnsi" w:eastAsiaTheme="majorEastAsia" w:hAnsiTheme="majorHAnsi" w:cstheme="majorBidi"/>
      <w:i/>
      <w:iCs/>
      <w:noProof w:val="0"/>
      <w:color w:val="1F3763"/>
      <w:lang w:val="lv-LV"/>
    </w:rPr>
  </w:style>
  <w:style w:type="character" w:customStyle="1" w:styleId="Virsraksts8Rakstz">
    <w:name w:val="Virsraksts 8 Rakstz."/>
    <w:basedOn w:val="Noklusjumarindkopasfonts"/>
    <w:link w:val="Virsraksts8"/>
    <w:uiPriority w:val="9"/>
    <w:rsid w:val="0F711F34"/>
    <w:rPr>
      <w:rFonts w:asciiTheme="majorHAnsi" w:eastAsiaTheme="majorEastAsia" w:hAnsiTheme="majorHAnsi" w:cstheme="majorBidi"/>
      <w:noProof w:val="0"/>
      <w:color w:val="272727"/>
      <w:sz w:val="21"/>
      <w:szCs w:val="21"/>
      <w:lang w:val="lv-LV"/>
    </w:rPr>
  </w:style>
  <w:style w:type="character" w:customStyle="1" w:styleId="Virsraksts9Rakstz">
    <w:name w:val="Virsraksts 9 Rakstz."/>
    <w:basedOn w:val="Noklusjumarindkopasfonts"/>
    <w:link w:val="Virsraksts9"/>
    <w:uiPriority w:val="9"/>
    <w:rsid w:val="0F711F34"/>
    <w:rPr>
      <w:rFonts w:asciiTheme="majorHAnsi" w:eastAsiaTheme="majorEastAsia" w:hAnsiTheme="majorHAnsi" w:cstheme="majorBidi"/>
      <w:i/>
      <w:iCs/>
      <w:noProof w:val="0"/>
      <w:color w:val="272727"/>
      <w:sz w:val="21"/>
      <w:szCs w:val="21"/>
      <w:lang w:val="lv-LV"/>
    </w:rPr>
  </w:style>
  <w:style w:type="character" w:customStyle="1" w:styleId="CittsRakstz">
    <w:name w:val="Citāts Rakstz."/>
    <w:basedOn w:val="Noklusjumarindkopasfonts"/>
    <w:link w:val="Citts"/>
    <w:uiPriority w:val="29"/>
    <w:rsid w:val="0F711F34"/>
    <w:rPr>
      <w:i/>
      <w:iCs/>
      <w:noProof w:val="0"/>
      <w:color w:val="404040" w:themeColor="text1" w:themeTint="BF"/>
      <w:lang w:val="lv-LV"/>
    </w:rPr>
  </w:style>
  <w:style w:type="character" w:customStyle="1" w:styleId="IntensvscittsRakstz">
    <w:name w:val="Intensīvs citāts Rakstz."/>
    <w:basedOn w:val="Noklusjumarindkopasfonts"/>
    <w:link w:val="Intensvscitts"/>
    <w:uiPriority w:val="30"/>
    <w:rsid w:val="0F711F34"/>
    <w:rPr>
      <w:i/>
      <w:iCs/>
      <w:noProof w:val="0"/>
      <w:color w:val="4472C4" w:themeColor="accent1"/>
      <w:lang w:val="lv-LV"/>
    </w:rPr>
  </w:style>
  <w:style w:type="paragraph" w:styleId="Saturs1">
    <w:name w:val="toc 1"/>
    <w:basedOn w:val="Parasts"/>
    <w:next w:val="Parasts"/>
    <w:uiPriority w:val="39"/>
    <w:unhideWhenUsed/>
    <w:rsid w:val="0F711F34"/>
    <w:pPr>
      <w:spacing w:after="100"/>
    </w:pPr>
  </w:style>
  <w:style w:type="paragraph" w:styleId="Saturs2">
    <w:name w:val="toc 2"/>
    <w:basedOn w:val="Parasts"/>
    <w:next w:val="Parasts"/>
    <w:uiPriority w:val="39"/>
    <w:unhideWhenUsed/>
    <w:rsid w:val="0F711F34"/>
    <w:pPr>
      <w:spacing w:after="100"/>
      <w:ind w:left="220"/>
    </w:pPr>
  </w:style>
  <w:style w:type="paragraph" w:styleId="Saturs3">
    <w:name w:val="toc 3"/>
    <w:basedOn w:val="Parasts"/>
    <w:next w:val="Parasts"/>
    <w:uiPriority w:val="39"/>
    <w:unhideWhenUsed/>
    <w:rsid w:val="0F711F34"/>
    <w:pPr>
      <w:spacing w:after="100"/>
      <w:ind w:left="440"/>
    </w:pPr>
  </w:style>
  <w:style w:type="paragraph" w:styleId="Saturs4">
    <w:name w:val="toc 4"/>
    <w:basedOn w:val="Parasts"/>
    <w:next w:val="Parasts"/>
    <w:uiPriority w:val="39"/>
    <w:unhideWhenUsed/>
    <w:rsid w:val="0F711F34"/>
    <w:pPr>
      <w:spacing w:after="100"/>
      <w:ind w:left="660"/>
    </w:pPr>
  </w:style>
  <w:style w:type="paragraph" w:styleId="Saturs5">
    <w:name w:val="toc 5"/>
    <w:basedOn w:val="Parasts"/>
    <w:next w:val="Parasts"/>
    <w:uiPriority w:val="39"/>
    <w:unhideWhenUsed/>
    <w:rsid w:val="0F711F34"/>
    <w:pPr>
      <w:spacing w:after="100"/>
      <w:ind w:left="880"/>
    </w:pPr>
  </w:style>
  <w:style w:type="paragraph" w:styleId="Saturs6">
    <w:name w:val="toc 6"/>
    <w:basedOn w:val="Parasts"/>
    <w:next w:val="Parasts"/>
    <w:uiPriority w:val="39"/>
    <w:unhideWhenUsed/>
    <w:rsid w:val="0F711F34"/>
    <w:pPr>
      <w:spacing w:after="100"/>
      <w:ind w:left="1100"/>
    </w:pPr>
  </w:style>
  <w:style w:type="paragraph" w:styleId="Saturs7">
    <w:name w:val="toc 7"/>
    <w:basedOn w:val="Parasts"/>
    <w:next w:val="Parasts"/>
    <w:uiPriority w:val="39"/>
    <w:unhideWhenUsed/>
    <w:rsid w:val="0F711F34"/>
    <w:pPr>
      <w:spacing w:after="100"/>
      <w:ind w:left="1320"/>
    </w:pPr>
  </w:style>
  <w:style w:type="paragraph" w:styleId="Saturs8">
    <w:name w:val="toc 8"/>
    <w:basedOn w:val="Parasts"/>
    <w:next w:val="Parasts"/>
    <w:uiPriority w:val="39"/>
    <w:unhideWhenUsed/>
    <w:rsid w:val="0F711F34"/>
    <w:pPr>
      <w:spacing w:after="100"/>
      <w:ind w:left="1540"/>
    </w:pPr>
  </w:style>
  <w:style w:type="paragraph" w:styleId="Saturs9">
    <w:name w:val="toc 9"/>
    <w:basedOn w:val="Parasts"/>
    <w:next w:val="Parasts"/>
    <w:uiPriority w:val="39"/>
    <w:unhideWhenUsed/>
    <w:rsid w:val="0F711F34"/>
    <w:pPr>
      <w:spacing w:after="100"/>
      <w:ind w:left="1760"/>
    </w:pPr>
  </w:style>
  <w:style w:type="paragraph" w:styleId="Beiguvresteksts">
    <w:name w:val="endnote text"/>
    <w:basedOn w:val="Parasts"/>
    <w:link w:val="BeiguvrestekstsRakstz"/>
    <w:uiPriority w:val="99"/>
    <w:semiHidden/>
    <w:unhideWhenUsed/>
    <w:rsid w:val="0F711F34"/>
    <w:pPr>
      <w:spacing w:after="0"/>
    </w:pPr>
    <w:rPr>
      <w:sz w:val="20"/>
      <w:szCs w:val="20"/>
    </w:rPr>
  </w:style>
  <w:style w:type="character" w:customStyle="1" w:styleId="BeiguvrestekstsRakstz">
    <w:name w:val="Beigu vēres teksts Rakstz."/>
    <w:basedOn w:val="Noklusjumarindkopasfonts"/>
    <w:link w:val="Beiguvresteksts"/>
    <w:uiPriority w:val="99"/>
    <w:semiHidden/>
    <w:rsid w:val="0F711F34"/>
    <w:rPr>
      <w:noProof w:val="0"/>
      <w:sz w:val="20"/>
      <w:szCs w:val="20"/>
      <w:lang w:val="lv-LV"/>
    </w:rPr>
  </w:style>
  <w:style w:type="paragraph" w:styleId="Balonteksts">
    <w:name w:val="Balloon Text"/>
    <w:basedOn w:val="Parasts"/>
    <w:link w:val="BalontekstsRakstz"/>
    <w:uiPriority w:val="99"/>
    <w:semiHidden/>
    <w:unhideWhenUsed/>
    <w:rsid w:val="00A02D24"/>
    <w:pPr>
      <w:spacing w:before="0"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02D24"/>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32358">
      <w:bodyDiv w:val="1"/>
      <w:marLeft w:val="0"/>
      <w:marRight w:val="0"/>
      <w:marTop w:val="0"/>
      <w:marBottom w:val="0"/>
      <w:divBdr>
        <w:top w:val="none" w:sz="0" w:space="0" w:color="auto"/>
        <w:left w:val="none" w:sz="0" w:space="0" w:color="auto"/>
        <w:bottom w:val="none" w:sz="0" w:space="0" w:color="auto"/>
        <w:right w:val="none" w:sz="0" w:space="0" w:color="auto"/>
      </w:divBdr>
    </w:div>
    <w:div w:id="200745866">
      <w:bodyDiv w:val="1"/>
      <w:marLeft w:val="0"/>
      <w:marRight w:val="0"/>
      <w:marTop w:val="0"/>
      <w:marBottom w:val="0"/>
      <w:divBdr>
        <w:top w:val="none" w:sz="0" w:space="0" w:color="auto"/>
        <w:left w:val="none" w:sz="0" w:space="0" w:color="auto"/>
        <w:bottom w:val="none" w:sz="0" w:space="0" w:color="auto"/>
        <w:right w:val="none" w:sz="0" w:space="0" w:color="auto"/>
      </w:divBdr>
    </w:div>
    <w:div w:id="209348651">
      <w:bodyDiv w:val="1"/>
      <w:marLeft w:val="0"/>
      <w:marRight w:val="0"/>
      <w:marTop w:val="0"/>
      <w:marBottom w:val="0"/>
      <w:divBdr>
        <w:top w:val="none" w:sz="0" w:space="0" w:color="auto"/>
        <w:left w:val="none" w:sz="0" w:space="0" w:color="auto"/>
        <w:bottom w:val="none" w:sz="0" w:space="0" w:color="auto"/>
        <w:right w:val="none" w:sz="0" w:space="0" w:color="auto"/>
      </w:divBdr>
    </w:div>
    <w:div w:id="259947464">
      <w:bodyDiv w:val="1"/>
      <w:marLeft w:val="0"/>
      <w:marRight w:val="0"/>
      <w:marTop w:val="0"/>
      <w:marBottom w:val="0"/>
      <w:divBdr>
        <w:top w:val="none" w:sz="0" w:space="0" w:color="auto"/>
        <w:left w:val="none" w:sz="0" w:space="0" w:color="auto"/>
        <w:bottom w:val="none" w:sz="0" w:space="0" w:color="auto"/>
        <w:right w:val="none" w:sz="0" w:space="0" w:color="auto"/>
      </w:divBdr>
    </w:div>
    <w:div w:id="428309904">
      <w:bodyDiv w:val="1"/>
      <w:marLeft w:val="0"/>
      <w:marRight w:val="0"/>
      <w:marTop w:val="0"/>
      <w:marBottom w:val="0"/>
      <w:divBdr>
        <w:top w:val="none" w:sz="0" w:space="0" w:color="auto"/>
        <w:left w:val="none" w:sz="0" w:space="0" w:color="auto"/>
        <w:bottom w:val="none" w:sz="0" w:space="0" w:color="auto"/>
        <w:right w:val="none" w:sz="0" w:space="0" w:color="auto"/>
      </w:divBdr>
    </w:div>
    <w:div w:id="592130829">
      <w:bodyDiv w:val="1"/>
      <w:marLeft w:val="0"/>
      <w:marRight w:val="0"/>
      <w:marTop w:val="0"/>
      <w:marBottom w:val="0"/>
      <w:divBdr>
        <w:top w:val="none" w:sz="0" w:space="0" w:color="auto"/>
        <w:left w:val="none" w:sz="0" w:space="0" w:color="auto"/>
        <w:bottom w:val="none" w:sz="0" w:space="0" w:color="auto"/>
        <w:right w:val="none" w:sz="0" w:space="0" w:color="auto"/>
      </w:divBdr>
    </w:div>
    <w:div w:id="760493152">
      <w:bodyDiv w:val="1"/>
      <w:marLeft w:val="0"/>
      <w:marRight w:val="0"/>
      <w:marTop w:val="0"/>
      <w:marBottom w:val="0"/>
      <w:divBdr>
        <w:top w:val="none" w:sz="0" w:space="0" w:color="auto"/>
        <w:left w:val="none" w:sz="0" w:space="0" w:color="auto"/>
        <w:bottom w:val="none" w:sz="0" w:space="0" w:color="auto"/>
        <w:right w:val="none" w:sz="0" w:space="0" w:color="auto"/>
      </w:divBdr>
    </w:div>
    <w:div w:id="828982278">
      <w:bodyDiv w:val="1"/>
      <w:marLeft w:val="0"/>
      <w:marRight w:val="0"/>
      <w:marTop w:val="0"/>
      <w:marBottom w:val="0"/>
      <w:divBdr>
        <w:top w:val="none" w:sz="0" w:space="0" w:color="auto"/>
        <w:left w:val="none" w:sz="0" w:space="0" w:color="auto"/>
        <w:bottom w:val="none" w:sz="0" w:space="0" w:color="auto"/>
        <w:right w:val="none" w:sz="0" w:space="0" w:color="auto"/>
      </w:divBdr>
    </w:div>
    <w:div w:id="870000721">
      <w:bodyDiv w:val="1"/>
      <w:marLeft w:val="0"/>
      <w:marRight w:val="0"/>
      <w:marTop w:val="0"/>
      <w:marBottom w:val="0"/>
      <w:divBdr>
        <w:top w:val="none" w:sz="0" w:space="0" w:color="auto"/>
        <w:left w:val="none" w:sz="0" w:space="0" w:color="auto"/>
        <w:bottom w:val="none" w:sz="0" w:space="0" w:color="auto"/>
        <w:right w:val="none" w:sz="0" w:space="0" w:color="auto"/>
      </w:divBdr>
    </w:div>
    <w:div w:id="1241987134">
      <w:bodyDiv w:val="1"/>
      <w:marLeft w:val="0"/>
      <w:marRight w:val="0"/>
      <w:marTop w:val="0"/>
      <w:marBottom w:val="0"/>
      <w:divBdr>
        <w:top w:val="none" w:sz="0" w:space="0" w:color="auto"/>
        <w:left w:val="none" w:sz="0" w:space="0" w:color="auto"/>
        <w:bottom w:val="none" w:sz="0" w:space="0" w:color="auto"/>
        <w:right w:val="none" w:sz="0" w:space="0" w:color="auto"/>
      </w:divBdr>
    </w:div>
    <w:div w:id="1267075362">
      <w:bodyDiv w:val="1"/>
      <w:marLeft w:val="0"/>
      <w:marRight w:val="0"/>
      <w:marTop w:val="0"/>
      <w:marBottom w:val="0"/>
      <w:divBdr>
        <w:top w:val="none" w:sz="0" w:space="0" w:color="auto"/>
        <w:left w:val="none" w:sz="0" w:space="0" w:color="auto"/>
        <w:bottom w:val="none" w:sz="0" w:space="0" w:color="auto"/>
        <w:right w:val="none" w:sz="0" w:space="0" w:color="auto"/>
      </w:divBdr>
    </w:div>
    <w:div w:id="1503816214">
      <w:bodyDiv w:val="1"/>
      <w:marLeft w:val="0"/>
      <w:marRight w:val="0"/>
      <w:marTop w:val="0"/>
      <w:marBottom w:val="0"/>
      <w:divBdr>
        <w:top w:val="none" w:sz="0" w:space="0" w:color="auto"/>
        <w:left w:val="none" w:sz="0" w:space="0" w:color="auto"/>
        <w:bottom w:val="none" w:sz="0" w:space="0" w:color="auto"/>
        <w:right w:val="none" w:sz="0" w:space="0" w:color="auto"/>
      </w:divBdr>
    </w:div>
    <w:div w:id="1834056913">
      <w:bodyDiv w:val="1"/>
      <w:marLeft w:val="0"/>
      <w:marRight w:val="0"/>
      <w:marTop w:val="0"/>
      <w:marBottom w:val="0"/>
      <w:divBdr>
        <w:top w:val="none" w:sz="0" w:space="0" w:color="auto"/>
        <w:left w:val="none" w:sz="0" w:space="0" w:color="auto"/>
        <w:bottom w:val="none" w:sz="0" w:space="0" w:color="auto"/>
        <w:right w:val="none" w:sz="0" w:space="0" w:color="auto"/>
      </w:divBdr>
    </w:div>
    <w:div w:id="1849322762">
      <w:bodyDiv w:val="1"/>
      <w:marLeft w:val="0"/>
      <w:marRight w:val="0"/>
      <w:marTop w:val="0"/>
      <w:marBottom w:val="0"/>
      <w:divBdr>
        <w:top w:val="none" w:sz="0" w:space="0" w:color="auto"/>
        <w:left w:val="none" w:sz="0" w:space="0" w:color="auto"/>
        <w:bottom w:val="none" w:sz="0" w:space="0" w:color="auto"/>
        <w:right w:val="none" w:sz="0" w:space="0" w:color="auto"/>
      </w:divBdr>
    </w:div>
    <w:div w:id="1923296436">
      <w:bodyDiv w:val="1"/>
      <w:marLeft w:val="0"/>
      <w:marRight w:val="0"/>
      <w:marTop w:val="0"/>
      <w:marBottom w:val="0"/>
      <w:divBdr>
        <w:top w:val="none" w:sz="0" w:space="0" w:color="auto"/>
        <w:left w:val="none" w:sz="0" w:space="0" w:color="auto"/>
        <w:bottom w:val="none" w:sz="0" w:space="0" w:color="auto"/>
        <w:right w:val="none" w:sz="0" w:space="0" w:color="auto"/>
      </w:divBdr>
    </w:div>
    <w:div w:id="212796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delna.lv/lv/2006/09/05/korupcija_postkomunisma_valstis__gramatas_prezentacija/" TargetMode="External"/><Relationship Id="rId1" Type="http://schemas.openxmlformats.org/officeDocument/2006/relationships/hyperlink" Target="https://eur-lex.europa.eu/legal-content/LV/TXT/?uri=CELEX:62020CJ0037"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819AD-10EA-4417-91CD-10402E9BE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20606</Words>
  <Characters>11746</Characters>
  <Application>Microsoft Office Word</Application>
  <DocSecurity>0</DocSecurity>
  <Lines>97</Lines>
  <Paragraphs>64</Paragraphs>
  <ScaleCrop>false</ScaleCrop>
  <Company/>
  <LinksUpToDate>false</LinksUpToDate>
  <CharactersWithSpaces>32288</CharactersWithSpaces>
  <SharedDoc>false</SharedDoc>
  <HLinks>
    <vt:vector size="12" baseType="variant">
      <vt:variant>
        <vt:i4>5046387</vt:i4>
      </vt:variant>
      <vt:variant>
        <vt:i4>3</vt:i4>
      </vt:variant>
      <vt:variant>
        <vt:i4>0</vt:i4>
      </vt:variant>
      <vt:variant>
        <vt:i4>5</vt:i4>
      </vt:variant>
      <vt:variant>
        <vt:lpwstr>https://delna.lv/lv/2006/09/05/korupcija_postkomunisma_valstis__gramatas_prezentacija/</vt:lpwstr>
      </vt:variant>
      <vt:variant>
        <vt:lpwstr/>
      </vt:variant>
      <vt:variant>
        <vt:i4>1835031</vt:i4>
      </vt:variant>
      <vt:variant>
        <vt:i4>0</vt:i4>
      </vt:variant>
      <vt:variant>
        <vt:i4>0</vt:i4>
      </vt:variant>
      <vt:variant>
        <vt:i4>5</vt:i4>
      </vt:variant>
      <vt:variant>
        <vt:lpwstr>https://eur-lex.europa.eu/legal-content/LV/TXT/?uri=CELEX:62020CJ0037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Ozola</dc:creator>
  <cp:keywords/>
  <dc:description/>
  <cp:lastModifiedBy>Anna Franciska Labinska</cp:lastModifiedBy>
  <cp:revision>20</cp:revision>
  <dcterms:created xsi:type="dcterms:W3CDTF">2023-03-19T14:39:00Z</dcterms:created>
  <dcterms:modified xsi:type="dcterms:W3CDTF">2023-04-06T09:25:00Z</dcterms:modified>
</cp:coreProperties>
</file>