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0C05" w14:textId="77777777" w:rsidR="00AD29D9" w:rsidRPr="007D4BAF" w:rsidRDefault="00AD29D9" w:rsidP="00AD29D9">
      <w:pPr>
        <w:jc w:val="center"/>
        <w:rPr>
          <w:b/>
          <w:sz w:val="28"/>
          <w:szCs w:val="28"/>
        </w:rPr>
      </w:pPr>
      <w:r w:rsidRPr="007D4BAF">
        <w:rPr>
          <w:b/>
          <w:caps/>
          <w:sz w:val="28"/>
          <w:szCs w:val="28"/>
        </w:rPr>
        <w:t>I</w:t>
      </w:r>
      <w:r w:rsidRPr="007D4BAF">
        <w:rPr>
          <w:b/>
          <w:sz w:val="28"/>
          <w:szCs w:val="28"/>
        </w:rPr>
        <w:t>nformatīvais ziņojums</w:t>
      </w:r>
    </w:p>
    <w:p w14:paraId="2B01CFBE" w14:textId="77777777" w:rsidR="00AD29D9" w:rsidRPr="007D4BAF" w:rsidRDefault="00AD29D9" w:rsidP="00AD29D9">
      <w:pPr>
        <w:pStyle w:val="BodyTextIndent"/>
        <w:ind w:firstLine="0"/>
        <w:jc w:val="center"/>
      </w:pPr>
      <w:r w:rsidRPr="007D4BAF">
        <w:t>“Par Latvijas iespējām veikt darījumus ar valsts īpašumā esošajām gada emisijas sadales vienībām un Kioto vienībām”</w:t>
      </w:r>
    </w:p>
    <w:p w14:paraId="7F8B8123" w14:textId="77777777" w:rsidR="00AD29D9" w:rsidRPr="0093742C" w:rsidRDefault="00AD29D9" w:rsidP="00F719AC">
      <w:pPr>
        <w:pStyle w:val="Titreobjet"/>
        <w:spacing w:before="0" w:after="0"/>
        <w:ind w:firstLine="567"/>
        <w:jc w:val="both"/>
        <w:rPr>
          <w:b w:val="0"/>
          <w:sz w:val="28"/>
          <w:szCs w:val="28"/>
        </w:rPr>
      </w:pPr>
    </w:p>
    <w:p w14:paraId="25E6291B" w14:textId="32654013" w:rsidR="00AD29D9" w:rsidRPr="0093742C" w:rsidRDefault="00AD29D9" w:rsidP="00AD29D9">
      <w:pPr>
        <w:pStyle w:val="Titreobjet"/>
        <w:spacing w:before="120" w:after="0"/>
        <w:ind w:firstLine="567"/>
        <w:jc w:val="both"/>
        <w:rPr>
          <w:b w:val="0"/>
          <w:sz w:val="28"/>
          <w:szCs w:val="28"/>
        </w:rPr>
      </w:pPr>
      <w:r w:rsidRPr="0093742C">
        <w:rPr>
          <w:b w:val="0"/>
          <w:sz w:val="28"/>
          <w:szCs w:val="28"/>
        </w:rPr>
        <w:t xml:space="preserve">Informatīvais ziņojums par Latvijas iespējām veikt darījumus ar valsts īpašumā esošajām gada emisijas sadales vienībām un Kioto vienībām (turpmāk – informatīvais ziņojums) ir sagatavots saskaņā ar likuma </w:t>
      </w:r>
      <w:r w:rsidR="00517232" w:rsidRPr="0093742C">
        <w:rPr>
          <w:b w:val="0"/>
          <w:sz w:val="28"/>
          <w:szCs w:val="28"/>
        </w:rPr>
        <w:t>“</w:t>
      </w:r>
      <w:r w:rsidRPr="0093742C">
        <w:rPr>
          <w:b w:val="0"/>
          <w:sz w:val="28"/>
          <w:szCs w:val="28"/>
        </w:rPr>
        <w:t>Par piesārņojumu” 54. panta piekto daļu.</w:t>
      </w:r>
    </w:p>
    <w:p w14:paraId="09C3C15C" w14:textId="4FDBB26E" w:rsidR="00AD29D9" w:rsidRPr="0093742C" w:rsidRDefault="00AD29D9" w:rsidP="00AD29D9">
      <w:pPr>
        <w:ind w:firstLine="567"/>
        <w:jc w:val="both"/>
        <w:rPr>
          <w:sz w:val="28"/>
          <w:szCs w:val="28"/>
        </w:rPr>
      </w:pPr>
      <w:r w:rsidRPr="0093742C">
        <w:rPr>
          <w:sz w:val="28"/>
          <w:szCs w:val="28"/>
          <w:lang w:eastAsia="en-GB"/>
        </w:rPr>
        <w:t xml:space="preserve">Informatīvais ziņojums attiecas uz </w:t>
      </w:r>
      <w:r w:rsidR="00806ADF" w:rsidRPr="0093742C">
        <w:rPr>
          <w:sz w:val="28"/>
          <w:szCs w:val="28"/>
          <w:lang w:eastAsia="en-GB"/>
        </w:rPr>
        <w:t>turpmāk</w:t>
      </w:r>
      <w:r w:rsidR="006C2383">
        <w:rPr>
          <w:sz w:val="28"/>
          <w:szCs w:val="28"/>
          <w:lang w:eastAsia="en-GB"/>
        </w:rPr>
        <w:t xml:space="preserve">ajām darbībām </w:t>
      </w:r>
      <w:r w:rsidR="00A44205">
        <w:rPr>
          <w:sz w:val="28"/>
          <w:szCs w:val="28"/>
          <w:lang w:eastAsia="en-GB"/>
        </w:rPr>
        <w:t>ar</w:t>
      </w:r>
      <w:r w:rsidR="00F371D6" w:rsidRPr="0093742C">
        <w:rPr>
          <w:sz w:val="28"/>
          <w:szCs w:val="28"/>
          <w:lang w:eastAsia="en-GB"/>
        </w:rPr>
        <w:t xml:space="preserve"> </w:t>
      </w:r>
      <w:r w:rsidRPr="0093742C">
        <w:rPr>
          <w:sz w:val="28"/>
          <w:szCs w:val="28"/>
        </w:rPr>
        <w:t>gada emisijas sadales</w:t>
      </w:r>
      <w:r w:rsidRPr="0093742C">
        <w:rPr>
          <w:sz w:val="28"/>
          <w:szCs w:val="28"/>
          <w:lang w:eastAsia="en-GB"/>
        </w:rPr>
        <w:t xml:space="preserve"> (turpmāk – GES) vienībām,</w:t>
      </w:r>
      <w:r w:rsidR="0051700C" w:rsidRPr="0093742C">
        <w:rPr>
          <w:sz w:val="28"/>
          <w:szCs w:val="28"/>
          <w:lang w:eastAsia="en-GB"/>
        </w:rPr>
        <w:t xml:space="preserve"> kuras </w:t>
      </w:r>
      <w:r w:rsidR="009F587B">
        <w:rPr>
          <w:sz w:val="28"/>
          <w:szCs w:val="28"/>
          <w:lang w:eastAsia="en-GB"/>
        </w:rPr>
        <w:t>piešķirtas saistību izpildei</w:t>
      </w:r>
      <w:r w:rsidRPr="0093742C">
        <w:rPr>
          <w:sz w:val="28"/>
          <w:szCs w:val="28"/>
          <w:lang w:eastAsia="en-GB"/>
        </w:rPr>
        <w:t xml:space="preserve">, kas noteiktas </w:t>
      </w:r>
      <w:r w:rsidRPr="0093742C">
        <w:rPr>
          <w:i/>
          <w:sz w:val="28"/>
          <w:szCs w:val="28"/>
        </w:rPr>
        <w:t>Eiropas Parlamenta un Padomes 20</w:t>
      </w:r>
      <w:r w:rsidR="00B168E0">
        <w:rPr>
          <w:i/>
          <w:sz w:val="28"/>
          <w:szCs w:val="28"/>
        </w:rPr>
        <w:t>18</w:t>
      </w:r>
      <w:r w:rsidRPr="0093742C">
        <w:rPr>
          <w:i/>
          <w:sz w:val="28"/>
          <w:szCs w:val="28"/>
        </w:rPr>
        <w:t xml:space="preserve">. gada </w:t>
      </w:r>
      <w:r w:rsidR="00B168E0">
        <w:rPr>
          <w:i/>
          <w:sz w:val="28"/>
          <w:szCs w:val="28"/>
        </w:rPr>
        <w:t>30.</w:t>
      </w:r>
      <w:r w:rsidR="008C0213">
        <w:rPr>
          <w:i/>
          <w:sz w:val="28"/>
          <w:szCs w:val="28"/>
        </w:rPr>
        <w:t> </w:t>
      </w:r>
      <w:r w:rsidR="00B168E0">
        <w:rPr>
          <w:i/>
          <w:sz w:val="28"/>
          <w:szCs w:val="28"/>
        </w:rPr>
        <w:t>maija</w:t>
      </w:r>
      <w:r w:rsidRPr="0093742C">
        <w:rPr>
          <w:i/>
          <w:sz w:val="28"/>
          <w:szCs w:val="28"/>
        </w:rPr>
        <w:t xml:space="preserve"> </w:t>
      </w:r>
      <w:r w:rsidR="00020A1C">
        <w:rPr>
          <w:i/>
          <w:sz w:val="28"/>
          <w:szCs w:val="28"/>
        </w:rPr>
        <w:t>Regulā</w:t>
      </w:r>
      <w:r w:rsidR="00B87394">
        <w:rPr>
          <w:i/>
          <w:sz w:val="28"/>
          <w:szCs w:val="28"/>
        </w:rPr>
        <w:t xml:space="preserve"> (ES) 2018/842</w:t>
      </w:r>
      <w:r w:rsidR="00B87394" w:rsidRPr="00B87394">
        <w:t xml:space="preserve"> </w:t>
      </w:r>
      <w:r w:rsidR="00B87394" w:rsidRPr="00B87394">
        <w:rPr>
          <w:i/>
          <w:sz w:val="28"/>
          <w:szCs w:val="28"/>
        </w:rPr>
        <w:t>par saistošiem ikgadējiem siltumnīcefekta gāzu emisiju samazinājumiem, kas dalībvalstīm jāpanāk no 2021. līdz 2030. gadam un kas dod ieguldījumu rīcībā klimata politikas jomā, lai izpildītu Parīzes nolīgumā paredzētās saistības, un ar ko groza Regulu (ES) Nr.</w:t>
      </w:r>
      <w:r w:rsidR="008C0213">
        <w:rPr>
          <w:i/>
          <w:sz w:val="28"/>
          <w:szCs w:val="28"/>
        </w:rPr>
        <w:t> </w:t>
      </w:r>
      <w:r w:rsidR="00B87394" w:rsidRPr="00B87394">
        <w:rPr>
          <w:i/>
          <w:sz w:val="28"/>
          <w:szCs w:val="28"/>
        </w:rPr>
        <w:t>525/2013</w:t>
      </w:r>
      <w:r w:rsidRPr="0093742C">
        <w:rPr>
          <w:i/>
          <w:sz w:val="28"/>
          <w:szCs w:val="28"/>
        </w:rPr>
        <w:t xml:space="preserve"> Nr. 406/2009/EK </w:t>
      </w:r>
      <w:r w:rsidRPr="0093742C">
        <w:rPr>
          <w:sz w:val="28"/>
          <w:szCs w:val="28"/>
        </w:rPr>
        <w:t>(turpmāk – </w:t>
      </w:r>
      <w:r w:rsidR="00B87394">
        <w:rPr>
          <w:sz w:val="28"/>
          <w:szCs w:val="28"/>
        </w:rPr>
        <w:t>Regula 2018/842</w:t>
      </w:r>
      <w:r w:rsidRPr="0093742C">
        <w:rPr>
          <w:sz w:val="28"/>
          <w:szCs w:val="28"/>
        </w:rPr>
        <w:t>)</w:t>
      </w:r>
      <w:r w:rsidR="00332AD2">
        <w:rPr>
          <w:sz w:val="28"/>
          <w:szCs w:val="28"/>
        </w:rPr>
        <w:t>.</w:t>
      </w:r>
      <w:r w:rsidR="00396F12">
        <w:rPr>
          <w:sz w:val="28"/>
          <w:szCs w:val="28"/>
        </w:rPr>
        <w:t xml:space="preserve"> </w:t>
      </w:r>
      <w:r w:rsidR="0065439D">
        <w:rPr>
          <w:sz w:val="28"/>
          <w:szCs w:val="28"/>
        </w:rPr>
        <w:t xml:space="preserve">Ievērojot </w:t>
      </w:r>
      <w:r w:rsidR="003C36EC">
        <w:rPr>
          <w:sz w:val="28"/>
          <w:szCs w:val="28"/>
        </w:rPr>
        <w:t>likuma “Par piesārņojumu” 54.</w:t>
      </w:r>
      <w:r w:rsidR="008C0213">
        <w:rPr>
          <w:sz w:val="28"/>
          <w:szCs w:val="28"/>
        </w:rPr>
        <w:t> </w:t>
      </w:r>
      <w:r w:rsidR="003C36EC">
        <w:rPr>
          <w:sz w:val="28"/>
          <w:szCs w:val="28"/>
        </w:rPr>
        <w:t xml:space="preserve">panta </w:t>
      </w:r>
      <w:r w:rsidR="008324E3">
        <w:rPr>
          <w:sz w:val="28"/>
          <w:szCs w:val="28"/>
        </w:rPr>
        <w:t>piektaj</w:t>
      </w:r>
      <w:r w:rsidR="00DB030F">
        <w:rPr>
          <w:sz w:val="28"/>
          <w:szCs w:val="28"/>
        </w:rPr>
        <w:t>ā</w:t>
      </w:r>
      <w:r w:rsidR="008324E3">
        <w:rPr>
          <w:sz w:val="28"/>
          <w:szCs w:val="28"/>
        </w:rPr>
        <w:t xml:space="preserve"> </w:t>
      </w:r>
      <w:r w:rsidR="003C36EC">
        <w:rPr>
          <w:sz w:val="28"/>
          <w:szCs w:val="28"/>
        </w:rPr>
        <w:t>daļ</w:t>
      </w:r>
      <w:r w:rsidR="00DB030F">
        <w:rPr>
          <w:sz w:val="28"/>
          <w:szCs w:val="28"/>
        </w:rPr>
        <w:t>ā noteikt</w:t>
      </w:r>
      <w:r w:rsidR="0065439D">
        <w:rPr>
          <w:sz w:val="28"/>
          <w:szCs w:val="28"/>
        </w:rPr>
        <w:t>o</w:t>
      </w:r>
      <w:r w:rsidR="00DB030F">
        <w:rPr>
          <w:sz w:val="28"/>
          <w:szCs w:val="28"/>
        </w:rPr>
        <w:t>,</w:t>
      </w:r>
      <w:r w:rsidR="00AA3885">
        <w:rPr>
          <w:sz w:val="28"/>
          <w:szCs w:val="28"/>
        </w:rPr>
        <w:t xml:space="preserve"> </w:t>
      </w:r>
      <w:r w:rsidR="00DB030F">
        <w:rPr>
          <w:sz w:val="28"/>
          <w:szCs w:val="28"/>
        </w:rPr>
        <w:t>informatīvais ziņojums ietver</w:t>
      </w:r>
      <w:r w:rsidR="006933DC">
        <w:rPr>
          <w:sz w:val="28"/>
          <w:szCs w:val="28"/>
        </w:rPr>
        <w:t xml:space="preserve"> </w:t>
      </w:r>
      <w:r w:rsidR="00DB030F">
        <w:rPr>
          <w:sz w:val="28"/>
          <w:szCs w:val="28"/>
        </w:rPr>
        <w:t xml:space="preserve">īsu atskatu </w:t>
      </w:r>
      <w:r w:rsidR="007300E5">
        <w:rPr>
          <w:sz w:val="28"/>
          <w:szCs w:val="28"/>
        </w:rPr>
        <w:t xml:space="preserve">par </w:t>
      </w:r>
      <w:r w:rsidR="00334A19">
        <w:rPr>
          <w:sz w:val="28"/>
          <w:szCs w:val="28"/>
        </w:rPr>
        <w:t>2023.</w:t>
      </w:r>
      <w:r w:rsidR="008C0213">
        <w:rPr>
          <w:sz w:val="28"/>
          <w:szCs w:val="28"/>
        </w:rPr>
        <w:t> </w:t>
      </w:r>
      <w:r w:rsidR="00334A19">
        <w:rPr>
          <w:sz w:val="28"/>
          <w:szCs w:val="28"/>
        </w:rPr>
        <w:t>gadā</w:t>
      </w:r>
      <w:r w:rsidR="006C2383">
        <w:rPr>
          <w:sz w:val="28"/>
          <w:szCs w:val="28"/>
        </w:rPr>
        <w:t xml:space="preserve"> veiktajām darbībām ar</w:t>
      </w:r>
      <w:r w:rsidR="00334A19">
        <w:rPr>
          <w:sz w:val="28"/>
          <w:szCs w:val="28"/>
        </w:rPr>
        <w:t xml:space="preserve"> </w:t>
      </w:r>
      <w:r w:rsidR="00E90336">
        <w:rPr>
          <w:sz w:val="28"/>
          <w:szCs w:val="28"/>
        </w:rPr>
        <w:t>Kio</w:t>
      </w:r>
      <w:r w:rsidR="00054242">
        <w:rPr>
          <w:sz w:val="28"/>
          <w:szCs w:val="28"/>
        </w:rPr>
        <w:t>to vienībām</w:t>
      </w:r>
      <w:r w:rsidR="00E01364">
        <w:rPr>
          <w:sz w:val="28"/>
          <w:szCs w:val="28"/>
        </w:rPr>
        <w:t>.</w:t>
      </w:r>
    </w:p>
    <w:p w14:paraId="35DDA404" w14:textId="77777777" w:rsidR="00AD29D9" w:rsidRPr="00C5722B" w:rsidRDefault="00AD29D9" w:rsidP="00AD29D9">
      <w:pPr>
        <w:ind w:firstLine="567"/>
        <w:jc w:val="both"/>
        <w:rPr>
          <w:sz w:val="28"/>
          <w:szCs w:val="28"/>
        </w:rPr>
      </w:pPr>
    </w:p>
    <w:p w14:paraId="12E9ECC5" w14:textId="4F4CF3E3" w:rsidR="00AD29D9" w:rsidRPr="00757579" w:rsidRDefault="00AD29D9" w:rsidP="006E7596">
      <w:pPr>
        <w:pStyle w:val="ListParagraph"/>
        <w:numPr>
          <w:ilvl w:val="0"/>
          <w:numId w:val="1"/>
        </w:numPr>
        <w:spacing w:before="120" w:after="120"/>
        <w:ind w:left="357" w:hanging="357"/>
        <w:contextualSpacing w:val="0"/>
        <w:jc w:val="center"/>
        <w:rPr>
          <w:b/>
          <w:sz w:val="28"/>
          <w:szCs w:val="28"/>
        </w:rPr>
      </w:pPr>
      <w:r w:rsidRPr="00757579">
        <w:rPr>
          <w:b/>
          <w:sz w:val="28"/>
          <w:szCs w:val="28"/>
        </w:rPr>
        <w:t xml:space="preserve">Esošā situācija </w:t>
      </w:r>
      <w:r w:rsidR="00B63F71" w:rsidRPr="00757579">
        <w:rPr>
          <w:b/>
          <w:sz w:val="28"/>
          <w:szCs w:val="28"/>
        </w:rPr>
        <w:t>attiecībā uz</w:t>
      </w:r>
      <w:r w:rsidRPr="00757579">
        <w:rPr>
          <w:b/>
          <w:sz w:val="28"/>
          <w:szCs w:val="28"/>
        </w:rPr>
        <w:t xml:space="preserve"> </w:t>
      </w:r>
      <w:r w:rsidR="006E7596" w:rsidRPr="00757579">
        <w:rPr>
          <w:b/>
          <w:sz w:val="28"/>
          <w:szCs w:val="28"/>
        </w:rPr>
        <w:t>Regulā 2018/842 noteikto</w:t>
      </w:r>
      <w:r w:rsidRPr="00757579">
        <w:rPr>
          <w:b/>
          <w:sz w:val="28"/>
          <w:szCs w:val="28"/>
        </w:rPr>
        <w:t xml:space="preserve"> mērķu izpild</w:t>
      </w:r>
      <w:r w:rsidR="00B63F71" w:rsidRPr="00757579">
        <w:rPr>
          <w:b/>
          <w:sz w:val="28"/>
          <w:szCs w:val="28"/>
        </w:rPr>
        <w:t>i</w:t>
      </w:r>
    </w:p>
    <w:p w14:paraId="332D07B3" w14:textId="13F4A4A9" w:rsidR="00AD29D9" w:rsidRPr="00372718" w:rsidRDefault="00AD29D9" w:rsidP="004673B0">
      <w:pPr>
        <w:jc w:val="center"/>
        <w:rPr>
          <w:b/>
          <w:sz w:val="28"/>
          <w:szCs w:val="28"/>
        </w:rPr>
      </w:pPr>
      <w:r w:rsidRPr="00372718">
        <w:rPr>
          <w:b/>
          <w:sz w:val="28"/>
          <w:szCs w:val="28"/>
        </w:rPr>
        <w:t>1.1. S</w:t>
      </w:r>
      <w:r w:rsidR="008C0213">
        <w:rPr>
          <w:b/>
          <w:sz w:val="28"/>
          <w:szCs w:val="28"/>
        </w:rPr>
        <w:t xml:space="preserve">iltumnīcefekta gāzu </w:t>
      </w:r>
      <w:r w:rsidRPr="00372718">
        <w:rPr>
          <w:b/>
          <w:sz w:val="28"/>
          <w:szCs w:val="28"/>
        </w:rPr>
        <w:t xml:space="preserve">emisiju samazināšanas mērķu izpildei </w:t>
      </w:r>
      <w:r w:rsidR="004673B0">
        <w:rPr>
          <w:b/>
          <w:sz w:val="28"/>
          <w:szCs w:val="28"/>
        </w:rPr>
        <w:t xml:space="preserve">noteiktais GES </w:t>
      </w:r>
      <w:r w:rsidRPr="00372718">
        <w:rPr>
          <w:b/>
          <w:sz w:val="28"/>
          <w:szCs w:val="28"/>
        </w:rPr>
        <w:t>vienību skaits</w:t>
      </w:r>
    </w:p>
    <w:p w14:paraId="39EEDD32" w14:textId="18169FB8" w:rsidR="00E53707" w:rsidRDefault="00D64CDC" w:rsidP="00EB3ABD">
      <w:pPr>
        <w:spacing w:before="120"/>
        <w:ind w:firstLine="567"/>
        <w:jc w:val="both"/>
        <w:rPr>
          <w:sz w:val="28"/>
          <w:szCs w:val="28"/>
        </w:rPr>
      </w:pPr>
      <w:r w:rsidRPr="00D64CDC">
        <w:rPr>
          <w:sz w:val="28"/>
          <w:szCs w:val="28"/>
        </w:rPr>
        <w:t>Regula 2018/842 nosaka pienākumu Eiropas Savienības (turpmāk</w:t>
      </w:r>
      <w:r w:rsidR="008C0213">
        <w:rPr>
          <w:sz w:val="28"/>
          <w:szCs w:val="28"/>
        </w:rPr>
        <w:t> </w:t>
      </w:r>
      <w:r w:rsidRPr="00D64CDC">
        <w:rPr>
          <w:sz w:val="28"/>
          <w:szCs w:val="28"/>
        </w:rPr>
        <w:t xml:space="preserve">–ES) dalībvalstīm attiecībā uz to minimālajiem ieguldījumiem </w:t>
      </w:r>
      <w:r w:rsidR="008C0213">
        <w:rPr>
          <w:sz w:val="28"/>
          <w:szCs w:val="28"/>
        </w:rPr>
        <w:t>siltumnīcefekta gāzu (turpmāk – </w:t>
      </w:r>
      <w:r w:rsidRPr="00D64CDC">
        <w:rPr>
          <w:sz w:val="28"/>
          <w:szCs w:val="28"/>
        </w:rPr>
        <w:t>SEG</w:t>
      </w:r>
      <w:r w:rsidR="008C0213">
        <w:rPr>
          <w:sz w:val="28"/>
          <w:szCs w:val="28"/>
        </w:rPr>
        <w:t>)</w:t>
      </w:r>
      <w:r w:rsidRPr="00D64CDC">
        <w:rPr>
          <w:sz w:val="28"/>
          <w:szCs w:val="28"/>
        </w:rPr>
        <w:t xml:space="preserve"> emisiju samazināšanas saistību izpildē periodam no 2021.</w:t>
      </w:r>
      <w:r w:rsidR="008C0213">
        <w:rPr>
          <w:sz w:val="28"/>
          <w:szCs w:val="28"/>
        </w:rPr>
        <w:t> </w:t>
      </w:r>
      <w:r w:rsidRPr="00D64CDC">
        <w:rPr>
          <w:sz w:val="28"/>
          <w:szCs w:val="28"/>
        </w:rPr>
        <w:t>gada līdz 2030.</w:t>
      </w:r>
      <w:r w:rsidR="008C0213">
        <w:rPr>
          <w:sz w:val="28"/>
          <w:szCs w:val="28"/>
        </w:rPr>
        <w:t> </w:t>
      </w:r>
      <w:r w:rsidRPr="00D64CDC">
        <w:rPr>
          <w:sz w:val="28"/>
          <w:szCs w:val="28"/>
        </w:rPr>
        <w:t xml:space="preserve">gadam, lai sasniegtu </w:t>
      </w:r>
      <w:r w:rsidR="002D198B">
        <w:rPr>
          <w:sz w:val="28"/>
          <w:szCs w:val="28"/>
        </w:rPr>
        <w:t>Eiropas Savienības (turpmāk – </w:t>
      </w:r>
      <w:r w:rsidRPr="00D64CDC">
        <w:rPr>
          <w:sz w:val="28"/>
          <w:szCs w:val="28"/>
        </w:rPr>
        <w:t>ES</w:t>
      </w:r>
      <w:r w:rsidR="002D198B">
        <w:rPr>
          <w:sz w:val="28"/>
          <w:szCs w:val="28"/>
        </w:rPr>
        <w:t>)</w:t>
      </w:r>
      <w:r w:rsidRPr="00D64CDC">
        <w:rPr>
          <w:sz w:val="28"/>
          <w:szCs w:val="28"/>
        </w:rPr>
        <w:t xml:space="preserve"> </w:t>
      </w:r>
      <w:proofErr w:type="spellStart"/>
      <w:r w:rsidRPr="00D64CDC">
        <w:rPr>
          <w:sz w:val="28"/>
          <w:szCs w:val="28"/>
        </w:rPr>
        <w:t>mērķrādītāju</w:t>
      </w:r>
      <w:proofErr w:type="spellEnd"/>
      <w:r w:rsidRPr="00D64CDC">
        <w:rPr>
          <w:sz w:val="28"/>
          <w:szCs w:val="28"/>
        </w:rPr>
        <w:t xml:space="preserve"> 2030.</w:t>
      </w:r>
      <w:r w:rsidR="008C0213">
        <w:rPr>
          <w:sz w:val="28"/>
          <w:szCs w:val="28"/>
        </w:rPr>
        <w:t> </w:t>
      </w:r>
      <w:r w:rsidRPr="00D64CDC">
        <w:rPr>
          <w:sz w:val="28"/>
          <w:szCs w:val="28"/>
        </w:rPr>
        <w:t xml:space="preserve">gadam, kā arī ilgtermiņa </w:t>
      </w:r>
      <w:proofErr w:type="spellStart"/>
      <w:r w:rsidRPr="00D64CDC">
        <w:rPr>
          <w:sz w:val="28"/>
          <w:szCs w:val="28"/>
        </w:rPr>
        <w:t>mērķrādītāju</w:t>
      </w:r>
      <w:proofErr w:type="spellEnd"/>
      <w:r w:rsidR="008C0213">
        <w:rPr>
          <w:sz w:val="28"/>
          <w:szCs w:val="28"/>
        </w:rPr>
        <w:t> </w:t>
      </w:r>
      <w:r w:rsidRPr="00D64CDC">
        <w:rPr>
          <w:sz w:val="28"/>
          <w:szCs w:val="28"/>
        </w:rPr>
        <w:t>–</w:t>
      </w:r>
      <w:r w:rsidR="008C0213">
        <w:rPr>
          <w:sz w:val="28"/>
          <w:szCs w:val="28"/>
        </w:rPr>
        <w:t> </w:t>
      </w:r>
      <w:r w:rsidRPr="00D64CDC">
        <w:rPr>
          <w:sz w:val="28"/>
          <w:szCs w:val="28"/>
        </w:rPr>
        <w:t>vēlākais līdz 2050.</w:t>
      </w:r>
      <w:r w:rsidR="008C0213">
        <w:rPr>
          <w:sz w:val="28"/>
          <w:szCs w:val="28"/>
        </w:rPr>
        <w:t> </w:t>
      </w:r>
      <w:r w:rsidRPr="00D64CDC">
        <w:rPr>
          <w:sz w:val="28"/>
          <w:szCs w:val="28"/>
        </w:rPr>
        <w:t xml:space="preserve">gadam ES sasniegt </w:t>
      </w:r>
      <w:proofErr w:type="spellStart"/>
      <w:r w:rsidRPr="00D64CDC">
        <w:rPr>
          <w:sz w:val="28"/>
          <w:szCs w:val="28"/>
        </w:rPr>
        <w:t>klimatneitralitāti</w:t>
      </w:r>
      <w:proofErr w:type="spellEnd"/>
      <w:r w:rsidRPr="00D64CDC">
        <w:rPr>
          <w:sz w:val="28"/>
          <w:szCs w:val="28"/>
        </w:rPr>
        <w:t>. Tāpat Regula 2018/842 ietver nosacījumus, kā nosaka ikgadējos emisiju sadales apjomus un kā izvērtē ES dalībvalstu progresu virzībā uz to minimālo ieguldījumu izpildi.</w:t>
      </w:r>
    </w:p>
    <w:p w14:paraId="2999A1C6" w14:textId="6D824410" w:rsidR="00FD7871" w:rsidRPr="00BD6A34" w:rsidRDefault="00FD7871" w:rsidP="008C0213">
      <w:pPr>
        <w:ind w:firstLine="720"/>
        <w:jc w:val="both"/>
        <w:rPr>
          <w:sz w:val="28"/>
          <w:szCs w:val="28"/>
        </w:rPr>
      </w:pPr>
      <w:r w:rsidRPr="00BD6A34">
        <w:rPr>
          <w:sz w:val="28"/>
          <w:szCs w:val="28"/>
        </w:rPr>
        <w:t>Saskaņā ar Regulu 2018/842 Eiropas Komisija 2020. gadā pieņ</w:t>
      </w:r>
      <w:r w:rsidR="000F24E2" w:rsidRPr="00BD6A34">
        <w:rPr>
          <w:sz w:val="28"/>
          <w:szCs w:val="28"/>
        </w:rPr>
        <w:t>ēma</w:t>
      </w:r>
      <w:r w:rsidRPr="00BD6A34">
        <w:rPr>
          <w:sz w:val="28"/>
          <w:szCs w:val="28"/>
        </w:rPr>
        <w:t xml:space="preserve"> lēmumu (ES) 2020/2126</w:t>
      </w:r>
      <w:r w:rsidRPr="00BD6A34">
        <w:rPr>
          <w:rStyle w:val="FootnoteReference"/>
          <w:sz w:val="28"/>
          <w:szCs w:val="28"/>
        </w:rPr>
        <w:footnoteReference w:id="1"/>
      </w:r>
      <w:r w:rsidRPr="00BD6A34">
        <w:rPr>
          <w:sz w:val="28"/>
          <w:szCs w:val="28"/>
        </w:rPr>
        <w:t>, kurš nosaka ES dalībvalstu ikgadējo emisiju sadales apjomu (turpmāk –</w:t>
      </w:r>
      <w:r w:rsidR="008C0213">
        <w:rPr>
          <w:sz w:val="28"/>
          <w:szCs w:val="28"/>
        </w:rPr>
        <w:t> </w:t>
      </w:r>
      <w:r w:rsidRPr="00BD6A34">
        <w:rPr>
          <w:sz w:val="28"/>
          <w:szCs w:val="28"/>
        </w:rPr>
        <w:t xml:space="preserve">GES </w:t>
      </w:r>
      <w:r w:rsidR="000F24E2" w:rsidRPr="00BD6A34">
        <w:rPr>
          <w:sz w:val="28"/>
          <w:szCs w:val="28"/>
        </w:rPr>
        <w:t>mērķis</w:t>
      </w:r>
      <w:r w:rsidRPr="00BD6A34">
        <w:rPr>
          <w:sz w:val="28"/>
          <w:szCs w:val="28"/>
        </w:rPr>
        <w:t>) jeb ikgadējo maksimāli pieļaujamo SEG emisiju apjomu laika posmam no 2021. gada</w:t>
      </w:r>
      <w:r w:rsidRPr="00BD6A34">
        <w:rPr>
          <w:b/>
          <w:bCs/>
          <w:sz w:val="28"/>
          <w:szCs w:val="28"/>
        </w:rPr>
        <w:t xml:space="preserve"> </w:t>
      </w:r>
      <w:r w:rsidRPr="00BD6A34">
        <w:rPr>
          <w:sz w:val="28"/>
          <w:szCs w:val="28"/>
        </w:rPr>
        <w:t>līdz 2030.</w:t>
      </w:r>
      <w:r w:rsidR="008C0213">
        <w:rPr>
          <w:sz w:val="28"/>
          <w:szCs w:val="28"/>
        </w:rPr>
        <w:t> </w:t>
      </w:r>
      <w:r w:rsidRPr="00BD6A34">
        <w:rPr>
          <w:sz w:val="28"/>
          <w:szCs w:val="28"/>
        </w:rPr>
        <w:t>gadam sektoros, ko aptver Regulas 2018/842 darbības joma</w:t>
      </w:r>
      <w:r w:rsidR="008C0213">
        <w:rPr>
          <w:sz w:val="28"/>
          <w:szCs w:val="28"/>
        </w:rPr>
        <w:t> </w:t>
      </w:r>
      <w:r w:rsidRPr="00BD6A34">
        <w:rPr>
          <w:sz w:val="28"/>
          <w:szCs w:val="28"/>
        </w:rPr>
        <w:t>–</w:t>
      </w:r>
      <w:r w:rsidR="008C0213">
        <w:rPr>
          <w:sz w:val="28"/>
          <w:szCs w:val="28"/>
        </w:rPr>
        <w:t> </w:t>
      </w:r>
      <w:r w:rsidRPr="00BD6A34">
        <w:rPr>
          <w:sz w:val="28"/>
          <w:szCs w:val="28"/>
        </w:rPr>
        <w:t>mazā enerģētika (līdz 20 MW), transports</w:t>
      </w:r>
      <w:r w:rsidR="003916A1" w:rsidRPr="00BD6A34">
        <w:rPr>
          <w:sz w:val="28"/>
          <w:szCs w:val="28"/>
        </w:rPr>
        <w:t xml:space="preserve">, </w:t>
      </w:r>
      <w:r w:rsidRPr="00BD6A34">
        <w:rPr>
          <w:sz w:val="28"/>
          <w:szCs w:val="28"/>
        </w:rPr>
        <w:t>mazie rūpnieciskie procesi un produktu izmantošana (līdz 20 MW), lauksaimniecība un atkritumu apsaimniekošana (turpmāk</w:t>
      </w:r>
      <w:r w:rsidR="008C0213">
        <w:rPr>
          <w:sz w:val="28"/>
          <w:szCs w:val="28"/>
        </w:rPr>
        <w:t> </w:t>
      </w:r>
      <w:r w:rsidRPr="00BD6A34">
        <w:rPr>
          <w:sz w:val="28"/>
          <w:szCs w:val="28"/>
        </w:rPr>
        <w:t>–</w:t>
      </w:r>
      <w:r w:rsidR="008C0213">
        <w:rPr>
          <w:sz w:val="28"/>
          <w:szCs w:val="28"/>
        </w:rPr>
        <w:t> </w:t>
      </w:r>
      <w:r w:rsidRPr="00BD6A34">
        <w:rPr>
          <w:sz w:val="28"/>
          <w:szCs w:val="28"/>
        </w:rPr>
        <w:t xml:space="preserve">Regulas 2018/842 aptvertie sektori). GES </w:t>
      </w:r>
      <w:r w:rsidR="001F1A11" w:rsidRPr="00BD6A34">
        <w:rPr>
          <w:sz w:val="28"/>
          <w:szCs w:val="28"/>
        </w:rPr>
        <w:t>mērķi</w:t>
      </w:r>
      <w:r w:rsidRPr="00BD6A34">
        <w:rPr>
          <w:sz w:val="28"/>
          <w:szCs w:val="28"/>
        </w:rPr>
        <w:t xml:space="preserve"> </w:t>
      </w:r>
      <w:r w:rsidR="001F1A11" w:rsidRPr="00BD6A34">
        <w:rPr>
          <w:sz w:val="28"/>
          <w:szCs w:val="28"/>
        </w:rPr>
        <w:t>tiek</w:t>
      </w:r>
      <w:r w:rsidRPr="00BD6A34">
        <w:rPr>
          <w:sz w:val="28"/>
          <w:szCs w:val="28"/>
        </w:rPr>
        <w:t xml:space="preserve"> izteikt</w:t>
      </w:r>
      <w:r w:rsidR="001F1A11" w:rsidRPr="00BD6A34">
        <w:rPr>
          <w:sz w:val="28"/>
          <w:szCs w:val="28"/>
        </w:rPr>
        <w:t>i</w:t>
      </w:r>
      <w:r w:rsidRPr="00BD6A34">
        <w:rPr>
          <w:sz w:val="28"/>
          <w:szCs w:val="28"/>
        </w:rPr>
        <w:t xml:space="preserve"> oglekļa dioksīda (turpmāk – CO</w:t>
      </w:r>
      <w:r w:rsidRPr="00BD6A34">
        <w:rPr>
          <w:sz w:val="28"/>
          <w:szCs w:val="28"/>
          <w:vertAlign w:val="subscript"/>
        </w:rPr>
        <w:t>2</w:t>
      </w:r>
      <w:r w:rsidRPr="00BD6A34">
        <w:rPr>
          <w:sz w:val="28"/>
          <w:szCs w:val="28"/>
        </w:rPr>
        <w:t>) ekvivalenta tonnās.</w:t>
      </w:r>
    </w:p>
    <w:p w14:paraId="01BC104A" w14:textId="7AFE948E" w:rsidR="00AD29D9" w:rsidRPr="003E5707" w:rsidRDefault="00BC31C0" w:rsidP="004A67BC">
      <w:pPr>
        <w:spacing w:after="120"/>
        <w:ind w:firstLine="567"/>
        <w:jc w:val="both"/>
        <w:rPr>
          <w:sz w:val="28"/>
          <w:szCs w:val="28"/>
        </w:rPr>
      </w:pPr>
      <w:r w:rsidRPr="00DC63EF">
        <w:rPr>
          <w:sz w:val="28"/>
          <w:szCs w:val="28"/>
        </w:rPr>
        <w:lastRenderedPageBreak/>
        <w:t>Ņemot vērā, ka līdz šim ar Regulu 2018/842 noteiktie ES dalībvalstīm noteiktie minimālie ieguldījumi</w:t>
      </w:r>
      <w:r w:rsidR="00CA4D06">
        <w:rPr>
          <w:sz w:val="28"/>
          <w:szCs w:val="28"/>
        </w:rPr>
        <w:t xml:space="preserve"> </w:t>
      </w:r>
      <w:r w:rsidRPr="00DC63EF">
        <w:rPr>
          <w:sz w:val="28"/>
          <w:szCs w:val="28"/>
        </w:rPr>
        <w:t>SEG emisiju samazināšanas saistību izpildei var nebūt pietiekami, lai sasniegtu ES noteikto mērķi 2050.</w:t>
      </w:r>
      <w:r w:rsidR="008C0213">
        <w:rPr>
          <w:sz w:val="28"/>
          <w:szCs w:val="28"/>
        </w:rPr>
        <w:t> </w:t>
      </w:r>
      <w:r w:rsidRPr="00DC63EF">
        <w:rPr>
          <w:sz w:val="28"/>
          <w:szCs w:val="28"/>
        </w:rPr>
        <w:t xml:space="preserve">gadam, ar </w:t>
      </w:r>
      <w:r w:rsidRPr="00DC63EF">
        <w:rPr>
          <w:i/>
          <w:iCs/>
          <w:sz w:val="28"/>
          <w:szCs w:val="28"/>
        </w:rPr>
        <w:t>Eiropas Parlamenta un Padomes 2023.</w:t>
      </w:r>
      <w:r w:rsidR="008C0213">
        <w:rPr>
          <w:i/>
          <w:iCs/>
          <w:sz w:val="28"/>
          <w:szCs w:val="28"/>
        </w:rPr>
        <w:t> </w:t>
      </w:r>
      <w:r w:rsidRPr="00DC63EF">
        <w:rPr>
          <w:i/>
          <w:iCs/>
          <w:sz w:val="28"/>
          <w:szCs w:val="28"/>
        </w:rPr>
        <w:t>gada 19.</w:t>
      </w:r>
      <w:r w:rsidR="008C0213">
        <w:rPr>
          <w:i/>
          <w:iCs/>
          <w:sz w:val="28"/>
          <w:szCs w:val="28"/>
        </w:rPr>
        <w:t> </w:t>
      </w:r>
      <w:r w:rsidRPr="00DC63EF">
        <w:rPr>
          <w:i/>
          <w:iCs/>
          <w:sz w:val="28"/>
          <w:szCs w:val="28"/>
        </w:rPr>
        <w:t xml:space="preserve">aprīļa Regulu (ES) 2023/857, ar ko groza Regulu (ES) 2018/842 par saistošiem ikgadējiem siltumnīcefekta gāzu emisiju samazinājumiem, kas dalībvalstīm jāpanāk no 2021. līdz 2030. gadam un kas dod ieguldījumu rīcībā klimata politikas jomā, lai izpildītu Parīzes nolīgumā paredzētās saistības, un Regulu (ES) 2018/1999 </w:t>
      </w:r>
      <w:r w:rsidRPr="00DC63EF">
        <w:rPr>
          <w:sz w:val="28"/>
          <w:szCs w:val="28"/>
        </w:rPr>
        <w:t>(turpmāk</w:t>
      </w:r>
      <w:r w:rsidR="008C0213">
        <w:rPr>
          <w:sz w:val="28"/>
          <w:szCs w:val="28"/>
        </w:rPr>
        <w:t> </w:t>
      </w:r>
      <w:r w:rsidRPr="00DC63EF">
        <w:rPr>
          <w:sz w:val="28"/>
          <w:szCs w:val="28"/>
        </w:rPr>
        <w:t>–</w:t>
      </w:r>
      <w:r w:rsidR="008C0213">
        <w:rPr>
          <w:sz w:val="28"/>
          <w:szCs w:val="28"/>
        </w:rPr>
        <w:t> </w:t>
      </w:r>
      <w:r w:rsidRPr="00DC63EF">
        <w:rPr>
          <w:sz w:val="28"/>
          <w:szCs w:val="28"/>
        </w:rPr>
        <w:t>Regula 2023/857)</w:t>
      </w:r>
      <w:r w:rsidRPr="00DC63EF">
        <w:rPr>
          <w:i/>
          <w:iCs/>
          <w:sz w:val="28"/>
          <w:szCs w:val="28"/>
        </w:rPr>
        <w:t xml:space="preserve"> </w:t>
      </w:r>
      <w:r w:rsidRPr="00DC63EF">
        <w:rPr>
          <w:sz w:val="28"/>
          <w:szCs w:val="28"/>
        </w:rPr>
        <w:t>tie tika pārskatīti, kā arī noteikta metode, kā aprēķināt ikgadējos GES</w:t>
      </w:r>
      <w:r w:rsidR="0002638A" w:rsidRPr="00DC63EF">
        <w:rPr>
          <w:sz w:val="28"/>
          <w:szCs w:val="28"/>
        </w:rPr>
        <w:t xml:space="preserve"> mērķus</w:t>
      </w:r>
      <w:r w:rsidRPr="00DC63EF">
        <w:rPr>
          <w:sz w:val="28"/>
          <w:szCs w:val="28"/>
        </w:rPr>
        <w:t xml:space="preserve"> katram gadam, kuri ir saistoši ES dalībvalstīm no 2023. līdz 2030.</w:t>
      </w:r>
      <w:r w:rsidR="008C0213">
        <w:rPr>
          <w:sz w:val="28"/>
          <w:szCs w:val="28"/>
        </w:rPr>
        <w:t> </w:t>
      </w:r>
      <w:r w:rsidRPr="00DC63EF">
        <w:rPr>
          <w:sz w:val="28"/>
          <w:szCs w:val="28"/>
        </w:rPr>
        <w:t>gadam. Tā rezultātā Eiropas Komisija 2023.</w:t>
      </w:r>
      <w:r w:rsidR="008C0213">
        <w:rPr>
          <w:sz w:val="28"/>
          <w:szCs w:val="28"/>
        </w:rPr>
        <w:t> </w:t>
      </w:r>
      <w:r w:rsidRPr="00DC63EF">
        <w:rPr>
          <w:sz w:val="28"/>
          <w:szCs w:val="28"/>
        </w:rPr>
        <w:t>gadā pieņēma lēmumu (ES) 2023/1319</w:t>
      </w:r>
      <w:r w:rsidRPr="00DC63EF">
        <w:rPr>
          <w:rStyle w:val="FootnoteReference"/>
          <w:sz w:val="28"/>
          <w:szCs w:val="28"/>
        </w:rPr>
        <w:footnoteReference w:id="2"/>
      </w:r>
      <w:r w:rsidRPr="00DC63EF">
        <w:rPr>
          <w:sz w:val="28"/>
          <w:szCs w:val="28"/>
        </w:rPr>
        <w:t xml:space="preserve">, tādā veidā pārskatot lēmumā (ES) 2020/2126 noteiktos ikgadējos GES </w:t>
      </w:r>
      <w:r w:rsidR="0002638A" w:rsidRPr="00DC63EF">
        <w:rPr>
          <w:sz w:val="28"/>
          <w:szCs w:val="28"/>
        </w:rPr>
        <w:t>mērķus</w:t>
      </w:r>
      <w:r w:rsidRPr="00DC63EF">
        <w:rPr>
          <w:sz w:val="28"/>
          <w:szCs w:val="28"/>
        </w:rPr>
        <w:t xml:space="preserve"> laika </w:t>
      </w:r>
      <w:r w:rsidR="000D439C">
        <w:rPr>
          <w:sz w:val="28"/>
          <w:szCs w:val="28"/>
        </w:rPr>
        <w:t>periodam</w:t>
      </w:r>
      <w:r w:rsidRPr="00DC63EF">
        <w:rPr>
          <w:sz w:val="28"/>
          <w:szCs w:val="28"/>
        </w:rPr>
        <w:t xml:space="preserve"> no 2023. līdz 20</w:t>
      </w:r>
      <w:r w:rsidR="00721D73" w:rsidRPr="00DC63EF">
        <w:rPr>
          <w:sz w:val="28"/>
          <w:szCs w:val="28"/>
        </w:rPr>
        <w:t>25</w:t>
      </w:r>
      <w:r w:rsidRPr="00DC63EF">
        <w:rPr>
          <w:sz w:val="28"/>
          <w:szCs w:val="28"/>
        </w:rPr>
        <w:t>.</w:t>
      </w:r>
      <w:r w:rsidR="008C0213">
        <w:rPr>
          <w:sz w:val="28"/>
          <w:szCs w:val="28"/>
        </w:rPr>
        <w:t> </w:t>
      </w:r>
      <w:r w:rsidRPr="00DC63EF">
        <w:rPr>
          <w:sz w:val="28"/>
          <w:szCs w:val="28"/>
        </w:rPr>
        <w:t>gadam</w:t>
      </w:r>
      <w:r w:rsidR="00721D73" w:rsidRPr="00DC63EF">
        <w:rPr>
          <w:sz w:val="28"/>
          <w:szCs w:val="28"/>
        </w:rPr>
        <w:t>, savukārt</w:t>
      </w:r>
      <w:r w:rsidR="00FC42FE" w:rsidRPr="00DC63EF">
        <w:rPr>
          <w:sz w:val="28"/>
          <w:szCs w:val="28"/>
        </w:rPr>
        <w:t xml:space="preserve"> laika periodam no 2026. līdz </w:t>
      </w:r>
      <w:r w:rsidR="00286338" w:rsidRPr="00DC63EF">
        <w:rPr>
          <w:sz w:val="28"/>
          <w:szCs w:val="28"/>
        </w:rPr>
        <w:t>2030.</w:t>
      </w:r>
      <w:r w:rsidR="008C0213">
        <w:rPr>
          <w:sz w:val="28"/>
          <w:szCs w:val="28"/>
        </w:rPr>
        <w:t> </w:t>
      </w:r>
      <w:r w:rsidR="00286338" w:rsidRPr="00DC63EF">
        <w:rPr>
          <w:sz w:val="28"/>
          <w:szCs w:val="28"/>
        </w:rPr>
        <w:t xml:space="preserve">gadam ir </w:t>
      </w:r>
      <w:r w:rsidR="00FC42FE" w:rsidRPr="00DC63EF">
        <w:rPr>
          <w:sz w:val="28"/>
          <w:szCs w:val="28"/>
        </w:rPr>
        <w:t>noteikti indikatīvie GES mērķi.</w:t>
      </w:r>
      <w:r w:rsidR="00FC42FE" w:rsidRPr="00DC63EF">
        <w:rPr>
          <w:sz w:val="32"/>
          <w:szCs w:val="32"/>
        </w:rPr>
        <w:t xml:space="preserve"> </w:t>
      </w:r>
      <w:r w:rsidR="00AD29D9" w:rsidRPr="003E5707">
        <w:rPr>
          <w:sz w:val="28"/>
          <w:szCs w:val="28"/>
        </w:rPr>
        <w:t>Latvijas ikgadējie GES mērķi laika p</w:t>
      </w:r>
      <w:r w:rsidR="000D439C">
        <w:rPr>
          <w:sz w:val="28"/>
          <w:szCs w:val="28"/>
        </w:rPr>
        <w:t>eriodam</w:t>
      </w:r>
      <w:r w:rsidR="00AD29D9" w:rsidRPr="003E5707">
        <w:rPr>
          <w:sz w:val="28"/>
          <w:szCs w:val="28"/>
        </w:rPr>
        <w:t xml:space="preserve"> no 20</w:t>
      </w:r>
      <w:r w:rsidR="00DC63EF">
        <w:rPr>
          <w:sz w:val="28"/>
          <w:szCs w:val="28"/>
        </w:rPr>
        <w:t>21</w:t>
      </w:r>
      <w:r w:rsidR="00AD29D9" w:rsidRPr="003E5707">
        <w:rPr>
          <w:sz w:val="28"/>
          <w:szCs w:val="28"/>
        </w:rPr>
        <w:t>. gada</w:t>
      </w:r>
      <w:r w:rsidR="00AD29D9" w:rsidRPr="003E5707">
        <w:rPr>
          <w:b/>
          <w:bCs/>
          <w:sz w:val="28"/>
          <w:szCs w:val="28"/>
        </w:rPr>
        <w:t xml:space="preserve"> </w:t>
      </w:r>
      <w:r w:rsidR="00AD29D9" w:rsidRPr="003E5707">
        <w:rPr>
          <w:bCs/>
          <w:sz w:val="28"/>
          <w:szCs w:val="28"/>
        </w:rPr>
        <w:t>līdz</w:t>
      </w:r>
      <w:r w:rsidR="00AD29D9" w:rsidRPr="003E5707">
        <w:rPr>
          <w:sz w:val="28"/>
          <w:szCs w:val="28"/>
        </w:rPr>
        <w:t xml:space="preserve"> 20</w:t>
      </w:r>
      <w:r w:rsidR="00DC63EF">
        <w:rPr>
          <w:sz w:val="28"/>
          <w:szCs w:val="28"/>
        </w:rPr>
        <w:t>30</w:t>
      </w:r>
      <w:r w:rsidR="00AD29D9" w:rsidRPr="003E5707">
        <w:rPr>
          <w:sz w:val="28"/>
          <w:szCs w:val="28"/>
        </w:rPr>
        <w:t xml:space="preserve">. gadam </w:t>
      </w:r>
      <w:r w:rsidR="00F00E52">
        <w:rPr>
          <w:sz w:val="28"/>
          <w:szCs w:val="28"/>
        </w:rPr>
        <w:t xml:space="preserve">ir </w:t>
      </w:r>
      <w:r w:rsidR="008C0213">
        <w:rPr>
          <w:sz w:val="28"/>
          <w:szCs w:val="28"/>
        </w:rPr>
        <w:t>attēloti</w:t>
      </w:r>
      <w:r w:rsidR="00AD29D9" w:rsidRPr="003E5707">
        <w:rPr>
          <w:sz w:val="28"/>
          <w:szCs w:val="28"/>
        </w:rPr>
        <w:t xml:space="preserve"> informatīvā ziņojuma</w:t>
      </w:r>
      <w:r w:rsidR="00DC63EF">
        <w:rPr>
          <w:sz w:val="28"/>
          <w:szCs w:val="28"/>
        </w:rPr>
        <w:t xml:space="preserve"> 1.</w:t>
      </w:r>
      <w:r w:rsidR="008C0213">
        <w:rPr>
          <w:sz w:val="28"/>
          <w:szCs w:val="28"/>
        </w:rPr>
        <w:t> </w:t>
      </w:r>
      <w:r w:rsidR="00DC63EF">
        <w:rPr>
          <w:sz w:val="28"/>
          <w:szCs w:val="28"/>
        </w:rPr>
        <w:t>tabulā.</w:t>
      </w:r>
    </w:p>
    <w:p w14:paraId="26C99F4E" w14:textId="0E535B82" w:rsidR="00AD29D9" w:rsidRPr="00DC63EF" w:rsidRDefault="00DC63EF" w:rsidP="004A67BC">
      <w:pPr>
        <w:pStyle w:val="ListParagraph"/>
        <w:numPr>
          <w:ilvl w:val="0"/>
          <w:numId w:val="2"/>
        </w:numPr>
        <w:spacing w:before="120" w:after="120"/>
        <w:ind w:left="357" w:hanging="357"/>
        <w:contextualSpacing w:val="0"/>
        <w:jc w:val="center"/>
        <w:rPr>
          <w:b/>
        </w:rPr>
      </w:pPr>
      <w:r>
        <w:rPr>
          <w:b/>
        </w:rPr>
        <w:t>tabula.</w:t>
      </w:r>
      <w:r w:rsidR="00AD29D9" w:rsidRPr="00DC63EF">
        <w:rPr>
          <w:b/>
        </w:rPr>
        <w:t xml:space="preserve"> </w:t>
      </w:r>
      <w:r w:rsidR="00AD29D9" w:rsidRPr="00DC63EF">
        <w:rPr>
          <w:b/>
          <w:bCs/>
        </w:rPr>
        <w:t>Latvijas ikgadējie GES mērķi</w:t>
      </w:r>
      <w:r w:rsidR="004E6FE7" w:rsidRPr="00DC63EF">
        <w:rPr>
          <w:b/>
          <w:bCs/>
        </w:rPr>
        <w:t xml:space="preserve"> un</w:t>
      </w:r>
      <w:r w:rsidR="00AD29D9" w:rsidRPr="00DC63EF">
        <w:rPr>
          <w:b/>
          <w:bCs/>
        </w:rPr>
        <w:t xml:space="preserve"> </w:t>
      </w:r>
      <w:r w:rsidR="00092932">
        <w:rPr>
          <w:b/>
          <w:bCs/>
        </w:rPr>
        <w:t>prognozētā izpilde</w:t>
      </w:r>
      <w:r w:rsidR="004E6FE7" w:rsidRPr="00DC63EF">
        <w:rPr>
          <w:b/>
          <w:bCs/>
        </w:rPr>
        <w:t xml:space="preserve"> </w:t>
      </w:r>
      <w:r w:rsidR="00AD29D9" w:rsidRPr="00DC63EF">
        <w:rPr>
          <w:b/>
          <w:lang w:val="pt-PT"/>
        </w:rPr>
        <w:t xml:space="preserve">ne-ETS darbībās </w:t>
      </w:r>
      <w:r w:rsidR="0008073A">
        <w:rPr>
          <w:b/>
          <w:lang w:val="pt-PT"/>
        </w:rPr>
        <w:t>periodā no 2021. līdz 2030.</w:t>
      </w:r>
      <w:r w:rsidR="008C0213">
        <w:rPr>
          <w:b/>
          <w:lang w:val="pt-PT"/>
        </w:rPr>
        <w:t> </w:t>
      </w:r>
      <w:r w:rsidR="0008073A">
        <w:rPr>
          <w:b/>
          <w:lang w:val="pt-PT"/>
        </w:rPr>
        <w:t xml:space="preserve">gadam </w:t>
      </w:r>
      <w:r w:rsidR="00AD29D9" w:rsidRPr="00DC63EF">
        <w:rPr>
          <w:b/>
          <w:bCs/>
        </w:rPr>
        <w:t>(tonnas CO</w:t>
      </w:r>
      <w:r w:rsidR="00AD29D9" w:rsidRPr="00DC63EF">
        <w:rPr>
          <w:b/>
          <w:bCs/>
          <w:vertAlign w:val="subscript"/>
        </w:rPr>
        <w:t>2</w:t>
      </w:r>
      <w:r w:rsidR="00AD29D9" w:rsidRPr="00DC63EF">
        <w:rPr>
          <w:b/>
          <w:bCs/>
        </w:rPr>
        <w:t>)</w:t>
      </w:r>
    </w:p>
    <w:tbl>
      <w:tblPr>
        <w:tblStyle w:val="TableGrid"/>
        <w:tblW w:w="0" w:type="auto"/>
        <w:jc w:val="center"/>
        <w:tblLayout w:type="fixed"/>
        <w:tblLook w:val="00A0" w:firstRow="1" w:lastRow="0" w:firstColumn="1" w:lastColumn="0" w:noHBand="0" w:noVBand="0"/>
      </w:tblPr>
      <w:tblGrid>
        <w:gridCol w:w="816"/>
        <w:gridCol w:w="1531"/>
        <w:gridCol w:w="1361"/>
        <w:gridCol w:w="1361"/>
        <w:gridCol w:w="1691"/>
        <w:gridCol w:w="1689"/>
      </w:tblGrid>
      <w:tr w:rsidR="005C0071" w:rsidRPr="00A4780E" w14:paraId="38C4DA40" w14:textId="0477CC40" w:rsidTr="008100D0">
        <w:trPr>
          <w:jc w:val="center"/>
        </w:trPr>
        <w:tc>
          <w:tcPr>
            <w:tcW w:w="816" w:type="dxa"/>
            <w:vAlign w:val="center"/>
            <w:hideMark/>
          </w:tcPr>
          <w:p w14:paraId="1FF14490" w14:textId="77777777" w:rsidR="005C0071" w:rsidRPr="00A4780E" w:rsidRDefault="005C0071" w:rsidP="008100D0">
            <w:pPr>
              <w:jc w:val="center"/>
              <w:rPr>
                <w:b/>
                <w:bCs/>
                <w:color w:val="000000" w:themeColor="text1"/>
              </w:rPr>
            </w:pPr>
            <w:r w:rsidRPr="00A4780E">
              <w:rPr>
                <w:b/>
                <w:bCs/>
                <w:color w:val="000000" w:themeColor="text1"/>
              </w:rPr>
              <w:t>Gads</w:t>
            </w:r>
          </w:p>
        </w:tc>
        <w:tc>
          <w:tcPr>
            <w:tcW w:w="1531" w:type="dxa"/>
            <w:vAlign w:val="center"/>
            <w:hideMark/>
          </w:tcPr>
          <w:p w14:paraId="42492DAB" w14:textId="77777777" w:rsidR="00BC3705" w:rsidRDefault="005C0071" w:rsidP="008100D0">
            <w:pPr>
              <w:jc w:val="center"/>
              <w:rPr>
                <w:b/>
                <w:bCs/>
                <w:color w:val="000000" w:themeColor="text1"/>
              </w:rPr>
            </w:pPr>
            <w:r w:rsidRPr="00A4780E">
              <w:rPr>
                <w:b/>
                <w:bCs/>
                <w:color w:val="000000" w:themeColor="text1"/>
              </w:rPr>
              <w:t>GES</w:t>
            </w:r>
          </w:p>
          <w:p w14:paraId="05E00EE6" w14:textId="20C1B4FE" w:rsidR="005C0071" w:rsidRPr="00A4780E" w:rsidRDefault="005C0071" w:rsidP="008100D0">
            <w:pPr>
              <w:jc w:val="center"/>
              <w:rPr>
                <w:b/>
                <w:bCs/>
                <w:color w:val="000000" w:themeColor="text1"/>
              </w:rPr>
            </w:pPr>
            <w:r w:rsidRPr="00A4780E">
              <w:rPr>
                <w:b/>
                <w:bCs/>
                <w:color w:val="000000" w:themeColor="text1"/>
              </w:rPr>
              <w:t>mērķis</w:t>
            </w:r>
          </w:p>
        </w:tc>
        <w:tc>
          <w:tcPr>
            <w:tcW w:w="1361" w:type="dxa"/>
            <w:vAlign w:val="center"/>
            <w:hideMark/>
          </w:tcPr>
          <w:p w14:paraId="23E61904" w14:textId="77777777" w:rsidR="005C0071" w:rsidRDefault="005C0071" w:rsidP="008100D0">
            <w:pPr>
              <w:jc w:val="center"/>
              <w:rPr>
                <w:b/>
                <w:bCs/>
                <w:color w:val="000000" w:themeColor="text1"/>
              </w:rPr>
            </w:pPr>
            <w:r w:rsidRPr="00A4780E">
              <w:rPr>
                <w:b/>
                <w:bCs/>
                <w:color w:val="000000" w:themeColor="text1"/>
              </w:rPr>
              <w:t>SEG emisijas</w:t>
            </w:r>
          </w:p>
          <w:p w14:paraId="7FA84513" w14:textId="4D46E7B4" w:rsidR="005C0071" w:rsidRPr="00A4780E" w:rsidRDefault="005C0071" w:rsidP="008100D0">
            <w:pPr>
              <w:jc w:val="center"/>
              <w:rPr>
                <w:b/>
                <w:bCs/>
                <w:color w:val="000000" w:themeColor="text1"/>
              </w:rPr>
            </w:pPr>
            <w:r>
              <w:rPr>
                <w:b/>
                <w:bCs/>
                <w:color w:val="000000" w:themeColor="text1"/>
              </w:rPr>
              <w:t>WEM scenārijā</w:t>
            </w:r>
          </w:p>
        </w:tc>
        <w:tc>
          <w:tcPr>
            <w:tcW w:w="1361" w:type="dxa"/>
            <w:vAlign w:val="center"/>
          </w:tcPr>
          <w:p w14:paraId="76904720" w14:textId="77777777" w:rsidR="005C0071" w:rsidRDefault="005C0071" w:rsidP="008100D0">
            <w:pPr>
              <w:jc w:val="center"/>
              <w:rPr>
                <w:b/>
                <w:bCs/>
                <w:color w:val="000000" w:themeColor="text1"/>
              </w:rPr>
            </w:pPr>
            <w:r w:rsidRPr="00A4780E">
              <w:rPr>
                <w:b/>
                <w:bCs/>
                <w:color w:val="000000" w:themeColor="text1"/>
              </w:rPr>
              <w:t>SEG emisijas</w:t>
            </w:r>
          </w:p>
          <w:p w14:paraId="1233522B" w14:textId="2ADCF054" w:rsidR="005C0071" w:rsidRDefault="005C0071" w:rsidP="008100D0">
            <w:pPr>
              <w:jc w:val="center"/>
              <w:rPr>
                <w:b/>
                <w:bCs/>
                <w:color w:val="000000" w:themeColor="text1"/>
              </w:rPr>
            </w:pPr>
            <w:r>
              <w:rPr>
                <w:b/>
                <w:bCs/>
                <w:color w:val="000000" w:themeColor="text1"/>
              </w:rPr>
              <w:t>WAM scenārijā</w:t>
            </w:r>
          </w:p>
        </w:tc>
        <w:tc>
          <w:tcPr>
            <w:tcW w:w="1691" w:type="dxa"/>
            <w:vAlign w:val="center"/>
            <w:hideMark/>
          </w:tcPr>
          <w:p w14:paraId="756EDA97" w14:textId="3812B10E" w:rsidR="005C0071" w:rsidRPr="00A4780E" w:rsidRDefault="005C0071" w:rsidP="008100D0">
            <w:pPr>
              <w:jc w:val="center"/>
              <w:rPr>
                <w:b/>
                <w:bCs/>
                <w:color w:val="000000" w:themeColor="text1"/>
              </w:rPr>
            </w:pPr>
            <w:r>
              <w:rPr>
                <w:b/>
                <w:bCs/>
                <w:color w:val="000000" w:themeColor="text1"/>
              </w:rPr>
              <w:t>GES m</w:t>
            </w:r>
            <w:r w:rsidRPr="00A4780E">
              <w:rPr>
                <w:b/>
                <w:bCs/>
                <w:color w:val="000000" w:themeColor="text1"/>
              </w:rPr>
              <w:t xml:space="preserve">ērķa izpilde </w:t>
            </w:r>
            <w:r>
              <w:rPr>
                <w:b/>
                <w:bCs/>
                <w:color w:val="000000" w:themeColor="text1"/>
              </w:rPr>
              <w:t xml:space="preserve">WEM scenārijā </w:t>
            </w:r>
            <w:r w:rsidRPr="00A4780E">
              <w:rPr>
                <w:b/>
                <w:bCs/>
                <w:color w:val="000000" w:themeColor="text1"/>
              </w:rPr>
              <w:t>(pārpalikums</w:t>
            </w:r>
            <w:r>
              <w:rPr>
                <w:b/>
                <w:bCs/>
                <w:color w:val="000000" w:themeColor="text1"/>
              </w:rPr>
              <w:t xml:space="preserve"> vai neizpilde</w:t>
            </w:r>
            <w:r w:rsidRPr="00A4780E">
              <w:rPr>
                <w:b/>
                <w:bCs/>
                <w:color w:val="000000" w:themeColor="text1"/>
              </w:rPr>
              <w:t>)</w:t>
            </w:r>
          </w:p>
        </w:tc>
        <w:tc>
          <w:tcPr>
            <w:tcW w:w="1689" w:type="dxa"/>
            <w:vAlign w:val="center"/>
          </w:tcPr>
          <w:p w14:paraId="02E36588" w14:textId="0D11DC10" w:rsidR="005C0071" w:rsidRDefault="005C0071" w:rsidP="008100D0">
            <w:pPr>
              <w:jc w:val="center"/>
              <w:rPr>
                <w:b/>
                <w:bCs/>
                <w:color w:val="000000" w:themeColor="text1"/>
              </w:rPr>
            </w:pPr>
            <w:r>
              <w:rPr>
                <w:b/>
                <w:bCs/>
                <w:color w:val="000000" w:themeColor="text1"/>
              </w:rPr>
              <w:t>GES m</w:t>
            </w:r>
            <w:r w:rsidRPr="00A4780E">
              <w:rPr>
                <w:b/>
                <w:bCs/>
                <w:color w:val="000000" w:themeColor="text1"/>
              </w:rPr>
              <w:t xml:space="preserve">ērķa izpilde </w:t>
            </w:r>
            <w:r>
              <w:rPr>
                <w:b/>
                <w:bCs/>
                <w:color w:val="000000" w:themeColor="text1"/>
              </w:rPr>
              <w:t xml:space="preserve">WAM scenārijā </w:t>
            </w:r>
            <w:r w:rsidRPr="00A4780E">
              <w:rPr>
                <w:b/>
                <w:bCs/>
                <w:color w:val="000000" w:themeColor="text1"/>
              </w:rPr>
              <w:t>(pārpalikums</w:t>
            </w:r>
            <w:r>
              <w:rPr>
                <w:b/>
                <w:bCs/>
                <w:color w:val="000000" w:themeColor="text1"/>
              </w:rPr>
              <w:t xml:space="preserve"> vai neizpilde</w:t>
            </w:r>
            <w:r w:rsidRPr="00A4780E">
              <w:rPr>
                <w:b/>
                <w:bCs/>
                <w:color w:val="000000" w:themeColor="text1"/>
              </w:rPr>
              <w:t>)</w:t>
            </w:r>
          </w:p>
        </w:tc>
      </w:tr>
      <w:tr w:rsidR="004C359A" w:rsidRPr="00A4780E" w14:paraId="434B200F" w14:textId="3B68A0FE" w:rsidTr="00EE1389">
        <w:trPr>
          <w:jc w:val="center"/>
        </w:trPr>
        <w:tc>
          <w:tcPr>
            <w:tcW w:w="816" w:type="dxa"/>
            <w:shd w:val="clear" w:color="auto" w:fill="A8D08D" w:themeFill="accent6" w:themeFillTint="99"/>
            <w:hideMark/>
          </w:tcPr>
          <w:p w14:paraId="72F5ABC7" w14:textId="307B8E30" w:rsidR="004C359A" w:rsidRPr="00A747F3" w:rsidRDefault="004C359A" w:rsidP="004C359A">
            <w:pPr>
              <w:jc w:val="center"/>
              <w:rPr>
                <w:b/>
                <w:bCs/>
                <w:color w:val="000000" w:themeColor="text1"/>
              </w:rPr>
            </w:pPr>
            <w:r w:rsidRPr="00A747F3">
              <w:rPr>
                <w:b/>
                <w:bCs/>
                <w:color w:val="000000" w:themeColor="text1"/>
              </w:rPr>
              <w:t>2021</w:t>
            </w:r>
            <w:r w:rsidR="00FD2492">
              <w:rPr>
                <w:rStyle w:val="FootnoteReference"/>
                <w:b/>
                <w:bCs/>
                <w:color w:val="000000" w:themeColor="text1"/>
              </w:rPr>
              <w:footnoteReference w:id="3"/>
            </w:r>
          </w:p>
        </w:tc>
        <w:tc>
          <w:tcPr>
            <w:tcW w:w="1531" w:type="dxa"/>
            <w:shd w:val="clear" w:color="auto" w:fill="A8D08D" w:themeFill="accent6" w:themeFillTint="99"/>
          </w:tcPr>
          <w:p w14:paraId="55CBEC06" w14:textId="4F1C5CC1" w:rsidR="004C359A" w:rsidRPr="00A747F3" w:rsidRDefault="004C359A" w:rsidP="004C359A">
            <w:pPr>
              <w:tabs>
                <w:tab w:val="left" w:pos="567"/>
              </w:tabs>
              <w:ind w:left="1134" w:hanging="1134"/>
              <w:jc w:val="center"/>
              <w:rPr>
                <w:color w:val="000000" w:themeColor="text1"/>
              </w:rPr>
            </w:pPr>
            <w:r w:rsidRPr="00A747F3">
              <w:rPr>
                <w:rFonts w:eastAsia="Calibri"/>
                <w:color w:val="000000" w:themeColor="text1"/>
              </w:rPr>
              <w:t>10 649 507</w:t>
            </w:r>
          </w:p>
        </w:tc>
        <w:tc>
          <w:tcPr>
            <w:tcW w:w="1361" w:type="dxa"/>
            <w:shd w:val="clear" w:color="auto" w:fill="A8D08D" w:themeFill="accent6" w:themeFillTint="99"/>
          </w:tcPr>
          <w:p w14:paraId="0B2A9067" w14:textId="63408F93" w:rsidR="004C359A" w:rsidRPr="00A747F3" w:rsidRDefault="004C359A" w:rsidP="004C359A">
            <w:pPr>
              <w:tabs>
                <w:tab w:val="left" w:pos="567"/>
              </w:tabs>
              <w:ind w:left="1134" w:hanging="1134"/>
              <w:jc w:val="center"/>
              <w:rPr>
                <w:bCs/>
                <w:color w:val="000000" w:themeColor="text1"/>
              </w:rPr>
            </w:pPr>
            <w:r w:rsidRPr="00A747F3">
              <w:rPr>
                <w:color w:val="000000"/>
              </w:rPr>
              <w:t>8 669 041</w:t>
            </w:r>
          </w:p>
        </w:tc>
        <w:tc>
          <w:tcPr>
            <w:tcW w:w="1361" w:type="dxa"/>
            <w:shd w:val="clear" w:color="auto" w:fill="A8D08D" w:themeFill="accent6" w:themeFillTint="99"/>
          </w:tcPr>
          <w:p w14:paraId="503CE9CC" w14:textId="41091323" w:rsidR="004C359A" w:rsidRPr="00A747F3" w:rsidRDefault="004C359A" w:rsidP="004C359A">
            <w:pPr>
              <w:tabs>
                <w:tab w:val="left" w:pos="567"/>
              </w:tabs>
              <w:ind w:left="1134" w:hanging="1134"/>
              <w:jc w:val="center"/>
              <w:rPr>
                <w:bCs/>
                <w:color w:val="000000" w:themeColor="text1"/>
              </w:rPr>
            </w:pPr>
            <w:r w:rsidRPr="00A747F3">
              <w:rPr>
                <w:color w:val="000000"/>
              </w:rPr>
              <w:t>8 669 041</w:t>
            </w:r>
          </w:p>
        </w:tc>
        <w:tc>
          <w:tcPr>
            <w:tcW w:w="1691" w:type="dxa"/>
            <w:shd w:val="clear" w:color="auto" w:fill="A8D08D" w:themeFill="accent6" w:themeFillTint="99"/>
          </w:tcPr>
          <w:p w14:paraId="7AF27A4F" w14:textId="2CCCF27E" w:rsidR="004C359A" w:rsidRPr="00A747F3" w:rsidRDefault="004C359A" w:rsidP="004C359A">
            <w:pPr>
              <w:tabs>
                <w:tab w:val="left" w:pos="567"/>
              </w:tabs>
              <w:ind w:left="1134" w:hanging="1134"/>
              <w:jc w:val="center"/>
              <w:rPr>
                <w:bCs/>
                <w:color w:val="000000" w:themeColor="text1"/>
              </w:rPr>
            </w:pPr>
            <w:r w:rsidRPr="00A747F3">
              <w:rPr>
                <w:color w:val="000000"/>
              </w:rPr>
              <w:t>1 980 466</w:t>
            </w:r>
          </w:p>
        </w:tc>
        <w:tc>
          <w:tcPr>
            <w:tcW w:w="1689" w:type="dxa"/>
            <w:shd w:val="clear" w:color="auto" w:fill="A8D08D" w:themeFill="accent6" w:themeFillTint="99"/>
          </w:tcPr>
          <w:p w14:paraId="37F504F1" w14:textId="75679DCB" w:rsidR="004C359A" w:rsidRPr="00A747F3" w:rsidRDefault="004C359A" w:rsidP="004C359A">
            <w:pPr>
              <w:tabs>
                <w:tab w:val="left" w:pos="567"/>
              </w:tabs>
              <w:ind w:left="1134" w:hanging="1134"/>
              <w:jc w:val="center"/>
              <w:rPr>
                <w:bCs/>
                <w:color w:val="000000" w:themeColor="text1"/>
              </w:rPr>
            </w:pPr>
            <w:r w:rsidRPr="00A747F3">
              <w:rPr>
                <w:color w:val="000000"/>
              </w:rPr>
              <w:t>1 980 466</w:t>
            </w:r>
          </w:p>
        </w:tc>
      </w:tr>
      <w:tr w:rsidR="004C359A" w:rsidRPr="00A4780E" w14:paraId="777A7744" w14:textId="2C32782D" w:rsidTr="00EE1389">
        <w:trPr>
          <w:jc w:val="center"/>
        </w:trPr>
        <w:tc>
          <w:tcPr>
            <w:tcW w:w="816" w:type="dxa"/>
            <w:shd w:val="clear" w:color="auto" w:fill="C5E0B3" w:themeFill="accent6" w:themeFillTint="66"/>
            <w:hideMark/>
          </w:tcPr>
          <w:p w14:paraId="3419C6ED" w14:textId="2B25FCF9" w:rsidR="004C359A" w:rsidRPr="00A4780E" w:rsidRDefault="004C359A" w:rsidP="004C359A">
            <w:pPr>
              <w:jc w:val="center"/>
              <w:rPr>
                <w:b/>
                <w:bCs/>
                <w:color w:val="000000" w:themeColor="text1"/>
              </w:rPr>
            </w:pPr>
            <w:r w:rsidRPr="00A4780E">
              <w:rPr>
                <w:b/>
                <w:bCs/>
                <w:color w:val="000000" w:themeColor="text1"/>
              </w:rPr>
              <w:t>2</w:t>
            </w:r>
            <w:r>
              <w:rPr>
                <w:b/>
                <w:bCs/>
                <w:color w:val="000000" w:themeColor="text1"/>
              </w:rPr>
              <w:t>022</w:t>
            </w:r>
            <w:r w:rsidR="00B35968">
              <w:rPr>
                <w:rStyle w:val="FootnoteReference"/>
                <w:b/>
                <w:bCs/>
                <w:color w:val="000000" w:themeColor="text1"/>
              </w:rPr>
              <w:footnoteReference w:id="4"/>
            </w:r>
          </w:p>
        </w:tc>
        <w:tc>
          <w:tcPr>
            <w:tcW w:w="1531" w:type="dxa"/>
            <w:shd w:val="clear" w:color="auto" w:fill="C5E0B3" w:themeFill="accent6" w:themeFillTint="66"/>
          </w:tcPr>
          <w:p w14:paraId="5BF14604" w14:textId="0E1F413E" w:rsidR="004C359A" w:rsidRPr="00320E98" w:rsidRDefault="004C359A" w:rsidP="004C359A">
            <w:pPr>
              <w:tabs>
                <w:tab w:val="left" w:pos="567"/>
              </w:tabs>
              <w:ind w:left="1134" w:hanging="1134"/>
              <w:jc w:val="center"/>
              <w:rPr>
                <w:b/>
                <w:bCs/>
                <w:color w:val="000000" w:themeColor="text1"/>
                <w:lang w:eastAsia="en-US"/>
              </w:rPr>
            </w:pPr>
            <w:r w:rsidRPr="00320E98">
              <w:rPr>
                <w:rFonts w:eastAsia="Calibri"/>
                <w:color w:val="000000" w:themeColor="text1"/>
              </w:rPr>
              <w:t>8 854 834</w:t>
            </w:r>
          </w:p>
        </w:tc>
        <w:tc>
          <w:tcPr>
            <w:tcW w:w="1361" w:type="dxa"/>
            <w:shd w:val="clear" w:color="auto" w:fill="C5E0B3" w:themeFill="accent6" w:themeFillTint="66"/>
          </w:tcPr>
          <w:p w14:paraId="5217F213" w14:textId="75EA66BA" w:rsidR="004C359A" w:rsidRPr="00320E98" w:rsidRDefault="004C359A" w:rsidP="004C359A">
            <w:pPr>
              <w:jc w:val="center"/>
              <w:rPr>
                <w:bCs/>
                <w:color w:val="000000" w:themeColor="text1"/>
                <w:lang w:val="en-US"/>
              </w:rPr>
            </w:pPr>
            <w:r w:rsidRPr="00320E98">
              <w:rPr>
                <w:color w:val="000000"/>
              </w:rPr>
              <w:t>8</w:t>
            </w:r>
            <w:r>
              <w:rPr>
                <w:color w:val="000000"/>
              </w:rPr>
              <w:t> </w:t>
            </w:r>
            <w:r w:rsidRPr="00320E98">
              <w:rPr>
                <w:color w:val="000000"/>
              </w:rPr>
              <w:t>356</w:t>
            </w:r>
            <w:r>
              <w:rPr>
                <w:color w:val="000000"/>
              </w:rPr>
              <w:t xml:space="preserve"> </w:t>
            </w:r>
            <w:r w:rsidRPr="00320E98">
              <w:rPr>
                <w:color w:val="000000"/>
              </w:rPr>
              <w:t>940</w:t>
            </w:r>
          </w:p>
        </w:tc>
        <w:tc>
          <w:tcPr>
            <w:tcW w:w="1361" w:type="dxa"/>
            <w:shd w:val="clear" w:color="auto" w:fill="C5E0B3" w:themeFill="accent6" w:themeFillTint="66"/>
          </w:tcPr>
          <w:p w14:paraId="2109C649" w14:textId="0B3B911F" w:rsidR="004C359A" w:rsidRPr="00320E98" w:rsidRDefault="004C359A" w:rsidP="004C359A">
            <w:pPr>
              <w:jc w:val="center"/>
              <w:rPr>
                <w:bCs/>
                <w:color w:val="000000" w:themeColor="text1"/>
                <w:lang w:val="en-US"/>
              </w:rPr>
            </w:pPr>
            <w:r w:rsidRPr="00320E98">
              <w:rPr>
                <w:color w:val="000000"/>
              </w:rPr>
              <w:t>8</w:t>
            </w:r>
            <w:r>
              <w:rPr>
                <w:color w:val="000000"/>
              </w:rPr>
              <w:t> </w:t>
            </w:r>
            <w:r w:rsidRPr="00320E98">
              <w:rPr>
                <w:color w:val="000000"/>
              </w:rPr>
              <w:t>356</w:t>
            </w:r>
            <w:r>
              <w:rPr>
                <w:color w:val="000000"/>
              </w:rPr>
              <w:t xml:space="preserve"> </w:t>
            </w:r>
            <w:r w:rsidRPr="00320E98">
              <w:rPr>
                <w:color w:val="000000"/>
              </w:rPr>
              <w:t>940</w:t>
            </w:r>
          </w:p>
        </w:tc>
        <w:tc>
          <w:tcPr>
            <w:tcW w:w="1691" w:type="dxa"/>
            <w:shd w:val="clear" w:color="auto" w:fill="C5E0B3" w:themeFill="accent6" w:themeFillTint="66"/>
          </w:tcPr>
          <w:p w14:paraId="7BAEAEF2" w14:textId="4D7F973A" w:rsidR="004C359A" w:rsidRPr="004C359A" w:rsidRDefault="004C359A" w:rsidP="004C359A">
            <w:pPr>
              <w:jc w:val="center"/>
              <w:rPr>
                <w:bCs/>
                <w:color w:val="000000" w:themeColor="text1"/>
                <w:lang w:val="en-US"/>
              </w:rPr>
            </w:pPr>
            <w:r w:rsidRPr="004C359A">
              <w:rPr>
                <w:color w:val="000000"/>
              </w:rPr>
              <w:t>497</w:t>
            </w:r>
            <w:r>
              <w:rPr>
                <w:color w:val="000000"/>
              </w:rPr>
              <w:t xml:space="preserve"> </w:t>
            </w:r>
            <w:r w:rsidRPr="004C359A">
              <w:rPr>
                <w:color w:val="000000"/>
              </w:rPr>
              <w:t>894</w:t>
            </w:r>
          </w:p>
        </w:tc>
        <w:tc>
          <w:tcPr>
            <w:tcW w:w="1689" w:type="dxa"/>
            <w:shd w:val="clear" w:color="auto" w:fill="C5E0B3" w:themeFill="accent6" w:themeFillTint="66"/>
          </w:tcPr>
          <w:p w14:paraId="27392EEA" w14:textId="231D582E" w:rsidR="004C359A" w:rsidRPr="004C359A" w:rsidRDefault="004C359A" w:rsidP="004C359A">
            <w:pPr>
              <w:jc w:val="center"/>
              <w:rPr>
                <w:bCs/>
                <w:color w:val="000000" w:themeColor="text1"/>
                <w:lang w:val="en-US"/>
              </w:rPr>
            </w:pPr>
            <w:r w:rsidRPr="004C359A">
              <w:rPr>
                <w:color w:val="000000"/>
              </w:rPr>
              <w:t>497</w:t>
            </w:r>
            <w:r>
              <w:rPr>
                <w:color w:val="000000"/>
              </w:rPr>
              <w:t xml:space="preserve"> </w:t>
            </w:r>
            <w:r w:rsidRPr="004C359A">
              <w:rPr>
                <w:color w:val="000000"/>
              </w:rPr>
              <w:t>894</w:t>
            </w:r>
          </w:p>
        </w:tc>
      </w:tr>
      <w:tr w:rsidR="004C359A" w:rsidRPr="00A4780E" w14:paraId="549043E7" w14:textId="076F5918" w:rsidTr="00EE1389">
        <w:trPr>
          <w:jc w:val="center"/>
        </w:trPr>
        <w:tc>
          <w:tcPr>
            <w:tcW w:w="816" w:type="dxa"/>
            <w:shd w:val="clear" w:color="auto" w:fill="E2EFD9" w:themeFill="accent6" w:themeFillTint="33"/>
            <w:hideMark/>
          </w:tcPr>
          <w:p w14:paraId="303E6790" w14:textId="31772A67" w:rsidR="004C359A" w:rsidRPr="00A4780E" w:rsidRDefault="004C359A" w:rsidP="004C359A">
            <w:pPr>
              <w:jc w:val="center"/>
              <w:rPr>
                <w:b/>
                <w:bCs/>
                <w:color w:val="000000" w:themeColor="text1"/>
                <w:lang w:val="en-US"/>
              </w:rPr>
            </w:pPr>
            <w:r w:rsidRPr="00A4780E">
              <w:rPr>
                <w:b/>
                <w:bCs/>
                <w:color w:val="000000" w:themeColor="text1"/>
                <w:lang w:val="en-US"/>
              </w:rPr>
              <w:t>20</w:t>
            </w:r>
            <w:r>
              <w:rPr>
                <w:b/>
                <w:bCs/>
                <w:color w:val="000000" w:themeColor="text1"/>
                <w:lang w:val="en-US"/>
              </w:rPr>
              <w:t>23</w:t>
            </w:r>
            <w:r w:rsidR="001952E0">
              <w:rPr>
                <w:rStyle w:val="FootnoteReference"/>
                <w:b/>
                <w:bCs/>
                <w:color w:val="000000" w:themeColor="text1"/>
                <w:lang w:val="en-US"/>
              </w:rPr>
              <w:footnoteReference w:id="5"/>
            </w:r>
          </w:p>
        </w:tc>
        <w:tc>
          <w:tcPr>
            <w:tcW w:w="1531" w:type="dxa"/>
            <w:shd w:val="clear" w:color="auto" w:fill="E2EFD9" w:themeFill="accent6" w:themeFillTint="33"/>
          </w:tcPr>
          <w:p w14:paraId="6517BC87" w14:textId="601694EE" w:rsidR="004C359A" w:rsidRPr="00320E98" w:rsidRDefault="004C359A" w:rsidP="004C359A">
            <w:pPr>
              <w:tabs>
                <w:tab w:val="left" w:pos="567"/>
              </w:tabs>
              <w:ind w:left="1134" w:hanging="1134"/>
              <w:jc w:val="center"/>
              <w:rPr>
                <w:b/>
                <w:bCs/>
                <w:color w:val="000000" w:themeColor="text1"/>
                <w:lang w:val="en-US" w:eastAsia="en-US"/>
              </w:rPr>
            </w:pPr>
            <w:r w:rsidRPr="00320E98">
              <w:rPr>
                <w:rFonts w:eastAsia="Calibri"/>
                <w:color w:val="000000" w:themeColor="text1"/>
              </w:rPr>
              <w:t>8 640 002</w:t>
            </w:r>
          </w:p>
        </w:tc>
        <w:tc>
          <w:tcPr>
            <w:tcW w:w="1361" w:type="dxa"/>
            <w:shd w:val="clear" w:color="auto" w:fill="E2EFD9" w:themeFill="accent6" w:themeFillTint="33"/>
          </w:tcPr>
          <w:p w14:paraId="5AA8703E" w14:textId="4596C335"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691</w:t>
            </w:r>
            <w:r>
              <w:rPr>
                <w:color w:val="000000"/>
              </w:rPr>
              <w:t xml:space="preserve"> </w:t>
            </w:r>
            <w:r w:rsidRPr="00320E98">
              <w:rPr>
                <w:color w:val="000000"/>
              </w:rPr>
              <w:t>205</w:t>
            </w:r>
          </w:p>
        </w:tc>
        <w:tc>
          <w:tcPr>
            <w:tcW w:w="1361" w:type="dxa"/>
            <w:shd w:val="clear" w:color="auto" w:fill="E2EFD9" w:themeFill="accent6" w:themeFillTint="33"/>
          </w:tcPr>
          <w:p w14:paraId="78ED1341" w14:textId="7C470D20"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xml:space="preserve"> </w:t>
            </w:r>
            <w:r w:rsidRPr="00320E98">
              <w:rPr>
                <w:color w:val="000000"/>
              </w:rPr>
              <w:t>631</w:t>
            </w:r>
            <w:r>
              <w:rPr>
                <w:color w:val="000000"/>
              </w:rPr>
              <w:t xml:space="preserve"> </w:t>
            </w:r>
            <w:r w:rsidRPr="00320E98">
              <w:rPr>
                <w:color w:val="000000"/>
              </w:rPr>
              <w:t>663</w:t>
            </w:r>
          </w:p>
        </w:tc>
        <w:tc>
          <w:tcPr>
            <w:tcW w:w="1691" w:type="dxa"/>
            <w:shd w:val="clear" w:color="auto" w:fill="E2EFD9" w:themeFill="accent6" w:themeFillTint="33"/>
          </w:tcPr>
          <w:p w14:paraId="0AE6D544" w14:textId="32D9628A" w:rsidR="004C359A" w:rsidRPr="004C359A" w:rsidRDefault="004C359A" w:rsidP="004C359A">
            <w:pPr>
              <w:tabs>
                <w:tab w:val="left" w:pos="567"/>
              </w:tabs>
              <w:ind w:left="1134" w:hanging="1134"/>
              <w:jc w:val="center"/>
              <w:rPr>
                <w:bCs/>
                <w:color w:val="000000" w:themeColor="text1"/>
                <w:lang w:val="en-US"/>
              </w:rPr>
            </w:pPr>
            <w:r w:rsidRPr="004C359A">
              <w:rPr>
                <w:color w:val="000000"/>
              </w:rPr>
              <w:t>-51</w:t>
            </w:r>
            <w:r>
              <w:rPr>
                <w:color w:val="000000"/>
              </w:rPr>
              <w:t xml:space="preserve"> </w:t>
            </w:r>
            <w:r w:rsidRPr="004C359A">
              <w:rPr>
                <w:color w:val="000000"/>
              </w:rPr>
              <w:t>203</w:t>
            </w:r>
          </w:p>
        </w:tc>
        <w:tc>
          <w:tcPr>
            <w:tcW w:w="1689" w:type="dxa"/>
            <w:shd w:val="clear" w:color="auto" w:fill="E2EFD9" w:themeFill="accent6" w:themeFillTint="33"/>
          </w:tcPr>
          <w:p w14:paraId="55B9A8B0" w14:textId="1E54D0CC" w:rsidR="004C359A" w:rsidRPr="004C359A" w:rsidRDefault="004C359A" w:rsidP="004C359A">
            <w:pPr>
              <w:tabs>
                <w:tab w:val="left" w:pos="567"/>
              </w:tabs>
              <w:ind w:left="1134" w:hanging="1134"/>
              <w:jc w:val="center"/>
              <w:rPr>
                <w:bCs/>
                <w:color w:val="000000" w:themeColor="text1"/>
                <w:lang w:val="en-US"/>
              </w:rPr>
            </w:pPr>
            <w:r w:rsidRPr="004C359A">
              <w:rPr>
                <w:color w:val="000000"/>
              </w:rPr>
              <w:t>8</w:t>
            </w:r>
            <w:r w:rsidR="008A7A3F">
              <w:rPr>
                <w:color w:val="000000"/>
              </w:rPr>
              <w:t xml:space="preserve"> </w:t>
            </w:r>
            <w:r w:rsidRPr="004C359A">
              <w:rPr>
                <w:color w:val="000000"/>
              </w:rPr>
              <w:t>339</w:t>
            </w:r>
          </w:p>
        </w:tc>
      </w:tr>
      <w:tr w:rsidR="004C359A" w:rsidRPr="00A4780E" w14:paraId="7E36370C" w14:textId="06C1C5DB" w:rsidTr="00EE1389">
        <w:trPr>
          <w:jc w:val="center"/>
        </w:trPr>
        <w:tc>
          <w:tcPr>
            <w:tcW w:w="816" w:type="dxa"/>
            <w:shd w:val="clear" w:color="auto" w:fill="E2EFD9" w:themeFill="accent6" w:themeFillTint="33"/>
            <w:hideMark/>
          </w:tcPr>
          <w:p w14:paraId="3D89E995" w14:textId="2CF5FF91" w:rsidR="004C359A" w:rsidRPr="00A4780E" w:rsidRDefault="004C359A" w:rsidP="004C359A">
            <w:pPr>
              <w:jc w:val="center"/>
              <w:rPr>
                <w:b/>
                <w:bCs/>
                <w:color w:val="000000" w:themeColor="text1"/>
                <w:lang w:val="en-US"/>
              </w:rPr>
            </w:pPr>
            <w:r w:rsidRPr="00A4780E">
              <w:rPr>
                <w:b/>
                <w:bCs/>
                <w:color w:val="000000" w:themeColor="text1"/>
                <w:lang w:val="en-US"/>
              </w:rPr>
              <w:t>20</w:t>
            </w:r>
            <w:r>
              <w:rPr>
                <w:b/>
                <w:bCs/>
                <w:color w:val="000000" w:themeColor="text1"/>
                <w:lang w:val="en-US"/>
              </w:rPr>
              <w:t>24</w:t>
            </w:r>
          </w:p>
        </w:tc>
        <w:tc>
          <w:tcPr>
            <w:tcW w:w="1531" w:type="dxa"/>
            <w:shd w:val="clear" w:color="auto" w:fill="E2EFD9" w:themeFill="accent6" w:themeFillTint="33"/>
          </w:tcPr>
          <w:p w14:paraId="6ED2CBD9" w14:textId="5D5C4B25" w:rsidR="004C359A" w:rsidRPr="00320E98" w:rsidRDefault="004C359A" w:rsidP="004C359A">
            <w:pPr>
              <w:tabs>
                <w:tab w:val="left" w:pos="567"/>
              </w:tabs>
              <w:ind w:left="1134" w:hanging="1134"/>
              <w:jc w:val="center"/>
              <w:rPr>
                <w:b/>
                <w:bCs/>
                <w:color w:val="000000" w:themeColor="text1"/>
                <w:lang w:val="en-US" w:eastAsia="en-US"/>
              </w:rPr>
            </w:pPr>
            <w:r w:rsidRPr="00320E98">
              <w:rPr>
                <w:rFonts w:eastAsia="Calibri"/>
                <w:color w:val="000000" w:themeColor="text1"/>
              </w:rPr>
              <w:t>8 425 170</w:t>
            </w:r>
          </w:p>
        </w:tc>
        <w:tc>
          <w:tcPr>
            <w:tcW w:w="1361" w:type="dxa"/>
            <w:shd w:val="clear" w:color="auto" w:fill="E2EFD9" w:themeFill="accent6" w:themeFillTint="33"/>
          </w:tcPr>
          <w:p w14:paraId="27E3320E" w14:textId="23E3FC7E"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667</w:t>
            </w:r>
            <w:r>
              <w:rPr>
                <w:color w:val="000000"/>
              </w:rPr>
              <w:t xml:space="preserve"> </w:t>
            </w:r>
            <w:r w:rsidRPr="00320E98">
              <w:rPr>
                <w:color w:val="000000"/>
              </w:rPr>
              <w:t>330</w:t>
            </w:r>
          </w:p>
        </w:tc>
        <w:tc>
          <w:tcPr>
            <w:tcW w:w="1361" w:type="dxa"/>
            <w:shd w:val="clear" w:color="auto" w:fill="E2EFD9" w:themeFill="accent6" w:themeFillTint="33"/>
          </w:tcPr>
          <w:p w14:paraId="352F2C36" w14:textId="2F736416"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587</w:t>
            </w:r>
            <w:r>
              <w:rPr>
                <w:color w:val="000000"/>
              </w:rPr>
              <w:t xml:space="preserve"> </w:t>
            </w:r>
            <w:r w:rsidRPr="00320E98">
              <w:rPr>
                <w:color w:val="000000"/>
              </w:rPr>
              <w:t>205</w:t>
            </w:r>
          </w:p>
        </w:tc>
        <w:tc>
          <w:tcPr>
            <w:tcW w:w="1691" w:type="dxa"/>
            <w:shd w:val="clear" w:color="auto" w:fill="E2EFD9" w:themeFill="accent6" w:themeFillTint="33"/>
          </w:tcPr>
          <w:p w14:paraId="5203FE0E" w14:textId="58A61323" w:rsidR="004C359A" w:rsidRPr="004C359A" w:rsidRDefault="004C359A" w:rsidP="004C359A">
            <w:pPr>
              <w:tabs>
                <w:tab w:val="left" w:pos="567"/>
              </w:tabs>
              <w:ind w:left="1134" w:hanging="1134"/>
              <w:jc w:val="center"/>
              <w:rPr>
                <w:bCs/>
                <w:color w:val="000000" w:themeColor="text1"/>
                <w:lang w:val="en-US"/>
              </w:rPr>
            </w:pPr>
            <w:r w:rsidRPr="004C359A">
              <w:rPr>
                <w:color w:val="000000"/>
              </w:rPr>
              <w:t>-242</w:t>
            </w:r>
            <w:r>
              <w:rPr>
                <w:color w:val="000000"/>
              </w:rPr>
              <w:t xml:space="preserve"> </w:t>
            </w:r>
            <w:r w:rsidRPr="004C359A">
              <w:rPr>
                <w:color w:val="000000"/>
              </w:rPr>
              <w:t>160</w:t>
            </w:r>
          </w:p>
        </w:tc>
        <w:tc>
          <w:tcPr>
            <w:tcW w:w="1689" w:type="dxa"/>
            <w:shd w:val="clear" w:color="auto" w:fill="E2EFD9" w:themeFill="accent6" w:themeFillTint="33"/>
          </w:tcPr>
          <w:p w14:paraId="52D0276B" w14:textId="37CC91B0" w:rsidR="004C359A" w:rsidRPr="004C359A" w:rsidRDefault="004C359A" w:rsidP="004C359A">
            <w:pPr>
              <w:tabs>
                <w:tab w:val="left" w:pos="567"/>
              </w:tabs>
              <w:ind w:left="1134" w:hanging="1134"/>
              <w:jc w:val="center"/>
              <w:rPr>
                <w:bCs/>
                <w:color w:val="000000" w:themeColor="text1"/>
                <w:lang w:val="en-US"/>
              </w:rPr>
            </w:pPr>
            <w:r w:rsidRPr="004C359A">
              <w:rPr>
                <w:color w:val="000000"/>
              </w:rPr>
              <w:t>-162</w:t>
            </w:r>
            <w:r>
              <w:rPr>
                <w:color w:val="000000"/>
              </w:rPr>
              <w:t xml:space="preserve"> </w:t>
            </w:r>
            <w:r w:rsidRPr="004C359A">
              <w:rPr>
                <w:color w:val="000000"/>
              </w:rPr>
              <w:t>035</w:t>
            </w:r>
          </w:p>
        </w:tc>
      </w:tr>
      <w:tr w:rsidR="004C359A" w:rsidRPr="00A4780E" w14:paraId="587A482B" w14:textId="48AF7C10" w:rsidTr="00EE1389">
        <w:trPr>
          <w:jc w:val="center"/>
        </w:trPr>
        <w:tc>
          <w:tcPr>
            <w:tcW w:w="816" w:type="dxa"/>
            <w:shd w:val="clear" w:color="auto" w:fill="E2EFD9" w:themeFill="accent6" w:themeFillTint="33"/>
            <w:hideMark/>
          </w:tcPr>
          <w:p w14:paraId="00EAD102" w14:textId="44AA0D3C" w:rsidR="004C359A" w:rsidRPr="00837932" w:rsidRDefault="004C359A" w:rsidP="004C359A">
            <w:pPr>
              <w:jc w:val="center"/>
              <w:rPr>
                <w:b/>
                <w:bCs/>
                <w:color w:val="000000" w:themeColor="text1"/>
                <w:lang w:val="en-US"/>
              </w:rPr>
            </w:pPr>
            <w:r w:rsidRPr="00837932">
              <w:rPr>
                <w:b/>
                <w:bCs/>
                <w:color w:val="000000" w:themeColor="text1"/>
                <w:lang w:val="en-US"/>
              </w:rPr>
              <w:t>20</w:t>
            </w:r>
            <w:r>
              <w:rPr>
                <w:b/>
                <w:bCs/>
                <w:color w:val="000000" w:themeColor="text1"/>
                <w:lang w:val="en-US"/>
              </w:rPr>
              <w:t>25</w:t>
            </w:r>
          </w:p>
        </w:tc>
        <w:tc>
          <w:tcPr>
            <w:tcW w:w="1531" w:type="dxa"/>
            <w:shd w:val="clear" w:color="auto" w:fill="E2EFD9" w:themeFill="accent6" w:themeFillTint="33"/>
          </w:tcPr>
          <w:p w14:paraId="4B60E0C4" w14:textId="38BBBEBB" w:rsidR="004C359A" w:rsidRPr="00320E98" w:rsidRDefault="004C359A" w:rsidP="004C359A">
            <w:pPr>
              <w:tabs>
                <w:tab w:val="left" w:pos="567"/>
              </w:tabs>
              <w:ind w:left="1134" w:hanging="1134"/>
              <w:jc w:val="center"/>
              <w:rPr>
                <w:b/>
                <w:bCs/>
                <w:color w:val="000000" w:themeColor="text1"/>
                <w:lang w:val="en-US" w:eastAsia="en-US"/>
              </w:rPr>
            </w:pPr>
            <w:r w:rsidRPr="00320E98">
              <w:rPr>
                <w:rFonts w:eastAsia="Calibri"/>
                <w:color w:val="000000" w:themeColor="text1"/>
              </w:rPr>
              <w:t>8 210 339</w:t>
            </w:r>
          </w:p>
        </w:tc>
        <w:tc>
          <w:tcPr>
            <w:tcW w:w="1361" w:type="dxa"/>
            <w:shd w:val="clear" w:color="auto" w:fill="E2EFD9" w:themeFill="accent6" w:themeFillTint="33"/>
          </w:tcPr>
          <w:p w14:paraId="5E9B8B08" w14:textId="32620A71"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545</w:t>
            </w:r>
            <w:r>
              <w:rPr>
                <w:color w:val="000000"/>
              </w:rPr>
              <w:t xml:space="preserve"> </w:t>
            </w:r>
            <w:r w:rsidRPr="00320E98">
              <w:rPr>
                <w:color w:val="000000"/>
              </w:rPr>
              <w:t>053</w:t>
            </w:r>
          </w:p>
        </w:tc>
        <w:tc>
          <w:tcPr>
            <w:tcW w:w="1361" w:type="dxa"/>
            <w:shd w:val="clear" w:color="auto" w:fill="E2EFD9" w:themeFill="accent6" w:themeFillTint="33"/>
          </w:tcPr>
          <w:p w14:paraId="13511DEE" w14:textId="18540283" w:rsidR="004C359A" w:rsidRPr="00320E98" w:rsidRDefault="004C359A" w:rsidP="004C359A">
            <w:pPr>
              <w:tabs>
                <w:tab w:val="left" w:pos="567"/>
              </w:tabs>
              <w:ind w:left="1134" w:hanging="1134"/>
              <w:jc w:val="center"/>
              <w:rPr>
                <w:bCs/>
                <w:lang w:val="en-US"/>
              </w:rPr>
            </w:pPr>
            <w:r w:rsidRPr="00320E98">
              <w:rPr>
                <w:color w:val="000000"/>
              </w:rPr>
              <w:t>8</w:t>
            </w:r>
            <w:r>
              <w:rPr>
                <w:color w:val="000000"/>
              </w:rPr>
              <w:t> </w:t>
            </w:r>
            <w:r w:rsidRPr="00320E98">
              <w:rPr>
                <w:color w:val="000000"/>
              </w:rPr>
              <w:t>448</w:t>
            </w:r>
            <w:r>
              <w:rPr>
                <w:color w:val="000000"/>
              </w:rPr>
              <w:t xml:space="preserve"> </w:t>
            </w:r>
            <w:r w:rsidRPr="00320E98">
              <w:rPr>
                <w:color w:val="000000"/>
              </w:rPr>
              <w:t>372</w:t>
            </w:r>
          </w:p>
        </w:tc>
        <w:tc>
          <w:tcPr>
            <w:tcW w:w="1691" w:type="dxa"/>
            <w:shd w:val="clear" w:color="auto" w:fill="E2EFD9" w:themeFill="accent6" w:themeFillTint="33"/>
          </w:tcPr>
          <w:p w14:paraId="10319052" w14:textId="7638F8BB" w:rsidR="004C359A" w:rsidRPr="004C359A" w:rsidRDefault="004C359A" w:rsidP="004C359A">
            <w:pPr>
              <w:tabs>
                <w:tab w:val="left" w:pos="567"/>
              </w:tabs>
              <w:ind w:left="1134" w:hanging="1134"/>
              <w:jc w:val="center"/>
              <w:rPr>
                <w:bCs/>
                <w:lang w:val="en-US"/>
              </w:rPr>
            </w:pPr>
            <w:r w:rsidRPr="004C359A">
              <w:rPr>
                <w:color w:val="000000"/>
              </w:rPr>
              <w:t>-334</w:t>
            </w:r>
            <w:r>
              <w:rPr>
                <w:color w:val="000000"/>
              </w:rPr>
              <w:t xml:space="preserve"> </w:t>
            </w:r>
            <w:r w:rsidRPr="004C359A">
              <w:rPr>
                <w:color w:val="000000"/>
              </w:rPr>
              <w:t>714</w:t>
            </w:r>
          </w:p>
        </w:tc>
        <w:tc>
          <w:tcPr>
            <w:tcW w:w="1689" w:type="dxa"/>
            <w:shd w:val="clear" w:color="auto" w:fill="E2EFD9" w:themeFill="accent6" w:themeFillTint="33"/>
          </w:tcPr>
          <w:p w14:paraId="0F37552C" w14:textId="3DFDD086" w:rsidR="004C359A" w:rsidRPr="004C359A" w:rsidRDefault="004C359A" w:rsidP="004C359A">
            <w:pPr>
              <w:tabs>
                <w:tab w:val="left" w:pos="567"/>
              </w:tabs>
              <w:ind w:left="1134" w:hanging="1134"/>
              <w:jc w:val="center"/>
              <w:rPr>
                <w:bCs/>
                <w:lang w:val="en-US"/>
              </w:rPr>
            </w:pPr>
            <w:r w:rsidRPr="004C359A">
              <w:rPr>
                <w:color w:val="000000"/>
              </w:rPr>
              <w:t>-238</w:t>
            </w:r>
            <w:r>
              <w:rPr>
                <w:color w:val="000000"/>
              </w:rPr>
              <w:t xml:space="preserve"> </w:t>
            </w:r>
            <w:r w:rsidRPr="004C359A">
              <w:rPr>
                <w:color w:val="000000"/>
              </w:rPr>
              <w:t>033</w:t>
            </w:r>
          </w:p>
        </w:tc>
      </w:tr>
      <w:tr w:rsidR="004C359A" w:rsidRPr="00A4780E" w14:paraId="2461A752" w14:textId="26DCF79D" w:rsidTr="00EE1389">
        <w:trPr>
          <w:jc w:val="center"/>
        </w:trPr>
        <w:tc>
          <w:tcPr>
            <w:tcW w:w="816" w:type="dxa"/>
            <w:shd w:val="clear" w:color="auto" w:fill="E2EFD9" w:themeFill="accent6" w:themeFillTint="33"/>
            <w:hideMark/>
          </w:tcPr>
          <w:p w14:paraId="662F842B" w14:textId="1F16BAFD" w:rsidR="004C359A" w:rsidRPr="008858FA" w:rsidRDefault="004C359A" w:rsidP="004C359A">
            <w:pPr>
              <w:jc w:val="center"/>
              <w:rPr>
                <w:b/>
                <w:bCs/>
                <w:color w:val="000000" w:themeColor="text1"/>
                <w:lang w:val="en-US"/>
              </w:rPr>
            </w:pPr>
            <w:r w:rsidRPr="008858FA">
              <w:rPr>
                <w:b/>
                <w:bCs/>
                <w:color w:val="000000" w:themeColor="text1"/>
                <w:lang w:val="en-US"/>
              </w:rPr>
              <w:t>20</w:t>
            </w:r>
            <w:r>
              <w:rPr>
                <w:b/>
                <w:bCs/>
                <w:color w:val="000000" w:themeColor="text1"/>
                <w:lang w:val="en-US"/>
              </w:rPr>
              <w:t>26</w:t>
            </w:r>
          </w:p>
        </w:tc>
        <w:tc>
          <w:tcPr>
            <w:tcW w:w="1531" w:type="dxa"/>
            <w:shd w:val="clear" w:color="auto" w:fill="E2EFD9" w:themeFill="accent6" w:themeFillTint="33"/>
          </w:tcPr>
          <w:p w14:paraId="47EE4AB3" w14:textId="1590E22E" w:rsidR="004C359A" w:rsidRPr="002B1C6D" w:rsidRDefault="004C359A" w:rsidP="004C359A">
            <w:pPr>
              <w:tabs>
                <w:tab w:val="left" w:pos="567"/>
              </w:tabs>
              <w:ind w:left="1134" w:hanging="1134"/>
              <w:jc w:val="center"/>
              <w:rPr>
                <w:b/>
                <w:bCs/>
                <w:color w:val="000000" w:themeColor="text1"/>
                <w:lang w:val="en-US" w:eastAsia="en-US"/>
              </w:rPr>
            </w:pPr>
            <w:r w:rsidRPr="002B1C6D">
              <w:rPr>
                <w:rFonts w:eastAsia="Calibri"/>
              </w:rPr>
              <w:t>8 141 943</w:t>
            </w:r>
          </w:p>
        </w:tc>
        <w:tc>
          <w:tcPr>
            <w:tcW w:w="1361" w:type="dxa"/>
            <w:shd w:val="clear" w:color="auto" w:fill="E2EFD9" w:themeFill="accent6" w:themeFillTint="33"/>
          </w:tcPr>
          <w:p w14:paraId="1BB49025" w14:textId="35837A21"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463</w:t>
            </w:r>
            <w:r>
              <w:rPr>
                <w:color w:val="000000"/>
              </w:rPr>
              <w:t xml:space="preserve"> </w:t>
            </w:r>
            <w:r w:rsidRPr="00320E98">
              <w:rPr>
                <w:color w:val="000000"/>
              </w:rPr>
              <w:t>281</w:t>
            </w:r>
          </w:p>
        </w:tc>
        <w:tc>
          <w:tcPr>
            <w:tcW w:w="1361" w:type="dxa"/>
            <w:shd w:val="clear" w:color="auto" w:fill="E2EFD9" w:themeFill="accent6" w:themeFillTint="33"/>
          </w:tcPr>
          <w:p w14:paraId="1EA18197" w14:textId="15FB97EE"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366</w:t>
            </w:r>
            <w:r>
              <w:rPr>
                <w:color w:val="000000"/>
              </w:rPr>
              <w:t xml:space="preserve"> </w:t>
            </w:r>
            <w:r w:rsidRPr="00320E98">
              <w:rPr>
                <w:color w:val="000000"/>
              </w:rPr>
              <w:t>834</w:t>
            </w:r>
          </w:p>
        </w:tc>
        <w:tc>
          <w:tcPr>
            <w:tcW w:w="1691" w:type="dxa"/>
            <w:shd w:val="clear" w:color="auto" w:fill="E2EFD9" w:themeFill="accent6" w:themeFillTint="33"/>
          </w:tcPr>
          <w:p w14:paraId="790A8A1E" w14:textId="4ADD86CB" w:rsidR="004C359A" w:rsidRPr="004C359A" w:rsidRDefault="004C359A" w:rsidP="004C359A">
            <w:pPr>
              <w:tabs>
                <w:tab w:val="left" w:pos="567"/>
              </w:tabs>
              <w:ind w:left="1134" w:hanging="1134"/>
              <w:jc w:val="center"/>
              <w:rPr>
                <w:bCs/>
                <w:color w:val="000000" w:themeColor="text1"/>
                <w:lang w:val="en-US"/>
              </w:rPr>
            </w:pPr>
            <w:r w:rsidRPr="004C359A">
              <w:rPr>
                <w:color w:val="000000"/>
              </w:rPr>
              <w:t>-321</w:t>
            </w:r>
            <w:r>
              <w:rPr>
                <w:color w:val="000000"/>
              </w:rPr>
              <w:t xml:space="preserve"> </w:t>
            </w:r>
            <w:r w:rsidRPr="004C359A">
              <w:rPr>
                <w:color w:val="000000"/>
              </w:rPr>
              <w:t>338</w:t>
            </w:r>
          </w:p>
        </w:tc>
        <w:tc>
          <w:tcPr>
            <w:tcW w:w="1689" w:type="dxa"/>
            <w:shd w:val="clear" w:color="auto" w:fill="E2EFD9" w:themeFill="accent6" w:themeFillTint="33"/>
          </w:tcPr>
          <w:p w14:paraId="06141AE7" w14:textId="4D357860" w:rsidR="004C359A" w:rsidRPr="004C359A" w:rsidRDefault="004C359A" w:rsidP="004C359A">
            <w:pPr>
              <w:tabs>
                <w:tab w:val="left" w:pos="567"/>
              </w:tabs>
              <w:ind w:left="1134" w:hanging="1134"/>
              <w:jc w:val="center"/>
              <w:rPr>
                <w:bCs/>
                <w:color w:val="000000" w:themeColor="text1"/>
                <w:lang w:val="en-US"/>
              </w:rPr>
            </w:pPr>
            <w:r w:rsidRPr="004C359A">
              <w:rPr>
                <w:color w:val="000000"/>
              </w:rPr>
              <w:t>-224</w:t>
            </w:r>
            <w:r>
              <w:rPr>
                <w:color w:val="000000"/>
              </w:rPr>
              <w:t xml:space="preserve"> </w:t>
            </w:r>
            <w:r w:rsidRPr="004C359A">
              <w:rPr>
                <w:color w:val="000000"/>
              </w:rPr>
              <w:t>892</w:t>
            </w:r>
          </w:p>
        </w:tc>
      </w:tr>
      <w:tr w:rsidR="004C359A" w:rsidRPr="00A4780E" w14:paraId="24B4EED8" w14:textId="7918B456" w:rsidTr="00EE1389">
        <w:trPr>
          <w:jc w:val="center"/>
        </w:trPr>
        <w:tc>
          <w:tcPr>
            <w:tcW w:w="816" w:type="dxa"/>
            <w:shd w:val="clear" w:color="auto" w:fill="E2EFD9" w:themeFill="accent6" w:themeFillTint="33"/>
          </w:tcPr>
          <w:p w14:paraId="3756A4C5" w14:textId="21FA9F78" w:rsidR="004C359A" w:rsidRPr="008858FA" w:rsidRDefault="004C359A" w:rsidP="004C359A">
            <w:pPr>
              <w:jc w:val="center"/>
              <w:rPr>
                <w:b/>
                <w:bCs/>
                <w:color w:val="000000" w:themeColor="text1"/>
                <w:lang w:val="en-US"/>
              </w:rPr>
            </w:pPr>
            <w:r>
              <w:rPr>
                <w:b/>
                <w:bCs/>
                <w:color w:val="000000" w:themeColor="text1"/>
                <w:lang w:val="en-US"/>
              </w:rPr>
              <w:t>2027</w:t>
            </w:r>
          </w:p>
        </w:tc>
        <w:tc>
          <w:tcPr>
            <w:tcW w:w="1531" w:type="dxa"/>
            <w:shd w:val="clear" w:color="auto" w:fill="E2EFD9" w:themeFill="accent6" w:themeFillTint="33"/>
          </w:tcPr>
          <w:p w14:paraId="11FBEE50" w14:textId="7241B4CE" w:rsidR="004C359A" w:rsidRPr="002B1C6D" w:rsidRDefault="004C359A" w:rsidP="004C359A">
            <w:pPr>
              <w:tabs>
                <w:tab w:val="left" w:pos="567"/>
              </w:tabs>
              <w:ind w:left="1134" w:hanging="1134"/>
              <w:jc w:val="center"/>
              <w:rPr>
                <w:color w:val="000000"/>
              </w:rPr>
            </w:pPr>
            <w:r w:rsidRPr="002B1C6D">
              <w:rPr>
                <w:rFonts w:eastAsia="Calibri"/>
              </w:rPr>
              <w:t>7 890 502</w:t>
            </w:r>
          </w:p>
        </w:tc>
        <w:tc>
          <w:tcPr>
            <w:tcW w:w="1361" w:type="dxa"/>
            <w:shd w:val="clear" w:color="auto" w:fill="E2EFD9" w:themeFill="accent6" w:themeFillTint="33"/>
          </w:tcPr>
          <w:p w14:paraId="08F23740" w14:textId="09D73998" w:rsidR="004C359A" w:rsidRPr="00320E98" w:rsidRDefault="004C359A" w:rsidP="004C359A">
            <w:pPr>
              <w:tabs>
                <w:tab w:val="left" w:pos="567"/>
              </w:tabs>
              <w:ind w:left="1134" w:hanging="1134"/>
              <w:jc w:val="center"/>
              <w:rPr>
                <w:color w:val="000000"/>
              </w:rPr>
            </w:pPr>
            <w:r w:rsidRPr="00320E98">
              <w:rPr>
                <w:color w:val="000000"/>
              </w:rPr>
              <w:t>8</w:t>
            </w:r>
            <w:r>
              <w:rPr>
                <w:color w:val="000000"/>
              </w:rPr>
              <w:t> </w:t>
            </w:r>
            <w:r w:rsidRPr="00320E98">
              <w:rPr>
                <w:color w:val="000000"/>
              </w:rPr>
              <w:t>426</w:t>
            </w:r>
            <w:r>
              <w:rPr>
                <w:color w:val="000000"/>
              </w:rPr>
              <w:t xml:space="preserve"> </w:t>
            </w:r>
            <w:r w:rsidRPr="00320E98">
              <w:rPr>
                <w:color w:val="000000"/>
              </w:rPr>
              <w:t>907</w:t>
            </w:r>
          </w:p>
        </w:tc>
        <w:tc>
          <w:tcPr>
            <w:tcW w:w="1361" w:type="dxa"/>
            <w:shd w:val="clear" w:color="auto" w:fill="E2EFD9" w:themeFill="accent6" w:themeFillTint="33"/>
          </w:tcPr>
          <w:p w14:paraId="43DE14A3" w14:textId="09BF905D" w:rsidR="004C359A" w:rsidRPr="00320E98" w:rsidRDefault="004C359A" w:rsidP="004C359A">
            <w:pPr>
              <w:tabs>
                <w:tab w:val="left" w:pos="567"/>
              </w:tabs>
              <w:ind w:left="1134" w:hanging="1134"/>
              <w:jc w:val="center"/>
              <w:rPr>
                <w:color w:val="000000"/>
              </w:rPr>
            </w:pPr>
            <w:r w:rsidRPr="00320E98">
              <w:rPr>
                <w:color w:val="000000"/>
              </w:rPr>
              <w:t>8</w:t>
            </w:r>
            <w:r>
              <w:rPr>
                <w:color w:val="000000"/>
              </w:rPr>
              <w:t> </w:t>
            </w:r>
            <w:r w:rsidRPr="00320E98">
              <w:rPr>
                <w:color w:val="000000"/>
              </w:rPr>
              <w:t>322</w:t>
            </w:r>
            <w:r>
              <w:rPr>
                <w:color w:val="000000"/>
              </w:rPr>
              <w:t xml:space="preserve"> </w:t>
            </w:r>
            <w:r w:rsidRPr="00320E98">
              <w:rPr>
                <w:color w:val="000000"/>
              </w:rPr>
              <w:t>633</w:t>
            </w:r>
          </w:p>
        </w:tc>
        <w:tc>
          <w:tcPr>
            <w:tcW w:w="1691" w:type="dxa"/>
            <w:shd w:val="clear" w:color="auto" w:fill="E2EFD9" w:themeFill="accent6" w:themeFillTint="33"/>
          </w:tcPr>
          <w:p w14:paraId="4F3E50F7" w14:textId="2F890605" w:rsidR="004C359A" w:rsidRPr="004C359A" w:rsidRDefault="004C359A" w:rsidP="004C359A">
            <w:pPr>
              <w:tabs>
                <w:tab w:val="left" w:pos="567"/>
              </w:tabs>
              <w:ind w:left="1134" w:hanging="1134"/>
              <w:jc w:val="center"/>
              <w:rPr>
                <w:color w:val="000000"/>
              </w:rPr>
            </w:pPr>
            <w:r w:rsidRPr="004C359A">
              <w:rPr>
                <w:color w:val="000000"/>
              </w:rPr>
              <w:t>-536</w:t>
            </w:r>
            <w:r>
              <w:rPr>
                <w:color w:val="000000"/>
              </w:rPr>
              <w:t xml:space="preserve"> </w:t>
            </w:r>
            <w:r w:rsidRPr="004C359A">
              <w:rPr>
                <w:color w:val="000000"/>
              </w:rPr>
              <w:t>405</w:t>
            </w:r>
          </w:p>
        </w:tc>
        <w:tc>
          <w:tcPr>
            <w:tcW w:w="1689" w:type="dxa"/>
            <w:shd w:val="clear" w:color="auto" w:fill="E2EFD9" w:themeFill="accent6" w:themeFillTint="33"/>
          </w:tcPr>
          <w:p w14:paraId="43CB40C7" w14:textId="1757D099" w:rsidR="004C359A" w:rsidRPr="004C359A" w:rsidRDefault="004C359A" w:rsidP="004C359A">
            <w:pPr>
              <w:tabs>
                <w:tab w:val="left" w:pos="567"/>
              </w:tabs>
              <w:ind w:left="1134" w:hanging="1134"/>
              <w:jc w:val="center"/>
              <w:rPr>
                <w:color w:val="000000"/>
              </w:rPr>
            </w:pPr>
            <w:r w:rsidRPr="004C359A">
              <w:rPr>
                <w:color w:val="000000"/>
              </w:rPr>
              <w:t>-432</w:t>
            </w:r>
            <w:r>
              <w:rPr>
                <w:color w:val="000000"/>
              </w:rPr>
              <w:t xml:space="preserve"> </w:t>
            </w:r>
            <w:r w:rsidRPr="004C359A">
              <w:rPr>
                <w:color w:val="000000"/>
              </w:rPr>
              <w:t>131</w:t>
            </w:r>
          </w:p>
        </w:tc>
      </w:tr>
      <w:tr w:rsidR="004C359A" w:rsidRPr="00A4780E" w14:paraId="2A7F20FD" w14:textId="6AF1A28F" w:rsidTr="00EE1389">
        <w:trPr>
          <w:jc w:val="center"/>
        </w:trPr>
        <w:tc>
          <w:tcPr>
            <w:tcW w:w="816" w:type="dxa"/>
            <w:shd w:val="clear" w:color="auto" w:fill="E2EFD9" w:themeFill="accent6" w:themeFillTint="33"/>
            <w:hideMark/>
          </w:tcPr>
          <w:p w14:paraId="5D90204E" w14:textId="5D77DEBF" w:rsidR="004C359A" w:rsidRPr="009303EC" w:rsidRDefault="004C359A" w:rsidP="004C359A">
            <w:pPr>
              <w:jc w:val="center"/>
              <w:rPr>
                <w:b/>
                <w:bCs/>
                <w:color w:val="000000" w:themeColor="text1"/>
                <w:lang w:val="en-US"/>
              </w:rPr>
            </w:pPr>
            <w:r w:rsidRPr="009303EC">
              <w:rPr>
                <w:b/>
                <w:bCs/>
                <w:color w:val="000000" w:themeColor="text1"/>
                <w:lang w:val="en-US"/>
              </w:rPr>
              <w:t>202</w:t>
            </w:r>
            <w:r>
              <w:rPr>
                <w:b/>
                <w:bCs/>
                <w:color w:val="000000" w:themeColor="text1"/>
                <w:lang w:val="en-US"/>
              </w:rPr>
              <w:t>8</w:t>
            </w:r>
          </w:p>
        </w:tc>
        <w:tc>
          <w:tcPr>
            <w:tcW w:w="1531" w:type="dxa"/>
            <w:shd w:val="clear" w:color="auto" w:fill="E2EFD9" w:themeFill="accent6" w:themeFillTint="33"/>
          </w:tcPr>
          <w:p w14:paraId="7D344BAA" w14:textId="5DC24895" w:rsidR="004C359A" w:rsidRPr="002B1C6D" w:rsidRDefault="004C359A" w:rsidP="004C359A">
            <w:pPr>
              <w:tabs>
                <w:tab w:val="left" w:pos="567"/>
              </w:tabs>
              <w:ind w:left="1134" w:hanging="1134"/>
              <w:jc w:val="center"/>
              <w:rPr>
                <w:b/>
                <w:bCs/>
                <w:color w:val="000000" w:themeColor="text1"/>
                <w:lang w:val="en-US"/>
              </w:rPr>
            </w:pPr>
            <w:r w:rsidRPr="002B1C6D">
              <w:rPr>
                <w:rFonts w:eastAsia="Calibri"/>
              </w:rPr>
              <w:t>7 639 061</w:t>
            </w:r>
          </w:p>
        </w:tc>
        <w:tc>
          <w:tcPr>
            <w:tcW w:w="1361" w:type="dxa"/>
            <w:shd w:val="clear" w:color="auto" w:fill="E2EFD9" w:themeFill="accent6" w:themeFillTint="33"/>
          </w:tcPr>
          <w:p w14:paraId="5A47B836" w14:textId="2E4450B7" w:rsidR="004C359A" w:rsidRPr="00320E98" w:rsidRDefault="004C359A" w:rsidP="004C359A">
            <w:pPr>
              <w:tabs>
                <w:tab w:val="left" w:pos="567"/>
              </w:tabs>
              <w:ind w:left="1134" w:hanging="1134"/>
              <w:jc w:val="center"/>
              <w:rPr>
                <w:bCs/>
                <w:color w:val="000000" w:themeColor="text1"/>
                <w:lang w:val="en-US"/>
              </w:rPr>
            </w:pPr>
            <w:r w:rsidRPr="00320E98">
              <w:rPr>
                <w:color w:val="000000"/>
              </w:rPr>
              <w:t>8</w:t>
            </w:r>
            <w:r>
              <w:rPr>
                <w:color w:val="000000"/>
              </w:rPr>
              <w:t> </w:t>
            </w:r>
            <w:r w:rsidRPr="00320E98">
              <w:rPr>
                <w:color w:val="000000"/>
              </w:rPr>
              <w:t>384</w:t>
            </w:r>
            <w:r>
              <w:rPr>
                <w:color w:val="000000"/>
              </w:rPr>
              <w:t xml:space="preserve"> </w:t>
            </w:r>
            <w:r w:rsidRPr="00320E98">
              <w:rPr>
                <w:color w:val="000000"/>
              </w:rPr>
              <w:t>546</w:t>
            </w:r>
          </w:p>
        </w:tc>
        <w:tc>
          <w:tcPr>
            <w:tcW w:w="1361" w:type="dxa"/>
            <w:shd w:val="clear" w:color="auto" w:fill="E2EFD9" w:themeFill="accent6" w:themeFillTint="33"/>
          </w:tcPr>
          <w:p w14:paraId="6EDEF182" w14:textId="797E746C" w:rsidR="004C359A" w:rsidRPr="00320E98" w:rsidRDefault="004C359A" w:rsidP="004C359A">
            <w:pPr>
              <w:tabs>
                <w:tab w:val="left" w:pos="567"/>
              </w:tabs>
              <w:ind w:left="1134" w:hanging="1134"/>
              <w:jc w:val="center"/>
              <w:rPr>
                <w:bCs/>
                <w:color w:val="000000" w:themeColor="text1"/>
                <w:lang w:val="en-US" w:eastAsia="en-US"/>
              </w:rPr>
            </w:pPr>
            <w:r w:rsidRPr="00320E98">
              <w:rPr>
                <w:color w:val="000000"/>
              </w:rPr>
              <w:t>8</w:t>
            </w:r>
            <w:r>
              <w:rPr>
                <w:color w:val="000000"/>
              </w:rPr>
              <w:t> </w:t>
            </w:r>
            <w:r w:rsidRPr="00320E98">
              <w:rPr>
                <w:color w:val="000000"/>
              </w:rPr>
              <w:t>252</w:t>
            </w:r>
            <w:r>
              <w:rPr>
                <w:color w:val="000000"/>
              </w:rPr>
              <w:t xml:space="preserve"> </w:t>
            </w:r>
            <w:r w:rsidRPr="00320E98">
              <w:rPr>
                <w:color w:val="000000"/>
              </w:rPr>
              <w:t>861</w:t>
            </w:r>
          </w:p>
        </w:tc>
        <w:tc>
          <w:tcPr>
            <w:tcW w:w="1691" w:type="dxa"/>
            <w:shd w:val="clear" w:color="auto" w:fill="E2EFD9" w:themeFill="accent6" w:themeFillTint="33"/>
          </w:tcPr>
          <w:p w14:paraId="0C72C869" w14:textId="36B8B35A" w:rsidR="004C359A" w:rsidRPr="004C359A" w:rsidRDefault="004C359A" w:rsidP="004C359A">
            <w:pPr>
              <w:tabs>
                <w:tab w:val="left" w:pos="567"/>
              </w:tabs>
              <w:ind w:left="1134" w:hanging="1134"/>
              <w:jc w:val="center"/>
              <w:rPr>
                <w:bCs/>
                <w:color w:val="000000" w:themeColor="text1"/>
                <w:lang w:val="en-US" w:eastAsia="en-US"/>
              </w:rPr>
            </w:pPr>
            <w:r w:rsidRPr="004C359A">
              <w:rPr>
                <w:color w:val="000000"/>
              </w:rPr>
              <w:t>-745</w:t>
            </w:r>
            <w:r>
              <w:rPr>
                <w:color w:val="000000"/>
              </w:rPr>
              <w:t xml:space="preserve"> </w:t>
            </w:r>
            <w:r w:rsidRPr="004C359A">
              <w:rPr>
                <w:color w:val="000000"/>
              </w:rPr>
              <w:t>485</w:t>
            </w:r>
          </w:p>
        </w:tc>
        <w:tc>
          <w:tcPr>
            <w:tcW w:w="1689" w:type="dxa"/>
            <w:shd w:val="clear" w:color="auto" w:fill="E2EFD9" w:themeFill="accent6" w:themeFillTint="33"/>
          </w:tcPr>
          <w:p w14:paraId="52F64155" w14:textId="1EEA2944" w:rsidR="004C359A" w:rsidRPr="004C359A" w:rsidRDefault="004C359A" w:rsidP="004C359A">
            <w:pPr>
              <w:tabs>
                <w:tab w:val="left" w:pos="567"/>
              </w:tabs>
              <w:ind w:left="1134" w:hanging="1134"/>
              <w:jc w:val="center"/>
              <w:rPr>
                <w:bCs/>
                <w:color w:val="000000" w:themeColor="text1"/>
                <w:lang w:val="en-US" w:eastAsia="en-US"/>
              </w:rPr>
            </w:pPr>
            <w:r w:rsidRPr="004C359A">
              <w:rPr>
                <w:color w:val="000000"/>
              </w:rPr>
              <w:t>-613</w:t>
            </w:r>
            <w:r>
              <w:rPr>
                <w:color w:val="000000"/>
              </w:rPr>
              <w:t xml:space="preserve"> </w:t>
            </w:r>
            <w:r w:rsidRPr="004C359A">
              <w:rPr>
                <w:color w:val="000000"/>
              </w:rPr>
              <w:t>800</w:t>
            </w:r>
          </w:p>
        </w:tc>
      </w:tr>
      <w:tr w:rsidR="004C359A" w:rsidRPr="00A4780E" w14:paraId="291A7D2C" w14:textId="7D5F99E8" w:rsidTr="00EE1389">
        <w:trPr>
          <w:jc w:val="center"/>
        </w:trPr>
        <w:tc>
          <w:tcPr>
            <w:tcW w:w="816" w:type="dxa"/>
            <w:shd w:val="clear" w:color="auto" w:fill="E2EFD9" w:themeFill="accent6" w:themeFillTint="33"/>
          </w:tcPr>
          <w:p w14:paraId="5E91B9C5" w14:textId="69D4B255" w:rsidR="004C359A" w:rsidRPr="009303EC" w:rsidRDefault="004C359A" w:rsidP="004C359A">
            <w:pPr>
              <w:jc w:val="center"/>
              <w:rPr>
                <w:b/>
                <w:bCs/>
                <w:color w:val="000000" w:themeColor="text1"/>
                <w:lang w:val="en-US"/>
              </w:rPr>
            </w:pPr>
            <w:r>
              <w:rPr>
                <w:b/>
                <w:bCs/>
                <w:color w:val="000000" w:themeColor="text1"/>
                <w:lang w:val="en-US"/>
              </w:rPr>
              <w:t>2029</w:t>
            </w:r>
          </w:p>
        </w:tc>
        <w:tc>
          <w:tcPr>
            <w:tcW w:w="1531" w:type="dxa"/>
            <w:shd w:val="clear" w:color="auto" w:fill="E2EFD9" w:themeFill="accent6" w:themeFillTint="33"/>
          </w:tcPr>
          <w:p w14:paraId="179092C3" w14:textId="01675ED0" w:rsidR="004C359A" w:rsidRPr="002B1C6D" w:rsidRDefault="004C359A" w:rsidP="004C359A">
            <w:pPr>
              <w:tabs>
                <w:tab w:val="left" w:pos="567"/>
              </w:tabs>
              <w:ind w:left="1134" w:hanging="1134"/>
              <w:jc w:val="center"/>
              <w:rPr>
                <w:color w:val="000000"/>
              </w:rPr>
            </w:pPr>
            <w:r w:rsidRPr="002B1C6D">
              <w:rPr>
                <w:rFonts w:eastAsia="Calibri"/>
              </w:rPr>
              <w:t>7 387 620</w:t>
            </w:r>
          </w:p>
        </w:tc>
        <w:tc>
          <w:tcPr>
            <w:tcW w:w="1361" w:type="dxa"/>
            <w:shd w:val="clear" w:color="auto" w:fill="E2EFD9" w:themeFill="accent6" w:themeFillTint="33"/>
          </w:tcPr>
          <w:p w14:paraId="205AEE4D" w14:textId="2AAB38B2" w:rsidR="004C359A" w:rsidRPr="00320E98" w:rsidRDefault="004C359A" w:rsidP="004C359A">
            <w:pPr>
              <w:tabs>
                <w:tab w:val="left" w:pos="567"/>
              </w:tabs>
              <w:ind w:left="1134" w:hanging="1134"/>
              <w:jc w:val="center"/>
              <w:rPr>
                <w:color w:val="000000"/>
              </w:rPr>
            </w:pPr>
            <w:r w:rsidRPr="00320E98">
              <w:rPr>
                <w:color w:val="000000"/>
              </w:rPr>
              <w:t>8</w:t>
            </w:r>
            <w:r>
              <w:rPr>
                <w:color w:val="000000"/>
              </w:rPr>
              <w:t> </w:t>
            </w:r>
            <w:r w:rsidRPr="00320E98">
              <w:rPr>
                <w:color w:val="000000"/>
              </w:rPr>
              <w:t>272</w:t>
            </w:r>
            <w:r>
              <w:rPr>
                <w:color w:val="000000"/>
              </w:rPr>
              <w:t xml:space="preserve"> </w:t>
            </w:r>
            <w:r w:rsidRPr="00320E98">
              <w:rPr>
                <w:color w:val="000000"/>
              </w:rPr>
              <w:t>275</w:t>
            </w:r>
          </w:p>
        </w:tc>
        <w:tc>
          <w:tcPr>
            <w:tcW w:w="1361" w:type="dxa"/>
            <w:shd w:val="clear" w:color="auto" w:fill="E2EFD9" w:themeFill="accent6" w:themeFillTint="33"/>
          </w:tcPr>
          <w:p w14:paraId="3BD58DA1" w14:textId="6B67D0F8" w:rsidR="004C359A" w:rsidRPr="00320E98" w:rsidRDefault="004C359A" w:rsidP="004C359A">
            <w:pPr>
              <w:tabs>
                <w:tab w:val="left" w:pos="567"/>
              </w:tabs>
              <w:ind w:left="1134" w:hanging="1134"/>
              <w:jc w:val="center"/>
              <w:rPr>
                <w:color w:val="000000"/>
              </w:rPr>
            </w:pPr>
            <w:r w:rsidRPr="00320E98">
              <w:rPr>
                <w:color w:val="000000"/>
              </w:rPr>
              <w:t>8</w:t>
            </w:r>
            <w:r>
              <w:rPr>
                <w:color w:val="000000"/>
              </w:rPr>
              <w:t> </w:t>
            </w:r>
            <w:r w:rsidRPr="00320E98">
              <w:rPr>
                <w:color w:val="000000"/>
              </w:rPr>
              <w:t>133</w:t>
            </w:r>
            <w:r>
              <w:rPr>
                <w:color w:val="000000"/>
              </w:rPr>
              <w:t xml:space="preserve"> </w:t>
            </w:r>
            <w:r w:rsidRPr="00320E98">
              <w:rPr>
                <w:color w:val="000000"/>
              </w:rPr>
              <w:t>004</w:t>
            </w:r>
          </w:p>
        </w:tc>
        <w:tc>
          <w:tcPr>
            <w:tcW w:w="1691" w:type="dxa"/>
            <w:shd w:val="clear" w:color="auto" w:fill="E2EFD9" w:themeFill="accent6" w:themeFillTint="33"/>
          </w:tcPr>
          <w:p w14:paraId="5B74C0EF" w14:textId="66C54CC0" w:rsidR="004C359A" w:rsidRPr="004C359A" w:rsidRDefault="004C359A" w:rsidP="004C359A">
            <w:pPr>
              <w:tabs>
                <w:tab w:val="left" w:pos="567"/>
              </w:tabs>
              <w:ind w:left="1134" w:hanging="1134"/>
              <w:jc w:val="center"/>
              <w:rPr>
                <w:color w:val="000000"/>
              </w:rPr>
            </w:pPr>
            <w:r w:rsidRPr="004C359A">
              <w:rPr>
                <w:color w:val="000000"/>
              </w:rPr>
              <w:t>-884</w:t>
            </w:r>
            <w:r>
              <w:rPr>
                <w:color w:val="000000"/>
              </w:rPr>
              <w:t xml:space="preserve"> </w:t>
            </w:r>
            <w:r w:rsidRPr="004C359A">
              <w:rPr>
                <w:color w:val="000000"/>
              </w:rPr>
              <w:t>655</w:t>
            </w:r>
          </w:p>
        </w:tc>
        <w:tc>
          <w:tcPr>
            <w:tcW w:w="1689" w:type="dxa"/>
            <w:shd w:val="clear" w:color="auto" w:fill="E2EFD9" w:themeFill="accent6" w:themeFillTint="33"/>
          </w:tcPr>
          <w:p w14:paraId="57A058F5" w14:textId="183DEB93" w:rsidR="004C359A" w:rsidRPr="004C359A" w:rsidRDefault="004C359A" w:rsidP="004C359A">
            <w:pPr>
              <w:tabs>
                <w:tab w:val="left" w:pos="567"/>
              </w:tabs>
              <w:ind w:left="1134" w:hanging="1134"/>
              <w:jc w:val="center"/>
              <w:rPr>
                <w:color w:val="000000"/>
              </w:rPr>
            </w:pPr>
            <w:r w:rsidRPr="004C359A">
              <w:rPr>
                <w:color w:val="000000"/>
              </w:rPr>
              <w:t>-745</w:t>
            </w:r>
            <w:r>
              <w:rPr>
                <w:color w:val="000000"/>
              </w:rPr>
              <w:t xml:space="preserve"> </w:t>
            </w:r>
            <w:r w:rsidRPr="004C359A">
              <w:rPr>
                <w:color w:val="000000"/>
              </w:rPr>
              <w:t>383</w:t>
            </w:r>
          </w:p>
        </w:tc>
      </w:tr>
      <w:tr w:rsidR="004C359A" w:rsidRPr="00A4780E" w14:paraId="660C4B6D" w14:textId="4C55A99A" w:rsidTr="00EE1389">
        <w:trPr>
          <w:jc w:val="center"/>
        </w:trPr>
        <w:tc>
          <w:tcPr>
            <w:tcW w:w="816" w:type="dxa"/>
            <w:shd w:val="clear" w:color="auto" w:fill="E2EFD9" w:themeFill="accent6" w:themeFillTint="33"/>
          </w:tcPr>
          <w:p w14:paraId="06C9C37A" w14:textId="4EFDE8FD" w:rsidR="004C359A" w:rsidRDefault="004C359A" w:rsidP="004C359A">
            <w:pPr>
              <w:jc w:val="center"/>
              <w:rPr>
                <w:b/>
                <w:bCs/>
                <w:color w:val="000000" w:themeColor="text1"/>
                <w:lang w:val="en-US"/>
              </w:rPr>
            </w:pPr>
            <w:r>
              <w:rPr>
                <w:b/>
                <w:bCs/>
                <w:color w:val="000000" w:themeColor="text1"/>
                <w:lang w:val="en-US"/>
              </w:rPr>
              <w:t>2030</w:t>
            </w:r>
          </w:p>
        </w:tc>
        <w:tc>
          <w:tcPr>
            <w:tcW w:w="1531" w:type="dxa"/>
            <w:shd w:val="clear" w:color="auto" w:fill="E2EFD9" w:themeFill="accent6" w:themeFillTint="33"/>
          </w:tcPr>
          <w:p w14:paraId="055CD965" w14:textId="75AD0D81" w:rsidR="004C359A" w:rsidRPr="002B1C6D" w:rsidRDefault="004C359A" w:rsidP="004C359A">
            <w:pPr>
              <w:tabs>
                <w:tab w:val="left" w:pos="567"/>
              </w:tabs>
              <w:ind w:left="1134" w:hanging="1134"/>
              <w:jc w:val="center"/>
              <w:rPr>
                <w:color w:val="000000"/>
              </w:rPr>
            </w:pPr>
            <w:r w:rsidRPr="002B1C6D">
              <w:rPr>
                <w:rFonts w:eastAsia="Calibri"/>
              </w:rPr>
              <w:t>7 136 180</w:t>
            </w:r>
          </w:p>
        </w:tc>
        <w:tc>
          <w:tcPr>
            <w:tcW w:w="1361" w:type="dxa"/>
            <w:shd w:val="clear" w:color="auto" w:fill="E2EFD9" w:themeFill="accent6" w:themeFillTint="33"/>
          </w:tcPr>
          <w:p w14:paraId="560CA266" w14:textId="2D52015B" w:rsidR="004C359A" w:rsidRPr="00320E98" w:rsidRDefault="004C359A" w:rsidP="004C359A">
            <w:pPr>
              <w:tabs>
                <w:tab w:val="left" w:pos="567"/>
              </w:tabs>
              <w:ind w:left="1134" w:hanging="1134"/>
              <w:jc w:val="center"/>
              <w:rPr>
                <w:color w:val="000000"/>
              </w:rPr>
            </w:pPr>
            <w:r w:rsidRPr="00320E98">
              <w:rPr>
                <w:color w:val="000000"/>
              </w:rPr>
              <w:t>8</w:t>
            </w:r>
            <w:r>
              <w:rPr>
                <w:color w:val="000000"/>
              </w:rPr>
              <w:t> </w:t>
            </w:r>
            <w:r w:rsidRPr="00320E98">
              <w:rPr>
                <w:color w:val="000000"/>
              </w:rPr>
              <w:t>031</w:t>
            </w:r>
            <w:r>
              <w:rPr>
                <w:color w:val="000000"/>
              </w:rPr>
              <w:t xml:space="preserve"> </w:t>
            </w:r>
            <w:r w:rsidRPr="00320E98">
              <w:rPr>
                <w:color w:val="000000"/>
              </w:rPr>
              <w:t>913</w:t>
            </w:r>
          </w:p>
        </w:tc>
        <w:tc>
          <w:tcPr>
            <w:tcW w:w="1361" w:type="dxa"/>
            <w:shd w:val="clear" w:color="auto" w:fill="E2EFD9" w:themeFill="accent6" w:themeFillTint="33"/>
          </w:tcPr>
          <w:p w14:paraId="2FA9A868" w14:textId="1B832DC5" w:rsidR="004C359A" w:rsidRPr="00320E98" w:rsidRDefault="004C359A" w:rsidP="004C359A">
            <w:pPr>
              <w:tabs>
                <w:tab w:val="left" w:pos="567"/>
              </w:tabs>
              <w:ind w:left="1134" w:hanging="1134"/>
              <w:jc w:val="center"/>
              <w:rPr>
                <w:color w:val="000000"/>
              </w:rPr>
            </w:pPr>
            <w:r w:rsidRPr="00320E98">
              <w:rPr>
                <w:color w:val="000000"/>
              </w:rPr>
              <w:t>7</w:t>
            </w:r>
            <w:r>
              <w:rPr>
                <w:color w:val="000000"/>
              </w:rPr>
              <w:t> </w:t>
            </w:r>
            <w:r w:rsidRPr="00320E98">
              <w:rPr>
                <w:color w:val="000000"/>
              </w:rPr>
              <w:t>878</w:t>
            </w:r>
            <w:r>
              <w:rPr>
                <w:color w:val="000000"/>
              </w:rPr>
              <w:t xml:space="preserve"> </w:t>
            </w:r>
            <w:r w:rsidRPr="00320E98">
              <w:rPr>
                <w:color w:val="000000"/>
              </w:rPr>
              <w:t>487</w:t>
            </w:r>
          </w:p>
        </w:tc>
        <w:tc>
          <w:tcPr>
            <w:tcW w:w="1691" w:type="dxa"/>
            <w:shd w:val="clear" w:color="auto" w:fill="E2EFD9" w:themeFill="accent6" w:themeFillTint="33"/>
          </w:tcPr>
          <w:p w14:paraId="3DBF116D" w14:textId="3A1E3F69" w:rsidR="004C359A" w:rsidRPr="004C359A" w:rsidRDefault="004C359A" w:rsidP="004C359A">
            <w:pPr>
              <w:tabs>
                <w:tab w:val="left" w:pos="567"/>
              </w:tabs>
              <w:ind w:left="1134" w:hanging="1134"/>
              <w:jc w:val="center"/>
              <w:rPr>
                <w:color w:val="000000"/>
              </w:rPr>
            </w:pPr>
            <w:r w:rsidRPr="004C359A">
              <w:rPr>
                <w:color w:val="000000"/>
              </w:rPr>
              <w:t>-895</w:t>
            </w:r>
            <w:r>
              <w:rPr>
                <w:color w:val="000000"/>
              </w:rPr>
              <w:t xml:space="preserve"> </w:t>
            </w:r>
            <w:r w:rsidRPr="004C359A">
              <w:rPr>
                <w:color w:val="000000"/>
              </w:rPr>
              <w:t>733</w:t>
            </w:r>
          </w:p>
        </w:tc>
        <w:tc>
          <w:tcPr>
            <w:tcW w:w="1689" w:type="dxa"/>
            <w:shd w:val="clear" w:color="auto" w:fill="E2EFD9" w:themeFill="accent6" w:themeFillTint="33"/>
          </w:tcPr>
          <w:p w14:paraId="0D585D5A" w14:textId="1A832006" w:rsidR="004C359A" w:rsidRPr="004C359A" w:rsidRDefault="004C359A" w:rsidP="004C359A">
            <w:pPr>
              <w:tabs>
                <w:tab w:val="left" w:pos="567"/>
              </w:tabs>
              <w:ind w:left="1134" w:hanging="1134"/>
              <w:jc w:val="center"/>
              <w:rPr>
                <w:color w:val="000000"/>
              </w:rPr>
            </w:pPr>
            <w:r w:rsidRPr="004C359A">
              <w:rPr>
                <w:color w:val="000000"/>
              </w:rPr>
              <w:t>-742</w:t>
            </w:r>
            <w:r>
              <w:rPr>
                <w:color w:val="000000"/>
              </w:rPr>
              <w:t xml:space="preserve"> </w:t>
            </w:r>
            <w:r w:rsidRPr="004C359A">
              <w:rPr>
                <w:color w:val="000000"/>
              </w:rPr>
              <w:t>307</w:t>
            </w:r>
          </w:p>
        </w:tc>
      </w:tr>
      <w:tr w:rsidR="00A428D8" w:rsidRPr="00A4780E" w14:paraId="515E4282" w14:textId="12470E1E" w:rsidTr="00BE3E7B">
        <w:trPr>
          <w:trHeight w:val="50"/>
          <w:jc w:val="center"/>
        </w:trPr>
        <w:tc>
          <w:tcPr>
            <w:tcW w:w="816" w:type="dxa"/>
            <w:shd w:val="clear" w:color="auto" w:fill="FBE4D5" w:themeFill="accent2" w:themeFillTint="33"/>
          </w:tcPr>
          <w:p w14:paraId="6A215044" w14:textId="77777777" w:rsidR="00A428D8" w:rsidRPr="00A4780E" w:rsidRDefault="00A428D8" w:rsidP="00A428D8">
            <w:pPr>
              <w:jc w:val="center"/>
              <w:rPr>
                <w:b/>
                <w:bCs/>
                <w:color w:val="000000" w:themeColor="text1"/>
                <w:lang w:val="en-US"/>
              </w:rPr>
            </w:pPr>
            <w:r w:rsidRPr="00A4780E">
              <w:rPr>
                <w:b/>
                <w:bCs/>
                <w:i/>
                <w:iCs/>
                <w:color w:val="000000"/>
              </w:rPr>
              <w:t>Kopā:</w:t>
            </w:r>
          </w:p>
        </w:tc>
        <w:tc>
          <w:tcPr>
            <w:tcW w:w="1531" w:type="dxa"/>
            <w:shd w:val="clear" w:color="auto" w:fill="FBE4D5" w:themeFill="accent2" w:themeFillTint="33"/>
          </w:tcPr>
          <w:p w14:paraId="1B11300D" w14:textId="7BE0C9D8" w:rsidR="00A428D8" w:rsidRPr="00A428D8" w:rsidRDefault="00A428D8" w:rsidP="00A428D8">
            <w:pPr>
              <w:jc w:val="center"/>
              <w:rPr>
                <w:b/>
                <w:bCs/>
                <w:color w:val="000000" w:themeColor="text1"/>
                <w:lang w:val="en-US"/>
              </w:rPr>
            </w:pPr>
            <w:r w:rsidRPr="00A428D8">
              <w:rPr>
                <w:b/>
                <w:bCs/>
                <w:color w:val="000000"/>
              </w:rPr>
              <w:t>82</w:t>
            </w:r>
            <w:r>
              <w:rPr>
                <w:b/>
                <w:bCs/>
                <w:color w:val="000000"/>
              </w:rPr>
              <w:t> </w:t>
            </w:r>
            <w:r w:rsidRPr="00A428D8">
              <w:rPr>
                <w:b/>
                <w:bCs/>
                <w:color w:val="000000"/>
              </w:rPr>
              <w:t>975</w:t>
            </w:r>
            <w:r>
              <w:rPr>
                <w:b/>
                <w:bCs/>
                <w:color w:val="000000"/>
              </w:rPr>
              <w:t xml:space="preserve"> </w:t>
            </w:r>
            <w:r w:rsidRPr="00A428D8">
              <w:rPr>
                <w:b/>
                <w:bCs/>
                <w:color w:val="000000"/>
              </w:rPr>
              <w:t>158</w:t>
            </w:r>
          </w:p>
        </w:tc>
        <w:tc>
          <w:tcPr>
            <w:tcW w:w="1361" w:type="dxa"/>
            <w:shd w:val="clear" w:color="auto" w:fill="FBE4D5" w:themeFill="accent2" w:themeFillTint="33"/>
          </w:tcPr>
          <w:p w14:paraId="7D6D130C" w14:textId="74681BF7" w:rsidR="00A428D8" w:rsidRPr="00A428D8" w:rsidRDefault="00A428D8" w:rsidP="00A428D8">
            <w:pPr>
              <w:jc w:val="center"/>
              <w:rPr>
                <w:b/>
                <w:bCs/>
                <w:color w:val="000000" w:themeColor="text1"/>
                <w:lang w:val="en-US"/>
              </w:rPr>
            </w:pPr>
            <w:r w:rsidRPr="00A428D8">
              <w:rPr>
                <w:b/>
                <w:bCs/>
                <w:color w:val="000000"/>
              </w:rPr>
              <w:t>84</w:t>
            </w:r>
            <w:r>
              <w:rPr>
                <w:b/>
                <w:bCs/>
                <w:color w:val="000000"/>
              </w:rPr>
              <w:t> </w:t>
            </w:r>
            <w:r w:rsidRPr="00A428D8">
              <w:rPr>
                <w:b/>
                <w:bCs/>
                <w:color w:val="000000"/>
              </w:rPr>
              <w:t>508</w:t>
            </w:r>
            <w:r>
              <w:rPr>
                <w:b/>
                <w:bCs/>
                <w:color w:val="000000"/>
              </w:rPr>
              <w:t xml:space="preserve"> </w:t>
            </w:r>
            <w:r w:rsidRPr="00A428D8">
              <w:rPr>
                <w:b/>
                <w:bCs/>
                <w:color w:val="000000"/>
              </w:rPr>
              <w:t>491</w:t>
            </w:r>
          </w:p>
        </w:tc>
        <w:tc>
          <w:tcPr>
            <w:tcW w:w="1361" w:type="dxa"/>
            <w:shd w:val="clear" w:color="auto" w:fill="FBE4D5" w:themeFill="accent2" w:themeFillTint="33"/>
          </w:tcPr>
          <w:p w14:paraId="082AD6B0" w14:textId="2FE1ED90" w:rsidR="00A428D8" w:rsidRPr="00A428D8" w:rsidRDefault="00A428D8" w:rsidP="00A428D8">
            <w:pPr>
              <w:jc w:val="center"/>
              <w:rPr>
                <w:b/>
                <w:bCs/>
                <w:color w:val="000000" w:themeColor="text1"/>
                <w:lang w:val="en-US"/>
              </w:rPr>
            </w:pPr>
            <w:r w:rsidRPr="00A428D8">
              <w:rPr>
                <w:b/>
                <w:bCs/>
                <w:color w:val="000000"/>
              </w:rPr>
              <w:t>83</w:t>
            </w:r>
            <w:r>
              <w:rPr>
                <w:b/>
                <w:bCs/>
                <w:color w:val="000000"/>
              </w:rPr>
              <w:t> </w:t>
            </w:r>
            <w:r w:rsidRPr="00A428D8">
              <w:rPr>
                <w:b/>
                <w:bCs/>
                <w:color w:val="000000"/>
              </w:rPr>
              <w:t>647</w:t>
            </w:r>
            <w:r>
              <w:rPr>
                <w:b/>
                <w:bCs/>
                <w:color w:val="000000"/>
              </w:rPr>
              <w:t xml:space="preserve"> </w:t>
            </w:r>
            <w:r w:rsidRPr="00A428D8">
              <w:rPr>
                <w:b/>
                <w:bCs/>
                <w:color w:val="000000"/>
              </w:rPr>
              <w:t>041</w:t>
            </w:r>
          </w:p>
        </w:tc>
        <w:tc>
          <w:tcPr>
            <w:tcW w:w="1691" w:type="dxa"/>
            <w:shd w:val="clear" w:color="auto" w:fill="FBE4D5" w:themeFill="accent2" w:themeFillTint="33"/>
          </w:tcPr>
          <w:p w14:paraId="5C80B9A1" w14:textId="45F7C65F" w:rsidR="00A428D8" w:rsidRPr="00A428D8" w:rsidRDefault="00A428D8" w:rsidP="00A428D8">
            <w:pPr>
              <w:jc w:val="center"/>
              <w:rPr>
                <w:b/>
                <w:bCs/>
                <w:color w:val="000000" w:themeColor="text1"/>
                <w:lang w:val="en-US"/>
              </w:rPr>
            </w:pPr>
            <w:r w:rsidRPr="00A428D8">
              <w:rPr>
                <w:b/>
                <w:bCs/>
                <w:color w:val="000000"/>
              </w:rPr>
              <w:t>-1</w:t>
            </w:r>
            <w:r>
              <w:rPr>
                <w:b/>
                <w:bCs/>
                <w:color w:val="000000"/>
              </w:rPr>
              <w:t xml:space="preserve"> </w:t>
            </w:r>
            <w:r w:rsidRPr="00A428D8">
              <w:rPr>
                <w:b/>
                <w:bCs/>
                <w:color w:val="000000"/>
              </w:rPr>
              <w:t>533</w:t>
            </w:r>
            <w:r>
              <w:rPr>
                <w:b/>
                <w:bCs/>
                <w:color w:val="000000"/>
              </w:rPr>
              <w:t xml:space="preserve"> </w:t>
            </w:r>
            <w:r w:rsidRPr="00A428D8">
              <w:rPr>
                <w:b/>
                <w:bCs/>
                <w:color w:val="000000"/>
              </w:rPr>
              <w:t>333</w:t>
            </w:r>
          </w:p>
        </w:tc>
        <w:tc>
          <w:tcPr>
            <w:tcW w:w="1689" w:type="dxa"/>
            <w:shd w:val="clear" w:color="auto" w:fill="FBE4D5" w:themeFill="accent2" w:themeFillTint="33"/>
          </w:tcPr>
          <w:p w14:paraId="4AF562E6" w14:textId="4D82095F" w:rsidR="00A428D8" w:rsidRPr="00A428D8" w:rsidRDefault="00A428D8" w:rsidP="00A428D8">
            <w:pPr>
              <w:jc w:val="center"/>
              <w:rPr>
                <w:b/>
                <w:bCs/>
                <w:color w:val="000000" w:themeColor="text1"/>
                <w:lang w:val="en-US"/>
              </w:rPr>
            </w:pPr>
            <w:r w:rsidRPr="00A428D8">
              <w:rPr>
                <w:b/>
                <w:bCs/>
                <w:color w:val="000000"/>
              </w:rPr>
              <w:t>-671</w:t>
            </w:r>
            <w:r>
              <w:rPr>
                <w:b/>
                <w:bCs/>
                <w:color w:val="000000"/>
              </w:rPr>
              <w:t xml:space="preserve"> </w:t>
            </w:r>
            <w:r w:rsidRPr="00A428D8">
              <w:rPr>
                <w:b/>
                <w:bCs/>
                <w:color w:val="000000"/>
              </w:rPr>
              <w:t>883</w:t>
            </w:r>
          </w:p>
        </w:tc>
      </w:tr>
    </w:tbl>
    <w:p w14:paraId="089B1CBE" w14:textId="77777777" w:rsidR="00AD29D9" w:rsidRPr="00A4780E" w:rsidRDefault="00AD29D9" w:rsidP="00AD29D9">
      <w:pPr>
        <w:ind w:firstLine="720"/>
        <w:jc w:val="both"/>
        <w:rPr>
          <w:sz w:val="28"/>
          <w:szCs w:val="28"/>
          <w:lang w:val="pt-PT"/>
        </w:rPr>
      </w:pPr>
    </w:p>
    <w:p w14:paraId="41AA5DD2" w14:textId="770FE53F" w:rsidR="00AD29D9" w:rsidRPr="008328D5" w:rsidRDefault="00AD29D9" w:rsidP="00FB6884">
      <w:pPr>
        <w:spacing w:after="120"/>
        <w:jc w:val="center"/>
        <w:rPr>
          <w:b/>
          <w:sz w:val="28"/>
          <w:szCs w:val="28"/>
        </w:rPr>
      </w:pPr>
      <w:r w:rsidRPr="008328D5">
        <w:rPr>
          <w:b/>
          <w:sz w:val="28"/>
          <w:szCs w:val="28"/>
        </w:rPr>
        <w:t>1.2. SEG emisiju samazināšanas mērķu izpildei pieejamais vienību skaits</w:t>
      </w:r>
    </w:p>
    <w:p w14:paraId="57CD5430" w14:textId="6B9E7070" w:rsidR="00543039" w:rsidRPr="00543039" w:rsidRDefault="00543039" w:rsidP="00543039">
      <w:pPr>
        <w:spacing w:after="120"/>
        <w:jc w:val="both"/>
        <w:rPr>
          <w:b/>
          <w:sz w:val="28"/>
          <w:szCs w:val="28"/>
        </w:rPr>
      </w:pPr>
      <w:r w:rsidRPr="00543039">
        <w:rPr>
          <w:b/>
          <w:sz w:val="28"/>
          <w:szCs w:val="28"/>
        </w:rPr>
        <w:t>1.2.1.</w:t>
      </w:r>
      <w:r w:rsidR="008C0213">
        <w:rPr>
          <w:b/>
          <w:sz w:val="28"/>
          <w:szCs w:val="28"/>
        </w:rPr>
        <w:t> </w:t>
      </w:r>
      <w:r w:rsidRPr="00543039">
        <w:rPr>
          <w:b/>
          <w:sz w:val="28"/>
          <w:szCs w:val="28"/>
        </w:rPr>
        <w:t>Kioto vienības</w:t>
      </w:r>
    </w:p>
    <w:p w14:paraId="7BA9EF92" w14:textId="39B0768E" w:rsidR="005067B7" w:rsidRDefault="002C6429" w:rsidP="005067B7">
      <w:pPr>
        <w:ind w:firstLine="567"/>
        <w:jc w:val="both"/>
        <w:rPr>
          <w:sz w:val="28"/>
          <w:szCs w:val="28"/>
        </w:rPr>
      </w:pPr>
      <w:r>
        <w:rPr>
          <w:bCs/>
          <w:sz w:val="28"/>
          <w:szCs w:val="28"/>
        </w:rPr>
        <w:t>Atbilstoši</w:t>
      </w:r>
      <w:r w:rsidR="007A5D5A" w:rsidRPr="008328D5">
        <w:rPr>
          <w:bCs/>
          <w:sz w:val="28"/>
          <w:szCs w:val="28"/>
        </w:rPr>
        <w:t xml:space="preserve"> likuma </w:t>
      </w:r>
      <w:r w:rsidR="008328D5" w:rsidRPr="008328D5">
        <w:rPr>
          <w:bCs/>
          <w:sz w:val="28"/>
          <w:szCs w:val="28"/>
        </w:rPr>
        <w:t>“</w:t>
      </w:r>
      <w:r w:rsidR="007A5D5A" w:rsidRPr="008328D5">
        <w:rPr>
          <w:bCs/>
          <w:sz w:val="28"/>
          <w:szCs w:val="28"/>
        </w:rPr>
        <w:t>Par piesārņojumu” 54.</w:t>
      </w:r>
      <w:r w:rsidR="00591DA6" w:rsidRPr="008328D5">
        <w:rPr>
          <w:bCs/>
          <w:sz w:val="28"/>
          <w:szCs w:val="28"/>
        </w:rPr>
        <w:t> </w:t>
      </w:r>
      <w:r w:rsidR="007A5D5A" w:rsidRPr="008328D5">
        <w:rPr>
          <w:bCs/>
          <w:sz w:val="28"/>
          <w:szCs w:val="28"/>
        </w:rPr>
        <w:t xml:space="preserve">panta </w:t>
      </w:r>
      <w:r w:rsidR="00E8002F">
        <w:rPr>
          <w:bCs/>
          <w:sz w:val="28"/>
          <w:szCs w:val="28"/>
        </w:rPr>
        <w:t>otrajai daļai</w:t>
      </w:r>
      <w:r w:rsidR="007A5D5A" w:rsidRPr="008328D5">
        <w:rPr>
          <w:bCs/>
          <w:sz w:val="28"/>
          <w:szCs w:val="28"/>
        </w:rPr>
        <w:t xml:space="preserve"> SEG emisiju samazināšanas saistību izpildei var izmantot Latvijai piešķirtās GES vienības un </w:t>
      </w:r>
      <w:r w:rsidR="007A5D5A" w:rsidRPr="008328D5">
        <w:rPr>
          <w:bCs/>
          <w:sz w:val="28"/>
          <w:szCs w:val="28"/>
        </w:rPr>
        <w:lastRenderedPageBreak/>
        <w:t>Kioto vienības</w:t>
      </w:r>
      <w:r w:rsidR="008C0213">
        <w:rPr>
          <w:bCs/>
          <w:sz w:val="28"/>
          <w:szCs w:val="28"/>
        </w:rPr>
        <w:t>. T</w:t>
      </w:r>
      <w:r>
        <w:rPr>
          <w:bCs/>
          <w:sz w:val="28"/>
          <w:szCs w:val="28"/>
        </w:rPr>
        <w:t>omēr</w:t>
      </w:r>
      <w:r w:rsidR="004B6EAC">
        <w:rPr>
          <w:bCs/>
          <w:sz w:val="28"/>
          <w:szCs w:val="28"/>
        </w:rPr>
        <w:t>,</w:t>
      </w:r>
      <w:r>
        <w:rPr>
          <w:bCs/>
          <w:sz w:val="28"/>
          <w:szCs w:val="28"/>
        </w:rPr>
        <w:t xml:space="preserve"> </w:t>
      </w:r>
      <w:r w:rsidRPr="002C6429">
        <w:rPr>
          <w:sz w:val="28"/>
          <w:szCs w:val="28"/>
          <w:lang w:val="pt-PT"/>
        </w:rPr>
        <w:t>saskaņā ar 2014.</w:t>
      </w:r>
      <w:r w:rsidR="008C0213">
        <w:rPr>
          <w:sz w:val="28"/>
          <w:szCs w:val="28"/>
          <w:lang w:val="pt-PT"/>
        </w:rPr>
        <w:t> </w:t>
      </w:r>
      <w:r w:rsidRPr="002C6429">
        <w:rPr>
          <w:sz w:val="28"/>
          <w:szCs w:val="28"/>
          <w:lang w:val="pt-PT"/>
        </w:rPr>
        <w:t>gada 20.</w:t>
      </w:r>
      <w:r w:rsidR="008C0213">
        <w:rPr>
          <w:sz w:val="28"/>
          <w:szCs w:val="28"/>
          <w:lang w:val="pt-PT"/>
        </w:rPr>
        <w:t> </w:t>
      </w:r>
      <w:r w:rsidRPr="002C6429">
        <w:rPr>
          <w:sz w:val="28"/>
          <w:szCs w:val="28"/>
          <w:lang w:val="pt-PT"/>
        </w:rPr>
        <w:t>maija Ministru kabineta noteikumu Nr.</w:t>
      </w:r>
      <w:r w:rsidR="008C0213">
        <w:rPr>
          <w:sz w:val="28"/>
          <w:szCs w:val="28"/>
          <w:lang w:val="pt-PT"/>
        </w:rPr>
        <w:t> </w:t>
      </w:r>
      <w:r w:rsidRPr="002C6429">
        <w:rPr>
          <w:sz w:val="28"/>
          <w:szCs w:val="28"/>
          <w:lang w:val="pt-PT"/>
        </w:rPr>
        <w:t>250 “Noteikumi par darbībām emisijas reģistrā” 73</w:t>
      </w:r>
      <w:r w:rsidR="004B6EAC">
        <w:rPr>
          <w:sz w:val="28"/>
          <w:szCs w:val="28"/>
          <w:lang w:val="pt-PT"/>
        </w:rPr>
        <w:t>.</w:t>
      </w:r>
      <w:r w:rsidRPr="00C27F75">
        <w:rPr>
          <w:sz w:val="28"/>
          <w:szCs w:val="28"/>
          <w:vertAlign w:val="superscript"/>
          <w:lang w:val="pt-PT"/>
        </w:rPr>
        <w:t>4</w:t>
      </w:r>
      <w:r w:rsidR="008C0213">
        <w:rPr>
          <w:sz w:val="28"/>
          <w:szCs w:val="28"/>
          <w:lang w:val="pt-PT"/>
        </w:rPr>
        <w:t> </w:t>
      </w:r>
      <w:r w:rsidRPr="002C6429">
        <w:rPr>
          <w:sz w:val="28"/>
          <w:szCs w:val="28"/>
          <w:lang w:val="pt-PT"/>
        </w:rPr>
        <w:t xml:space="preserve">punktu Latvijas īpašumā un rīcībā esošās </w:t>
      </w:r>
      <w:r w:rsidR="005F2E21">
        <w:rPr>
          <w:sz w:val="28"/>
          <w:szCs w:val="28"/>
          <w:lang w:val="pt-PT"/>
        </w:rPr>
        <w:t>noteiktā daudzuma vienības (</w:t>
      </w:r>
      <w:r w:rsidR="00E22111">
        <w:rPr>
          <w:sz w:val="28"/>
          <w:szCs w:val="28"/>
          <w:lang w:val="pt-PT"/>
        </w:rPr>
        <w:t>Kioto vienības)</w:t>
      </w:r>
      <w:r w:rsidRPr="002C6429">
        <w:rPr>
          <w:sz w:val="28"/>
          <w:szCs w:val="28"/>
          <w:lang w:val="pt-PT"/>
        </w:rPr>
        <w:t xml:space="preserve"> nav izmantojamas GES mērķu izpildei</w:t>
      </w:r>
      <w:r w:rsidR="00C27F75">
        <w:rPr>
          <w:sz w:val="28"/>
          <w:szCs w:val="28"/>
          <w:lang w:val="pt-PT"/>
        </w:rPr>
        <w:t xml:space="preserve">. Papildus jānorāda, ka Kioto vienības </w:t>
      </w:r>
      <w:r w:rsidR="0086255B">
        <w:rPr>
          <w:sz w:val="28"/>
          <w:szCs w:val="28"/>
          <w:lang w:val="pt-PT"/>
        </w:rPr>
        <w:t xml:space="preserve">bija izmantojamas </w:t>
      </w:r>
      <w:r w:rsidR="00A65B84" w:rsidRPr="00A65B84">
        <w:rPr>
          <w:sz w:val="28"/>
          <w:szCs w:val="28"/>
          <w:lang w:val="pt-PT"/>
        </w:rPr>
        <w:t>Kioto protokola otr</w:t>
      </w:r>
      <w:r w:rsidR="0058096E">
        <w:rPr>
          <w:sz w:val="28"/>
          <w:szCs w:val="28"/>
          <w:lang w:val="pt-PT"/>
        </w:rPr>
        <w:t xml:space="preserve">ajā saistību periodā </w:t>
      </w:r>
      <w:r w:rsidR="00497854">
        <w:rPr>
          <w:sz w:val="28"/>
          <w:szCs w:val="28"/>
          <w:lang w:val="pt-PT"/>
        </w:rPr>
        <w:t>(no 2013. līdz 2020.</w:t>
      </w:r>
      <w:r w:rsidR="008C0213">
        <w:rPr>
          <w:sz w:val="28"/>
          <w:szCs w:val="28"/>
          <w:lang w:val="pt-PT"/>
        </w:rPr>
        <w:t> </w:t>
      </w:r>
      <w:r w:rsidR="00497854">
        <w:rPr>
          <w:sz w:val="28"/>
          <w:szCs w:val="28"/>
          <w:lang w:val="pt-PT"/>
        </w:rPr>
        <w:t>gadam) noteikto mērķu izpildei</w:t>
      </w:r>
      <w:r w:rsidR="004367AC">
        <w:rPr>
          <w:sz w:val="28"/>
          <w:szCs w:val="28"/>
          <w:lang w:val="pt-PT"/>
        </w:rPr>
        <w:t xml:space="preserve">, savukārt Regula 2018/842 </w:t>
      </w:r>
      <w:r w:rsidR="009E6E5E">
        <w:rPr>
          <w:sz w:val="28"/>
          <w:szCs w:val="28"/>
          <w:lang w:val="pt-PT"/>
        </w:rPr>
        <w:t>nosaka</w:t>
      </w:r>
      <w:r w:rsidR="000F13A9">
        <w:rPr>
          <w:sz w:val="28"/>
          <w:szCs w:val="28"/>
          <w:lang w:val="pt-PT"/>
        </w:rPr>
        <w:t xml:space="preserve"> </w:t>
      </w:r>
      <w:r w:rsidR="000F13A9" w:rsidRPr="00D64CDC">
        <w:rPr>
          <w:sz w:val="28"/>
          <w:szCs w:val="28"/>
        </w:rPr>
        <w:t>SEG emisiju samazināšanas</w:t>
      </w:r>
      <w:r w:rsidR="009E6E5E">
        <w:rPr>
          <w:sz w:val="28"/>
          <w:szCs w:val="28"/>
        </w:rPr>
        <w:t xml:space="preserve"> mērķus</w:t>
      </w:r>
      <w:r w:rsidR="000F13A9" w:rsidRPr="00D64CDC">
        <w:rPr>
          <w:sz w:val="28"/>
          <w:szCs w:val="28"/>
        </w:rPr>
        <w:t xml:space="preserve"> period</w:t>
      </w:r>
      <w:r w:rsidR="000F13A9">
        <w:rPr>
          <w:sz w:val="28"/>
          <w:szCs w:val="28"/>
        </w:rPr>
        <w:t>ā</w:t>
      </w:r>
      <w:r w:rsidR="000F13A9" w:rsidRPr="00D64CDC">
        <w:rPr>
          <w:sz w:val="28"/>
          <w:szCs w:val="28"/>
        </w:rPr>
        <w:t xml:space="preserve"> no 2021. gada līdz 2030.</w:t>
      </w:r>
      <w:r w:rsidR="008C0213">
        <w:rPr>
          <w:sz w:val="28"/>
          <w:szCs w:val="28"/>
        </w:rPr>
        <w:t> </w:t>
      </w:r>
      <w:r w:rsidR="000F13A9" w:rsidRPr="00D64CDC">
        <w:rPr>
          <w:sz w:val="28"/>
          <w:szCs w:val="28"/>
        </w:rPr>
        <w:t>gadam</w:t>
      </w:r>
      <w:r w:rsidR="00CE0332">
        <w:rPr>
          <w:sz w:val="28"/>
          <w:szCs w:val="28"/>
          <w:lang w:val="pt-PT"/>
        </w:rPr>
        <w:t>. Ņemot vērā Kioto protokola otrā saistību perioda noslēgumu, 2023.</w:t>
      </w:r>
      <w:r w:rsidR="008C0213">
        <w:rPr>
          <w:sz w:val="28"/>
          <w:szCs w:val="28"/>
          <w:lang w:val="pt-PT"/>
        </w:rPr>
        <w:t> </w:t>
      </w:r>
      <w:r w:rsidR="00A37B1F">
        <w:rPr>
          <w:sz w:val="28"/>
          <w:szCs w:val="28"/>
          <w:lang w:val="pt-PT"/>
        </w:rPr>
        <w:t>g</w:t>
      </w:r>
      <w:r w:rsidR="00CE0332">
        <w:rPr>
          <w:sz w:val="28"/>
          <w:szCs w:val="28"/>
          <w:lang w:val="pt-PT"/>
        </w:rPr>
        <w:t xml:space="preserve">adā </w:t>
      </w:r>
      <w:r w:rsidR="00A37B1F" w:rsidRPr="00A37B1F">
        <w:rPr>
          <w:sz w:val="28"/>
          <w:szCs w:val="28"/>
          <w:lang w:val="pt-PT"/>
        </w:rPr>
        <w:t xml:space="preserve">Kioto protokola vienību reģistrā </w:t>
      </w:r>
      <w:r w:rsidR="00A37B1F">
        <w:rPr>
          <w:sz w:val="28"/>
          <w:szCs w:val="28"/>
          <w:lang w:val="pt-PT"/>
        </w:rPr>
        <w:t>tika</w:t>
      </w:r>
      <w:r w:rsidR="00A37B1F" w:rsidRPr="00A37B1F">
        <w:rPr>
          <w:sz w:val="28"/>
          <w:szCs w:val="28"/>
          <w:lang w:val="pt-PT"/>
        </w:rPr>
        <w:t xml:space="preserve"> īstenot</w:t>
      </w:r>
      <w:r w:rsidR="00A37B1F">
        <w:rPr>
          <w:sz w:val="28"/>
          <w:szCs w:val="28"/>
          <w:lang w:val="pt-PT"/>
        </w:rPr>
        <w:t>s secīgu darbību kopums</w:t>
      </w:r>
      <w:r w:rsidR="00E92E2E">
        <w:rPr>
          <w:sz w:val="28"/>
          <w:szCs w:val="28"/>
          <w:lang w:val="pt-PT"/>
        </w:rPr>
        <w:t xml:space="preserve">, </w:t>
      </w:r>
      <w:r w:rsidR="00E92E2E">
        <w:rPr>
          <w:sz w:val="28"/>
          <w:szCs w:val="28"/>
        </w:rPr>
        <w:t>lai veiktu saistību izpildi Kioto protokola otrā saistību perioda mērķu izpildes nodrošināšanai starptautiskā mērogā</w:t>
      </w:r>
      <w:r w:rsidR="00E01364">
        <w:rPr>
          <w:sz w:val="28"/>
          <w:szCs w:val="28"/>
        </w:rPr>
        <w:t xml:space="preserve">. Detalizēts izklāsts sniegts </w:t>
      </w:r>
      <w:r w:rsidR="00E01364" w:rsidRPr="006516C8">
        <w:rPr>
          <w:sz w:val="28"/>
          <w:szCs w:val="28"/>
        </w:rPr>
        <w:t>202</w:t>
      </w:r>
      <w:r w:rsidR="00E01364">
        <w:rPr>
          <w:sz w:val="28"/>
          <w:szCs w:val="28"/>
        </w:rPr>
        <w:t>3</w:t>
      </w:r>
      <w:r w:rsidR="00E01364" w:rsidRPr="006516C8">
        <w:rPr>
          <w:sz w:val="28"/>
          <w:szCs w:val="28"/>
        </w:rPr>
        <w:t>. gada 1. </w:t>
      </w:r>
      <w:r w:rsidR="00E01364">
        <w:rPr>
          <w:sz w:val="28"/>
          <w:szCs w:val="28"/>
        </w:rPr>
        <w:t>jūnija</w:t>
      </w:r>
      <w:r w:rsidR="00E01364" w:rsidRPr="006516C8">
        <w:rPr>
          <w:sz w:val="28"/>
          <w:szCs w:val="28"/>
        </w:rPr>
        <w:t xml:space="preserve"> M</w:t>
      </w:r>
      <w:r w:rsidR="00E01364">
        <w:rPr>
          <w:sz w:val="28"/>
          <w:szCs w:val="28"/>
        </w:rPr>
        <w:t>inistru kabineta</w:t>
      </w:r>
      <w:r w:rsidR="00E01364" w:rsidRPr="006516C8">
        <w:rPr>
          <w:sz w:val="28"/>
          <w:szCs w:val="28"/>
        </w:rPr>
        <w:t xml:space="preserve"> sēdē (</w:t>
      </w:r>
      <w:proofErr w:type="spellStart"/>
      <w:r w:rsidR="00E01364" w:rsidRPr="006516C8">
        <w:rPr>
          <w:sz w:val="28"/>
          <w:szCs w:val="28"/>
        </w:rPr>
        <w:t>protokollēmums</w:t>
      </w:r>
      <w:proofErr w:type="spellEnd"/>
      <w:r w:rsidR="00E01364" w:rsidRPr="006516C8">
        <w:rPr>
          <w:sz w:val="28"/>
          <w:szCs w:val="28"/>
        </w:rPr>
        <w:t xml:space="preserve"> Nr. </w:t>
      </w:r>
      <w:r w:rsidR="00E01364">
        <w:rPr>
          <w:sz w:val="28"/>
          <w:szCs w:val="28"/>
        </w:rPr>
        <w:t>29</w:t>
      </w:r>
      <w:r w:rsidR="00E01364" w:rsidRPr="006516C8">
        <w:rPr>
          <w:sz w:val="28"/>
          <w:szCs w:val="28"/>
        </w:rPr>
        <w:t xml:space="preserve"> </w:t>
      </w:r>
      <w:r w:rsidR="00E01364">
        <w:rPr>
          <w:sz w:val="28"/>
          <w:szCs w:val="28"/>
        </w:rPr>
        <w:t>52.</w:t>
      </w:r>
      <w:r w:rsidR="00E01364" w:rsidRPr="006516C8">
        <w:rPr>
          <w:sz w:val="28"/>
          <w:szCs w:val="28"/>
        </w:rPr>
        <w:t>§) izskatīt</w:t>
      </w:r>
      <w:r w:rsidR="00E8002F">
        <w:rPr>
          <w:sz w:val="28"/>
          <w:szCs w:val="28"/>
        </w:rPr>
        <w:t>ajā</w:t>
      </w:r>
      <w:r w:rsidR="00E01364" w:rsidRPr="006516C8">
        <w:rPr>
          <w:sz w:val="28"/>
          <w:szCs w:val="28"/>
        </w:rPr>
        <w:t xml:space="preserve"> informatīva</w:t>
      </w:r>
      <w:r w:rsidR="00E8002F">
        <w:rPr>
          <w:sz w:val="28"/>
          <w:szCs w:val="28"/>
        </w:rPr>
        <w:t>jā</w:t>
      </w:r>
      <w:r w:rsidR="00E01364" w:rsidRPr="006516C8">
        <w:rPr>
          <w:sz w:val="28"/>
          <w:szCs w:val="28"/>
        </w:rPr>
        <w:t xml:space="preserve"> ziņojum</w:t>
      </w:r>
      <w:r w:rsidR="00E8002F">
        <w:rPr>
          <w:sz w:val="28"/>
          <w:szCs w:val="28"/>
        </w:rPr>
        <w:t>ā</w:t>
      </w:r>
      <w:r w:rsidR="00E01364" w:rsidRPr="006516C8">
        <w:rPr>
          <w:sz w:val="28"/>
          <w:szCs w:val="28"/>
        </w:rPr>
        <w:t xml:space="preserve"> “</w:t>
      </w:r>
      <w:r w:rsidR="00E01364" w:rsidRPr="00AF19F6">
        <w:rPr>
          <w:sz w:val="28"/>
          <w:szCs w:val="28"/>
        </w:rPr>
        <w:t>Par rīcību ar Kioto protokola otrā perioda (2013.– 2020.</w:t>
      </w:r>
      <w:r w:rsidR="008C0213">
        <w:rPr>
          <w:sz w:val="28"/>
          <w:szCs w:val="28"/>
        </w:rPr>
        <w:t> </w:t>
      </w:r>
      <w:r w:rsidR="00E01364" w:rsidRPr="00AF19F6">
        <w:rPr>
          <w:sz w:val="28"/>
          <w:szCs w:val="28"/>
        </w:rPr>
        <w:t>gads) Kioto vienībām</w:t>
      </w:r>
      <w:r w:rsidR="00E01364" w:rsidRPr="006516C8">
        <w:rPr>
          <w:sz w:val="28"/>
          <w:szCs w:val="28"/>
        </w:rPr>
        <w:t>” (</w:t>
      </w:r>
      <w:r w:rsidR="00E01364" w:rsidRPr="00D571B7">
        <w:rPr>
          <w:sz w:val="28"/>
          <w:szCs w:val="28"/>
        </w:rPr>
        <w:t>23-TA-1171</w:t>
      </w:r>
      <w:r w:rsidR="00E01364">
        <w:rPr>
          <w:sz w:val="28"/>
          <w:szCs w:val="28"/>
        </w:rPr>
        <w:t>).</w:t>
      </w:r>
      <w:r w:rsidR="00E8002F">
        <w:rPr>
          <w:sz w:val="28"/>
          <w:szCs w:val="28"/>
        </w:rPr>
        <w:t xml:space="preserve"> </w:t>
      </w:r>
      <w:r w:rsidR="00854D7B">
        <w:rPr>
          <w:sz w:val="28"/>
          <w:szCs w:val="28"/>
        </w:rPr>
        <w:t>Ņemot vērā iepriekš minēto, Kioto vienības Regulas 2018/842 noteikto mērķu izpildei nav pieejamas</w:t>
      </w:r>
      <w:r w:rsidR="0003280B">
        <w:rPr>
          <w:sz w:val="28"/>
          <w:szCs w:val="28"/>
        </w:rPr>
        <w:t>.</w:t>
      </w:r>
    </w:p>
    <w:p w14:paraId="3A823B2B" w14:textId="77777777" w:rsidR="00543039" w:rsidRPr="00543039" w:rsidRDefault="00543039" w:rsidP="005067B7">
      <w:pPr>
        <w:ind w:firstLine="567"/>
        <w:jc w:val="both"/>
        <w:rPr>
          <w:b/>
          <w:bCs/>
          <w:sz w:val="28"/>
          <w:szCs w:val="28"/>
        </w:rPr>
      </w:pPr>
    </w:p>
    <w:p w14:paraId="65B97913" w14:textId="3BFE0673" w:rsidR="00543039" w:rsidRPr="00543039" w:rsidRDefault="00543039" w:rsidP="00543039">
      <w:pPr>
        <w:pStyle w:val="ListParagraph"/>
        <w:numPr>
          <w:ilvl w:val="2"/>
          <w:numId w:val="2"/>
        </w:numPr>
        <w:spacing w:after="120"/>
        <w:ind w:left="0" w:firstLine="0"/>
        <w:jc w:val="both"/>
        <w:rPr>
          <w:b/>
          <w:bCs/>
          <w:sz w:val="28"/>
          <w:szCs w:val="28"/>
        </w:rPr>
      </w:pPr>
      <w:r w:rsidRPr="00543039">
        <w:rPr>
          <w:b/>
          <w:bCs/>
          <w:sz w:val="28"/>
          <w:szCs w:val="28"/>
        </w:rPr>
        <w:t>GES vienības</w:t>
      </w:r>
    </w:p>
    <w:p w14:paraId="27B458C3" w14:textId="22D8DA04" w:rsidR="002D77D3" w:rsidRPr="005067B7" w:rsidRDefault="002D77D3" w:rsidP="005067B7">
      <w:pPr>
        <w:ind w:firstLine="567"/>
        <w:jc w:val="both"/>
        <w:rPr>
          <w:bCs/>
          <w:sz w:val="28"/>
          <w:szCs w:val="28"/>
        </w:rPr>
      </w:pPr>
      <w:r w:rsidRPr="0042141C">
        <w:rPr>
          <w:sz w:val="28"/>
          <w:szCs w:val="28"/>
        </w:rPr>
        <w:t xml:space="preserve">Lai nodrošinātu vienotu sistēmu darbībām ar GES vienībām, atbilstoši </w:t>
      </w:r>
      <w:r w:rsidR="00D22990" w:rsidRPr="0042141C">
        <w:rPr>
          <w:i/>
          <w:iCs/>
          <w:sz w:val="28"/>
          <w:szCs w:val="28"/>
        </w:rPr>
        <w:t xml:space="preserve">Eiropas </w:t>
      </w:r>
      <w:r w:rsidR="00F00C44" w:rsidRPr="0042141C">
        <w:rPr>
          <w:i/>
          <w:iCs/>
          <w:sz w:val="28"/>
          <w:szCs w:val="28"/>
        </w:rPr>
        <w:t xml:space="preserve">Komisijas 2013. gada 2. maija Regulai Nr. 389/2013, ar ko izveido Savienības reģistru saskaņā ar Eiropas Parlamenta un Padomes Direktīvu 2003/87/EK un Eiropas Parlamenta un Padomes Lēmumu Nr. 280/2004/EK un Lēmumu Nr. 406/2009/EK un atceļ Komisijas Regulu (ES) Nr. 920/2010 un Regulu (ES) Nr. 1193/2011 </w:t>
      </w:r>
      <w:r w:rsidR="00F00C44" w:rsidRPr="0042141C">
        <w:rPr>
          <w:sz w:val="28"/>
          <w:szCs w:val="28"/>
        </w:rPr>
        <w:t>un</w:t>
      </w:r>
      <w:r w:rsidRPr="0042141C">
        <w:rPr>
          <w:sz w:val="28"/>
          <w:szCs w:val="28"/>
        </w:rPr>
        <w:t xml:space="preserve"> </w:t>
      </w:r>
      <w:r w:rsidR="0006684A" w:rsidRPr="0042141C">
        <w:rPr>
          <w:i/>
          <w:iCs/>
          <w:sz w:val="28"/>
          <w:szCs w:val="28"/>
        </w:rPr>
        <w:t xml:space="preserve">Komisijas 2019. gada 12. marta Deleģētajai regulai (ES) 2019/1122, ar ko attiecībā uz Savienības reģistra darbību papildina Eiropas Parlamenta un Padomes Direktīvu 2003/87/EK </w:t>
      </w:r>
      <w:r w:rsidR="0006684A" w:rsidRPr="0042141C">
        <w:rPr>
          <w:sz w:val="28"/>
          <w:szCs w:val="28"/>
        </w:rPr>
        <w:t>(turpmāk</w:t>
      </w:r>
      <w:r w:rsidR="008C0213">
        <w:rPr>
          <w:sz w:val="28"/>
          <w:szCs w:val="28"/>
        </w:rPr>
        <w:t> </w:t>
      </w:r>
      <w:r w:rsidR="0006684A" w:rsidRPr="0042141C">
        <w:rPr>
          <w:sz w:val="28"/>
          <w:szCs w:val="28"/>
        </w:rPr>
        <w:t>–</w:t>
      </w:r>
      <w:r w:rsidR="008C0213">
        <w:rPr>
          <w:sz w:val="28"/>
          <w:szCs w:val="28"/>
        </w:rPr>
        <w:t> </w:t>
      </w:r>
      <w:r w:rsidR="0006684A" w:rsidRPr="0042141C">
        <w:rPr>
          <w:sz w:val="28"/>
          <w:szCs w:val="28"/>
        </w:rPr>
        <w:t>Deleģētā regula 2019/1122)</w:t>
      </w:r>
      <w:r w:rsidR="00F00C44" w:rsidRPr="0042141C">
        <w:rPr>
          <w:sz w:val="28"/>
          <w:szCs w:val="28"/>
        </w:rPr>
        <w:t xml:space="preserve"> </w:t>
      </w:r>
      <w:r w:rsidRPr="0042141C">
        <w:rPr>
          <w:sz w:val="28"/>
          <w:szCs w:val="28"/>
        </w:rPr>
        <w:t xml:space="preserve">ir izveidots Savienības reģistrs </w:t>
      </w:r>
      <w:r w:rsidRPr="0042141C">
        <w:rPr>
          <w:i/>
          <w:iCs/>
          <w:sz w:val="28"/>
          <w:szCs w:val="28"/>
        </w:rPr>
        <w:t>(</w:t>
      </w:r>
      <w:proofErr w:type="spellStart"/>
      <w:r w:rsidRPr="0042141C">
        <w:rPr>
          <w:i/>
          <w:iCs/>
          <w:sz w:val="28"/>
          <w:szCs w:val="28"/>
        </w:rPr>
        <w:t>Union</w:t>
      </w:r>
      <w:proofErr w:type="spellEnd"/>
      <w:r w:rsidRPr="0042141C">
        <w:rPr>
          <w:i/>
          <w:iCs/>
          <w:sz w:val="28"/>
          <w:szCs w:val="28"/>
        </w:rPr>
        <w:t xml:space="preserve"> </w:t>
      </w:r>
      <w:proofErr w:type="spellStart"/>
      <w:r w:rsidRPr="0042141C">
        <w:rPr>
          <w:i/>
          <w:iCs/>
          <w:sz w:val="28"/>
          <w:szCs w:val="28"/>
        </w:rPr>
        <w:t>Registry</w:t>
      </w:r>
      <w:proofErr w:type="spellEnd"/>
      <w:r w:rsidRPr="0042141C">
        <w:rPr>
          <w:i/>
          <w:iCs/>
          <w:sz w:val="28"/>
          <w:szCs w:val="28"/>
        </w:rPr>
        <w:t>)</w:t>
      </w:r>
      <w:r w:rsidRPr="0042141C">
        <w:rPr>
          <w:sz w:val="28"/>
          <w:szCs w:val="28"/>
        </w:rPr>
        <w:t>.</w:t>
      </w:r>
      <w:r w:rsidR="00F00C44" w:rsidRPr="0042141C">
        <w:rPr>
          <w:sz w:val="28"/>
          <w:szCs w:val="28"/>
        </w:rPr>
        <w:t xml:space="preserve"> </w:t>
      </w:r>
      <w:r w:rsidR="00181B3C" w:rsidRPr="0042141C">
        <w:rPr>
          <w:sz w:val="28"/>
          <w:szCs w:val="28"/>
        </w:rPr>
        <w:t>Atbilstoši Deleģētās regulas 2019/1122 3. panta 2</w:t>
      </w:r>
      <w:r w:rsidR="002C3B1C" w:rsidRPr="0042141C">
        <w:rPr>
          <w:sz w:val="28"/>
          <w:szCs w:val="28"/>
        </w:rPr>
        <w:t>4</w:t>
      </w:r>
      <w:r w:rsidR="00181B3C" w:rsidRPr="0042141C">
        <w:rPr>
          <w:sz w:val="28"/>
          <w:szCs w:val="28"/>
        </w:rPr>
        <w:t>. punktam GES vienība</w:t>
      </w:r>
      <w:r w:rsidR="00040CED" w:rsidRPr="0042141C">
        <w:rPr>
          <w:sz w:val="28"/>
          <w:szCs w:val="28"/>
        </w:rPr>
        <w:t xml:space="preserve"> ir saskaņā ar Regulas 2018/842 </w:t>
      </w:r>
      <w:r w:rsidR="008C0213">
        <w:rPr>
          <w:sz w:val="28"/>
          <w:szCs w:val="28"/>
        </w:rPr>
        <w:t xml:space="preserve"> </w:t>
      </w:r>
      <w:r w:rsidR="00040CED" w:rsidRPr="0042141C">
        <w:rPr>
          <w:sz w:val="28"/>
          <w:szCs w:val="28"/>
        </w:rPr>
        <w:t>4.</w:t>
      </w:r>
      <w:r w:rsidR="008C0213">
        <w:rPr>
          <w:sz w:val="28"/>
          <w:szCs w:val="28"/>
        </w:rPr>
        <w:t> </w:t>
      </w:r>
      <w:r w:rsidR="00040CED" w:rsidRPr="0042141C">
        <w:rPr>
          <w:sz w:val="28"/>
          <w:szCs w:val="28"/>
        </w:rPr>
        <w:t>panta 3.</w:t>
      </w:r>
      <w:r w:rsidR="008C0213">
        <w:rPr>
          <w:sz w:val="28"/>
          <w:szCs w:val="28"/>
        </w:rPr>
        <w:t> </w:t>
      </w:r>
      <w:r w:rsidR="00040CED" w:rsidRPr="0042141C">
        <w:rPr>
          <w:sz w:val="28"/>
          <w:szCs w:val="28"/>
        </w:rPr>
        <w:t>punktu un 10.</w:t>
      </w:r>
      <w:r w:rsidR="008C0213">
        <w:rPr>
          <w:sz w:val="28"/>
          <w:szCs w:val="28"/>
        </w:rPr>
        <w:t> </w:t>
      </w:r>
      <w:r w:rsidR="00040CED" w:rsidRPr="0042141C">
        <w:rPr>
          <w:sz w:val="28"/>
          <w:szCs w:val="28"/>
        </w:rPr>
        <w:t xml:space="preserve">pantu noteiktā dalībvalsts ikgadējā emisiju iedales apjoma daļa, kas atbilst vienai tonnai </w:t>
      </w:r>
      <w:r w:rsidR="009043E3">
        <w:rPr>
          <w:sz w:val="28"/>
          <w:szCs w:val="28"/>
        </w:rPr>
        <w:t>CO</w:t>
      </w:r>
      <w:r w:rsidR="009043E3" w:rsidRPr="009043E3">
        <w:rPr>
          <w:sz w:val="28"/>
          <w:szCs w:val="28"/>
          <w:vertAlign w:val="subscript"/>
        </w:rPr>
        <w:t>2</w:t>
      </w:r>
      <w:r w:rsidR="009043E3">
        <w:rPr>
          <w:sz w:val="28"/>
          <w:szCs w:val="28"/>
        </w:rPr>
        <w:t xml:space="preserve"> </w:t>
      </w:r>
      <w:r w:rsidR="00040CED" w:rsidRPr="0042141C">
        <w:rPr>
          <w:sz w:val="28"/>
          <w:szCs w:val="28"/>
        </w:rPr>
        <w:t>ekvivalenta</w:t>
      </w:r>
      <w:r w:rsidR="00181B3C" w:rsidRPr="0042141C">
        <w:rPr>
          <w:sz w:val="28"/>
          <w:szCs w:val="28"/>
        </w:rPr>
        <w:t xml:space="preserve">. </w:t>
      </w:r>
      <w:r w:rsidRPr="0042141C">
        <w:rPr>
          <w:sz w:val="28"/>
          <w:szCs w:val="28"/>
        </w:rPr>
        <w:t>Savienības reģistrā ES dalībvalstis pārvalda 10 atbilstības kontus – katrai ES dalībvalstij katram gadam laika posmā no 2021. gada līdz 2030.</w:t>
      </w:r>
      <w:r w:rsidR="008C0213">
        <w:rPr>
          <w:sz w:val="28"/>
          <w:szCs w:val="28"/>
        </w:rPr>
        <w:t> </w:t>
      </w:r>
      <w:r w:rsidRPr="0042141C">
        <w:rPr>
          <w:sz w:val="28"/>
          <w:szCs w:val="28"/>
        </w:rPr>
        <w:t>gadam ir izveidots savs atbilstības konts. Atbilstības kontu administrators ir centrālais administrators, kas atbilstoši Deleģētās regulas 2019/1122 3.</w:t>
      </w:r>
      <w:r w:rsidR="008C0213">
        <w:rPr>
          <w:sz w:val="28"/>
          <w:szCs w:val="28"/>
        </w:rPr>
        <w:t> </w:t>
      </w:r>
      <w:r w:rsidRPr="0042141C">
        <w:rPr>
          <w:sz w:val="28"/>
          <w:szCs w:val="28"/>
        </w:rPr>
        <w:t xml:space="preserve">panta pirmajam apakšpunktam ir persona, ko iecēlusi Komisija saskaņā ar </w:t>
      </w:r>
      <w:r w:rsidRPr="0042141C">
        <w:rPr>
          <w:i/>
          <w:iCs/>
          <w:sz w:val="28"/>
          <w:szCs w:val="28"/>
        </w:rPr>
        <w:t>Eiropas Parlamenta un Padomes 2003.</w:t>
      </w:r>
      <w:r w:rsidR="008C0213">
        <w:rPr>
          <w:i/>
          <w:iCs/>
          <w:sz w:val="28"/>
          <w:szCs w:val="28"/>
        </w:rPr>
        <w:t> </w:t>
      </w:r>
      <w:r w:rsidRPr="0042141C">
        <w:rPr>
          <w:i/>
          <w:iCs/>
          <w:sz w:val="28"/>
          <w:szCs w:val="28"/>
        </w:rPr>
        <w:t>gada 13. oktobra direktīvas 2003/87/EK, ar kuru nosaka sistēmu siltumnīcas efektu izraisošo gāzu emisijas kvotu tirdzniecībai Savienībā un groza Padomes Direktīvu 96/61/EK</w:t>
      </w:r>
      <w:r w:rsidRPr="0042141C">
        <w:rPr>
          <w:sz w:val="28"/>
          <w:szCs w:val="28"/>
        </w:rPr>
        <w:t xml:space="preserve"> </w:t>
      </w:r>
      <w:r w:rsidR="008C0213">
        <w:rPr>
          <w:sz w:val="28"/>
          <w:szCs w:val="28"/>
        </w:rPr>
        <w:t xml:space="preserve"> </w:t>
      </w:r>
      <w:r w:rsidRPr="0042141C">
        <w:rPr>
          <w:sz w:val="28"/>
          <w:szCs w:val="28"/>
        </w:rPr>
        <w:t>20.</w:t>
      </w:r>
      <w:r w:rsidR="008C0213">
        <w:rPr>
          <w:sz w:val="28"/>
          <w:szCs w:val="28"/>
        </w:rPr>
        <w:t> </w:t>
      </w:r>
      <w:r w:rsidRPr="0042141C">
        <w:rPr>
          <w:sz w:val="28"/>
          <w:szCs w:val="28"/>
        </w:rPr>
        <w:t xml:space="preserve">pantu, savukārt ar lēmumu (ES) 2023/1319 Latvijai ikgadēji piešķirtās un atbilstības kontos nodrošinātās GES vienības ir valsts īpašums, kura tiesiskais valdītājs ir Klimata un enerģētikas ministrija. Ikgadējos GES apjomus ES dalībvalstu kontos ieskaita centrālais administrators, savukārt ES dalībvalstīm ir pienākums </w:t>
      </w:r>
      <w:r w:rsidR="003E14B1">
        <w:rPr>
          <w:sz w:val="28"/>
          <w:szCs w:val="28"/>
        </w:rPr>
        <w:t>katra gada atbilstības kontā</w:t>
      </w:r>
      <w:r w:rsidRPr="0042141C">
        <w:rPr>
          <w:sz w:val="28"/>
          <w:szCs w:val="28"/>
        </w:rPr>
        <w:t xml:space="preserve"> nodrošināt </w:t>
      </w:r>
      <w:r w:rsidR="00E73321">
        <w:rPr>
          <w:sz w:val="28"/>
          <w:szCs w:val="28"/>
        </w:rPr>
        <w:t xml:space="preserve"> t</w:t>
      </w:r>
      <w:r w:rsidRPr="0042141C">
        <w:rPr>
          <w:sz w:val="28"/>
          <w:szCs w:val="28"/>
        </w:rPr>
        <w:t>ādu GES vienību skaitu, kas atbilst attiecīgās ES dalībvalsts SEG emisijām</w:t>
      </w:r>
      <w:r w:rsidR="00947C41">
        <w:rPr>
          <w:sz w:val="28"/>
          <w:szCs w:val="28"/>
        </w:rPr>
        <w:t xml:space="preserve"> </w:t>
      </w:r>
      <w:r w:rsidR="00947C41" w:rsidRPr="00947C41">
        <w:rPr>
          <w:sz w:val="28"/>
          <w:szCs w:val="28"/>
        </w:rPr>
        <w:t>Regulas 2018/842 aptvert</w:t>
      </w:r>
      <w:r w:rsidR="00947C41">
        <w:rPr>
          <w:sz w:val="28"/>
          <w:szCs w:val="28"/>
        </w:rPr>
        <w:t>ajos</w:t>
      </w:r>
      <w:r w:rsidR="00947C41" w:rsidRPr="00947C41">
        <w:rPr>
          <w:sz w:val="28"/>
          <w:szCs w:val="28"/>
        </w:rPr>
        <w:t xml:space="preserve"> sektor</w:t>
      </w:r>
      <w:r w:rsidR="00947C41">
        <w:rPr>
          <w:sz w:val="28"/>
          <w:szCs w:val="28"/>
        </w:rPr>
        <w:t>os.</w:t>
      </w:r>
    </w:p>
    <w:p w14:paraId="73DFFB05" w14:textId="45D2D73F" w:rsidR="00AD29D9" w:rsidRPr="006516C8" w:rsidRDefault="00AD29D9" w:rsidP="00CA304C">
      <w:pPr>
        <w:ind w:firstLine="567"/>
        <w:jc w:val="both"/>
        <w:rPr>
          <w:sz w:val="28"/>
          <w:szCs w:val="28"/>
        </w:rPr>
      </w:pPr>
      <w:r w:rsidRPr="006516C8">
        <w:rPr>
          <w:sz w:val="28"/>
          <w:szCs w:val="28"/>
        </w:rPr>
        <w:lastRenderedPageBreak/>
        <w:t>Latvijai atbilstoši noteiktaj</w:t>
      </w:r>
      <w:r w:rsidR="00E11372">
        <w:rPr>
          <w:sz w:val="28"/>
          <w:szCs w:val="28"/>
        </w:rPr>
        <w:t xml:space="preserve">iem GES </w:t>
      </w:r>
      <w:r w:rsidRPr="006516C8">
        <w:rPr>
          <w:sz w:val="28"/>
          <w:szCs w:val="28"/>
        </w:rPr>
        <w:t>mērķi</w:t>
      </w:r>
      <w:r w:rsidR="00E11372">
        <w:rPr>
          <w:sz w:val="28"/>
          <w:szCs w:val="28"/>
        </w:rPr>
        <w:t>em</w:t>
      </w:r>
      <w:r w:rsidRPr="006516C8">
        <w:rPr>
          <w:sz w:val="28"/>
          <w:szCs w:val="28"/>
        </w:rPr>
        <w:t xml:space="preserve"> par periodu </w:t>
      </w:r>
      <w:r w:rsidR="00E11372">
        <w:rPr>
          <w:sz w:val="28"/>
          <w:szCs w:val="28"/>
        </w:rPr>
        <w:t>no 2021. līdz 2030.</w:t>
      </w:r>
      <w:r w:rsidR="008C0213">
        <w:rPr>
          <w:sz w:val="28"/>
          <w:szCs w:val="28"/>
        </w:rPr>
        <w:t> </w:t>
      </w:r>
      <w:r w:rsidR="00E11372">
        <w:rPr>
          <w:sz w:val="28"/>
          <w:szCs w:val="28"/>
        </w:rPr>
        <w:t>gadam indikatīvi</w:t>
      </w:r>
      <w:r w:rsidR="00C82A35">
        <w:rPr>
          <w:sz w:val="28"/>
          <w:szCs w:val="28"/>
        </w:rPr>
        <w:t xml:space="preserve"> (ņemot vērā, ka GES mērķi </w:t>
      </w:r>
      <w:r w:rsidR="00B45011">
        <w:rPr>
          <w:sz w:val="28"/>
          <w:szCs w:val="28"/>
        </w:rPr>
        <w:t xml:space="preserve">no </w:t>
      </w:r>
      <w:r w:rsidR="00C82A35">
        <w:rPr>
          <w:sz w:val="28"/>
          <w:szCs w:val="28"/>
        </w:rPr>
        <w:t>2026. līdz 2030.</w:t>
      </w:r>
      <w:r w:rsidR="008C0213">
        <w:rPr>
          <w:sz w:val="28"/>
          <w:szCs w:val="28"/>
        </w:rPr>
        <w:t> </w:t>
      </w:r>
      <w:r w:rsidR="00C82A35">
        <w:rPr>
          <w:sz w:val="28"/>
          <w:szCs w:val="28"/>
        </w:rPr>
        <w:t xml:space="preserve">gadam ir indikatīvi) </w:t>
      </w:r>
      <w:r w:rsidR="0098779E">
        <w:rPr>
          <w:sz w:val="28"/>
          <w:szCs w:val="28"/>
        </w:rPr>
        <w:t>būs</w:t>
      </w:r>
      <w:r w:rsidR="00E11372">
        <w:rPr>
          <w:sz w:val="28"/>
          <w:szCs w:val="28"/>
        </w:rPr>
        <w:t xml:space="preserve"> pieejamas </w:t>
      </w:r>
      <w:r w:rsidR="00E11372" w:rsidRPr="00E11372">
        <w:rPr>
          <w:sz w:val="28"/>
          <w:szCs w:val="28"/>
        </w:rPr>
        <w:t>82</w:t>
      </w:r>
      <w:r w:rsidR="008C0213">
        <w:rPr>
          <w:sz w:val="28"/>
          <w:szCs w:val="28"/>
        </w:rPr>
        <w:t> </w:t>
      </w:r>
      <w:r w:rsidR="00E11372" w:rsidRPr="00E11372">
        <w:rPr>
          <w:sz w:val="28"/>
          <w:szCs w:val="28"/>
        </w:rPr>
        <w:t>975</w:t>
      </w:r>
      <w:r w:rsidR="00E11372">
        <w:rPr>
          <w:sz w:val="28"/>
          <w:szCs w:val="28"/>
        </w:rPr>
        <w:t> </w:t>
      </w:r>
      <w:r w:rsidR="00E11372" w:rsidRPr="00E11372">
        <w:rPr>
          <w:sz w:val="28"/>
          <w:szCs w:val="28"/>
        </w:rPr>
        <w:t>158</w:t>
      </w:r>
      <w:r w:rsidR="00E11372">
        <w:rPr>
          <w:sz w:val="28"/>
          <w:szCs w:val="28"/>
        </w:rPr>
        <w:t xml:space="preserve"> </w:t>
      </w:r>
      <w:r w:rsidRPr="006516C8">
        <w:rPr>
          <w:sz w:val="28"/>
          <w:szCs w:val="28"/>
        </w:rPr>
        <w:t>GES vienības.</w:t>
      </w:r>
      <w:r w:rsidR="00981641">
        <w:rPr>
          <w:sz w:val="28"/>
          <w:szCs w:val="28"/>
        </w:rPr>
        <w:t xml:space="preserve"> </w:t>
      </w:r>
      <w:r w:rsidR="00981641" w:rsidRPr="0091529A">
        <w:rPr>
          <w:sz w:val="28"/>
          <w:szCs w:val="28"/>
        </w:rPr>
        <w:t>Atbilstoši</w:t>
      </w:r>
      <w:r w:rsidR="00875BA9">
        <w:rPr>
          <w:sz w:val="28"/>
          <w:szCs w:val="28"/>
        </w:rPr>
        <w:t xml:space="preserve"> </w:t>
      </w:r>
      <w:r w:rsidR="00981641" w:rsidRPr="0091529A">
        <w:rPr>
          <w:sz w:val="28"/>
          <w:szCs w:val="28"/>
        </w:rPr>
        <w:t>2023.</w:t>
      </w:r>
      <w:r w:rsidR="008C0213">
        <w:rPr>
          <w:sz w:val="28"/>
          <w:szCs w:val="28"/>
        </w:rPr>
        <w:t> </w:t>
      </w:r>
      <w:r w:rsidR="00981641" w:rsidRPr="0091529A">
        <w:rPr>
          <w:sz w:val="28"/>
          <w:szCs w:val="28"/>
        </w:rPr>
        <w:t>gada ziņojumam par politikām, pasākumiem un SEG prognozēm</w:t>
      </w:r>
      <w:r w:rsidR="00875BA9">
        <w:rPr>
          <w:rStyle w:val="FootnoteReference"/>
          <w:sz w:val="28"/>
          <w:szCs w:val="28"/>
        </w:rPr>
        <w:footnoteReference w:id="6"/>
      </w:r>
      <w:r w:rsidR="00981641" w:rsidRPr="0091529A">
        <w:rPr>
          <w:sz w:val="28"/>
          <w:szCs w:val="28"/>
        </w:rPr>
        <w:t xml:space="preserve"> Latvija </w:t>
      </w:r>
      <w:r w:rsidR="00DC1BE7" w:rsidRPr="0091529A">
        <w:rPr>
          <w:sz w:val="28"/>
          <w:szCs w:val="28"/>
        </w:rPr>
        <w:t>sākot no 2023.</w:t>
      </w:r>
      <w:r w:rsidR="008C0213">
        <w:rPr>
          <w:sz w:val="28"/>
          <w:szCs w:val="28"/>
        </w:rPr>
        <w:t> </w:t>
      </w:r>
      <w:r w:rsidR="00DC1BE7" w:rsidRPr="0091529A">
        <w:rPr>
          <w:sz w:val="28"/>
          <w:szCs w:val="28"/>
        </w:rPr>
        <w:t>gada (</w:t>
      </w:r>
      <w:r w:rsidR="0075468D" w:rsidRPr="0091529A">
        <w:rPr>
          <w:sz w:val="28"/>
          <w:szCs w:val="28"/>
        </w:rPr>
        <w:t>scenārijā ar esošajiem pasākumiem) vai attiecīgi sākot no 2024.</w:t>
      </w:r>
      <w:r w:rsidR="008C0213">
        <w:rPr>
          <w:sz w:val="28"/>
          <w:szCs w:val="28"/>
        </w:rPr>
        <w:t> </w:t>
      </w:r>
      <w:r w:rsidR="0075468D" w:rsidRPr="0091529A">
        <w:rPr>
          <w:sz w:val="28"/>
          <w:szCs w:val="28"/>
        </w:rPr>
        <w:t xml:space="preserve">gada (scenārijā ar papildus pasākumiem) </w:t>
      </w:r>
      <w:r w:rsidR="0091529A" w:rsidRPr="0091529A">
        <w:rPr>
          <w:sz w:val="28"/>
          <w:szCs w:val="28"/>
        </w:rPr>
        <w:t>piešķirto GES vienību ietvaros neizpilda tai noteiktos GES mērķus</w:t>
      </w:r>
      <w:r w:rsidR="005636BD">
        <w:rPr>
          <w:sz w:val="28"/>
          <w:szCs w:val="28"/>
        </w:rPr>
        <w:t>, kā rezultātā būs nepieciešams izmantot Regulā 2018/842 noteikt</w:t>
      </w:r>
      <w:r w:rsidR="00ED66EF">
        <w:rPr>
          <w:sz w:val="28"/>
          <w:szCs w:val="28"/>
        </w:rPr>
        <w:t>ās elastīb</w:t>
      </w:r>
      <w:r w:rsidR="0043536B">
        <w:rPr>
          <w:sz w:val="28"/>
          <w:szCs w:val="28"/>
        </w:rPr>
        <w:t>u iespējas.</w:t>
      </w:r>
      <w:r w:rsidR="00CA304C">
        <w:rPr>
          <w:sz w:val="28"/>
          <w:szCs w:val="28"/>
        </w:rPr>
        <w:t xml:space="preserve"> </w:t>
      </w:r>
      <w:r w:rsidR="00AB3215">
        <w:rPr>
          <w:sz w:val="28"/>
          <w:szCs w:val="28"/>
        </w:rPr>
        <w:t xml:space="preserve">Ņemot vērā, ka </w:t>
      </w:r>
      <w:r w:rsidR="00D11FF1">
        <w:rPr>
          <w:sz w:val="28"/>
          <w:szCs w:val="28"/>
        </w:rPr>
        <w:t xml:space="preserve">šī </w:t>
      </w:r>
      <w:r w:rsidR="003C2E37">
        <w:rPr>
          <w:sz w:val="28"/>
          <w:szCs w:val="28"/>
        </w:rPr>
        <w:t xml:space="preserve">informatīvā ziņojuma mērķis ir </w:t>
      </w:r>
      <w:r w:rsidR="00E74E05">
        <w:rPr>
          <w:sz w:val="28"/>
          <w:szCs w:val="28"/>
        </w:rPr>
        <w:t xml:space="preserve">sniegt informāciju par </w:t>
      </w:r>
      <w:r w:rsidR="00CA304C">
        <w:rPr>
          <w:sz w:val="28"/>
          <w:szCs w:val="28"/>
        </w:rPr>
        <w:t>iespējām veikt darījumus ar GES vienībām</w:t>
      </w:r>
      <w:r w:rsidR="00D11FF1">
        <w:rPr>
          <w:sz w:val="28"/>
          <w:szCs w:val="28"/>
        </w:rPr>
        <w:t xml:space="preserve"> attiecīgajā gadā, kurā informatīvais ziņojums tiek sagatavots,</w:t>
      </w:r>
      <w:r w:rsidR="00CA304C">
        <w:rPr>
          <w:sz w:val="28"/>
          <w:szCs w:val="28"/>
        </w:rPr>
        <w:t xml:space="preserve"> un </w:t>
      </w:r>
      <w:r w:rsidR="00E74E05">
        <w:rPr>
          <w:sz w:val="28"/>
          <w:szCs w:val="28"/>
        </w:rPr>
        <w:t>darbībām</w:t>
      </w:r>
      <w:r w:rsidR="008C5B40">
        <w:rPr>
          <w:sz w:val="28"/>
          <w:szCs w:val="28"/>
        </w:rPr>
        <w:t xml:space="preserve">, kuras attiecīgajā gadā </w:t>
      </w:r>
      <w:r w:rsidR="003D3359">
        <w:rPr>
          <w:sz w:val="28"/>
          <w:szCs w:val="28"/>
        </w:rPr>
        <w:t xml:space="preserve">ar GES vienībām </w:t>
      </w:r>
      <w:r w:rsidR="008C5B40">
        <w:rPr>
          <w:sz w:val="28"/>
          <w:szCs w:val="28"/>
        </w:rPr>
        <w:t>ir nepieciešams veikt</w:t>
      </w:r>
      <w:r w:rsidR="00DB6A4C">
        <w:rPr>
          <w:sz w:val="28"/>
          <w:szCs w:val="28"/>
        </w:rPr>
        <w:t xml:space="preserve"> Savienības reģistrā</w:t>
      </w:r>
      <w:r w:rsidR="008C5B40">
        <w:rPr>
          <w:sz w:val="28"/>
          <w:szCs w:val="28"/>
        </w:rPr>
        <w:t xml:space="preserve">, </w:t>
      </w:r>
      <w:r w:rsidR="00497F2E">
        <w:rPr>
          <w:sz w:val="28"/>
          <w:szCs w:val="28"/>
        </w:rPr>
        <w:t>d</w:t>
      </w:r>
      <w:r w:rsidR="007159D8">
        <w:rPr>
          <w:sz w:val="28"/>
          <w:szCs w:val="28"/>
        </w:rPr>
        <w:t>etalizēt</w:t>
      </w:r>
      <w:r w:rsidR="007823A2">
        <w:rPr>
          <w:sz w:val="28"/>
          <w:szCs w:val="28"/>
        </w:rPr>
        <w:t xml:space="preserve">s </w:t>
      </w:r>
      <w:proofErr w:type="spellStart"/>
      <w:r w:rsidR="007823A2">
        <w:rPr>
          <w:sz w:val="28"/>
          <w:szCs w:val="28"/>
        </w:rPr>
        <w:t>izvērtējums</w:t>
      </w:r>
      <w:proofErr w:type="spellEnd"/>
      <w:r w:rsidR="007823A2">
        <w:rPr>
          <w:sz w:val="28"/>
          <w:szCs w:val="28"/>
        </w:rPr>
        <w:t xml:space="preserve"> </w:t>
      </w:r>
      <w:r w:rsidR="007159D8">
        <w:rPr>
          <w:sz w:val="28"/>
          <w:szCs w:val="28"/>
        </w:rPr>
        <w:t xml:space="preserve">par Latvijas </w:t>
      </w:r>
      <w:r w:rsidR="00D104F0">
        <w:rPr>
          <w:sz w:val="28"/>
          <w:szCs w:val="28"/>
        </w:rPr>
        <w:t>SEG</w:t>
      </w:r>
      <w:r w:rsidR="00D104F0" w:rsidRPr="00D104F0">
        <w:rPr>
          <w:sz w:val="28"/>
          <w:szCs w:val="28"/>
        </w:rPr>
        <w:t xml:space="preserve"> emisiju samazināšanas un oglekļa dioksīda piesaistes saistību izpild</w:t>
      </w:r>
      <w:r w:rsidR="007823A2">
        <w:rPr>
          <w:sz w:val="28"/>
          <w:szCs w:val="28"/>
        </w:rPr>
        <w:t xml:space="preserve">i </w:t>
      </w:r>
      <w:r w:rsidR="00D104F0">
        <w:rPr>
          <w:sz w:val="28"/>
          <w:szCs w:val="28"/>
        </w:rPr>
        <w:t>tiks sniegt</w:t>
      </w:r>
      <w:r w:rsidR="007823A2">
        <w:rPr>
          <w:sz w:val="28"/>
          <w:szCs w:val="28"/>
        </w:rPr>
        <w:t>s</w:t>
      </w:r>
      <w:r w:rsidR="00BF6850">
        <w:rPr>
          <w:sz w:val="28"/>
          <w:szCs w:val="28"/>
        </w:rPr>
        <w:t xml:space="preserve"> izstrādes stadijā esošajā</w:t>
      </w:r>
      <w:r w:rsidR="00D104F0">
        <w:rPr>
          <w:sz w:val="28"/>
          <w:szCs w:val="28"/>
        </w:rPr>
        <w:t xml:space="preserve"> </w:t>
      </w:r>
      <w:r w:rsidR="007823A2">
        <w:rPr>
          <w:sz w:val="28"/>
          <w:szCs w:val="28"/>
        </w:rPr>
        <w:t>informatīvajā ziņojumā “</w:t>
      </w:r>
      <w:r w:rsidR="00354C0E" w:rsidRPr="00354C0E">
        <w:rPr>
          <w:sz w:val="28"/>
          <w:szCs w:val="28"/>
        </w:rPr>
        <w:t>Par siltumnīcefekta gāzu emisiju samazināšanas un oglekļa dioksīda piesaistes saistību izpildi</w:t>
      </w:r>
      <w:r w:rsidR="007823A2">
        <w:rPr>
          <w:sz w:val="28"/>
          <w:szCs w:val="28"/>
        </w:rPr>
        <w:t>”</w:t>
      </w:r>
      <w:r w:rsidR="00354C0E">
        <w:rPr>
          <w:sz w:val="28"/>
          <w:szCs w:val="28"/>
        </w:rPr>
        <w:t xml:space="preserve">, kas tiek </w:t>
      </w:r>
      <w:r w:rsidR="00BF6850">
        <w:rPr>
          <w:sz w:val="28"/>
          <w:szCs w:val="28"/>
        </w:rPr>
        <w:t xml:space="preserve">sagatavots saskaņā ar likuma “Par piesārņojumu” </w:t>
      </w:r>
      <w:r w:rsidR="007E5D9A">
        <w:rPr>
          <w:sz w:val="28"/>
          <w:szCs w:val="28"/>
        </w:rPr>
        <w:t>52. panta trešo daļu</w:t>
      </w:r>
      <w:r w:rsidR="00BA7142">
        <w:rPr>
          <w:sz w:val="28"/>
          <w:szCs w:val="28"/>
        </w:rPr>
        <w:t>, savukārt</w:t>
      </w:r>
      <w:r w:rsidR="00A12F08">
        <w:rPr>
          <w:sz w:val="28"/>
          <w:szCs w:val="28"/>
        </w:rPr>
        <w:t xml:space="preserve"> </w:t>
      </w:r>
      <w:r w:rsidR="0005574D">
        <w:rPr>
          <w:sz w:val="28"/>
          <w:szCs w:val="28"/>
        </w:rPr>
        <w:t xml:space="preserve">konceptuāli risinājumi </w:t>
      </w:r>
      <w:r w:rsidR="00773A91">
        <w:rPr>
          <w:sz w:val="28"/>
          <w:szCs w:val="28"/>
        </w:rPr>
        <w:t>saistību izpildes nodrošināšan</w:t>
      </w:r>
      <w:r w:rsidR="0005574D">
        <w:rPr>
          <w:sz w:val="28"/>
          <w:szCs w:val="28"/>
        </w:rPr>
        <w:t>ai</w:t>
      </w:r>
      <w:r w:rsidR="00010D14">
        <w:rPr>
          <w:sz w:val="28"/>
          <w:szCs w:val="28"/>
        </w:rPr>
        <w:t xml:space="preserve"> vi</w:t>
      </w:r>
      <w:r w:rsidR="00F7784A">
        <w:rPr>
          <w:sz w:val="28"/>
          <w:szCs w:val="28"/>
        </w:rPr>
        <w:t>sā saistību izpildes periodā no 2021. līdz 2030. gadam</w:t>
      </w:r>
      <w:r w:rsidR="0005574D">
        <w:rPr>
          <w:sz w:val="28"/>
          <w:szCs w:val="28"/>
        </w:rPr>
        <w:t xml:space="preserve"> tiks sagatavoti,</w:t>
      </w:r>
      <w:r w:rsidR="0042140D">
        <w:rPr>
          <w:sz w:val="28"/>
          <w:szCs w:val="28"/>
        </w:rPr>
        <w:t xml:space="preserve"> </w:t>
      </w:r>
      <w:r w:rsidR="00CE7628">
        <w:rPr>
          <w:sz w:val="28"/>
          <w:szCs w:val="28"/>
        </w:rPr>
        <w:t xml:space="preserve">izstrādājot </w:t>
      </w:r>
      <w:r w:rsidR="00873E92">
        <w:rPr>
          <w:sz w:val="28"/>
          <w:szCs w:val="28"/>
        </w:rPr>
        <w:t xml:space="preserve">likuma “Par piesārņojumu” 54. panta </w:t>
      </w:r>
      <w:r w:rsidR="00CE7628">
        <w:rPr>
          <w:sz w:val="28"/>
          <w:szCs w:val="28"/>
        </w:rPr>
        <w:t xml:space="preserve">ceturtajā daļā noteikto </w:t>
      </w:r>
      <w:r w:rsidR="00B12FCB">
        <w:rPr>
          <w:sz w:val="28"/>
          <w:szCs w:val="28"/>
        </w:rPr>
        <w:t xml:space="preserve">ilgtermiņa stratēģiju rīcībai ar GES vienībām. </w:t>
      </w:r>
    </w:p>
    <w:p w14:paraId="5722EF99" w14:textId="77777777" w:rsidR="00AD29D9" w:rsidRPr="00A4780E" w:rsidRDefault="00AD29D9" w:rsidP="00AD29D9">
      <w:pPr>
        <w:ind w:firstLine="567"/>
        <w:jc w:val="both"/>
        <w:rPr>
          <w:sz w:val="28"/>
          <w:szCs w:val="28"/>
        </w:rPr>
      </w:pPr>
    </w:p>
    <w:p w14:paraId="724EB086" w14:textId="53AFB66C" w:rsidR="00AD29D9" w:rsidRPr="00A4780E" w:rsidRDefault="00576C00" w:rsidP="00EA4EF0">
      <w:pPr>
        <w:pStyle w:val="ListParagraph"/>
        <w:numPr>
          <w:ilvl w:val="0"/>
          <w:numId w:val="1"/>
        </w:numPr>
        <w:spacing w:before="120" w:after="120"/>
        <w:ind w:left="0" w:firstLine="0"/>
        <w:contextualSpacing w:val="0"/>
        <w:jc w:val="center"/>
        <w:rPr>
          <w:sz w:val="28"/>
          <w:szCs w:val="28"/>
        </w:rPr>
      </w:pPr>
      <w:r>
        <w:rPr>
          <w:b/>
          <w:sz w:val="28"/>
          <w:szCs w:val="28"/>
        </w:rPr>
        <w:t>Rīcība</w:t>
      </w:r>
      <w:r w:rsidR="00AD29D9" w:rsidRPr="00A4780E">
        <w:rPr>
          <w:b/>
          <w:sz w:val="28"/>
          <w:szCs w:val="28"/>
        </w:rPr>
        <w:t xml:space="preserve"> ar </w:t>
      </w:r>
      <w:r w:rsidR="000D7BA7">
        <w:rPr>
          <w:b/>
          <w:sz w:val="28"/>
          <w:szCs w:val="28"/>
        </w:rPr>
        <w:t xml:space="preserve">GES </w:t>
      </w:r>
      <w:r w:rsidR="00AD29D9" w:rsidRPr="00A4780E">
        <w:rPr>
          <w:b/>
          <w:sz w:val="28"/>
          <w:szCs w:val="28"/>
        </w:rPr>
        <w:t>vienībām</w:t>
      </w:r>
      <w:r w:rsidR="000D7BA7">
        <w:rPr>
          <w:b/>
          <w:sz w:val="28"/>
          <w:szCs w:val="28"/>
        </w:rPr>
        <w:t xml:space="preserve"> </w:t>
      </w:r>
      <w:r w:rsidR="00AD29D9" w:rsidRPr="00A4780E">
        <w:rPr>
          <w:b/>
          <w:sz w:val="28"/>
          <w:szCs w:val="28"/>
        </w:rPr>
        <w:t xml:space="preserve">un </w:t>
      </w:r>
      <w:r w:rsidR="000D7BA7">
        <w:rPr>
          <w:b/>
          <w:sz w:val="28"/>
          <w:szCs w:val="28"/>
        </w:rPr>
        <w:t>GES</w:t>
      </w:r>
      <w:r w:rsidR="00AD29D9" w:rsidRPr="00A4780E">
        <w:rPr>
          <w:b/>
          <w:sz w:val="28"/>
          <w:szCs w:val="28"/>
        </w:rPr>
        <w:t xml:space="preserve"> vienību tirgus situācija</w:t>
      </w:r>
    </w:p>
    <w:p w14:paraId="03458D7F" w14:textId="77777777" w:rsidR="00AD29D9" w:rsidRPr="00DE5562" w:rsidRDefault="00AD29D9" w:rsidP="003B0FA4">
      <w:pPr>
        <w:pStyle w:val="ListParagraph"/>
        <w:numPr>
          <w:ilvl w:val="1"/>
          <w:numId w:val="1"/>
        </w:numPr>
        <w:spacing w:before="120" w:after="120"/>
        <w:ind w:left="567" w:hanging="567"/>
        <w:contextualSpacing w:val="0"/>
        <w:jc w:val="center"/>
        <w:rPr>
          <w:b/>
          <w:bCs/>
          <w:sz w:val="28"/>
          <w:szCs w:val="28"/>
        </w:rPr>
      </w:pPr>
      <w:r w:rsidRPr="00DE5562">
        <w:rPr>
          <w:b/>
          <w:bCs/>
          <w:sz w:val="28"/>
          <w:szCs w:val="28"/>
        </w:rPr>
        <w:t>Elastību izmantošanas iespējas</w:t>
      </w:r>
    </w:p>
    <w:p w14:paraId="79E2E234" w14:textId="1C490011" w:rsidR="007D6815" w:rsidRPr="001E5695" w:rsidRDefault="007D6815" w:rsidP="001E5695">
      <w:pPr>
        <w:pStyle w:val="Normal3"/>
        <w:spacing w:before="0" w:beforeAutospacing="0" w:after="0" w:afterAutospacing="0"/>
        <w:ind w:firstLine="567"/>
        <w:jc w:val="both"/>
        <w:textAlignment w:val="baseline"/>
        <w:rPr>
          <w:sz w:val="28"/>
          <w:szCs w:val="28"/>
        </w:rPr>
      </w:pPr>
      <w:r w:rsidRPr="001E5695">
        <w:rPr>
          <w:sz w:val="28"/>
          <w:szCs w:val="28"/>
        </w:rPr>
        <w:t>Iespējamās rīcības ar GES vienībām Latvijas saistību izpildes nodrošināšanai ir noteiktas Regulas 2018/842 5.</w:t>
      </w:r>
      <w:r w:rsidR="008C0213">
        <w:rPr>
          <w:sz w:val="28"/>
          <w:szCs w:val="28"/>
        </w:rPr>
        <w:t> </w:t>
      </w:r>
      <w:r w:rsidRPr="001E5695">
        <w:rPr>
          <w:sz w:val="28"/>
          <w:szCs w:val="28"/>
        </w:rPr>
        <w:t>pantā. Laika posmā no 2021. gada līdz 2030. gadam</w:t>
      </w:r>
      <w:r w:rsidR="00EB044B">
        <w:rPr>
          <w:sz w:val="28"/>
          <w:szCs w:val="28"/>
        </w:rPr>
        <w:t xml:space="preserve"> </w:t>
      </w:r>
      <w:r w:rsidRPr="001E5695">
        <w:rPr>
          <w:sz w:val="28"/>
          <w:szCs w:val="28"/>
        </w:rPr>
        <w:t xml:space="preserve">iespējamas šādas rīcības ar GES vienībām: </w:t>
      </w:r>
    </w:p>
    <w:p w14:paraId="100CD151" w14:textId="201B864C" w:rsidR="007D6815" w:rsidRPr="001E5695" w:rsidRDefault="007D6815" w:rsidP="00630F52">
      <w:pPr>
        <w:pStyle w:val="ListParagraph"/>
        <w:numPr>
          <w:ilvl w:val="0"/>
          <w:numId w:val="3"/>
        </w:numPr>
        <w:ind w:left="357" w:hanging="357"/>
        <w:contextualSpacing w:val="0"/>
        <w:jc w:val="both"/>
        <w:rPr>
          <w:sz w:val="28"/>
          <w:szCs w:val="28"/>
        </w:rPr>
      </w:pPr>
      <w:r w:rsidRPr="001E5695">
        <w:rPr>
          <w:sz w:val="28"/>
          <w:szCs w:val="28"/>
        </w:rPr>
        <w:t xml:space="preserve">ja vienam gadam piešķirto </w:t>
      </w:r>
      <w:r w:rsidRPr="001E5695">
        <w:rPr>
          <w:sz w:val="28"/>
          <w:szCs w:val="28"/>
          <w:u w:val="single"/>
        </w:rPr>
        <w:t xml:space="preserve">GES vienību ir </w:t>
      </w:r>
      <w:r w:rsidRPr="001E5695">
        <w:rPr>
          <w:b/>
          <w:sz w:val="28"/>
          <w:szCs w:val="28"/>
          <w:u w:val="single"/>
        </w:rPr>
        <w:t>vairāk</w:t>
      </w:r>
      <w:r w:rsidRPr="001E5695">
        <w:rPr>
          <w:sz w:val="28"/>
          <w:szCs w:val="28"/>
          <w:u w:val="single"/>
        </w:rPr>
        <w:t xml:space="preserve"> nekā nepieciešams</w:t>
      </w:r>
      <w:r w:rsidRPr="001E5695">
        <w:rPr>
          <w:sz w:val="28"/>
          <w:szCs w:val="28"/>
        </w:rPr>
        <w:t xml:space="preserve"> Latvijas saistību segšanai konkrētajam gadam:</w:t>
      </w:r>
    </w:p>
    <w:p w14:paraId="56C6BD9B" w14:textId="6E635D45"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2021.</w:t>
      </w:r>
      <w:r w:rsidR="008C0213">
        <w:rPr>
          <w:sz w:val="28"/>
          <w:szCs w:val="28"/>
        </w:rPr>
        <w:t> </w:t>
      </w:r>
      <w:r w:rsidRPr="001E5695">
        <w:rPr>
          <w:sz w:val="28"/>
          <w:szCs w:val="28"/>
        </w:rPr>
        <w:t>gada atbilstības konta GES vienību pozitīvo bilanci, ja tāda rodas pēc attiecīgā gada saistību izpildes, pārvieto uz tam sekojošo gadu atbilstības kontiem līdz 2030.</w:t>
      </w:r>
      <w:r w:rsidR="008C0213">
        <w:rPr>
          <w:sz w:val="28"/>
          <w:szCs w:val="28"/>
        </w:rPr>
        <w:t> </w:t>
      </w:r>
      <w:r w:rsidRPr="001E5695">
        <w:rPr>
          <w:sz w:val="28"/>
          <w:szCs w:val="28"/>
        </w:rPr>
        <w:t>gadam, ievērojot, ka pārvietotais GES vienību apjoms nepārsniedz 75</w:t>
      </w:r>
      <w:r w:rsidR="008C0213">
        <w:rPr>
          <w:sz w:val="28"/>
          <w:szCs w:val="28"/>
        </w:rPr>
        <w:t> </w:t>
      </w:r>
      <w:r w:rsidRPr="001E5695">
        <w:rPr>
          <w:sz w:val="28"/>
          <w:szCs w:val="28"/>
        </w:rPr>
        <w:t>% no 2021.</w:t>
      </w:r>
      <w:r w:rsidR="008C0213">
        <w:rPr>
          <w:sz w:val="28"/>
          <w:szCs w:val="28"/>
        </w:rPr>
        <w:t> </w:t>
      </w:r>
      <w:r w:rsidRPr="001E5695">
        <w:rPr>
          <w:sz w:val="28"/>
          <w:szCs w:val="28"/>
        </w:rPr>
        <w:t>gadam piešķirtā GES vienību apjoma;</w:t>
      </w:r>
    </w:p>
    <w:p w14:paraId="2164D175" w14:textId="770474D1"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laikā posmā no 2022.</w:t>
      </w:r>
      <w:r w:rsidR="008C0213">
        <w:rPr>
          <w:sz w:val="28"/>
          <w:szCs w:val="28"/>
        </w:rPr>
        <w:t> </w:t>
      </w:r>
      <w:r w:rsidRPr="001E5695">
        <w:rPr>
          <w:sz w:val="28"/>
          <w:szCs w:val="28"/>
        </w:rPr>
        <w:t>gada līdz 2029.</w:t>
      </w:r>
      <w:r w:rsidR="008C0213">
        <w:rPr>
          <w:sz w:val="28"/>
          <w:szCs w:val="28"/>
        </w:rPr>
        <w:t> </w:t>
      </w:r>
      <w:r w:rsidRPr="001E5695">
        <w:rPr>
          <w:sz w:val="28"/>
          <w:szCs w:val="28"/>
        </w:rPr>
        <w:t>gadam</w:t>
      </w:r>
      <w:r w:rsidR="008C0213">
        <w:rPr>
          <w:sz w:val="28"/>
          <w:szCs w:val="28"/>
        </w:rPr>
        <w:t> </w:t>
      </w:r>
      <w:r w:rsidRPr="001E5695">
        <w:rPr>
          <w:sz w:val="28"/>
          <w:szCs w:val="28"/>
        </w:rPr>
        <w:t>–</w:t>
      </w:r>
      <w:r w:rsidR="008C0213">
        <w:rPr>
          <w:sz w:val="28"/>
          <w:szCs w:val="28"/>
        </w:rPr>
        <w:t> </w:t>
      </w:r>
      <w:r w:rsidRPr="001E5695">
        <w:rPr>
          <w:sz w:val="28"/>
          <w:szCs w:val="28"/>
        </w:rPr>
        <w:t>attiecīgā gada atbilstības konta GES vienību pozitīvo bilanci, ja tāda rodas pēc attiecīgā gada saistību izpildes, pārvieto uz tekošajam gadam sekojošo gadu atbilstības kontiem līdz 2030.</w:t>
      </w:r>
      <w:r w:rsidR="008C0213">
        <w:rPr>
          <w:sz w:val="28"/>
          <w:szCs w:val="28"/>
        </w:rPr>
        <w:t> </w:t>
      </w:r>
      <w:r w:rsidRPr="001E5695">
        <w:rPr>
          <w:sz w:val="28"/>
          <w:szCs w:val="28"/>
        </w:rPr>
        <w:t xml:space="preserve">gadam, ievērojot, ka pārvietotais GES </w:t>
      </w:r>
      <w:r w:rsidRPr="001E5695">
        <w:rPr>
          <w:sz w:val="28"/>
          <w:szCs w:val="28"/>
        </w:rPr>
        <w:lastRenderedPageBreak/>
        <w:t>vienību apjoms nepārsniedz 25</w:t>
      </w:r>
      <w:r w:rsidR="008C0213">
        <w:rPr>
          <w:sz w:val="28"/>
          <w:szCs w:val="28"/>
        </w:rPr>
        <w:t> </w:t>
      </w:r>
      <w:r w:rsidRPr="001E5695">
        <w:rPr>
          <w:sz w:val="28"/>
          <w:szCs w:val="28"/>
        </w:rPr>
        <w:t xml:space="preserve">% no tekošajam gadam piešķirtā GES vienību apjoma; </w:t>
      </w:r>
    </w:p>
    <w:p w14:paraId="33C4296E" w14:textId="6C55158F"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laika posmā no 2021. līdz 2025.</w:t>
      </w:r>
      <w:r w:rsidR="008C0213">
        <w:rPr>
          <w:sz w:val="28"/>
          <w:szCs w:val="28"/>
        </w:rPr>
        <w:t> </w:t>
      </w:r>
      <w:r w:rsidRPr="001E5695">
        <w:rPr>
          <w:sz w:val="28"/>
          <w:szCs w:val="28"/>
        </w:rPr>
        <w:t>gadam</w:t>
      </w:r>
      <w:r w:rsidR="008C0213">
        <w:rPr>
          <w:sz w:val="28"/>
          <w:szCs w:val="28"/>
        </w:rPr>
        <w:t> </w:t>
      </w:r>
      <w:r w:rsidRPr="001E5695">
        <w:rPr>
          <w:sz w:val="28"/>
          <w:szCs w:val="28"/>
        </w:rPr>
        <w:t>–</w:t>
      </w:r>
      <w:r w:rsidR="008C0213">
        <w:rPr>
          <w:sz w:val="28"/>
          <w:szCs w:val="28"/>
        </w:rPr>
        <w:t> </w:t>
      </w:r>
      <w:r w:rsidRPr="001E5695">
        <w:rPr>
          <w:sz w:val="28"/>
          <w:szCs w:val="28"/>
        </w:rPr>
        <w:t>pirms Latvijas tekošā gada atbilstības konta bilances aprēķināšanas, tirdzniecības ar GES vienībām darījumu rezultātā pārskaita GES vienības no attiecīgā gada atbilstības konta uz citas ES dalībvalsts attiecīgā gada atbilstības kontu, ievērojot, ka pārskaitītais GES vienību apjoms nepārsniedz 10 % no tekošajam gadam piešķirtā GES vienību apjoma;</w:t>
      </w:r>
    </w:p>
    <w:p w14:paraId="07763615" w14:textId="4224C6BA"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laika posmā no 2026. līdz 2030.</w:t>
      </w:r>
      <w:r w:rsidR="008C0213">
        <w:rPr>
          <w:sz w:val="28"/>
          <w:szCs w:val="28"/>
        </w:rPr>
        <w:t> </w:t>
      </w:r>
      <w:r w:rsidRPr="001E5695">
        <w:rPr>
          <w:sz w:val="28"/>
          <w:szCs w:val="28"/>
        </w:rPr>
        <w:t>gadam</w:t>
      </w:r>
      <w:r w:rsidR="008C0213">
        <w:rPr>
          <w:sz w:val="28"/>
          <w:szCs w:val="28"/>
        </w:rPr>
        <w:t> </w:t>
      </w:r>
      <w:r w:rsidRPr="001E5695">
        <w:rPr>
          <w:sz w:val="28"/>
          <w:szCs w:val="28"/>
        </w:rPr>
        <w:t>–</w:t>
      </w:r>
      <w:r w:rsidR="008C0213">
        <w:rPr>
          <w:sz w:val="28"/>
          <w:szCs w:val="28"/>
        </w:rPr>
        <w:t> </w:t>
      </w:r>
      <w:r w:rsidRPr="001E5695">
        <w:rPr>
          <w:sz w:val="28"/>
          <w:szCs w:val="28"/>
        </w:rPr>
        <w:t>pirms Latvijas tekošā gada atbilstības konta bilances aprēķināšanas, tirdzniecības ar GES vienībām darījumu rezultātā pārskaita GES vienības no attiecīgā gada atbilstības konta uz citas ES dalībvalsts attiecīgā gada atbilstības kontu, ievērojot, ka pārskaitītais GES vienību apjoms nepārsniedz 15</w:t>
      </w:r>
      <w:r w:rsidR="008C0213">
        <w:rPr>
          <w:sz w:val="28"/>
          <w:szCs w:val="28"/>
        </w:rPr>
        <w:t> </w:t>
      </w:r>
      <w:r w:rsidRPr="001E5695">
        <w:rPr>
          <w:sz w:val="28"/>
          <w:szCs w:val="28"/>
        </w:rPr>
        <w:t>% no tekošajam gadam piešķirtā GES vienību apjoma;</w:t>
      </w:r>
    </w:p>
    <w:p w14:paraId="5D05844A" w14:textId="77777777"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pēc Latvijas tekošā gada atbilstības konta bilances aprēķināšanas, tirdzniecības ar GES vienībām darījumu rezultātā attiecīgā gada atbilstības konta pozitīvo bilanci pārskaita uz citas ES dalībvalsts konkrēta gada atbilstības kontu.</w:t>
      </w:r>
    </w:p>
    <w:p w14:paraId="37B101B8" w14:textId="77777777" w:rsidR="007D6815" w:rsidRPr="001E5695" w:rsidRDefault="007D6815" w:rsidP="00630F52">
      <w:pPr>
        <w:pStyle w:val="ListParagraph"/>
        <w:numPr>
          <w:ilvl w:val="0"/>
          <w:numId w:val="3"/>
        </w:numPr>
        <w:ind w:left="357" w:hanging="357"/>
        <w:contextualSpacing w:val="0"/>
        <w:jc w:val="both"/>
        <w:rPr>
          <w:sz w:val="28"/>
          <w:szCs w:val="28"/>
        </w:rPr>
      </w:pPr>
      <w:r w:rsidRPr="001E5695">
        <w:rPr>
          <w:sz w:val="28"/>
          <w:szCs w:val="28"/>
        </w:rPr>
        <w:t xml:space="preserve">ja vienam gadam piešķirto </w:t>
      </w:r>
      <w:r w:rsidRPr="001E5695">
        <w:rPr>
          <w:sz w:val="28"/>
          <w:szCs w:val="28"/>
          <w:u w:val="single"/>
        </w:rPr>
        <w:t xml:space="preserve">GES vienību ir </w:t>
      </w:r>
      <w:r w:rsidRPr="001E5695">
        <w:rPr>
          <w:b/>
          <w:sz w:val="28"/>
          <w:szCs w:val="28"/>
          <w:u w:val="single"/>
        </w:rPr>
        <w:t>mazāk</w:t>
      </w:r>
      <w:r w:rsidRPr="001E5695">
        <w:rPr>
          <w:sz w:val="28"/>
          <w:szCs w:val="28"/>
          <w:u w:val="single"/>
        </w:rPr>
        <w:t xml:space="preserve"> nekā nepieciešams </w:t>
      </w:r>
      <w:r w:rsidRPr="001E5695">
        <w:rPr>
          <w:sz w:val="28"/>
          <w:szCs w:val="28"/>
        </w:rPr>
        <w:t>Latvijas saistību segšanai konkrētajam gadam:</w:t>
      </w:r>
    </w:p>
    <w:p w14:paraId="1C9BCCD5" w14:textId="19035E5C"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laika posmā no 2021. gada līdz 2025.</w:t>
      </w:r>
      <w:r w:rsidR="008C0213">
        <w:rPr>
          <w:sz w:val="28"/>
          <w:szCs w:val="28"/>
        </w:rPr>
        <w:t> </w:t>
      </w:r>
      <w:r w:rsidRPr="001E5695">
        <w:rPr>
          <w:sz w:val="28"/>
          <w:szCs w:val="28"/>
        </w:rPr>
        <w:t>gadam</w:t>
      </w:r>
      <w:r w:rsidR="008C0213">
        <w:rPr>
          <w:sz w:val="28"/>
          <w:szCs w:val="28"/>
        </w:rPr>
        <w:t> </w:t>
      </w:r>
      <w:r w:rsidRPr="001E5695">
        <w:rPr>
          <w:sz w:val="28"/>
          <w:szCs w:val="28"/>
        </w:rPr>
        <w:t>–</w:t>
      </w:r>
      <w:r w:rsidR="008C0213">
        <w:rPr>
          <w:sz w:val="28"/>
          <w:szCs w:val="28"/>
        </w:rPr>
        <w:t> </w:t>
      </w:r>
      <w:r w:rsidRPr="001E5695">
        <w:rPr>
          <w:sz w:val="28"/>
          <w:szCs w:val="28"/>
        </w:rPr>
        <w:t>lai segtu GES vienību iztrūkumu tekošajā gadā, bet samazinot pieejamo GES vienību apjomu tam sekojošā gadā, uz tekošā gada atbilstības kontu pārvieto līdz 7,5 % no nākamajam gadam piešķirtā GES vienību apjoma;</w:t>
      </w:r>
    </w:p>
    <w:p w14:paraId="200DCAD1" w14:textId="4AB7CBF8"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laika posmā no 2026. gada līdz 2029.</w:t>
      </w:r>
      <w:r w:rsidR="00524F57">
        <w:rPr>
          <w:sz w:val="28"/>
          <w:szCs w:val="28"/>
        </w:rPr>
        <w:t> </w:t>
      </w:r>
      <w:r w:rsidRPr="001E5695">
        <w:rPr>
          <w:sz w:val="28"/>
          <w:szCs w:val="28"/>
        </w:rPr>
        <w:t>gadam – lai segtu GES vienību iztrūkumu tekošajā gadā, bet samazinot pieejamo GES vienību apjomu tam sekojošā gadā, uz tekošā gada atbilstības kontu pārvieto līdz 5 % no nākamajam gadam piešķirtā GES vienību apjoma;</w:t>
      </w:r>
    </w:p>
    <w:p w14:paraId="3C1BE75F" w14:textId="4F5E6B6B" w:rsidR="000B7863" w:rsidRPr="001E5695" w:rsidRDefault="000B7863" w:rsidP="007D6815">
      <w:pPr>
        <w:pStyle w:val="ListParagraph"/>
        <w:numPr>
          <w:ilvl w:val="1"/>
          <w:numId w:val="3"/>
        </w:numPr>
        <w:ind w:left="1134"/>
        <w:contextualSpacing w:val="0"/>
        <w:jc w:val="both"/>
        <w:rPr>
          <w:sz w:val="28"/>
          <w:szCs w:val="28"/>
        </w:rPr>
      </w:pPr>
      <w:r w:rsidRPr="001E5695">
        <w:rPr>
          <w:sz w:val="28"/>
          <w:szCs w:val="28"/>
        </w:rPr>
        <w:t>izmanto</w:t>
      </w:r>
      <w:r w:rsidR="00B21022" w:rsidRPr="001E5695">
        <w:rPr>
          <w:sz w:val="28"/>
          <w:szCs w:val="28"/>
        </w:rPr>
        <w:t xml:space="preserve"> </w:t>
      </w:r>
      <w:r w:rsidR="003C136A" w:rsidRPr="001E5695">
        <w:rPr>
          <w:sz w:val="28"/>
          <w:szCs w:val="28"/>
        </w:rPr>
        <w:t>elastības</w:t>
      </w:r>
      <w:r w:rsidR="00B21022" w:rsidRPr="001E5695">
        <w:rPr>
          <w:sz w:val="28"/>
          <w:szCs w:val="28"/>
        </w:rPr>
        <w:t xml:space="preserve"> iespējas</w:t>
      </w:r>
      <w:r w:rsidR="003C136A" w:rsidRPr="001E5695">
        <w:rPr>
          <w:sz w:val="28"/>
          <w:szCs w:val="28"/>
        </w:rPr>
        <w:t xml:space="preserve"> atbilstoši Regulas 2018/842 7.</w:t>
      </w:r>
      <w:r w:rsidR="00524F57">
        <w:rPr>
          <w:sz w:val="28"/>
          <w:szCs w:val="28"/>
        </w:rPr>
        <w:t> </w:t>
      </w:r>
      <w:r w:rsidR="003C136A" w:rsidRPr="001E5695">
        <w:rPr>
          <w:sz w:val="28"/>
          <w:szCs w:val="28"/>
        </w:rPr>
        <w:t xml:space="preserve">pantā noteiktajam, </w:t>
      </w:r>
      <w:r w:rsidR="009D1623" w:rsidRPr="001E5695">
        <w:rPr>
          <w:sz w:val="28"/>
          <w:szCs w:val="28"/>
        </w:rPr>
        <w:t xml:space="preserve">GES vienību skaita iztrūkumu </w:t>
      </w:r>
      <w:r w:rsidR="00B16011" w:rsidRPr="001E5695">
        <w:rPr>
          <w:sz w:val="28"/>
          <w:szCs w:val="28"/>
        </w:rPr>
        <w:t>sedz</w:t>
      </w:r>
      <w:r w:rsidR="007F051A" w:rsidRPr="001E5695">
        <w:rPr>
          <w:sz w:val="28"/>
          <w:szCs w:val="28"/>
        </w:rPr>
        <w:t>ot</w:t>
      </w:r>
      <w:r w:rsidR="00B16011" w:rsidRPr="001E5695">
        <w:rPr>
          <w:sz w:val="28"/>
          <w:szCs w:val="28"/>
        </w:rPr>
        <w:t xml:space="preserve"> ar piesaistes vienībām</w:t>
      </w:r>
      <w:r w:rsidR="00697ADC" w:rsidRPr="001E5695">
        <w:rPr>
          <w:sz w:val="28"/>
          <w:szCs w:val="28"/>
        </w:rPr>
        <w:t xml:space="preserve"> saskaņā ar </w:t>
      </w:r>
      <w:r w:rsidR="00697ADC" w:rsidRPr="001E5695">
        <w:rPr>
          <w:i/>
          <w:iCs/>
          <w:sz w:val="28"/>
          <w:szCs w:val="28"/>
        </w:rPr>
        <w:t>Eiropas Parlamenta un Padomes 2018.</w:t>
      </w:r>
      <w:r w:rsidR="00524F57">
        <w:rPr>
          <w:i/>
          <w:iCs/>
          <w:sz w:val="28"/>
          <w:szCs w:val="28"/>
        </w:rPr>
        <w:t> </w:t>
      </w:r>
      <w:r w:rsidR="00697ADC" w:rsidRPr="001E5695">
        <w:rPr>
          <w:i/>
          <w:iCs/>
          <w:sz w:val="28"/>
          <w:szCs w:val="28"/>
        </w:rPr>
        <w:t>gada 30.</w:t>
      </w:r>
      <w:r w:rsidR="00524F57">
        <w:rPr>
          <w:i/>
          <w:iCs/>
          <w:sz w:val="28"/>
          <w:szCs w:val="28"/>
        </w:rPr>
        <w:t> </w:t>
      </w:r>
      <w:r w:rsidR="00697ADC" w:rsidRPr="001E5695">
        <w:rPr>
          <w:i/>
          <w:iCs/>
          <w:sz w:val="28"/>
          <w:szCs w:val="28"/>
        </w:rPr>
        <w:t xml:space="preserve">maija </w:t>
      </w:r>
      <w:r w:rsidR="007F051A" w:rsidRPr="001E5695">
        <w:rPr>
          <w:i/>
          <w:iCs/>
          <w:sz w:val="28"/>
          <w:szCs w:val="28"/>
        </w:rPr>
        <w:t>Regulu (ES) 2018/841 par zemes izmantošanā, zemes izmantošanas maiņā un mežsaimniecībā radušos siltumnīcefekta gāzu emisiju un piesaistes iekļaušanu klimata un enerģētikas politikas satvarā laikposmam līdz 2030. gadam un ar ko groza Regulu (ES) Nr. 525/2013 un Lēmumu Nr.</w:t>
      </w:r>
      <w:r w:rsidR="00524F57">
        <w:rPr>
          <w:i/>
          <w:iCs/>
          <w:sz w:val="28"/>
          <w:szCs w:val="28"/>
        </w:rPr>
        <w:t> </w:t>
      </w:r>
      <w:r w:rsidR="007F051A" w:rsidRPr="001E5695">
        <w:rPr>
          <w:i/>
          <w:iCs/>
          <w:sz w:val="28"/>
          <w:szCs w:val="28"/>
        </w:rPr>
        <w:t>529/2013/ES</w:t>
      </w:r>
      <w:r w:rsidR="001E5695" w:rsidRPr="001E5695">
        <w:rPr>
          <w:i/>
          <w:iCs/>
          <w:sz w:val="28"/>
          <w:szCs w:val="28"/>
        </w:rPr>
        <w:t xml:space="preserve"> </w:t>
      </w:r>
      <w:r w:rsidR="001E5695" w:rsidRPr="001E5695">
        <w:rPr>
          <w:sz w:val="28"/>
          <w:szCs w:val="28"/>
        </w:rPr>
        <w:t>12. pantu</w:t>
      </w:r>
      <w:r w:rsidR="007F051A" w:rsidRPr="001E5695">
        <w:rPr>
          <w:sz w:val="28"/>
          <w:szCs w:val="28"/>
        </w:rPr>
        <w:t>;</w:t>
      </w:r>
    </w:p>
    <w:p w14:paraId="4C2A79AF" w14:textId="77777777" w:rsidR="007D6815" w:rsidRPr="001E5695" w:rsidRDefault="007D6815" w:rsidP="007D6815">
      <w:pPr>
        <w:pStyle w:val="ListParagraph"/>
        <w:numPr>
          <w:ilvl w:val="1"/>
          <w:numId w:val="3"/>
        </w:numPr>
        <w:ind w:left="1134"/>
        <w:contextualSpacing w:val="0"/>
        <w:jc w:val="both"/>
        <w:rPr>
          <w:sz w:val="28"/>
          <w:szCs w:val="28"/>
        </w:rPr>
      </w:pPr>
      <w:r w:rsidRPr="001E5695">
        <w:rPr>
          <w:sz w:val="28"/>
          <w:szCs w:val="28"/>
        </w:rPr>
        <w:t xml:space="preserve">tirdzniecības ar GES vienībām darījumu rezultātā nodrošina nepieciešamo GES vienību skaitu attiecīgajā atbilstības kontā, iegādājoties GES vienības no citām ES dalībvalstīm un veicot </w:t>
      </w:r>
      <w:proofErr w:type="spellStart"/>
      <w:r w:rsidRPr="001E5695">
        <w:rPr>
          <w:sz w:val="28"/>
          <w:szCs w:val="28"/>
        </w:rPr>
        <w:t>pārskaitījumus</w:t>
      </w:r>
      <w:proofErr w:type="spellEnd"/>
      <w:r w:rsidRPr="001E5695">
        <w:rPr>
          <w:sz w:val="28"/>
          <w:szCs w:val="28"/>
        </w:rPr>
        <w:t xml:space="preserve"> uz attiecīgā gada Latvijas atbilstības kontu no citu ES dalībvalstu kontiem.</w:t>
      </w:r>
    </w:p>
    <w:p w14:paraId="1B43A270" w14:textId="087A1AC4" w:rsidR="007719CA" w:rsidRDefault="006F0E2A" w:rsidP="00AD29D9">
      <w:pPr>
        <w:ind w:firstLine="567"/>
        <w:jc w:val="both"/>
        <w:rPr>
          <w:sz w:val="28"/>
          <w:szCs w:val="28"/>
        </w:rPr>
      </w:pPr>
      <w:r>
        <w:rPr>
          <w:sz w:val="28"/>
          <w:szCs w:val="28"/>
        </w:rPr>
        <w:t>Atbilstoši Regulas 2018/842</w:t>
      </w:r>
      <w:r w:rsidR="00C350E2">
        <w:rPr>
          <w:sz w:val="28"/>
          <w:szCs w:val="28"/>
        </w:rPr>
        <w:t xml:space="preserve"> </w:t>
      </w:r>
      <w:r w:rsidR="00C40AF1">
        <w:rPr>
          <w:sz w:val="28"/>
          <w:szCs w:val="28"/>
        </w:rPr>
        <w:t xml:space="preserve"> </w:t>
      </w:r>
      <w:r w:rsidR="00C350E2">
        <w:rPr>
          <w:sz w:val="28"/>
          <w:szCs w:val="28"/>
        </w:rPr>
        <w:t>9.</w:t>
      </w:r>
      <w:r w:rsidR="00C40AF1">
        <w:rPr>
          <w:sz w:val="28"/>
          <w:szCs w:val="28"/>
        </w:rPr>
        <w:t> </w:t>
      </w:r>
      <w:r w:rsidR="00C350E2">
        <w:rPr>
          <w:sz w:val="28"/>
          <w:szCs w:val="28"/>
        </w:rPr>
        <w:t xml:space="preserve">pantam, </w:t>
      </w:r>
      <w:r w:rsidR="009A372C" w:rsidRPr="009A372C">
        <w:rPr>
          <w:sz w:val="28"/>
          <w:szCs w:val="28"/>
        </w:rPr>
        <w:t>SEG emisiju samazināšanas saistību izpild</w:t>
      </w:r>
      <w:r w:rsidR="009A372C">
        <w:rPr>
          <w:sz w:val="28"/>
          <w:szCs w:val="28"/>
        </w:rPr>
        <w:t>e</w:t>
      </w:r>
      <w:r w:rsidR="00070A62">
        <w:rPr>
          <w:sz w:val="28"/>
          <w:szCs w:val="28"/>
        </w:rPr>
        <w:t>s atbilstības pārbaude</w:t>
      </w:r>
      <w:r w:rsidR="009A372C" w:rsidRPr="009A372C">
        <w:rPr>
          <w:sz w:val="28"/>
          <w:szCs w:val="28"/>
        </w:rPr>
        <w:t xml:space="preserve"> </w:t>
      </w:r>
      <w:r w:rsidR="002F75DF">
        <w:rPr>
          <w:sz w:val="28"/>
          <w:szCs w:val="28"/>
        </w:rPr>
        <w:t>Regul</w:t>
      </w:r>
      <w:r w:rsidR="00A27323">
        <w:rPr>
          <w:sz w:val="28"/>
          <w:szCs w:val="28"/>
        </w:rPr>
        <w:t>as 2018/842 aptvert</w:t>
      </w:r>
      <w:r w:rsidR="0028604E">
        <w:rPr>
          <w:sz w:val="28"/>
          <w:szCs w:val="28"/>
        </w:rPr>
        <w:t xml:space="preserve">ajos sektoros </w:t>
      </w:r>
      <w:r w:rsidR="009A372C" w:rsidRPr="009A372C">
        <w:rPr>
          <w:sz w:val="28"/>
          <w:szCs w:val="28"/>
        </w:rPr>
        <w:t>periodam no 2021. gada līdz 2030.</w:t>
      </w:r>
      <w:r w:rsidR="00C40AF1">
        <w:rPr>
          <w:sz w:val="28"/>
          <w:szCs w:val="28"/>
        </w:rPr>
        <w:t> </w:t>
      </w:r>
      <w:r w:rsidR="009A372C" w:rsidRPr="009A372C">
        <w:rPr>
          <w:sz w:val="28"/>
          <w:szCs w:val="28"/>
        </w:rPr>
        <w:t>gadam</w:t>
      </w:r>
      <w:r w:rsidR="00070A62">
        <w:rPr>
          <w:sz w:val="28"/>
          <w:szCs w:val="28"/>
        </w:rPr>
        <w:t xml:space="preserve"> notiks divas reizes – 2027.</w:t>
      </w:r>
      <w:r w:rsidR="00C40AF1">
        <w:rPr>
          <w:sz w:val="28"/>
          <w:szCs w:val="28"/>
        </w:rPr>
        <w:t> </w:t>
      </w:r>
      <w:r w:rsidR="00070A62">
        <w:rPr>
          <w:sz w:val="28"/>
          <w:szCs w:val="28"/>
        </w:rPr>
        <w:t>gadā un 2032.</w:t>
      </w:r>
      <w:r w:rsidR="00C40AF1">
        <w:rPr>
          <w:sz w:val="28"/>
          <w:szCs w:val="28"/>
        </w:rPr>
        <w:t> </w:t>
      </w:r>
      <w:r w:rsidR="00070A62">
        <w:rPr>
          <w:sz w:val="28"/>
          <w:szCs w:val="28"/>
        </w:rPr>
        <w:t>gadā.</w:t>
      </w:r>
      <w:r w:rsidR="00503264">
        <w:rPr>
          <w:sz w:val="28"/>
          <w:szCs w:val="28"/>
        </w:rPr>
        <w:t xml:space="preserve"> Ka</w:t>
      </w:r>
      <w:r w:rsidR="008C46C7">
        <w:rPr>
          <w:sz w:val="28"/>
          <w:szCs w:val="28"/>
        </w:rPr>
        <w:t xml:space="preserve">ut </w:t>
      </w:r>
      <w:r w:rsidR="008C46C7">
        <w:rPr>
          <w:sz w:val="28"/>
          <w:szCs w:val="28"/>
        </w:rPr>
        <w:lastRenderedPageBreak/>
        <w:t>arī iepriekšēj</w:t>
      </w:r>
      <w:r w:rsidR="00E81CF7">
        <w:rPr>
          <w:sz w:val="28"/>
          <w:szCs w:val="28"/>
        </w:rPr>
        <w:t>am</w:t>
      </w:r>
      <w:r w:rsidR="008C46C7">
        <w:rPr>
          <w:sz w:val="28"/>
          <w:szCs w:val="28"/>
        </w:rPr>
        <w:t xml:space="preserve"> </w:t>
      </w:r>
      <w:r w:rsidR="00E81CF7">
        <w:rPr>
          <w:sz w:val="28"/>
          <w:szCs w:val="28"/>
        </w:rPr>
        <w:t>saistību izpildes periodam</w:t>
      </w:r>
      <w:r w:rsidR="008C46C7">
        <w:rPr>
          <w:sz w:val="28"/>
          <w:szCs w:val="28"/>
        </w:rPr>
        <w:t xml:space="preserve"> no 2013. gada līdz 2020.</w:t>
      </w:r>
      <w:r w:rsidR="00C40AF1">
        <w:rPr>
          <w:sz w:val="28"/>
          <w:szCs w:val="28"/>
        </w:rPr>
        <w:t> </w:t>
      </w:r>
      <w:r w:rsidR="008C46C7">
        <w:rPr>
          <w:sz w:val="28"/>
          <w:szCs w:val="28"/>
        </w:rPr>
        <w:t xml:space="preserve">gadam </w:t>
      </w:r>
      <w:r w:rsidR="00E81CF7">
        <w:rPr>
          <w:sz w:val="28"/>
          <w:szCs w:val="28"/>
        </w:rPr>
        <w:t>GES mērķu atbilstības pārbaudes tika</w:t>
      </w:r>
      <w:r w:rsidR="002B4DC6">
        <w:rPr>
          <w:sz w:val="28"/>
          <w:szCs w:val="28"/>
        </w:rPr>
        <w:t xml:space="preserve"> </w:t>
      </w:r>
      <w:r w:rsidR="00E814AB">
        <w:rPr>
          <w:sz w:val="28"/>
          <w:szCs w:val="28"/>
        </w:rPr>
        <w:t xml:space="preserve">īstenotas katru gadu, GES mērķu atbilstības pārbaudes divas reizes saistību izpildes periodā </w:t>
      </w:r>
      <w:r w:rsidR="005004CD">
        <w:rPr>
          <w:sz w:val="28"/>
          <w:szCs w:val="28"/>
        </w:rPr>
        <w:t xml:space="preserve">neatbrīvos </w:t>
      </w:r>
      <w:r w:rsidR="00443935">
        <w:rPr>
          <w:sz w:val="28"/>
          <w:szCs w:val="28"/>
        </w:rPr>
        <w:t>ES dalībvalstis no pienākuma nodrošināt GES mērķu izpildei pietiekamu GES vienību skaitu katra gada atbilstības kontā.</w:t>
      </w:r>
    </w:p>
    <w:p w14:paraId="436CC4CF" w14:textId="06A1B557" w:rsidR="000876B3" w:rsidRDefault="007C30E1" w:rsidP="000F646F">
      <w:pPr>
        <w:ind w:firstLine="567"/>
        <w:jc w:val="both"/>
        <w:rPr>
          <w:sz w:val="28"/>
          <w:szCs w:val="28"/>
        </w:rPr>
      </w:pPr>
      <w:r>
        <w:rPr>
          <w:sz w:val="28"/>
          <w:szCs w:val="28"/>
        </w:rPr>
        <w:t>Latvijas īpašumtiesības uz GES vienībām rodas brīdī, kad centrālais administrators</w:t>
      </w:r>
      <w:r w:rsidR="005F461A">
        <w:rPr>
          <w:sz w:val="28"/>
          <w:szCs w:val="28"/>
        </w:rPr>
        <w:t xml:space="preserve"> tās ir ieskaitījis Latvijas atbilstības kontos Savienības reģistrā. </w:t>
      </w:r>
      <w:r w:rsidR="002F75DF">
        <w:rPr>
          <w:sz w:val="28"/>
          <w:szCs w:val="28"/>
        </w:rPr>
        <w:t>Ņemot vērā, ka pirmā a</w:t>
      </w:r>
      <w:r w:rsidR="00A27323">
        <w:rPr>
          <w:sz w:val="28"/>
          <w:szCs w:val="28"/>
        </w:rPr>
        <w:t xml:space="preserve">tbilstības pārbaude </w:t>
      </w:r>
      <w:r w:rsidR="00120886">
        <w:rPr>
          <w:sz w:val="28"/>
          <w:szCs w:val="28"/>
        </w:rPr>
        <w:t xml:space="preserve">SEG emisiju samazināšanas saistību </w:t>
      </w:r>
      <w:r w:rsidR="00E843B3">
        <w:rPr>
          <w:sz w:val="28"/>
          <w:szCs w:val="28"/>
        </w:rPr>
        <w:t xml:space="preserve">izpildei </w:t>
      </w:r>
      <w:r w:rsidR="00A27323">
        <w:rPr>
          <w:sz w:val="28"/>
          <w:szCs w:val="28"/>
        </w:rPr>
        <w:t xml:space="preserve">Regulas 2018/842 </w:t>
      </w:r>
      <w:r w:rsidR="00120886">
        <w:rPr>
          <w:sz w:val="28"/>
          <w:szCs w:val="28"/>
        </w:rPr>
        <w:t xml:space="preserve">aptvertajos sektoros </w:t>
      </w:r>
      <w:r w:rsidR="00A27323">
        <w:rPr>
          <w:sz w:val="28"/>
          <w:szCs w:val="28"/>
        </w:rPr>
        <w:t xml:space="preserve">paredzēta </w:t>
      </w:r>
      <w:r w:rsidR="004E600D">
        <w:rPr>
          <w:sz w:val="28"/>
          <w:szCs w:val="28"/>
        </w:rPr>
        <w:t>2027.</w:t>
      </w:r>
      <w:r w:rsidR="00DE3E34">
        <w:rPr>
          <w:sz w:val="28"/>
          <w:szCs w:val="28"/>
        </w:rPr>
        <w:t> </w:t>
      </w:r>
      <w:r w:rsidR="004E600D">
        <w:rPr>
          <w:sz w:val="28"/>
          <w:szCs w:val="28"/>
        </w:rPr>
        <w:t xml:space="preserve">gadā, </w:t>
      </w:r>
      <w:r w:rsidR="00886434">
        <w:rPr>
          <w:sz w:val="28"/>
          <w:szCs w:val="28"/>
        </w:rPr>
        <w:t xml:space="preserve">uz informatīvā ziņojuma izstrādes brīdi </w:t>
      </w:r>
      <w:r w:rsidR="00CB53DC">
        <w:rPr>
          <w:sz w:val="28"/>
          <w:szCs w:val="28"/>
        </w:rPr>
        <w:t>Regulas 2018/842 aptverto</w:t>
      </w:r>
      <w:r w:rsidR="00D74C8E">
        <w:rPr>
          <w:sz w:val="28"/>
          <w:szCs w:val="28"/>
        </w:rPr>
        <w:t xml:space="preserve"> </w:t>
      </w:r>
      <w:r w:rsidR="00381633">
        <w:rPr>
          <w:sz w:val="28"/>
          <w:szCs w:val="28"/>
        </w:rPr>
        <w:t>sektoru</w:t>
      </w:r>
      <w:r w:rsidR="00D74C8E">
        <w:rPr>
          <w:sz w:val="28"/>
          <w:szCs w:val="28"/>
        </w:rPr>
        <w:t xml:space="preserve"> sadaļa Savienības reģistrā nav izveidota, t.i., nav </w:t>
      </w:r>
      <w:r w:rsidR="009C1822">
        <w:rPr>
          <w:sz w:val="28"/>
          <w:szCs w:val="28"/>
        </w:rPr>
        <w:t xml:space="preserve">norādīti dalībvalstīm saistošie GES mērķi un </w:t>
      </w:r>
      <w:r w:rsidR="006558C4">
        <w:rPr>
          <w:sz w:val="28"/>
          <w:szCs w:val="28"/>
        </w:rPr>
        <w:t xml:space="preserve">atbilstības kontos ieskaitītas tiem atbilstīgās GES vienības. </w:t>
      </w:r>
      <w:r w:rsidR="00BC7BAD">
        <w:rPr>
          <w:sz w:val="28"/>
          <w:szCs w:val="28"/>
        </w:rPr>
        <w:t xml:space="preserve">Balstoties uz aktuālāko informāciju, šo procesu no centrālā </w:t>
      </w:r>
      <w:r w:rsidR="00273186">
        <w:rPr>
          <w:sz w:val="28"/>
          <w:szCs w:val="28"/>
        </w:rPr>
        <w:t>administratora puses paredzēts pakāpeniski uzsākt 2024.</w:t>
      </w:r>
      <w:r w:rsidR="00DE3E34">
        <w:rPr>
          <w:sz w:val="28"/>
          <w:szCs w:val="28"/>
        </w:rPr>
        <w:t> </w:t>
      </w:r>
      <w:r w:rsidR="00273186">
        <w:rPr>
          <w:sz w:val="28"/>
          <w:szCs w:val="28"/>
        </w:rPr>
        <w:t>gadā.</w:t>
      </w:r>
      <w:r w:rsidR="006F01B0">
        <w:rPr>
          <w:sz w:val="28"/>
          <w:szCs w:val="28"/>
        </w:rPr>
        <w:t xml:space="preserve"> Tādējādi,</w:t>
      </w:r>
      <w:r w:rsidR="00BB20D5">
        <w:rPr>
          <w:sz w:val="28"/>
          <w:szCs w:val="28"/>
        </w:rPr>
        <w:t xml:space="preserve"> uz informatīvā ziņojuma izstrādes brīdi</w:t>
      </w:r>
      <w:r w:rsidR="006F01B0">
        <w:rPr>
          <w:sz w:val="28"/>
          <w:szCs w:val="28"/>
        </w:rPr>
        <w:t xml:space="preserve"> Latvijai </w:t>
      </w:r>
      <w:r w:rsidR="00EC5EAF">
        <w:rPr>
          <w:sz w:val="28"/>
          <w:szCs w:val="28"/>
        </w:rPr>
        <w:t>darbības ar GES vienībām</w:t>
      </w:r>
      <w:r w:rsidR="00243594">
        <w:rPr>
          <w:sz w:val="28"/>
          <w:szCs w:val="28"/>
        </w:rPr>
        <w:t xml:space="preserve"> </w:t>
      </w:r>
      <w:r w:rsidR="00BB20D5">
        <w:rPr>
          <w:sz w:val="28"/>
          <w:szCs w:val="28"/>
        </w:rPr>
        <w:t xml:space="preserve">Savienības reģistrā </w:t>
      </w:r>
      <w:r w:rsidR="00243594">
        <w:rPr>
          <w:sz w:val="28"/>
          <w:szCs w:val="28"/>
        </w:rPr>
        <w:t>nav jāveic</w:t>
      </w:r>
      <w:r w:rsidR="00BB20D5">
        <w:rPr>
          <w:sz w:val="28"/>
          <w:szCs w:val="28"/>
        </w:rPr>
        <w:t>,</w:t>
      </w:r>
      <w:r w:rsidR="009A291D">
        <w:rPr>
          <w:sz w:val="28"/>
          <w:szCs w:val="28"/>
        </w:rPr>
        <w:t xml:space="preserve"> bet tās </w:t>
      </w:r>
      <w:r w:rsidR="003D7DA2">
        <w:rPr>
          <w:sz w:val="28"/>
          <w:szCs w:val="28"/>
        </w:rPr>
        <w:t xml:space="preserve">atbilstoši pieejamajām elastības iespējām </w:t>
      </w:r>
      <w:r w:rsidR="009A291D">
        <w:rPr>
          <w:sz w:val="28"/>
          <w:szCs w:val="28"/>
        </w:rPr>
        <w:t>būs iespējams veikt laika gaitā līdz 2027.</w:t>
      </w:r>
      <w:r w:rsidR="00DE3E34">
        <w:rPr>
          <w:sz w:val="28"/>
          <w:szCs w:val="28"/>
        </w:rPr>
        <w:t> </w:t>
      </w:r>
      <w:r w:rsidR="009A291D">
        <w:rPr>
          <w:sz w:val="28"/>
          <w:szCs w:val="28"/>
        </w:rPr>
        <w:t>gadam, kad</w:t>
      </w:r>
      <w:r w:rsidR="003D7DA2">
        <w:rPr>
          <w:sz w:val="28"/>
          <w:szCs w:val="28"/>
        </w:rPr>
        <w:t xml:space="preserve"> </w:t>
      </w:r>
      <w:r w:rsidR="00BC57A2">
        <w:rPr>
          <w:sz w:val="28"/>
          <w:szCs w:val="28"/>
        </w:rPr>
        <w:t>notiks GES mērķu atbilstības pārbaude laika periodam no 2021. līdz 2025.</w:t>
      </w:r>
      <w:r w:rsidR="00DE3E34">
        <w:rPr>
          <w:sz w:val="28"/>
          <w:szCs w:val="28"/>
        </w:rPr>
        <w:t> </w:t>
      </w:r>
      <w:r w:rsidR="00BC57A2">
        <w:rPr>
          <w:sz w:val="28"/>
          <w:szCs w:val="28"/>
        </w:rPr>
        <w:t>gadam.</w:t>
      </w:r>
      <w:r w:rsidR="008175C0">
        <w:rPr>
          <w:sz w:val="28"/>
          <w:szCs w:val="28"/>
        </w:rPr>
        <w:t xml:space="preserve"> </w:t>
      </w:r>
      <w:r w:rsidR="003E77C1">
        <w:rPr>
          <w:sz w:val="28"/>
          <w:szCs w:val="28"/>
        </w:rPr>
        <w:t>Līdz ar to lēmuma pieņemšana par rīcību ar Latvija</w:t>
      </w:r>
      <w:r w:rsidR="0088360E">
        <w:rPr>
          <w:sz w:val="28"/>
          <w:szCs w:val="28"/>
        </w:rPr>
        <w:t xml:space="preserve">s rīcībā esošajām GES vienībām </w:t>
      </w:r>
      <w:r w:rsidR="00567F36">
        <w:rPr>
          <w:sz w:val="28"/>
          <w:szCs w:val="28"/>
        </w:rPr>
        <w:t>nav aktuāla.</w:t>
      </w:r>
    </w:p>
    <w:p w14:paraId="03F1AFED" w14:textId="04B67D1C" w:rsidR="00AD29D9" w:rsidRPr="008B45FB" w:rsidRDefault="00AD29D9" w:rsidP="00DE3E34">
      <w:pPr>
        <w:jc w:val="both"/>
        <w:rPr>
          <w:sz w:val="28"/>
          <w:szCs w:val="28"/>
        </w:rPr>
      </w:pPr>
    </w:p>
    <w:p w14:paraId="69F6BF1B" w14:textId="254AABC9" w:rsidR="00AD29D9" w:rsidRPr="008B45FB" w:rsidRDefault="00DE3E34" w:rsidP="00567F36">
      <w:pPr>
        <w:pStyle w:val="Default"/>
        <w:numPr>
          <w:ilvl w:val="1"/>
          <w:numId w:val="1"/>
        </w:numPr>
        <w:tabs>
          <w:tab w:val="left" w:pos="426"/>
        </w:tabs>
        <w:spacing w:after="120"/>
        <w:ind w:left="425" w:hanging="425"/>
        <w:jc w:val="center"/>
        <w:rPr>
          <w:b/>
          <w:bCs/>
          <w:color w:val="auto"/>
          <w:sz w:val="28"/>
          <w:szCs w:val="28"/>
        </w:rPr>
      </w:pPr>
      <w:r>
        <w:rPr>
          <w:b/>
          <w:bCs/>
          <w:color w:val="auto"/>
          <w:sz w:val="28"/>
          <w:szCs w:val="28"/>
        </w:rPr>
        <w:t> </w:t>
      </w:r>
      <w:r w:rsidR="00AD29D9" w:rsidRPr="008B45FB">
        <w:rPr>
          <w:b/>
          <w:bCs/>
          <w:color w:val="auto"/>
          <w:sz w:val="28"/>
          <w:szCs w:val="28"/>
        </w:rPr>
        <w:t xml:space="preserve">Potenciālo GES vienību </w:t>
      </w:r>
      <w:r w:rsidR="000D7EEE">
        <w:rPr>
          <w:b/>
          <w:bCs/>
          <w:color w:val="auto"/>
          <w:sz w:val="28"/>
          <w:szCs w:val="28"/>
        </w:rPr>
        <w:t>darījumu partneru</w:t>
      </w:r>
      <w:r w:rsidR="00AD29D9" w:rsidRPr="008B45FB">
        <w:rPr>
          <w:b/>
          <w:bCs/>
          <w:color w:val="auto"/>
          <w:sz w:val="28"/>
          <w:szCs w:val="28"/>
        </w:rPr>
        <w:t xml:space="preserve"> identificēšana</w:t>
      </w:r>
    </w:p>
    <w:p w14:paraId="4F259371" w14:textId="2ED05ACE" w:rsidR="0043320D" w:rsidRDefault="00C6526D" w:rsidP="0043320D">
      <w:pPr>
        <w:pStyle w:val="Default"/>
        <w:ind w:firstLine="567"/>
        <w:jc w:val="both"/>
        <w:rPr>
          <w:color w:val="auto"/>
          <w:sz w:val="28"/>
          <w:szCs w:val="28"/>
        </w:rPr>
      </w:pPr>
      <w:r>
        <w:rPr>
          <w:color w:val="auto"/>
          <w:sz w:val="28"/>
          <w:szCs w:val="28"/>
        </w:rPr>
        <w:t xml:space="preserve">Kaut arī </w:t>
      </w:r>
      <w:r w:rsidR="00741A37">
        <w:rPr>
          <w:color w:val="auto"/>
          <w:sz w:val="28"/>
          <w:szCs w:val="28"/>
        </w:rPr>
        <w:t>atbilstoši 2023.</w:t>
      </w:r>
      <w:r w:rsidR="00DE3E34">
        <w:rPr>
          <w:color w:val="auto"/>
          <w:sz w:val="28"/>
          <w:szCs w:val="28"/>
        </w:rPr>
        <w:t> </w:t>
      </w:r>
      <w:r w:rsidR="00741A37">
        <w:rPr>
          <w:color w:val="auto"/>
          <w:sz w:val="28"/>
          <w:szCs w:val="28"/>
        </w:rPr>
        <w:t xml:space="preserve">gada </w:t>
      </w:r>
      <w:r w:rsidR="00741A37" w:rsidRPr="00741A37">
        <w:rPr>
          <w:color w:val="auto"/>
          <w:sz w:val="28"/>
          <w:szCs w:val="28"/>
        </w:rPr>
        <w:t>Latvijas SEG inventarizācij</w:t>
      </w:r>
      <w:r w:rsidR="00741A37">
        <w:rPr>
          <w:color w:val="auto"/>
          <w:sz w:val="28"/>
          <w:szCs w:val="28"/>
        </w:rPr>
        <w:t>ai</w:t>
      </w:r>
      <w:r w:rsidR="00741A37" w:rsidRPr="00741A37">
        <w:rPr>
          <w:color w:val="auto"/>
          <w:sz w:val="28"/>
          <w:szCs w:val="28"/>
        </w:rPr>
        <w:t xml:space="preserve"> no 1990. līdz 2021.</w:t>
      </w:r>
      <w:r w:rsidR="00DE3E34">
        <w:rPr>
          <w:color w:val="auto"/>
          <w:sz w:val="28"/>
          <w:szCs w:val="28"/>
        </w:rPr>
        <w:t> </w:t>
      </w:r>
      <w:r w:rsidR="00741A37" w:rsidRPr="00741A37">
        <w:rPr>
          <w:color w:val="auto"/>
          <w:sz w:val="28"/>
          <w:szCs w:val="28"/>
        </w:rPr>
        <w:t>gadam</w:t>
      </w:r>
      <w:r w:rsidR="00DB4FC3">
        <w:rPr>
          <w:color w:val="auto"/>
          <w:sz w:val="28"/>
          <w:szCs w:val="28"/>
        </w:rPr>
        <w:t xml:space="preserve"> 2021.</w:t>
      </w:r>
      <w:r w:rsidR="00DE3E34">
        <w:rPr>
          <w:color w:val="auto"/>
          <w:sz w:val="28"/>
          <w:szCs w:val="28"/>
        </w:rPr>
        <w:t> </w:t>
      </w:r>
      <w:r w:rsidR="00DB4FC3">
        <w:rPr>
          <w:color w:val="auto"/>
          <w:sz w:val="28"/>
          <w:szCs w:val="28"/>
        </w:rPr>
        <w:t>gadā Latvijai veidojies GES vienību pārpalikums</w:t>
      </w:r>
      <w:r w:rsidR="00662518">
        <w:rPr>
          <w:color w:val="auto"/>
          <w:sz w:val="28"/>
          <w:szCs w:val="28"/>
        </w:rPr>
        <w:t>, kas atbilstoši pieejamajām elastībām tiks pārvietots uz sekojoš</w:t>
      </w:r>
      <w:r w:rsidR="00CF11D3">
        <w:rPr>
          <w:color w:val="auto"/>
          <w:sz w:val="28"/>
          <w:szCs w:val="28"/>
        </w:rPr>
        <w:t>ā gada atbilstības kontu tiklīdz šāda funkcionalitāte tiks nodrošināta Savienības reģistrā,</w:t>
      </w:r>
      <w:r w:rsidR="00741A37" w:rsidRPr="00741A37">
        <w:rPr>
          <w:color w:val="auto"/>
          <w:sz w:val="28"/>
          <w:szCs w:val="28"/>
        </w:rPr>
        <w:t xml:space="preserve"> </w:t>
      </w:r>
      <w:r w:rsidR="00DB4FC3">
        <w:rPr>
          <w:color w:val="auto"/>
          <w:sz w:val="28"/>
          <w:szCs w:val="28"/>
        </w:rPr>
        <w:t>tomēr</w:t>
      </w:r>
      <w:r w:rsidR="009F3739">
        <w:rPr>
          <w:color w:val="auto"/>
          <w:sz w:val="28"/>
          <w:szCs w:val="28"/>
        </w:rPr>
        <w:t xml:space="preserve"> saskaņā ar </w:t>
      </w:r>
      <w:r w:rsidR="000966DC">
        <w:rPr>
          <w:color w:val="auto"/>
          <w:sz w:val="28"/>
          <w:szCs w:val="28"/>
        </w:rPr>
        <w:t>informatīvā ziņojuma 1.</w:t>
      </w:r>
      <w:r w:rsidR="00DE3E34">
        <w:rPr>
          <w:color w:val="auto"/>
          <w:sz w:val="28"/>
          <w:szCs w:val="28"/>
        </w:rPr>
        <w:t> </w:t>
      </w:r>
      <w:r w:rsidR="000966DC">
        <w:rPr>
          <w:color w:val="auto"/>
          <w:sz w:val="28"/>
          <w:szCs w:val="28"/>
        </w:rPr>
        <w:t xml:space="preserve">sadaļā norādīto, </w:t>
      </w:r>
      <w:r w:rsidR="004D7128">
        <w:rPr>
          <w:color w:val="auto"/>
          <w:sz w:val="28"/>
          <w:szCs w:val="28"/>
        </w:rPr>
        <w:t xml:space="preserve">Latvija neizpilda tai noteiktos GES mērķus, scenārijā ar esošajiem pasākumiem </w:t>
      </w:r>
      <w:r w:rsidR="00387CDF">
        <w:rPr>
          <w:color w:val="auto"/>
          <w:sz w:val="28"/>
          <w:szCs w:val="28"/>
        </w:rPr>
        <w:t xml:space="preserve">pēc pašreizējām prognozēm </w:t>
      </w:r>
      <w:r w:rsidR="004D7128">
        <w:rPr>
          <w:color w:val="auto"/>
          <w:sz w:val="28"/>
          <w:szCs w:val="28"/>
        </w:rPr>
        <w:t xml:space="preserve">iztrūkstot 1 533 333 GES vienībām, savukārt scenārijā ar papildus pasākumiem </w:t>
      </w:r>
      <w:r w:rsidR="00387CDF">
        <w:rPr>
          <w:color w:val="auto"/>
          <w:sz w:val="28"/>
          <w:szCs w:val="28"/>
        </w:rPr>
        <w:t xml:space="preserve">pēc pašreizējām prognozēm </w:t>
      </w:r>
      <w:r w:rsidR="004D7128">
        <w:rPr>
          <w:color w:val="auto"/>
          <w:sz w:val="28"/>
          <w:szCs w:val="28"/>
        </w:rPr>
        <w:t>iztrūkstot 671 883 GES vienībām</w:t>
      </w:r>
      <w:r w:rsidR="00E715B0">
        <w:rPr>
          <w:color w:val="auto"/>
          <w:sz w:val="28"/>
          <w:szCs w:val="28"/>
        </w:rPr>
        <w:t>. Tas nozīmē, ka</w:t>
      </w:r>
      <w:r w:rsidR="008A2748">
        <w:rPr>
          <w:color w:val="auto"/>
          <w:sz w:val="28"/>
          <w:szCs w:val="28"/>
        </w:rPr>
        <w:t xml:space="preserve"> Latvija</w:t>
      </w:r>
      <w:r w:rsidR="007D7BC9">
        <w:rPr>
          <w:color w:val="auto"/>
          <w:sz w:val="28"/>
          <w:szCs w:val="28"/>
        </w:rPr>
        <w:t>i</w:t>
      </w:r>
      <w:r w:rsidR="008A2748">
        <w:rPr>
          <w:color w:val="auto"/>
          <w:sz w:val="28"/>
          <w:szCs w:val="28"/>
        </w:rPr>
        <w:t xml:space="preserve"> </w:t>
      </w:r>
      <w:r w:rsidR="008A2748" w:rsidRPr="008A2748">
        <w:rPr>
          <w:color w:val="auto"/>
          <w:sz w:val="28"/>
          <w:szCs w:val="28"/>
        </w:rPr>
        <w:t>SEG emisiju samazināšanas saistību izpild</w:t>
      </w:r>
      <w:r w:rsidR="008A2748">
        <w:rPr>
          <w:color w:val="auto"/>
          <w:sz w:val="28"/>
          <w:szCs w:val="28"/>
        </w:rPr>
        <w:t>es periodā</w:t>
      </w:r>
      <w:r w:rsidR="008A2748" w:rsidRPr="008A2748">
        <w:rPr>
          <w:color w:val="auto"/>
          <w:sz w:val="28"/>
          <w:szCs w:val="28"/>
        </w:rPr>
        <w:t xml:space="preserve"> no 2021. gada līdz 2030.</w:t>
      </w:r>
      <w:r w:rsidR="00DE3E34">
        <w:rPr>
          <w:color w:val="auto"/>
          <w:sz w:val="28"/>
          <w:szCs w:val="28"/>
        </w:rPr>
        <w:t> </w:t>
      </w:r>
      <w:r w:rsidR="008A2748" w:rsidRPr="008A2748">
        <w:rPr>
          <w:color w:val="auto"/>
          <w:sz w:val="28"/>
          <w:szCs w:val="28"/>
        </w:rPr>
        <w:t>gadam</w:t>
      </w:r>
      <w:r w:rsidR="008A2748">
        <w:rPr>
          <w:color w:val="auto"/>
          <w:sz w:val="28"/>
          <w:szCs w:val="28"/>
        </w:rPr>
        <w:t xml:space="preserve"> </w:t>
      </w:r>
      <w:r w:rsidR="007D7BC9">
        <w:rPr>
          <w:color w:val="auto"/>
          <w:sz w:val="28"/>
          <w:szCs w:val="28"/>
        </w:rPr>
        <w:t>potenciāli būs nepieciešams iegādāties GES vienības</w:t>
      </w:r>
      <w:r w:rsidR="00521025">
        <w:rPr>
          <w:color w:val="auto"/>
          <w:sz w:val="28"/>
          <w:szCs w:val="28"/>
        </w:rPr>
        <w:t>, veidojot sadarbību ar citu ES dalībvalsti, kurai izveidojies GES vienību pārpalikums</w:t>
      </w:r>
      <w:r w:rsidR="004F3F82">
        <w:rPr>
          <w:color w:val="auto"/>
          <w:sz w:val="28"/>
          <w:szCs w:val="28"/>
        </w:rPr>
        <w:t>.</w:t>
      </w:r>
    </w:p>
    <w:p w14:paraId="7F4B75DE" w14:textId="01EDD041" w:rsidR="0043320D" w:rsidRPr="0043320D" w:rsidRDefault="00AD29D9" w:rsidP="0043320D">
      <w:pPr>
        <w:pStyle w:val="Default"/>
        <w:ind w:firstLine="567"/>
        <w:jc w:val="both"/>
        <w:rPr>
          <w:sz w:val="28"/>
          <w:szCs w:val="28"/>
        </w:rPr>
      </w:pPr>
      <w:r w:rsidRPr="008B45FB">
        <w:rPr>
          <w:color w:val="auto"/>
          <w:sz w:val="28"/>
          <w:szCs w:val="28"/>
        </w:rPr>
        <w:t>Saskaņā ar 202</w:t>
      </w:r>
      <w:r w:rsidR="00F360CC">
        <w:rPr>
          <w:color w:val="auto"/>
          <w:sz w:val="28"/>
          <w:szCs w:val="28"/>
        </w:rPr>
        <w:t>3</w:t>
      </w:r>
      <w:r w:rsidRPr="008B45FB">
        <w:rPr>
          <w:color w:val="auto"/>
          <w:sz w:val="28"/>
          <w:szCs w:val="28"/>
        </w:rPr>
        <w:t xml:space="preserve">. gada </w:t>
      </w:r>
      <w:r w:rsidR="00EE1EAE" w:rsidRPr="008B45FB">
        <w:rPr>
          <w:color w:val="auto"/>
          <w:sz w:val="28"/>
          <w:szCs w:val="28"/>
        </w:rPr>
        <w:t>2</w:t>
      </w:r>
      <w:r w:rsidR="00772B5C">
        <w:rPr>
          <w:color w:val="auto"/>
          <w:sz w:val="28"/>
          <w:szCs w:val="28"/>
        </w:rPr>
        <w:t>4</w:t>
      </w:r>
      <w:r w:rsidRPr="008B45FB">
        <w:rPr>
          <w:color w:val="auto"/>
          <w:sz w:val="28"/>
          <w:szCs w:val="28"/>
        </w:rPr>
        <w:t>. </w:t>
      </w:r>
      <w:r w:rsidR="00EE1EAE" w:rsidRPr="008B45FB">
        <w:rPr>
          <w:color w:val="auto"/>
          <w:sz w:val="28"/>
          <w:szCs w:val="28"/>
        </w:rPr>
        <w:t>oktobra</w:t>
      </w:r>
      <w:r w:rsidRPr="008B45FB">
        <w:rPr>
          <w:color w:val="auto"/>
          <w:sz w:val="28"/>
          <w:szCs w:val="28"/>
        </w:rPr>
        <w:t xml:space="preserve"> Eiropas Komisijas ziņojumu Eiropas Parlamentam un Padomei “ES </w:t>
      </w:r>
      <w:proofErr w:type="spellStart"/>
      <w:r w:rsidRPr="008B45FB">
        <w:rPr>
          <w:color w:val="auto"/>
          <w:sz w:val="28"/>
          <w:szCs w:val="28"/>
        </w:rPr>
        <w:t>klimatrīcības</w:t>
      </w:r>
      <w:proofErr w:type="spellEnd"/>
      <w:r w:rsidRPr="008B45FB">
        <w:rPr>
          <w:color w:val="auto"/>
          <w:sz w:val="28"/>
          <w:szCs w:val="28"/>
        </w:rPr>
        <w:t xml:space="preserve"> progresa ziņojums” (</w:t>
      </w:r>
      <w:r w:rsidRPr="008B45FB">
        <w:rPr>
          <w:i/>
          <w:color w:val="auto"/>
          <w:sz w:val="28"/>
          <w:szCs w:val="28"/>
        </w:rPr>
        <w:t xml:space="preserve">EU </w:t>
      </w:r>
      <w:proofErr w:type="spellStart"/>
      <w:r w:rsidRPr="008B45FB">
        <w:rPr>
          <w:i/>
          <w:color w:val="auto"/>
          <w:sz w:val="28"/>
          <w:szCs w:val="28"/>
        </w:rPr>
        <w:t>Climate</w:t>
      </w:r>
      <w:proofErr w:type="spellEnd"/>
      <w:r w:rsidRPr="008B45FB">
        <w:rPr>
          <w:i/>
          <w:color w:val="auto"/>
          <w:sz w:val="28"/>
          <w:szCs w:val="28"/>
        </w:rPr>
        <w:t xml:space="preserve"> </w:t>
      </w:r>
      <w:proofErr w:type="spellStart"/>
      <w:r w:rsidRPr="008B45FB">
        <w:rPr>
          <w:i/>
          <w:color w:val="auto"/>
          <w:sz w:val="28"/>
          <w:szCs w:val="28"/>
        </w:rPr>
        <w:t>Action</w:t>
      </w:r>
      <w:proofErr w:type="spellEnd"/>
      <w:r w:rsidRPr="008B45FB">
        <w:rPr>
          <w:i/>
          <w:color w:val="auto"/>
          <w:sz w:val="28"/>
          <w:szCs w:val="28"/>
        </w:rPr>
        <w:t xml:space="preserve"> Progress </w:t>
      </w:r>
      <w:proofErr w:type="spellStart"/>
      <w:r w:rsidRPr="008B45FB">
        <w:rPr>
          <w:i/>
          <w:color w:val="auto"/>
          <w:sz w:val="28"/>
          <w:szCs w:val="28"/>
        </w:rPr>
        <w:t>Report</w:t>
      </w:r>
      <w:proofErr w:type="spellEnd"/>
      <w:r w:rsidRPr="008B45FB">
        <w:rPr>
          <w:i/>
          <w:color w:val="auto"/>
          <w:sz w:val="28"/>
          <w:szCs w:val="28"/>
        </w:rPr>
        <w:t xml:space="preserve"> 202</w:t>
      </w:r>
      <w:r w:rsidR="00163026" w:rsidRPr="008B45FB">
        <w:rPr>
          <w:i/>
          <w:color w:val="auto"/>
          <w:sz w:val="28"/>
          <w:szCs w:val="28"/>
        </w:rPr>
        <w:t>2</w:t>
      </w:r>
      <w:r w:rsidRPr="008B45FB">
        <w:rPr>
          <w:rStyle w:val="FootnoteReference"/>
          <w:color w:val="auto"/>
          <w:sz w:val="28"/>
          <w:szCs w:val="28"/>
        </w:rPr>
        <w:footnoteReference w:id="7"/>
      </w:r>
      <w:r w:rsidRPr="008B45FB">
        <w:rPr>
          <w:color w:val="auto"/>
          <w:sz w:val="28"/>
          <w:szCs w:val="28"/>
        </w:rPr>
        <w:t>)</w:t>
      </w:r>
      <w:r w:rsidR="00D94FEE">
        <w:rPr>
          <w:color w:val="auto"/>
          <w:sz w:val="28"/>
          <w:szCs w:val="28"/>
        </w:rPr>
        <w:t xml:space="preserve"> (turpmāk – 2023.</w:t>
      </w:r>
      <w:r w:rsidR="00DE3E34">
        <w:rPr>
          <w:color w:val="auto"/>
          <w:sz w:val="28"/>
          <w:szCs w:val="28"/>
        </w:rPr>
        <w:t> </w:t>
      </w:r>
      <w:r w:rsidR="00D94FEE">
        <w:rPr>
          <w:color w:val="auto"/>
          <w:sz w:val="28"/>
          <w:szCs w:val="28"/>
        </w:rPr>
        <w:t xml:space="preserve">gada ES </w:t>
      </w:r>
      <w:proofErr w:type="spellStart"/>
      <w:r w:rsidR="00D94FEE">
        <w:rPr>
          <w:color w:val="auto"/>
          <w:sz w:val="28"/>
          <w:szCs w:val="28"/>
        </w:rPr>
        <w:t>klimatrīcības</w:t>
      </w:r>
      <w:proofErr w:type="spellEnd"/>
      <w:r w:rsidR="00D94FEE">
        <w:rPr>
          <w:color w:val="auto"/>
          <w:sz w:val="28"/>
          <w:szCs w:val="28"/>
        </w:rPr>
        <w:t xml:space="preserve"> progresa ziņojums)</w:t>
      </w:r>
      <w:r w:rsidR="00552E67">
        <w:rPr>
          <w:sz w:val="28"/>
          <w:szCs w:val="28"/>
        </w:rPr>
        <w:t xml:space="preserve">, </w:t>
      </w:r>
      <w:r w:rsidR="00A63D74" w:rsidRPr="0043320D">
        <w:rPr>
          <w:sz w:val="28"/>
          <w:szCs w:val="28"/>
        </w:rPr>
        <w:t>v</w:t>
      </w:r>
      <w:r w:rsidR="006C5048" w:rsidRPr="0043320D">
        <w:rPr>
          <w:sz w:val="28"/>
          <w:szCs w:val="28"/>
        </w:rPr>
        <w:t xml:space="preserve">ērtējot </w:t>
      </w:r>
      <w:r w:rsidR="00A63D74" w:rsidRPr="0043320D">
        <w:rPr>
          <w:sz w:val="28"/>
          <w:szCs w:val="28"/>
        </w:rPr>
        <w:t>Regulas 2018/842</w:t>
      </w:r>
      <w:r w:rsidR="006C5048" w:rsidRPr="0043320D">
        <w:rPr>
          <w:sz w:val="28"/>
          <w:szCs w:val="28"/>
        </w:rPr>
        <w:t xml:space="preserve"> aptverto sektoru SEG emisijas 2021.</w:t>
      </w:r>
      <w:r w:rsidR="00DE3E34">
        <w:rPr>
          <w:sz w:val="28"/>
          <w:szCs w:val="28"/>
        </w:rPr>
        <w:t> </w:t>
      </w:r>
      <w:r w:rsidR="006C5048" w:rsidRPr="0043320D">
        <w:rPr>
          <w:sz w:val="28"/>
          <w:szCs w:val="28"/>
        </w:rPr>
        <w:t>gadā, piecās ES dalībvalstīs (Austrijā, Kiprā, Dānijā, Īrijā un Itālijā) tās pārsniedza šīm dalībvalstīm noteiktos GES mērķus 2021.</w:t>
      </w:r>
      <w:r w:rsidR="00DE3E34">
        <w:rPr>
          <w:sz w:val="28"/>
          <w:szCs w:val="28"/>
        </w:rPr>
        <w:t> </w:t>
      </w:r>
      <w:r w:rsidR="006C5048" w:rsidRPr="0043320D">
        <w:rPr>
          <w:sz w:val="28"/>
          <w:szCs w:val="28"/>
        </w:rPr>
        <w:t>gadam, kas nozīmē, ka faktiski šīm dalībvalstīm bū</w:t>
      </w:r>
      <w:r w:rsidR="00302089" w:rsidRPr="0043320D">
        <w:rPr>
          <w:sz w:val="28"/>
          <w:szCs w:val="28"/>
        </w:rPr>
        <w:t>s</w:t>
      </w:r>
      <w:r w:rsidR="006C5048" w:rsidRPr="0043320D">
        <w:rPr>
          <w:sz w:val="28"/>
          <w:szCs w:val="28"/>
        </w:rPr>
        <w:t xml:space="preserve"> jāizmanto </w:t>
      </w:r>
      <w:r w:rsidR="00302089" w:rsidRPr="0043320D">
        <w:rPr>
          <w:sz w:val="28"/>
          <w:szCs w:val="28"/>
        </w:rPr>
        <w:t>Regulā 2018/842</w:t>
      </w:r>
      <w:r w:rsidR="006C5048" w:rsidRPr="0043320D">
        <w:rPr>
          <w:sz w:val="28"/>
          <w:szCs w:val="28"/>
        </w:rPr>
        <w:t xml:space="preserve"> noteiktās elastības, lai izpildītu tām noteiktos GES mērķus. </w:t>
      </w:r>
      <w:r w:rsidR="00863D4D">
        <w:rPr>
          <w:sz w:val="28"/>
          <w:szCs w:val="28"/>
        </w:rPr>
        <w:t>Turpret</w:t>
      </w:r>
      <w:r w:rsidR="00DD2F9B">
        <w:rPr>
          <w:sz w:val="28"/>
          <w:szCs w:val="28"/>
        </w:rPr>
        <w:t>ī,</w:t>
      </w:r>
      <w:r w:rsidR="0087455F" w:rsidRPr="0043320D">
        <w:rPr>
          <w:sz w:val="28"/>
          <w:szCs w:val="28"/>
        </w:rPr>
        <w:t xml:space="preserve"> Zviedrija, Grieķija un Nīderlande 2021.</w:t>
      </w:r>
      <w:r w:rsidR="00DE3E34">
        <w:rPr>
          <w:sz w:val="28"/>
          <w:szCs w:val="28"/>
        </w:rPr>
        <w:t> </w:t>
      </w:r>
      <w:r w:rsidR="0087455F" w:rsidRPr="0043320D">
        <w:rPr>
          <w:sz w:val="28"/>
          <w:szCs w:val="28"/>
        </w:rPr>
        <w:t>gadā sasniedza vislielāko SEG emisiju samazinājumu, salīdzinot ar 2005.</w:t>
      </w:r>
      <w:r w:rsidR="00DE3E34">
        <w:rPr>
          <w:sz w:val="28"/>
          <w:szCs w:val="28"/>
        </w:rPr>
        <w:t> </w:t>
      </w:r>
      <w:r w:rsidR="0087455F" w:rsidRPr="0043320D">
        <w:rPr>
          <w:sz w:val="28"/>
          <w:szCs w:val="28"/>
        </w:rPr>
        <w:t>gadā radītajām SEG emisijām.</w:t>
      </w:r>
      <w:r w:rsidR="00CE20AB" w:rsidRPr="0043320D">
        <w:rPr>
          <w:sz w:val="28"/>
          <w:szCs w:val="28"/>
        </w:rPr>
        <w:t xml:space="preserve"> Taču </w:t>
      </w:r>
      <w:r w:rsidR="006C5048" w:rsidRPr="0043320D">
        <w:rPr>
          <w:sz w:val="28"/>
          <w:szCs w:val="28"/>
        </w:rPr>
        <w:t>attiecībā uz 2022.</w:t>
      </w:r>
      <w:r w:rsidR="00DE3E34">
        <w:rPr>
          <w:sz w:val="28"/>
          <w:szCs w:val="28"/>
        </w:rPr>
        <w:t> </w:t>
      </w:r>
      <w:r w:rsidR="006C5048" w:rsidRPr="0043320D">
        <w:rPr>
          <w:sz w:val="28"/>
          <w:szCs w:val="28"/>
        </w:rPr>
        <w:t xml:space="preserve">gadu, sākotnējās aplēses liecina, </w:t>
      </w:r>
      <w:r w:rsidR="006C5048" w:rsidRPr="0043320D">
        <w:rPr>
          <w:sz w:val="28"/>
          <w:szCs w:val="28"/>
        </w:rPr>
        <w:lastRenderedPageBreak/>
        <w:t>ka lielākā daļa ES dalībvalstu, izņemot Horvātiju, Kipru, Dāniju, Ungāriju, Īriju, Itāliju, Lietuvu, Maltu un Rumāniju, tām noteiktos GES mērķus izpildī</w:t>
      </w:r>
      <w:r w:rsidR="00E53BDB" w:rsidRPr="0043320D">
        <w:rPr>
          <w:sz w:val="28"/>
          <w:szCs w:val="28"/>
        </w:rPr>
        <w:t>s</w:t>
      </w:r>
      <w:r w:rsidR="006C5048" w:rsidRPr="0043320D">
        <w:rPr>
          <w:sz w:val="28"/>
          <w:szCs w:val="28"/>
        </w:rPr>
        <w:t xml:space="preserve">, attiecīgi izmantot </w:t>
      </w:r>
      <w:r w:rsidR="00E53BDB" w:rsidRPr="0043320D">
        <w:rPr>
          <w:sz w:val="28"/>
          <w:szCs w:val="28"/>
        </w:rPr>
        <w:t xml:space="preserve">Regulā 2018/842 </w:t>
      </w:r>
      <w:r w:rsidR="006C5048" w:rsidRPr="0043320D">
        <w:rPr>
          <w:sz w:val="28"/>
          <w:szCs w:val="28"/>
        </w:rPr>
        <w:t xml:space="preserve">noteiktās elastības </w:t>
      </w:r>
      <w:r w:rsidR="009E7CEA" w:rsidRPr="0043320D">
        <w:rPr>
          <w:sz w:val="28"/>
          <w:szCs w:val="28"/>
        </w:rPr>
        <w:t>GES mērķu izpild</w:t>
      </w:r>
      <w:r w:rsidR="0096021D" w:rsidRPr="0043320D">
        <w:rPr>
          <w:sz w:val="28"/>
          <w:szCs w:val="28"/>
        </w:rPr>
        <w:t>ei</w:t>
      </w:r>
      <w:r w:rsidR="006C5048" w:rsidRPr="0043320D">
        <w:rPr>
          <w:sz w:val="28"/>
          <w:szCs w:val="28"/>
        </w:rPr>
        <w:t xml:space="preserve"> </w:t>
      </w:r>
      <w:r w:rsidR="0096021D" w:rsidRPr="0043320D">
        <w:rPr>
          <w:sz w:val="28"/>
          <w:szCs w:val="28"/>
        </w:rPr>
        <w:t xml:space="preserve">šīm valstīm provizoriski </w:t>
      </w:r>
      <w:r w:rsidR="006C5048" w:rsidRPr="0043320D">
        <w:rPr>
          <w:sz w:val="28"/>
          <w:szCs w:val="28"/>
        </w:rPr>
        <w:t>nebūs nepieciešams izmantot.</w:t>
      </w:r>
    </w:p>
    <w:p w14:paraId="69146BE5" w14:textId="7810D620" w:rsidR="001024FE" w:rsidRDefault="00CE20AB" w:rsidP="003A490B">
      <w:pPr>
        <w:pStyle w:val="Default"/>
        <w:ind w:firstLine="567"/>
        <w:jc w:val="both"/>
        <w:rPr>
          <w:sz w:val="28"/>
          <w:szCs w:val="28"/>
        </w:rPr>
      </w:pPr>
      <w:r w:rsidRPr="0043320D">
        <w:rPr>
          <w:sz w:val="28"/>
          <w:szCs w:val="28"/>
        </w:rPr>
        <w:t>Tomēr</w:t>
      </w:r>
      <w:r w:rsidR="00D63DEC" w:rsidRPr="0043320D">
        <w:rPr>
          <w:sz w:val="28"/>
          <w:szCs w:val="28"/>
        </w:rPr>
        <w:t>, i</w:t>
      </w:r>
      <w:r w:rsidR="006C5048" w:rsidRPr="0043320D">
        <w:rPr>
          <w:sz w:val="28"/>
          <w:szCs w:val="28"/>
        </w:rPr>
        <w:t xml:space="preserve">zvērtējot pašreizējo progresu attiecībā uz SEG emisiju samazināšanu </w:t>
      </w:r>
      <w:r w:rsidR="00D63DEC" w:rsidRPr="0043320D">
        <w:rPr>
          <w:sz w:val="28"/>
          <w:szCs w:val="28"/>
        </w:rPr>
        <w:t>Regulas 2018/842</w:t>
      </w:r>
      <w:r w:rsidR="006C5048" w:rsidRPr="0043320D">
        <w:rPr>
          <w:sz w:val="28"/>
          <w:szCs w:val="28"/>
        </w:rPr>
        <w:t xml:space="preserve"> aptvertajos sektoros, secināms, ka līdzšinējais SEG emisiju samazināšanas temps ir nepietiekams, lai sasniegtu noteikto mērķi 2030.</w:t>
      </w:r>
      <w:r w:rsidR="00DE3E34">
        <w:rPr>
          <w:sz w:val="28"/>
          <w:szCs w:val="28"/>
        </w:rPr>
        <w:t> </w:t>
      </w:r>
      <w:r w:rsidR="006C5048" w:rsidRPr="0043320D">
        <w:rPr>
          <w:sz w:val="28"/>
          <w:szCs w:val="28"/>
        </w:rPr>
        <w:t>gadam. Pašlaik tikai sešas ES dalībvalstis</w:t>
      </w:r>
      <w:r w:rsidR="00DE3E34">
        <w:rPr>
          <w:sz w:val="28"/>
          <w:szCs w:val="28"/>
        </w:rPr>
        <w:t> </w:t>
      </w:r>
      <w:r w:rsidR="006C5048" w:rsidRPr="0043320D">
        <w:rPr>
          <w:sz w:val="28"/>
          <w:szCs w:val="28"/>
        </w:rPr>
        <w:t>–</w:t>
      </w:r>
      <w:r w:rsidR="00DE3E34">
        <w:rPr>
          <w:sz w:val="28"/>
          <w:szCs w:val="28"/>
        </w:rPr>
        <w:t> </w:t>
      </w:r>
      <w:r w:rsidR="006C5048" w:rsidRPr="0043320D">
        <w:rPr>
          <w:sz w:val="28"/>
          <w:szCs w:val="28"/>
        </w:rPr>
        <w:t>Horvātija, Grieķija, Luksemburga, Portugāle, Spānija un Zviedrija</w:t>
      </w:r>
      <w:r w:rsidR="00DE3E34">
        <w:rPr>
          <w:sz w:val="28"/>
          <w:szCs w:val="28"/>
        </w:rPr>
        <w:t> </w:t>
      </w:r>
      <w:r w:rsidR="006C5048" w:rsidRPr="0043320D">
        <w:rPr>
          <w:sz w:val="28"/>
          <w:szCs w:val="28"/>
        </w:rPr>
        <w:t>–</w:t>
      </w:r>
      <w:r w:rsidR="00DE3E34">
        <w:rPr>
          <w:sz w:val="28"/>
          <w:szCs w:val="28"/>
        </w:rPr>
        <w:t> </w:t>
      </w:r>
      <w:r w:rsidR="006C5048" w:rsidRPr="0043320D">
        <w:rPr>
          <w:sz w:val="28"/>
          <w:szCs w:val="28"/>
        </w:rPr>
        <w:t>prognozē, ka to SEG emisijas 2030.</w:t>
      </w:r>
      <w:r w:rsidR="00DE3E34">
        <w:rPr>
          <w:sz w:val="28"/>
          <w:szCs w:val="28"/>
        </w:rPr>
        <w:t> </w:t>
      </w:r>
      <w:r w:rsidR="006C5048" w:rsidRPr="0043320D">
        <w:rPr>
          <w:sz w:val="28"/>
          <w:szCs w:val="28"/>
        </w:rPr>
        <w:t xml:space="preserve">gadā </w:t>
      </w:r>
      <w:r w:rsidR="00EB70F5" w:rsidRPr="0043320D">
        <w:rPr>
          <w:sz w:val="28"/>
          <w:szCs w:val="28"/>
        </w:rPr>
        <w:t xml:space="preserve">scenārijā ar papildus pasākumiem </w:t>
      </w:r>
      <w:r w:rsidR="006C5048" w:rsidRPr="0043320D">
        <w:rPr>
          <w:sz w:val="28"/>
          <w:szCs w:val="28"/>
        </w:rPr>
        <w:t>būs zem tām noteiktajiem GES mērķiem</w:t>
      </w:r>
      <w:r w:rsidR="00667263">
        <w:rPr>
          <w:sz w:val="28"/>
          <w:szCs w:val="28"/>
        </w:rPr>
        <w:t xml:space="preserve">. </w:t>
      </w:r>
      <w:r w:rsidR="00785114" w:rsidRPr="0043320D">
        <w:rPr>
          <w:sz w:val="28"/>
          <w:szCs w:val="28"/>
        </w:rPr>
        <w:t>ES d</w:t>
      </w:r>
      <w:r w:rsidR="006C5048" w:rsidRPr="0043320D">
        <w:rPr>
          <w:sz w:val="28"/>
          <w:szCs w:val="28"/>
        </w:rPr>
        <w:t>alībvalstu 2023.</w:t>
      </w:r>
      <w:r w:rsidR="00DE3E34">
        <w:rPr>
          <w:sz w:val="28"/>
          <w:szCs w:val="28"/>
        </w:rPr>
        <w:t> </w:t>
      </w:r>
      <w:r w:rsidR="006C5048" w:rsidRPr="0043320D">
        <w:rPr>
          <w:sz w:val="28"/>
          <w:szCs w:val="28"/>
        </w:rPr>
        <w:t>gada martā iesniegt</w:t>
      </w:r>
      <w:r w:rsidR="00785114" w:rsidRPr="0043320D">
        <w:rPr>
          <w:sz w:val="28"/>
          <w:szCs w:val="28"/>
        </w:rPr>
        <w:t>o</w:t>
      </w:r>
      <w:r w:rsidR="006C5048" w:rsidRPr="0043320D">
        <w:rPr>
          <w:sz w:val="28"/>
          <w:szCs w:val="28"/>
        </w:rPr>
        <w:t xml:space="preserve"> SEG emisiju</w:t>
      </w:r>
      <w:r w:rsidR="00785114" w:rsidRPr="0043320D">
        <w:rPr>
          <w:sz w:val="28"/>
          <w:szCs w:val="28"/>
        </w:rPr>
        <w:t xml:space="preserve"> prognožu dati</w:t>
      </w:r>
      <w:r w:rsidR="006C5048" w:rsidRPr="0043320D">
        <w:rPr>
          <w:sz w:val="28"/>
          <w:szCs w:val="28"/>
        </w:rPr>
        <w:t xml:space="preserve"> liecina, ka ES mērogā noteiktais mērķis SEG emisiju samazinājumam 2030.</w:t>
      </w:r>
      <w:r w:rsidR="00DE3E34">
        <w:rPr>
          <w:sz w:val="28"/>
          <w:szCs w:val="28"/>
        </w:rPr>
        <w:t> </w:t>
      </w:r>
      <w:r w:rsidR="006C5048" w:rsidRPr="0043320D">
        <w:rPr>
          <w:sz w:val="28"/>
          <w:szCs w:val="28"/>
        </w:rPr>
        <w:t>gadā par 55 % salīdzinājumā ar 1990.</w:t>
      </w:r>
      <w:r w:rsidR="00DE3E34">
        <w:rPr>
          <w:sz w:val="28"/>
          <w:szCs w:val="28"/>
        </w:rPr>
        <w:t> </w:t>
      </w:r>
      <w:r w:rsidR="006C5048" w:rsidRPr="0043320D">
        <w:rPr>
          <w:sz w:val="28"/>
          <w:szCs w:val="28"/>
        </w:rPr>
        <w:t>gadu netiks izpildīts</w:t>
      </w:r>
      <w:r w:rsidR="00A916E0" w:rsidRPr="0043320D">
        <w:rPr>
          <w:sz w:val="28"/>
          <w:szCs w:val="28"/>
        </w:rPr>
        <w:t xml:space="preserve"> – </w:t>
      </w:r>
      <w:r w:rsidR="006C5048" w:rsidRPr="0043320D">
        <w:rPr>
          <w:sz w:val="28"/>
          <w:szCs w:val="28"/>
        </w:rPr>
        <w:t xml:space="preserve">tikai trīs ES dalībvalstis – Grieķija, Portugāle un Zviedrija, prognozē, ka to </w:t>
      </w:r>
      <w:r w:rsidR="00A916E0" w:rsidRPr="0043320D">
        <w:rPr>
          <w:sz w:val="28"/>
          <w:szCs w:val="28"/>
        </w:rPr>
        <w:t>Regulas 2018/842</w:t>
      </w:r>
      <w:r w:rsidR="006C5048" w:rsidRPr="0043320D">
        <w:rPr>
          <w:sz w:val="28"/>
          <w:szCs w:val="28"/>
        </w:rPr>
        <w:t xml:space="preserve"> aptverto sektoru </w:t>
      </w:r>
      <w:r w:rsidR="007A5242" w:rsidRPr="0043320D">
        <w:rPr>
          <w:sz w:val="28"/>
          <w:szCs w:val="28"/>
        </w:rPr>
        <w:t xml:space="preserve">radītās </w:t>
      </w:r>
      <w:r w:rsidR="006C5048" w:rsidRPr="0043320D">
        <w:rPr>
          <w:sz w:val="28"/>
          <w:szCs w:val="28"/>
        </w:rPr>
        <w:t xml:space="preserve">SEG emisijas </w:t>
      </w:r>
      <w:r w:rsidR="007A5242" w:rsidRPr="0043320D">
        <w:rPr>
          <w:sz w:val="28"/>
          <w:szCs w:val="28"/>
        </w:rPr>
        <w:t xml:space="preserve">scenārijā ar esošajiem pasākumiem </w:t>
      </w:r>
      <w:r w:rsidR="006C5048" w:rsidRPr="0043320D">
        <w:rPr>
          <w:sz w:val="28"/>
          <w:szCs w:val="28"/>
        </w:rPr>
        <w:t>saglabāsies zem tām noteiktajiem GES mērķiem 2030.</w:t>
      </w:r>
      <w:r w:rsidR="00DE3E34">
        <w:rPr>
          <w:sz w:val="28"/>
          <w:szCs w:val="28"/>
        </w:rPr>
        <w:t> </w:t>
      </w:r>
      <w:r w:rsidR="006C5048" w:rsidRPr="0043320D">
        <w:rPr>
          <w:sz w:val="28"/>
          <w:szCs w:val="28"/>
        </w:rPr>
        <w:t>gadam</w:t>
      </w:r>
      <w:r w:rsidR="0021036E">
        <w:rPr>
          <w:sz w:val="28"/>
          <w:szCs w:val="28"/>
        </w:rPr>
        <w:t>. Savukārt v</w:t>
      </w:r>
      <w:r w:rsidR="006C5048" w:rsidRPr="0043320D">
        <w:rPr>
          <w:sz w:val="28"/>
          <w:szCs w:val="28"/>
        </w:rPr>
        <w:t xml:space="preserve">islielākais GES vienību iztrūkums, salīdzinot ar noteiktajiem GES mērķiem, tiek prognozēts Maltai, kuras radītās SEG emisijas </w:t>
      </w:r>
      <w:r w:rsidR="000466FF" w:rsidRPr="0043320D">
        <w:rPr>
          <w:sz w:val="28"/>
          <w:szCs w:val="28"/>
        </w:rPr>
        <w:t xml:space="preserve">varētu </w:t>
      </w:r>
      <w:r w:rsidR="006C5048" w:rsidRPr="0043320D">
        <w:rPr>
          <w:sz w:val="28"/>
          <w:szCs w:val="28"/>
        </w:rPr>
        <w:t>par 65</w:t>
      </w:r>
      <w:r w:rsidR="00DE3E34">
        <w:rPr>
          <w:sz w:val="28"/>
          <w:szCs w:val="28"/>
        </w:rPr>
        <w:t> </w:t>
      </w:r>
      <w:r w:rsidR="006C5048" w:rsidRPr="0043320D">
        <w:rPr>
          <w:sz w:val="28"/>
          <w:szCs w:val="28"/>
        </w:rPr>
        <w:t>% pārsnie</w:t>
      </w:r>
      <w:r w:rsidR="000466FF" w:rsidRPr="0043320D">
        <w:rPr>
          <w:sz w:val="28"/>
          <w:szCs w:val="28"/>
        </w:rPr>
        <w:t>gt</w:t>
      </w:r>
      <w:r w:rsidR="006C5048" w:rsidRPr="0043320D">
        <w:rPr>
          <w:sz w:val="28"/>
          <w:szCs w:val="28"/>
        </w:rPr>
        <w:t xml:space="preserve"> tai noteiktos GES mērķus. Otrs lielākais GES vienību iztrūkums tiek prognozēts Īrijai, kuras radītās SEG emisijas </w:t>
      </w:r>
      <w:r w:rsidR="006B5978">
        <w:rPr>
          <w:sz w:val="28"/>
          <w:szCs w:val="28"/>
        </w:rPr>
        <w:t>2030.</w:t>
      </w:r>
      <w:r w:rsidR="00DE3E34">
        <w:rPr>
          <w:sz w:val="28"/>
          <w:szCs w:val="28"/>
        </w:rPr>
        <w:t> </w:t>
      </w:r>
      <w:r w:rsidR="006B5978">
        <w:rPr>
          <w:sz w:val="28"/>
          <w:szCs w:val="28"/>
        </w:rPr>
        <w:t xml:space="preserve">gadā </w:t>
      </w:r>
      <w:r w:rsidR="007405C6" w:rsidRPr="0043320D">
        <w:rPr>
          <w:sz w:val="28"/>
          <w:szCs w:val="28"/>
        </w:rPr>
        <w:t xml:space="preserve">scenārijā </w:t>
      </w:r>
      <w:r w:rsidR="006C5048" w:rsidRPr="0043320D">
        <w:rPr>
          <w:sz w:val="28"/>
          <w:szCs w:val="28"/>
        </w:rPr>
        <w:t xml:space="preserve">ar </w:t>
      </w:r>
      <w:r w:rsidR="007405C6" w:rsidRPr="0043320D">
        <w:rPr>
          <w:sz w:val="28"/>
          <w:szCs w:val="28"/>
        </w:rPr>
        <w:t xml:space="preserve">esošajiem </w:t>
      </w:r>
      <w:r w:rsidR="006C5048" w:rsidRPr="0043320D">
        <w:rPr>
          <w:sz w:val="28"/>
          <w:szCs w:val="28"/>
        </w:rPr>
        <w:t>pasākumiem, salīdzinot ar 2005.</w:t>
      </w:r>
      <w:r w:rsidR="00DE3E34">
        <w:rPr>
          <w:sz w:val="28"/>
          <w:szCs w:val="28"/>
        </w:rPr>
        <w:t> </w:t>
      </w:r>
      <w:r w:rsidR="006C5048" w:rsidRPr="0043320D">
        <w:rPr>
          <w:sz w:val="28"/>
          <w:szCs w:val="28"/>
        </w:rPr>
        <w:t>gadu, pārsniedz tai noteiktos GES mērķus par 32</w:t>
      </w:r>
      <w:r w:rsidR="00DE3E34">
        <w:rPr>
          <w:sz w:val="28"/>
          <w:szCs w:val="28"/>
        </w:rPr>
        <w:t> </w:t>
      </w:r>
      <w:r w:rsidR="006C5048" w:rsidRPr="0043320D">
        <w:rPr>
          <w:sz w:val="28"/>
          <w:szCs w:val="28"/>
        </w:rPr>
        <w:t>%.</w:t>
      </w:r>
    </w:p>
    <w:p w14:paraId="6B21448E" w14:textId="4E2C8BDA" w:rsidR="00505FB3" w:rsidRDefault="00DF7325" w:rsidP="00505FB3">
      <w:pPr>
        <w:pStyle w:val="Default"/>
        <w:ind w:firstLine="567"/>
        <w:jc w:val="both"/>
        <w:rPr>
          <w:sz w:val="28"/>
          <w:szCs w:val="28"/>
        </w:rPr>
      </w:pPr>
      <w:r>
        <w:rPr>
          <w:sz w:val="28"/>
          <w:szCs w:val="28"/>
        </w:rPr>
        <w:t xml:space="preserve">Saskaņā ar </w:t>
      </w:r>
      <w:r w:rsidR="003A490B">
        <w:rPr>
          <w:sz w:val="28"/>
          <w:szCs w:val="28"/>
        </w:rPr>
        <w:t>2023.</w:t>
      </w:r>
      <w:r w:rsidR="00DE3E34">
        <w:rPr>
          <w:sz w:val="28"/>
          <w:szCs w:val="28"/>
        </w:rPr>
        <w:t> </w:t>
      </w:r>
      <w:r w:rsidR="003A490B">
        <w:rPr>
          <w:sz w:val="28"/>
          <w:szCs w:val="28"/>
        </w:rPr>
        <w:t xml:space="preserve">gada ES </w:t>
      </w:r>
      <w:proofErr w:type="spellStart"/>
      <w:r w:rsidR="003A490B">
        <w:rPr>
          <w:sz w:val="28"/>
          <w:szCs w:val="28"/>
        </w:rPr>
        <w:t>klimatrīcības</w:t>
      </w:r>
      <w:proofErr w:type="spellEnd"/>
      <w:r w:rsidR="003A490B">
        <w:rPr>
          <w:sz w:val="28"/>
          <w:szCs w:val="28"/>
        </w:rPr>
        <w:t xml:space="preserve"> progresa ziņojuma tehniskās informācijas pavaddokument</w:t>
      </w:r>
      <w:r w:rsidR="00536138">
        <w:rPr>
          <w:sz w:val="28"/>
          <w:szCs w:val="28"/>
        </w:rPr>
        <w:t>a 11.</w:t>
      </w:r>
      <w:r w:rsidR="00DE3E34">
        <w:rPr>
          <w:sz w:val="28"/>
          <w:szCs w:val="28"/>
        </w:rPr>
        <w:t> </w:t>
      </w:r>
      <w:r w:rsidR="00536138">
        <w:rPr>
          <w:sz w:val="28"/>
          <w:szCs w:val="28"/>
        </w:rPr>
        <w:t>tabul</w:t>
      </w:r>
      <w:r>
        <w:rPr>
          <w:sz w:val="28"/>
          <w:szCs w:val="28"/>
        </w:rPr>
        <w:t xml:space="preserve">ā </w:t>
      </w:r>
      <w:r w:rsidR="004C36F3">
        <w:rPr>
          <w:sz w:val="28"/>
          <w:szCs w:val="28"/>
        </w:rPr>
        <w:t xml:space="preserve">ietverto informāciju, </w:t>
      </w:r>
      <w:r w:rsidR="00777838">
        <w:rPr>
          <w:sz w:val="28"/>
          <w:szCs w:val="28"/>
        </w:rPr>
        <w:t xml:space="preserve">ņemot vērā, ka 19 ES dalībvalstis potenciāli </w:t>
      </w:r>
      <w:r w:rsidR="008A0658">
        <w:rPr>
          <w:sz w:val="28"/>
          <w:szCs w:val="28"/>
        </w:rPr>
        <w:t xml:space="preserve">nespēs izpildīt tām noteiktās saistības, </w:t>
      </w:r>
      <w:r w:rsidR="004C36F3">
        <w:rPr>
          <w:sz w:val="28"/>
          <w:szCs w:val="28"/>
        </w:rPr>
        <w:t xml:space="preserve">kumulatīvais GES vienību </w:t>
      </w:r>
      <w:r w:rsidR="007015F0">
        <w:rPr>
          <w:sz w:val="28"/>
          <w:szCs w:val="28"/>
        </w:rPr>
        <w:t>iztrūkums 2030.</w:t>
      </w:r>
      <w:r w:rsidR="00DE3E34">
        <w:rPr>
          <w:sz w:val="28"/>
          <w:szCs w:val="28"/>
        </w:rPr>
        <w:t> </w:t>
      </w:r>
      <w:r w:rsidR="007015F0">
        <w:rPr>
          <w:sz w:val="28"/>
          <w:szCs w:val="28"/>
        </w:rPr>
        <w:t xml:space="preserve">gadā provizoriski varētu sasniegt </w:t>
      </w:r>
      <w:r w:rsidR="00223612">
        <w:rPr>
          <w:sz w:val="28"/>
          <w:szCs w:val="28"/>
        </w:rPr>
        <w:t xml:space="preserve">815,1 </w:t>
      </w:r>
      <w:proofErr w:type="spellStart"/>
      <w:r w:rsidR="00223612">
        <w:rPr>
          <w:sz w:val="28"/>
          <w:szCs w:val="28"/>
        </w:rPr>
        <w:t>Mt</w:t>
      </w:r>
      <w:proofErr w:type="spellEnd"/>
      <w:r w:rsidR="00223612">
        <w:rPr>
          <w:sz w:val="28"/>
          <w:szCs w:val="28"/>
        </w:rPr>
        <w:t xml:space="preserve"> CO</w:t>
      </w:r>
      <w:r w:rsidR="00223612" w:rsidRPr="008A0658">
        <w:rPr>
          <w:sz w:val="28"/>
          <w:szCs w:val="28"/>
          <w:vertAlign w:val="subscript"/>
        </w:rPr>
        <w:t>2</w:t>
      </w:r>
      <w:r w:rsidR="00223612">
        <w:rPr>
          <w:sz w:val="28"/>
          <w:szCs w:val="28"/>
        </w:rPr>
        <w:t xml:space="preserve"> ekv</w:t>
      </w:r>
      <w:r w:rsidR="008A0658">
        <w:rPr>
          <w:sz w:val="28"/>
          <w:szCs w:val="28"/>
        </w:rPr>
        <w:t>ivalentu</w:t>
      </w:r>
      <w:r w:rsidR="00A47611">
        <w:rPr>
          <w:sz w:val="28"/>
          <w:szCs w:val="28"/>
        </w:rPr>
        <w:t xml:space="preserve">, </w:t>
      </w:r>
      <w:r w:rsidR="007F6CA0">
        <w:rPr>
          <w:sz w:val="28"/>
          <w:szCs w:val="28"/>
        </w:rPr>
        <w:t>savukārt kumulatīvais GES vienību pārpalikums 2030.</w:t>
      </w:r>
      <w:r w:rsidR="00DE3E34">
        <w:rPr>
          <w:sz w:val="28"/>
          <w:szCs w:val="28"/>
        </w:rPr>
        <w:t> </w:t>
      </w:r>
      <w:r w:rsidR="007F6CA0">
        <w:rPr>
          <w:sz w:val="28"/>
          <w:szCs w:val="28"/>
        </w:rPr>
        <w:t xml:space="preserve">gadā provizoriski varētu sasniegt vien </w:t>
      </w:r>
      <w:r w:rsidR="00BF2227">
        <w:rPr>
          <w:sz w:val="28"/>
          <w:szCs w:val="28"/>
        </w:rPr>
        <w:t xml:space="preserve">253,2 </w:t>
      </w:r>
      <w:proofErr w:type="spellStart"/>
      <w:r w:rsidR="00BF2227">
        <w:rPr>
          <w:sz w:val="28"/>
          <w:szCs w:val="28"/>
        </w:rPr>
        <w:t>Mt</w:t>
      </w:r>
      <w:proofErr w:type="spellEnd"/>
      <w:r w:rsidR="00BF2227">
        <w:rPr>
          <w:sz w:val="28"/>
          <w:szCs w:val="28"/>
        </w:rPr>
        <w:t xml:space="preserve"> CO</w:t>
      </w:r>
      <w:r w:rsidR="00BF2227" w:rsidRPr="008A0658">
        <w:rPr>
          <w:sz w:val="28"/>
          <w:szCs w:val="28"/>
          <w:vertAlign w:val="subscript"/>
        </w:rPr>
        <w:t>2</w:t>
      </w:r>
      <w:r w:rsidR="00BF2227">
        <w:rPr>
          <w:sz w:val="28"/>
          <w:szCs w:val="28"/>
        </w:rPr>
        <w:t xml:space="preserve"> ek</w:t>
      </w:r>
      <w:r w:rsidR="008A0658">
        <w:rPr>
          <w:sz w:val="28"/>
          <w:szCs w:val="28"/>
        </w:rPr>
        <w:t>vivalentu</w:t>
      </w:r>
      <w:r w:rsidR="00BF2227">
        <w:rPr>
          <w:sz w:val="28"/>
          <w:szCs w:val="28"/>
        </w:rPr>
        <w:t xml:space="preserve">, </w:t>
      </w:r>
      <w:r w:rsidR="006E3795">
        <w:rPr>
          <w:sz w:val="28"/>
          <w:szCs w:val="28"/>
        </w:rPr>
        <w:t xml:space="preserve">pieņemot, ka tām noteiktos </w:t>
      </w:r>
      <w:r w:rsidR="00BF2227">
        <w:rPr>
          <w:sz w:val="28"/>
          <w:szCs w:val="28"/>
        </w:rPr>
        <w:t>GES mērķus izpild</w:t>
      </w:r>
      <w:r w:rsidR="006E3795">
        <w:rPr>
          <w:sz w:val="28"/>
          <w:szCs w:val="28"/>
        </w:rPr>
        <w:t>a</w:t>
      </w:r>
      <w:r w:rsidR="00BF2227">
        <w:rPr>
          <w:sz w:val="28"/>
          <w:szCs w:val="28"/>
        </w:rPr>
        <w:t xml:space="preserve"> </w:t>
      </w:r>
      <w:r w:rsidR="00501AE4">
        <w:rPr>
          <w:sz w:val="28"/>
          <w:szCs w:val="28"/>
        </w:rPr>
        <w:t>vien 8 ES dalībvalst</w:t>
      </w:r>
      <w:r w:rsidR="007C1E4E">
        <w:rPr>
          <w:sz w:val="28"/>
          <w:szCs w:val="28"/>
        </w:rPr>
        <w:t>i</w:t>
      </w:r>
      <w:r w:rsidR="0086324D">
        <w:rPr>
          <w:sz w:val="28"/>
          <w:szCs w:val="28"/>
        </w:rPr>
        <w:t xml:space="preserve">s – </w:t>
      </w:r>
      <w:r w:rsidR="00907824">
        <w:rPr>
          <w:sz w:val="28"/>
          <w:szCs w:val="28"/>
        </w:rPr>
        <w:t xml:space="preserve">Horvātija, </w:t>
      </w:r>
      <w:r w:rsidR="0023071C">
        <w:rPr>
          <w:sz w:val="28"/>
          <w:szCs w:val="28"/>
        </w:rPr>
        <w:t xml:space="preserve">Somija, Grieķija, </w:t>
      </w:r>
      <w:r w:rsidR="00D819FB">
        <w:rPr>
          <w:sz w:val="28"/>
          <w:szCs w:val="28"/>
        </w:rPr>
        <w:t xml:space="preserve">Luksemburga, Portugāle, </w:t>
      </w:r>
      <w:r w:rsidR="00D72D8F">
        <w:rPr>
          <w:sz w:val="28"/>
          <w:szCs w:val="28"/>
        </w:rPr>
        <w:t>Slovēnija, Spānija un Zviedrija</w:t>
      </w:r>
      <w:r w:rsidR="00501AE4">
        <w:rPr>
          <w:sz w:val="28"/>
          <w:szCs w:val="28"/>
        </w:rPr>
        <w:t>. Tas nozīmē, ka GES vienību pieprasījums</w:t>
      </w:r>
      <w:r w:rsidR="006E3795">
        <w:rPr>
          <w:sz w:val="28"/>
          <w:szCs w:val="28"/>
        </w:rPr>
        <w:t xml:space="preserve"> ievērojami pārsniegtu</w:t>
      </w:r>
      <w:r w:rsidR="001C1994">
        <w:rPr>
          <w:sz w:val="28"/>
          <w:szCs w:val="28"/>
        </w:rPr>
        <w:t xml:space="preserve"> piedāvājumu, </w:t>
      </w:r>
      <w:r w:rsidR="00A32C0C" w:rsidRPr="002D3C12">
        <w:rPr>
          <w:sz w:val="28"/>
          <w:szCs w:val="28"/>
        </w:rPr>
        <w:t xml:space="preserve">kas </w:t>
      </w:r>
      <w:r w:rsidR="00AA4BE8" w:rsidRPr="002D3C12">
        <w:rPr>
          <w:sz w:val="28"/>
          <w:szCs w:val="28"/>
        </w:rPr>
        <w:t xml:space="preserve">savukārt var </w:t>
      </w:r>
      <w:r w:rsidR="001C1994">
        <w:rPr>
          <w:sz w:val="28"/>
          <w:szCs w:val="28"/>
        </w:rPr>
        <w:t xml:space="preserve">būtiski </w:t>
      </w:r>
      <w:r w:rsidR="00AA4BE8" w:rsidRPr="002D3C12">
        <w:rPr>
          <w:sz w:val="28"/>
          <w:szCs w:val="28"/>
        </w:rPr>
        <w:t>atsaukties</w:t>
      </w:r>
      <w:r w:rsidR="00A32C0C" w:rsidRPr="002D3C12">
        <w:rPr>
          <w:sz w:val="28"/>
          <w:szCs w:val="28"/>
        </w:rPr>
        <w:t xml:space="preserve"> uz GES vienību cenu.</w:t>
      </w:r>
    </w:p>
    <w:p w14:paraId="4BFCA3C7" w14:textId="020DF5F7" w:rsidR="00442669" w:rsidRPr="00C07068" w:rsidRDefault="00505FB3" w:rsidP="00FA0C7C">
      <w:pPr>
        <w:pStyle w:val="Default"/>
        <w:ind w:firstLine="567"/>
        <w:jc w:val="both"/>
        <w:rPr>
          <w:sz w:val="28"/>
          <w:szCs w:val="28"/>
        </w:rPr>
      </w:pPr>
      <w:r>
        <w:rPr>
          <w:sz w:val="28"/>
          <w:szCs w:val="28"/>
        </w:rPr>
        <w:t>Ja Latvija</w:t>
      </w:r>
      <w:r w:rsidR="009804A4">
        <w:rPr>
          <w:sz w:val="28"/>
          <w:szCs w:val="28"/>
        </w:rPr>
        <w:t xml:space="preserve"> nespēs izpildīt tai noteiktos GES mērķus, tostarp, izmantojot Regulā 2018/842 noteiktās elastības iespējas</w:t>
      </w:r>
      <w:r w:rsidR="0032042A">
        <w:rPr>
          <w:sz w:val="28"/>
          <w:szCs w:val="28"/>
        </w:rPr>
        <w:t xml:space="preserve">, kas nav GES vienību iegāde, </w:t>
      </w:r>
      <w:r>
        <w:rPr>
          <w:sz w:val="28"/>
          <w:szCs w:val="28"/>
        </w:rPr>
        <w:t xml:space="preserve">būs nepieciešams iegādāties </w:t>
      </w:r>
      <w:r w:rsidR="009840D4" w:rsidRPr="00B2528D">
        <w:rPr>
          <w:sz w:val="28"/>
          <w:szCs w:val="28"/>
        </w:rPr>
        <w:t xml:space="preserve">iztrūkstošo </w:t>
      </w:r>
      <w:r w:rsidRPr="00B2528D">
        <w:rPr>
          <w:sz w:val="28"/>
          <w:szCs w:val="28"/>
        </w:rPr>
        <w:t xml:space="preserve">GES </w:t>
      </w:r>
      <w:r w:rsidR="009840D4" w:rsidRPr="00B2528D">
        <w:rPr>
          <w:sz w:val="28"/>
          <w:szCs w:val="28"/>
        </w:rPr>
        <w:t xml:space="preserve">vienību apjomu no citas ES dalībvalsts, kā rezultātā </w:t>
      </w:r>
      <w:r w:rsidR="0032042A" w:rsidRPr="00B2528D">
        <w:rPr>
          <w:sz w:val="28"/>
          <w:szCs w:val="28"/>
        </w:rPr>
        <w:t>radīsies ievērojamas izmaksas par GES</w:t>
      </w:r>
      <w:r w:rsidR="009840D4" w:rsidRPr="00B2528D">
        <w:rPr>
          <w:sz w:val="28"/>
          <w:szCs w:val="28"/>
        </w:rPr>
        <w:t xml:space="preserve"> vienību iegādi. Šajā gadījumā Latvijai bū</w:t>
      </w:r>
      <w:r w:rsidR="00FF1A23">
        <w:rPr>
          <w:sz w:val="28"/>
          <w:szCs w:val="28"/>
        </w:rPr>
        <w:t xml:space="preserve">s jāspēj identificēt </w:t>
      </w:r>
      <w:r w:rsidR="009840D4" w:rsidRPr="00B2528D">
        <w:rPr>
          <w:sz w:val="28"/>
          <w:szCs w:val="28"/>
        </w:rPr>
        <w:t xml:space="preserve">potenciālie darījumu partneri jeb tās ES dalībvalstis, kurām izveidojies </w:t>
      </w:r>
      <w:r w:rsidR="003E2BE5">
        <w:rPr>
          <w:sz w:val="28"/>
          <w:szCs w:val="28"/>
        </w:rPr>
        <w:t xml:space="preserve">GES </w:t>
      </w:r>
      <w:r w:rsidR="009840D4" w:rsidRPr="00B2528D">
        <w:rPr>
          <w:sz w:val="28"/>
          <w:szCs w:val="28"/>
        </w:rPr>
        <w:t xml:space="preserve">vienību pārpalikums, un jāuzsāk sarunu procedūra par iespējamu </w:t>
      </w:r>
      <w:r w:rsidR="003E2BE5">
        <w:rPr>
          <w:sz w:val="28"/>
          <w:szCs w:val="28"/>
        </w:rPr>
        <w:t xml:space="preserve">GES </w:t>
      </w:r>
      <w:r w:rsidR="009840D4" w:rsidRPr="00B2528D">
        <w:rPr>
          <w:sz w:val="28"/>
          <w:szCs w:val="28"/>
        </w:rPr>
        <w:t xml:space="preserve">vienību iegādi. Bilaterālajās sarunās tiktu pārrunāti būtiskākie nosacījumi iespējamai darījuma par </w:t>
      </w:r>
      <w:r w:rsidR="003E2BE5">
        <w:rPr>
          <w:sz w:val="28"/>
          <w:szCs w:val="28"/>
        </w:rPr>
        <w:t xml:space="preserve">GES </w:t>
      </w:r>
      <w:r w:rsidR="009840D4" w:rsidRPr="00B2528D">
        <w:rPr>
          <w:sz w:val="28"/>
          <w:szCs w:val="28"/>
        </w:rPr>
        <w:t xml:space="preserve">vienību tirdzniecību slēgšanai, tostarp, arī attiecībā uz </w:t>
      </w:r>
      <w:r w:rsidR="003E2BE5">
        <w:rPr>
          <w:sz w:val="28"/>
          <w:szCs w:val="28"/>
        </w:rPr>
        <w:t xml:space="preserve">GES </w:t>
      </w:r>
      <w:r w:rsidR="009840D4" w:rsidRPr="00B2528D">
        <w:rPr>
          <w:sz w:val="28"/>
          <w:szCs w:val="28"/>
        </w:rPr>
        <w:t>vienību cenu. Ņemot vērā</w:t>
      </w:r>
      <w:r w:rsidR="003E2BE5">
        <w:rPr>
          <w:sz w:val="28"/>
          <w:szCs w:val="28"/>
        </w:rPr>
        <w:t xml:space="preserve"> potenciāli augsto pieprasījumu, </w:t>
      </w:r>
      <w:r w:rsidR="009840D4" w:rsidRPr="00B2528D">
        <w:rPr>
          <w:sz w:val="28"/>
          <w:szCs w:val="28"/>
        </w:rPr>
        <w:t xml:space="preserve">ES dalībvalstis, kurām būs izveidojies </w:t>
      </w:r>
      <w:r w:rsidR="009731B5" w:rsidRPr="00B2528D">
        <w:rPr>
          <w:sz w:val="28"/>
          <w:szCs w:val="28"/>
        </w:rPr>
        <w:t xml:space="preserve">GES </w:t>
      </w:r>
      <w:r w:rsidR="009840D4" w:rsidRPr="00B2528D">
        <w:rPr>
          <w:sz w:val="28"/>
          <w:szCs w:val="28"/>
        </w:rPr>
        <w:t xml:space="preserve">vienību pārpalikums, būs ieinteresētas tās realizēt par iespējami augstāku cenu, kas atbilstoši pašlaik pieejamai informācijai varētu tikt pielīdzināta emisijas kvotu cenai. Ņemot vērā iepriekš minēto, kā arī to, ka ES dalībvalstīm, kurām izveidojies </w:t>
      </w:r>
      <w:r w:rsidR="009731B5" w:rsidRPr="00B2528D">
        <w:rPr>
          <w:sz w:val="28"/>
          <w:szCs w:val="28"/>
        </w:rPr>
        <w:t xml:space="preserve">GES </w:t>
      </w:r>
      <w:r w:rsidR="009840D4" w:rsidRPr="00B2528D">
        <w:rPr>
          <w:sz w:val="28"/>
          <w:szCs w:val="28"/>
        </w:rPr>
        <w:t xml:space="preserve">vienību pārpalikums, ir iespēja </w:t>
      </w:r>
      <w:r w:rsidR="009840D4" w:rsidRPr="00B2528D">
        <w:rPr>
          <w:sz w:val="28"/>
          <w:szCs w:val="28"/>
        </w:rPr>
        <w:lastRenderedPageBreak/>
        <w:t xml:space="preserve">izvēlēties kā darījuma partneri to ES dalībvalsti, kuras piedāvājums tai ir saimnieciski izdevīgāks, Latvijai kā vienību </w:t>
      </w:r>
      <w:proofErr w:type="spellStart"/>
      <w:r w:rsidR="009840D4" w:rsidRPr="00B2528D">
        <w:rPr>
          <w:sz w:val="28"/>
          <w:szCs w:val="28"/>
        </w:rPr>
        <w:t>pircējvalstij</w:t>
      </w:r>
      <w:proofErr w:type="spellEnd"/>
      <w:r w:rsidR="009B3341">
        <w:rPr>
          <w:sz w:val="28"/>
          <w:szCs w:val="28"/>
        </w:rPr>
        <w:t>, lai izpildītu prasību par obligātu mērķu izpildi,</w:t>
      </w:r>
      <w:r w:rsidR="009840D4" w:rsidRPr="00B2528D">
        <w:rPr>
          <w:sz w:val="28"/>
          <w:szCs w:val="28"/>
        </w:rPr>
        <w:t xml:space="preserve"> bū</w:t>
      </w:r>
      <w:r w:rsidR="00E40628">
        <w:rPr>
          <w:sz w:val="28"/>
          <w:szCs w:val="28"/>
        </w:rPr>
        <w:t>s</w:t>
      </w:r>
      <w:r w:rsidR="009840D4" w:rsidRPr="00B2528D">
        <w:rPr>
          <w:sz w:val="28"/>
          <w:szCs w:val="28"/>
        </w:rPr>
        <w:t xml:space="preserve"> jāpielāgojas izvirzītajiem nosacījumiem,</w:t>
      </w:r>
      <w:r w:rsidR="009B3341">
        <w:rPr>
          <w:sz w:val="28"/>
          <w:szCs w:val="28"/>
        </w:rPr>
        <w:t xml:space="preserve"> tostarp, arī attiecībā uz paaugstinātu GES vienību cenu.</w:t>
      </w:r>
      <w:r w:rsidR="00F4233D">
        <w:rPr>
          <w:sz w:val="28"/>
          <w:szCs w:val="28"/>
        </w:rPr>
        <w:t xml:space="preserve"> Vienlaikus, jāņem vērā, ka </w:t>
      </w:r>
      <w:r w:rsidR="001F379C">
        <w:rPr>
          <w:sz w:val="28"/>
          <w:szCs w:val="28"/>
        </w:rPr>
        <w:t>starp atsevišķām ES dalībvalstīm jau līdz šim</w:t>
      </w:r>
      <w:r w:rsidR="00A53739">
        <w:rPr>
          <w:sz w:val="28"/>
          <w:szCs w:val="28"/>
        </w:rPr>
        <w:t xml:space="preserve"> (periodā no 2013. līdz 2020.</w:t>
      </w:r>
      <w:r w:rsidR="00BD7925">
        <w:rPr>
          <w:sz w:val="28"/>
          <w:szCs w:val="28"/>
        </w:rPr>
        <w:t> </w:t>
      </w:r>
      <w:r w:rsidR="00A53739">
        <w:rPr>
          <w:sz w:val="28"/>
          <w:szCs w:val="28"/>
        </w:rPr>
        <w:t>gadam)</w:t>
      </w:r>
      <w:r w:rsidR="001F379C">
        <w:rPr>
          <w:sz w:val="28"/>
          <w:szCs w:val="28"/>
        </w:rPr>
        <w:t xml:space="preserve"> izveidojusies sad</w:t>
      </w:r>
      <w:r w:rsidR="00A53739">
        <w:rPr>
          <w:sz w:val="28"/>
          <w:szCs w:val="28"/>
        </w:rPr>
        <w:t>arbība attiecīb</w:t>
      </w:r>
      <w:r w:rsidR="00F10BCB">
        <w:rPr>
          <w:sz w:val="28"/>
          <w:szCs w:val="28"/>
        </w:rPr>
        <w:t>ā uz darījumiem ar GES vienībām</w:t>
      </w:r>
      <w:r w:rsidR="00917FFD">
        <w:rPr>
          <w:sz w:val="28"/>
          <w:szCs w:val="28"/>
        </w:rPr>
        <w:t xml:space="preserve">, attiecīgi šīs ES dalībvalstis arī šajā periodā varētu turpināt </w:t>
      </w:r>
      <w:r w:rsidR="008B4CD6">
        <w:rPr>
          <w:sz w:val="28"/>
          <w:szCs w:val="28"/>
        </w:rPr>
        <w:t xml:space="preserve">līdzšinējo sadarbību, kas samazinātu Latvijas iespējas iegādāties GES vienības no atsevišķām ES dalībvalstīm. </w:t>
      </w:r>
      <w:r w:rsidR="00823863">
        <w:rPr>
          <w:sz w:val="28"/>
          <w:szCs w:val="28"/>
        </w:rPr>
        <w:t>Tomēr būtiski piebilst, ka s</w:t>
      </w:r>
      <w:r w:rsidR="00F4233D">
        <w:rPr>
          <w:sz w:val="28"/>
          <w:szCs w:val="28"/>
        </w:rPr>
        <w:t>i</w:t>
      </w:r>
      <w:r w:rsidR="00D0106F">
        <w:rPr>
          <w:sz w:val="28"/>
          <w:szCs w:val="28"/>
        </w:rPr>
        <w:t>tuācija attiecībā uz prognozēto kumulatīvo GES vienību pārpalikumu un iztrūkumu var būtiski mainīties</w:t>
      </w:r>
      <w:r w:rsidR="00027093">
        <w:rPr>
          <w:sz w:val="28"/>
          <w:szCs w:val="28"/>
        </w:rPr>
        <w:t xml:space="preserve"> pēc 2024.</w:t>
      </w:r>
      <w:r w:rsidR="00BD7925">
        <w:rPr>
          <w:sz w:val="28"/>
          <w:szCs w:val="28"/>
        </w:rPr>
        <w:t> </w:t>
      </w:r>
      <w:r w:rsidR="00027093">
        <w:rPr>
          <w:sz w:val="28"/>
          <w:szCs w:val="28"/>
        </w:rPr>
        <w:t>gada, kad ES dalībvalstis iesniegs atjaunotos nacionālos enerģētikas un klimata plānus</w:t>
      </w:r>
      <w:r w:rsidR="00F47EA3">
        <w:rPr>
          <w:sz w:val="28"/>
          <w:szCs w:val="28"/>
        </w:rPr>
        <w:t xml:space="preserve">, nosakot papildus pasākumus ambiciozo mērķu sasniegšanai. </w:t>
      </w:r>
    </w:p>
    <w:p w14:paraId="77C1DBCD" w14:textId="14FB01CD" w:rsidR="00AD29D9" w:rsidRPr="00365690" w:rsidRDefault="00AD29D9" w:rsidP="00A626BF">
      <w:pPr>
        <w:pStyle w:val="ListParagraph"/>
        <w:numPr>
          <w:ilvl w:val="0"/>
          <w:numId w:val="1"/>
        </w:numPr>
        <w:spacing w:before="120" w:after="120"/>
        <w:ind w:left="284" w:hanging="284"/>
        <w:contextualSpacing w:val="0"/>
        <w:jc w:val="center"/>
        <w:rPr>
          <w:b/>
          <w:sz w:val="28"/>
          <w:szCs w:val="28"/>
        </w:rPr>
      </w:pPr>
      <w:r w:rsidRPr="00365690">
        <w:rPr>
          <w:b/>
          <w:sz w:val="28"/>
          <w:szCs w:val="28"/>
        </w:rPr>
        <w:t>Turpmākā rīcība</w:t>
      </w:r>
    </w:p>
    <w:p w14:paraId="651F6D97" w14:textId="5CBB07B8" w:rsidR="00E8110F" w:rsidRDefault="002A4DB9" w:rsidP="00AD29D9">
      <w:pPr>
        <w:ind w:firstLine="567"/>
        <w:jc w:val="both"/>
        <w:rPr>
          <w:sz w:val="28"/>
          <w:szCs w:val="28"/>
        </w:rPr>
      </w:pPr>
      <w:r>
        <w:rPr>
          <w:sz w:val="28"/>
          <w:szCs w:val="28"/>
        </w:rPr>
        <w:t>Kā norādīts informatīvā ziņojuma 2.1.</w:t>
      </w:r>
      <w:r w:rsidR="00BD7925">
        <w:rPr>
          <w:sz w:val="28"/>
          <w:szCs w:val="28"/>
        </w:rPr>
        <w:t> </w:t>
      </w:r>
      <w:r>
        <w:rPr>
          <w:sz w:val="28"/>
          <w:szCs w:val="28"/>
        </w:rPr>
        <w:t xml:space="preserve">sadaļā, </w:t>
      </w:r>
      <w:r w:rsidRPr="002A4DB9">
        <w:rPr>
          <w:sz w:val="28"/>
          <w:szCs w:val="28"/>
        </w:rPr>
        <w:t xml:space="preserve">uz informatīvā ziņojuma izstrādes brīdi Regulas 2018/842 aptverto </w:t>
      </w:r>
      <w:r w:rsidR="005C4D93">
        <w:rPr>
          <w:sz w:val="28"/>
          <w:szCs w:val="28"/>
        </w:rPr>
        <w:t>sektoru</w:t>
      </w:r>
      <w:r w:rsidRPr="002A4DB9">
        <w:rPr>
          <w:sz w:val="28"/>
          <w:szCs w:val="28"/>
        </w:rPr>
        <w:t xml:space="preserve"> sadaļa Savienības reģistrā nav izveidota, t.i., nav norādīti dalībvalstīm saistošie GES mērķi un atbilstības kontos </w:t>
      </w:r>
      <w:r w:rsidR="0032262D">
        <w:rPr>
          <w:sz w:val="28"/>
          <w:szCs w:val="28"/>
        </w:rPr>
        <w:t xml:space="preserve">nav </w:t>
      </w:r>
      <w:r w:rsidRPr="002A4DB9">
        <w:rPr>
          <w:sz w:val="28"/>
          <w:szCs w:val="28"/>
        </w:rPr>
        <w:t>ieskaitītas tiem atbilstīgās GES vienības</w:t>
      </w:r>
      <w:r w:rsidR="00396E95">
        <w:rPr>
          <w:sz w:val="28"/>
          <w:szCs w:val="28"/>
        </w:rPr>
        <w:t>, t</w:t>
      </w:r>
      <w:r w:rsidRPr="002A4DB9">
        <w:rPr>
          <w:sz w:val="28"/>
          <w:szCs w:val="28"/>
        </w:rPr>
        <w:t>ādējādi, uz informatīvā ziņojuma izstrādes brīdi Latvijai darbības ar GES vienībām Savienības reģistrā nav jāveic</w:t>
      </w:r>
      <w:r w:rsidR="00396E95">
        <w:rPr>
          <w:sz w:val="28"/>
          <w:szCs w:val="28"/>
        </w:rPr>
        <w:t xml:space="preserve">. </w:t>
      </w:r>
      <w:r w:rsidRPr="002A4DB9">
        <w:rPr>
          <w:sz w:val="28"/>
          <w:szCs w:val="28"/>
        </w:rPr>
        <w:t>Līdz ar to lēmuma pieņemšana par rīcību ar Latvijas rīcībā esošajām GES vienībām</w:t>
      </w:r>
      <w:r w:rsidR="00396E95">
        <w:rPr>
          <w:sz w:val="28"/>
          <w:szCs w:val="28"/>
        </w:rPr>
        <w:t xml:space="preserve"> 2023</w:t>
      </w:r>
      <w:r w:rsidR="00E17DC0">
        <w:rPr>
          <w:sz w:val="28"/>
          <w:szCs w:val="28"/>
        </w:rPr>
        <w:t>.</w:t>
      </w:r>
      <w:r w:rsidR="00BD7925">
        <w:rPr>
          <w:sz w:val="28"/>
          <w:szCs w:val="28"/>
        </w:rPr>
        <w:t> </w:t>
      </w:r>
      <w:r w:rsidR="00E17DC0">
        <w:rPr>
          <w:sz w:val="28"/>
          <w:szCs w:val="28"/>
        </w:rPr>
        <w:t>gada izskaņā</w:t>
      </w:r>
      <w:r w:rsidRPr="002A4DB9">
        <w:rPr>
          <w:sz w:val="28"/>
          <w:szCs w:val="28"/>
        </w:rPr>
        <w:t xml:space="preserve"> nav aktuāla.</w:t>
      </w:r>
    </w:p>
    <w:p w14:paraId="257F2F0B" w14:textId="44179A01" w:rsidR="00AD29D9" w:rsidRPr="0061048A" w:rsidRDefault="004658B6" w:rsidP="00AD29D9">
      <w:pPr>
        <w:tabs>
          <w:tab w:val="right" w:pos="9072"/>
        </w:tabs>
        <w:ind w:firstLine="567"/>
        <w:jc w:val="both"/>
        <w:rPr>
          <w:sz w:val="28"/>
          <w:szCs w:val="28"/>
        </w:rPr>
      </w:pPr>
      <w:r>
        <w:rPr>
          <w:sz w:val="28"/>
          <w:szCs w:val="28"/>
        </w:rPr>
        <w:t>Pašreizējā situācijā GES vienību tirgus nav aktīvs</w:t>
      </w:r>
      <w:r w:rsidR="00180BF7">
        <w:rPr>
          <w:sz w:val="28"/>
          <w:szCs w:val="28"/>
        </w:rPr>
        <w:t xml:space="preserve"> un paredzams, ka tas aktivizēsies tuvāk pirmajai GES mērķu atbilstības pārbaudei 2027.</w:t>
      </w:r>
      <w:r w:rsidR="00BD7925">
        <w:rPr>
          <w:sz w:val="28"/>
          <w:szCs w:val="28"/>
        </w:rPr>
        <w:t> </w:t>
      </w:r>
      <w:r w:rsidR="00180BF7">
        <w:rPr>
          <w:sz w:val="28"/>
          <w:szCs w:val="28"/>
        </w:rPr>
        <w:t>gadā</w:t>
      </w:r>
      <w:r w:rsidR="000352A1">
        <w:rPr>
          <w:sz w:val="28"/>
          <w:szCs w:val="28"/>
        </w:rPr>
        <w:t xml:space="preserve">. </w:t>
      </w:r>
      <w:r w:rsidR="00A84927">
        <w:rPr>
          <w:sz w:val="28"/>
          <w:szCs w:val="28"/>
        </w:rPr>
        <w:t xml:space="preserve">Tomēr, </w:t>
      </w:r>
      <w:r w:rsidR="00A84927">
        <w:rPr>
          <w:rStyle w:val="FontStyle12"/>
          <w:sz w:val="28"/>
          <w:szCs w:val="28"/>
        </w:rPr>
        <w:t>ņ</w:t>
      </w:r>
      <w:r w:rsidR="006E7545">
        <w:rPr>
          <w:rStyle w:val="FontStyle12"/>
          <w:sz w:val="28"/>
          <w:szCs w:val="28"/>
        </w:rPr>
        <w:t xml:space="preserve">emot vērā </w:t>
      </w:r>
      <w:r w:rsidR="00A47605">
        <w:rPr>
          <w:rStyle w:val="FontStyle12"/>
          <w:sz w:val="28"/>
          <w:szCs w:val="28"/>
        </w:rPr>
        <w:t>informatīvā ziņojuma 2.2.</w:t>
      </w:r>
      <w:r w:rsidR="00BD7925">
        <w:rPr>
          <w:rStyle w:val="FontStyle12"/>
          <w:sz w:val="28"/>
          <w:szCs w:val="28"/>
        </w:rPr>
        <w:t> </w:t>
      </w:r>
      <w:r w:rsidR="00A47605">
        <w:rPr>
          <w:rStyle w:val="FontStyle12"/>
          <w:sz w:val="28"/>
          <w:szCs w:val="28"/>
        </w:rPr>
        <w:t xml:space="preserve">sadaļā norādīto, kā arī to, ka </w:t>
      </w:r>
      <w:r w:rsidR="005C7A79">
        <w:rPr>
          <w:rStyle w:val="FontStyle12"/>
          <w:sz w:val="28"/>
          <w:szCs w:val="28"/>
        </w:rPr>
        <w:t xml:space="preserve">pēc pašreizējām prognozēm Latvija tai </w:t>
      </w:r>
      <w:r w:rsidR="005C7A79" w:rsidRPr="0091529A">
        <w:rPr>
          <w:sz w:val="28"/>
          <w:szCs w:val="28"/>
        </w:rPr>
        <w:t>piešķirto GES vienību ietvaros neizpilda tai noteiktos GES mērķus</w:t>
      </w:r>
      <w:r w:rsidR="005C7A79">
        <w:rPr>
          <w:sz w:val="28"/>
          <w:szCs w:val="28"/>
        </w:rPr>
        <w:t>, kā rezultātā būs nepieciešams izmantot Regulā 2018/842 noteiktās elastību iespējas</w:t>
      </w:r>
      <w:r w:rsidR="006E7545">
        <w:rPr>
          <w:rStyle w:val="FontStyle12"/>
          <w:sz w:val="28"/>
          <w:szCs w:val="28"/>
        </w:rPr>
        <w:t>,</w:t>
      </w:r>
      <w:r w:rsidR="001A7703">
        <w:rPr>
          <w:rStyle w:val="FontStyle12"/>
          <w:sz w:val="28"/>
          <w:szCs w:val="28"/>
        </w:rPr>
        <w:t xml:space="preserve"> </w:t>
      </w:r>
      <w:r w:rsidR="006E7545">
        <w:rPr>
          <w:rStyle w:val="FontStyle12"/>
          <w:sz w:val="28"/>
          <w:szCs w:val="28"/>
        </w:rPr>
        <w:t xml:space="preserve">Klimata un enerģētikas ministrijai </w:t>
      </w:r>
      <w:r w:rsidR="00AD29D9" w:rsidRPr="0061048A">
        <w:rPr>
          <w:sz w:val="28"/>
          <w:szCs w:val="28"/>
        </w:rPr>
        <w:t xml:space="preserve">pastāvīgi </w:t>
      </w:r>
      <w:r w:rsidR="004116BD" w:rsidRPr="0061048A">
        <w:rPr>
          <w:sz w:val="28"/>
          <w:szCs w:val="28"/>
        </w:rPr>
        <w:t>jāanalizē</w:t>
      </w:r>
      <w:r w:rsidR="00AD29D9" w:rsidRPr="0061048A">
        <w:rPr>
          <w:sz w:val="28"/>
          <w:szCs w:val="28"/>
        </w:rPr>
        <w:t xml:space="preserve"> GES vienību tirgus attīstīb</w:t>
      </w:r>
      <w:r w:rsidR="004116BD" w:rsidRPr="0061048A">
        <w:rPr>
          <w:sz w:val="28"/>
          <w:szCs w:val="28"/>
        </w:rPr>
        <w:t>a</w:t>
      </w:r>
      <w:r w:rsidR="007116B7" w:rsidRPr="0061048A">
        <w:rPr>
          <w:sz w:val="28"/>
          <w:szCs w:val="28"/>
        </w:rPr>
        <w:t xml:space="preserve">, </w:t>
      </w:r>
      <w:r w:rsidR="00543196" w:rsidRPr="0061048A">
        <w:rPr>
          <w:sz w:val="28"/>
          <w:szCs w:val="28"/>
        </w:rPr>
        <w:t xml:space="preserve">kā arī </w:t>
      </w:r>
      <w:r w:rsidR="007116B7" w:rsidRPr="0061048A">
        <w:rPr>
          <w:sz w:val="28"/>
          <w:szCs w:val="28"/>
        </w:rPr>
        <w:t xml:space="preserve">nepieciešamības gadījumā </w:t>
      </w:r>
      <w:r w:rsidR="003A12A0" w:rsidRPr="0061048A">
        <w:rPr>
          <w:sz w:val="28"/>
          <w:szCs w:val="28"/>
        </w:rPr>
        <w:t>jāuzsāk</w:t>
      </w:r>
      <w:r w:rsidR="00543196" w:rsidRPr="0061048A">
        <w:rPr>
          <w:sz w:val="28"/>
          <w:szCs w:val="28"/>
        </w:rPr>
        <w:t xml:space="preserve"> sarunas ar potenciālajiem darījumu partneriem par iespējamo sadarbību saistībā ar GES vienību tirdzniecību</w:t>
      </w:r>
      <w:r w:rsidR="00AD29D9" w:rsidRPr="0061048A">
        <w:rPr>
          <w:sz w:val="28"/>
          <w:szCs w:val="28"/>
        </w:rPr>
        <w:t>.</w:t>
      </w:r>
    </w:p>
    <w:p w14:paraId="01C46FBF" w14:textId="77777777" w:rsidR="00AD29D9" w:rsidRPr="00A4780E" w:rsidRDefault="00AD29D9" w:rsidP="00AD29D9">
      <w:pPr>
        <w:tabs>
          <w:tab w:val="right" w:pos="9072"/>
        </w:tabs>
        <w:rPr>
          <w:sz w:val="28"/>
          <w:szCs w:val="28"/>
        </w:rPr>
      </w:pPr>
    </w:p>
    <w:p w14:paraId="67FFB572" w14:textId="77777777" w:rsidR="00AD29D9" w:rsidRDefault="00AD29D9" w:rsidP="00AD29D9">
      <w:pPr>
        <w:jc w:val="both"/>
        <w:rPr>
          <w:sz w:val="28"/>
          <w:szCs w:val="28"/>
        </w:rPr>
      </w:pPr>
    </w:p>
    <w:p w14:paraId="57E0C60F" w14:textId="1090D9B4" w:rsidR="00AD29D9" w:rsidRDefault="00AD29D9" w:rsidP="00AD29D9">
      <w:pPr>
        <w:jc w:val="both"/>
        <w:rPr>
          <w:sz w:val="28"/>
          <w:szCs w:val="28"/>
        </w:rPr>
      </w:pPr>
    </w:p>
    <w:p w14:paraId="1FFC9A25" w14:textId="2016F0D7" w:rsidR="00940F8B" w:rsidRDefault="00940F8B" w:rsidP="00AD29D9">
      <w:pPr>
        <w:jc w:val="both"/>
        <w:rPr>
          <w:sz w:val="28"/>
          <w:szCs w:val="28"/>
        </w:rPr>
      </w:pPr>
      <w:r>
        <w:rPr>
          <w:sz w:val="28"/>
          <w:szCs w:val="28"/>
        </w:rPr>
        <w:t xml:space="preserve">Klimata un enerģētikas ministrs </w:t>
      </w:r>
      <w:r w:rsidR="00137A9D">
        <w:rPr>
          <w:sz w:val="28"/>
          <w:szCs w:val="28"/>
        </w:rPr>
        <w:tab/>
      </w:r>
      <w:r w:rsidR="00137A9D">
        <w:rPr>
          <w:sz w:val="28"/>
          <w:szCs w:val="28"/>
        </w:rPr>
        <w:tab/>
      </w:r>
      <w:r w:rsidR="00137A9D">
        <w:rPr>
          <w:sz w:val="28"/>
          <w:szCs w:val="28"/>
        </w:rPr>
        <w:tab/>
      </w:r>
      <w:r w:rsidR="00137A9D">
        <w:rPr>
          <w:sz w:val="28"/>
          <w:szCs w:val="28"/>
        </w:rPr>
        <w:tab/>
      </w:r>
      <w:r w:rsidR="00137A9D">
        <w:rPr>
          <w:sz w:val="28"/>
          <w:szCs w:val="28"/>
        </w:rPr>
        <w:tab/>
      </w:r>
      <w:r w:rsidR="003445E2">
        <w:rPr>
          <w:sz w:val="28"/>
          <w:szCs w:val="28"/>
        </w:rPr>
        <w:tab/>
        <w:t>K. Melnis</w:t>
      </w:r>
    </w:p>
    <w:p w14:paraId="67069C4E" w14:textId="77777777" w:rsidR="00AD29D9" w:rsidRDefault="00AD29D9" w:rsidP="00AD29D9">
      <w:pPr>
        <w:tabs>
          <w:tab w:val="left" w:pos="3695"/>
        </w:tabs>
        <w:jc w:val="both"/>
        <w:rPr>
          <w:noProof/>
          <w:color w:val="000000" w:themeColor="text1"/>
          <w:sz w:val="20"/>
          <w:szCs w:val="20"/>
        </w:rPr>
      </w:pPr>
    </w:p>
    <w:p w14:paraId="7A9DCDBB" w14:textId="77777777" w:rsidR="004F26C4" w:rsidRDefault="004F26C4" w:rsidP="00AD29D9">
      <w:pPr>
        <w:tabs>
          <w:tab w:val="left" w:pos="3695"/>
        </w:tabs>
        <w:jc w:val="both"/>
        <w:rPr>
          <w:noProof/>
          <w:color w:val="000000" w:themeColor="text1"/>
          <w:sz w:val="20"/>
          <w:szCs w:val="20"/>
        </w:rPr>
      </w:pPr>
    </w:p>
    <w:p w14:paraId="45B25AC7" w14:textId="77777777" w:rsidR="004F26C4" w:rsidRDefault="004F26C4" w:rsidP="00AD29D9">
      <w:pPr>
        <w:tabs>
          <w:tab w:val="left" w:pos="3695"/>
        </w:tabs>
        <w:jc w:val="both"/>
        <w:rPr>
          <w:noProof/>
          <w:color w:val="000000" w:themeColor="text1"/>
          <w:sz w:val="20"/>
          <w:szCs w:val="20"/>
        </w:rPr>
      </w:pPr>
    </w:p>
    <w:p w14:paraId="68F6B7D1" w14:textId="12EA685C" w:rsidR="00AD29D9" w:rsidRPr="003F18F0" w:rsidRDefault="004F26C4" w:rsidP="00AD29D9">
      <w:pPr>
        <w:tabs>
          <w:tab w:val="left" w:pos="3695"/>
        </w:tabs>
        <w:jc w:val="both"/>
        <w:rPr>
          <w:noProof/>
          <w:color w:val="000000" w:themeColor="text1"/>
          <w:sz w:val="20"/>
          <w:szCs w:val="20"/>
        </w:rPr>
      </w:pPr>
      <w:r>
        <w:rPr>
          <w:noProof/>
          <w:color w:val="000000" w:themeColor="text1"/>
          <w:sz w:val="20"/>
          <w:szCs w:val="20"/>
        </w:rPr>
        <w:t>Dansone</w:t>
      </w:r>
      <w:r w:rsidR="00AD29D9" w:rsidRPr="003F18F0">
        <w:rPr>
          <w:noProof/>
          <w:color w:val="000000" w:themeColor="text1"/>
          <w:sz w:val="20"/>
          <w:szCs w:val="20"/>
        </w:rPr>
        <w:t xml:space="preserve"> 67026489</w:t>
      </w:r>
    </w:p>
    <w:p w14:paraId="7BACB3A6" w14:textId="58EA48A1" w:rsidR="00137A9D" w:rsidRPr="00D629CC" w:rsidRDefault="00000000" w:rsidP="00DD42A4">
      <w:pPr>
        <w:tabs>
          <w:tab w:val="left" w:pos="3695"/>
        </w:tabs>
        <w:jc w:val="both"/>
        <w:rPr>
          <w:noProof/>
          <w:color w:val="0000FF"/>
          <w:sz w:val="20"/>
          <w:szCs w:val="20"/>
          <w:u w:val="single"/>
        </w:rPr>
      </w:pPr>
      <w:hyperlink r:id="rId8" w:history="1">
        <w:r w:rsidR="003445E2" w:rsidRPr="00257C08">
          <w:rPr>
            <w:rStyle w:val="Hyperlink"/>
            <w:noProof/>
            <w:sz w:val="20"/>
            <w:szCs w:val="20"/>
          </w:rPr>
          <w:t>beate.dansone@kem.gov.lv</w:t>
        </w:r>
      </w:hyperlink>
    </w:p>
    <w:sectPr w:rsidR="00137A9D" w:rsidRPr="00D629CC" w:rsidSect="00302D16">
      <w:headerReference w:type="even" r:id="rId9"/>
      <w:footerReference w:type="default" r:id="rId10"/>
      <w:headerReference w:type="first" r:id="rId11"/>
      <w:footerReference w:type="first" r:id="rId12"/>
      <w:pgSz w:w="11906" w:h="16838"/>
      <w:pgMar w:top="1418"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667BA" w14:textId="77777777" w:rsidR="00904235" w:rsidRDefault="00904235" w:rsidP="00AD29D9">
      <w:r>
        <w:separator/>
      </w:r>
    </w:p>
  </w:endnote>
  <w:endnote w:type="continuationSeparator" w:id="0">
    <w:p w14:paraId="3E069C88" w14:textId="77777777" w:rsidR="00904235" w:rsidRDefault="00904235" w:rsidP="00AD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nux Libertine Display G">
    <w:altName w:val="Times New Roman"/>
    <w:charset w:val="01"/>
    <w:family w:val="auto"/>
    <w:pitch w:val="default"/>
  </w:font>
  <w:font w:name="Noto Serif CJK SC">
    <w:panose1 w:val="00000000000000000000"/>
    <w:charset w:val="80"/>
    <w:family w:val="roman"/>
    <w:notTrueType/>
    <w:pitch w:val="variable"/>
    <w:sig w:usb0="30000287" w:usb1="2BDF3C10" w:usb2="00000016" w:usb3="00000000" w:csb0="002E0107" w:csb1="00000000"/>
  </w:font>
  <w:font w:name="FreeSans">
    <w:altName w:val="Cambria"/>
    <w:charset w:val="00"/>
    <w:family w:val="swiss"/>
    <w:pitch w:val="variable"/>
    <w:sig w:usb0="E4838EFF" w:usb1="4200FDFF" w:usb2="000030A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4303"/>
      <w:docPartObj>
        <w:docPartGallery w:val="Page Numbers (Bottom of Page)"/>
        <w:docPartUnique/>
      </w:docPartObj>
    </w:sdtPr>
    <w:sdtEndPr>
      <w:rPr>
        <w:noProof/>
      </w:rPr>
    </w:sdtEndPr>
    <w:sdtContent>
      <w:p w14:paraId="50369AD9" w14:textId="046918F5" w:rsidR="0071780D" w:rsidRDefault="007178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5564" w14:textId="77777777" w:rsidR="002E49C1" w:rsidRPr="009C4141" w:rsidRDefault="002E49C1" w:rsidP="002E49C1">
    <w:pPr>
      <w:pStyle w:val="Footer"/>
      <w:spacing w:after="60"/>
      <w:ind w:right="-1"/>
      <w:jc w:val="both"/>
      <w:rPr>
        <w:sz w:val="18"/>
        <w:szCs w:val="18"/>
      </w:rPr>
    </w:pPr>
    <w:r w:rsidRPr="009C4141">
      <w:rPr>
        <w:sz w:val="18"/>
        <w:szCs w:val="18"/>
      </w:rPr>
      <w:fldChar w:fldCharType="begin"/>
    </w:r>
    <w:r w:rsidRPr="009C4141">
      <w:rPr>
        <w:sz w:val="18"/>
        <w:szCs w:val="18"/>
      </w:rPr>
      <w:instrText xml:space="preserve"> FILENAME </w:instrText>
    </w:r>
    <w:r w:rsidRPr="009C4141">
      <w:rPr>
        <w:sz w:val="18"/>
        <w:szCs w:val="18"/>
      </w:rPr>
      <w:fldChar w:fldCharType="separate"/>
    </w:r>
    <w:r>
      <w:rPr>
        <w:noProof/>
        <w:sz w:val="18"/>
        <w:szCs w:val="18"/>
      </w:rPr>
      <w:t>KEM_Zinojums_2023_turpmaka riciba_GES</w:t>
    </w:r>
    <w:r w:rsidRPr="009C4141">
      <w:rPr>
        <w:sz w:val="18"/>
        <w:szCs w:val="18"/>
      </w:rPr>
      <w:fldChar w:fldCharType="end"/>
    </w:r>
  </w:p>
  <w:p w14:paraId="7046B274" w14:textId="2C61DF05" w:rsidR="006169A7" w:rsidRPr="00841E7D" w:rsidRDefault="006169A7" w:rsidP="00510E9F">
    <w:pPr>
      <w:pStyle w:val="Footer"/>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A842" w14:textId="77777777" w:rsidR="00904235" w:rsidRDefault="00904235" w:rsidP="00AD29D9">
      <w:r>
        <w:separator/>
      </w:r>
    </w:p>
  </w:footnote>
  <w:footnote w:type="continuationSeparator" w:id="0">
    <w:p w14:paraId="32DF2FF1" w14:textId="77777777" w:rsidR="00904235" w:rsidRDefault="00904235" w:rsidP="00AD29D9">
      <w:r>
        <w:continuationSeparator/>
      </w:r>
    </w:p>
  </w:footnote>
  <w:footnote w:id="1">
    <w:p w14:paraId="05DFE699" w14:textId="77777777" w:rsidR="00FD7871" w:rsidRPr="002B000B" w:rsidRDefault="00FD7871" w:rsidP="008C0213">
      <w:pPr>
        <w:pStyle w:val="FootnoteText"/>
        <w:spacing w:after="0" w:line="240" w:lineRule="auto"/>
        <w:jc w:val="both"/>
        <w:rPr>
          <w:rFonts w:ascii="Times New Roman" w:hAnsi="Times New Roman" w:cs="Times New Roman"/>
        </w:rPr>
      </w:pPr>
      <w:r w:rsidRPr="002B000B">
        <w:rPr>
          <w:rStyle w:val="FootnoteReference"/>
        </w:rPr>
        <w:footnoteRef/>
      </w:r>
      <w:r>
        <w:rPr>
          <w:rFonts w:ascii="Times New Roman" w:hAnsi="Times New Roman" w:cs="Times New Roman"/>
        </w:rPr>
        <w:t xml:space="preserve"> Komisijas 2020. gada 16. decembra Īstenošanas lēmums (ES) 2020/2126 </w:t>
      </w:r>
      <w:r w:rsidRPr="001470CE">
        <w:rPr>
          <w:rFonts w:ascii="Times New Roman" w:hAnsi="Times New Roman" w:cs="Times New Roman"/>
        </w:rPr>
        <w:t>par dalībvalstu ikgadējo emisiju sadales apjomu noteikšanu 2021.–2030. gada periodam saskaņā ar Eiropas Parlamenta un Padomes Regulu (ES) 2018/842</w:t>
      </w:r>
      <w:r>
        <w:rPr>
          <w:rFonts w:ascii="Times New Roman" w:hAnsi="Times New Roman" w:cs="Times New Roman"/>
        </w:rPr>
        <w:t>.</w:t>
      </w:r>
    </w:p>
  </w:footnote>
  <w:footnote w:id="2">
    <w:p w14:paraId="4BE068BE" w14:textId="18388587" w:rsidR="00BC31C0" w:rsidRPr="00EB5DD3" w:rsidRDefault="00BC31C0" w:rsidP="00EB5DD3">
      <w:pPr>
        <w:pStyle w:val="FootnoteText"/>
        <w:spacing w:after="0" w:line="240" w:lineRule="auto"/>
        <w:jc w:val="both"/>
        <w:rPr>
          <w:rFonts w:ascii="Times New Roman" w:hAnsi="Times New Roman" w:cs="Times New Roman"/>
        </w:rPr>
      </w:pPr>
      <w:r w:rsidRPr="00EB5DD3">
        <w:rPr>
          <w:rStyle w:val="FootnoteReference"/>
          <w:rFonts w:ascii="Times New Roman" w:hAnsi="Times New Roman" w:cs="Times New Roman"/>
        </w:rPr>
        <w:footnoteRef/>
      </w:r>
      <w:r w:rsidRPr="00EB5DD3">
        <w:rPr>
          <w:rFonts w:ascii="Times New Roman" w:hAnsi="Times New Roman" w:cs="Times New Roman"/>
        </w:rPr>
        <w:t xml:space="preserve"> </w:t>
      </w:r>
      <w:r w:rsidRPr="00EB5DD3">
        <w:rPr>
          <w:rFonts w:ascii="Times New Roman" w:hAnsi="Times New Roman" w:cs="Times New Roman"/>
        </w:rPr>
        <w:t>Komisijas 2023. gada 28. jūnija Īstenošanas lēmums (ES) 2023/1319, ar ko groza Īstenošanas lēmumu (ES) 2020/2126, lai pārskatītu dalībvalstu ikgadējo emisiju sadales apjomu 2023.–2030. gada periodam</w:t>
      </w:r>
      <w:r w:rsidR="0045319D" w:rsidRPr="00EB5DD3">
        <w:rPr>
          <w:rFonts w:ascii="Times New Roman" w:hAnsi="Times New Roman" w:cs="Times New Roman"/>
        </w:rPr>
        <w:t>.</w:t>
      </w:r>
    </w:p>
  </w:footnote>
  <w:footnote w:id="3">
    <w:p w14:paraId="0F0A937E" w14:textId="689ABD1B" w:rsidR="00FD2492" w:rsidRPr="00EB5DD3" w:rsidRDefault="00FD2492" w:rsidP="00EB5DD3">
      <w:pPr>
        <w:pStyle w:val="FootnoteText"/>
        <w:spacing w:after="0" w:line="240" w:lineRule="auto"/>
        <w:jc w:val="both"/>
        <w:rPr>
          <w:rFonts w:ascii="Times New Roman" w:hAnsi="Times New Roman" w:cs="Times New Roman"/>
        </w:rPr>
      </w:pPr>
      <w:r w:rsidRPr="00EB5DD3">
        <w:rPr>
          <w:rStyle w:val="FootnoteReference"/>
          <w:rFonts w:ascii="Times New Roman" w:hAnsi="Times New Roman" w:cs="Times New Roman"/>
        </w:rPr>
        <w:footnoteRef/>
      </w:r>
      <w:r w:rsidRPr="00EB5DD3">
        <w:rPr>
          <w:rFonts w:ascii="Times New Roman" w:hAnsi="Times New Roman" w:cs="Times New Roman"/>
        </w:rPr>
        <w:t xml:space="preserve"> </w:t>
      </w:r>
      <w:r w:rsidR="00717008" w:rsidRPr="00EB5DD3">
        <w:rPr>
          <w:rFonts w:ascii="Times New Roman" w:hAnsi="Times New Roman" w:cs="Times New Roman"/>
        </w:rPr>
        <w:t>Informācija s</w:t>
      </w:r>
      <w:r w:rsidR="00AE71A5" w:rsidRPr="00EB5DD3">
        <w:rPr>
          <w:rFonts w:ascii="Times New Roman" w:hAnsi="Times New Roman" w:cs="Times New Roman"/>
        </w:rPr>
        <w:t xml:space="preserve">askaņā ar </w:t>
      </w:r>
      <w:r w:rsidR="00B05DFD" w:rsidRPr="00EB5DD3">
        <w:rPr>
          <w:rFonts w:ascii="Times New Roman" w:hAnsi="Times New Roman" w:cs="Times New Roman"/>
        </w:rPr>
        <w:t>2023. gada Latvijas SEG inventarizāciju no 1990. līdz 2021. gadam</w:t>
      </w:r>
      <w:r w:rsidR="00BE3E7B" w:rsidRPr="00EB5DD3">
        <w:rPr>
          <w:rFonts w:ascii="Times New Roman" w:hAnsi="Times New Roman" w:cs="Times New Roman"/>
        </w:rPr>
        <w:t xml:space="preserve">, pieejama: </w:t>
      </w:r>
      <w:hyperlink r:id="rId1" w:history="1">
        <w:r w:rsidR="00BE3E7B" w:rsidRPr="00EB5DD3">
          <w:rPr>
            <w:rStyle w:val="Hyperlink"/>
            <w:rFonts w:ascii="Times New Roman" w:hAnsi="Times New Roman" w:cs="Times New Roman"/>
          </w:rPr>
          <w:t>https://videscentrs.lvgmc.lv/lapas/zinojums-par-klimatu</w:t>
        </w:r>
      </w:hyperlink>
      <w:r w:rsidR="002F4AB4">
        <w:rPr>
          <w:rFonts w:ascii="Times New Roman" w:hAnsi="Times New Roman" w:cs="Times New Roman"/>
        </w:rPr>
        <w:t xml:space="preserve">. </w:t>
      </w:r>
    </w:p>
  </w:footnote>
  <w:footnote w:id="4">
    <w:p w14:paraId="6B66B339" w14:textId="1B8E2B0E" w:rsidR="00B35968" w:rsidRPr="00EB5DD3" w:rsidRDefault="00B35968" w:rsidP="00EB5DD3">
      <w:pPr>
        <w:pStyle w:val="FootnoteText"/>
        <w:spacing w:after="0" w:line="240" w:lineRule="auto"/>
        <w:jc w:val="both"/>
        <w:rPr>
          <w:rFonts w:ascii="Times New Roman" w:hAnsi="Times New Roman" w:cs="Times New Roman"/>
        </w:rPr>
      </w:pPr>
      <w:r w:rsidRPr="00EB5DD3">
        <w:rPr>
          <w:rStyle w:val="FootnoteReference"/>
          <w:rFonts w:ascii="Times New Roman" w:hAnsi="Times New Roman" w:cs="Times New Roman"/>
        </w:rPr>
        <w:footnoteRef/>
      </w:r>
      <w:r w:rsidRPr="00EB5DD3">
        <w:rPr>
          <w:rFonts w:ascii="Times New Roman" w:hAnsi="Times New Roman" w:cs="Times New Roman"/>
        </w:rPr>
        <w:t xml:space="preserve"> </w:t>
      </w:r>
      <w:r w:rsidR="00717008" w:rsidRPr="00EB5DD3">
        <w:rPr>
          <w:rFonts w:ascii="Times New Roman" w:hAnsi="Times New Roman" w:cs="Times New Roman"/>
        </w:rPr>
        <w:t>Informācija s</w:t>
      </w:r>
      <w:r w:rsidRPr="00EB5DD3">
        <w:rPr>
          <w:rFonts w:ascii="Times New Roman" w:hAnsi="Times New Roman" w:cs="Times New Roman"/>
        </w:rPr>
        <w:t xml:space="preserve">askaņā ar 2023. gada </w:t>
      </w:r>
      <w:r w:rsidR="001952E0" w:rsidRPr="00EB5DD3">
        <w:rPr>
          <w:rFonts w:ascii="Times New Roman" w:hAnsi="Times New Roman" w:cs="Times New Roman"/>
        </w:rPr>
        <w:t xml:space="preserve">aptuveno SEG inventarizāciju par 2022. gadu. </w:t>
      </w:r>
    </w:p>
  </w:footnote>
  <w:footnote w:id="5">
    <w:p w14:paraId="43A275C1" w14:textId="5F2618C2" w:rsidR="001952E0" w:rsidRPr="00B73D9E" w:rsidRDefault="001952E0" w:rsidP="00EB5DD3">
      <w:pPr>
        <w:pStyle w:val="FootnoteText"/>
        <w:spacing w:after="0" w:line="240" w:lineRule="auto"/>
        <w:jc w:val="both"/>
        <w:rPr>
          <w:rFonts w:ascii="Times New Roman" w:hAnsi="Times New Roman"/>
          <w:sz w:val="16"/>
          <w:szCs w:val="16"/>
        </w:rPr>
      </w:pPr>
      <w:r w:rsidRPr="00EB5DD3">
        <w:rPr>
          <w:rStyle w:val="FootnoteReference"/>
          <w:rFonts w:ascii="Times New Roman" w:hAnsi="Times New Roman" w:cs="Times New Roman"/>
        </w:rPr>
        <w:footnoteRef/>
      </w:r>
      <w:r w:rsidRPr="00EB5DD3">
        <w:rPr>
          <w:rFonts w:ascii="Times New Roman" w:hAnsi="Times New Roman" w:cs="Times New Roman"/>
        </w:rPr>
        <w:t xml:space="preserve"> </w:t>
      </w:r>
      <w:r w:rsidR="00717008" w:rsidRPr="00EB5DD3">
        <w:rPr>
          <w:rFonts w:ascii="Times New Roman" w:hAnsi="Times New Roman" w:cs="Times New Roman"/>
        </w:rPr>
        <w:t xml:space="preserve">Sākot no 2023. gada, informācija saskaņā ar </w:t>
      </w:r>
      <w:r w:rsidR="003040D5" w:rsidRPr="00EB5DD3">
        <w:rPr>
          <w:rFonts w:ascii="Times New Roman" w:hAnsi="Times New Roman" w:cs="Times New Roman"/>
        </w:rPr>
        <w:t xml:space="preserve">2023. gada ziņojumu par politikām, pasākumiem un SEG prognozēm, pieejams: </w:t>
      </w:r>
      <w:hyperlink r:id="rId2" w:history="1">
        <w:r w:rsidR="00B73D9E" w:rsidRPr="00EB5DD3">
          <w:rPr>
            <w:rStyle w:val="Hyperlink"/>
            <w:rFonts w:ascii="Times New Roman" w:hAnsi="Times New Roman" w:cs="Times New Roman"/>
          </w:rPr>
          <w:t>https://reportnet.europa.eu/public/country/LV</w:t>
        </w:r>
      </w:hyperlink>
      <w:r w:rsidR="002F4AB4">
        <w:rPr>
          <w:rFonts w:ascii="Times New Roman" w:hAnsi="Times New Roman"/>
          <w:sz w:val="16"/>
          <w:szCs w:val="16"/>
        </w:rPr>
        <w:t xml:space="preserve">. </w:t>
      </w:r>
    </w:p>
  </w:footnote>
  <w:footnote w:id="6">
    <w:p w14:paraId="0CE715FA" w14:textId="1F4C1098" w:rsidR="00875BA9" w:rsidRPr="00875BA9" w:rsidRDefault="00875BA9" w:rsidP="00875BA9">
      <w:pPr>
        <w:pStyle w:val="FootnoteText"/>
        <w:spacing w:after="0" w:line="240" w:lineRule="auto"/>
        <w:jc w:val="both"/>
        <w:rPr>
          <w:rFonts w:ascii="Times New Roman" w:hAnsi="Times New Roman" w:cs="Times New Roman"/>
        </w:rPr>
      </w:pPr>
      <w:r w:rsidRPr="00875BA9">
        <w:rPr>
          <w:rStyle w:val="FootnoteReference"/>
          <w:rFonts w:ascii="Times New Roman" w:hAnsi="Times New Roman" w:cs="Times New Roman"/>
        </w:rPr>
        <w:footnoteRef/>
      </w:r>
      <w:r w:rsidRPr="00875BA9">
        <w:rPr>
          <w:rFonts w:ascii="Times New Roman" w:hAnsi="Times New Roman" w:cs="Times New Roman"/>
        </w:rPr>
        <w:t xml:space="preserve"> </w:t>
      </w:r>
      <w:r w:rsidRPr="00875BA9">
        <w:rPr>
          <w:rFonts w:ascii="Times New Roman" w:hAnsi="Times New Roman" w:cs="Times New Roman"/>
        </w:rPr>
        <w:t xml:space="preserve">2023. gada ziņojums par politikām, pasākumiem un SEG prognozēm, kas sagatavots saskaņā ar Eiropas Parlamenta un Padomes 2018. gada 11. decembra Regulas (ES)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18. pantu, pieejams ziņošanas sistēmā </w:t>
      </w:r>
      <w:proofErr w:type="spellStart"/>
      <w:r w:rsidRPr="00875BA9">
        <w:rPr>
          <w:rFonts w:ascii="Times New Roman" w:hAnsi="Times New Roman" w:cs="Times New Roman"/>
        </w:rPr>
        <w:t>Reportnet</w:t>
      </w:r>
      <w:proofErr w:type="spellEnd"/>
      <w:r w:rsidRPr="00875BA9">
        <w:rPr>
          <w:rFonts w:ascii="Times New Roman" w:hAnsi="Times New Roman" w:cs="Times New Roman"/>
        </w:rPr>
        <w:t xml:space="preserve">: </w:t>
      </w:r>
      <w:hyperlink r:id="rId3" w:history="1">
        <w:r w:rsidRPr="00875BA9">
          <w:rPr>
            <w:rStyle w:val="Hyperlink"/>
            <w:rFonts w:ascii="Times New Roman" w:hAnsi="Times New Roman" w:cs="Times New Roman"/>
          </w:rPr>
          <w:t>https://reportnet.europa.eu/public/country/LV</w:t>
        </w:r>
      </w:hyperlink>
      <w:r w:rsidRPr="00875BA9">
        <w:rPr>
          <w:rFonts w:ascii="Times New Roman" w:hAnsi="Times New Roman" w:cs="Times New Roman"/>
        </w:rPr>
        <w:t>.</w:t>
      </w:r>
    </w:p>
  </w:footnote>
  <w:footnote w:id="7">
    <w:p w14:paraId="37E59E76" w14:textId="38C59554" w:rsidR="00AD29D9" w:rsidRPr="001703C2" w:rsidRDefault="00AD29D9" w:rsidP="00AD29D9">
      <w:pPr>
        <w:pStyle w:val="FootnoteText"/>
        <w:spacing w:after="0" w:line="240" w:lineRule="auto"/>
        <w:rPr>
          <w:rFonts w:ascii="Times New Roman" w:hAnsi="Times New Roman" w:cs="Times New Roman"/>
        </w:rPr>
      </w:pPr>
      <w:r w:rsidRPr="001B18FC">
        <w:rPr>
          <w:rStyle w:val="FootnoteReference"/>
          <w:rFonts w:ascii="Times New Roman" w:hAnsi="Times New Roman" w:cs="Times New Roman"/>
        </w:rPr>
        <w:footnoteRef/>
      </w:r>
      <w:r w:rsidRPr="001B18FC">
        <w:rPr>
          <w:rFonts w:ascii="Times New Roman" w:hAnsi="Times New Roman" w:cs="Times New Roman"/>
        </w:rPr>
        <w:t xml:space="preserve"> </w:t>
      </w:r>
      <w:r w:rsidR="001703C2">
        <w:rPr>
          <w:rFonts w:ascii="Times New Roman" w:hAnsi="Times New Roman" w:cs="Times New Roman"/>
        </w:rPr>
        <w:t xml:space="preserve">Pieejams: </w:t>
      </w:r>
      <w:hyperlink r:id="rId4" w:history="1">
        <w:r w:rsidR="001703C2" w:rsidRPr="00F81B86">
          <w:rPr>
            <w:rStyle w:val="Hyperlink"/>
            <w:rFonts w:ascii="Times New Roman" w:hAnsi="Times New Roman" w:cs="Times New Roman"/>
          </w:rPr>
          <w:t>https://eur-lex.europa.eu/legal-content/EN/TXT/?uri=CELEX:52023DC0653</w:t>
        </w:r>
      </w:hyperlink>
      <w:r w:rsidR="001703C2">
        <w:rPr>
          <w:rFonts w:ascii="Times New Roman" w:hAnsi="Times New Roman" w:cs="Times New Roman"/>
        </w:rPr>
        <w:t>.</w:t>
      </w:r>
      <w:r w:rsidR="001703C2" w:rsidRPr="001703C2">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16C0" w14:textId="77777777" w:rsidR="006169A7" w:rsidRDefault="002540BB" w:rsidP="00510E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D7A2D6" w14:textId="77777777" w:rsidR="006169A7" w:rsidRDefault="00616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0EAF" w14:textId="31523AD9" w:rsidR="006169A7" w:rsidRPr="00844E38" w:rsidRDefault="006169A7" w:rsidP="00510E9F">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65E0"/>
    <w:multiLevelType w:val="multilevel"/>
    <w:tmpl w:val="6F9C5618"/>
    <w:lvl w:ilvl="0">
      <w:start w:val="1"/>
      <w:numFmt w:val="decimal"/>
      <w:lvlText w:val="%1."/>
      <w:lvlJc w:val="left"/>
      <w:pPr>
        <w:ind w:left="360" w:hanging="360"/>
      </w:pPr>
      <w:rPr>
        <w:rFonts w:hint="default"/>
        <w:b/>
      </w:rPr>
    </w:lvl>
    <w:lvl w:ilvl="1">
      <w:start w:val="1"/>
      <w:numFmt w:val="decimal"/>
      <w:isLgl/>
      <w:lvlText w:val="%1.%2."/>
      <w:lvlJc w:val="left"/>
      <w:pPr>
        <w:ind w:left="7019"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2DFC63AA"/>
    <w:multiLevelType w:val="hybridMultilevel"/>
    <w:tmpl w:val="BD82D816"/>
    <w:lvl w:ilvl="0" w:tplc="7F4C1488">
      <w:start w:val="1"/>
      <w:numFmt w:val="decimal"/>
      <w:lvlText w:val="%1)"/>
      <w:lvlJc w:val="left"/>
      <w:pPr>
        <w:ind w:left="1080" w:hanging="360"/>
      </w:pPr>
      <w:rPr>
        <w:rFonts w:ascii="Times New Roman" w:eastAsia="Times New Roman" w:hAnsi="Times New Roman" w:cs="Times New Roman"/>
      </w:rPr>
    </w:lvl>
    <w:lvl w:ilvl="1" w:tplc="684EF428">
      <w:start w:val="1"/>
      <w:numFmt w:val="lowerLetter"/>
      <w:lvlText w:val="%2."/>
      <w:lvlJc w:val="left"/>
      <w:pPr>
        <w:ind w:left="1800" w:hanging="360"/>
      </w:pPr>
    </w:lvl>
    <w:lvl w:ilvl="2" w:tplc="55B2EB72" w:tentative="1">
      <w:start w:val="1"/>
      <w:numFmt w:val="lowerRoman"/>
      <w:lvlText w:val="%3."/>
      <w:lvlJc w:val="right"/>
      <w:pPr>
        <w:ind w:left="2520" w:hanging="180"/>
      </w:pPr>
    </w:lvl>
    <w:lvl w:ilvl="3" w:tplc="FFE0D2FC" w:tentative="1">
      <w:start w:val="1"/>
      <w:numFmt w:val="decimal"/>
      <w:lvlText w:val="%4."/>
      <w:lvlJc w:val="left"/>
      <w:pPr>
        <w:ind w:left="3240" w:hanging="360"/>
      </w:pPr>
    </w:lvl>
    <w:lvl w:ilvl="4" w:tplc="C330B9A4" w:tentative="1">
      <w:start w:val="1"/>
      <w:numFmt w:val="lowerLetter"/>
      <w:lvlText w:val="%5."/>
      <w:lvlJc w:val="left"/>
      <w:pPr>
        <w:ind w:left="3960" w:hanging="360"/>
      </w:pPr>
    </w:lvl>
    <w:lvl w:ilvl="5" w:tplc="4918A4CC" w:tentative="1">
      <w:start w:val="1"/>
      <w:numFmt w:val="lowerRoman"/>
      <w:lvlText w:val="%6."/>
      <w:lvlJc w:val="right"/>
      <w:pPr>
        <w:ind w:left="4680" w:hanging="180"/>
      </w:pPr>
    </w:lvl>
    <w:lvl w:ilvl="6" w:tplc="CA5A8D22" w:tentative="1">
      <w:start w:val="1"/>
      <w:numFmt w:val="decimal"/>
      <w:lvlText w:val="%7."/>
      <w:lvlJc w:val="left"/>
      <w:pPr>
        <w:ind w:left="5400" w:hanging="360"/>
      </w:pPr>
    </w:lvl>
    <w:lvl w:ilvl="7" w:tplc="ED02E482" w:tentative="1">
      <w:start w:val="1"/>
      <w:numFmt w:val="lowerLetter"/>
      <w:lvlText w:val="%8."/>
      <w:lvlJc w:val="left"/>
      <w:pPr>
        <w:ind w:left="6120" w:hanging="360"/>
      </w:pPr>
    </w:lvl>
    <w:lvl w:ilvl="8" w:tplc="D32AB2A0" w:tentative="1">
      <w:start w:val="1"/>
      <w:numFmt w:val="lowerRoman"/>
      <w:lvlText w:val="%9."/>
      <w:lvlJc w:val="right"/>
      <w:pPr>
        <w:ind w:left="6840" w:hanging="180"/>
      </w:pPr>
    </w:lvl>
  </w:abstractNum>
  <w:abstractNum w:abstractNumId="2" w15:restartNumberingAfterBreak="0">
    <w:nsid w:val="60904CBB"/>
    <w:multiLevelType w:val="multilevel"/>
    <w:tmpl w:val="BFFC989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51776701">
    <w:abstractNumId w:val="0"/>
  </w:num>
  <w:num w:numId="2" w16cid:durableId="1567254757">
    <w:abstractNumId w:val="2"/>
  </w:num>
  <w:num w:numId="3" w16cid:durableId="434253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D9"/>
    <w:rsid w:val="000024F9"/>
    <w:rsid w:val="00004B59"/>
    <w:rsid w:val="00004E18"/>
    <w:rsid w:val="00010D14"/>
    <w:rsid w:val="00013141"/>
    <w:rsid w:val="00014E11"/>
    <w:rsid w:val="00016735"/>
    <w:rsid w:val="00020A05"/>
    <w:rsid w:val="00020A1C"/>
    <w:rsid w:val="000238BF"/>
    <w:rsid w:val="000253B0"/>
    <w:rsid w:val="00025864"/>
    <w:rsid w:val="00025F6C"/>
    <w:rsid w:val="0002638A"/>
    <w:rsid w:val="00027093"/>
    <w:rsid w:val="00031E1C"/>
    <w:rsid w:val="00032326"/>
    <w:rsid w:val="0003280B"/>
    <w:rsid w:val="00033206"/>
    <w:rsid w:val="000352A1"/>
    <w:rsid w:val="0003575F"/>
    <w:rsid w:val="00035F54"/>
    <w:rsid w:val="000364D0"/>
    <w:rsid w:val="00037518"/>
    <w:rsid w:val="00040CED"/>
    <w:rsid w:val="00041C0E"/>
    <w:rsid w:val="00042996"/>
    <w:rsid w:val="00044FCF"/>
    <w:rsid w:val="00045CD3"/>
    <w:rsid w:val="000466FF"/>
    <w:rsid w:val="00047936"/>
    <w:rsid w:val="00054242"/>
    <w:rsid w:val="0005574D"/>
    <w:rsid w:val="00056064"/>
    <w:rsid w:val="000623D8"/>
    <w:rsid w:val="00065DFC"/>
    <w:rsid w:val="0006684A"/>
    <w:rsid w:val="00070A62"/>
    <w:rsid w:val="00074C23"/>
    <w:rsid w:val="0008073A"/>
    <w:rsid w:val="0008079E"/>
    <w:rsid w:val="00082765"/>
    <w:rsid w:val="000876B3"/>
    <w:rsid w:val="00092932"/>
    <w:rsid w:val="00092B8C"/>
    <w:rsid w:val="000942C5"/>
    <w:rsid w:val="00095259"/>
    <w:rsid w:val="000966DC"/>
    <w:rsid w:val="000A1B4E"/>
    <w:rsid w:val="000A1D69"/>
    <w:rsid w:val="000A3D89"/>
    <w:rsid w:val="000B0628"/>
    <w:rsid w:val="000B2286"/>
    <w:rsid w:val="000B22C7"/>
    <w:rsid w:val="000B3C70"/>
    <w:rsid w:val="000B7863"/>
    <w:rsid w:val="000C0C58"/>
    <w:rsid w:val="000C48CA"/>
    <w:rsid w:val="000C7D47"/>
    <w:rsid w:val="000D439C"/>
    <w:rsid w:val="000D68C4"/>
    <w:rsid w:val="000D7BA7"/>
    <w:rsid w:val="000D7EEE"/>
    <w:rsid w:val="000E0626"/>
    <w:rsid w:val="000E208D"/>
    <w:rsid w:val="000E2A5B"/>
    <w:rsid w:val="000E2E79"/>
    <w:rsid w:val="000E62C6"/>
    <w:rsid w:val="000E6A65"/>
    <w:rsid w:val="000F13A9"/>
    <w:rsid w:val="000F1A46"/>
    <w:rsid w:val="000F23F4"/>
    <w:rsid w:val="000F24E2"/>
    <w:rsid w:val="000F3FD8"/>
    <w:rsid w:val="000F49EF"/>
    <w:rsid w:val="000F646F"/>
    <w:rsid w:val="001010F3"/>
    <w:rsid w:val="001020D0"/>
    <w:rsid w:val="001024FE"/>
    <w:rsid w:val="0010282B"/>
    <w:rsid w:val="00104ECB"/>
    <w:rsid w:val="00105AB6"/>
    <w:rsid w:val="001060B5"/>
    <w:rsid w:val="001072FA"/>
    <w:rsid w:val="0011210D"/>
    <w:rsid w:val="0011346B"/>
    <w:rsid w:val="0011359F"/>
    <w:rsid w:val="0011588A"/>
    <w:rsid w:val="00120886"/>
    <w:rsid w:val="00123FB7"/>
    <w:rsid w:val="00124402"/>
    <w:rsid w:val="00130FB2"/>
    <w:rsid w:val="00135EF8"/>
    <w:rsid w:val="00137093"/>
    <w:rsid w:val="00137A9D"/>
    <w:rsid w:val="00137D9D"/>
    <w:rsid w:val="0014425C"/>
    <w:rsid w:val="00150487"/>
    <w:rsid w:val="00150A4A"/>
    <w:rsid w:val="00152E64"/>
    <w:rsid w:val="00152FA4"/>
    <w:rsid w:val="00163026"/>
    <w:rsid w:val="001639D7"/>
    <w:rsid w:val="00165760"/>
    <w:rsid w:val="001703C2"/>
    <w:rsid w:val="00172B5E"/>
    <w:rsid w:val="00173A0D"/>
    <w:rsid w:val="001748C8"/>
    <w:rsid w:val="00180BF7"/>
    <w:rsid w:val="00181B3C"/>
    <w:rsid w:val="00187210"/>
    <w:rsid w:val="00191F1B"/>
    <w:rsid w:val="001952E0"/>
    <w:rsid w:val="0019687A"/>
    <w:rsid w:val="001977AF"/>
    <w:rsid w:val="001A0031"/>
    <w:rsid w:val="001A018B"/>
    <w:rsid w:val="001A0B7E"/>
    <w:rsid w:val="001A4188"/>
    <w:rsid w:val="001A5796"/>
    <w:rsid w:val="001A66EA"/>
    <w:rsid w:val="001A7703"/>
    <w:rsid w:val="001C12D4"/>
    <w:rsid w:val="001C1994"/>
    <w:rsid w:val="001C2809"/>
    <w:rsid w:val="001D2080"/>
    <w:rsid w:val="001D7BFA"/>
    <w:rsid w:val="001D7F88"/>
    <w:rsid w:val="001E4B5F"/>
    <w:rsid w:val="001E5695"/>
    <w:rsid w:val="001E6486"/>
    <w:rsid w:val="001F0828"/>
    <w:rsid w:val="001F1A11"/>
    <w:rsid w:val="001F379C"/>
    <w:rsid w:val="001F66DB"/>
    <w:rsid w:val="002061CB"/>
    <w:rsid w:val="00207C64"/>
    <w:rsid w:val="0021036E"/>
    <w:rsid w:val="00213032"/>
    <w:rsid w:val="0021365B"/>
    <w:rsid w:val="00223612"/>
    <w:rsid w:val="0023071C"/>
    <w:rsid w:val="00232DEE"/>
    <w:rsid w:val="002347BE"/>
    <w:rsid w:val="002362B9"/>
    <w:rsid w:val="00243594"/>
    <w:rsid w:val="00247C3C"/>
    <w:rsid w:val="002525E9"/>
    <w:rsid w:val="002540BB"/>
    <w:rsid w:val="002634C7"/>
    <w:rsid w:val="00264E5F"/>
    <w:rsid w:val="00266C82"/>
    <w:rsid w:val="0027024C"/>
    <w:rsid w:val="00273186"/>
    <w:rsid w:val="00273EB6"/>
    <w:rsid w:val="00281817"/>
    <w:rsid w:val="00282391"/>
    <w:rsid w:val="00284373"/>
    <w:rsid w:val="00285D1A"/>
    <w:rsid w:val="0028604E"/>
    <w:rsid w:val="002860B4"/>
    <w:rsid w:val="00286338"/>
    <w:rsid w:val="00290E5A"/>
    <w:rsid w:val="0029144E"/>
    <w:rsid w:val="00292F80"/>
    <w:rsid w:val="002A1574"/>
    <w:rsid w:val="002A4DB9"/>
    <w:rsid w:val="002B0C62"/>
    <w:rsid w:val="002B1C6D"/>
    <w:rsid w:val="002B2298"/>
    <w:rsid w:val="002B4DC6"/>
    <w:rsid w:val="002B79F7"/>
    <w:rsid w:val="002C0D96"/>
    <w:rsid w:val="002C3B1C"/>
    <w:rsid w:val="002C6429"/>
    <w:rsid w:val="002D198B"/>
    <w:rsid w:val="002D2F04"/>
    <w:rsid w:val="002D3C12"/>
    <w:rsid w:val="002D7330"/>
    <w:rsid w:val="002D77D3"/>
    <w:rsid w:val="002E0D4A"/>
    <w:rsid w:val="002E2B1E"/>
    <w:rsid w:val="002E49C1"/>
    <w:rsid w:val="002E6C48"/>
    <w:rsid w:val="002F4A28"/>
    <w:rsid w:val="002F4AB4"/>
    <w:rsid w:val="002F75DF"/>
    <w:rsid w:val="00300117"/>
    <w:rsid w:val="00302089"/>
    <w:rsid w:val="00302BE7"/>
    <w:rsid w:val="00302D16"/>
    <w:rsid w:val="00303605"/>
    <w:rsid w:val="003037A4"/>
    <w:rsid w:val="00303B92"/>
    <w:rsid w:val="003040D5"/>
    <w:rsid w:val="003062CF"/>
    <w:rsid w:val="00306888"/>
    <w:rsid w:val="00307247"/>
    <w:rsid w:val="003079D0"/>
    <w:rsid w:val="00313C67"/>
    <w:rsid w:val="00317BF8"/>
    <w:rsid w:val="0032042A"/>
    <w:rsid w:val="00320E98"/>
    <w:rsid w:val="0032262D"/>
    <w:rsid w:val="00323D93"/>
    <w:rsid w:val="003265C1"/>
    <w:rsid w:val="00326F02"/>
    <w:rsid w:val="0033091C"/>
    <w:rsid w:val="00332AD2"/>
    <w:rsid w:val="00334A19"/>
    <w:rsid w:val="00342D9A"/>
    <w:rsid w:val="003445E2"/>
    <w:rsid w:val="00344F8E"/>
    <w:rsid w:val="00345B33"/>
    <w:rsid w:val="00352821"/>
    <w:rsid w:val="00354C0E"/>
    <w:rsid w:val="0036020B"/>
    <w:rsid w:val="003633BA"/>
    <w:rsid w:val="003639FD"/>
    <w:rsid w:val="0036563B"/>
    <w:rsid w:val="00365690"/>
    <w:rsid w:val="0036621B"/>
    <w:rsid w:val="00370D11"/>
    <w:rsid w:val="00372718"/>
    <w:rsid w:val="00381633"/>
    <w:rsid w:val="003831B5"/>
    <w:rsid w:val="00387CDF"/>
    <w:rsid w:val="00387E2D"/>
    <w:rsid w:val="003916A1"/>
    <w:rsid w:val="00391839"/>
    <w:rsid w:val="00392798"/>
    <w:rsid w:val="0039326C"/>
    <w:rsid w:val="00393705"/>
    <w:rsid w:val="00396E95"/>
    <w:rsid w:val="00396F12"/>
    <w:rsid w:val="00397D6F"/>
    <w:rsid w:val="003A007A"/>
    <w:rsid w:val="003A06AE"/>
    <w:rsid w:val="003A12A0"/>
    <w:rsid w:val="003A490B"/>
    <w:rsid w:val="003A6F05"/>
    <w:rsid w:val="003A78B9"/>
    <w:rsid w:val="003B0FA4"/>
    <w:rsid w:val="003B2607"/>
    <w:rsid w:val="003B3349"/>
    <w:rsid w:val="003B4B46"/>
    <w:rsid w:val="003C136A"/>
    <w:rsid w:val="003C2CA6"/>
    <w:rsid w:val="003C2E37"/>
    <w:rsid w:val="003C36EC"/>
    <w:rsid w:val="003C568E"/>
    <w:rsid w:val="003C6AE8"/>
    <w:rsid w:val="003D1799"/>
    <w:rsid w:val="003D3359"/>
    <w:rsid w:val="003D7DA2"/>
    <w:rsid w:val="003E14B1"/>
    <w:rsid w:val="003E2BE5"/>
    <w:rsid w:val="003E5707"/>
    <w:rsid w:val="003E694E"/>
    <w:rsid w:val="003E77C1"/>
    <w:rsid w:val="003F18F6"/>
    <w:rsid w:val="003F1E71"/>
    <w:rsid w:val="003F3278"/>
    <w:rsid w:val="0040404B"/>
    <w:rsid w:val="00405B79"/>
    <w:rsid w:val="00406F67"/>
    <w:rsid w:val="004072EB"/>
    <w:rsid w:val="004116BD"/>
    <w:rsid w:val="004148D4"/>
    <w:rsid w:val="00414A81"/>
    <w:rsid w:val="00414FBF"/>
    <w:rsid w:val="0041757B"/>
    <w:rsid w:val="0041766E"/>
    <w:rsid w:val="00420FC4"/>
    <w:rsid w:val="0042140D"/>
    <w:rsid w:val="0042141C"/>
    <w:rsid w:val="00422AD0"/>
    <w:rsid w:val="00425D5E"/>
    <w:rsid w:val="00426AF2"/>
    <w:rsid w:val="00427EAE"/>
    <w:rsid w:val="00427F94"/>
    <w:rsid w:val="0043320D"/>
    <w:rsid w:val="00433255"/>
    <w:rsid w:val="004347D5"/>
    <w:rsid w:val="004352B0"/>
    <w:rsid w:val="0043536B"/>
    <w:rsid w:val="00435F2F"/>
    <w:rsid w:val="004367AC"/>
    <w:rsid w:val="00437E1B"/>
    <w:rsid w:val="00441725"/>
    <w:rsid w:val="00442669"/>
    <w:rsid w:val="00443935"/>
    <w:rsid w:val="0044539A"/>
    <w:rsid w:val="004528B2"/>
    <w:rsid w:val="0045319D"/>
    <w:rsid w:val="00455DC7"/>
    <w:rsid w:val="00460DF6"/>
    <w:rsid w:val="00463631"/>
    <w:rsid w:val="004658B6"/>
    <w:rsid w:val="00466150"/>
    <w:rsid w:val="004673B0"/>
    <w:rsid w:val="0047087D"/>
    <w:rsid w:val="0047712F"/>
    <w:rsid w:val="00477F81"/>
    <w:rsid w:val="00482765"/>
    <w:rsid w:val="0048504F"/>
    <w:rsid w:val="00485645"/>
    <w:rsid w:val="00490459"/>
    <w:rsid w:val="00496456"/>
    <w:rsid w:val="00497854"/>
    <w:rsid w:val="00497F2E"/>
    <w:rsid w:val="004A67BC"/>
    <w:rsid w:val="004B6EAC"/>
    <w:rsid w:val="004C1756"/>
    <w:rsid w:val="004C359A"/>
    <w:rsid w:val="004C36F3"/>
    <w:rsid w:val="004C4CC3"/>
    <w:rsid w:val="004C5442"/>
    <w:rsid w:val="004C752A"/>
    <w:rsid w:val="004D1895"/>
    <w:rsid w:val="004D3E14"/>
    <w:rsid w:val="004D48DA"/>
    <w:rsid w:val="004D5735"/>
    <w:rsid w:val="004D7128"/>
    <w:rsid w:val="004E600D"/>
    <w:rsid w:val="004E6609"/>
    <w:rsid w:val="004E6FE7"/>
    <w:rsid w:val="004F0C0C"/>
    <w:rsid w:val="004F21B3"/>
    <w:rsid w:val="004F26C4"/>
    <w:rsid w:val="004F3F82"/>
    <w:rsid w:val="004F7011"/>
    <w:rsid w:val="005004CD"/>
    <w:rsid w:val="005015F7"/>
    <w:rsid w:val="00501AE4"/>
    <w:rsid w:val="00503264"/>
    <w:rsid w:val="005042E3"/>
    <w:rsid w:val="00505454"/>
    <w:rsid w:val="00505FB3"/>
    <w:rsid w:val="005067B7"/>
    <w:rsid w:val="0051017D"/>
    <w:rsid w:val="0051700C"/>
    <w:rsid w:val="00517232"/>
    <w:rsid w:val="00521025"/>
    <w:rsid w:val="00521230"/>
    <w:rsid w:val="00524F57"/>
    <w:rsid w:val="005306EA"/>
    <w:rsid w:val="00531223"/>
    <w:rsid w:val="005342BF"/>
    <w:rsid w:val="00534BCC"/>
    <w:rsid w:val="00536138"/>
    <w:rsid w:val="00536EF5"/>
    <w:rsid w:val="00543039"/>
    <w:rsid w:val="00543196"/>
    <w:rsid w:val="00546CD0"/>
    <w:rsid w:val="00547297"/>
    <w:rsid w:val="00552E67"/>
    <w:rsid w:val="00553715"/>
    <w:rsid w:val="005538B6"/>
    <w:rsid w:val="00555C07"/>
    <w:rsid w:val="00555F17"/>
    <w:rsid w:val="00556CDA"/>
    <w:rsid w:val="0055774F"/>
    <w:rsid w:val="0056223A"/>
    <w:rsid w:val="00562A8D"/>
    <w:rsid w:val="005636BD"/>
    <w:rsid w:val="00567F36"/>
    <w:rsid w:val="005728E4"/>
    <w:rsid w:val="00574884"/>
    <w:rsid w:val="0057550D"/>
    <w:rsid w:val="005757E4"/>
    <w:rsid w:val="00576C00"/>
    <w:rsid w:val="0058096E"/>
    <w:rsid w:val="0058138D"/>
    <w:rsid w:val="00581CD9"/>
    <w:rsid w:val="00590320"/>
    <w:rsid w:val="00591DA6"/>
    <w:rsid w:val="005A0092"/>
    <w:rsid w:val="005A03D5"/>
    <w:rsid w:val="005A7912"/>
    <w:rsid w:val="005A792C"/>
    <w:rsid w:val="005A7BE6"/>
    <w:rsid w:val="005B0410"/>
    <w:rsid w:val="005B3D94"/>
    <w:rsid w:val="005B5A7D"/>
    <w:rsid w:val="005C0071"/>
    <w:rsid w:val="005C4730"/>
    <w:rsid w:val="005C4D93"/>
    <w:rsid w:val="005C7A79"/>
    <w:rsid w:val="005D1F15"/>
    <w:rsid w:val="005D2E8E"/>
    <w:rsid w:val="005D3349"/>
    <w:rsid w:val="005D7181"/>
    <w:rsid w:val="005E60BD"/>
    <w:rsid w:val="005F0938"/>
    <w:rsid w:val="005F2E21"/>
    <w:rsid w:val="005F3968"/>
    <w:rsid w:val="005F461A"/>
    <w:rsid w:val="005F484A"/>
    <w:rsid w:val="005F511B"/>
    <w:rsid w:val="005F5260"/>
    <w:rsid w:val="005F6B3E"/>
    <w:rsid w:val="00601A60"/>
    <w:rsid w:val="006055C2"/>
    <w:rsid w:val="0061048A"/>
    <w:rsid w:val="00611828"/>
    <w:rsid w:val="006169A7"/>
    <w:rsid w:val="00616CD6"/>
    <w:rsid w:val="006174B6"/>
    <w:rsid w:val="00620621"/>
    <w:rsid w:val="00627865"/>
    <w:rsid w:val="00630F52"/>
    <w:rsid w:val="00631DD7"/>
    <w:rsid w:val="00634EA0"/>
    <w:rsid w:val="0064633A"/>
    <w:rsid w:val="00646424"/>
    <w:rsid w:val="006516C8"/>
    <w:rsid w:val="0065439D"/>
    <w:rsid w:val="006550F9"/>
    <w:rsid w:val="006558C4"/>
    <w:rsid w:val="00655F5B"/>
    <w:rsid w:val="00660E2D"/>
    <w:rsid w:val="00662518"/>
    <w:rsid w:val="006631EA"/>
    <w:rsid w:val="00666465"/>
    <w:rsid w:val="00666707"/>
    <w:rsid w:val="00667263"/>
    <w:rsid w:val="00672D9F"/>
    <w:rsid w:val="00673D09"/>
    <w:rsid w:val="00677979"/>
    <w:rsid w:val="0068450D"/>
    <w:rsid w:val="006921B5"/>
    <w:rsid w:val="006925B2"/>
    <w:rsid w:val="006926DF"/>
    <w:rsid w:val="006931DF"/>
    <w:rsid w:val="006933DC"/>
    <w:rsid w:val="006958CB"/>
    <w:rsid w:val="00696179"/>
    <w:rsid w:val="006971BA"/>
    <w:rsid w:val="00697ADC"/>
    <w:rsid w:val="00697ADE"/>
    <w:rsid w:val="006A5CA8"/>
    <w:rsid w:val="006A71F8"/>
    <w:rsid w:val="006B037A"/>
    <w:rsid w:val="006B12AC"/>
    <w:rsid w:val="006B3F5E"/>
    <w:rsid w:val="006B4CE0"/>
    <w:rsid w:val="006B5978"/>
    <w:rsid w:val="006C2383"/>
    <w:rsid w:val="006C3733"/>
    <w:rsid w:val="006C3BDE"/>
    <w:rsid w:val="006C4216"/>
    <w:rsid w:val="006C5048"/>
    <w:rsid w:val="006C5A85"/>
    <w:rsid w:val="006C6D2A"/>
    <w:rsid w:val="006D5D5E"/>
    <w:rsid w:val="006D6813"/>
    <w:rsid w:val="006D695D"/>
    <w:rsid w:val="006D7332"/>
    <w:rsid w:val="006E35A7"/>
    <w:rsid w:val="006E3795"/>
    <w:rsid w:val="006E7545"/>
    <w:rsid w:val="006E7596"/>
    <w:rsid w:val="006F01B0"/>
    <w:rsid w:val="006F0E2A"/>
    <w:rsid w:val="006F1EE2"/>
    <w:rsid w:val="007015F0"/>
    <w:rsid w:val="0070225F"/>
    <w:rsid w:val="007116B7"/>
    <w:rsid w:val="0071183D"/>
    <w:rsid w:val="0071291E"/>
    <w:rsid w:val="00715415"/>
    <w:rsid w:val="007159D8"/>
    <w:rsid w:val="00716156"/>
    <w:rsid w:val="00717008"/>
    <w:rsid w:val="0071780D"/>
    <w:rsid w:val="00721D73"/>
    <w:rsid w:val="0072286C"/>
    <w:rsid w:val="007250EA"/>
    <w:rsid w:val="00725D80"/>
    <w:rsid w:val="00727516"/>
    <w:rsid w:val="007300E5"/>
    <w:rsid w:val="007405C6"/>
    <w:rsid w:val="00741A37"/>
    <w:rsid w:val="00741E9F"/>
    <w:rsid w:val="00742CE7"/>
    <w:rsid w:val="00742DBB"/>
    <w:rsid w:val="00751C4A"/>
    <w:rsid w:val="0075468D"/>
    <w:rsid w:val="00757579"/>
    <w:rsid w:val="00757A02"/>
    <w:rsid w:val="00760747"/>
    <w:rsid w:val="007624A9"/>
    <w:rsid w:val="00762AE0"/>
    <w:rsid w:val="00766B26"/>
    <w:rsid w:val="007719CA"/>
    <w:rsid w:val="00772B5C"/>
    <w:rsid w:val="00773A91"/>
    <w:rsid w:val="00777838"/>
    <w:rsid w:val="00780BE8"/>
    <w:rsid w:val="007823A2"/>
    <w:rsid w:val="007823EA"/>
    <w:rsid w:val="00785114"/>
    <w:rsid w:val="00790BB7"/>
    <w:rsid w:val="00790E4C"/>
    <w:rsid w:val="00794253"/>
    <w:rsid w:val="00795EE7"/>
    <w:rsid w:val="00797557"/>
    <w:rsid w:val="007A098C"/>
    <w:rsid w:val="007A1F63"/>
    <w:rsid w:val="007A5242"/>
    <w:rsid w:val="007A5D5A"/>
    <w:rsid w:val="007B2563"/>
    <w:rsid w:val="007B4839"/>
    <w:rsid w:val="007B50BD"/>
    <w:rsid w:val="007B6B30"/>
    <w:rsid w:val="007C1E4E"/>
    <w:rsid w:val="007C2583"/>
    <w:rsid w:val="007C30E1"/>
    <w:rsid w:val="007C4D35"/>
    <w:rsid w:val="007C5835"/>
    <w:rsid w:val="007C58BC"/>
    <w:rsid w:val="007D4762"/>
    <w:rsid w:val="007D4BAF"/>
    <w:rsid w:val="007D6815"/>
    <w:rsid w:val="007D6BAF"/>
    <w:rsid w:val="007D74AB"/>
    <w:rsid w:val="007D7BC9"/>
    <w:rsid w:val="007E09BB"/>
    <w:rsid w:val="007E405C"/>
    <w:rsid w:val="007E4A06"/>
    <w:rsid w:val="007E4D9C"/>
    <w:rsid w:val="007E59C9"/>
    <w:rsid w:val="007E5D9A"/>
    <w:rsid w:val="007E7B5A"/>
    <w:rsid w:val="007F051A"/>
    <w:rsid w:val="007F349A"/>
    <w:rsid w:val="007F37B6"/>
    <w:rsid w:val="007F4029"/>
    <w:rsid w:val="007F4F76"/>
    <w:rsid w:val="007F6CA0"/>
    <w:rsid w:val="00800B7B"/>
    <w:rsid w:val="0080579D"/>
    <w:rsid w:val="00806ADF"/>
    <w:rsid w:val="00806D2C"/>
    <w:rsid w:val="00807B6E"/>
    <w:rsid w:val="008100D0"/>
    <w:rsid w:val="00811FD3"/>
    <w:rsid w:val="00812AB8"/>
    <w:rsid w:val="008175C0"/>
    <w:rsid w:val="0082098A"/>
    <w:rsid w:val="00823863"/>
    <w:rsid w:val="008254E0"/>
    <w:rsid w:val="008309F3"/>
    <w:rsid w:val="00832279"/>
    <w:rsid w:val="008324E3"/>
    <w:rsid w:val="008328D5"/>
    <w:rsid w:val="00834F60"/>
    <w:rsid w:val="00835158"/>
    <w:rsid w:val="00837606"/>
    <w:rsid w:val="0083790F"/>
    <w:rsid w:val="00846F90"/>
    <w:rsid w:val="00847124"/>
    <w:rsid w:val="0084755F"/>
    <w:rsid w:val="00852E57"/>
    <w:rsid w:val="00854D7B"/>
    <w:rsid w:val="0085648D"/>
    <w:rsid w:val="0086255B"/>
    <w:rsid w:val="0086305A"/>
    <w:rsid w:val="0086324D"/>
    <w:rsid w:val="00863D4D"/>
    <w:rsid w:val="00870E61"/>
    <w:rsid w:val="00872C9A"/>
    <w:rsid w:val="008735C7"/>
    <w:rsid w:val="00873E92"/>
    <w:rsid w:val="0087455F"/>
    <w:rsid w:val="00875147"/>
    <w:rsid w:val="00875BA9"/>
    <w:rsid w:val="00875E11"/>
    <w:rsid w:val="008764D0"/>
    <w:rsid w:val="00880036"/>
    <w:rsid w:val="00880ABC"/>
    <w:rsid w:val="008813C1"/>
    <w:rsid w:val="00881761"/>
    <w:rsid w:val="00881CC0"/>
    <w:rsid w:val="0088360E"/>
    <w:rsid w:val="008858FA"/>
    <w:rsid w:val="00886434"/>
    <w:rsid w:val="00887A3F"/>
    <w:rsid w:val="008A0658"/>
    <w:rsid w:val="008A2748"/>
    <w:rsid w:val="008A6216"/>
    <w:rsid w:val="008A7A3F"/>
    <w:rsid w:val="008B0F10"/>
    <w:rsid w:val="008B35A5"/>
    <w:rsid w:val="008B45FB"/>
    <w:rsid w:val="008B4CD6"/>
    <w:rsid w:val="008B6EC7"/>
    <w:rsid w:val="008C0213"/>
    <w:rsid w:val="008C46C7"/>
    <w:rsid w:val="008C5B40"/>
    <w:rsid w:val="008C5F99"/>
    <w:rsid w:val="008D3F4D"/>
    <w:rsid w:val="008D4B68"/>
    <w:rsid w:val="008E05C4"/>
    <w:rsid w:val="008E40E9"/>
    <w:rsid w:val="008F2E96"/>
    <w:rsid w:val="008F2EF0"/>
    <w:rsid w:val="008F3EDF"/>
    <w:rsid w:val="008F48DE"/>
    <w:rsid w:val="008F5012"/>
    <w:rsid w:val="009014C1"/>
    <w:rsid w:val="00904235"/>
    <w:rsid w:val="009043E3"/>
    <w:rsid w:val="009057BA"/>
    <w:rsid w:val="00907824"/>
    <w:rsid w:val="00910344"/>
    <w:rsid w:val="0091104C"/>
    <w:rsid w:val="009115FF"/>
    <w:rsid w:val="00911640"/>
    <w:rsid w:val="00911EF4"/>
    <w:rsid w:val="009140D4"/>
    <w:rsid w:val="0091529A"/>
    <w:rsid w:val="00917ED8"/>
    <w:rsid w:val="00917FFD"/>
    <w:rsid w:val="00923978"/>
    <w:rsid w:val="009262CD"/>
    <w:rsid w:val="00927551"/>
    <w:rsid w:val="00927935"/>
    <w:rsid w:val="009303EC"/>
    <w:rsid w:val="00934850"/>
    <w:rsid w:val="00936E4A"/>
    <w:rsid w:val="0093742C"/>
    <w:rsid w:val="00940F8B"/>
    <w:rsid w:val="00941CC8"/>
    <w:rsid w:val="009423BE"/>
    <w:rsid w:val="0094248C"/>
    <w:rsid w:val="00943AF5"/>
    <w:rsid w:val="009478F4"/>
    <w:rsid w:val="00947C41"/>
    <w:rsid w:val="009568B9"/>
    <w:rsid w:val="0096021D"/>
    <w:rsid w:val="0096089C"/>
    <w:rsid w:val="009619BB"/>
    <w:rsid w:val="00963E80"/>
    <w:rsid w:val="009731B5"/>
    <w:rsid w:val="00974522"/>
    <w:rsid w:val="0097671B"/>
    <w:rsid w:val="009804A4"/>
    <w:rsid w:val="009815ED"/>
    <w:rsid w:val="00981641"/>
    <w:rsid w:val="009840D4"/>
    <w:rsid w:val="00984A63"/>
    <w:rsid w:val="00986EC5"/>
    <w:rsid w:val="0098779E"/>
    <w:rsid w:val="00992C88"/>
    <w:rsid w:val="00993EF9"/>
    <w:rsid w:val="00995EED"/>
    <w:rsid w:val="00995F87"/>
    <w:rsid w:val="009A291D"/>
    <w:rsid w:val="009A372C"/>
    <w:rsid w:val="009A53C1"/>
    <w:rsid w:val="009B3341"/>
    <w:rsid w:val="009B3578"/>
    <w:rsid w:val="009B6056"/>
    <w:rsid w:val="009C0600"/>
    <w:rsid w:val="009C1822"/>
    <w:rsid w:val="009C6826"/>
    <w:rsid w:val="009D1623"/>
    <w:rsid w:val="009D2B97"/>
    <w:rsid w:val="009D376B"/>
    <w:rsid w:val="009D54DB"/>
    <w:rsid w:val="009E20BB"/>
    <w:rsid w:val="009E3DEE"/>
    <w:rsid w:val="009E4F9A"/>
    <w:rsid w:val="009E56AA"/>
    <w:rsid w:val="009E5A88"/>
    <w:rsid w:val="009E62C5"/>
    <w:rsid w:val="009E6E5E"/>
    <w:rsid w:val="009E7CEA"/>
    <w:rsid w:val="009F1C21"/>
    <w:rsid w:val="009F3739"/>
    <w:rsid w:val="009F3775"/>
    <w:rsid w:val="009F4E22"/>
    <w:rsid w:val="009F587B"/>
    <w:rsid w:val="009F669C"/>
    <w:rsid w:val="00A03CF4"/>
    <w:rsid w:val="00A100A8"/>
    <w:rsid w:val="00A10648"/>
    <w:rsid w:val="00A108A5"/>
    <w:rsid w:val="00A10EB2"/>
    <w:rsid w:val="00A11324"/>
    <w:rsid w:val="00A12F08"/>
    <w:rsid w:val="00A16B0B"/>
    <w:rsid w:val="00A20CDF"/>
    <w:rsid w:val="00A2396A"/>
    <w:rsid w:val="00A257B5"/>
    <w:rsid w:val="00A2587D"/>
    <w:rsid w:val="00A25FFF"/>
    <w:rsid w:val="00A2670E"/>
    <w:rsid w:val="00A27323"/>
    <w:rsid w:val="00A32C0C"/>
    <w:rsid w:val="00A3531A"/>
    <w:rsid w:val="00A37B1F"/>
    <w:rsid w:val="00A41362"/>
    <w:rsid w:val="00A428D8"/>
    <w:rsid w:val="00A44205"/>
    <w:rsid w:val="00A4533F"/>
    <w:rsid w:val="00A45E84"/>
    <w:rsid w:val="00A461D4"/>
    <w:rsid w:val="00A4688F"/>
    <w:rsid w:val="00A47605"/>
    <w:rsid w:val="00A47611"/>
    <w:rsid w:val="00A47ADB"/>
    <w:rsid w:val="00A53739"/>
    <w:rsid w:val="00A53F0F"/>
    <w:rsid w:val="00A57BD1"/>
    <w:rsid w:val="00A618EA"/>
    <w:rsid w:val="00A626BF"/>
    <w:rsid w:val="00A6270E"/>
    <w:rsid w:val="00A62EFC"/>
    <w:rsid w:val="00A6350C"/>
    <w:rsid w:val="00A63D74"/>
    <w:rsid w:val="00A65B84"/>
    <w:rsid w:val="00A65BB0"/>
    <w:rsid w:val="00A716BB"/>
    <w:rsid w:val="00A7367B"/>
    <w:rsid w:val="00A747F3"/>
    <w:rsid w:val="00A808DC"/>
    <w:rsid w:val="00A81108"/>
    <w:rsid w:val="00A81933"/>
    <w:rsid w:val="00A8221A"/>
    <w:rsid w:val="00A84927"/>
    <w:rsid w:val="00A878B7"/>
    <w:rsid w:val="00A916E0"/>
    <w:rsid w:val="00A92DE8"/>
    <w:rsid w:val="00A9484F"/>
    <w:rsid w:val="00A95E74"/>
    <w:rsid w:val="00A96E5F"/>
    <w:rsid w:val="00A97C91"/>
    <w:rsid w:val="00AA0F7C"/>
    <w:rsid w:val="00AA3885"/>
    <w:rsid w:val="00AA3E45"/>
    <w:rsid w:val="00AA4BE8"/>
    <w:rsid w:val="00AA60A0"/>
    <w:rsid w:val="00AB2D44"/>
    <w:rsid w:val="00AB3215"/>
    <w:rsid w:val="00AB4AF0"/>
    <w:rsid w:val="00AC29B8"/>
    <w:rsid w:val="00AC5BD4"/>
    <w:rsid w:val="00AD29D9"/>
    <w:rsid w:val="00AD4F0A"/>
    <w:rsid w:val="00AE0024"/>
    <w:rsid w:val="00AE2984"/>
    <w:rsid w:val="00AE71A5"/>
    <w:rsid w:val="00AF04C2"/>
    <w:rsid w:val="00AF19F6"/>
    <w:rsid w:val="00AF24C9"/>
    <w:rsid w:val="00AF3D5A"/>
    <w:rsid w:val="00AF5D60"/>
    <w:rsid w:val="00AF638B"/>
    <w:rsid w:val="00B01E85"/>
    <w:rsid w:val="00B049CE"/>
    <w:rsid w:val="00B05DFD"/>
    <w:rsid w:val="00B10DDD"/>
    <w:rsid w:val="00B12FCB"/>
    <w:rsid w:val="00B153E9"/>
    <w:rsid w:val="00B16011"/>
    <w:rsid w:val="00B16437"/>
    <w:rsid w:val="00B168E0"/>
    <w:rsid w:val="00B21022"/>
    <w:rsid w:val="00B21180"/>
    <w:rsid w:val="00B2257D"/>
    <w:rsid w:val="00B238C1"/>
    <w:rsid w:val="00B2528D"/>
    <w:rsid w:val="00B278E8"/>
    <w:rsid w:val="00B307F4"/>
    <w:rsid w:val="00B32AFF"/>
    <w:rsid w:val="00B34117"/>
    <w:rsid w:val="00B35968"/>
    <w:rsid w:val="00B4016B"/>
    <w:rsid w:val="00B41705"/>
    <w:rsid w:val="00B45011"/>
    <w:rsid w:val="00B4562A"/>
    <w:rsid w:val="00B463CC"/>
    <w:rsid w:val="00B468A8"/>
    <w:rsid w:val="00B47847"/>
    <w:rsid w:val="00B50618"/>
    <w:rsid w:val="00B5310D"/>
    <w:rsid w:val="00B57249"/>
    <w:rsid w:val="00B6181B"/>
    <w:rsid w:val="00B63F71"/>
    <w:rsid w:val="00B657F4"/>
    <w:rsid w:val="00B663AD"/>
    <w:rsid w:val="00B66E9B"/>
    <w:rsid w:val="00B710B3"/>
    <w:rsid w:val="00B72D61"/>
    <w:rsid w:val="00B72FC2"/>
    <w:rsid w:val="00B73D9E"/>
    <w:rsid w:val="00B74BB0"/>
    <w:rsid w:val="00B771FA"/>
    <w:rsid w:val="00B802F8"/>
    <w:rsid w:val="00B85E11"/>
    <w:rsid w:val="00B86C8F"/>
    <w:rsid w:val="00B87394"/>
    <w:rsid w:val="00B90215"/>
    <w:rsid w:val="00B94E46"/>
    <w:rsid w:val="00B96F84"/>
    <w:rsid w:val="00B97AA3"/>
    <w:rsid w:val="00B97EA1"/>
    <w:rsid w:val="00BA0041"/>
    <w:rsid w:val="00BA08A2"/>
    <w:rsid w:val="00BA1517"/>
    <w:rsid w:val="00BA36B7"/>
    <w:rsid w:val="00BA7142"/>
    <w:rsid w:val="00BB20D5"/>
    <w:rsid w:val="00BB33FF"/>
    <w:rsid w:val="00BB4D48"/>
    <w:rsid w:val="00BB68A5"/>
    <w:rsid w:val="00BC16E8"/>
    <w:rsid w:val="00BC2AE5"/>
    <w:rsid w:val="00BC31C0"/>
    <w:rsid w:val="00BC3705"/>
    <w:rsid w:val="00BC4541"/>
    <w:rsid w:val="00BC47CD"/>
    <w:rsid w:val="00BC4B4D"/>
    <w:rsid w:val="00BC57A2"/>
    <w:rsid w:val="00BC6ABF"/>
    <w:rsid w:val="00BC7BAD"/>
    <w:rsid w:val="00BD03D3"/>
    <w:rsid w:val="00BD0F11"/>
    <w:rsid w:val="00BD2370"/>
    <w:rsid w:val="00BD2E34"/>
    <w:rsid w:val="00BD329F"/>
    <w:rsid w:val="00BD5037"/>
    <w:rsid w:val="00BD5F48"/>
    <w:rsid w:val="00BD6A34"/>
    <w:rsid w:val="00BD7925"/>
    <w:rsid w:val="00BE2256"/>
    <w:rsid w:val="00BE3E7B"/>
    <w:rsid w:val="00BF2227"/>
    <w:rsid w:val="00BF3472"/>
    <w:rsid w:val="00BF6850"/>
    <w:rsid w:val="00BF7674"/>
    <w:rsid w:val="00C001EA"/>
    <w:rsid w:val="00C054BE"/>
    <w:rsid w:val="00C07068"/>
    <w:rsid w:val="00C07B26"/>
    <w:rsid w:val="00C100C4"/>
    <w:rsid w:val="00C10F3D"/>
    <w:rsid w:val="00C1204D"/>
    <w:rsid w:val="00C12D95"/>
    <w:rsid w:val="00C12F49"/>
    <w:rsid w:val="00C15913"/>
    <w:rsid w:val="00C17827"/>
    <w:rsid w:val="00C20444"/>
    <w:rsid w:val="00C22E6A"/>
    <w:rsid w:val="00C233A9"/>
    <w:rsid w:val="00C2663C"/>
    <w:rsid w:val="00C27F75"/>
    <w:rsid w:val="00C350E2"/>
    <w:rsid w:val="00C370CB"/>
    <w:rsid w:val="00C40AF1"/>
    <w:rsid w:val="00C415B2"/>
    <w:rsid w:val="00C4286A"/>
    <w:rsid w:val="00C4369F"/>
    <w:rsid w:val="00C440E7"/>
    <w:rsid w:val="00C446A7"/>
    <w:rsid w:val="00C44B01"/>
    <w:rsid w:val="00C4717C"/>
    <w:rsid w:val="00C5088F"/>
    <w:rsid w:val="00C52599"/>
    <w:rsid w:val="00C54251"/>
    <w:rsid w:val="00C5722B"/>
    <w:rsid w:val="00C603FE"/>
    <w:rsid w:val="00C651D6"/>
    <w:rsid w:val="00C6526D"/>
    <w:rsid w:val="00C65A41"/>
    <w:rsid w:val="00C67998"/>
    <w:rsid w:val="00C72A4B"/>
    <w:rsid w:val="00C73135"/>
    <w:rsid w:val="00C74FDD"/>
    <w:rsid w:val="00C75388"/>
    <w:rsid w:val="00C82A35"/>
    <w:rsid w:val="00C83182"/>
    <w:rsid w:val="00C864DE"/>
    <w:rsid w:val="00C86DF4"/>
    <w:rsid w:val="00C91053"/>
    <w:rsid w:val="00C959DB"/>
    <w:rsid w:val="00C96D04"/>
    <w:rsid w:val="00CA304C"/>
    <w:rsid w:val="00CA4789"/>
    <w:rsid w:val="00CA4D06"/>
    <w:rsid w:val="00CA7A74"/>
    <w:rsid w:val="00CB10EF"/>
    <w:rsid w:val="00CB53DC"/>
    <w:rsid w:val="00CC45C2"/>
    <w:rsid w:val="00CC729D"/>
    <w:rsid w:val="00CD1AA5"/>
    <w:rsid w:val="00CD7140"/>
    <w:rsid w:val="00CE0332"/>
    <w:rsid w:val="00CE0924"/>
    <w:rsid w:val="00CE20AB"/>
    <w:rsid w:val="00CE33E3"/>
    <w:rsid w:val="00CE6C16"/>
    <w:rsid w:val="00CE7628"/>
    <w:rsid w:val="00CF11D3"/>
    <w:rsid w:val="00CF2527"/>
    <w:rsid w:val="00CF4911"/>
    <w:rsid w:val="00D0106F"/>
    <w:rsid w:val="00D02573"/>
    <w:rsid w:val="00D03F6D"/>
    <w:rsid w:val="00D059A1"/>
    <w:rsid w:val="00D104F0"/>
    <w:rsid w:val="00D11D6F"/>
    <w:rsid w:val="00D11FF1"/>
    <w:rsid w:val="00D13B6C"/>
    <w:rsid w:val="00D16DBC"/>
    <w:rsid w:val="00D22990"/>
    <w:rsid w:val="00D26F72"/>
    <w:rsid w:val="00D3200F"/>
    <w:rsid w:val="00D425AA"/>
    <w:rsid w:val="00D43FE5"/>
    <w:rsid w:val="00D47CEE"/>
    <w:rsid w:val="00D51ECE"/>
    <w:rsid w:val="00D571B7"/>
    <w:rsid w:val="00D6246B"/>
    <w:rsid w:val="00D629CC"/>
    <w:rsid w:val="00D639C8"/>
    <w:rsid w:val="00D63DEC"/>
    <w:rsid w:val="00D64376"/>
    <w:rsid w:val="00D64CDC"/>
    <w:rsid w:val="00D64E13"/>
    <w:rsid w:val="00D6754A"/>
    <w:rsid w:val="00D7189E"/>
    <w:rsid w:val="00D72A66"/>
    <w:rsid w:val="00D72D8F"/>
    <w:rsid w:val="00D73042"/>
    <w:rsid w:val="00D74C8E"/>
    <w:rsid w:val="00D7613E"/>
    <w:rsid w:val="00D80AC8"/>
    <w:rsid w:val="00D819FB"/>
    <w:rsid w:val="00D91EFE"/>
    <w:rsid w:val="00D94FEE"/>
    <w:rsid w:val="00D978F2"/>
    <w:rsid w:val="00DA0B50"/>
    <w:rsid w:val="00DA2086"/>
    <w:rsid w:val="00DA2F71"/>
    <w:rsid w:val="00DB030F"/>
    <w:rsid w:val="00DB07CF"/>
    <w:rsid w:val="00DB3523"/>
    <w:rsid w:val="00DB4FC3"/>
    <w:rsid w:val="00DB6A4C"/>
    <w:rsid w:val="00DC1BE7"/>
    <w:rsid w:val="00DC327E"/>
    <w:rsid w:val="00DC4403"/>
    <w:rsid w:val="00DC63EF"/>
    <w:rsid w:val="00DD12E3"/>
    <w:rsid w:val="00DD2F9B"/>
    <w:rsid w:val="00DD42A4"/>
    <w:rsid w:val="00DE0FB8"/>
    <w:rsid w:val="00DE2E60"/>
    <w:rsid w:val="00DE3210"/>
    <w:rsid w:val="00DE3E34"/>
    <w:rsid w:val="00DE5562"/>
    <w:rsid w:val="00DE6F5B"/>
    <w:rsid w:val="00DF28FE"/>
    <w:rsid w:val="00DF3829"/>
    <w:rsid w:val="00DF5905"/>
    <w:rsid w:val="00DF7325"/>
    <w:rsid w:val="00E01046"/>
    <w:rsid w:val="00E01364"/>
    <w:rsid w:val="00E013D6"/>
    <w:rsid w:val="00E043CE"/>
    <w:rsid w:val="00E11372"/>
    <w:rsid w:val="00E1323A"/>
    <w:rsid w:val="00E14FC5"/>
    <w:rsid w:val="00E17DC0"/>
    <w:rsid w:val="00E22111"/>
    <w:rsid w:val="00E244D4"/>
    <w:rsid w:val="00E25502"/>
    <w:rsid w:val="00E345AF"/>
    <w:rsid w:val="00E34B31"/>
    <w:rsid w:val="00E34F44"/>
    <w:rsid w:val="00E35647"/>
    <w:rsid w:val="00E35E80"/>
    <w:rsid w:val="00E40628"/>
    <w:rsid w:val="00E41E48"/>
    <w:rsid w:val="00E4418D"/>
    <w:rsid w:val="00E46267"/>
    <w:rsid w:val="00E463CE"/>
    <w:rsid w:val="00E520CF"/>
    <w:rsid w:val="00E53707"/>
    <w:rsid w:val="00E53BDB"/>
    <w:rsid w:val="00E5502E"/>
    <w:rsid w:val="00E5629B"/>
    <w:rsid w:val="00E56770"/>
    <w:rsid w:val="00E702EA"/>
    <w:rsid w:val="00E70D93"/>
    <w:rsid w:val="00E715B0"/>
    <w:rsid w:val="00E71B67"/>
    <w:rsid w:val="00E73321"/>
    <w:rsid w:val="00E74E05"/>
    <w:rsid w:val="00E74E7A"/>
    <w:rsid w:val="00E8002F"/>
    <w:rsid w:val="00E80168"/>
    <w:rsid w:val="00E80B58"/>
    <w:rsid w:val="00E8110F"/>
    <w:rsid w:val="00E814AB"/>
    <w:rsid w:val="00E81CF7"/>
    <w:rsid w:val="00E843B3"/>
    <w:rsid w:val="00E866EE"/>
    <w:rsid w:val="00E90336"/>
    <w:rsid w:val="00E90A55"/>
    <w:rsid w:val="00E91F46"/>
    <w:rsid w:val="00E9277C"/>
    <w:rsid w:val="00E92E2E"/>
    <w:rsid w:val="00EA0C93"/>
    <w:rsid w:val="00EA299A"/>
    <w:rsid w:val="00EA4EF0"/>
    <w:rsid w:val="00EA5D7B"/>
    <w:rsid w:val="00EA60DE"/>
    <w:rsid w:val="00EA6D0F"/>
    <w:rsid w:val="00EA6ED2"/>
    <w:rsid w:val="00EB044B"/>
    <w:rsid w:val="00EB085D"/>
    <w:rsid w:val="00EB1F6C"/>
    <w:rsid w:val="00EB3ABD"/>
    <w:rsid w:val="00EB59D1"/>
    <w:rsid w:val="00EB5DD3"/>
    <w:rsid w:val="00EB6490"/>
    <w:rsid w:val="00EB70F5"/>
    <w:rsid w:val="00EB7550"/>
    <w:rsid w:val="00EC2AFC"/>
    <w:rsid w:val="00EC5EAF"/>
    <w:rsid w:val="00ED2C6C"/>
    <w:rsid w:val="00ED34E8"/>
    <w:rsid w:val="00ED66EF"/>
    <w:rsid w:val="00EE1389"/>
    <w:rsid w:val="00EE1EAE"/>
    <w:rsid w:val="00EE433A"/>
    <w:rsid w:val="00EE5705"/>
    <w:rsid w:val="00EF3E5F"/>
    <w:rsid w:val="00EF4B60"/>
    <w:rsid w:val="00F00C44"/>
    <w:rsid w:val="00F00E52"/>
    <w:rsid w:val="00F01BE1"/>
    <w:rsid w:val="00F02722"/>
    <w:rsid w:val="00F04E46"/>
    <w:rsid w:val="00F05D70"/>
    <w:rsid w:val="00F07D4C"/>
    <w:rsid w:val="00F10BCB"/>
    <w:rsid w:val="00F171DC"/>
    <w:rsid w:val="00F27436"/>
    <w:rsid w:val="00F32E37"/>
    <w:rsid w:val="00F34800"/>
    <w:rsid w:val="00F360CC"/>
    <w:rsid w:val="00F36B11"/>
    <w:rsid w:val="00F371D6"/>
    <w:rsid w:val="00F4139A"/>
    <w:rsid w:val="00F4172C"/>
    <w:rsid w:val="00F4233D"/>
    <w:rsid w:val="00F42376"/>
    <w:rsid w:val="00F424F1"/>
    <w:rsid w:val="00F43707"/>
    <w:rsid w:val="00F43B2B"/>
    <w:rsid w:val="00F45465"/>
    <w:rsid w:val="00F454A4"/>
    <w:rsid w:val="00F47DAF"/>
    <w:rsid w:val="00F47EA3"/>
    <w:rsid w:val="00F568AB"/>
    <w:rsid w:val="00F56E19"/>
    <w:rsid w:val="00F62987"/>
    <w:rsid w:val="00F63B84"/>
    <w:rsid w:val="00F6516E"/>
    <w:rsid w:val="00F719AC"/>
    <w:rsid w:val="00F71A61"/>
    <w:rsid w:val="00F74D11"/>
    <w:rsid w:val="00F756D7"/>
    <w:rsid w:val="00F7784A"/>
    <w:rsid w:val="00F811CF"/>
    <w:rsid w:val="00F81FFC"/>
    <w:rsid w:val="00F83D74"/>
    <w:rsid w:val="00F875F0"/>
    <w:rsid w:val="00F90596"/>
    <w:rsid w:val="00F91B7D"/>
    <w:rsid w:val="00F96202"/>
    <w:rsid w:val="00F97B77"/>
    <w:rsid w:val="00FA0C7C"/>
    <w:rsid w:val="00FA17D9"/>
    <w:rsid w:val="00FA369C"/>
    <w:rsid w:val="00FA3B48"/>
    <w:rsid w:val="00FA49DC"/>
    <w:rsid w:val="00FA4CEF"/>
    <w:rsid w:val="00FA59FF"/>
    <w:rsid w:val="00FB231A"/>
    <w:rsid w:val="00FB30BA"/>
    <w:rsid w:val="00FB6884"/>
    <w:rsid w:val="00FC19B3"/>
    <w:rsid w:val="00FC42FE"/>
    <w:rsid w:val="00FC7B06"/>
    <w:rsid w:val="00FD2492"/>
    <w:rsid w:val="00FD29F7"/>
    <w:rsid w:val="00FD7871"/>
    <w:rsid w:val="00FE3398"/>
    <w:rsid w:val="00FE44BF"/>
    <w:rsid w:val="00FE6340"/>
    <w:rsid w:val="00FE7091"/>
    <w:rsid w:val="00FF1A23"/>
    <w:rsid w:val="00FF1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E17F0"/>
  <w15:chartTrackingRefBased/>
  <w15:docId w15:val="{8833D04F-A403-4F5E-B66D-570C3408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29D9"/>
    <w:pPr>
      <w:tabs>
        <w:tab w:val="center" w:pos="4153"/>
        <w:tab w:val="right" w:pos="8306"/>
      </w:tabs>
    </w:pPr>
  </w:style>
  <w:style w:type="character" w:customStyle="1" w:styleId="HeaderChar">
    <w:name w:val="Header Char"/>
    <w:basedOn w:val="DefaultParagraphFont"/>
    <w:link w:val="Header"/>
    <w:rsid w:val="00AD29D9"/>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AD29D9"/>
    <w:pPr>
      <w:tabs>
        <w:tab w:val="center" w:pos="4153"/>
        <w:tab w:val="right" w:pos="8306"/>
      </w:tabs>
    </w:pPr>
  </w:style>
  <w:style w:type="character" w:customStyle="1" w:styleId="FooterChar">
    <w:name w:val="Footer Char"/>
    <w:basedOn w:val="DefaultParagraphFont"/>
    <w:link w:val="Footer"/>
    <w:uiPriority w:val="99"/>
    <w:rsid w:val="00AD29D9"/>
    <w:rPr>
      <w:rFonts w:ascii="Times New Roman" w:eastAsia="Times New Roman" w:hAnsi="Times New Roman" w:cs="Times New Roman"/>
      <w:sz w:val="24"/>
      <w:szCs w:val="24"/>
      <w:lang w:eastAsia="lv-LV"/>
    </w:rPr>
  </w:style>
  <w:style w:type="character" w:styleId="PageNumber">
    <w:name w:val="page number"/>
    <w:basedOn w:val="DefaultParagraphFont"/>
    <w:rsid w:val="00AD29D9"/>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AD29D9"/>
    <w:pPr>
      <w:ind w:left="720"/>
      <w:contextualSpacing/>
    </w:pPr>
  </w:style>
  <w:style w:type="paragraph" w:styleId="BodyTextIndent">
    <w:name w:val="Body Text Indent"/>
    <w:basedOn w:val="Normal"/>
    <w:link w:val="BodyTextIndentChar"/>
    <w:uiPriority w:val="99"/>
    <w:rsid w:val="00AD29D9"/>
    <w:pPr>
      <w:ind w:firstLine="720"/>
      <w:jc w:val="both"/>
    </w:pPr>
    <w:rPr>
      <w:b/>
      <w:bCs/>
      <w:sz w:val="28"/>
      <w:szCs w:val="28"/>
    </w:rPr>
  </w:style>
  <w:style w:type="character" w:customStyle="1" w:styleId="BodyTextIndentChar">
    <w:name w:val="Body Text Indent Char"/>
    <w:basedOn w:val="DefaultParagraphFont"/>
    <w:link w:val="BodyTextIndent"/>
    <w:uiPriority w:val="99"/>
    <w:rsid w:val="00AD29D9"/>
    <w:rPr>
      <w:rFonts w:ascii="Times New Roman" w:eastAsia="Times New Roman" w:hAnsi="Times New Roman" w:cs="Times New Roman"/>
      <w:b/>
      <w:bCs/>
      <w:sz w:val="28"/>
      <w:szCs w:val="28"/>
      <w:lang w:eastAsia="lv-LV"/>
    </w:rPr>
  </w:style>
  <w:style w:type="character" w:styleId="Hyperlink">
    <w:name w:val="Hyperlink"/>
    <w:uiPriority w:val="99"/>
    <w:unhideWhenUsed/>
    <w:rsid w:val="00AD29D9"/>
    <w:rPr>
      <w:color w:val="0000FF"/>
      <w:u w:val="single"/>
    </w:rPr>
  </w:style>
  <w:style w:type="paragraph" w:styleId="FootnoteText">
    <w:name w:val="footnote text"/>
    <w:aliases w:val=" Char,(Diplomarbeit),(Diplomarbeit)1,(Diplomarbeit)2,(Diplomarbeit)3,(Diplomarbeit)4,(Diplomarbeit)5,(Diplomarbeit)6,(Diplomarbeit)7,-E Fußnotentext,Char,Footnote,Fußn,Fußnote,Fußnote Char Char Char,Fußnotentext Ursprung,footnote text,o"/>
    <w:basedOn w:val="Normal"/>
    <w:link w:val="FootnoteTextChar"/>
    <w:uiPriority w:val="99"/>
    <w:unhideWhenUsed/>
    <w:qFormat/>
    <w:rsid w:val="00AD29D9"/>
    <w:pPr>
      <w:spacing w:after="200" w:line="276" w:lineRule="auto"/>
    </w:pPr>
    <w:rPr>
      <w:rFonts w:ascii="Calibri" w:eastAsiaTheme="minorHAnsi" w:hAnsi="Calibri" w:cs="Calibri"/>
      <w:sz w:val="20"/>
      <w:szCs w:val="20"/>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Char Char,Footnote Char,Fußn Char"/>
    <w:basedOn w:val="DefaultParagraphFont"/>
    <w:link w:val="FootnoteText"/>
    <w:uiPriority w:val="99"/>
    <w:rsid w:val="00AD29D9"/>
    <w:rPr>
      <w:rFonts w:ascii="Calibri" w:hAnsi="Calibri" w:cs="Calibri"/>
      <w:sz w:val="20"/>
      <w:szCs w:val="20"/>
      <w:lang w:eastAsia="lv-LV"/>
    </w:rPr>
  </w:style>
  <w:style w:type="character" w:styleId="FootnoteReference">
    <w:name w:val="footnote reference"/>
    <w:aliases w:val="-E Fußnotenzeichen,-E Fuûnotenzeichen,-E Fuﬂnotenzeichen,BVI fnr,EN Footnote Reference,Footnote Reference Number,Footnote Reference Superscript,Footnote number,Footnote sign,Footnote symboFußnotenzeichen,Footnote symbol,SUPERS,number"/>
    <w:basedOn w:val="DefaultParagraphFont"/>
    <w:link w:val="FootnoteRefernece"/>
    <w:uiPriority w:val="99"/>
    <w:unhideWhenUsed/>
    <w:qFormat/>
    <w:rsid w:val="00AD29D9"/>
    <w:rPr>
      <w:vertAlign w:val="superscript"/>
    </w:rPr>
  </w:style>
  <w:style w:type="character" w:styleId="CommentReference">
    <w:name w:val="annotation reference"/>
    <w:basedOn w:val="DefaultParagraphFont"/>
    <w:uiPriority w:val="99"/>
    <w:unhideWhenUsed/>
    <w:qFormat/>
    <w:rsid w:val="00AD29D9"/>
    <w:rPr>
      <w:sz w:val="16"/>
      <w:szCs w:val="16"/>
    </w:rPr>
  </w:style>
  <w:style w:type="paragraph" w:styleId="CommentText">
    <w:name w:val="annotation text"/>
    <w:basedOn w:val="Normal"/>
    <w:link w:val="CommentTextChar"/>
    <w:unhideWhenUsed/>
    <w:qFormat/>
    <w:rsid w:val="00AD29D9"/>
    <w:rPr>
      <w:sz w:val="20"/>
      <w:szCs w:val="20"/>
    </w:rPr>
  </w:style>
  <w:style w:type="character" w:customStyle="1" w:styleId="CommentTextChar">
    <w:name w:val="Comment Text Char"/>
    <w:basedOn w:val="DefaultParagraphFont"/>
    <w:link w:val="CommentText"/>
    <w:rsid w:val="00AD29D9"/>
    <w:rPr>
      <w:rFonts w:ascii="Times New Roman" w:eastAsia="Times New Roman" w:hAnsi="Times New Roman" w:cs="Times New Roman"/>
      <w:sz w:val="20"/>
      <w:szCs w:val="20"/>
      <w:lang w:eastAsia="lv-LV"/>
    </w:rPr>
  </w:style>
  <w:style w:type="paragraph" w:customStyle="1" w:styleId="Titreobjet">
    <w:name w:val="Titre objet"/>
    <w:basedOn w:val="Normal"/>
    <w:next w:val="Normal"/>
    <w:rsid w:val="00AD29D9"/>
    <w:pPr>
      <w:spacing w:before="360" w:after="360"/>
      <w:jc w:val="center"/>
    </w:pPr>
    <w:rPr>
      <w:b/>
      <w:snapToGrid w:val="0"/>
      <w:lang w:eastAsia="en-GB"/>
    </w:rPr>
  </w:style>
  <w:style w:type="paragraph" w:customStyle="1" w:styleId="Default">
    <w:name w:val="Default"/>
    <w:rsid w:val="00AD29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AD29D9"/>
    <w:rPr>
      <w:rFonts w:ascii="Times New Roman" w:eastAsia="Times New Roman" w:hAnsi="Times New Roman" w:cs="Times New Roman"/>
      <w:sz w:val="24"/>
      <w:szCs w:val="24"/>
      <w:lang w:eastAsia="lv-LV"/>
    </w:rPr>
  </w:style>
  <w:style w:type="paragraph" w:customStyle="1" w:styleId="FootnoteRefernece">
    <w:name w:val="Footnote Refernece"/>
    <w:aliases w:val="E,E FNZ,Footnotes refss,Odwołanie przypisu,Ref,de nota al pie,ftref"/>
    <w:basedOn w:val="Normal"/>
    <w:next w:val="Normal"/>
    <w:link w:val="FootnoteReference"/>
    <w:uiPriority w:val="99"/>
    <w:rsid w:val="00AD29D9"/>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FontStyle12">
    <w:name w:val="Font Style12"/>
    <w:basedOn w:val="DefaultParagraphFont"/>
    <w:uiPriority w:val="99"/>
    <w:rsid w:val="00AD29D9"/>
    <w:rPr>
      <w:rFonts w:ascii="Times New Roman" w:hAnsi="Times New Roman" w:cs="Times New Roman"/>
      <w:sz w:val="26"/>
      <w:szCs w:val="26"/>
    </w:rPr>
  </w:style>
  <w:style w:type="table" w:styleId="TableGridLight">
    <w:name w:val="Grid Table Light"/>
    <w:basedOn w:val="TableNormal"/>
    <w:uiPriority w:val="40"/>
    <w:rsid w:val="00AD2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4F26C4"/>
    <w:rPr>
      <w:color w:val="605E5C"/>
      <w:shd w:val="clear" w:color="auto" w:fill="E1DFDD"/>
    </w:rPr>
  </w:style>
  <w:style w:type="character" w:styleId="FollowedHyperlink">
    <w:name w:val="FollowedHyperlink"/>
    <w:basedOn w:val="DefaultParagraphFont"/>
    <w:uiPriority w:val="99"/>
    <w:semiHidden/>
    <w:unhideWhenUsed/>
    <w:rsid w:val="00EE5705"/>
    <w:rPr>
      <w:color w:val="954F72" w:themeColor="followedHyperlink"/>
      <w:u w:val="single"/>
    </w:rPr>
  </w:style>
  <w:style w:type="paragraph" w:styleId="Revision">
    <w:name w:val="Revision"/>
    <w:hidden/>
    <w:uiPriority w:val="99"/>
    <w:semiHidden/>
    <w:rsid w:val="003265C1"/>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3265C1"/>
    <w:rPr>
      <w:b/>
      <w:bCs/>
    </w:rPr>
  </w:style>
  <w:style w:type="character" w:customStyle="1" w:styleId="CommentSubjectChar">
    <w:name w:val="Comment Subject Char"/>
    <w:basedOn w:val="CommentTextChar"/>
    <w:link w:val="CommentSubject"/>
    <w:uiPriority w:val="99"/>
    <w:semiHidden/>
    <w:rsid w:val="003265C1"/>
    <w:rPr>
      <w:rFonts w:ascii="Times New Roman" w:eastAsia="Times New Roman" w:hAnsi="Times New Roman" w:cs="Times New Roman"/>
      <w:b/>
      <w:bCs/>
      <w:sz w:val="20"/>
      <w:szCs w:val="20"/>
      <w:lang w:eastAsia="lv-LV"/>
    </w:rPr>
  </w:style>
  <w:style w:type="table" w:styleId="TableGrid">
    <w:name w:val="Table Grid"/>
    <w:basedOn w:val="TableNormal"/>
    <w:uiPriority w:val="39"/>
    <w:rsid w:val="001A6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rsid w:val="00EC2AFC"/>
    <w:pPr>
      <w:spacing w:after="160" w:line="240" w:lineRule="exact"/>
      <w:jc w:val="both"/>
    </w:pPr>
    <w:rPr>
      <w:rFonts w:ascii="Linux Libertine Display G" w:eastAsia="Noto Serif CJK SC" w:hAnsi="Linux Libertine Display G" w:cs="FreeSans"/>
      <w:vertAlign w:val="superscript"/>
      <w:lang w:eastAsia="zh-CN" w:bidi="hi-IN"/>
    </w:rPr>
  </w:style>
  <w:style w:type="paragraph" w:customStyle="1" w:styleId="Normal3">
    <w:name w:val="Normal3"/>
    <w:basedOn w:val="Normal"/>
    <w:rsid w:val="007D68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99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e.dansone@k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portnet.europa.eu/public/country/LV" TargetMode="External"/><Relationship Id="rId2" Type="http://schemas.openxmlformats.org/officeDocument/2006/relationships/hyperlink" Target="https://reportnet.europa.eu/public/country/LV" TargetMode="External"/><Relationship Id="rId1" Type="http://schemas.openxmlformats.org/officeDocument/2006/relationships/hyperlink" Target="https://videscentrs.lvgmc.lv/lapas/zinojums-par-klimatu" TargetMode="External"/><Relationship Id="rId4" Type="http://schemas.openxmlformats.org/officeDocument/2006/relationships/hyperlink" Target="https://eur-lex.europa.eu/legal-content/EN/TXT/?uri=CELEX:52023DC0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3DC15-BD95-4852-836C-4274109D9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13696</Words>
  <Characters>7808</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Informatīvais ziņojums „Par Latvijas iespējām veikt darījumus ar valsts īpašumā esošajām gada emisijas sadales vienībām un Kioto vienībām”</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Latvijas iespējām veikt darījumus ar valsts īpašumā esošajām gada emisijas sadales vienībām un Kioto vienībām”</dc:title>
  <dc:subject>Informatīvais ziņojums</dc:subject>
  <dc:creator>Beāte Dansone</dc:creator>
  <cp:keywords>Informatīvais ziņojums</cp:keywords>
  <dc:description>63007307; beate.dansone@kem.gov.lv</dc:description>
  <cp:lastModifiedBy>Beāte Dansone</cp:lastModifiedBy>
  <cp:revision>48</cp:revision>
  <dcterms:created xsi:type="dcterms:W3CDTF">2023-12-05T07:36:00Z</dcterms:created>
  <dcterms:modified xsi:type="dcterms:W3CDTF">2023-12-06T06:22:00Z</dcterms:modified>
</cp:coreProperties>
</file>