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A744" w14:textId="77777777" w:rsidR="00663737" w:rsidRPr="00864803" w:rsidRDefault="006F5A51" w:rsidP="00864803">
      <w:pPr>
        <w:spacing w:after="0" w:line="240" w:lineRule="auto"/>
        <w:ind w:firstLine="720"/>
        <w:jc w:val="center"/>
        <w:rPr>
          <w:rFonts w:ascii="Times New Roman" w:hAnsi="Times New Roman" w:cs="Times New Roman"/>
          <w:b/>
          <w:bCs/>
          <w:color w:val="000000"/>
          <w:sz w:val="24"/>
          <w:szCs w:val="24"/>
          <w:shd w:val="clear" w:color="auto" w:fill="FFFFFF"/>
        </w:rPr>
      </w:pPr>
      <w:r w:rsidRPr="00864803">
        <w:rPr>
          <w:rFonts w:ascii="Times New Roman" w:hAnsi="Times New Roman" w:cs="Times New Roman"/>
          <w:color w:val="000000"/>
          <w:sz w:val="24"/>
          <w:szCs w:val="24"/>
          <w:shd w:val="clear" w:color="auto" w:fill="FFFFFF"/>
        </w:rPr>
        <w:t>Informatīvais ziņojums</w:t>
      </w:r>
      <w:r w:rsidRPr="00864803">
        <w:rPr>
          <w:rFonts w:ascii="Times New Roman" w:hAnsi="Times New Roman" w:cs="Times New Roman"/>
          <w:b/>
          <w:bCs/>
          <w:color w:val="000000"/>
          <w:sz w:val="24"/>
          <w:szCs w:val="24"/>
          <w:shd w:val="clear" w:color="auto" w:fill="FFFFFF"/>
        </w:rPr>
        <w:t xml:space="preserve"> </w:t>
      </w:r>
    </w:p>
    <w:p w14:paraId="4D47CF6A" w14:textId="76C4CFD7" w:rsidR="00B13831" w:rsidRPr="00864803" w:rsidRDefault="006F5A51" w:rsidP="00864803">
      <w:pPr>
        <w:spacing w:after="0" w:line="240" w:lineRule="auto"/>
        <w:ind w:firstLine="720"/>
        <w:jc w:val="center"/>
        <w:rPr>
          <w:rFonts w:ascii="Times New Roman" w:hAnsi="Times New Roman" w:cs="Times New Roman"/>
          <w:b/>
          <w:bCs/>
          <w:color w:val="000000"/>
          <w:sz w:val="24"/>
          <w:szCs w:val="24"/>
          <w:shd w:val="clear" w:color="auto" w:fill="FFFFFF"/>
        </w:rPr>
      </w:pPr>
      <w:r w:rsidRPr="00864803">
        <w:rPr>
          <w:rFonts w:ascii="Times New Roman" w:hAnsi="Times New Roman" w:cs="Times New Roman"/>
          <w:b/>
          <w:bCs/>
          <w:color w:val="000000"/>
          <w:sz w:val="24"/>
          <w:szCs w:val="24"/>
          <w:shd w:val="clear" w:color="auto" w:fill="FFFFFF"/>
        </w:rPr>
        <w:t>"Priekšlikumi Covid-19 testēšanas politikas izmaiņām"</w:t>
      </w:r>
    </w:p>
    <w:p w14:paraId="776659EC" w14:textId="77777777" w:rsidR="00663737" w:rsidRPr="00864803" w:rsidRDefault="00663737" w:rsidP="00864803">
      <w:pPr>
        <w:spacing w:after="0" w:line="240" w:lineRule="auto"/>
        <w:ind w:firstLine="720"/>
        <w:jc w:val="center"/>
        <w:rPr>
          <w:rFonts w:ascii="Times New Roman" w:hAnsi="Times New Roman" w:cs="Times New Roman"/>
          <w:b/>
          <w:bCs/>
          <w:color w:val="000000"/>
          <w:sz w:val="24"/>
          <w:szCs w:val="24"/>
          <w:shd w:val="clear" w:color="auto" w:fill="FFFFFF"/>
        </w:rPr>
      </w:pPr>
    </w:p>
    <w:p w14:paraId="1B0767E0" w14:textId="25134BB3" w:rsidR="00663737" w:rsidRPr="00864803" w:rsidRDefault="00663737" w:rsidP="00864803">
      <w:pPr>
        <w:spacing w:after="0" w:line="240" w:lineRule="auto"/>
        <w:ind w:firstLine="720"/>
        <w:jc w:val="both"/>
        <w:rPr>
          <w:rFonts w:ascii="Times New Roman" w:hAnsi="Times New Roman" w:cs="Times New Roman"/>
          <w:sz w:val="24"/>
          <w:szCs w:val="24"/>
        </w:rPr>
      </w:pPr>
      <w:r w:rsidRPr="00864803">
        <w:rPr>
          <w:rFonts w:ascii="Times New Roman" w:hAnsi="Times New Roman" w:cs="Times New Roman"/>
          <w:sz w:val="24"/>
          <w:szCs w:val="24"/>
        </w:rPr>
        <w:t>Informatīvais ziņojum</w:t>
      </w:r>
      <w:r w:rsidR="00BD7981">
        <w:rPr>
          <w:rFonts w:ascii="Times New Roman" w:hAnsi="Times New Roman" w:cs="Times New Roman"/>
          <w:sz w:val="24"/>
          <w:szCs w:val="24"/>
        </w:rPr>
        <w:t>a</w:t>
      </w:r>
      <w:r w:rsidRPr="00864803">
        <w:rPr>
          <w:rFonts w:ascii="Times New Roman" w:hAnsi="Times New Roman" w:cs="Times New Roman"/>
          <w:sz w:val="24"/>
          <w:szCs w:val="24"/>
        </w:rPr>
        <w:t xml:space="preserve"> “Par Covid-19 laboratoriskās  diagnostikas nodrošināšanu” </w:t>
      </w:r>
      <w:r w:rsidR="00BD7981">
        <w:rPr>
          <w:rFonts w:ascii="Times New Roman" w:hAnsi="Times New Roman" w:cs="Times New Roman"/>
          <w:sz w:val="24"/>
          <w:szCs w:val="24"/>
        </w:rPr>
        <w:t xml:space="preserve">projekts </w:t>
      </w:r>
      <w:r w:rsidRPr="00864803">
        <w:rPr>
          <w:rFonts w:ascii="Times New Roman" w:hAnsi="Times New Roman" w:cs="Times New Roman"/>
          <w:sz w:val="24"/>
          <w:szCs w:val="24"/>
        </w:rPr>
        <w:t xml:space="preserve">(turpmāk – Ziņojuma projekts) ir izstrādāts atbilstoši Ministru kabineta 2021.gada 17.februāra sēdes </w:t>
      </w:r>
      <w:proofErr w:type="spellStart"/>
      <w:r w:rsidRPr="00864803">
        <w:rPr>
          <w:rFonts w:ascii="Times New Roman" w:hAnsi="Times New Roman" w:cs="Times New Roman"/>
          <w:sz w:val="24"/>
          <w:szCs w:val="24"/>
        </w:rPr>
        <w:t>protokollēmuma</w:t>
      </w:r>
      <w:proofErr w:type="spellEnd"/>
      <w:r w:rsidRPr="00864803">
        <w:rPr>
          <w:rFonts w:ascii="Times New Roman" w:hAnsi="Times New Roman" w:cs="Times New Roman"/>
          <w:sz w:val="24"/>
          <w:szCs w:val="24"/>
        </w:rPr>
        <w:t xml:space="preserve"> (Nr.17 7.§) 3.punktā noteiktajam, kas paredz Veselības ministrijai kopīgi ar nozaru ministrijām un sociālajiem partneriem sagatavot priekšlikumus par vienotu kārtību, kādā attiecīgajām uzņēmēju grupām tiks veikta Covid-19 testēšana, un veselības ministram par tiem informēt Ministru kabinetu. </w:t>
      </w:r>
    </w:p>
    <w:p w14:paraId="34E5B198" w14:textId="77777777" w:rsidR="00B53C7F" w:rsidRPr="00B53C7F" w:rsidRDefault="00C75DAD" w:rsidP="00B53C7F">
      <w:pPr>
        <w:spacing w:after="0" w:line="240" w:lineRule="auto"/>
        <w:ind w:firstLine="720"/>
        <w:jc w:val="both"/>
        <w:rPr>
          <w:rFonts w:ascii="Times New Roman" w:hAnsi="Times New Roman" w:cs="Times New Roman"/>
          <w:sz w:val="24"/>
          <w:szCs w:val="24"/>
        </w:rPr>
      </w:pPr>
      <w:r w:rsidRPr="00B53C7F">
        <w:rPr>
          <w:rFonts w:ascii="Times New Roman" w:hAnsi="Times New Roman" w:cs="Times New Roman"/>
          <w:sz w:val="24"/>
          <w:szCs w:val="24"/>
        </w:rPr>
        <w:t>Covid-19 testēšanas politika maiņai ir sekojoši mērķi:</w:t>
      </w:r>
    </w:p>
    <w:p w14:paraId="10EE6875" w14:textId="07F2329A" w:rsidR="00B53C7F" w:rsidRPr="00B53C7F" w:rsidRDefault="00BF134F" w:rsidP="00B53C7F">
      <w:pPr>
        <w:pStyle w:val="ListParagraph"/>
        <w:numPr>
          <w:ilvl w:val="0"/>
          <w:numId w:val="3"/>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nodrošināt</w:t>
      </w:r>
      <w:r w:rsidR="00B53C7F" w:rsidRPr="00B53C7F">
        <w:rPr>
          <w:rFonts w:ascii="Times New Roman" w:eastAsia="Calibri" w:hAnsi="Times New Roman" w:cs="Times New Roman"/>
          <w:sz w:val="24"/>
          <w:szCs w:val="24"/>
        </w:rPr>
        <w:t xml:space="preserve"> testēšanu gan pēc klīniskajām, gan pēc epidemioloģiskajām indikācijām, arī Anti-SARS-CoV-2 antivielu noteikšanu un SARS-CoV-2 vīrusa sekvencēšanu;</w:t>
      </w:r>
    </w:p>
    <w:p w14:paraId="1708DB8F" w14:textId="39EAABA7" w:rsidR="00B53C7F" w:rsidRPr="00A71B90" w:rsidRDefault="00A71B90" w:rsidP="00A71B9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veikt mērķtiecīgu izmeklēšanu rutīnas laboratoriskā </w:t>
      </w:r>
      <w:proofErr w:type="spellStart"/>
      <w:r>
        <w:rPr>
          <w:rFonts w:ascii="Times New Roman" w:hAnsi="Times New Roman" w:cs="Times New Roman"/>
          <w:sz w:val="24"/>
          <w:szCs w:val="24"/>
        </w:rPr>
        <w:t>skrīninga</w:t>
      </w:r>
      <w:proofErr w:type="spellEnd"/>
      <w:r>
        <w:rPr>
          <w:rFonts w:ascii="Times New Roman" w:hAnsi="Times New Roman" w:cs="Times New Roman"/>
          <w:sz w:val="24"/>
          <w:szCs w:val="24"/>
        </w:rPr>
        <w:t xml:space="preserve"> ietvaros, kritiski izvērtējot atšķirīgu iedzīvotāju grupu iespēju vakcinēties</w:t>
      </w:r>
      <w:r w:rsidRPr="00B53C7F">
        <w:rPr>
          <w:rFonts w:ascii="Times New Roman" w:hAnsi="Times New Roman" w:cs="Times New Roman"/>
          <w:sz w:val="24"/>
          <w:szCs w:val="24"/>
        </w:rPr>
        <w:t>;</w:t>
      </w:r>
    </w:p>
    <w:p w14:paraId="47D222C9" w14:textId="7F577CB2" w:rsidR="00A00CD7" w:rsidRDefault="00C75DAD" w:rsidP="00A00CD7">
      <w:pPr>
        <w:pStyle w:val="ListParagraph"/>
        <w:numPr>
          <w:ilvl w:val="0"/>
          <w:numId w:val="3"/>
        </w:numPr>
        <w:spacing w:after="0" w:line="240" w:lineRule="auto"/>
        <w:jc w:val="both"/>
        <w:rPr>
          <w:rFonts w:ascii="Times New Roman" w:hAnsi="Times New Roman" w:cs="Times New Roman"/>
          <w:sz w:val="24"/>
          <w:szCs w:val="24"/>
        </w:rPr>
      </w:pPr>
      <w:r w:rsidRPr="00B53C7F">
        <w:rPr>
          <w:rFonts w:ascii="Times New Roman" w:hAnsi="Times New Roman" w:cs="Times New Roman"/>
          <w:sz w:val="24"/>
          <w:szCs w:val="24"/>
        </w:rPr>
        <w:t xml:space="preserve">nodrošināt savlaicīgu, plašu un mērķtiecīgu sabiedrības </w:t>
      </w:r>
      <w:proofErr w:type="spellStart"/>
      <w:r w:rsidRPr="00B53C7F">
        <w:rPr>
          <w:rFonts w:ascii="Times New Roman" w:hAnsi="Times New Roman" w:cs="Times New Roman"/>
          <w:sz w:val="24"/>
          <w:szCs w:val="24"/>
        </w:rPr>
        <w:t>skrīningu</w:t>
      </w:r>
      <w:proofErr w:type="spellEnd"/>
      <w:r w:rsidRPr="00B53C7F">
        <w:rPr>
          <w:rFonts w:ascii="Times New Roman" w:hAnsi="Times New Roman" w:cs="Times New Roman"/>
          <w:sz w:val="24"/>
          <w:szCs w:val="24"/>
        </w:rPr>
        <w:t xml:space="preserve"> un nepieciešamo informāciju lēmumu pieņemšanai</w:t>
      </w:r>
      <w:r w:rsidR="00BD7981">
        <w:rPr>
          <w:rFonts w:ascii="Times New Roman" w:hAnsi="Times New Roman" w:cs="Times New Roman"/>
          <w:sz w:val="24"/>
          <w:szCs w:val="24"/>
        </w:rPr>
        <w:t>;</w:t>
      </w:r>
    </w:p>
    <w:p w14:paraId="5A57A336" w14:textId="76D79B34" w:rsidR="00BD7981" w:rsidRPr="00A00CD7" w:rsidRDefault="00BD7981" w:rsidP="00A00CD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nodrošināt epidemi</w:t>
      </w:r>
      <w:r w:rsidR="00F25FB4">
        <w:rPr>
          <w:rFonts w:ascii="Times New Roman" w:hAnsi="Times New Roman" w:cs="Times New Roman"/>
          <w:sz w:val="24"/>
          <w:szCs w:val="24"/>
        </w:rPr>
        <w:t>o</w:t>
      </w:r>
      <w:r w:rsidR="00F65444">
        <w:rPr>
          <w:rFonts w:ascii="Times New Roman" w:hAnsi="Times New Roman" w:cs="Times New Roman"/>
          <w:sz w:val="24"/>
          <w:szCs w:val="24"/>
        </w:rPr>
        <w:t>l</w:t>
      </w:r>
      <w:r>
        <w:rPr>
          <w:rFonts w:ascii="Times New Roman" w:hAnsi="Times New Roman" w:cs="Times New Roman"/>
          <w:sz w:val="24"/>
          <w:szCs w:val="24"/>
        </w:rPr>
        <w:t>oģiski drošu pakalpojumu sniegšanu un saņemšanu.</w:t>
      </w:r>
    </w:p>
    <w:p w14:paraId="146D811F" w14:textId="77777777" w:rsidR="00B13831" w:rsidRPr="00864803" w:rsidRDefault="00B13831" w:rsidP="00864803">
      <w:pPr>
        <w:spacing w:after="0" w:line="240" w:lineRule="auto"/>
        <w:ind w:firstLine="720"/>
        <w:jc w:val="center"/>
        <w:rPr>
          <w:rFonts w:ascii="Times New Roman" w:hAnsi="Times New Roman" w:cs="Times New Roman"/>
          <w:color w:val="000000"/>
          <w:sz w:val="24"/>
          <w:szCs w:val="24"/>
          <w:shd w:val="clear" w:color="auto" w:fill="FFFFFF"/>
        </w:rPr>
      </w:pPr>
    </w:p>
    <w:p w14:paraId="5D55FC18" w14:textId="0E04348E" w:rsidR="00B13831" w:rsidRPr="00864803" w:rsidRDefault="00B13831" w:rsidP="00864803">
      <w:pPr>
        <w:pStyle w:val="Heading2"/>
        <w:numPr>
          <w:ilvl w:val="0"/>
          <w:numId w:val="2"/>
        </w:numPr>
        <w:spacing w:before="0" w:line="240" w:lineRule="auto"/>
        <w:ind w:left="0" w:firstLine="720"/>
        <w:rPr>
          <w:rFonts w:cs="Times New Roman"/>
          <w:sz w:val="24"/>
          <w:szCs w:val="24"/>
          <w:shd w:val="clear" w:color="auto" w:fill="FFFFFF"/>
        </w:rPr>
      </w:pPr>
      <w:r w:rsidRPr="00864803">
        <w:rPr>
          <w:rFonts w:cs="Times New Roman"/>
          <w:sz w:val="24"/>
          <w:szCs w:val="24"/>
          <w:shd w:val="clear" w:color="auto" w:fill="FFFFFF"/>
        </w:rPr>
        <w:t>Situācijas raksturojums</w:t>
      </w:r>
    </w:p>
    <w:p w14:paraId="3AB764D8" w14:textId="77777777" w:rsidR="00663737" w:rsidRPr="00864803" w:rsidRDefault="00663737" w:rsidP="00864803">
      <w:pPr>
        <w:spacing w:after="0" w:line="240" w:lineRule="auto"/>
        <w:ind w:firstLine="720"/>
        <w:jc w:val="both"/>
        <w:rPr>
          <w:rFonts w:ascii="Times New Roman" w:hAnsi="Times New Roman" w:cs="Times New Roman"/>
          <w:sz w:val="24"/>
          <w:szCs w:val="24"/>
        </w:rPr>
      </w:pPr>
    </w:p>
    <w:p w14:paraId="2092617A" w14:textId="359F0230" w:rsidR="00B85086" w:rsidRDefault="00DB2A7D" w:rsidP="00864803">
      <w:pPr>
        <w:spacing w:after="0" w:line="240" w:lineRule="auto"/>
        <w:ind w:firstLine="720"/>
        <w:jc w:val="both"/>
        <w:rPr>
          <w:rFonts w:ascii="Times New Roman" w:hAnsi="Times New Roman" w:cs="Times New Roman"/>
          <w:sz w:val="24"/>
          <w:szCs w:val="24"/>
        </w:rPr>
      </w:pPr>
      <w:r w:rsidRPr="00864803">
        <w:rPr>
          <w:rFonts w:ascii="Times New Roman" w:hAnsi="Times New Roman" w:cs="Times New Roman"/>
          <w:sz w:val="24"/>
          <w:szCs w:val="24"/>
        </w:rPr>
        <w:t xml:space="preserve">Pamatojoties uz Eiropas Komisijas publicēto Kopīgo Eiropas ceļvedi Covid-19 ierobežošanas pasākumu atcelšanai, viens no kritērijiem veiksmīgai ierobežošanas pasākumu atcelšanai ir efektīva Covid-19 epidemioloģiskās uzraudzības sistēma, proti, agrīna infekcijas slimības gadījumu atklāšana, izmeklēšana un savlaicīga </w:t>
      </w:r>
      <w:proofErr w:type="spellStart"/>
      <w:r w:rsidRPr="00864803">
        <w:rPr>
          <w:rFonts w:ascii="Times New Roman" w:hAnsi="Times New Roman" w:cs="Times New Roman"/>
          <w:sz w:val="24"/>
          <w:szCs w:val="24"/>
        </w:rPr>
        <w:t>pretepidēmijas</w:t>
      </w:r>
      <w:proofErr w:type="spellEnd"/>
      <w:r w:rsidRPr="00864803">
        <w:rPr>
          <w:rFonts w:ascii="Times New Roman" w:hAnsi="Times New Roman" w:cs="Times New Roman"/>
          <w:sz w:val="24"/>
          <w:szCs w:val="24"/>
        </w:rPr>
        <w:t xml:space="preserve"> pasākumu ieviešana. Līdz </w:t>
      </w:r>
      <w:r w:rsidR="000069BA">
        <w:rPr>
          <w:rFonts w:ascii="Times New Roman" w:hAnsi="Times New Roman" w:cs="Times New Roman"/>
          <w:sz w:val="24"/>
          <w:szCs w:val="24"/>
        </w:rPr>
        <w:t>šim</w:t>
      </w:r>
      <w:r w:rsidRPr="00864803">
        <w:rPr>
          <w:rFonts w:ascii="Times New Roman" w:hAnsi="Times New Roman" w:cs="Times New Roman"/>
          <w:sz w:val="24"/>
          <w:szCs w:val="24"/>
        </w:rPr>
        <w:t xml:space="preserve"> </w:t>
      </w:r>
      <w:r w:rsidR="00F2765C">
        <w:rPr>
          <w:rFonts w:ascii="Times New Roman" w:hAnsi="Times New Roman" w:cs="Times New Roman"/>
          <w:sz w:val="24"/>
          <w:szCs w:val="24"/>
        </w:rPr>
        <w:t>minētā</w:t>
      </w:r>
      <w:r w:rsidRPr="00864803">
        <w:rPr>
          <w:rFonts w:ascii="Times New Roman" w:hAnsi="Times New Roman" w:cs="Times New Roman"/>
          <w:sz w:val="24"/>
          <w:szCs w:val="24"/>
        </w:rPr>
        <w:t xml:space="preserve"> uzraudzības sistēma bija </w:t>
      </w:r>
      <w:r w:rsidR="00302FA1">
        <w:rPr>
          <w:rFonts w:ascii="Times New Roman" w:hAnsi="Times New Roman" w:cs="Times New Roman"/>
          <w:sz w:val="24"/>
          <w:szCs w:val="24"/>
        </w:rPr>
        <w:t>efektīvākais</w:t>
      </w:r>
      <w:r w:rsidRPr="00864803">
        <w:rPr>
          <w:rFonts w:ascii="Times New Roman" w:hAnsi="Times New Roman" w:cs="Times New Roman"/>
          <w:sz w:val="24"/>
          <w:szCs w:val="24"/>
        </w:rPr>
        <w:t xml:space="preserve"> instruments cīņā ar Covid-19 pandēmiju, kas </w:t>
      </w:r>
      <w:r w:rsidR="00B13831" w:rsidRPr="00864803">
        <w:rPr>
          <w:rFonts w:ascii="Times New Roman" w:hAnsi="Times New Roman" w:cs="Times New Roman"/>
          <w:sz w:val="24"/>
          <w:szCs w:val="24"/>
        </w:rPr>
        <w:t>ļāva ierobežojot</w:t>
      </w:r>
      <w:r w:rsidR="00A80E60" w:rsidRPr="00864803">
        <w:rPr>
          <w:rFonts w:ascii="Times New Roman" w:hAnsi="Times New Roman" w:cs="Times New Roman"/>
          <w:sz w:val="24"/>
          <w:szCs w:val="24"/>
        </w:rPr>
        <w:t xml:space="preserve"> slimības</w:t>
      </w:r>
      <w:r w:rsidR="00B13831" w:rsidRPr="00864803">
        <w:rPr>
          <w:rFonts w:ascii="Times New Roman" w:hAnsi="Times New Roman" w:cs="Times New Roman"/>
          <w:sz w:val="24"/>
          <w:szCs w:val="24"/>
        </w:rPr>
        <w:t xml:space="preserve"> transmisiju un tālāku izplatību</w:t>
      </w:r>
      <w:r w:rsidR="000069BA">
        <w:rPr>
          <w:rFonts w:ascii="Times New Roman" w:hAnsi="Times New Roman" w:cs="Times New Roman"/>
          <w:sz w:val="24"/>
          <w:szCs w:val="24"/>
        </w:rPr>
        <w:t>.</w:t>
      </w:r>
    </w:p>
    <w:p w14:paraId="4F23553D" w14:textId="68A9A391" w:rsidR="00DB164C" w:rsidRPr="00DB164C" w:rsidRDefault="00A71B90" w:rsidP="00DB164C">
      <w:pPr>
        <w:tabs>
          <w:tab w:val="left" w:pos="354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Šobrīd, k</w:t>
      </w:r>
      <w:r w:rsidR="00DB164C" w:rsidRPr="00DB164C">
        <w:rPr>
          <w:rFonts w:ascii="Times New Roman" w:hAnsi="Times New Roman" w:cs="Times New Roman"/>
          <w:sz w:val="24"/>
          <w:szCs w:val="24"/>
        </w:rPr>
        <w:t>opš 2020.gada nogales</w:t>
      </w:r>
      <w:r>
        <w:rPr>
          <w:rFonts w:ascii="Times New Roman" w:hAnsi="Times New Roman" w:cs="Times New Roman"/>
          <w:sz w:val="24"/>
          <w:szCs w:val="24"/>
        </w:rPr>
        <w:t>,</w:t>
      </w:r>
      <w:r w:rsidR="00DB164C" w:rsidRPr="00DB164C">
        <w:rPr>
          <w:rFonts w:ascii="Times New Roman" w:hAnsi="Times New Roman" w:cs="Times New Roman"/>
          <w:sz w:val="24"/>
          <w:szCs w:val="24"/>
        </w:rPr>
        <w:t xml:space="preserve"> Latvij</w:t>
      </w:r>
      <w:r w:rsidR="00DB164C">
        <w:rPr>
          <w:rFonts w:ascii="Times New Roman" w:hAnsi="Times New Roman" w:cs="Times New Roman"/>
          <w:sz w:val="24"/>
          <w:szCs w:val="24"/>
        </w:rPr>
        <w:t>as</w:t>
      </w:r>
      <w:r w:rsidR="00DB164C" w:rsidRPr="00DB164C">
        <w:rPr>
          <w:rFonts w:ascii="Times New Roman" w:hAnsi="Times New Roman" w:cs="Times New Roman"/>
          <w:sz w:val="24"/>
          <w:szCs w:val="24"/>
        </w:rPr>
        <w:t xml:space="preserve"> ir </w:t>
      </w:r>
      <w:r w:rsidR="00DB164C">
        <w:rPr>
          <w:rFonts w:ascii="Times New Roman" w:hAnsi="Times New Roman" w:cs="Times New Roman"/>
          <w:sz w:val="24"/>
          <w:szCs w:val="24"/>
        </w:rPr>
        <w:t>pieejams efektīvāks instruments cīņā ar Covid-19 -</w:t>
      </w:r>
      <w:r>
        <w:rPr>
          <w:rFonts w:ascii="Times New Roman" w:hAnsi="Times New Roman" w:cs="Times New Roman"/>
          <w:sz w:val="24"/>
          <w:szCs w:val="24"/>
        </w:rPr>
        <w:t xml:space="preserve"> </w:t>
      </w:r>
      <w:r w:rsidR="00DB164C" w:rsidRPr="00DB164C">
        <w:rPr>
          <w:rFonts w:ascii="Times New Roman" w:hAnsi="Times New Roman" w:cs="Times New Roman"/>
          <w:sz w:val="24"/>
          <w:szCs w:val="24"/>
        </w:rPr>
        <w:t>uzsākta iedzīvotāju vakcinācija, kas mazina slimības izplatību un pasargā iedzīvotājus. Sākotnēji vakcīnu varēja saņemt noteiktu riska grupu pārstāvji, bet kopš 2021.gada 3. maija - ikviens pieaugušais, kurš to vēlas</w:t>
      </w:r>
      <w:r w:rsidR="00DB164C">
        <w:rPr>
          <w:rFonts w:ascii="Times New Roman" w:hAnsi="Times New Roman" w:cs="Times New Roman"/>
          <w:sz w:val="24"/>
          <w:szCs w:val="24"/>
        </w:rPr>
        <w:t>.</w:t>
      </w:r>
      <w:r w:rsidR="00DB164C" w:rsidRPr="00DB164C">
        <w:rPr>
          <w:rFonts w:ascii="Times New Roman" w:hAnsi="Times New Roman" w:cs="Times New Roman"/>
          <w:sz w:val="24"/>
          <w:szCs w:val="24"/>
        </w:rPr>
        <w:t xml:space="preserve"> </w:t>
      </w:r>
      <w:r w:rsidR="00DB164C">
        <w:rPr>
          <w:rFonts w:ascii="Times New Roman" w:hAnsi="Times New Roman" w:cs="Times New Roman"/>
          <w:sz w:val="24"/>
          <w:szCs w:val="24"/>
        </w:rPr>
        <w:t>2021. gada</w:t>
      </w:r>
      <w:r w:rsidR="00DB164C" w:rsidRPr="00DB164C">
        <w:rPr>
          <w:rFonts w:ascii="Times New Roman" w:hAnsi="Times New Roman" w:cs="Times New Roman"/>
          <w:sz w:val="24"/>
          <w:szCs w:val="24"/>
        </w:rPr>
        <w:t xml:space="preserve"> II ceturk</w:t>
      </w:r>
      <w:r w:rsidR="00DB164C">
        <w:rPr>
          <w:rFonts w:ascii="Times New Roman" w:hAnsi="Times New Roman" w:cs="Times New Roman"/>
          <w:sz w:val="24"/>
          <w:szCs w:val="24"/>
        </w:rPr>
        <w:t>snī uzsākta arī</w:t>
      </w:r>
      <w:r w:rsidR="00DB164C" w:rsidRPr="00DB164C">
        <w:rPr>
          <w:rFonts w:ascii="Times New Roman" w:hAnsi="Times New Roman" w:cs="Times New Roman"/>
          <w:sz w:val="24"/>
          <w:szCs w:val="24"/>
        </w:rPr>
        <w:t xml:space="preserve"> jaunieš</w:t>
      </w:r>
      <w:r w:rsidR="00DB164C">
        <w:rPr>
          <w:rFonts w:ascii="Times New Roman" w:hAnsi="Times New Roman" w:cs="Times New Roman"/>
          <w:sz w:val="24"/>
          <w:szCs w:val="24"/>
        </w:rPr>
        <w:t>u</w:t>
      </w:r>
      <w:r w:rsidR="00DB164C" w:rsidRPr="00DB164C">
        <w:rPr>
          <w:rFonts w:ascii="Times New Roman" w:hAnsi="Times New Roman" w:cs="Times New Roman"/>
          <w:sz w:val="24"/>
          <w:szCs w:val="24"/>
        </w:rPr>
        <w:t xml:space="preserve"> no 12 gadu vecuma</w:t>
      </w:r>
      <w:r w:rsidR="00DB164C" w:rsidRPr="00DB164C">
        <w:rPr>
          <w:rStyle w:val="FootnoteReference"/>
          <w:rFonts w:ascii="Times New Roman" w:hAnsi="Times New Roman" w:cs="Times New Roman"/>
          <w:sz w:val="24"/>
          <w:szCs w:val="24"/>
        </w:rPr>
        <w:footnoteReference w:id="1"/>
      </w:r>
      <w:r w:rsidR="00DB164C">
        <w:rPr>
          <w:rFonts w:ascii="Times New Roman" w:hAnsi="Times New Roman" w:cs="Times New Roman"/>
          <w:sz w:val="24"/>
          <w:szCs w:val="24"/>
        </w:rPr>
        <w:t xml:space="preserve"> vakcinācija pret Covid-19.</w:t>
      </w:r>
    </w:p>
    <w:p w14:paraId="7C6E2000" w14:textId="2A27411A" w:rsidR="006172B2" w:rsidRDefault="00BD7981" w:rsidP="00F276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Kā norāda nozares speciālisti, r</w:t>
      </w:r>
      <w:r w:rsidR="00613248" w:rsidRPr="00613248">
        <w:rPr>
          <w:rFonts w:ascii="Times New Roman" w:hAnsi="Times New Roman" w:cs="Times New Roman"/>
          <w:sz w:val="24"/>
          <w:szCs w:val="24"/>
        </w:rPr>
        <w:t>egulār</w:t>
      </w:r>
      <w:r>
        <w:rPr>
          <w:rFonts w:ascii="Times New Roman" w:hAnsi="Times New Roman" w:cs="Times New Roman"/>
          <w:sz w:val="24"/>
          <w:szCs w:val="24"/>
        </w:rPr>
        <w:t>a</w:t>
      </w:r>
      <w:r w:rsidR="00613248" w:rsidRPr="00613248">
        <w:rPr>
          <w:rFonts w:ascii="Times New Roman" w:hAnsi="Times New Roman" w:cs="Times New Roman"/>
          <w:sz w:val="24"/>
          <w:szCs w:val="24"/>
        </w:rPr>
        <w:t xml:space="preserve">s testēšanas mērķis ir identificēt inficētās personas, tostarp bez simptomiem, tādējādi mazinot draudus sabiedrībai. </w:t>
      </w:r>
      <w:proofErr w:type="spellStart"/>
      <w:r w:rsidR="00F40D7B" w:rsidRPr="00F40D7B">
        <w:rPr>
          <w:rFonts w:ascii="Times New Roman" w:hAnsi="Times New Roman" w:cs="Times New Roman"/>
          <w:sz w:val="24"/>
          <w:szCs w:val="24"/>
        </w:rPr>
        <w:t>Skrīninga</w:t>
      </w:r>
      <w:proofErr w:type="spellEnd"/>
      <w:r w:rsidR="00F40D7B" w:rsidRPr="00F40D7B">
        <w:rPr>
          <w:rFonts w:ascii="Times New Roman" w:hAnsi="Times New Roman" w:cs="Times New Roman"/>
          <w:sz w:val="24"/>
          <w:szCs w:val="24"/>
        </w:rPr>
        <w:t xml:space="preserve"> mērķis, nav 100% novērst jebkuru inficēšanās risku, bet gan atklāt infekcijas gadījumus.</w:t>
      </w:r>
      <w:r w:rsidR="00F40D7B">
        <w:rPr>
          <w:rFonts w:ascii="Times New Roman" w:hAnsi="Times New Roman" w:cs="Times New Roman"/>
          <w:sz w:val="24"/>
          <w:szCs w:val="24"/>
        </w:rPr>
        <w:t xml:space="preserve"> </w:t>
      </w:r>
      <w:r w:rsidR="00E03FB7">
        <w:rPr>
          <w:rFonts w:ascii="Times New Roman" w:hAnsi="Times New Roman" w:cs="Times New Roman"/>
          <w:sz w:val="24"/>
          <w:szCs w:val="24"/>
        </w:rPr>
        <w:t xml:space="preserve">Testēšana uz Covid-19 Latvijā tiek nodrošināta kopš 2020.gada I. ceturkšņa. Bez pārtraukumiem tiek nodrošināta </w:t>
      </w:r>
      <w:r w:rsidR="00E03FB7" w:rsidRPr="00E03FB7">
        <w:rPr>
          <w:rFonts w:ascii="Times New Roman" w:hAnsi="Times New Roman" w:cs="Times New Roman"/>
          <w:sz w:val="24"/>
          <w:szCs w:val="24"/>
        </w:rPr>
        <w:t xml:space="preserve">valsts apmaksātas analīzes uz COVID-19 personām, kurām ir </w:t>
      </w:r>
      <w:r w:rsidR="00E03FB7">
        <w:rPr>
          <w:rFonts w:ascii="Times New Roman" w:hAnsi="Times New Roman" w:cs="Times New Roman"/>
          <w:sz w:val="24"/>
          <w:szCs w:val="24"/>
        </w:rPr>
        <w:t xml:space="preserve">klīniskie </w:t>
      </w:r>
      <w:r w:rsidR="00E03FB7" w:rsidRPr="00E03FB7">
        <w:rPr>
          <w:rFonts w:ascii="Times New Roman" w:hAnsi="Times New Roman" w:cs="Times New Roman"/>
          <w:sz w:val="24"/>
          <w:szCs w:val="24"/>
        </w:rPr>
        <w:t>simptomi</w:t>
      </w:r>
      <w:r w:rsidR="006172B2">
        <w:rPr>
          <w:rFonts w:ascii="Times New Roman" w:hAnsi="Times New Roman" w:cs="Times New Roman"/>
          <w:sz w:val="24"/>
          <w:szCs w:val="24"/>
        </w:rPr>
        <w:t xml:space="preserve">, arī testēšana pēc epidemioloģiskām indikācijām (piemēram, slimnīcu uzņemšanas nodaļās, </w:t>
      </w:r>
      <w:r w:rsidR="006172B2" w:rsidRPr="006172B2">
        <w:rPr>
          <w:rFonts w:ascii="Times New Roman" w:hAnsi="Times New Roman" w:cs="Times New Roman"/>
          <w:sz w:val="24"/>
          <w:szCs w:val="24"/>
        </w:rPr>
        <w:t>hospitalizētiem pacientiem ar akūtu respiratoru infekciju</w:t>
      </w:r>
      <w:r w:rsidR="006172B2">
        <w:rPr>
          <w:rFonts w:ascii="Times New Roman" w:hAnsi="Times New Roman" w:cs="Times New Roman"/>
          <w:sz w:val="24"/>
          <w:szCs w:val="24"/>
        </w:rPr>
        <w:t xml:space="preserve">, </w:t>
      </w:r>
      <w:r w:rsidR="006172B2" w:rsidRPr="006172B2">
        <w:rPr>
          <w:rFonts w:ascii="Times New Roman" w:hAnsi="Times New Roman" w:cs="Times New Roman"/>
          <w:sz w:val="24"/>
          <w:szCs w:val="24"/>
        </w:rPr>
        <w:t>sociālās aprūpes iestāžu klientiem</w:t>
      </w:r>
      <w:r w:rsidR="006172B2">
        <w:rPr>
          <w:rFonts w:ascii="Times New Roman" w:hAnsi="Times New Roman" w:cs="Times New Roman"/>
          <w:sz w:val="24"/>
          <w:szCs w:val="24"/>
        </w:rPr>
        <w:t xml:space="preserve"> utt.)</w:t>
      </w:r>
      <w:r w:rsidR="00E03FB7">
        <w:rPr>
          <w:rFonts w:ascii="Times New Roman" w:hAnsi="Times New Roman" w:cs="Times New Roman"/>
          <w:sz w:val="24"/>
          <w:szCs w:val="24"/>
        </w:rPr>
        <w:t xml:space="preserve">. </w:t>
      </w:r>
      <w:r w:rsidR="00E70D29" w:rsidRPr="00864803">
        <w:rPr>
          <w:rFonts w:ascii="Times New Roman" w:hAnsi="Times New Roman" w:cs="Times New Roman"/>
          <w:sz w:val="24"/>
          <w:szCs w:val="24"/>
        </w:rPr>
        <w:t>Sākotnēji tika īstenota pastiprināt</w:t>
      </w:r>
      <w:r w:rsidR="00E03FB7">
        <w:rPr>
          <w:rFonts w:ascii="Times New Roman" w:hAnsi="Times New Roman" w:cs="Times New Roman"/>
          <w:sz w:val="24"/>
          <w:szCs w:val="24"/>
        </w:rPr>
        <w:t xml:space="preserve">a </w:t>
      </w:r>
      <w:r w:rsidR="00E70D29" w:rsidRPr="00864803">
        <w:rPr>
          <w:rFonts w:ascii="Times New Roman" w:hAnsi="Times New Roman" w:cs="Times New Roman"/>
          <w:sz w:val="24"/>
          <w:szCs w:val="24"/>
        </w:rPr>
        <w:t>to personu testēšan</w:t>
      </w:r>
      <w:r w:rsidR="00E03FB7">
        <w:rPr>
          <w:rFonts w:ascii="Times New Roman" w:hAnsi="Times New Roman" w:cs="Times New Roman"/>
          <w:sz w:val="24"/>
          <w:szCs w:val="24"/>
        </w:rPr>
        <w:t>a</w:t>
      </w:r>
      <w:r w:rsidR="00E70D29" w:rsidRPr="00864803">
        <w:rPr>
          <w:rFonts w:ascii="Times New Roman" w:hAnsi="Times New Roman" w:cs="Times New Roman"/>
          <w:sz w:val="24"/>
          <w:szCs w:val="24"/>
        </w:rPr>
        <w:t xml:space="preserve">, </w:t>
      </w:r>
      <w:r w:rsidR="00E03FB7">
        <w:rPr>
          <w:rFonts w:ascii="Times New Roman" w:hAnsi="Times New Roman" w:cs="Times New Roman"/>
          <w:sz w:val="24"/>
          <w:szCs w:val="24"/>
        </w:rPr>
        <w:t>kuras uzturējušās</w:t>
      </w:r>
      <w:r w:rsidR="00E03FB7" w:rsidRPr="00E03FB7">
        <w:rPr>
          <w:rFonts w:ascii="Times New Roman" w:hAnsi="Times New Roman" w:cs="Times New Roman"/>
          <w:sz w:val="24"/>
          <w:szCs w:val="24"/>
        </w:rPr>
        <w:t xml:space="preserve"> ārzemēs vai bij</w:t>
      </w:r>
      <w:r w:rsidR="00E03FB7">
        <w:rPr>
          <w:rFonts w:ascii="Times New Roman" w:hAnsi="Times New Roman" w:cs="Times New Roman"/>
          <w:sz w:val="24"/>
          <w:szCs w:val="24"/>
        </w:rPr>
        <w:t>ušas</w:t>
      </w:r>
      <w:r w:rsidR="00E03FB7" w:rsidRPr="00E03FB7">
        <w:rPr>
          <w:rFonts w:ascii="Times New Roman" w:hAnsi="Times New Roman" w:cs="Times New Roman"/>
          <w:sz w:val="24"/>
          <w:szCs w:val="24"/>
        </w:rPr>
        <w:t xml:space="preserve"> ciešā kontaktā ar COVID-19 slimniek</w:t>
      </w:r>
      <w:r w:rsidR="00E03FB7">
        <w:rPr>
          <w:rFonts w:ascii="Times New Roman" w:hAnsi="Times New Roman" w:cs="Times New Roman"/>
          <w:sz w:val="24"/>
          <w:szCs w:val="24"/>
        </w:rPr>
        <w:t>u.  P</w:t>
      </w:r>
      <w:r w:rsidR="00E70D29" w:rsidRPr="00864803">
        <w:rPr>
          <w:rFonts w:ascii="Times New Roman" w:hAnsi="Times New Roman" w:cs="Times New Roman"/>
          <w:sz w:val="24"/>
          <w:szCs w:val="24"/>
        </w:rPr>
        <w:t>andēmijai attīstoties</w:t>
      </w:r>
      <w:r w:rsidR="00E70D29">
        <w:rPr>
          <w:rFonts w:ascii="Times New Roman" w:hAnsi="Times New Roman" w:cs="Times New Roman"/>
          <w:sz w:val="24"/>
          <w:szCs w:val="24"/>
        </w:rPr>
        <w:t>,</w:t>
      </w:r>
      <w:r w:rsidR="00E70D29" w:rsidRPr="00864803">
        <w:rPr>
          <w:rFonts w:ascii="Times New Roman" w:hAnsi="Times New Roman" w:cs="Times New Roman"/>
          <w:sz w:val="24"/>
          <w:szCs w:val="24"/>
        </w:rPr>
        <w:t xml:space="preserve"> </w:t>
      </w:r>
      <w:r w:rsidR="00B53C7F">
        <w:rPr>
          <w:rFonts w:ascii="Times New Roman" w:hAnsi="Times New Roman" w:cs="Times New Roman"/>
          <w:sz w:val="24"/>
          <w:szCs w:val="24"/>
        </w:rPr>
        <w:t xml:space="preserve">rutīnas laboratoriskais </w:t>
      </w:r>
      <w:proofErr w:type="spellStart"/>
      <w:r w:rsidR="00B53C7F">
        <w:rPr>
          <w:rFonts w:ascii="Times New Roman" w:hAnsi="Times New Roman" w:cs="Times New Roman"/>
          <w:sz w:val="24"/>
          <w:szCs w:val="24"/>
        </w:rPr>
        <w:t>skrīnings</w:t>
      </w:r>
      <w:proofErr w:type="spellEnd"/>
      <w:r w:rsidR="00E70D29" w:rsidRPr="00864803">
        <w:rPr>
          <w:rFonts w:ascii="Times New Roman" w:hAnsi="Times New Roman" w:cs="Times New Roman"/>
          <w:sz w:val="24"/>
          <w:szCs w:val="24"/>
        </w:rPr>
        <w:t xml:space="preserve"> tika</w:t>
      </w:r>
      <w:r w:rsidR="006172B2">
        <w:rPr>
          <w:rFonts w:ascii="Times New Roman" w:hAnsi="Times New Roman" w:cs="Times New Roman"/>
          <w:sz w:val="24"/>
          <w:szCs w:val="24"/>
        </w:rPr>
        <w:t xml:space="preserve"> paplašināts, nodrošinot testēšanu uz Covid-19</w:t>
      </w:r>
      <w:r w:rsidR="00E70D29" w:rsidRPr="00864803">
        <w:rPr>
          <w:rFonts w:ascii="Times New Roman" w:hAnsi="Times New Roman" w:cs="Times New Roman"/>
          <w:sz w:val="24"/>
          <w:szCs w:val="24"/>
        </w:rPr>
        <w:t xml:space="preserve"> </w:t>
      </w:r>
      <w:r w:rsidR="006172B2">
        <w:rPr>
          <w:rFonts w:ascii="Times New Roman" w:hAnsi="Times New Roman" w:cs="Times New Roman"/>
          <w:sz w:val="24"/>
          <w:szCs w:val="24"/>
        </w:rPr>
        <w:t>arī tām personām</w:t>
      </w:r>
      <w:r w:rsidR="00E70D29" w:rsidRPr="00864803">
        <w:rPr>
          <w:rFonts w:ascii="Times New Roman" w:hAnsi="Times New Roman" w:cs="Times New Roman"/>
          <w:sz w:val="24"/>
          <w:szCs w:val="24"/>
        </w:rPr>
        <w:t>, ku</w:t>
      </w:r>
      <w:r w:rsidR="00DE12DA">
        <w:rPr>
          <w:rFonts w:ascii="Times New Roman" w:hAnsi="Times New Roman" w:cs="Times New Roman"/>
          <w:sz w:val="24"/>
          <w:szCs w:val="24"/>
        </w:rPr>
        <w:t>r</w:t>
      </w:r>
      <w:r w:rsidR="006172B2">
        <w:rPr>
          <w:rFonts w:ascii="Times New Roman" w:hAnsi="Times New Roman" w:cs="Times New Roman"/>
          <w:sz w:val="24"/>
          <w:szCs w:val="24"/>
        </w:rPr>
        <w:t>ām</w:t>
      </w:r>
      <w:r w:rsidR="00E70D29" w:rsidRPr="00864803">
        <w:rPr>
          <w:rFonts w:ascii="Times New Roman" w:hAnsi="Times New Roman" w:cs="Times New Roman"/>
          <w:sz w:val="24"/>
          <w:szCs w:val="24"/>
        </w:rPr>
        <w:t xml:space="preserve"> par spīti ieviestajiem ierobežojumiem ir augsts infekcijas izplatīšanas risks</w:t>
      </w:r>
      <w:r w:rsidR="006172B2">
        <w:rPr>
          <w:rFonts w:ascii="Times New Roman" w:hAnsi="Times New Roman" w:cs="Times New Roman"/>
          <w:sz w:val="24"/>
          <w:szCs w:val="24"/>
        </w:rPr>
        <w:t xml:space="preserve">, bet </w:t>
      </w:r>
      <w:r w:rsidR="006172B2" w:rsidRPr="006172B2">
        <w:rPr>
          <w:rFonts w:ascii="Times New Roman" w:hAnsi="Times New Roman" w:cs="Times New Roman"/>
          <w:sz w:val="24"/>
          <w:szCs w:val="24"/>
        </w:rPr>
        <w:t>darba pienākumi ir kritiski uzņēmuma darbības nepārtrauktības nodrošināšanai</w:t>
      </w:r>
      <w:r w:rsidR="000575A2">
        <w:rPr>
          <w:rFonts w:ascii="Times New Roman" w:hAnsi="Times New Roman" w:cs="Times New Roman"/>
          <w:sz w:val="24"/>
          <w:szCs w:val="24"/>
        </w:rPr>
        <w:t xml:space="preserve"> un</w:t>
      </w:r>
      <w:r w:rsidR="006172B2">
        <w:rPr>
          <w:rFonts w:ascii="Times New Roman" w:hAnsi="Times New Roman" w:cs="Times New Roman"/>
          <w:sz w:val="24"/>
          <w:szCs w:val="24"/>
        </w:rPr>
        <w:t xml:space="preserve"> d</w:t>
      </w:r>
      <w:r w:rsidR="006172B2" w:rsidRPr="006172B2">
        <w:rPr>
          <w:rFonts w:ascii="Times New Roman" w:hAnsi="Times New Roman" w:cs="Times New Roman"/>
          <w:sz w:val="24"/>
          <w:szCs w:val="24"/>
        </w:rPr>
        <w:t>arbinieku saslimšanas rezultāta var būt pārtrauktas kritiskās funkcijas</w:t>
      </w:r>
      <w:r w:rsidR="006172B2">
        <w:rPr>
          <w:rFonts w:ascii="Times New Roman" w:hAnsi="Times New Roman" w:cs="Times New Roman"/>
          <w:sz w:val="24"/>
          <w:szCs w:val="24"/>
        </w:rPr>
        <w:t>.</w:t>
      </w:r>
    </w:p>
    <w:p w14:paraId="0597EAF1" w14:textId="61D1D3AE" w:rsidR="004526C4" w:rsidRDefault="00F2765C" w:rsidP="004526C4">
      <w:pPr>
        <w:spacing w:after="0" w:line="240" w:lineRule="auto"/>
        <w:ind w:firstLine="720"/>
        <w:jc w:val="both"/>
        <w:rPr>
          <w:rFonts w:ascii="Times New Roman" w:hAnsi="Times New Roman" w:cs="Times New Roman"/>
          <w:sz w:val="24"/>
          <w:szCs w:val="24"/>
        </w:rPr>
      </w:pPr>
      <w:r w:rsidRPr="00864803">
        <w:rPr>
          <w:rFonts w:ascii="Times New Roman" w:hAnsi="Times New Roman" w:cs="Times New Roman"/>
          <w:sz w:val="24"/>
          <w:szCs w:val="24"/>
        </w:rPr>
        <w:t>Saskaņā ar Veselības ministrijas izstrādātajā Informatīvajā ziņojumā “Priekšlikumi Covid-19 testēšanas politikas izmaiņām”</w:t>
      </w:r>
      <w:r w:rsidRPr="00864803">
        <w:rPr>
          <w:rStyle w:val="FootnoteReference"/>
          <w:rFonts w:ascii="Times New Roman" w:hAnsi="Times New Roman" w:cs="Times New Roman"/>
          <w:sz w:val="24"/>
          <w:szCs w:val="24"/>
        </w:rPr>
        <w:footnoteReference w:id="2"/>
      </w:r>
      <w:r w:rsidRPr="00864803">
        <w:rPr>
          <w:rFonts w:ascii="Times New Roman" w:hAnsi="Times New Roman" w:cs="Times New Roman"/>
          <w:sz w:val="24"/>
          <w:szCs w:val="24"/>
        </w:rPr>
        <w:t xml:space="preserve"> noteikto</w:t>
      </w:r>
      <w:r w:rsidR="00302FA1">
        <w:rPr>
          <w:rFonts w:ascii="Times New Roman" w:hAnsi="Times New Roman" w:cs="Times New Roman"/>
          <w:sz w:val="24"/>
          <w:szCs w:val="24"/>
        </w:rPr>
        <w:t xml:space="preserve"> un atbilstoši normatīvajiem aktiem</w:t>
      </w:r>
      <w:r w:rsidRPr="00864803">
        <w:rPr>
          <w:rFonts w:ascii="Times New Roman" w:hAnsi="Times New Roman" w:cs="Times New Roman"/>
          <w:sz w:val="24"/>
          <w:szCs w:val="24"/>
        </w:rPr>
        <w:t>, Covid-</w:t>
      </w:r>
      <w:r w:rsidRPr="00864803">
        <w:rPr>
          <w:rFonts w:ascii="Times New Roman" w:hAnsi="Times New Roman" w:cs="Times New Roman"/>
          <w:sz w:val="24"/>
          <w:szCs w:val="24"/>
        </w:rPr>
        <w:lastRenderedPageBreak/>
        <w:t xml:space="preserve">19 testēšana </w:t>
      </w:r>
      <w:r>
        <w:rPr>
          <w:rFonts w:ascii="Times New Roman" w:hAnsi="Times New Roman" w:cs="Times New Roman"/>
          <w:sz w:val="24"/>
          <w:szCs w:val="24"/>
        </w:rPr>
        <w:t xml:space="preserve">šobrīd </w:t>
      </w:r>
      <w:r w:rsidRPr="00864803">
        <w:rPr>
          <w:rFonts w:ascii="Times New Roman" w:hAnsi="Times New Roman" w:cs="Times New Roman"/>
          <w:sz w:val="24"/>
          <w:szCs w:val="24"/>
        </w:rPr>
        <w:t>tiek veikta atbilstoši klīniskajām un epidemioloģiskām indikācijām</w:t>
      </w:r>
      <w:r w:rsidR="00613248">
        <w:rPr>
          <w:rFonts w:ascii="Times New Roman" w:hAnsi="Times New Roman" w:cs="Times New Roman"/>
          <w:sz w:val="24"/>
          <w:szCs w:val="24"/>
        </w:rPr>
        <w:t xml:space="preserve"> un</w:t>
      </w:r>
      <w:r w:rsidRPr="00864803">
        <w:rPr>
          <w:rFonts w:ascii="Times New Roman" w:hAnsi="Times New Roman" w:cs="Times New Roman"/>
          <w:sz w:val="24"/>
          <w:szCs w:val="24"/>
        </w:rPr>
        <w:t xml:space="preserve"> rutīnas </w:t>
      </w:r>
      <w:proofErr w:type="spellStart"/>
      <w:r w:rsidRPr="00864803">
        <w:rPr>
          <w:rFonts w:ascii="Times New Roman" w:hAnsi="Times New Roman" w:cs="Times New Roman"/>
          <w:sz w:val="24"/>
          <w:szCs w:val="24"/>
        </w:rPr>
        <w:t>skrīninga</w:t>
      </w:r>
      <w:proofErr w:type="spellEnd"/>
      <w:r w:rsidRPr="00864803">
        <w:rPr>
          <w:rFonts w:ascii="Times New Roman" w:hAnsi="Times New Roman" w:cs="Times New Roman"/>
          <w:sz w:val="24"/>
          <w:szCs w:val="24"/>
        </w:rPr>
        <w:t xml:space="preserve"> ietvaros</w:t>
      </w:r>
      <w:r w:rsidR="00613248">
        <w:rPr>
          <w:rFonts w:ascii="Times New Roman" w:hAnsi="Times New Roman" w:cs="Times New Roman"/>
          <w:sz w:val="24"/>
          <w:szCs w:val="24"/>
        </w:rPr>
        <w:t xml:space="preserve"> (</w:t>
      </w:r>
      <w:r w:rsidRPr="00864803">
        <w:rPr>
          <w:rFonts w:ascii="Times New Roman" w:hAnsi="Times New Roman" w:cs="Times New Roman"/>
          <w:sz w:val="24"/>
          <w:szCs w:val="24"/>
        </w:rPr>
        <w:t>arī pēc nozares vai darba devēja iniciatīvas</w:t>
      </w:r>
      <w:r w:rsidR="00613248">
        <w:rPr>
          <w:rFonts w:ascii="Times New Roman" w:hAnsi="Times New Roman" w:cs="Times New Roman"/>
          <w:sz w:val="24"/>
          <w:szCs w:val="24"/>
        </w:rPr>
        <w:t>)</w:t>
      </w:r>
      <w:r w:rsidRPr="00864803">
        <w:rPr>
          <w:rFonts w:ascii="Times New Roman" w:hAnsi="Times New Roman" w:cs="Times New Roman"/>
          <w:sz w:val="24"/>
          <w:szCs w:val="24"/>
        </w:rPr>
        <w:t>.</w:t>
      </w:r>
      <w:r w:rsidR="00613248">
        <w:rPr>
          <w:rFonts w:ascii="Times New Roman" w:hAnsi="Times New Roman" w:cs="Times New Roman"/>
          <w:sz w:val="24"/>
          <w:szCs w:val="24"/>
        </w:rPr>
        <w:t xml:space="preserve"> Papildus tiek nodrošināta arī </w:t>
      </w:r>
      <w:r w:rsidRPr="00864803">
        <w:rPr>
          <w:rFonts w:ascii="Times New Roman" w:hAnsi="Times New Roman" w:cs="Times New Roman"/>
          <w:sz w:val="24"/>
          <w:szCs w:val="24"/>
        </w:rPr>
        <w:t xml:space="preserve"> </w:t>
      </w:r>
      <w:r w:rsidR="00613248" w:rsidRPr="00613248">
        <w:rPr>
          <w:rFonts w:ascii="Times New Roman" w:hAnsi="Times New Roman" w:cs="Times New Roman"/>
          <w:sz w:val="24"/>
          <w:szCs w:val="24"/>
        </w:rPr>
        <w:t>antivielu noteikšana</w:t>
      </w:r>
      <w:r w:rsidR="00613248">
        <w:rPr>
          <w:rFonts w:ascii="Times New Roman" w:hAnsi="Times New Roman" w:cs="Times New Roman"/>
          <w:sz w:val="24"/>
          <w:szCs w:val="24"/>
        </w:rPr>
        <w:t xml:space="preserve">, </w:t>
      </w:r>
      <w:r w:rsidR="00613248" w:rsidRPr="00613248">
        <w:rPr>
          <w:rFonts w:ascii="Times New Roman" w:hAnsi="Times New Roman" w:cs="Times New Roman"/>
          <w:sz w:val="24"/>
          <w:szCs w:val="24"/>
        </w:rPr>
        <w:t xml:space="preserve">vīrusa sekvencēšana </w:t>
      </w:r>
      <w:r w:rsidR="00613248">
        <w:rPr>
          <w:rFonts w:ascii="Times New Roman" w:hAnsi="Times New Roman" w:cs="Times New Roman"/>
          <w:sz w:val="24"/>
          <w:szCs w:val="24"/>
        </w:rPr>
        <w:t xml:space="preserve">un </w:t>
      </w:r>
      <w:r w:rsidR="00613248" w:rsidRPr="00613248">
        <w:rPr>
          <w:rFonts w:ascii="Times New Roman" w:hAnsi="Times New Roman" w:cs="Times New Roman"/>
          <w:sz w:val="24"/>
          <w:szCs w:val="24"/>
        </w:rPr>
        <w:t xml:space="preserve">vīrusa variantu </w:t>
      </w:r>
      <w:proofErr w:type="spellStart"/>
      <w:r w:rsidR="00613248" w:rsidRPr="00613248">
        <w:rPr>
          <w:rFonts w:ascii="Times New Roman" w:hAnsi="Times New Roman" w:cs="Times New Roman"/>
          <w:sz w:val="24"/>
          <w:szCs w:val="24"/>
        </w:rPr>
        <w:t>skrīnings</w:t>
      </w:r>
      <w:proofErr w:type="spellEnd"/>
      <w:r w:rsidR="00613248">
        <w:rPr>
          <w:rFonts w:ascii="Times New Roman" w:hAnsi="Times New Roman" w:cs="Times New Roman"/>
          <w:sz w:val="24"/>
          <w:szCs w:val="24"/>
        </w:rPr>
        <w:t>.</w:t>
      </w:r>
      <w:r w:rsidR="004526C4">
        <w:rPr>
          <w:rFonts w:ascii="Times New Roman" w:hAnsi="Times New Roman" w:cs="Times New Roman"/>
          <w:sz w:val="24"/>
          <w:szCs w:val="24"/>
        </w:rPr>
        <w:t xml:space="preserve"> </w:t>
      </w:r>
    </w:p>
    <w:p w14:paraId="0CC7F943" w14:textId="60E9C353" w:rsidR="00F2765C" w:rsidRDefault="008119C8" w:rsidP="00F2765C">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2021. gada </w:t>
      </w:r>
      <w:r w:rsidR="00F40D7B">
        <w:rPr>
          <w:rFonts w:ascii="Times New Roman" w:hAnsi="Times New Roman" w:cs="Times New Roman"/>
          <w:bCs/>
          <w:sz w:val="24"/>
          <w:szCs w:val="24"/>
        </w:rPr>
        <w:t>jūlijā, augusta sākumā</w:t>
      </w:r>
      <w:r w:rsidR="004526C4" w:rsidRPr="00864803">
        <w:rPr>
          <w:rFonts w:ascii="Times New Roman" w:hAnsi="Times New Roman" w:cs="Times New Roman"/>
          <w:bCs/>
          <w:sz w:val="24"/>
          <w:szCs w:val="24"/>
        </w:rPr>
        <w:t xml:space="preserve"> vidēji </w:t>
      </w:r>
      <w:r>
        <w:rPr>
          <w:rFonts w:ascii="Times New Roman" w:hAnsi="Times New Roman" w:cs="Times New Roman"/>
          <w:bCs/>
          <w:sz w:val="24"/>
          <w:szCs w:val="24"/>
        </w:rPr>
        <w:t xml:space="preserve">tika veikti </w:t>
      </w:r>
      <w:r w:rsidR="004526C4" w:rsidRPr="00864803">
        <w:rPr>
          <w:rFonts w:ascii="Times New Roman" w:hAnsi="Times New Roman" w:cs="Times New Roman"/>
          <w:bCs/>
          <w:sz w:val="24"/>
          <w:szCs w:val="24"/>
        </w:rPr>
        <w:t>7 184 Covid-19 testi dienā</w:t>
      </w:r>
      <w:r w:rsidR="004526C4">
        <w:rPr>
          <w:rStyle w:val="FootnoteReference"/>
          <w:rFonts w:ascii="Times New Roman" w:hAnsi="Times New Roman" w:cs="Times New Roman"/>
          <w:bCs/>
          <w:sz w:val="24"/>
          <w:szCs w:val="24"/>
        </w:rPr>
        <w:footnoteReference w:id="3"/>
      </w:r>
      <w:r>
        <w:rPr>
          <w:rFonts w:ascii="Times New Roman" w:hAnsi="Times New Roman" w:cs="Times New Roman"/>
          <w:bCs/>
          <w:sz w:val="24"/>
          <w:szCs w:val="24"/>
        </w:rPr>
        <w:t xml:space="preserve"> (skat. 1. attēlu)</w:t>
      </w:r>
      <w:r w:rsidR="004526C4" w:rsidRPr="00864803">
        <w:rPr>
          <w:rFonts w:ascii="Times New Roman" w:hAnsi="Times New Roman" w:cs="Times New Roman"/>
          <w:bCs/>
          <w:sz w:val="24"/>
          <w:szCs w:val="24"/>
        </w:rPr>
        <w:t xml:space="preserve">, tai skaitā rutīnas </w:t>
      </w:r>
      <w:proofErr w:type="spellStart"/>
      <w:r w:rsidR="004526C4" w:rsidRPr="00864803">
        <w:rPr>
          <w:rFonts w:ascii="Times New Roman" w:hAnsi="Times New Roman" w:cs="Times New Roman"/>
          <w:bCs/>
          <w:sz w:val="24"/>
          <w:szCs w:val="24"/>
        </w:rPr>
        <w:t>skrīninga</w:t>
      </w:r>
      <w:proofErr w:type="spellEnd"/>
      <w:r w:rsidR="004526C4" w:rsidRPr="00864803">
        <w:rPr>
          <w:rFonts w:ascii="Times New Roman" w:hAnsi="Times New Roman" w:cs="Times New Roman"/>
          <w:bCs/>
          <w:sz w:val="24"/>
          <w:szCs w:val="24"/>
        </w:rPr>
        <w:t xml:space="preserve"> ietvaros</w:t>
      </w:r>
      <w:r w:rsidR="004526C4">
        <w:rPr>
          <w:rFonts w:ascii="Times New Roman" w:hAnsi="Times New Roman" w:cs="Times New Roman"/>
          <w:bCs/>
          <w:sz w:val="24"/>
          <w:szCs w:val="24"/>
        </w:rPr>
        <w:t xml:space="preserve">. </w:t>
      </w:r>
      <w:r w:rsidR="00F40D7B">
        <w:rPr>
          <w:rFonts w:ascii="Times New Roman" w:hAnsi="Times New Roman" w:cs="Times New Roman"/>
          <w:bCs/>
          <w:sz w:val="24"/>
          <w:szCs w:val="24"/>
        </w:rPr>
        <w:t>Ik dienu veikto testu skaits ievērojami mainījās, uzsākot skolēnu testēšanu - n</w:t>
      </w:r>
      <w:r w:rsidR="00F40D7B" w:rsidRPr="00F40D7B">
        <w:rPr>
          <w:rFonts w:ascii="Times New Roman" w:hAnsi="Times New Roman" w:cs="Times New Roman"/>
          <w:bCs/>
          <w:sz w:val="24"/>
          <w:szCs w:val="24"/>
        </w:rPr>
        <w:t xml:space="preserve">o š.g. 24.augusta līdz 5.septembrim kopumā veikti 373 924 Covid-19 testi, t.sk. izglītības iestāžu darbinieku un izglītojamo </w:t>
      </w:r>
      <w:proofErr w:type="spellStart"/>
      <w:r w:rsidR="00F40D7B" w:rsidRPr="00F40D7B">
        <w:rPr>
          <w:rFonts w:ascii="Times New Roman" w:hAnsi="Times New Roman" w:cs="Times New Roman"/>
          <w:bCs/>
          <w:sz w:val="24"/>
          <w:szCs w:val="24"/>
        </w:rPr>
        <w:t>skrīninga</w:t>
      </w:r>
      <w:proofErr w:type="spellEnd"/>
      <w:r w:rsidR="00F40D7B" w:rsidRPr="00F40D7B">
        <w:rPr>
          <w:rFonts w:ascii="Times New Roman" w:hAnsi="Times New Roman" w:cs="Times New Roman"/>
          <w:bCs/>
          <w:sz w:val="24"/>
          <w:szCs w:val="24"/>
        </w:rPr>
        <w:t xml:space="preserve"> ietvaros veikti 272 305 (73%) Covid-19 testi (vidēji dienā 21 100)</w:t>
      </w:r>
      <w:r w:rsidR="00F40D7B">
        <w:rPr>
          <w:rFonts w:ascii="Times New Roman" w:hAnsi="Times New Roman" w:cs="Times New Roman"/>
          <w:bCs/>
          <w:sz w:val="24"/>
          <w:szCs w:val="24"/>
        </w:rPr>
        <w:t>.</w:t>
      </w:r>
    </w:p>
    <w:p w14:paraId="05AC6F2C" w14:textId="28E47BD0" w:rsidR="008119C8" w:rsidRDefault="00F40D7B" w:rsidP="00F2765C">
      <w:pPr>
        <w:spacing w:after="0" w:line="240" w:lineRule="auto"/>
        <w:ind w:firstLine="720"/>
        <w:jc w:val="both"/>
        <w:rPr>
          <w:rFonts w:ascii="Times New Roman" w:hAnsi="Times New Roman" w:cs="Times New Roman"/>
          <w:bCs/>
          <w:sz w:val="24"/>
          <w:szCs w:val="24"/>
        </w:rPr>
      </w:pPr>
      <w:r w:rsidRPr="00F40D7B">
        <w:rPr>
          <w:rFonts w:ascii="Times New Roman" w:hAnsi="Times New Roman" w:cs="Times New Roman"/>
          <w:bCs/>
          <w:noProof/>
          <w:sz w:val="24"/>
          <w:szCs w:val="24"/>
        </w:rPr>
        <w:drawing>
          <wp:anchor distT="0" distB="0" distL="114300" distR="114300" simplePos="0" relativeHeight="251659264" behindDoc="1" locked="0" layoutInCell="1" allowOverlap="1" wp14:anchorId="7F405073" wp14:editId="3C80BED4">
            <wp:simplePos x="0" y="0"/>
            <wp:positionH relativeFrom="column">
              <wp:posOffset>107950</wp:posOffset>
            </wp:positionH>
            <wp:positionV relativeFrom="paragraph">
              <wp:posOffset>217170</wp:posOffset>
            </wp:positionV>
            <wp:extent cx="5731510" cy="2868930"/>
            <wp:effectExtent l="0" t="0" r="2540" b="7620"/>
            <wp:wrapTight wrapText="bothSides">
              <wp:wrapPolygon edited="0">
                <wp:start x="0" y="0"/>
                <wp:lineTo x="0" y="21514"/>
                <wp:lineTo x="21538" y="21514"/>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2868930"/>
                    </a:xfrm>
                    <a:prstGeom prst="rect">
                      <a:avLst/>
                    </a:prstGeom>
                  </pic:spPr>
                </pic:pic>
              </a:graphicData>
            </a:graphic>
          </wp:anchor>
        </w:drawing>
      </w:r>
    </w:p>
    <w:p w14:paraId="21B6E6F0" w14:textId="3023BE62" w:rsidR="00F2765C" w:rsidRPr="000069BA" w:rsidRDefault="008119C8" w:rsidP="008119C8">
      <w:pPr>
        <w:spacing w:after="0" w:line="240" w:lineRule="auto"/>
        <w:ind w:firstLine="720"/>
        <w:jc w:val="center"/>
        <w:rPr>
          <w:rFonts w:ascii="Times New Roman" w:hAnsi="Times New Roman" w:cs="Times New Roman"/>
          <w:i/>
          <w:iCs/>
          <w:sz w:val="24"/>
          <w:szCs w:val="24"/>
        </w:rPr>
      </w:pPr>
      <w:r w:rsidRPr="000069BA">
        <w:rPr>
          <w:rFonts w:ascii="Times New Roman" w:hAnsi="Times New Roman" w:cs="Times New Roman"/>
          <w:i/>
          <w:iCs/>
          <w:sz w:val="24"/>
          <w:szCs w:val="24"/>
        </w:rPr>
        <w:t>1.attēls Personu skaits ar apstiprinātu Covid-19 infekciju un veikto testu skaits</w:t>
      </w:r>
    </w:p>
    <w:p w14:paraId="664B925C" w14:textId="77777777" w:rsidR="000069BA" w:rsidRPr="008119C8" w:rsidRDefault="000069BA" w:rsidP="008119C8">
      <w:pPr>
        <w:spacing w:after="0" w:line="240" w:lineRule="auto"/>
        <w:ind w:firstLine="720"/>
        <w:jc w:val="center"/>
        <w:rPr>
          <w:rFonts w:ascii="Times New Roman" w:hAnsi="Times New Roman" w:cs="Times New Roman"/>
          <w:b/>
          <w:bCs/>
          <w:sz w:val="24"/>
          <w:szCs w:val="24"/>
        </w:rPr>
      </w:pPr>
    </w:p>
    <w:p w14:paraId="549A4854" w14:textId="606E9F58" w:rsidR="00F2765C" w:rsidRPr="00864803" w:rsidRDefault="00F40D7B" w:rsidP="0086480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4526C4">
        <w:rPr>
          <w:rFonts w:ascii="Times New Roman" w:hAnsi="Times New Roman" w:cs="Times New Roman"/>
          <w:sz w:val="24"/>
          <w:szCs w:val="24"/>
        </w:rPr>
        <w:t xml:space="preserve">askaņā ar </w:t>
      </w:r>
      <w:r>
        <w:rPr>
          <w:rFonts w:ascii="Times New Roman" w:hAnsi="Times New Roman" w:cs="Times New Roman"/>
          <w:sz w:val="24"/>
          <w:szCs w:val="24"/>
        </w:rPr>
        <w:t>Nacionālā veselības dienesta (turpmāk – NVD) sniegto informāciju 2021. gada jūlijā</w:t>
      </w:r>
      <w:r w:rsidRPr="004526C4">
        <w:rPr>
          <w:rFonts w:ascii="Times New Roman" w:hAnsi="Times New Roman" w:cs="Times New Roman"/>
          <w:sz w:val="24"/>
          <w:szCs w:val="24"/>
        </w:rPr>
        <w:t>, tika paņemti 245 893 paraugi C</w:t>
      </w:r>
      <w:r>
        <w:rPr>
          <w:rFonts w:ascii="Times New Roman" w:hAnsi="Times New Roman" w:cs="Times New Roman"/>
          <w:sz w:val="24"/>
          <w:szCs w:val="24"/>
        </w:rPr>
        <w:t>ovid-19</w:t>
      </w:r>
      <w:r w:rsidRPr="004526C4">
        <w:rPr>
          <w:rFonts w:ascii="Times New Roman" w:hAnsi="Times New Roman" w:cs="Times New Roman"/>
          <w:sz w:val="24"/>
          <w:szCs w:val="24"/>
        </w:rPr>
        <w:t xml:space="preserve"> testu veikšanai</w:t>
      </w:r>
      <w:r>
        <w:rPr>
          <w:rFonts w:ascii="Times New Roman" w:hAnsi="Times New Roman" w:cs="Times New Roman"/>
          <w:sz w:val="24"/>
          <w:szCs w:val="24"/>
        </w:rPr>
        <w:t xml:space="preserve"> (</w:t>
      </w:r>
      <w:r w:rsidRPr="008119C8">
        <w:rPr>
          <w:rFonts w:ascii="Times New Roman" w:hAnsi="Times New Roman" w:cs="Times New Roman"/>
          <w:sz w:val="24"/>
          <w:szCs w:val="24"/>
        </w:rPr>
        <w:t xml:space="preserve">97% </w:t>
      </w:r>
      <w:r>
        <w:rPr>
          <w:rFonts w:ascii="Times New Roman" w:hAnsi="Times New Roman" w:cs="Times New Roman"/>
          <w:sz w:val="24"/>
          <w:szCs w:val="24"/>
        </w:rPr>
        <w:t>gadījumos testēšana īstenota</w:t>
      </w:r>
      <w:r w:rsidRPr="008119C8">
        <w:rPr>
          <w:rFonts w:ascii="Times New Roman" w:hAnsi="Times New Roman" w:cs="Times New Roman"/>
          <w:sz w:val="24"/>
          <w:szCs w:val="24"/>
        </w:rPr>
        <w:t xml:space="preserve"> par valsts budžeta līdzekļiem</w:t>
      </w:r>
      <w:r>
        <w:rPr>
          <w:rFonts w:ascii="Times New Roman" w:hAnsi="Times New Roman" w:cs="Times New Roman"/>
          <w:sz w:val="24"/>
          <w:szCs w:val="24"/>
        </w:rPr>
        <w:t xml:space="preserve">). Vienlaikus </w:t>
      </w:r>
      <w:r w:rsidRPr="004526C4">
        <w:rPr>
          <w:rFonts w:ascii="Times New Roman" w:hAnsi="Times New Roman" w:cs="Times New Roman"/>
          <w:sz w:val="24"/>
          <w:szCs w:val="24"/>
        </w:rPr>
        <w:t>no 2021. gada janvāra līdz jūlijam</w:t>
      </w:r>
      <w:r>
        <w:rPr>
          <w:rFonts w:ascii="Times New Roman" w:hAnsi="Times New Roman" w:cs="Times New Roman"/>
          <w:sz w:val="24"/>
          <w:szCs w:val="24"/>
        </w:rPr>
        <w:t xml:space="preserve"> v</w:t>
      </w:r>
      <w:r w:rsidRPr="004526C4">
        <w:rPr>
          <w:rFonts w:ascii="Times New Roman" w:hAnsi="Times New Roman" w:cs="Times New Roman"/>
          <w:sz w:val="24"/>
          <w:szCs w:val="24"/>
        </w:rPr>
        <w:t>idēji mēnesī 171 000 paraug</w:t>
      </w:r>
      <w:r>
        <w:rPr>
          <w:rFonts w:ascii="Times New Roman" w:hAnsi="Times New Roman" w:cs="Times New Roman"/>
          <w:sz w:val="24"/>
          <w:szCs w:val="24"/>
        </w:rPr>
        <w:t>i</w:t>
      </w:r>
      <w:r w:rsidRPr="004526C4">
        <w:rPr>
          <w:rFonts w:ascii="Times New Roman" w:hAnsi="Times New Roman" w:cs="Times New Roman"/>
          <w:sz w:val="24"/>
          <w:szCs w:val="24"/>
        </w:rPr>
        <w:t xml:space="preserve"> paņemt</w:t>
      </w:r>
      <w:r>
        <w:rPr>
          <w:rFonts w:ascii="Times New Roman" w:hAnsi="Times New Roman" w:cs="Times New Roman"/>
          <w:sz w:val="24"/>
          <w:szCs w:val="24"/>
        </w:rPr>
        <w:t>i</w:t>
      </w:r>
      <w:r w:rsidRPr="004526C4">
        <w:rPr>
          <w:rFonts w:ascii="Times New Roman" w:hAnsi="Times New Roman" w:cs="Times New Roman"/>
          <w:sz w:val="24"/>
          <w:szCs w:val="24"/>
        </w:rPr>
        <w:t xml:space="preserve"> </w:t>
      </w:r>
      <w:r>
        <w:rPr>
          <w:rFonts w:ascii="Times New Roman" w:hAnsi="Times New Roman" w:cs="Times New Roman"/>
          <w:sz w:val="24"/>
          <w:szCs w:val="24"/>
        </w:rPr>
        <w:t>iedzīvotājiem pēc</w:t>
      </w:r>
      <w:r w:rsidRPr="004526C4">
        <w:rPr>
          <w:rFonts w:ascii="Times New Roman" w:hAnsi="Times New Roman" w:cs="Times New Roman"/>
          <w:sz w:val="24"/>
          <w:szCs w:val="24"/>
        </w:rPr>
        <w:t xml:space="preserve"> epidemioloģiskajām un klīniskajām indikācijām</w:t>
      </w:r>
      <w:r>
        <w:rPr>
          <w:rFonts w:ascii="Times New Roman" w:hAnsi="Times New Roman" w:cs="Times New Roman"/>
          <w:sz w:val="24"/>
          <w:szCs w:val="24"/>
        </w:rPr>
        <w:t>.</w:t>
      </w:r>
    </w:p>
    <w:p w14:paraId="482DF8E9" w14:textId="790C784F" w:rsidR="00302FA1" w:rsidRDefault="00613248" w:rsidP="000575A2">
      <w:pPr>
        <w:pStyle w:val="NormalWeb"/>
        <w:shd w:val="clear" w:color="auto" w:fill="FFFFFF"/>
        <w:spacing w:before="0" w:beforeAutospacing="0" w:after="0" w:afterAutospacing="0"/>
        <w:ind w:firstLine="720"/>
        <w:jc w:val="both"/>
        <w:rPr>
          <w:color w:val="000000"/>
          <w:bdr w:val="none" w:sz="0" w:space="0" w:color="auto" w:frame="1"/>
        </w:rPr>
      </w:pPr>
      <w:r w:rsidRPr="00733C59">
        <w:rPr>
          <w:color w:val="000000"/>
          <w:u w:val="single"/>
          <w:bdr w:val="none" w:sz="0" w:space="0" w:color="auto" w:frame="1"/>
        </w:rPr>
        <w:t>Tomēr</w:t>
      </w:r>
      <w:r w:rsidR="00302FA1">
        <w:rPr>
          <w:color w:val="000000"/>
          <w:u w:val="single"/>
          <w:bdr w:val="none" w:sz="0" w:space="0" w:color="auto" w:frame="1"/>
        </w:rPr>
        <w:t xml:space="preserve"> </w:t>
      </w:r>
      <w:r w:rsidRPr="00733C59">
        <w:rPr>
          <w:color w:val="000000"/>
          <w:u w:val="single"/>
          <w:bdr w:val="none" w:sz="0" w:space="0" w:color="auto" w:frame="1"/>
        </w:rPr>
        <w:t>t</w:t>
      </w:r>
      <w:r w:rsidR="00E70D29" w:rsidRPr="00733C59">
        <w:rPr>
          <w:color w:val="000000"/>
          <w:u w:val="single"/>
          <w:bdr w:val="none" w:sz="0" w:space="0" w:color="auto" w:frame="1"/>
        </w:rPr>
        <w:t>estēšana nevar aizstāt vakcināciju</w:t>
      </w:r>
      <w:r w:rsidR="00302FA1">
        <w:rPr>
          <w:color w:val="000000"/>
          <w:bdr w:val="none" w:sz="0" w:space="0" w:color="auto" w:frame="1"/>
        </w:rPr>
        <w:t>.</w:t>
      </w:r>
      <w:r w:rsidR="00E70D29" w:rsidRPr="00733C59">
        <w:rPr>
          <w:color w:val="000000"/>
          <w:bdr w:val="none" w:sz="0" w:space="0" w:color="auto" w:frame="1"/>
        </w:rPr>
        <w:t xml:space="preserve"> </w:t>
      </w:r>
      <w:r w:rsidR="00302FA1">
        <w:rPr>
          <w:color w:val="000000"/>
          <w:bdr w:val="none" w:sz="0" w:space="0" w:color="auto" w:frame="1"/>
        </w:rPr>
        <w:t>A</w:t>
      </w:r>
      <w:r w:rsidR="00302FA1" w:rsidRPr="000575A2">
        <w:t>tbilstoši Eiropas slimību profilakses un kontroles centra norādēm (</w:t>
      </w:r>
      <w:proofErr w:type="spellStart"/>
      <w:r w:rsidR="00302FA1" w:rsidRPr="000575A2">
        <w:rPr>
          <w:i/>
          <w:iCs/>
        </w:rPr>
        <w:t>Rapid</w:t>
      </w:r>
      <w:proofErr w:type="spellEnd"/>
      <w:r w:rsidR="00302FA1" w:rsidRPr="000575A2">
        <w:rPr>
          <w:i/>
          <w:iCs/>
        </w:rPr>
        <w:t xml:space="preserve"> risk </w:t>
      </w:r>
      <w:proofErr w:type="spellStart"/>
      <w:r w:rsidR="00302FA1" w:rsidRPr="000575A2">
        <w:rPr>
          <w:i/>
          <w:iCs/>
        </w:rPr>
        <w:t>assessment</w:t>
      </w:r>
      <w:proofErr w:type="spellEnd"/>
      <w:r w:rsidR="00302FA1" w:rsidRPr="000575A2">
        <w:rPr>
          <w:i/>
          <w:iCs/>
        </w:rPr>
        <w:t xml:space="preserve">: </w:t>
      </w:r>
      <w:proofErr w:type="spellStart"/>
      <w:r w:rsidR="00302FA1" w:rsidRPr="000575A2">
        <w:rPr>
          <w:i/>
          <w:iCs/>
        </w:rPr>
        <w:t>Assessing</w:t>
      </w:r>
      <w:proofErr w:type="spellEnd"/>
      <w:r w:rsidR="00302FA1" w:rsidRPr="000575A2">
        <w:rPr>
          <w:i/>
          <w:iCs/>
        </w:rPr>
        <w:t xml:space="preserve"> SARS-CoV-2 </w:t>
      </w:r>
      <w:proofErr w:type="spellStart"/>
      <w:r w:rsidR="00302FA1" w:rsidRPr="000575A2">
        <w:rPr>
          <w:i/>
          <w:iCs/>
        </w:rPr>
        <w:t>circulation</w:t>
      </w:r>
      <w:proofErr w:type="spellEnd"/>
      <w:r w:rsidR="00302FA1" w:rsidRPr="000575A2">
        <w:rPr>
          <w:i/>
          <w:iCs/>
        </w:rPr>
        <w:t xml:space="preserve">, variants </w:t>
      </w:r>
      <w:proofErr w:type="spellStart"/>
      <w:r w:rsidR="00302FA1" w:rsidRPr="000575A2">
        <w:rPr>
          <w:i/>
          <w:iCs/>
        </w:rPr>
        <w:t>of</w:t>
      </w:r>
      <w:proofErr w:type="spellEnd"/>
      <w:r w:rsidR="00302FA1" w:rsidRPr="000575A2">
        <w:rPr>
          <w:i/>
          <w:iCs/>
        </w:rPr>
        <w:t xml:space="preserve"> </w:t>
      </w:r>
      <w:proofErr w:type="spellStart"/>
      <w:r w:rsidR="00302FA1" w:rsidRPr="000575A2">
        <w:rPr>
          <w:i/>
          <w:iCs/>
        </w:rPr>
        <w:t>concern</w:t>
      </w:r>
      <w:proofErr w:type="spellEnd"/>
      <w:r w:rsidR="00302FA1" w:rsidRPr="000575A2">
        <w:rPr>
          <w:i/>
          <w:iCs/>
        </w:rPr>
        <w:t>, non-</w:t>
      </w:r>
      <w:proofErr w:type="spellStart"/>
      <w:r w:rsidR="00302FA1" w:rsidRPr="000575A2">
        <w:rPr>
          <w:i/>
          <w:iCs/>
        </w:rPr>
        <w:t>pharmaceutical</w:t>
      </w:r>
      <w:proofErr w:type="spellEnd"/>
      <w:r w:rsidR="00302FA1" w:rsidRPr="000575A2">
        <w:rPr>
          <w:i/>
          <w:iCs/>
        </w:rPr>
        <w:t xml:space="preserve"> </w:t>
      </w:r>
      <w:proofErr w:type="spellStart"/>
      <w:r w:rsidR="00302FA1" w:rsidRPr="000575A2">
        <w:rPr>
          <w:i/>
          <w:iCs/>
        </w:rPr>
        <w:t>interventions</w:t>
      </w:r>
      <w:proofErr w:type="spellEnd"/>
      <w:r w:rsidR="00302FA1" w:rsidRPr="000575A2">
        <w:rPr>
          <w:i/>
          <w:iCs/>
        </w:rPr>
        <w:t xml:space="preserve"> </w:t>
      </w:r>
      <w:proofErr w:type="spellStart"/>
      <w:r w:rsidR="00302FA1" w:rsidRPr="000575A2">
        <w:rPr>
          <w:i/>
          <w:iCs/>
        </w:rPr>
        <w:t>and</w:t>
      </w:r>
      <w:proofErr w:type="spellEnd"/>
      <w:r w:rsidR="00302FA1" w:rsidRPr="000575A2">
        <w:rPr>
          <w:i/>
          <w:iCs/>
        </w:rPr>
        <w:t xml:space="preserve"> </w:t>
      </w:r>
      <w:proofErr w:type="spellStart"/>
      <w:r w:rsidR="00302FA1" w:rsidRPr="000575A2">
        <w:rPr>
          <w:i/>
          <w:iCs/>
        </w:rPr>
        <w:t>vaccine</w:t>
      </w:r>
      <w:proofErr w:type="spellEnd"/>
      <w:r w:rsidR="00302FA1" w:rsidRPr="000575A2">
        <w:rPr>
          <w:i/>
          <w:iCs/>
        </w:rPr>
        <w:t xml:space="preserve"> </w:t>
      </w:r>
      <w:proofErr w:type="spellStart"/>
      <w:r w:rsidR="00302FA1" w:rsidRPr="000575A2">
        <w:rPr>
          <w:i/>
          <w:iCs/>
        </w:rPr>
        <w:t>rollout</w:t>
      </w:r>
      <w:proofErr w:type="spellEnd"/>
      <w:r w:rsidR="00302FA1" w:rsidRPr="000575A2">
        <w:rPr>
          <w:i/>
          <w:iCs/>
        </w:rPr>
        <w:t xml:space="preserve"> </w:t>
      </w:r>
      <w:proofErr w:type="spellStart"/>
      <w:r w:rsidR="00302FA1" w:rsidRPr="000575A2">
        <w:rPr>
          <w:i/>
          <w:iCs/>
        </w:rPr>
        <w:t>in</w:t>
      </w:r>
      <w:proofErr w:type="spellEnd"/>
      <w:r w:rsidR="00302FA1" w:rsidRPr="000575A2">
        <w:rPr>
          <w:i/>
          <w:iCs/>
        </w:rPr>
        <w:t xml:space="preserve"> </w:t>
      </w:r>
      <w:proofErr w:type="spellStart"/>
      <w:r w:rsidR="00302FA1" w:rsidRPr="000575A2">
        <w:rPr>
          <w:i/>
          <w:iCs/>
        </w:rPr>
        <w:t>the</w:t>
      </w:r>
      <w:proofErr w:type="spellEnd"/>
      <w:r w:rsidR="00302FA1" w:rsidRPr="000575A2">
        <w:rPr>
          <w:i/>
          <w:iCs/>
        </w:rPr>
        <w:t xml:space="preserve"> EU/EEA, 15th </w:t>
      </w:r>
      <w:proofErr w:type="spellStart"/>
      <w:r w:rsidR="00302FA1" w:rsidRPr="000575A2">
        <w:rPr>
          <w:i/>
          <w:iCs/>
        </w:rPr>
        <w:t>update</w:t>
      </w:r>
      <w:proofErr w:type="spellEnd"/>
      <w:r w:rsidR="00302FA1" w:rsidRPr="000575A2">
        <w:t xml:space="preserve">), citu starptautisko veselības institūciju datiem, kā arī balstoties uz vakcīnu klīnisko pētījumu rezultātiem un citiem pētījumiem, pilnībā vakcinētām personām ir būtiski zemāka inficēšanās iespēja. Ja tomēr inficēšanās ir notikusi, smagas Covid-19 slimības attīstības risks ir ļoti zems, </w:t>
      </w:r>
      <w:r w:rsidR="00302FA1" w:rsidRPr="000575A2">
        <w:rPr>
          <w:u w:val="single"/>
        </w:rPr>
        <w:t>kā arī ir būtiski samazināta iespēja inficētajām vakcinētām personām inficēt citas personas</w:t>
      </w:r>
      <w:r w:rsidR="00302FA1" w:rsidRPr="000575A2">
        <w:t>.</w:t>
      </w:r>
      <w:r w:rsidR="00302FA1" w:rsidRPr="000575A2">
        <w:rPr>
          <w:color w:val="000000"/>
          <w:bdr w:val="none" w:sz="0" w:space="0" w:color="auto" w:frame="1"/>
        </w:rPr>
        <w:t xml:space="preserve"> </w:t>
      </w:r>
    </w:p>
    <w:p w14:paraId="1B0A2E80" w14:textId="10BC768D" w:rsidR="00613248" w:rsidRPr="000575A2" w:rsidRDefault="008F05B2" w:rsidP="000575A2">
      <w:pPr>
        <w:pStyle w:val="NormalWeb"/>
        <w:shd w:val="clear" w:color="auto" w:fill="FFFFFF"/>
        <w:spacing w:before="0" w:beforeAutospacing="0" w:after="0" w:afterAutospacing="0"/>
        <w:ind w:firstLine="720"/>
        <w:jc w:val="both"/>
        <w:rPr>
          <w:color w:val="000000"/>
          <w:bdr w:val="none" w:sz="0" w:space="0" w:color="auto" w:frame="1"/>
        </w:rPr>
      </w:pPr>
      <w:r>
        <w:rPr>
          <w:color w:val="000000"/>
          <w:bdr w:val="none" w:sz="0" w:space="0" w:color="auto" w:frame="1"/>
        </w:rPr>
        <w:t>Papildus j</w:t>
      </w:r>
      <w:r w:rsidR="00613248" w:rsidRPr="00613248">
        <w:rPr>
          <w:color w:val="000000"/>
          <w:bdr w:val="none" w:sz="0" w:space="0" w:color="auto" w:frame="1"/>
        </w:rPr>
        <w:t>āņem vērā arī apstāklis, ka testētā persona var atrasties tā saucamajā inkubācijas periodā (kad testa rezultāts vēl ir negatīvs; arī šādi gadījumi ir nereti), kas rada viltus drošības sajūtu attiecīgajai personai</w:t>
      </w:r>
      <w:r>
        <w:rPr>
          <w:color w:val="000000"/>
          <w:bdr w:val="none" w:sz="0" w:space="0" w:color="auto" w:frame="1"/>
        </w:rPr>
        <w:t>,</w:t>
      </w:r>
      <w:r w:rsidR="00613248" w:rsidRPr="00613248">
        <w:rPr>
          <w:color w:val="000000"/>
          <w:bdr w:val="none" w:sz="0" w:space="0" w:color="auto" w:frame="1"/>
        </w:rPr>
        <w:t xml:space="preserve"> sniedzot pakalpojumu/apkalpojot klientu. Rezultātā brīdī, kad testētais cilvēks kļūst infekciozs, viņš jau var būt paspējis inficēt ievērojamu skaitu citu cilvēku. </w:t>
      </w:r>
    </w:p>
    <w:p w14:paraId="6E831777" w14:textId="7A456C25" w:rsidR="006E1EF0" w:rsidRDefault="0030481E" w:rsidP="006A7860">
      <w:pPr>
        <w:pStyle w:val="NormalWeb"/>
        <w:shd w:val="clear" w:color="auto" w:fill="FFFFFF"/>
        <w:spacing w:before="0" w:beforeAutospacing="0" w:after="0" w:afterAutospacing="0"/>
        <w:ind w:firstLine="720"/>
        <w:jc w:val="both"/>
        <w:rPr>
          <w:color w:val="000000"/>
          <w:bdr w:val="none" w:sz="0" w:space="0" w:color="auto" w:frame="1"/>
        </w:rPr>
      </w:pPr>
      <w:r w:rsidRPr="0030481E">
        <w:rPr>
          <w:noProof/>
          <w:color w:val="000000"/>
          <w:bdr w:val="none" w:sz="0" w:space="0" w:color="auto" w:frame="1"/>
        </w:rPr>
        <w:lastRenderedPageBreak/>
        <w:drawing>
          <wp:anchor distT="0" distB="0" distL="114300" distR="114300" simplePos="0" relativeHeight="251660288" behindDoc="0" locked="0" layoutInCell="1" allowOverlap="1" wp14:anchorId="36C0DD36" wp14:editId="02A6B529">
            <wp:simplePos x="0" y="0"/>
            <wp:positionH relativeFrom="column">
              <wp:posOffset>209550</wp:posOffset>
            </wp:positionH>
            <wp:positionV relativeFrom="paragraph">
              <wp:posOffset>820420</wp:posOffset>
            </wp:positionV>
            <wp:extent cx="5731510" cy="2846705"/>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2846705"/>
                    </a:xfrm>
                    <a:prstGeom prst="rect">
                      <a:avLst/>
                    </a:prstGeom>
                  </pic:spPr>
                </pic:pic>
              </a:graphicData>
            </a:graphic>
          </wp:anchor>
        </w:drawing>
      </w:r>
      <w:r w:rsidR="006E1EF0">
        <w:rPr>
          <w:color w:val="000000"/>
          <w:bdr w:val="none" w:sz="0" w:space="0" w:color="auto" w:frame="1"/>
        </w:rPr>
        <w:t>Arī Latvijā pieejamie statistikas dati pierāda, ka</w:t>
      </w:r>
      <w:r>
        <w:rPr>
          <w:color w:val="000000"/>
          <w:bdr w:val="none" w:sz="0" w:space="0" w:color="auto" w:frame="1"/>
        </w:rPr>
        <w:t>, rēķinot uz 100 000 iedz.,</w:t>
      </w:r>
      <w:r w:rsidR="006E1EF0">
        <w:rPr>
          <w:color w:val="000000"/>
          <w:bdr w:val="none" w:sz="0" w:space="0" w:color="auto" w:frame="1"/>
        </w:rPr>
        <w:t xml:space="preserve"> Covid-19 </w:t>
      </w:r>
      <w:r>
        <w:rPr>
          <w:color w:val="000000"/>
          <w:bdr w:val="none" w:sz="0" w:space="0" w:color="auto" w:frame="1"/>
        </w:rPr>
        <w:t xml:space="preserve">2,9 reizes biežāk </w:t>
      </w:r>
      <w:r w:rsidR="006E1EF0">
        <w:rPr>
          <w:color w:val="000000"/>
          <w:bdr w:val="none" w:sz="0" w:space="0" w:color="auto" w:frame="1"/>
        </w:rPr>
        <w:t>tiek konstatēts pret Covid-19 nevakcinēto personu vidū (skat. 2. attēls)</w:t>
      </w:r>
      <w:r>
        <w:rPr>
          <w:color w:val="000000"/>
          <w:bdr w:val="none" w:sz="0" w:space="0" w:color="auto" w:frame="1"/>
        </w:rPr>
        <w:t>. Arī</w:t>
      </w:r>
      <w:r w:rsidR="006A7860">
        <w:rPr>
          <w:color w:val="000000"/>
          <w:bdr w:val="none" w:sz="0" w:space="0" w:color="auto" w:frame="1"/>
        </w:rPr>
        <w:t xml:space="preserve"> nāves gadījum</w:t>
      </w:r>
      <w:r>
        <w:rPr>
          <w:color w:val="000000"/>
          <w:bdr w:val="none" w:sz="0" w:space="0" w:color="auto" w:frame="1"/>
        </w:rPr>
        <w:t xml:space="preserve">i </w:t>
      </w:r>
      <w:r w:rsidR="006A7860">
        <w:rPr>
          <w:color w:val="000000"/>
          <w:bdr w:val="none" w:sz="0" w:space="0" w:color="auto" w:frame="1"/>
        </w:rPr>
        <w:t xml:space="preserve">ar Covid-19 pret minēto infekciju vakcinēto vidū </w:t>
      </w:r>
      <w:r>
        <w:rPr>
          <w:color w:val="000000"/>
          <w:bdr w:val="none" w:sz="0" w:space="0" w:color="auto" w:frame="1"/>
        </w:rPr>
        <w:t>ir sastopami ievērojami retāk (skat. 3.att.)</w:t>
      </w:r>
      <w:r w:rsidR="006A7860">
        <w:rPr>
          <w:color w:val="000000"/>
          <w:bdr w:val="none" w:sz="0" w:space="0" w:color="auto" w:frame="1"/>
        </w:rPr>
        <w:t>.</w:t>
      </w:r>
    </w:p>
    <w:p w14:paraId="3EF1C1C4" w14:textId="5A293790" w:rsidR="0030481E" w:rsidRPr="000575A2" w:rsidRDefault="0030481E" w:rsidP="0030481E">
      <w:pPr>
        <w:pStyle w:val="NormalWeb"/>
        <w:shd w:val="clear" w:color="auto" w:fill="FFFFFF"/>
        <w:spacing w:before="0" w:beforeAutospacing="0" w:after="0" w:afterAutospacing="0"/>
        <w:ind w:firstLine="720"/>
        <w:jc w:val="center"/>
        <w:rPr>
          <w:color w:val="000000"/>
          <w:bdr w:val="none" w:sz="0" w:space="0" w:color="auto" w:frame="1"/>
        </w:rPr>
      </w:pPr>
    </w:p>
    <w:p w14:paraId="2143C176" w14:textId="18CA3D31" w:rsidR="006E1EF0" w:rsidRPr="000069BA" w:rsidRDefault="0030481E" w:rsidP="006A7860">
      <w:pPr>
        <w:pStyle w:val="NormalWeb"/>
        <w:shd w:val="clear" w:color="auto" w:fill="FFFFFF"/>
        <w:spacing w:before="0" w:beforeAutospacing="0" w:after="0" w:afterAutospacing="0"/>
        <w:ind w:firstLine="720"/>
        <w:jc w:val="center"/>
        <w:rPr>
          <w:i/>
          <w:iCs/>
          <w:color w:val="000000"/>
          <w:bdr w:val="none" w:sz="0" w:space="0" w:color="auto" w:frame="1"/>
        </w:rPr>
      </w:pPr>
      <w:r w:rsidRPr="000069BA">
        <w:rPr>
          <w:i/>
          <w:iCs/>
          <w:noProof/>
          <w:color w:val="000000"/>
          <w:bdr w:val="none" w:sz="0" w:space="0" w:color="auto" w:frame="1"/>
        </w:rPr>
        <w:drawing>
          <wp:anchor distT="0" distB="0" distL="114300" distR="114300" simplePos="0" relativeHeight="251661312" behindDoc="0" locked="0" layoutInCell="1" allowOverlap="1" wp14:anchorId="55D3E14B" wp14:editId="2F8E5F5D">
            <wp:simplePos x="0" y="0"/>
            <wp:positionH relativeFrom="column">
              <wp:posOffset>158750</wp:posOffset>
            </wp:positionH>
            <wp:positionV relativeFrom="paragraph">
              <wp:posOffset>476885</wp:posOffset>
            </wp:positionV>
            <wp:extent cx="5731510" cy="2865755"/>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anchor>
        </w:drawing>
      </w:r>
      <w:r w:rsidR="006A7860" w:rsidRPr="000069BA">
        <w:rPr>
          <w:i/>
          <w:iCs/>
          <w:color w:val="000000"/>
          <w:bdr w:val="none" w:sz="0" w:space="0" w:color="auto" w:frame="1"/>
        </w:rPr>
        <w:t>2.attēls Covid-19 gadījumu sastopamības biežums pret Covid-19 nevakcinēto un vakcinēto personu vidū</w:t>
      </w:r>
    </w:p>
    <w:p w14:paraId="5F303EBA" w14:textId="68306CFF" w:rsidR="0030481E" w:rsidRPr="000069BA" w:rsidRDefault="0030481E" w:rsidP="006A7860">
      <w:pPr>
        <w:pStyle w:val="NormalWeb"/>
        <w:shd w:val="clear" w:color="auto" w:fill="FFFFFF"/>
        <w:spacing w:before="0" w:beforeAutospacing="0" w:after="0" w:afterAutospacing="0"/>
        <w:ind w:firstLine="720"/>
        <w:jc w:val="center"/>
        <w:rPr>
          <w:i/>
          <w:iCs/>
          <w:color w:val="000000"/>
          <w:bdr w:val="none" w:sz="0" w:space="0" w:color="auto" w:frame="1"/>
        </w:rPr>
      </w:pPr>
      <w:r w:rsidRPr="000069BA">
        <w:rPr>
          <w:i/>
          <w:iCs/>
          <w:color w:val="000000"/>
          <w:bdr w:val="none" w:sz="0" w:space="0" w:color="auto" w:frame="1"/>
        </w:rPr>
        <w:t>3.attēls Ar Covid-19 saistīto nāves gadījumu skaits, salīdzinot pret Covid-19 nevakcinētās un vakcinētās personas</w:t>
      </w:r>
    </w:p>
    <w:p w14:paraId="58F2FA9F" w14:textId="77777777" w:rsidR="006A7860" w:rsidRDefault="006A7860" w:rsidP="000575A2">
      <w:pPr>
        <w:pStyle w:val="NormalWeb"/>
        <w:shd w:val="clear" w:color="auto" w:fill="FFFFFF"/>
        <w:spacing w:before="0" w:beforeAutospacing="0" w:after="0" w:afterAutospacing="0"/>
        <w:ind w:firstLine="720"/>
        <w:jc w:val="both"/>
        <w:rPr>
          <w:color w:val="000000"/>
          <w:bdr w:val="none" w:sz="0" w:space="0" w:color="auto" w:frame="1"/>
        </w:rPr>
      </w:pPr>
    </w:p>
    <w:p w14:paraId="3F3A7D8C" w14:textId="15B341E9" w:rsidR="005F762B" w:rsidRPr="00864803" w:rsidRDefault="005F762B" w:rsidP="005F762B">
      <w:pPr>
        <w:spacing w:after="0" w:line="240" w:lineRule="auto"/>
        <w:ind w:firstLine="720"/>
        <w:jc w:val="both"/>
        <w:rPr>
          <w:rFonts w:ascii="Times New Roman" w:hAnsi="Times New Roman" w:cs="Times New Roman"/>
          <w:sz w:val="24"/>
          <w:szCs w:val="24"/>
        </w:rPr>
      </w:pPr>
      <w:r w:rsidRPr="00373C31">
        <w:rPr>
          <w:rFonts w:ascii="Times New Roman" w:hAnsi="Times New Roman" w:cs="Times New Roman"/>
          <w:sz w:val="24"/>
          <w:szCs w:val="24"/>
        </w:rPr>
        <w:t>Vienlaikus skatāms arī finan</w:t>
      </w:r>
      <w:r>
        <w:rPr>
          <w:rFonts w:ascii="Times New Roman" w:hAnsi="Times New Roman" w:cs="Times New Roman"/>
          <w:sz w:val="24"/>
          <w:szCs w:val="24"/>
        </w:rPr>
        <w:t>s</w:t>
      </w:r>
      <w:r w:rsidRPr="00373C31">
        <w:rPr>
          <w:rFonts w:ascii="Times New Roman" w:hAnsi="Times New Roman" w:cs="Times New Roman"/>
          <w:sz w:val="24"/>
          <w:szCs w:val="24"/>
        </w:rPr>
        <w:t>iālais jautājums. Viena pacienta vakcinēšana pret Covid-19 vidēji izmaksā</w:t>
      </w:r>
      <w:r>
        <w:rPr>
          <w:rFonts w:ascii="Times New Roman" w:hAnsi="Times New Roman" w:cs="Times New Roman"/>
          <w:sz w:val="24"/>
          <w:szCs w:val="24"/>
        </w:rPr>
        <w:t xml:space="preserve"> </w:t>
      </w:r>
      <w:r w:rsidRPr="00373C31">
        <w:rPr>
          <w:rFonts w:ascii="Times New Roman" w:hAnsi="Times New Roman" w:cs="Times New Roman"/>
          <w:sz w:val="24"/>
          <w:szCs w:val="24"/>
        </w:rPr>
        <w:t xml:space="preserve">27.31 </w:t>
      </w:r>
      <w:proofErr w:type="spellStart"/>
      <w:r w:rsidR="00506D50">
        <w:rPr>
          <w:rFonts w:ascii="Times New Roman" w:hAnsi="Times New Roman" w:cs="Times New Roman"/>
          <w:sz w:val="24"/>
          <w:szCs w:val="24"/>
        </w:rPr>
        <w:t>euro</w:t>
      </w:r>
      <w:proofErr w:type="spellEnd"/>
      <w:r>
        <w:rPr>
          <w:rFonts w:ascii="Times New Roman" w:hAnsi="Times New Roman" w:cs="Times New Roman"/>
          <w:sz w:val="24"/>
          <w:szCs w:val="24"/>
        </w:rPr>
        <w:t xml:space="preserve"> no valsts budžeta līdzekļiem</w:t>
      </w:r>
      <w:r w:rsidRPr="00373C31">
        <w:rPr>
          <w:rFonts w:ascii="Times New Roman" w:hAnsi="Times New Roman" w:cs="Times New Roman"/>
          <w:sz w:val="24"/>
          <w:szCs w:val="24"/>
        </w:rPr>
        <w:t>.</w:t>
      </w:r>
      <w:r>
        <w:rPr>
          <w:rFonts w:ascii="Times New Roman" w:hAnsi="Times New Roman" w:cs="Times New Roman"/>
          <w:sz w:val="24"/>
          <w:szCs w:val="24"/>
        </w:rPr>
        <w:t xml:space="preserve"> Savukārt testēšanas izmaksas atšķiras atkarībā no pielietotā testa veida - </w:t>
      </w:r>
      <w:r w:rsidRPr="00373C31">
        <w:rPr>
          <w:rFonts w:ascii="Times New Roman" w:hAnsi="Times New Roman" w:cs="Times New Roman"/>
          <w:sz w:val="24"/>
          <w:szCs w:val="24"/>
        </w:rPr>
        <w:t>PĶR RL test</w:t>
      </w:r>
      <w:r>
        <w:rPr>
          <w:rFonts w:ascii="Times New Roman" w:hAnsi="Times New Roman" w:cs="Times New Roman"/>
          <w:sz w:val="24"/>
          <w:szCs w:val="24"/>
        </w:rPr>
        <w:t>s</w:t>
      </w:r>
      <w:r w:rsidRPr="00373C31">
        <w:rPr>
          <w:rFonts w:ascii="Times New Roman" w:hAnsi="Times New Roman" w:cs="Times New Roman"/>
          <w:sz w:val="24"/>
          <w:szCs w:val="24"/>
        </w:rPr>
        <w:t xml:space="preserve"> -  26.68 </w:t>
      </w:r>
      <w:proofErr w:type="spellStart"/>
      <w:r w:rsidR="00506D50">
        <w:rPr>
          <w:rFonts w:ascii="Times New Roman" w:hAnsi="Times New Roman" w:cs="Times New Roman"/>
          <w:sz w:val="24"/>
          <w:szCs w:val="24"/>
        </w:rPr>
        <w:t>euro</w:t>
      </w:r>
      <w:proofErr w:type="spellEnd"/>
      <w:r w:rsidRPr="00373C31">
        <w:rPr>
          <w:rFonts w:ascii="Times New Roman" w:hAnsi="Times New Roman" w:cs="Times New Roman"/>
          <w:sz w:val="24"/>
          <w:szCs w:val="24"/>
        </w:rPr>
        <w:t xml:space="preserve">, ātrais PĶR RL tests -  48.20 </w:t>
      </w:r>
      <w:proofErr w:type="spellStart"/>
      <w:r w:rsidR="00506D50">
        <w:rPr>
          <w:rFonts w:ascii="Times New Roman" w:hAnsi="Times New Roman" w:cs="Times New Roman"/>
          <w:sz w:val="24"/>
          <w:szCs w:val="24"/>
        </w:rPr>
        <w:t>euro</w:t>
      </w:r>
      <w:proofErr w:type="spellEnd"/>
      <w:r w:rsidRPr="00373C31">
        <w:rPr>
          <w:rFonts w:ascii="Times New Roman" w:hAnsi="Times New Roman" w:cs="Times New Roman"/>
          <w:sz w:val="24"/>
          <w:szCs w:val="24"/>
        </w:rPr>
        <w:t xml:space="preserve">, testēšana ar </w:t>
      </w:r>
      <w:r>
        <w:rPr>
          <w:rFonts w:ascii="Times New Roman" w:hAnsi="Times New Roman" w:cs="Times New Roman"/>
          <w:sz w:val="24"/>
          <w:szCs w:val="24"/>
        </w:rPr>
        <w:t>“</w:t>
      </w:r>
      <w:proofErr w:type="spellStart"/>
      <w:r w:rsidRPr="002C5486">
        <w:rPr>
          <w:rFonts w:ascii="Times New Roman" w:hAnsi="Times New Roman" w:cs="Times New Roman"/>
          <w:i/>
          <w:iCs/>
          <w:sz w:val="24"/>
          <w:szCs w:val="24"/>
        </w:rPr>
        <w:t>pooling</w:t>
      </w:r>
      <w:proofErr w:type="spellEnd"/>
      <w:r>
        <w:rPr>
          <w:rFonts w:ascii="Times New Roman" w:hAnsi="Times New Roman" w:cs="Times New Roman"/>
          <w:sz w:val="24"/>
          <w:szCs w:val="24"/>
        </w:rPr>
        <w:t>”</w:t>
      </w:r>
      <w:r w:rsidRPr="00373C31">
        <w:rPr>
          <w:rFonts w:ascii="Times New Roman" w:hAnsi="Times New Roman" w:cs="Times New Roman"/>
          <w:sz w:val="24"/>
          <w:szCs w:val="24"/>
        </w:rPr>
        <w:t xml:space="preserve"> metodi 10 paraugiem -  7.42</w:t>
      </w:r>
      <w:r w:rsidR="00506D50">
        <w:rPr>
          <w:rFonts w:ascii="Times New Roman" w:hAnsi="Times New Roman" w:cs="Times New Roman"/>
          <w:sz w:val="24"/>
          <w:szCs w:val="24"/>
        </w:rPr>
        <w:t xml:space="preserve"> </w:t>
      </w:r>
      <w:proofErr w:type="spellStart"/>
      <w:r w:rsidR="00506D50">
        <w:rPr>
          <w:rFonts w:ascii="Times New Roman" w:hAnsi="Times New Roman" w:cs="Times New Roman"/>
          <w:sz w:val="24"/>
          <w:szCs w:val="24"/>
        </w:rPr>
        <w:t>euro</w:t>
      </w:r>
      <w:proofErr w:type="spellEnd"/>
      <w:r w:rsidR="00506D50">
        <w:rPr>
          <w:rFonts w:ascii="Times New Roman" w:hAnsi="Times New Roman" w:cs="Times New Roman"/>
          <w:sz w:val="24"/>
          <w:szCs w:val="24"/>
        </w:rPr>
        <w:t xml:space="preserve"> katram paraugam</w:t>
      </w:r>
      <w:r w:rsidRPr="00373C31">
        <w:rPr>
          <w:rFonts w:ascii="Times New Roman" w:hAnsi="Times New Roman" w:cs="Times New Roman"/>
          <w:sz w:val="24"/>
          <w:szCs w:val="24"/>
        </w:rPr>
        <w:t xml:space="preserve"> (</w:t>
      </w:r>
      <w:r w:rsidR="00933446">
        <w:rPr>
          <w:rFonts w:ascii="Times New Roman" w:hAnsi="Times New Roman" w:cs="Times New Roman"/>
          <w:sz w:val="24"/>
          <w:szCs w:val="24"/>
        </w:rPr>
        <w:t xml:space="preserve">plus </w:t>
      </w:r>
      <w:r w:rsidRPr="00373C31">
        <w:rPr>
          <w:rFonts w:ascii="Times New Roman" w:hAnsi="Times New Roman" w:cs="Times New Roman"/>
          <w:sz w:val="24"/>
          <w:szCs w:val="24"/>
        </w:rPr>
        <w:t>papildus nepieciešams siekalu parauga komplekts</w:t>
      </w:r>
      <w:r w:rsidR="00933446">
        <w:rPr>
          <w:rFonts w:ascii="Times New Roman" w:hAnsi="Times New Roman" w:cs="Times New Roman"/>
          <w:sz w:val="24"/>
          <w:szCs w:val="24"/>
        </w:rPr>
        <w:t xml:space="preserve"> un tā izmaksas</w:t>
      </w:r>
      <w:r w:rsidRPr="00373C31">
        <w:rPr>
          <w:rFonts w:ascii="Times New Roman" w:hAnsi="Times New Roman" w:cs="Times New Roman"/>
          <w:sz w:val="24"/>
          <w:szCs w:val="24"/>
        </w:rPr>
        <w:t> </w:t>
      </w:r>
      <w:r w:rsidR="00933446">
        <w:rPr>
          <w:rFonts w:ascii="Times New Roman" w:hAnsi="Times New Roman" w:cs="Times New Roman"/>
          <w:sz w:val="24"/>
          <w:szCs w:val="24"/>
        </w:rPr>
        <w:t xml:space="preserve">ir </w:t>
      </w:r>
      <w:r w:rsidRPr="00373C31">
        <w:rPr>
          <w:rFonts w:ascii="Times New Roman" w:hAnsi="Times New Roman" w:cs="Times New Roman"/>
          <w:sz w:val="24"/>
          <w:szCs w:val="24"/>
        </w:rPr>
        <w:t xml:space="preserve">3.36 </w:t>
      </w:r>
      <w:proofErr w:type="spellStart"/>
      <w:r w:rsidR="00506D50">
        <w:rPr>
          <w:rFonts w:ascii="Times New Roman" w:hAnsi="Times New Roman" w:cs="Times New Roman"/>
          <w:sz w:val="24"/>
          <w:szCs w:val="24"/>
        </w:rPr>
        <w:t>euro</w:t>
      </w:r>
      <w:proofErr w:type="spellEnd"/>
      <w:r w:rsidRPr="00373C31">
        <w:rPr>
          <w:rFonts w:ascii="Times New Roman" w:hAnsi="Times New Roman" w:cs="Times New Roman"/>
          <w:sz w:val="24"/>
          <w:szCs w:val="24"/>
        </w:rPr>
        <w:t xml:space="preserve"> katram pacientam</w:t>
      </w:r>
      <w:r>
        <w:rPr>
          <w:rFonts w:ascii="Times New Roman" w:hAnsi="Times New Roman" w:cs="Times New Roman"/>
          <w:sz w:val="24"/>
          <w:szCs w:val="24"/>
        </w:rPr>
        <w:t>)</w:t>
      </w:r>
      <w:r w:rsidRPr="00373C31">
        <w:rPr>
          <w:rFonts w:ascii="Times New Roman" w:hAnsi="Times New Roman" w:cs="Times New Roman"/>
          <w:sz w:val="24"/>
          <w:szCs w:val="24"/>
        </w:rPr>
        <w:t xml:space="preserve">, bet antigēna </w:t>
      </w:r>
      <w:proofErr w:type="spellStart"/>
      <w:r w:rsidRPr="00373C31">
        <w:rPr>
          <w:rFonts w:ascii="Times New Roman" w:hAnsi="Times New Roman" w:cs="Times New Roman"/>
          <w:sz w:val="24"/>
          <w:szCs w:val="24"/>
        </w:rPr>
        <w:t>eksprestests</w:t>
      </w:r>
      <w:proofErr w:type="spellEnd"/>
      <w:r w:rsidRPr="00373C31">
        <w:rPr>
          <w:rFonts w:ascii="Times New Roman" w:hAnsi="Times New Roman" w:cs="Times New Roman"/>
          <w:sz w:val="24"/>
          <w:szCs w:val="24"/>
        </w:rPr>
        <w:t xml:space="preserve"> -  9.36 </w:t>
      </w:r>
      <w:proofErr w:type="spellStart"/>
      <w:r w:rsidRPr="00373C31">
        <w:rPr>
          <w:rFonts w:ascii="Times New Roman" w:hAnsi="Times New Roman" w:cs="Times New Roman"/>
          <w:sz w:val="24"/>
          <w:szCs w:val="24"/>
        </w:rPr>
        <w:t>euro</w:t>
      </w:r>
      <w:proofErr w:type="spellEnd"/>
      <w:r w:rsidRPr="00373C31">
        <w:rPr>
          <w:rFonts w:ascii="Times New Roman" w:hAnsi="Times New Roman" w:cs="Times New Roman"/>
          <w:sz w:val="24"/>
          <w:szCs w:val="24"/>
        </w:rPr>
        <w:t>.</w:t>
      </w:r>
      <w:r>
        <w:rPr>
          <w:rFonts w:ascii="Times New Roman" w:hAnsi="Times New Roman" w:cs="Times New Roman"/>
          <w:sz w:val="24"/>
          <w:szCs w:val="24"/>
        </w:rPr>
        <w:t xml:space="preserve"> Papildus atzīmējams, ka iedzīvotāju </w:t>
      </w:r>
      <w:r>
        <w:rPr>
          <w:rFonts w:ascii="Times New Roman" w:hAnsi="Times New Roman" w:cs="Times New Roman"/>
          <w:sz w:val="24"/>
          <w:szCs w:val="24"/>
        </w:rPr>
        <w:lastRenderedPageBreak/>
        <w:t xml:space="preserve">testēšana rutīnas </w:t>
      </w:r>
      <w:proofErr w:type="spellStart"/>
      <w:r>
        <w:rPr>
          <w:rFonts w:ascii="Times New Roman" w:hAnsi="Times New Roman" w:cs="Times New Roman"/>
          <w:sz w:val="24"/>
          <w:szCs w:val="24"/>
        </w:rPr>
        <w:t>skrīninga</w:t>
      </w:r>
      <w:proofErr w:type="spellEnd"/>
      <w:r>
        <w:rPr>
          <w:rFonts w:ascii="Times New Roman" w:hAnsi="Times New Roman" w:cs="Times New Roman"/>
          <w:sz w:val="24"/>
          <w:szCs w:val="24"/>
        </w:rPr>
        <w:t xml:space="preserve"> ietvaros veicama regulāri – augsta riska gadījumā pat divas reizes nedēļā, izmantojot antigēna </w:t>
      </w:r>
      <w:proofErr w:type="spellStart"/>
      <w:r>
        <w:rPr>
          <w:rFonts w:ascii="Times New Roman" w:hAnsi="Times New Roman" w:cs="Times New Roman"/>
          <w:sz w:val="24"/>
          <w:szCs w:val="24"/>
        </w:rPr>
        <w:t>eksprestestu</w:t>
      </w:r>
      <w:proofErr w:type="spellEnd"/>
      <w:r>
        <w:rPr>
          <w:rFonts w:ascii="Times New Roman" w:hAnsi="Times New Roman" w:cs="Times New Roman"/>
          <w:sz w:val="24"/>
          <w:szCs w:val="24"/>
        </w:rPr>
        <w:t>, tādējādi viena iedzīvotāja vakcinācija salīdzinoši ar testēšanu salīdzinoši īsā laika posmā ir finansiāli izdevīgāka.</w:t>
      </w:r>
      <w:r w:rsidR="003D0A4B">
        <w:rPr>
          <w:rFonts w:ascii="Times New Roman" w:hAnsi="Times New Roman" w:cs="Times New Roman"/>
          <w:sz w:val="24"/>
          <w:szCs w:val="24"/>
        </w:rPr>
        <w:t xml:space="preserve"> Piemēram, vienas personas testēšana, izmantojot “</w:t>
      </w:r>
      <w:proofErr w:type="spellStart"/>
      <w:r w:rsidR="003D0A4B" w:rsidRPr="002C5486">
        <w:rPr>
          <w:rFonts w:ascii="Times New Roman" w:hAnsi="Times New Roman" w:cs="Times New Roman"/>
          <w:i/>
          <w:iCs/>
          <w:sz w:val="24"/>
          <w:szCs w:val="24"/>
        </w:rPr>
        <w:t>pooling</w:t>
      </w:r>
      <w:proofErr w:type="spellEnd"/>
      <w:r w:rsidR="003D0A4B">
        <w:rPr>
          <w:rFonts w:ascii="Times New Roman" w:hAnsi="Times New Roman" w:cs="Times New Roman"/>
          <w:i/>
          <w:iCs/>
          <w:sz w:val="24"/>
          <w:szCs w:val="24"/>
        </w:rPr>
        <w:t xml:space="preserve">” </w:t>
      </w:r>
      <w:r w:rsidR="003D0A4B" w:rsidRPr="003D0A4B">
        <w:rPr>
          <w:rFonts w:ascii="Times New Roman" w:hAnsi="Times New Roman" w:cs="Times New Roman"/>
          <w:sz w:val="24"/>
          <w:szCs w:val="24"/>
        </w:rPr>
        <w:t>metodi</w:t>
      </w:r>
      <w:r w:rsidR="003D0A4B">
        <w:rPr>
          <w:rFonts w:ascii="Times New Roman" w:hAnsi="Times New Roman" w:cs="Times New Roman"/>
          <w:sz w:val="24"/>
          <w:szCs w:val="24"/>
        </w:rPr>
        <w:t xml:space="preserve">, sešiem </w:t>
      </w:r>
      <w:r w:rsidR="003D0A4B" w:rsidRPr="003D0A4B">
        <w:rPr>
          <w:rFonts w:ascii="Times New Roman" w:hAnsi="Times New Roman" w:cs="Times New Roman"/>
          <w:sz w:val="24"/>
          <w:szCs w:val="24"/>
        </w:rPr>
        <w:t>mēne</w:t>
      </w:r>
      <w:r w:rsidR="003D0A4B">
        <w:rPr>
          <w:rFonts w:ascii="Times New Roman" w:hAnsi="Times New Roman" w:cs="Times New Roman"/>
          <w:sz w:val="24"/>
          <w:szCs w:val="24"/>
        </w:rPr>
        <w:t>šiem</w:t>
      </w:r>
      <w:r w:rsidR="003D0A4B" w:rsidRPr="003D0A4B">
        <w:rPr>
          <w:rFonts w:ascii="Times New Roman" w:hAnsi="Times New Roman" w:cs="Times New Roman"/>
          <w:sz w:val="24"/>
          <w:szCs w:val="24"/>
        </w:rPr>
        <w:t xml:space="preserve">, testējot reizi nedēļā, izmaksā </w:t>
      </w:r>
      <w:r w:rsidR="003D0A4B">
        <w:rPr>
          <w:rFonts w:ascii="Times New Roman" w:hAnsi="Times New Roman" w:cs="Times New Roman"/>
          <w:sz w:val="24"/>
          <w:szCs w:val="24"/>
        </w:rPr>
        <w:t>258.72</w:t>
      </w:r>
      <w:r w:rsidR="003D0A4B" w:rsidRPr="003D0A4B">
        <w:rPr>
          <w:rFonts w:ascii="Times New Roman" w:hAnsi="Times New Roman" w:cs="Times New Roman"/>
          <w:sz w:val="24"/>
          <w:szCs w:val="24"/>
        </w:rPr>
        <w:t xml:space="preserve"> </w:t>
      </w:r>
      <w:proofErr w:type="spellStart"/>
      <w:r w:rsidR="003D0A4B" w:rsidRPr="003D0A4B">
        <w:rPr>
          <w:rFonts w:ascii="Times New Roman" w:hAnsi="Times New Roman" w:cs="Times New Roman"/>
          <w:sz w:val="24"/>
          <w:szCs w:val="24"/>
        </w:rPr>
        <w:t>euro</w:t>
      </w:r>
      <w:proofErr w:type="spellEnd"/>
      <w:r w:rsidR="003D0A4B" w:rsidRPr="003D0A4B">
        <w:rPr>
          <w:rFonts w:ascii="Times New Roman" w:hAnsi="Times New Roman" w:cs="Times New Roman"/>
          <w:sz w:val="24"/>
          <w:szCs w:val="24"/>
        </w:rPr>
        <w:t>,</w:t>
      </w:r>
      <w:r w:rsidR="003D0A4B">
        <w:rPr>
          <w:rFonts w:ascii="Times New Roman" w:hAnsi="Times New Roman" w:cs="Times New Roman"/>
          <w:sz w:val="24"/>
          <w:szCs w:val="24"/>
        </w:rPr>
        <w:t xml:space="preserve"> kamēr šīs personas vakcinācija vidēji ir vairāk kā deviņas</w:t>
      </w:r>
      <w:r w:rsidR="00F65444">
        <w:rPr>
          <w:rFonts w:ascii="Times New Roman" w:hAnsi="Times New Roman" w:cs="Times New Roman"/>
          <w:sz w:val="24"/>
          <w:szCs w:val="24"/>
        </w:rPr>
        <w:t xml:space="preserve"> reizes</w:t>
      </w:r>
      <w:r w:rsidR="003D0A4B">
        <w:rPr>
          <w:rFonts w:ascii="Times New Roman" w:hAnsi="Times New Roman" w:cs="Times New Roman"/>
          <w:sz w:val="24"/>
          <w:szCs w:val="24"/>
        </w:rPr>
        <w:t xml:space="preserve"> lētāka</w:t>
      </w:r>
      <w:r w:rsidR="003D0A4B" w:rsidRPr="003D0A4B">
        <w:rPr>
          <w:rFonts w:ascii="Times New Roman" w:hAnsi="Times New Roman" w:cs="Times New Roman"/>
          <w:sz w:val="24"/>
          <w:szCs w:val="24"/>
        </w:rPr>
        <w:t>.</w:t>
      </w:r>
    </w:p>
    <w:p w14:paraId="697EC6DA" w14:textId="13CE992A" w:rsidR="00702F60" w:rsidRDefault="00702F60" w:rsidP="009903BA">
      <w:pPr>
        <w:spacing w:after="0" w:line="240" w:lineRule="auto"/>
        <w:ind w:firstLine="720"/>
        <w:jc w:val="both"/>
        <w:rPr>
          <w:rFonts w:ascii="Times New Roman" w:hAnsi="Times New Roman" w:cs="Times New Roman"/>
          <w:sz w:val="24"/>
          <w:szCs w:val="24"/>
        </w:rPr>
      </w:pPr>
      <w:r w:rsidRPr="009903BA">
        <w:rPr>
          <w:rFonts w:ascii="Times New Roman" w:hAnsi="Times New Roman" w:cs="Times New Roman"/>
          <w:sz w:val="24"/>
          <w:szCs w:val="24"/>
        </w:rPr>
        <w:t>Ņemot vērā minēto</w:t>
      </w:r>
      <w:r w:rsidR="009903BA" w:rsidRPr="009903BA">
        <w:rPr>
          <w:rFonts w:ascii="Times New Roman" w:hAnsi="Times New Roman" w:cs="Times New Roman"/>
          <w:sz w:val="24"/>
          <w:szCs w:val="24"/>
        </w:rPr>
        <w:t>, kā arī ievērojot to, ka t</w:t>
      </w:r>
      <w:r w:rsidR="009903BA" w:rsidRPr="00864803">
        <w:rPr>
          <w:rFonts w:ascii="Times New Roman" w:hAnsi="Times New Roman" w:cs="Times New Roman"/>
          <w:sz w:val="24"/>
          <w:szCs w:val="24"/>
        </w:rPr>
        <w:t xml:space="preserve">estēšana nepasargā no </w:t>
      </w:r>
      <w:r w:rsidR="009903BA">
        <w:rPr>
          <w:rFonts w:ascii="Times New Roman" w:hAnsi="Times New Roman" w:cs="Times New Roman"/>
          <w:sz w:val="24"/>
          <w:szCs w:val="24"/>
        </w:rPr>
        <w:t>inficēšanās ar Covid-19 un</w:t>
      </w:r>
      <w:r w:rsidR="009903BA" w:rsidRPr="00864803">
        <w:rPr>
          <w:rFonts w:ascii="Times New Roman" w:hAnsi="Times New Roman" w:cs="Times New Roman"/>
          <w:sz w:val="24"/>
          <w:szCs w:val="24"/>
        </w:rPr>
        <w:t xml:space="preserve"> šobrīd iedzīvotājiem ir pieejams cits, efektīv</w:t>
      </w:r>
      <w:r w:rsidR="009903BA">
        <w:rPr>
          <w:rFonts w:ascii="Times New Roman" w:hAnsi="Times New Roman" w:cs="Times New Roman"/>
          <w:sz w:val="24"/>
          <w:szCs w:val="24"/>
        </w:rPr>
        <w:t>āks</w:t>
      </w:r>
      <w:r w:rsidR="009903BA" w:rsidRPr="00864803">
        <w:rPr>
          <w:rFonts w:ascii="Times New Roman" w:hAnsi="Times New Roman" w:cs="Times New Roman"/>
          <w:sz w:val="24"/>
          <w:szCs w:val="24"/>
        </w:rPr>
        <w:t xml:space="preserve"> infekcijas ierobežošanas veids – vakcinācija</w:t>
      </w:r>
      <w:r w:rsidR="009903BA">
        <w:rPr>
          <w:rFonts w:ascii="Times New Roman" w:hAnsi="Times New Roman" w:cs="Times New Roman"/>
          <w:sz w:val="24"/>
          <w:szCs w:val="24"/>
        </w:rPr>
        <w:t xml:space="preserve">, </w:t>
      </w:r>
      <w:r w:rsidR="0032730F" w:rsidRPr="009903BA">
        <w:rPr>
          <w:rFonts w:ascii="Times New Roman" w:hAnsi="Times New Roman" w:cs="Times New Roman"/>
          <w:sz w:val="24"/>
          <w:szCs w:val="24"/>
        </w:rPr>
        <w:t xml:space="preserve">Veselības ministrijas ieskatā nepieciešams mainīt līdzšinējo </w:t>
      </w:r>
      <w:r w:rsidR="005F762B">
        <w:rPr>
          <w:rFonts w:ascii="Times New Roman" w:hAnsi="Times New Roman" w:cs="Times New Roman"/>
          <w:sz w:val="24"/>
          <w:szCs w:val="24"/>
        </w:rPr>
        <w:t xml:space="preserve">valsts apmaksātās </w:t>
      </w:r>
      <w:r w:rsidR="0032730F" w:rsidRPr="009903BA">
        <w:rPr>
          <w:rFonts w:ascii="Times New Roman" w:hAnsi="Times New Roman" w:cs="Times New Roman"/>
          <w:sz w:val="24"/>
          <w:szCs w:val="24"/>
        </w:rPr>
        <w:t>testēšanas</w:t>
      </w:r>
      <w:r w:rsidR="005F762B">
        <w:rPr>
          <w:rFonts w:ascii="Times New Roman" w:hAnsi="Times New Roman" w:cs="Times New Roman"/>
          <w:sz w:val="24"/>
          <w:szCs w:val="24"/>
        </w:rPr>
        <w:t xml:space="preserve"> uz Covid-19</w:t>
      </w:r>
      <w:r w:rsidR="0032730F" w:rsidRPr="009903BA">
        <w:rPr>
          <w:rFonts w:ascii="Times New Roman" w:hAnsi="Times New Roman" w:cs="Times New Roman"/>
          <w:sz w:val="24"/>
          <w:szCs w:val="24"/>
        </w:rPr>
        <w:t xml:space="preserve"> stratēģiju.</w:t>
      </w:r>
    </w:p>
    <w:p w14:paraId="38923BFA" w14:textId="6F426D96" w:rsidR="006E1EF0" w:rsidRDefault="006E1EF0" w:rsidP="006E1EF0">
      <w:pPr>
        <w:spacing w:after="0" w:line="240" w:lineRule="auto"/>
        <w:ind w:firstLine="720"/>
        <w:jc w:val="center"/>
        <w:rPr>
          <w:rFonts w:ascii="Times New Roman" w:hAnsi="Times New Roman" w:cs="Times New Roman"/>
          <w:sz w:val="24"/>
          <w:szCs w:val="24"/>
          <w:highlight w:val="yellow"/>
        </w:rPr>
      </w:pPr>
    </w:p>
    <w:p w14:paraId="6E8BEEE4" w14:textId="5B98E49D" w:rsidR="00B13831" w:rsidRPr="00864803" w:rsidRDefault="00B13831" w:rsidP="00864803">
      <w:pPr>
        <w:pStyle w:val="Heading2"/>
        <w:numPr>
          <w:ilvl w:val="0"/>
          <w:numId w:val="2"/>
        </w:numPr>
        <w:spacing w:before="0" w:line="240" w:lineRule="auto"/>
        <w:ind w:left="0" w:firstLine="720"/>
        <w:rPr>
          <w:rFonts w:cs="Times New Roman"/>
          <w:sz w:val="24"/>
          <w:szCs w:val="24"/>
          <w:shd w:val="clear" w:color="auto" w:fill="FFFFFF"/>
        </w:rPr>
      </w:pPr>
      <w:r w:rsidRPr="00864803">
        <w:rPr>
          <w:rFonts w:cs="Times New Roman"/>
          <w:sz w:val="24"/>
          <w:szCs w:val="24"/>
          <w:shd w:val="clear" w:color="auto" w:fill="FFFFFF"/>
        </w:rPr>
        <w:t>Priekšlikumi turpmākajai rīcībai</w:t>
      </w:r>
    </w:p>
    <w:p w14:paraId="03CF1337" w14:textId="172022DF" w:rsidR="002C5486" w:rsidRDefault="002C5486" w:rsidP="0030314F">
      <w:pPr>
        <w:spacing w:after="0" w:line="240" w:lineRule="auto"/>
        <w:ind w:firstLine="720"/>
        <w:jc w:val="both"/>
        <w:rPr>
          <w:rFonts w:ascii="Times New Roman" w:eastAsia="Calibri" w:hAnsi="Times New Roman" w:cs="Times New Roman"/>
          <w:sz w:val="24"/>
          <w:szCs w:val="24"/>
        </w:rPr>
      </w:pPr>
    </w:p>
    <w:p w14:paraId="331DED99" w14:textId="19E76E53" w:rsidR="009C4EE2" w:rsidRDefault="002C5486" w:rsidP="002C5486">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Atbilstoši </w:t>
      </w:r>
      <w:r w:rsidR="00C91415" w:rsidRPr="00C91415">
        <w:rPr>
          <w:rFonts w:ascii="Times New Roman" w:eastAsia="Calibri" w:hAnsi="Times New Roman" w:cs="Times New Roman"/>
          <w:sz w:val="24"/>
          <w:szCs w:val="24"/>
        </w:rPr>
        <w:t>Slimību profilakses un kontroles centram (turpmāk – SPKC)</w:t>
      </w:r>
      <w:r>
        <w:rPr>
          <w:rFonts w:ascii="Times New Roman" w:eastAsia="Calibri" w:hAnsi="Times New Roman" w:cs="Times New Roman"/>
          <w:sz w:val="24"/>
          <w:szCs w:val="24"/>
        </w:rPr>
        <w:t xml:space="preserve"> sniegtajai informācijai, e</w:t>
      </w:r>
      <w:r w:rsidRPr="002C5486">
        <w:rPr>
          <w:rFonts w:ascii="Times New Roman" w:eastAsia="Calibri" w:hAnsi="Times New Roman" w:cs="Times New Roman"/>
          <w:sz w:val="24"/>
          <w:szCs w:val="24"/>
        </w:rPr>
        <w:t xml:space="preserve">pidemioloģiskās situācijas attīstību ietekmē vairāki faktori: vakcinācijas aptvere, jauno epidemioloģiski bīstamo SARS-CoV-2 vīrusu cirkulācija, valdības lēmumi par ierobežošanas pasākumiem, epidemioloģiskās drošības pasākumu ievērošana, sezonālo faktoru ietekme u. c.. Ievērojot to, ka minētie faktori ir grūti prognozējami, nav iespējams veikt ilgtermiņa zinātniski pamatotās saslimstības prognozes. </w:t>
      </w:r>
    </w:p>
    <w:p w14:paraId="7170F0AD" w14:textId="77777777" w:rsidR="002677AD" w:rsidRDefault="002C5486" w:rsidP="009C4EE2">
      <w:pPr>
        <w:spacing w:after="0" w:line="240" w:lineRule="auto"/>
        <w:ind w:firstLine="720"/>
        <w:jc w:val="both"/>
        <w:rPr>
          <w:rFonts w:ascii="Times New Roman" w:eastAsia="Calibri" w:hAnsi="Times New Roman" w:cs="Times New Roman"/>
          <w:sz w:val="24"/>
          <w:szCs w:val="24"/>
        </w:rPr>
      </w:pPr>
      <w:r w:rsidRPr="002C5486">
        <w:rPr>
          <w:rFonts w:ascii="Times New Roman" w:eastAsia="Calibri" w:hAnsi="Times New Roman" w:cs="Times New Roman"/>
          <w:sz w:val="24"/>
          <w:szCs w:val="24"/>
        </w:rPr>
        <w:t>Eiropas Slimību profilakses un kontroles centrs (ECDC) savā tīmekļvietnē publicē dažādu zinātnieku grupu izstrādāto prognozēšanas modeļu rezultātus</w:t>
      </w:r>
      <w:r>
        <w:rPr>
          <w:rStyle w:val="FootnoteReference"/>
          <w:rFonts w:ascii="Times New Roman" w:eastAsia="Calibri" w:hAnsi="Times New Roman" w:cs="Times New Roman"/>
          <w:sz w:val="24"/>
          <w:szCs w:val="24"/>
        </w:rPr>
        <w:footnoteReference w:id="4"/>
      </w:r>
      <w:r w:rsidRPr="002C5486">
        <w:rPr>
          <w:rFonts w:ascii="Times New Roman" w:eastAsia="Calibri" w:hAnsi="Times New Roman" w:cs="Times New Roman"/>
          <w:sz w:val="24"/>
          <w:szCs w:val="24"/>
        </w:rPr>
        <w:t>, kas ne vienmēr sakrīt un bieži nepiepildās. Būtiski, ka minētās prognozes ir īstermiņā (4 nedēļas), jo ilgtermiņā nav iespējams prognozēt visu faktoru ietekmi un savstarpējo mijiedarbību.  2021. gada 30. jūlijā žurnāls “</w:t>
      </w:r>
      <w:proofErr w:type="spellStart"/>
      <w:r w:rsidRPr="002C5486">
        <w:rPr>
          <w:rFonts w:ascii="Times New Roman" w:eastAsia="Calibri" w:hAnsi="Times New Roman" w:cs="Times New Roman"/>
          <w:sz w:val="24"/>
          <w:szCs w:val="24"/>
        </w:rPr>
        <w:t>The</w:t>
      </w:r>
      <w:proofErr w:type="spellEnd"/>
      <w:r w:rsidRPr="002C5486">
        <w:rPr>
          <w:rFonts w:ascii="Times New Roman" w:eastAsia="Calibri" w:hAnsi="Times New Roman" w:cs="Times New Roman"/>
          <w:sz w:val="24"/>
          <w:szCs w:val="24"/>
        </w:rPr>
        <w:t xml:space="preserve"> Lancet” ir publicējis “Ieskats COVID-19 pandēmijas Eiropā nākotnē: ekspertu konsultācija”</w:t>
      </w:r>
      <w:r>
        <w:rPr>
          <w:rStyle w:val="FootnoteReference"/>
          <w:rFonts w:ascii="Times New Roman" w:eastAsia="Calibri" w:hAnsi="Times New Roman" w:cs="Times New Roman"/>
          <w:sz w:val="24"/>
          <w:szCs w:val="24"/>
        </w:rPr>
        <w:footnoteReference w:id="5"/>
      </w:r>
      <w:r w:rsidRPr="002C5486">
        <w:rPr>
          <w:rFonts w:ascii="Times New Roman" w:eastAsia="Calibri" w:hAnsi="Times New Roman" w:cs="Times New Roman"/>
          <w:sz w:val="24"/>
          <w:szCs w:val="24"/>
        </w:rPr>
        <w:t>, kur ir apkopots vadošo ekspertu viedoklis par prognozējamo situācijas attīstību. Eksperti uzsver, ka Covid-19 izplatības prognoze rudenī un pavasarī lielā mērā būs atkarīga no sasniegtās vakcinācijas aptveres un jaunu vīrusa celmu cirkulācijas.</w:t>
      </w:r>
    </w:p>
    <w:p w14:paraId="70188F41" w14:textId="7C3ACEAD" w:rsidR="00706488" w:rsidRDefault="002C5486" w:rsidP="00FF60F6">
      <w:pPr>
        <w:spacing w:after="0" w:line="240" w:lineRule="auto"/>
        <w:ind w:firstLine="720"/>
        <w:jc w:val="both"/>
        <w:rPr>
          <w:rFonts w:ascii="Times New Roman" w:eastAsia="Calibri" w:hAnsi="Times New Roman" w:cs="Times New Roman"/>
          <w:sz w:val="24"/>
          <w:szCs w:val="24"/>
        </w:rPr>
      </w:pPr>
      <w:r w:rsidRPr="002C5486">
        <w:rPr>
          <w:rFonts w:ascii="Times New Roman" w:eastAsia="Calibri" w:hAnsi="Times New Roman" w:cs="Times New Roman"/>
          <w:sz w:val="24"/>
          <w:szCs w:val="24"/>
        </w:rPr>
        <w:t xml:space="preserve">SARS-CoV-2 izplatībai raksturīgās sezonalitātes dēļ, prognozējams saslimstības pieaugums rudenī un ziemā, cita starpā arī ciešākas cilvēku kontaktēšanās dēļ iekštelpās. Papildus sagaidāms, ka biežāk nekā 2020. gadā var tikt novērota arī gripas un respiratori </w:t>
      </w:r>
      <w:proofErr w:type="spellStart"/>
      <w:r w:rsidRPr="002C5486">
        <w:rPr>
          <w:rFonts w:ascii="Times New Roman" w:eastAsia="Calibri" w:hAnsi="Times New Roman" w:cs="Times New Roman"/>
          <w:sz w:val="24"/>
          <w:szCs w:val="24"/>
        </w:rPr>
        <w:t>sincitiālā</w:t>
      </w:r>
      <w:proofErr w:type="spellEnd"/>
      <w:r w:rsidRPr="002C5486">
        <w:rPr>
          <w:rFonts w:ascii="Times New Roman" w:eastAsia="Calibri" w:hAnsi="Times New Roman" w:cs="Times New Roman"/>
          <w:sz w:val="24"/>
          <w:szCs w:val="24"/>
        </w:rPr>
        <w:t xml:space="preserve"> vīrusa izraisītie saslimšanas gadījumi, jo cilvēku kontaktus ierobežojošie pasākumi visdrīzāk būs mazāk strikti, bet kolektīvās imunitātes līmenis zemāks. Tas var atstāt nelabvēlīgu ietekmi uz pieejamajiem veselības aprūpes resursiem. </w:t>
      </w:r>
    </w:p>
    <w:p w14:paraId="06251C15" w14:textId="302D6347" w:rsidR="002C5486" w:rsidRDefault="005F762B" w:rsidP="002C5486">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Lai spriestu par iespējamo </w:t>
      </w:r>
      <w:r w:rsidR="00C91415">
        <w:rPr>
          <w:rFonts w:ascii="Times New Roman" w:eastAsia="Calibri" w:hAnsi="Times New Roman" w:cs="Times New Roman"/>
          <w:sz w:val="24"/>
          <w:szCs w:val="24"/>
        </w:rPr>
        <w:t>ar Covid-19 inficēto personu skaitu</w:t>
      </w:r>
      <w:r>
        <w:rPr>
          <w:rFonts w:ascii="Times New Roman" w:eastAsia="Calibri" w:hAnsi="Times New Roman" w:cs="Times New Roman"/>
          <w:sz w:val="24"/>
          <w:szCs w:val="24"/>
        </w:rPr>
        <w:t xml:space="preserve"> 4</w:t>
      </w:r>
      <w:r w:rsidR="00706488">
        <w:rPr>
          <w:rFonts w:ascii="Times New Roman" w:eastAsia="Calibri" w:hAnsi="Times New Roman" w:cs="Times New Roman"/>
          <w:sz w:val="24"/>
          <w:szCs w:val="24"/>
        </w:rPr>
        <w:t>.attēlā atspoguļots</w:t>
      </w:r>
      <w:r w:rsidR="00706488" w:rsidRPr="00706488">
        <w:t xml:space="preserve"> </w:t>
      </w:r>
      <w:r>
        <w:rPr>
          <w:rFonts w:ascii="Times New Roman" w:eastAsia="Calibri" w:hAnsi="Times New Roman" w:cs="Times New Roman"/>
          <w:sz w:val="24"/>
          <w:szCs w:val="24"/>
        </w:rPr>
        <w:t>ik</w:t>
      </w:r>
      <w:r w:rsidR="00706488" w:rsidRPr="00706488">
        <w:rPr>
          <w:rFonts w:ascii="Times New Roman" w:eastAsia="Calibri" w:hAnsi="Times New Roman" w:cs="Times New Roman"/>
          <w:sz w:val="24"/>
          <w:szCs w:val="24"/>
        </w:rPr>
        <w:t xml:space="preserve"> nedēļu ar Covid-19 inficēto personu skaits </w:t>
      </w:r>
      <w:r w:rsidR="00706488">
        <w:rPr>
          <w:rFonts w:ascii="Times New Roman" w:eastAsia="Calibri" w:hAnsi="Times New Roman" w:cs="Times New Roman"/>
          <w:sz w:val="24"/>
          <w:szCs w:val="24"/>
        </w:rPr>
        <w:t>un</w:t>
      </w:r>
      <w:r w:rsidR="00706488" w:rsidRPr="00706488">
        <w:rPr>
          <w:rFonts w:ascii="Times New Roman" w:eastAsia="Calibri" w:hAnsi="Times New Roman" w:cs="Times New Roman"/>
          <w:sz w:val="24"/>
          <w:szCs w:val="24"/>
        </w:rPr>
        <w:t xml:space="preserve"> eksponenciāla prognoze 2021.gada septembr</w:t>
      </w:r>
      <w:r w:rsidR="00706488">
        <w:rPr>
          <w:rFonts w:ascii="Times New Roman" w:eastAsia="Calibri" w:hAnsi="Times New Roman" w:cs="Times New Roman"/>
          <w:sz w:val="24"/>
          <w:szCs w:val="24"/>
        </w:rPr>
        <w:t xml:space="preserve">im, </w:t>
      </w:r>
      <w:r w:rsidR="00706488" w:rsidRPr="00706488">
        <w:rPr>
          <w:rFonts w:ascii="Times New Roman" w:eastAsia="Calibri" w:hAnsi="Times New Roman" w:cs="Times New Roman"/>
          <w:sz w:val="24"/>
          <w:szCs w:val="24"/>
        </w:rPr>
        <w:t>izmantojot 32. nedēļas datus</w:t>
      </w:r>
      <w:r w:rsidR="00706488">
        <w:rPr>
          <w:rFonts w:ascii="Times New Roman" w:eastAsia="Calibri" w:hAnsi="Times New Roman" w:cs="Times New Roman"/>
          <w:sz w:val="24"/>
          <w:szCs w:val="24"/>
        </w:rPr>
        <w:t xml:space="preserve"> </w:t>
      </w:r>
      <w:r w:rsidR="00A00CD7">
        <w:rPr>
          <w:rFonts w:ascii="Times New Roman" w:eastAsia="Calibri" w:hAnsi="Times New Roman" w:cs="Times New Roman"/>
          <w:sz w:val="24"/>
          <w:szCs w:val="24"/>
        </w:rPr>
        <w:t xml:space="preserve">(skat. </w:t>
      </w:r>
      <w:r w:rsidR="00C91415">
        <w:rPr>
          <w:rFonts w:ascii="Times New Roman" w:eastAsia="Calibri" w:hAnsi="Times New Roman" w:cs="Times New Roman"/>
          <w:sz w:val="24"/>
          <w:szCs w:val="24"/>
        </w:rPr>
        <w:t>4</w:t>
      </w:r>
      <w:r w:rsidR="00A00CD7">
        <w:rPr>
          <w:rFonts w:ascii="Times New Roman" w:eastAsia="Calibri" w:hAnsi="Times New Roman" w:cs="Times New Roman"/>
          <w:sz w:val="24"/>
          <w:szCs w:val="24"/>
        </w:rPr>
        <w:t>. att</w:t>
      </w:r>
      <w:r w:rsidR="00C91415">
        <w:rPr>
          <w:rFonts w:ascii="Times New Roman" w:eastAsia="Calibri" w:hAnsi="Times New Roman" w:cs="Times New Roman"/>
          <w:sz w:val="24"/>
          <w:szCs w:val="24"/>
        </w:rPr>
        <w:t>.</w:t>
      </w:r>
      <w:r w:rsidR="00A00CD7">
        <w:rPr>
          <w:rFonts w:ascii="Times New Roman" w:eastAsia="Calibri" w:hAnsi="Times New Roman" w:cs="Times New Roman"/>
          <w:sz w:val="24"/>
          <w:szCs w:val="24"/>
        </w:rPr>
        <w:t>)</w:t>
      </w:r>
      <w:r w:rsidR="00706488">
        <w:rPr>
          <w:rFonts w:ascii="Times New Roman" w:eastAsia="Calibri" w:hAnsi="Times New Roman" w:cs="Times New Roman"/>
          <w:sz w:val="24"/>
          <w:szCs w:val="24"/>
        </w:rPr>
        <w:t xml:space="preserve">. Prognoze sagatavota, ņemot vērā </w:t>
      </w:r>
      <w:r w:rsidR="00706488" w:rsidRPr="00C91415">
        <w:rPr>
          <w:rFonts w:ascii="Times New Roman" w:eastAsia="Calibri" w:hAnsi="Times New Roman" w:cs="Times New Roman"/>
          <w:i/>
          <w:iCs/>
          <w:sz w:val="24"/>
          <w:szCs w:val="24"/>
        </w:rPr>
        <w:t>Delta</w:t>
      </w:r>
      <w:r w:rsidR="00706488">
        <w:rPr>
          <w:rFonts w:ascii="Times New Roman" w:eastAsia="Calibri" w:hAnsi="Times New Roman" w:cs="Times New Roman"/>
          <w:sz w:val="24"/>
          <w:szCs w:val="24"/>
        </w:rPr>
        <w:t xml:space="preserve"> varianta izplatību 2021.gada augustā</w:t>
      </w:r>
      <w:r w:rsidR="00FF60F6">
        <w:rPr>
          <w:rFonts w:ascii="Times New Roman" w:eastAsia="Calibri" w:hAnsi="Times New Roman" w:cs="Times New Roman"/>
          <w:sz w:val="24"/>
          <w:szCs w:val="24"/>
        </w:rPr>
        <w:t>.</w:t>
      </w:r>
    </w:p>
    <w:p w14:paraId="7D7A2019" w14:textId="176632DF" w:rsidR="00A00CD7" w:rsidRPr="002C5486" w:rsidRDefault="00A00CD7" w:rsidP="00A00CD7">
      <w:pPr>
        <w:spacing w:after="0" w:line="240" w:lineRule="auto"/>
        <w:ind w:firstLine="720"/>
        <w:jc w:val="center"/>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inline distT="0" distB="0" distL="0" distR="0" wp14:anchorId="5FBF8443" wp14:editId="0DC629B4">
            <wp:extent cx="4699000" cy="2415044"/>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784" cy="2432921"/>
                    </a:xfrm>
                    <a:prstGeom prst="rect">
                      <a:avLst/>
                    </a:prstGeom>
                    <a:noFill/>
                  </pic:spPr>
                </pic:pic>
              </a:graphicData>
            </a:graphic>
          </wp:inline>
        </w:drawing>
      </w:r>
    </w:p>
    <w:p w14:paraId="11D7EDDB" w14:textId="097DD826" w:rsidR="00A00CD7" w:rsidRPr="000069BA" w:rsidRDefault="00C91415" w:rsidP="00706488">
      <w:pPr>
        <w:spacing w:after="0" w:line="240" w:lineRule="auto"/>
        <w:ind w:firstLine="720"/>
        <w:jc w:val="center"/>
        <w:rPr>
          <w:rFonts w:ascii="Times New Roman" w:eastAsia="Calibri" w:hAnsi="Times New Roman" w:cs="Times New Roman"/>
          <w:i/>
          <w:iCs/>
          <w:sz w:val="24"/>
          <w:szCs w:val="24"/>
        </w:rPr>
      </w:pPr>
      <w:r w:rsidRPr="000069BA">
        <w:rPr>
          <w:rFonts w:ascii="Times New Roman" w:eastAsia="Calibri" w:hAnsi="Times New Roman" w:cs="Times New Roman"/>
          <w:i/>
          <w:iCs/>
          <w:sz w:val="24"/>
          <w:szCs w:val="24"/>
        </w:rPr>
        <w:t>4</w:t>
      </w:r>
      <w:r w:rsidR="00A00CD7" w:rsidRPr="000069BA">
        <w:rPr>
          <w:rFonts w:ascii="Times New Roman" w:eastAsia="Calibri" w:hAnsi="Times New Roman" w:cs="Times New Roman"/>
          <w:i/>
          <w:iCs/>
          <w:sz w:val="24"/>
          <w:szCs w:val="24"/>
        </w:rPr>
        <w:t xml:space="preserve">. attēls </w:t>
      </w:r>
      <w:r w:rsidR="00706488" w:rsidRPr="000069BA">
        <w:rPr>
          <w:rFonts w:ascii="Times New Roman" w:eastAsia="Calibri" w:hAnsi="Times New Roman" w:cs="Times New Roman"/>
          <w:i/>
          <w:iCs/>
          <w:sz w:val="24"/>
          <w:szCs w:val="24"/>
        </w:rPr>
        <w:t>katru nedēļu ar Covid-19 inficēto personu skaits un eksponenciāl</w:t>
      </w:r>
      <w:r w:rsidR="004526C4" w:rsidRPr="000069BA">
        <w:rPr>
          <w:rFonts w:ascii="Times New Roman" w:eastAsia="Calibri" w:hAnsi="Times New Roman" w:cs="Times New Roman"/>
          <w:i/>
          <w:iCs/>
          <w:sz w:val="24"/>
          <w:szCs w:val="24"/>
        </w:rPr>
        <w:t>a</w:t>
      </w:r>
      <w:r w:rsidR="00706488" w:rsidRPr="000069BA">
        <w:rPr>
          <w:rFonts w:ascii="Times New Roman" w:eastAsia="Calibri" w:hAnsi="Times New Roman" w:cs="Times New Roman"/>
          <w:i/>
          <w:iCs/>
          <w:sz w:val="24"/>
          <w:szCs w:val="24"/>
        </w:rPr>
        <w:t xml:space="preserve"> prognoze 2021.gada septembr</w:t>
      </w:r>
      <w:r w:rsidR="004526C4" w:rsidRPr="000069BA">
        <w:rPr>
          <w:rFonts w:ascii="Times New Roman" w:eastAsia="Calibri" w:hAnsi="Times New Roman" w:cs="Times New Roman"/>
          <w:i/>
          <w:iCs/>
          <w:sz w:val="24"/>
          <w:szCs w:val="24"/>
        </w:rPr>
        <w:t>im</w:t>
      </w:r>
      <w:r w:rsidR="00706488" w:rsidRPr="000069BA">
        <w:rPr>
          <w:rFonts w:ascii="Times New Roman" w:eastAsia="Calibri" w:hAnsi="Times New Roman" w:cs="Times New Roman"/>
          <w:i/>
          <w:iCs/>
          <w:sz w:val="24"/>
          <w:szCs w:val="24"/>
        </w:rPr>
        <w:t xml:space="preserve"> (izmantojot 32. nedēļas datus)</w:t>
      </w:r>
    </w:p>
    <w:p w14:paraId="719FFCC7" w14:textId="77777777" w:rsidR="00706488" w:rsidRDefault="00706488" w:rsidP="002C5486">
      <w:pPr>
        <w:spacing w:after="0" w:line="240" w:lineRule="auto"/>
        <w:ind w:firstLine="720"/>
        <w:jc w:val="both"/>
        <w:rPr>
          <w:rFonts w:ascii="Times New Roman" w:eastAsia="Calibri" w:hAnsi="Times New Roman" w:cs="Times New Roman"/>
          <w:sz w:val="24"/>
          <w:szCs w:val="24"/>
        </w:rPr>
      </w:pPr>
    </w:p>
    <w:p w14:paraId="71DF38F7" w14:textId="10F38008" w:rsidR="005B677A" w:rsidRDefault="002C5486" w:rsidP="0030314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Ņemot vērā minēto, sva</w:t>
      </w:r>
      <w:r w:rsidR="005B677A" w:rsidRPr="005B677A">
        <w:rPr>
          <w:rFonts w:ascii="Times New Roman" w:eastAsia="Calibri" w:hAnsi="Times New Roman" w:cs="Times New Roman"/>
          <w:sz w:val="24"/>
          <w:szCs w:val="24"/>
        </w:rPr>
        <w:t xml:space="preserve">rīgi ir </w:t>
      </w:r>
      <w:r w:rsidR="000069BA">
        <w:rPr>
          <w:rFonts w:ascii="Times New Roman" w:eastAsia="Calibri" w:hAnsi="Times New Roman" w:cs="Times New Roman"/>
          <w:sz w:val="24"/>
          <w:szCs w:val="24"/>
        </w:rPr>
        <w:t>nodrošināt</w:t>
      </w:r>
      <w:r w:rsidR="005B677A" w:rsidRPr="005B677A">
        <w:rPr>
          <w:rFonts w:ascii="Times New Roman" w:eastAsia="Calibri" w:hAnsi="Times New Roman" w:cs="Times New Roman"/>
          <w:sz w:val="24"/>
          <w:szCs w:val="24"/>
        </w:rPr>
        <w:t xml:space="preserve"> testēšanu gan pēc klīniskajām, gan pēc epidemioloģiskajām indikācijām</w:t>
      </w:r>
      <w:r w:rsidR="005B677A">
        <w:rPr>
          <w:rFonts w:ascii="Times New Roman" w:eastAsia="Calibri" w:hAnsi="Times New Roman" w:cs="Times New Roman"/>
          <w:sz w:val="24"/>
          <w:szCs w:val="24"/>
        </w:rPr>
        <w:t xml:space="preserve">, arī </w:t>
      </w:r>
      <w:r w:rsidR="005B677A" w:rsidRPr="005B677A">
        <w:rPr>
          <w:rFonts w:ascii="Times New Roman" w:eastAsia="Calibri" w:hAnsi="Times New Roman" w:cs="Times New Roman"/>
          <w:sz w:val="24"/>
          <w:szCs w:val="24"/>
        </w:rPr>
        <w:t>Anti-SARS-CoV-2 antivielu noteikšan</w:t>
      </w:r>
      <w:r w:rsidR="005B677A">
        <w:rPr>
          <w:rFonts w:ascii="Times New Roman" w:eastAsia="Calibri" w:hAnsi="Times New Roman" w:cs="Times New Roman"/>
          <w:sz w:val="24"/>
          <w:szCs w:val="24"/>
        </w:rPr>
        <w:t xml:space="preserve">u un </w:t>
      </w:r>
      <w:r w:rsidR="005B677A" w:rsidRPr="005B677A">
        <w:rPr>
          <w:rFonts w:ascii="Times New Roman" w:eastAsia="Calibri" w:hAnsi="Times New Roman" w:cs="Times New Roman"/>
          <w:sz w:val="24"/>
          <w:szCs w:val="24"/>
        </w:rPr>
        <w:t>SARS-CoV-2 vīrusa sekvencēšan</w:t>
      </w:r>
      <w:r w:rsidR="005B677A">
        <w:rPr>
          <w:rFonts w:ascii="Times New Roman" w:eastAsia="Calibri" w:hAnsi="Times New Roman" w:cs="Times New Roman"/>
          <w:sz w:val="24"/>
          <w:szCs w:val="24"/>
        </w:rPr>
        <w:t>u.</w:t>
      </w:r>
      <w:r w:rsidR="00457B56">
        <w:rPr>
          <w:rFonts w:ascii="Times New Roman" w:eastAsia="Calibri" w:hAnsi="Times New Roman" w:cs="Times New Roman"/>
          <w:sz w:val="24"/>
          <w:szCs w:val="24"/>
        </w:rPr>
        <w:t xml:space="preserve"> Tā pat saglabājama esošā kārtība, </w:t>
      </w:r>
      <w:r w:rsidR="00C91415">
        <w:rPr>
          <w:rFonts w:ascii="Times New Roman" w:eastAsia="Calibri" w:hAnsi="Times New Roman" w:cs="Times New Roman"/>
          <w:sz w:val="24"/>
          <w:szCs w:val="24"/>
        </w:rPr>
        <w:t>kad</w:t>
      </w:r>
      <w:r w:rsidR="00457B56">
        <w:rPr>
          <w:rFonts w:ascii="Times New Roman" w:eastAsia="Calibri" w:hAnsi="Times New Roman" w:cs="Times New Roman"/>
          <w:sz w:val="24"/>
          <w:szCs w:val="24"/>
        </w:rPr>
        <w:t xml:space="preserve"> pozitīva testa gadījumā tiek nodrošināts valsts apmaksāts apstiprinošais tests.</w:t>
      </w:r>
    </w:p>
    <w:p w14:paraId="1264384C" w14:textId="5D776091" w:rsidR="001839DD" w:rsidRDefault="001839DD" w:rsidP="0030314F">
      <w:pPr>
        <w:spacing w:after="0" w:line="240" w:lineRule="auto"/>
        <w:ind w:firstLine="720"/>
        <w:jc w:val="both"/>
        <w:rPr>
          <w:rFonts w:ascii="Times New Roman" w:eastAsia="Calibri" w:hAnsi="Times New Roman" w:cs="Times New Roman"/>
          <w:sz w:val="24"/>
          <w:szCs w:val="24"/>
        </w:rPr>
      </w:pPr>
      <w:r w:rsidRPr="001839DD">
        <w:rPr>
          <w:rFonts w:ascii="Times New Roman" w:eastAsia="Calibri" w:hAnsi="Times New Roman" w:cs="Times New Roman"/>
          <w:sz w:val="24"/>
          <w:szCs w:val="24"/>
        </w:rPr>
        <w:t xml:space="preserve">Laboratoriskais </w:t>
      </w:r>
      <w:proofErr w:type="spellStart"/>
      <w:r w:rsidRPr="001839DD">
        <w:rPr>
          <w:rFonts w:ascii="Times New Roman" w:eastAsia="Calibri" w:hAnsi="Times New Roman" w:cs="Times New Roman"/>
          <w:sz w:val="24"/>
          <w:szCs w:val="24"/>
        </w:rPr>
        <w:t>skrīnings</w:t>
      </w:r>
      <w:proofErr w:type="spellEnd"/>
      <w:r w:rsidRPr="001839DD">
        <w:rPr>
          <w:rFonts w:ascii="Times New Roman" w:eastAsia="Calibri" w:hAnsi="Times New Roman" w:cs="Times New Roman"/>
          <w:sz w:val="24"/>
          <w:szCs w:val="24"/>
        </w:rPr>
        <w:t xml:space="preserve"> uz Covid-19 infekciju nav nepieciešams</w:t>
      </w:r>
      <w:r>
        <w:rPr>
          <w:rFonts w:ascii="Times New Roman" w:eastAsia="Calibri" w:hAnsi="Times New Roman" w:cs="Times New Roman"/>
          <w:sz w:val="24"/>
          <w:szCs w:val="24"/>
        </w:rPr>
        <w:t xml:space="preserve"> personām, </w:t>
      </w:r>
      <w:r w:rsidRPr="00B410C8">
        <w:rPr>
          <w:rFonts w:ascii="Times New Roman" w:hAnsi="Times New Roman" w:cs="Times New Roman"/>
          <w:sz w:val="24"/>
          <w:szCs w:val="24"/>
        </w:rPr>
        <w:t>kuras ir pārslimojušas Covid-19 infekciju</w:t>
      </w:r>
      <w:r>
        <w:rPr>
          <w:rFonts w:ascii="Times New Roman" w:eastAsia="Calibri" w:hAnsi="Times New Roman" w:cs="Times New Roman"/>
          <w:sz w:val="24"/>
          <w:szCs w:val="24"/>
        </w:rPr>
        <w:t xml:space="preserve"> (noteiktu laiku) vai kuras </w:t>
      </w:r>
      <w:r w:rsidRPr="00865A28">
        <w:rPr>
          <w:rFonts w:ascii="Times New Roman" w:hAnsi="Times New Roman" w:cs="Times New Roman"/>
          <w:sz w:val="24"/>
          <w:szCs w:val="24"/>
        </w:rPr>
        <w:t>ir saņēmušas pilnu vakcinācijas kursu pret Covid-19 infekciju</w:t>
      </w:r>
      <w:r w:rsidR="00744925">
        <w:rPr>
          <w:rFonts w:ascii="Times New Roman" w:hAnsi="Times New Roman" w:cs="Times New Roman"/>
          <w:sz w:val="24"/>
          <w:szCs w:val="24"/>
        </w:rPr>
        <w:t xml:space="preserve">, jo </w:t>
      </w:r>
      <w:r w:rsidR="00744925">
        <w:rPr>
          <w:rFonts w:ascii="Times New Roman" w:eastAsia="Calibri" w:hAnsi="Times New Roman" w:cs="Times New Roman"/>
          <w:sz w:val="24"/>
          <w:szCs w:val="24"/>
        </w:rPr>
        <w:t>v</w:t>
      </w:r>
      <w:r w:rsidR="00744925">
        <w:rPr>
          <w:rFonts w:ascii="Times New Roman" w:hAnsi="Times New Roman" w:cs="Times New Roman"/>
          <w:sz w:val="24"/>
          <w:szCs w:val="24"/>
        </w:rPr>
        <w:t>akcinācija vai pārslimošana samazina inficēšanās un SARS-CoV-2 izplatīšanās risku</w:t>
      </w:r>
      <w:r>
        <w:rPr>
          <w:rFonts w:ascii="Times New Roman" w:eastAsia="Calibri" w:hAnsi="Times New Roman" w:cs="Times New Roman"/>
          <w:sz w:val="24"/>
          <w:szCs w:val="24"/>
        </w:rPr>
        <w:t xml:space="preserve">. Līdz ar to palielinoties vakcinēto personu skaitam </w:t>
      </w:r>
      <w:proofErr w:type="spellStart"/>
      <w:r>
        <w:rPr>
          <w:rFonts w:ascii="Times New Roman" w:eastAsia="Calibri" w:hAnsi="Times New Roman" w:cs="Times New Roman"/>
          <w:sz w:val="24"/>
          <w:szCs w:val="24"/>
        </w:rPr>
        <w:t>skrīninga</w:t>
      </w:r>
      <w:proofErr w:type="spellEnd"/>
      <w:r>
        <w:rPr>
          <w:rFonts w:ascii="Times New Roman" w:eastAsia="Calibri" w:hAnsi="Times New Roman" w:cs="Times New Roman"/>
          <w:sz w:val="24"/>
          <w:szCs w:val="24"/>
        </w:rPr>
        <w:t xml:space="preserve"> loma daļai sabiedrības mazināsies.</w:t>
      </w:r>
    </w:p>
    <w:p w14:paraId="676CB2E9" w14:textId="516FB051" w:rsidR="009C4EE2" w:rsidRDefault="009C4EE2" w:rsidP="003031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Papildus būtisku</w:t>
      </w:r>
      <w:r w:rsidR="00290D13">
        <w:rPr>
          <w:rFonts w:ascii="Times New Roman" w:hAnsi="Times New Roman" w:cs="Times New Roman"/>
          <w:sz w:val="24"/>
          <w:szCs w:val="24"/>
        </w:rPr>
        <w:t xml:space="preserve"> ietekmi uz rutīnas testēšanu nosaka 2021. gada rudenī sasniegtā vakcinācijas aptvere. </w:t>
      </w:r>
      <w:r w:rsidR="00290D13" w:rsidRPr="00290D13">
        <w:rPr>
          <w:rFonts w:ascii="Times New Roman" w:hAnsi="Times New Roman" w:cs="Times New Roman"/>
          <w:sz w:val="24"/>
          <w:szCs w:val="24"/>
        </w:rPr>
        <w:t>Saskaņā ar Informatīvo ziņojumu “Par Covid-19 vakcinācijas plānu”</w:t>
      </w:r>
      <w:r w:rsidR="00290D13">
        <w:rPr>
          <w:rFonts w:ascii="Times New Roman" w:hAnsi="Times New Roman" w:cs="Times New Roman"/>
          <w:sz w:val="24"/>
          <w:szCs w:val="24"/>
        </w:rPr>
        <w:t xml:space="preserve"> līdz 2021.gada vasaras beigām tika plānots </w:t>
      </w:r>
      <w:r w:rsidR="00290D13" w:rsidRPr="00290D13">
        <w:rPr>
          <w:rFonts w:ascii="Times New Roman" w:hAnsi="Times New Roman" w:cs="Times New Roman"/>
          <w:sz w:val="24"/>
          <w:szCs w:val="24"/>
        </w:rPr>
        <w:t>panākt 70% vakcinācijas aptveri pieaugušo iedzīvotāju vidū</w:t>
      </w:r>
      <w:r w:rsidR="00290D13">
        <w:rPr>
          <w:rFonts w:ascii="Times New Roman" w:hAnsi="Times New Roman" w:cs="Times New Roman"/>
          <w:sz w:val="24"/>
          <w:szCs w:val="24"/>
        </w:rPr>
        <w:t xml:space="preserve">. Tomēr, ņemot vērā faktisko vakcinācijas aptveri </w:t>
      </w:r>
      <w:r w:rsidR="001839DD">
        <w:rPr>
          <w:rFonts w:ascii="Times New Roman" w:hAnsi="Times New Roman" w:cs="Times New Roman"/>
          <w:sz w:val="24"/>
          <w:szCs w:val="24"/>
        </w:rPr>
        <w:t xml:space="preserve">uz </w:t>
      </w:r>
      <w:r w:rsidR="00290D13">
        <w:rPr>
          <w:rFonts w:ascii="Times New Roman" w:hAnsi="Times New Roman" w:cs="Times New Roman"/>
          <w:sz w:val="24"/>
          <w:szCs w:val="24"/>
        </w:rPr>
        <w:t>2021.gada august</w:t>
      </w:r>
      <w:r w:rsidR="00744925">
        <w:rPr>
          <w:rFonts w:ascii="Times New Roman" w:hAnsi="Times New Roman" w:cs="Times New Roman"/>
          <w:sz w:val="24"/>
          <w:szCs w:val="24"/>
        </w:rPr>
        <w:t>u</w:t>
      </w:r>
      <w:r w:rsidR="00290D13">
        <w:rPr>
          <w:rFonts w:ascii="Times New Roman" w:hAnsi="Times New Roman" w:cs="Times New Roman"/>
          <w:sz w:val="24"/>
          <w:szCs w:val="24"/>
        </w:rPr>
        <w:t xml:space="preserve">, </w:t>
      </w:r>
      <w:r w:rsidR="001839DD">
        <w:rPr>
          <w:rFonts w:ascii="Times New Roman" w:hAnsi="Times New Roman" w:cs="Times New Roman"/>
          <w:sz w:val="24"/>
          <w:szCs w:val="24"/>
        </w:rPr>
        <w:t xml:space="preserve">Veselības ministrijas ieskatā plānotie testēšanas apjomi 2021.gada rudenī varētu tikt vērtēti arī ņemot vērā </w:t>
      </w:r>
      <w:r w:rsidR="00744925">
        <w:rPr>
          <w:rFonts w:ascii="Times New Roman" w:hAnsi="Times New Roman" w:cs="Times New Roman"/>
          <w:sz w:val="24"/>
          <w:szCs w:val="24"/>
        </w:rPr>
        <w:t>piesardzīgākas vakcinācijas aptveres prognozes</w:t>
      </w:r>
      <w:r w:rsidR="006B4E5C">
        <w:rPr>
          <w:rFonts w:ascii="Times New Roman" w:hAnsi="Times New Roman" w:cs="Times New Roman"/>
          <w:sz w:val="24"/>
          <w:szCs w:val="24"/>
        </w:rPr>
        <w:t xml:space="preserve"> (skat. </w:t>
      </w:r>
      <w:r w:rsidR="00C91415">
        <w:rPr>
          <w:rFonts w:ascii="Times New Roman" w:hAnsi="Times New Roman" w:cs="Times New Roman"/>
          <w:sz w:val="24"/>
          <w:szCs w:val="24"/>
        </w:rPr>
        <w:t>5</w:t>
      </w:r>
      <w:r w:rsidR="006B4E5C">
        <w:rPr>
          <w:rFonts w:ascii="Times New Roman" w:hAnsi="Times New Roman" w:cs="Times New Roman"/>
          <w:sz w:val="24"/>
          <w:szCs w:val="24"/>
        </w:rPr>
        <w:t>. attēls)</w:t>
      </w:r>
      <w:r w:rsidR="008119C8">
        <w:rPr>
          <w:rFonts w:ascii="Times New Roman" w:hAnsi="Times New Roman" w:cs="Times New Roman"/>
          <w:sz w:val="24"/>
          <w:szCs w:val="24"/>
        </w:rPr>
        <w:t>.</w:t>
      </w:r>
    </w:p>
    <w:p w14:paraId="24ACFB52" w14:textId="4BECDF4E" w:rsidR="006B4E5C" w:rsidRDefault="006B4E5C" w:rsidP="006B4E5C">
      <w:pPr>
        <w:spacing w:after="0" w:line="240" w:lineRule="auto"/>
        <w:ind w:firstLine="720"/>
        <w:jc w:val="center"/>
        <w:rPr>
          <w:rFonts w:ascii="Times New Roman" w:hAnsi="Times New Roman" w:cs="Times New Roman"/>
          <w:sz w:val="24"/>
          <w:szCs w:val="24"/>
        </w:rPr>
      </w:pPr>
      <w:r>
        <w:rPr>
          <w:noProof/>
        </w:rPr>
        <w:drawing>
          <wp:inline distT="0" distB="0" distL="0" distR="0" wp14:anchorId="4095EF6A" wp14:editId="3E83AC3A">
            <wp:extent cx="4051426" cy="2526194"/>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7121" cy="2535981"/>
                    </a:xfrm>
                    <a:prstGeom prst="rect">
                      <a:avLst/>
                    </a:prstGeom>
                    <a:noFill/>
                    <a:ln>
                      <a:noFill/>
                    </a:ln>
                  </pic:spPr>
                </pic:pic>
              </a:graphicData>
            </a:graphic>
          </wp:inline>
        </w:drawing>
      </w:r>
    </w:p>
    <w:p w14:paraId="6CF59EC7" w14:textId="5FDE29EA" w:rsidR="000537E1" w:rsidRPr="00BF134F" w:rsidRDefault="00C91415" w:rsidP="006B4E5C">
      <w:pPr>
        <w:spacing w:after="0" w:line="240" w:lineRule="auto"/>
        <w:ind w:firstLine="720"/>
        <w:jc w:val="center"/>
        <w:rPr>
          <w:rFonts w:ascii="Times New Roman" w:hAnsi="Times New Roman" w:cs="Times New Roman"/>
          <w:i/>
          <w:iCs/>
          <w:sz w:val="20"/>
          <w:szCs w:val="20"/>
        </w:rPr>
      </w:pPr>
      <w:r w:rsidRPr="00BF134F">
        <w:rPr>
          <w:rFonts w:ascii="Times New Roman" w:hAnsi="Times New Roman" w:cs="Times New Roman"/>
          <w:i/>
          <w:iCs/>
          <w:sz w:val="20"/>
          <w:szCs w:val="20"/>
        </w:rPr>
        <w:t>5</w:t>
      </w:r>
      <w:r w:rsidR="006B4E5C" w:rsidRPr="00BF134F">
        <w:rPr>
          <w:rFonts w:ascii="Times New Roman" w:hAnsi="Times New Roman" w:cs="Times New Roman"/>
          <w:i/>
          <w:iCs/>
          <w:sz w:val="20"/>
          <w:szCs w:val="20"/>
        </w:rPr>
        <w:t>.attēls personu skaits, kas ik nedēļu saņēmuši vismaz vienu poti, vakcinācijas prognoze 2021. gada septembrim un oktobrim</w:t>
      </w:r>
      <w:r w:rsidR="006B4E5C" w:rsidRPr="00BF134F">
        <w:rPr>
          <w:rStyle w:val="FootnoteReference"/>
          <w:rFonts w:ascii="Times New Roman" w:hAnsi="Times New Roman" w:cs="Times New Roman"/>
          <w:i/>
          <w:iCs/>
          <w:sz w:val="20"/>
          <w:szCs w:val="20"/>
        </w:rPr>
        <w:footnoteReference w:id="6"/>
      </w:r>
      <w:r w:rsidR="006B4E5C" w:rsidRPr="00BF134F">
        <w:rPr>
          <w:rFonts w:ascii="Times New Roman" w:hAnsi="Times New Roman" w:cs="Times New Roman"/>
          <w:i/>
          <w:iCs/>
          <w:sz w:val="20"/>
          <w:szCs w:val="20"/>
        </w:rPr>
        <w:t>.</w:t>
      </w:r>
    </w:p>
    <w:p w14:paraId="2E12FE51" w14:textId="77777777" w:rsidR="006B4E5C" w:rsidRDefault="006B4E5C" w:rsidP="0030314F">
      <w:pPr>
        <w:spacing w:after="0" w:line="240" w:lineRule="auto"/>
        <w:ind w:firstLine="720"/>
        <w:jc w:val="both"/>
        <w:rPr>
          <w:rFonts w:ascii="Times New Roman" w:hAnsi="Times New Roman" w:cs="Times New Roman"/>
          <w:sz w:val="24"/>
          <w:szCs w:val="24"/>
        </w:rPr>
      </w:pPr>
    </w:p>
    <w:p w14:paraId="6ADE6B61" w14:textId="09EA61BD" w:rsidR="000537E1" w:rsidRDefault="000537E1" w:rsidP="000537E1">
      <w:pPr>
        <w:pStyle w:val="ListParagraph"/>
        <w:numPr>
          <w:ilvl w:val="0"/>
          <w:numId w:val="9"/>
        </w:numPr>
        <w:spacing w:after="0" w:line="240" w:lineRule="auto"/>
        <w:jc w:val="both"/>
        <w:rPr>
          <w:rFonts w:ascii="Times New Roman" w:hAnsi="Times New Roman" w:cs="Times New Roman"/>
          <w:b/>
          <w:bCs/>
          <w:sz w:val="24"/>
          <w:szCs w:val="24"/>
          <w:u w:val="single"/>
        </w:rPr>
      </w:pPr>
      <w:r w:rsidRPr="000537E1">
        <w:rPr>
          <w:rFonts w:ascii="Times New Roman" w:hAnsi="Times New Roman" w:cs="Times New Roman"/>
          <w:b/>
          <w:bCs/>
          <w:sz w:val="24"/>
          <w:szCs w:val="24"/>
          <w:u w:val="single"/>
        </w:rPr>
        <w:t>Iedzīvotāju grupas, k</w:t>
      </w:r>
      <w:r w:rsidR="005B677A">
        <w:rPr>
          <w:rFonts w:ascii="Times New Roman" w:hAnsi="Times New Roman" w:cs="Times New Roman"/>
          <w:b/>
          <w:bCs/>
          <w:sz w:val="24"/>
          <w:szCs w:val="24"/>
          <w:u w:val="single"/>
        </w:rPr>
        <w:t>ura</w:t>
      </w:r>
      <w:r w:rsidRPr="000537E1">
        <w:rPr>
          <w:rFonts w:ascii="Times New Roman" w:hAnsi="Times New Roman" w:cs="Times New Roman"/>
          <w:b/>
          <w:bCs/>
          <w:sz w:val="24"/>
          <w:szCs w:val="24"/>
          <w:u w:val="single"/>
        </w:rPr>
        <w:t xml:space="preserve">s testējamas </w:t>
      </w:r>
      <w:r w:rsidR="00BF134F">
        <w:rPr>
          <w:rFonts w:ascii="Times New Roman" w:hAnsi="Times New Roman" w:cs="Times New Roman"/>
          <w:b/>
          <w:bCs/>
          <w:sz w:val="24"/>
          <w:szCs w:val="24"/>
          <w:u w:val="single"/>
        </w:rPr>
        <w:t>par valsts budžeta līdzekļiem</w:t>
      </w:r>
    </w:p>
    <w:p w14:paraId="7FB4545E" w14:textId="77777777" w:rsidR="009C1822" w:rsidRPr="000537E1" w:rsidRDefault="009C1822" w:rsidP="009C1822">
      <w:pPr>
        <w:pStyle w:val="ListParagraph"/>
        <w:spacing w:after="0" w:line="240" w:lineRule="auto"/>
        <w:ind w:left="1080"/>
        <w:jc w:val="both"/>
        <w:rPr>
          <w:rFonts w:ascii="Times New Roman" w:hAnsi="Times New Roman" w:cs="Times New Roman"/>
          <w:b/>
          <w:bCs/>
          <w:sz w:val="24"/>
          <w:szCs w:val="24"/>
          <w:u w:val="single"/>
        </w:rPr>
      </w:pPr>
    </w:p>
    <w:p w14:paraId="0090E499" w14:textId="4561B294" w:rsidR="00E64EF0" w:rsidRDefault="00E64EF0" w:rsidP="003031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Veselības ministrijas ieskatā nepieciešams veikt </w:t>
      </w:r>
      <w:r w:rsidR="009C1822">
        <w:rPr>
          <w:rFonts w:ascii="Times New Roman" w:hAnsi="Times New Roman" w:cs="Times New Roman"/>
          <w:sz w:val="24"/>
          <w:szCs w:val="24"/>
        </w:rPr>
        <w:t>testēšanu par valsts budžeta līdzekļiem sekojošos gadījumos:</w:t>
      </w:r>
    </w:p>
    <w:p w14:paraId="500CAB3C" w14:textId="77777777" w:rsidR="009C1822" w:rsidRDefault="009C1822" w:rsidP="0030314F">
      <w:pPr>
        <w:spacing w:after="0" w:line="240" w:lineRule="auto"/>
        <w:ind w:firstLine="720"/>
        <w:jc w:val="both"/>
        <w:rPr>
          <w:rFonts w:ascii="Times New Roman" w:hAnsi="Times New Roman" w:cs="Times New Roman"/>
          <w:sz w:val="24"/>
          <w:szCs w:val="24"/>
        </w:rPr>
      </w:pPr>
    </w:p>
    <w:p w14:paraId="3512FAAF" w14:textId="1E38C36C" w:rsidR="009C1822" w:rsidRPr="009C1822" w:rsidRDefault="009C1822" w:rsidP="009C1822">
      <w:pPr>
        <w:pStyle w:val="ListParagraph"/>
        <w:numPr>
          <w:ilvl w:val="1"/>
          <w:numId w:val="9"/>
        </w:numPr>
        <w:spacing w:after="0" w:line="240" w:lineRule="auto"/>
        <w:jc w:val="both"/>
        <w:rPr>
          <w:rFonts w:ascii="Times New Roman" w:eastAsia="Calibri" w:hAnsi="Times New Roman" w:cs="Times New Roman"/>
          <w:sz w:val="24"/>
          <w:szCs w:val="24"/>
          <w:u w:val="single"/>
        </w:rPr>
      </w:pPr>
      <w:r w:rsidRPr="009C1822">
        <w:rPr>
          <w:rFonts w:ascii="Times New Roman" w:eastAsia="Calibri" w:hAnsi="Times New Roman" w:cs="Times New Roman"/>
          <w:sz w:val="24"/>
          <w:szCs w:val="24"/>
          <w:u w:val="single"/>
        </w:rPr>
        <w:t>Diagnostikas nolūkos:</w:t>
      </w:r>
    </w:p>
    <w:p w14:paraId="3427CF3C" w14:textId="19E6C7FE" w:rsidR="009C1822" w:rsidRPr="009C1822" w:rsidRDefault="009C1822" w:rsidP="009C1822">
      <w:pPr>
        <w:pStyle w:val="ListParagraph"/>
        <w:numPr>
          <w:ilvl w:val="0"/>
          <w:numId w:val="14"/>
        </w:numPr>
        <w:spacing w:after="0" w:line="240" w:lineRule="auto"/>
        <w:jc w:val="both"/>
        <w:rPr>
          <w:rFonts w:ascii="Times New Roman" w:eastAsia="Calibri" w:hAnsi="Times New Roman" w:cs="Times New Roman"/>
          <w:sz w:val="24"/>
          <w:szCs w:val="24"/>
        </w:rPr>
      </w:pPr>
      <w:r w:rsidRPr="009C1822">
        <w:rPr>
          <w:rFonts w:ascii="Times New Roman" w:eastAsia="Calibri" w:hAnsi="Times New Roman" w:cs="Times New Roman"/>
          <w:sz w:val="24"/>
          <w:szCs w:val="24"/>
        </w:rPr>
        <w:t>ar klīniskām indikācijām (arī vakcinētiem)</w:t>
      </w:r>
      <w:r>
        <w:rPr>
          <w:rFonts w:ascii="Times New Roman" w:eastAsia="Calibri" w:hAnsi="Times New Roman" w:cs="Times New Roman"/>
          <w:sz w:val="24"/>
          <w:szCs w:val="24"/>
        </w:rPr>
        <w:t>,</w:t>
      </w:r>
    </w:p>
    <w:p w14:paraId="78327F76" w14:textId="34A41931" w:rsidR="009C1822" w:rsidRPr="009C1822" w:rsidRDefault="009C1822" w:rsidP="009C1822">
      <w:pPr>
        <w:pStyle w:val="ListParagraph"/>
        <w:numPr>
          <w:ilvl w:val="0"/>
          <w:numId w:val="14"/>
        </w:numPr>
        <w:spacing w:after="0" w:line="240" w:lineRule="auto"/>
        <w:jc w:val="both"/>
        <w:rPr>
          <w:rFonts w:ascii="Times New Roman" w:eastAsia="Calibri" w:hAnsi="Times New Roman" w:cs="Times New Roman"/>
          <w:sz w:val="24"/>
          <w:szCs w:val="24"/>
        </w:rPr>
      </w:pPr>
      <w:r w:rsidRPr="009C1822">
        <w:rPr>
          <w:rFonts w:ascii="Times New Roman" w:eastAsia="Calibri" w:hAnsi="Times New Roman" w:cs="Times New Roman"/>
          <w:sz w:val="24"/>
          <w:szCs w:val="24"/>
        </w:rPr>
        <w:t xml:space="preserve">apstiprinošais tests, ja maksas </w:t>
      </w:r>
      <w:proofErr w:type="spellStart"/>
      <w:r w:rsidRPr="009C1822">
        <w:rPr>
          <w:rFonts w:ascii="Times New Roman" w:eastAsia="Calibri" w:hAnsi="Times New Roman" w:cs="Times New Roman"/>
          <w:sz w:val="24"/>
          <w:szCs w:val="24"/>
        </w:rPr>
        <w:t>skrīnings</w:t>
      </w:r>
      <w:proofErr w:type="spellEnd"/>
      <w:r w:rsidRPr="009C1822">
        <w:rPr>
          <w:rFonts w:ascii="Times New Roman" w:eastAsia="Calibri" w:hAnsi="Times New Roman" w:cs="Times New Roman"/>
          <w:sz w:val="24"/>
          <w:szCs w:val="24"/>
        </w:rPr>
        <w:t xml:space="preserve"> vai antigēnu tests ir pozitīvs</w:t>
      </w:r>
      <w:r>
        <w:rPr>
          <w:rFonts w:ascii="Times New Roman" w:eastAsia="Calibri" w:hAnsi="Times New Roman" w:cs="Times New Roman"/>
          <w:sz w:val="24"/>
          <w:szCs w:val="24"/>
        </w:rPr>
        <w:t>,</w:t>
      </w:r>
    </w:p>
    <w:p w14:paraId="4450CABA" w14:textId="34480990" w:rsidR="009C1822" w:rsidRDefault="009C1822" w:rsidP="009C1822">
      <w:pPr>
        <w:pStyle w:val="ListParagraph"/>
        <w:numPr>
          <w:ilvl w:val="0"/>
          <w:numId w:val="14"/>
        </w:numPr>
        <w:spacing w:after="0" w:line="240" w:lineRule="auto"/>
        <w:jc w:val="both"/>
        <w:rPr>
          <w:rFonts w:ascii="Times New Roman" w:eastAsia="Calibri" w:hAnsi="Times New Roman" w:cs="Times New Roman"/>
          <w:sz w:val="24"/>
          <w:szCs w:val="24"/>
        </w:rPr>
      </w:pPr>
      <w:r w:rsidRPr="009C1822">
        <w:rPr>
          <w:rFonts w:ascii="Times New Roman" w:eastAsia="Calibri" w:hAnsi="Times New Roman" w:cs="Times New Roman"/>
          <w:sz w:val="24"/>
          <w:szCs w:val="24"/>
        </w:rPr>
        <w:t>antivielu testi pacientiem ar neskaidru anam</w:t>
      </w:r>
      <w:r w:rsidR="00933446">
        <w:rPr>
          <w:rFonts w:ascii="Times New Roman" w:eastAsia="Calibri" w:hAnsi="Times New Roman" w:cs="Times New Roman"/>
          <w:sz w:val="24"/>
          <w:szCs w:val="24"/>
        </w:rPr>
        <w:t>n</w:t>
      </w:r>
      <w:r w:rsidRPr="009C1822">
        <w:rPr>
          <w:rFonts w:ascii="Times New Roman" w:eastAsia="Calibri" w:hAnsi="Times New Roman" w:cs="Times New Roman"/>
          <w:sz w:val="24"/>
          <w:szCs w:val="24"/>
        </w:rPr>
        <w:t>ēzi</w:t>
      </w:r>
      <w:r>
        <w:rPr>
          <w:rFonts w:ascii="Times New Roman" w:eastAsia="Calibri" w:hAnsi="Times New Roman" w:cs="Times New Roman"/>
          <w:sz w:val="24"/>
          <w:szCs w:val="24"/>
        </w:rPr>
        <w:t>.</w:t>
      </w:r>
    </w:p>
    <w:p w14:paraId="4AA3B2B4" w14:textId="5C29FA99" w:rsidR="00933446" w:rsidRPr="007B5447" w:rsidRDefault="00933446" w:rsidP="00933446">
      <w:pPr>
        <w:pStyle w:val="ListParagraph"/>
        <w:numPr>
          <w:ilvl w:val="1"/>
          <w:numId w:val="9"/>
        </w:num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Pr="007B5447">
        <w:rPr>
          <w:rFonts w:ascii="Times New Roman" w:eastAsia="Calibri" w:hAnsi="Times New Roman" w:cs="Times New Roman"/>
          <w:sz w:val="24"/>
          <w:szCs w:val="24"/>
          <w:u w:val="single"/>
        </w:rPr>
        <w:t>Epidemioloģiskās indikācijas</w:t>
      </w:r>
    </w:p>
    <w:p w14:paraId="0880BD81" w14:textId="77777777" w:rsidR="00A1709B" w:rsidRPr="00CE7737" w:rsidRDefault="00A1709B" w:rsidP="00A1709B">
      <w:pPr>
        <w:spacing w:after="0" w:line="240" w:lineRule="auto"/>
        <w:ind w:firstLine="720"/>
        <w:jc w:val="both"/>
        <w:rPr>
          <w:rFonts w:ascii="Times New Roman" w:hAnsi="Times New Roman" w:cs="Times New Roman"/>
          <w:sz w:val="24"/>
          <w:szCs w:val="24"/>
          <w:u w:val="single"/>
        </w:rPr>
      </w:pPr>
    </w:p>
    <w:p w14:paraId="5D25FB45" w14:textId="306AB3CE" w:rsidR="00A1709B" w:rsidRPr="00A1709B" w:rsidRDefault="00A1709B" w:rsidP="00A1709B">
      <w:pPr>
        <w:spacing w:after="0" w:line="240" w:lineRule="auto"/>
        <w:ind w:firstLine="720"/>
        <w:jc w:val="both"/>
        <w:rPr>
          <w:rFonts w:ascii="Times New Roman" w:hAnsi="Times New Roman" w:cs="Times New Roman"/>
          <w:sz w:val="24"/>
          <w:szCs w:val="24"/>
        </w:rPr>
      </w:pPr>
      <w:r w:rsidRPr="00A1709B">
        <w:rPr>
          <w:rFonts w:ascii="Times New Roman" w:hAnsi="Times New Roman" w:cs="Times New Roman"/>
          <w:sz w:val="24"/>
          <w:szCs w:val="24"/>
        </w:rPr>
        <w:t xml:space="preserve">Pēc noteiktām epidemioloģiskajām indikācijām (piem., strauja epidemioloģiskās situācijas pasliktināšanās, liels uzliesmojums, trauksmes signāls pēc notekūdens monitoringa) arī turpmāk plānots organizēt plaša mēroga laboratoriskais </w:t>
      </w:r>
      <w:proofErr w:type="spellStart"/>
      <w:r w:rsidRPr="00A1709B">
        <w:rPr>
          <w:rFonts w:ascii="Times New Roman" w:hAnsi="Times New Roman" w:cs="Times New Roman"/>
          <w:sz w:val="24"/>
          <w:szCs w:val="24"/>
        </w:rPr>
        <w:t>skrīnings</w:t>
      </w:r>
      <w:proofErr w:type="spellEnd"/>
      <w:r w:rsidRPr="00A1709B">
        <w:rPr>
          <w:rFonts w:ascii="Times New Roman" w:hAnsi="Times New Roman" w:cs="Times New Roman"/>
          <w:sz w:val="24"/>
          <w:szCs w:val="24"/>
        </w:rPr>
        <w:t xml:space="preserve"> Covid-19 skartajā administratīvajā teritorijā. </w:t>
      </w:r>
      <w:proofErr w:type="spellStart"/>
      <w:r w:rsidRPr="00A1709B">
        <w:rPr>
          <w:rFonts w:ascii="Times New Roman" w:hAnsi="Times New Roman" w:cs="Times New Roman"/>
          <w:sz w:val="24"/>
          <w:szCs w:val="24"/>
        </w:rPr>
        <w:t>Skrīnings</w:t>
      </w:r>
      <w:proofErr w:type="spellEnd"/>
      <w:r w:rsidRPr="00A1709B">
        <w:rPr>
          <w:rFonts w:ascii="Times New Roman" w:hAnsi="Times New Roman" w:cs="Times New Roman"/>
          <w:sz w:val="24"/>
          <w:szCs w:val="24"/>
        </w:rPr>
        <w:t xml:space="preserve"> veicams, izmantojot siekalu paraugu testēšanu. Testēšanai tiek pakļautas iestādes un objekti, kur ir iespējama strauja infekcijas izplatīšanās (izglītības iestādes, valsts un pašvaldību iestādes, uzņēmumi u. c.) un pēc situācijas citi iedzīvotāji. Masu testēšanu organizē attiecīgā pašvaldība, konsultējoties ar SPKC un nodrošinot attiecīgā laboratoriskā aprīkojuma sadali, paraugu vākšanu un nodošanu laboratorijā.</w:t>
      </w:r>
    </w:p>
    <w:p w14:paraId="6E9A57F5" w14:textId="77777777" w:rsidR="009C1822" w:rsidRPr="009C1822" w:rsidRDefault="009C1822" w:rsidP="009C1822">
      <w:pPr>
        <w:spacing w:after="0" w:line="240" w:lineRule="auto"/>
        <w:jc w:val="both"/>
        <w:rPr>
          <w:rFonts w:ascii="Times New Roman" w:eastAsia="Calibri" w:hAnsi="Times New Roman" w:cs="Times New Roman"/>
          <w:sz w:val="24"/>
          <w:szCs w:val="24"/>
        </w:rPr>
      </w:pPr>
    </w:p>
    <w:p w14:paraId="6A7E1AF5" w14:textId="632B6D70" w:rsidR="009C1822" w:rsidRDefault="009C1822" w:rsidP="009C1822">
      <w:pPr>
        <w:pStyle w:val="ListParagraph"/>
        <w:numPr>
          <w:ilvl w:val="1"/>
          <w:numId w:val="9"/>
        </w:numPr>
        <w:spacing w:after="0" w:line="240" w:lineRule="auto"/>
        <w:jc w:val="both"/>
        <w:rPr>
          <w:rFonts w:ascii="Times New Roman" w:eastAsia="Calibri" w:hAnsi="Times New Roman" w:cs="Times New Roman"/>
          <w:sz w:val="24"/>
          <w:szCs w:val="24"/>
          <w:u w:val="single"/>
        </w:rPr>
      </w:pPr>
      <w:r w:rsidRPr="009C1822">
        <w:rPr>
          <w:rFonts w:ascii="Times New Roman" w:eastAsia="Calibri" w:hAnsi="Times New Roman" w:cs="Times New Roman"/>
          <w:sz w:val="24"/>
          <w:szCs w:val="24"/>
          <w:u w:val="single"/>
        </w:rPr>
        <w:t>Epidemioloģiskās uzraudzības nolūkos</w:t>
      </w:r>
      <w:r w:rsidR="00933446">
        <w:rPr>
          <w:rFonts w:ascii="Times New Roman" w:eastAsia="Calibri" w:hAnsi="Times New Roman" w:cs="Times New Roman"/>
          <w:sz w:val="24"/>
          <w:szCs w:val="24"/>
          <w:u w:val="single"/>
        </w:rPr>
        <w:t xml:space="preserve"> -  </w:t>
      </w:r>
      <w:r w:rsidRPr="009C1822">
        <w:rPr>
          <w:rFonts w:ascii="Times New Roman" w:eastAsia="Calibri" w:hAnsi="Times New Roman" w:cs="Times New Roman"/>
          <w:sz w:val="24"/>
          <w:szCs w:val="24"/>
          <w:u w:val="single"/>
        </w:rPr>
        <w:t>vīrusa sekvencēšana</w:t>
      </w:r>
    </w:p>
    <w:p w14:paraId="5D1F82DF" w14:textId="77777777" w:rsidR="00A1709B" w:rsidRPr="00373C31" w:rsidRDefault="00A1709B" w:rsidP="00A1709B">
      <w:pPr>
        <w:pStyle w:val="NormalWeb"/>
        <w:spacing w:before="0" w:beforeAutospacing="0" w:after="0" w:afterAutospacing="0"/>
        <w:ind w:firstLine="720"/>
        <w:jc w:val="both"/>
        <w:rPr>
          <w:color w:val="000000"/>
        </w:rPr>
      </w:pPr>
      <w:r w:rsidRPr="00373C31">
        <w:rPr>
          <w:color w:val="000000"/>
        </w:rPr>
        <w:t>Vienlaikus, ņemot vērā epidemioloģiskās situācijas attīstību pasaulē un dažādu Covid-19 vīrusa celmu izplatīšanos, lai plānotu iespējamo situācijas attīstību un veiktu pasākumus, kas ļautu ierobežot jauno celmu izplatīšanos, tiek veikts izmeklējums – paraugu sekvencēšana, Covid-19 vīrusa celmu identificēšanai Covid-19 pozitīvām personām. Minētais izmeklējums tiek veikts vidēji katram trešajam pozitīvajam Covid-19 paraugam.</w:t>
      </w:r>
    </w:p>
    <w:p w14:paraId="1CEC8419" w14:textId="0CBBAFE5" w:rsidR="00A1709B" w:rsidRPr="00373C31" w:rsidRDefault="00A1709B" w:rsidP="00A1709B">
      <w:pPr>
        <w:pStyle w:val="NormalWeb"/>
        <w:spacing w:before="0" w:beforeAutospacing="0" w:after="0" w:afterAutospacing="0"/>
        <w:ind w:firstLine="720"/>
        <w:jc w:val="both"/>
        <w:rPr>
          <w:color w:val="000000"/>
        </w:rPr>
      </w:pPr>
      <w:r w:rsidRPr="00373C31">
        <w:rPr>
          <w:color w:val="000000"/>
        </w:rPr>
        <w:t>Pozitīvo paraugu sekvencēšanu rekomendēts pielietot Covid-19 infekcijas neskaidru vai smagu klīnisko gadījumu kā arī nāves gadījumu izmeklēšanā.  Svarīgi ir veikt arī nejaušu (</w:t>
      </w:r>
      <w:proofErr w:type="spellStart"/>
      <w:r w:rsidRPr="00373C31">
        <w:rPr>
          <w:color w:val="000000"/>
        </w:rPr>
        <w:t>randomiz</w:t>
      </w:r>
      <w:r w:rsidR="00933446">
        <w:rPr>
          <w:color w:val="000000"/>
        </w:rPr>
        <w:t>ētu</w:t>
      </w:r>
      <w:proofErr w:type="spellEnd"/>
      <w:r w:rsidRPr="00373C31">
        <w:rPr>
          <w:color w:val="000000"/>
        </w:rPr>
        <w:t xml:space="preserve">) paraugu atlasi vīrusa jauno celmu uzraudzībai. Nejauša paraugu atlase ir sevišķi nozīmīga vīrusa mainības jeb mutācijas dēļ, kas ļauj identificēt un izsekot jaunās vīrusa mutācijas. Sekvencēšanas metodes pielieto molekulāri epidemioloģiskiem izmeklējumiem vīrusa izplatīšanās ceļu un radniecības noteikšanai dažādos reģionos, kā arī vīrusa izplatībā dažādu populāciju grupās un </w:t>
      </w:r>
      <w:proofErr w:type="spellStart"/>
      <w:r w:rsidRPr="00373C31">
        <w:rPr>
          <w:color w:val="000000"/>
        </w:rPr>
        <w:t>intrahospitālās</w:t>
      </w:r>
      <w:proofErr w:type="spellEnd"/>
      <w:r w:rsidRPr="00373C31">
        <w:rPr>
          <w:color w:val="000000"/>
        </w:rPr>
        <w:t xml:space="preserve"> infekcijas gadījumu atšifrēšanai.</w:t>
      </w:r>
    </w:p>
    <w:p w14:paraId="389479D1" w14:textId="77777777" w:rsidR="00A1709B" w:rsidRPr="00373C31" w:rsidRDefault="00A1709B" w:rsidP="00A1709B">
      <w:pPr>
        <w:pStyle w:val="NormalWeb"/>
        <w:spacing w:before="0" w:beforeAutospacing="0" w:after="0" w:afterAutospacing="0"/>
        <w:ind w:firstLine="720"/>
        <w:jc w:val="both"/>
        <w:rPr>
          <w:color w:val="000000"/>
        </w:rPr>
      </w:pPr>
      <w:r w:rsidRPr="00373C31">
        <w:rPr>
          <w:color w:val="000000"/>
        </w:rPr>
        <w:t xml:space="preserve"> Atbilstoši normatīvajos aktos minētajam,</w:t>
      </w:r>
      <w:r w:rsidRPr="00373C31">
        <w:rPr>
          <w:rStyle w:val="FootnoteReference"/>
          <w:color w:val="000000"/>
        </w:rPr>
        <w:footnoteReference w:id="7"/>
      </w:r>
      <w:r w:rsidRPr="00373C31">
        <w:rPr>
          <w:color w:val="000000"/>
        </w:rPr>
        <w:t xml:space="preserve"> Nacionālajai mikrobioloģijas references laboratorijai (turpmāk – NRL) veic Covid-19 pozitīvo paraugu, savākšanu, glabāšanu un sekvencēšanu, lai operatīvi nodrošināt jaunu SARS-CoV-2 vīrusu variantu vai paveidu agrīnu atklāšanu, izmantojot sekvencēšanas metodi.</w:t>
      </w:r>
    </w:p>
    <w:p w14:paraId="52555216" w14:textId="77777777" w:rsidR="009C1822" w:rsidRPr="009C1822" w:rsidRDefault="009C1822" w:rsidP="009C1822">
      <w:pPr>
        <w:spacing w:after="0" w:line="240" w:lineRule="auto"/>
        <w:jc w:val="both"/>
        <w:rPr>
          <w:rFonts w:ascii="Times New Roman" w:eastAsia="Calibri" w:hAnsi="Times New Roman" w:cs="Times New Roman"/>
          <w:sz w:val="24"/>
          <w:szCs w:val="24"/>
        </w:rPr>
      </w:pPr>
    </w:p>
    <w:p w14:paraId="45659BC3" w14:textId="6901AA51" w:rsidR="009C1822" w:rsidRPr="007B5447" w:rsidRDefault="009C1822" w:rsidP="00D96F5E">
      <w:pPr>
        <w:pStyle w:val="ListParagraph"/>
        <w:numPr>
          <w:ilvl w:val="1"/>
          <w:numId w:val="9"/>
        </w:numPr>
        <w:spacing w:after="0" w:line="240" w:lineRule="auto"/>
        <w:jc w:val="both"/>
        <w:rPr>
          <w:rFonts w:ascii="Times New Roman" w:eastAsia="Calibri" w:hAnsi="Times New Roman" w:cs="Times New Roman"/>
          <w:sz w:val="24"/>
          <w:szCs w:val="24"/>
        </w:rPr>
      </w:pPr>
      <w:r w:rsidRPr="007B5447">
        <w:rPr>
          <w:rFonts w:ascii="Times New Roman" w:eastAsia="Calibri" w:hAnsi="Times New Roman" w:cs="Times New Roman"/>
          <w:sz w:val="24"/>
          <w:szCs w:val="24"/>
          <w:u w:val="single"/>
        </w:rPr>
        <w:t>Testēšana personām, k</w:t>
      </w:r>
      <w:r w:rsidR="00933446" w:rsidRPr="007B5447">
        <w:rPr>
          <w:rFonts w:ascii="Times New Roman" w:eastAsia="Calibri" w:hAnsi="Times New Roman" w:cs="Times New Roman"/>
          <w:sz w:val="24"/>
          <w:szCs w:val="24"/>
          <w:u w:val="single"/>
        </w:rPr>
        <w:t xml:space="preserve">urām Covid-19 vakcinācija ir </w:t>
      </w:r>
      <w:r w:rsidRPr="007B5447">
        <w:rPr>
          <w:rFonts w:ascii="Times New Roman" w:eastAsia="Calibri" w:hAnsi="Times New Roman" w:cs="Times New Roman"/>
          <w:sz w:val="24"/>
          <w:szCs w:val="24"/>
          <w:u w:val="single"/>
        </w:rPr>
        <w:t xml:space="preserve"> </w:t>
      </w:r>
      <w:proofErr w:type="spellStart"/>
      <w:r w:rsidRPr="007B5447">
        <w:rPr>
          <w:rFonts w:ascii="Times New Roman" w:eastAsia="Calibri" w:hAnsi="Times New Roman" w:cs="Times New Roman"/>
          <w:sz w:val="24"/>
          <w:szCs w:val="24"/>
          <w:u w:val="single"/>
        </w:rPr>
        <w:t>kontrindicēta</w:t>
      </w:r>
      <w:proofErr w:type="spellEnd"/>
      <w:r w:rsidRPr="007B5447">
        <w:rPr>
          <w:rFonts w:ascii="Times New Roman" w:eastAsia="Calibri" w:hAnsi="Times New Roman" w:cs="Times New Roman"/>
          <w:sz w:val="24"/>
          <w:szCs w:val="24"/>
          <w:u w:val="single"/>
        </w:rPr>
        <w:t xml:space="preserve"> vai atlikta </w:t>
      </w:r>
      <w:r w:rsidR="00933446" w:rsidRPr="007B5447">
        <w:rPr>
          <w:rFonts w:ascii="Times New Roman" w:eastAsia="Calibri" w:hAnsi="Times New Roman" w:cs="Times New Roman"/>
          <w:sz w:val="24"/>
          <w:szCs w:val="24"/>
          <w:u w:val="single"/>
        </w:rPr>
        <w:t>uz noteiktu laiku</w:t>
      </w:r>
    </w:p>
    <w:p w14:paraId="2A34AF11" w14:textId="2A73ABD3" w:rsidR="009C1822" w:rsidRDefault="009C1822" w:rsidP="009C1822">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xml:space="preserve">Atbilstoši nozares speciālistu sniegtajam viedoklim, praksē ir sastopami atsevišķi gadījumi, kad vakcinācija pret Covid-19 medicīnisku indikāciju dēļ ir atliekama uz noteiktu laiku vai atsevišķos gadījumos </w:t>
      </w:r>
      <w:proofErr w:type="spellStart"/>
      <w:r>
        <w:rPr>
          <w:rFonts w:ascii="Times New Roman" w:hAnsi="Times New Roman" w:cs="Times New Roman"/>
          <w:color w:val="000000"/>
          <w:sz w:val="24"/>
          <w:szCs w:val="24"/>
          <w:bdr w:val="none" w:sz="0" w:space="0" w:color="auto" w:frame="1"/>
        </w:rPr>
        <w:t>kontrindicēta</w:t>
      </w:r>
      <w:proofErr w:type="spellEnd"/>
      <w:r>
        <w:rPr>
          <w:rFonts w:ascii="Times New Roman" w:hAnsi="Times New Roman" w:cs="Times New Roman"/>
          <w:color w:val="000000"/>
          <w:sz w:val="24"/>
          <w:szCs w:val="24"/>
          <w:bdr w:val="none" w:sz="0" w:space="0" w:color="auto" w:frame="1"/>
        </w:rPr>
        <w:t xml:space="preserve">. Minētajai iedzīvotāju grupai, nepieciešamības gadījumā, svarīgi saglabāt iespēju veikt </w:t>
      </w:r>
      <w:r>
        <w:rPr>
          <w:rFonts w:ascii="Times New Roman" w:hAnsi="Times New Roman" w:cs="Times New Roman"/>
          <w:sz w:val="24"/>
          <w:szCs w:val="24"/>
        </w:rPr>
        <w:t xml:space="preserve">rutīnas laboratorisko </w:t>
      </w:r>
      <w:proofErr w:type="spellStart"/>
      <w:r>
        <w:rPr>
          <w:rFonts w:ascii="Times New Roman" w:hAnsi="Times New Roman" w:cs="Times New Roman"/>
          <w:sz w:val="24"/>
          <w:szCs w:val="24"/>
        </w:rPr>
        <w:t>skrīningu</w:t>
      </w:r>
      <w:proofErr w:type="spellEnd"/>
      <w:r>
        <w:rPr>
          <w:rFonts w:ascii="Times New Roman" w:hAnsi="Times New Roman" w:cs="Times New Roman"/>
          <w:sz w:val="24"/>
          <w:szCs w:val="24"/>
        </w:rPr>
        <w:t xml:space="preserve"> par valsts budžeta līdzekļiem, piemēram, darba pienākumu veikšanai.</w:t>
      </w:r>
    </w:p>
    <w:p w14:paraId="422CD80C" w14:textId="77777777" w:rsidR="009C1822" w:rsidRDefault="009C1822" w:rsidP="009C18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Atbilstoši diskusijām ar nozares speciālistiem, rutīnas </w:t>
      </w:r>
      <w:proofErr w:type="spellStart"/>
      <w:r>
        <w:rPr>
          <w:rFonts w:ascii="Times New Roman" w:hAnsi="Times New Roman" w:cs="Times New Roman"/>
          <w:sz w:val="24"/>
          <w:szCs w:val="24"/>
        </w:rPr>
        <w:t>skrīnings</w:t>
      </w:r>
      <w:proofErr w:type="spellEnd"/>
      <w:r>
        <w:rPr>
          <w:rFonts w:ascii="Times New Roman" w:hAnsi="Times New Roman" w:cs="Times New Roman"/>
          <w:sz w:val="24"/>
          <w:szCs w:val="24"/>
        </w:rPr>
        <w:t xml:space="preserve"> no valsts budžeta līdzekļiem, būtu nodrošināms:</w:t>
      </w:r>
    </w:p>
    <w:p w14:paraId="4D691907" w14:textId="77777777" w:rsidR="009C1822" w:rsidRDefault="009C1822" w:rsidP="009C1822">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7918F0">
        <w:rPr>
          <w:rFonts w:ascii="Times New Roman" w:hAnsi="Times New Roman" w:cs="Times New Roman"/>
          <w:sz w:val="24"/>
          <w:szCs w:val="24"/>
        </w:rPr>
        <w:t>erson</w:t>
      </w:r>
      <w:r>
        <w:rPr>
          <w:rFonts w:ascii="Times New Roman" w:hAnsi="Times New Roman" w:cs="Times New Roman"/>
          <w:sz w:val="24"/>
          <w:szCs w:val="24"/>
        </w:rPr>
        <w:t>ām</w:t>
      </w:r>
      <w:r w:rsidRPr="007918F0">
        <w:rPr>
          <w:rFonts w:ascii="Times New Roman" w:hAnsi="Times New Roman" w:cs="Times New Roman"/>
          <w:sz w:val="24"/>
          <w:szCs w:val="24"/>
        </w:rPr>
        <w:t>, kurām vakcinācija</w:t>
      </w:r>
      <w:r>
        <w:rPr>
          <w:rFonts w:ascii="Times New Roman" w:hAnsi="Times New Roman" w:cs="Times New Roman"/>
          <w:sz w:val="24"/>
          <w:szCs w:val="24"/>
        </w:rPr>
        <w:t xml:space="preserve"> pret Covid-19</w:t>
      </w:r>
      <w:r w:rsidRPr="007918F0">
        <w:rPr>
          <w:rFonts w:ascii="Times New Roman" w:hAnsi="Times New Roman" w:cs="Times New Roman"/>
          <w:sz w:val="24"/>
          <w:szCs w:val="24"/>
        </w:rPr>
        <w:t xml:space="preserve"> ir </w:t>
      </w:r>
      <w:proofErr w:type="spellStart"/>
      <w:r w:rsidRPr="007918F0">
        <w:rPr>
          <w:rFonts w:ascii="Times New Roman" w:hAnsi="Times New Roman" w:cs="Times New Roman"/>
          <w:sz w:val="24"/>
          <w:szCs w:val="24"/>
        </w:rPr>
        <w:t>kontrindicēta</w:t>
      </w:r>
      <w:proofErr w:type="spellEnd"/>
      <w:r w:rsidRPr="007918F0">
        <w:rPr>
          <w:rFonts w:ascii="Times New Roman" w:hAnsi="Times New Roman" w:cs="Times New Roman"/>
          <w:sz w:val="24"/>
          <w:szCs w:val="24"/>
        </w:rPr>
        <w:t xml:space="preserve"> (</w:t>
      </w:r>
      <w:proofErr w:type="spellStart"/>
      <w:r w:rsidRPr="007918F0">
        <w:rPr>
          <w:rFonts w:ascii="Times New Roman" w:hAnsi="Times New Roman" w:cs="Times New Roman"/>
          <w:sz w:val="24"/>
          <w:szCs w:val="24"/>
        </w:rPr>
        <w:t>anafilakse</w:t>
      </w:r>
      <w:proofErr w:type="spellEnd"/>
      <w:r w:rsidRPr="007918F0">
        <w:rPr>
          <w:rFonts w:ascii="Times New Roman" w:hAnsi="Times New Roman" w:cs="Times New Roman"/>
          <w:sz w:val="24"/>
          <w:szCs w:val="24"/>
        </w:rPr>
        <w:t xml:space="preserve"> pēc </w:t>
      </w:r>
      <w:r>
        <w:rPr>
          <w:rFonts w:ascii="Times New Roman" w:hAnsi="Times New Roman" w:cs="Times New Roman"/>
          <w:sz w:val="24"/>
          <w:szCs w:val="24"/>
        </w:rPr>
        <w:t xml:space="preserve">pirmās </w:t>
      </w:r>
      <w:r w:rsidRPr="007918F0">
        <w:rPr>
          <w:rFonts w:ascii="Times New Roman" w:hAnsi="Times New Roman" w:cs="Times New Roman"/>
          <w:sz w:val="24"/>
          <w:szCs w:val="24"/>
        </w:rPr>
        <w:t>vakcīnas devas saņemšanas vai uz kādu no vakcīnas sastāvā esošām vielām);</w:t>
      </w:r>
    </w:p>
    <w:p w14:paraId="53F2051F" w14:textId="77777777" w:rsidR="009C1822" w:rsidRDefault="009C1822" w:rsidP="009C1822">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7918F0">
        <w:rPr>
          <w:rFonts w:ascii="Times New Roman" w:hAnsi="Times New Roman" w:cs="Times New Roman"/>
          <w:sz w:val="24"/>
          <w:szCs w:val="24"/>
        </w:rPr>
        <w:t>erson</w:t>
      </w:r>
      <w:r>
        <w:rPr>
          <w:rFonts w:ascii="Times New Roman" w:hAnsi="Times New Roman" w:cs="Times New Roman"/>
          <w:sz w:val="24"/>
          <w:szCs w:val="24"/>
        </w:rPr>
        <w:t>ām</w:t>
      </w:r>
      <w:r w:rsidRPr="007918F0">
        <w:rPr>
          <w:rFonts w:ascii="Times New Roman" w:hAnsi="Times New Roman" w:cs="Times New Roman"/>
          <w:sz w:val="24"/>
          <w:szCs w:val="24"/>
        </w:rPr>
        <w:t xml:space="preserve">, </w:t>
      </w:r>
      <w:r w:rsidRPr="00AE2FC5">
        <w:rPr>
          <w:rFonts w:ascii="Times New Roman" w:hAnsi="Times New Roman" w:cs="Times New Roman"/>
          <w:sz w:val="24"/>
          <w:szCs w:val="24"/>
        </w:rPr>
        <w:t>kurām vakcinācija tiek atlikta uz noteiktu laiku, atbilstoši pacienta veselības stāvoklim</w:t>
      </w:r>
      <w:r>
        <w:rPr>
          <w:rFonts w:ascii="Times New Roman" w:hAnsi="Times New Roman" w:cs="Times New Roman"/>
          <w:sz w:val="24"/>
          <w:szCs w:val="24"/>
        </w:rPr>
        <w:t>, atbilstoši rekomendācijām.</w:t>
      </w:r>
    </w:p>
    <w:p w14:paraId="06BB5F77" w14:textId="77777777" w:rsidR="009C1822" w:rsidRPr="00E46EAB" w:rsidRDefault="009C1822" w:rsidP="009C1822">
      <w:pPr>
        <w:spacing w:after="0" w:line="240" w:lineRule="auto"/>
        <w:ind w:firstLine="720"/>
        <w:jc w:val="both"/>
        <w:rPr>
          <w:rFonts w:ascii="Times New Roman" w:hAnsi="Times New Roman" w:cs="Times New Roman"/>
          <w:sz w:val="24"/>
          <w:szCs w:val="24"/>
        </w:rPr>
      </w:pPr>
      <w:r w:rsidRPr="00E46EAB">
        <w:rPr>
          <w:rFonts w:ascii="Times New Roman" w:hAnsi="Times New Roman" w:cs="Times New Roman"/>
          <w:sz w:val="24"/>
          <w:szCs w:val="24"/>
        </w:rPr>
        <w:t>P</w:t>
      </w:r>
      <w:r>
        <w:rPr>
          <w:rFonts w:ascii="Times New Roman" w:hAnsi="Times New Roman" w:cs="Times New Roman"/>
          <w:sz w:val="24"/>
          <w:szCs w:val="24"/>
        </w:rPr>
        <w:t>lānots, ka p</w:t>
      </w:r>
      <w:r w:rsidRPr="00E46EAB">
        <w:rPr>
          <w:rFonts w:ascii="Times New Roman" w:hAnsi="Times New Roman" w:cs="Times New Roman"/>
          <w:sz w:val="24"/>
          <w:szCs w:val="24"/>
        </w:rPr>
        <w:t xml:space="preserve">irmajā gadījumā pacientu uz konsīliju </w:t>
      </w:r>
      <w:proofErr w:type="spellStart"/>
      <w:r w:rsidRPr="00E46EAB">
        <w:rPr>
          <w:rFonts w:ascii="Times New Roman" w:hAnsi="Times New Roman" w:cs="Times New Roman"/>
          <w:sz w:val="24"/>
          <w:szCs w:val="24"/>
        </w:rPr>
        <w:t>nosūta</w:t>
      </w:r>
      <w:proofErr w:type="spellEnd"/>
      <w:r w:rsidRPr="00E46EAB">
        <w:rPr>
          <w:rFonts w:ascii="Times New Roman" w:hAnsi="Times New Roman" w:cs="Times New Roman"/>
          <w:sz w:val="24"/>
          <w:szCs w:val="24"/>
        </w:rPr>
        <w:t xml:space="preserve"> ģimenes ārsts, kurš sagatavo informāciju par pacienta veselības stāvokli. Konsīlij</w:t>
      </w:r>
      <w:r>
        <w:rPr>
          <w:rFonts w:ascii="Times New Roman" w:hAnsi="Times New Roman" w:cs="Times New Roman"/>
          <w:sz w:val="24"/>
          <w:szCs w:val="24"/>
        </w:rPr>
        <w:t>us plānots organizēt</w:t>
      </w:r>
      <w:r w:rsidRPr="00E46EAB">
        <w:rPr>
          <w:rFonts w:ascii="Times New Roman" w:hAnsi="Times New Roman" w:cs="Times New Roman"/>
          <w:sz w:val="24"/>
          <w:szCs w:val="24"/>
        </w:rPr>
        <w:t xml:space="preserve"> tikai klīnisko universitāšu slimnīcās</w:t>
      </w:r>
      <w:r>
        <w:rPr>
          <w:rFonts w:ascii="Times New Roman" w:hAnsi="Times New Roman" w:cs="Times New Roman"/>
          <w:sz w:val="24"/>
          <w:szCs w:val="24"/>
        </w:rPr>
        <w:t>.</w:t>
      </w:r>
    </w:p>
    <w:p w14:paraId="5D4A0C9B" w14:textId="77777777" w:rsidR="009C1822" w:rsidRPr="00E46EAB" w:rsidRDefault="009C1822" w:rsidP="009C1822">
      <w:pPr>
        <w:spacing w:after="0" w:line="240" w:lineRule="auto"/>
        <w:ind w:firstLine="720"/>
        <w:jc w:val="both"/>
        <w:rPr>
          <w:rFonts w:ascii="Times New Roman" w:hAnsi="Times New Roman" w:cs="Times New Roman"/>
          <w:sz w:val="24"/>
          <w:szCs w:val="24"/>
        </w:rPr>
      </w:pPr>
      <w:r w:rsidRPr="00E46EAB">
        <w:rPr>
          <w:rFonts w:ascii="Times New Roman" w:hAnsi="Times New Roman" w:cs="Times New Roman"/>
          <w:sz w:val="24"/>
          <w:szCs w:val="24"/>
        </w:rPr>
        <w:t>Savukārt otrajā gadījumā ārsts speciālists klīnisko universitāšu slimnīcās sagatavo izziņu 027 U formā un izsniedz pacientam, izziņā norādot vakcinācijas atlikšanas iemeslu un laika periodu uz kādu vakcinācija atliekama.</w:t>
      </w:r>
    </w:p>
    <w:p w14:paraId="22F19D85" w14:textId="77777777" w:rsidR="009C1822" w:rsidRDefault="009C1822" w:rsidP="009C1822">
      <w:pPr>
        <w:pStyle w:val="ListParagraph"/>
        <w:spacing w:after="0" w:line="240" w:lineRule="auto"/>
        <w:ind w:left="1080"/>
        <w:jc w:val="both"/>
        <w:rPr>
          <w:rFonts w:ascii="Times New Roman" w:eastAsia="Calibri" w:hAnsi="Times New Roman" w:cs="Times New Roman"/>
          <w:sz w:val="24"/>
          <w:szCs w:val="24"/>
        </w:rPr>
      </w:pPr>
    </w:p>
    <w:p w14:paraId="4F7BD445" w14:textId="70902629" w:rsidR="009C1822" w:rsidRPr="009C1822" w:rsidRDefault="00933446" w:rsidP="009C1822">
      <w:pPr>
        <w:pStyle w:val="ListParagraph"/>
        <w:numPr>
          <w:ilvl w:val="1"/>
          <w:numId w:val="9"/>
        </w:num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 Rutīnas </w:t>
      </w:r>
      <w:proofErr w:type="spellStart"/>
      <w:r>
        <w:rPr>
          <w:rFonts w:ascii="Times New Roman" w:eastAsia="Calibri" w:hAnsi="Times New Roman" w:cs="Times New Roman"/>
          <w:sz w:val="24"/>
          <w:szCs w:val="24"/>
          <w:u w:val="single"/>
        </w:rPr>
        <w:t>skrīninga</w:t>
      </w:r>
      <w:proofErr w:type="spellEnd"/>
      <w:r>
        <w:rPr>
          <w:rFonts w:ascii="Times New Roman" w:eastAsia="Calibri" w:hAnsi="Times New Roman" w:cs="Times New Roman"/>
          <w:sz w:val="24"/>
          <w:szCs w:val="24"/>
          <w:u w:val="single"/>
        </w:rPr>
        <w:t xml:space="preserve"> nolūkos r</w:t>
      </w:r>
      <w:r w:rsidR="009C1822" w:rsidRPr="009C1822">
        <w:rPr>
          <w:rFonts w:ascii="Times New Roman" w:eastAsia="Calibri" w:hAnsi="Times New Roman" w:cs="Times New Roman"/>
          <w:sz w:val="24"/>
          <w:szCs w:val="24"/>
          <w:u w:val="single"/>
        </w:rPr>
        <w:t>iska grupās</w:t>
      </w:r>
    </w:p>
    <w:p w14:paraId="007B84C1" w14:textId="77777777" w:rsidR="009C1822" w:rsidRPr="009C1822" w:rsidRDefault="009C1822" w:rsidP="009C1822">
      <w:pPr>
        <w:spacing w:after="0" w:line="240" w:lineRule="auto"/>
        <w:jc w:val="both"/>
        <w:rPr>
          <w:rFonts w:ascii="Times New Roman" w:eastAsia="Calibri" w:hAnsi="Times New Roman" w:cs="Times New Roman"/>
          <w:sz w:val="24"/>
          <w:szCs w:val="24"/>
        </w:rPr>
      </w:pPr>
    </w:p>
    <w:p w14:paraId="0EA3CC2E" w14:textId="66BEB902" w:rsidR="000E3584" w:rsidRDefault="00CD1D07" w:rsidP="000E3584">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Atbilstoši SPKC sniegtajam viedoklim, l</w:t>
      </w:r>
      <w:r w:rsidR="007B0556">
        <w:rPr>
          <w:rFonts w:ascii="Times New Roman" w:hAnsi="Times New Roman" w:cs="Times New Roman"/>
          <w:sz w:val="24"/>
          <w:szCs w:val="24"/>
        </w:rPr>
        <w:t xml:space="preserve">ai laikus atklātu Covid-19 infekciju personām bez simptomiem (pirms simptomu paradīšanas un gadījumos, kad infekcija norit bez simptomiem) un novērstu infekcijas izplatīšanos iestādēs un kolektīvos, un līdz ar to nodrošinātu epidemioloģiski drošu un nepārtrauktu veselības un sociālo aprūpi, izglītības procesa norisi klātienē un pakalpojumu sniegšanu, jānodrošina riska grupu </w:t>
      </w:r>
      <w:r w:rsidR="007D025D">
        <w:rPr>
          <w:rFonts w:ascii="Times New Roman" w:hAnsi="Times New Roman" w:cs="Times New Roman"/>
          <w:sz w:val="24"/>
          <w:szCs w:val="24"/>
        </w:rPr>
        <w:t xml:space="preserve">rutīnas laboratoriskais </w:t>
      </w:r>
      <w:proofErr w:type="spellStart"/>
      <w:r w:rsidR="007D025D">
        <w:rPr>
          <w:rFonts w:ascii="Times New Roman" w:hAnsi="Times New Roman" w:cs="Times New Roman"/>
          <w:sz w:val="24"/>
          <w:szCs w:val="24"/>
        </w:rPr>
        <w:t>skrīnings</w:t>
      </w:r>
      <w:proofErr w:type="spellEnd"/>
      <w:r w:rsidR="007B0556">
        <w:rPr>
          <w:rFonts w:ascii="Times New Roman" w:hAnsi="Times New Roman" w:cs="Times New Roman"/>
          <w:sz w:val="24"/>
          <w:szCs w:val="24"/>
        </w:rPr>
        <w:t xml:space="preserve"> jeb sistemātiska periodiska testēšana Covid-19 infekcijas noteikšanai. </w:t>
      </w:r>
      <w:r w:rsidR="000E3584">
        <w:rPr>
          <w:rFonts w:ascii="Times New Roman" w:hAnsi="Times New Roman" w:cs="Times New Roman"/>
          <w:sz w:val="24"/>
          <w:szCs w:val="24"/>
        </w:rPr>
        <w:t>Lai nodrošinātu drošu primāri nepieciešamo pakalpojumu sniegšanu un saņemšanu, t</w:t>
      </w:r>
      <w:r w:rsidR="00E64EF0">
        <w:rPr>
          <w:rFonts w:ascii="Times New Roman" w:hAnsi="Times New Roman" w:cs="Times New Roman"/>
          <w:sz w:val="24"/>
          <w:szCs w:val="24"/>
        </w:rPr>
        <w:t xml:space="preserve">abulā apkopota informācija par </w:t>
      </w:r>
      <w:r w:rsidR="000E3584">
        <w:rPr>
          <w:rFonts w:ascii="Times New Roman" w:hAnsi="Times New Roman" w:cs="Times New Roman"/>
          <w:sz w:val="24"/>
          <w:szCs w:val="24"/>
        </w:rPr>
        <w:t xml:space="preserve">testējamo personu grupām, kuras testējamas rutīnas laboratoriskā </w:t>
      </w:r>
      <w:proofErr w:type="spellStart"/>
      <w:r w:rsidR="000E3584">
        <w:rPr>
          <w:rFonts w:ascii="Times New Roman" w:hAnsi="Times New Roman" w:cs="Times New Roman"/>
          <w:sz w:val="24"/>
          <w:szCs w:val="24"/>
        </w:rPr>
        <w:t>skrīninga</w:t>
      </w:r>
      <w:proofErr w:type="spellEnd"/>
      <w:r w:rsidR="000E3584">
        <w:rPr>
          <w:rFonts w:ascii="Times New Roman" w:hAnsi="Times New Roman" w:cs="Times New Roman"/>
          <w:sz w:val="24"/>
          <w:szCs w:val="24"/>
        </w:rPr>
        <w:t xml:space="preserve"> ietvaros</w:t>
      </w:r>
      <w:r w:rsidR="00BF134F">
        <w:rPr>
          <w:rFonts w:ascii="Times New Roman" w:hAnsi="Times New Roman" w:cs="Times New Roman"/>
          <w:sz w:val="24"/>
          <w:szCs w:val="24"/>
        </w:rPr>
        <w:t xml:space="preserve"> par valsts budžeta līdzekļiem</w:t>
      </w:r>
      <w:r w:rsidR="000E3584">
        <w:rPr>
          <w:rFonts w:ascii="Times New Roman" w:hAnsi="Times New Roman" w:cs="Times New Roman"/>
          <w:sz w:val="24"/>
          <w:szCs w:val="24"/>
        </w:rPr>
        <w:t xml:space="preserve"> arī turpmāk (skat. 1.tabulu)</w:t>
      </w:r>
      <w:r w:rsidR="000537E1">
        <w:rPr>
          <w:rFonts w:ascii="Times New Roman" w:hAnsi="Times New Roman" w:cs="Times New Roman"/>
          <w:sz w:val="24"/>
          <w:szCs w:val="24"/>
        </w:rPr>
        <w:t>.</w:t>
      </w:r>
      <w:r w:rsidR="000E3584">
        <w:rPr>
          <w:rFonts w:ascii="Times New Roman" w:hAnsi="Times New Roman" w:cs="Times New Roman"/>
          <w:sz w:val="24"/>
          <w:szCs w:val="24"/>
        </w:rPr>
        <w:t xml:space="preserve"> </w:t>
      </w:r>
      <w:r w:rsidR="000E3584">
        <w:rPr>
          <w:rFonts w:ascii="Times New Roman" w:hAnsi="Times New Roman" w:cs="Times New Roman"/>
          <w:color w:val="000000"/>
          <w:sz w:val="24"/>
          <w:szCs w:val="24"/>
          <w:shd w:val="clear" w:color="auto" w:fill="FFFFFF"/>
        </w:rPr>
        <w:t xml:space="preserve">Neatkarīgi no personu izvēles – vakcinēties pret Covid-19 vai nē, būtiski ir saglabāt iespēju saņemt drošus veselības aprūpes pakalpojumus un </w:t>
      </w:r>
      <w:r w:rsidR="000E3584">
        <w:rPr>
          <w:rFonts w:ascii="Times New Roman" w:hAnsi="Times New Roman" w:cs="Times New Roman"/>
          <w:sz w:val="24"/>
          <w:szCs w:val="24"/>
        </w:rPr>
        <w:t>sociālās aprūpes un sociālās rehabilitācijas pakalpojumus. Būtiski arī pēc iespējas mazināt slimības izplatību un uzliesmojumus slēgtos kolektīvos.</w:t>
      </w:r>
    </w:p>
    <w:p w14:paraId="71E8F5AC" w14:textId="3CDCB2FD" w:rsidR="00E64EF0" w:rsidRDefault="00E64EF0" w:rsidP="00E64EF0">
      <w:pPr>
        <w:spacing w:after="0" w:line="240" w:lineRule="auto"/>
        <w:ind w:firstLine="720"/>
        <w:jc w:val="both"/>
        <w:rPr>
          <w:rFonts w:ascii="Times New Roman" w:hAnsi="Times New Roman" w:cs="Times New Roman"/>
          <w:sz w:val="24"/>
          <w:szCs w:val="24"/>
        </w:rPr>
      </w:pPr>
    </w:p>
    <w:p w14:paraId="7F425BD6" w14:textId="1B69983F" w:rsidR="000537E1" w:rsidRPr="000537E1" w:rsidRDefault="000537E1" w:rsidP="000537E1">
      <w:pPr>
        <w:spacing w:after="0" w:line="240" w:lineRule="auto"/>
        <w:ind w:firstLine="720"/>
        <w:jc w:val="right"/>
        <w:rPr>
          <w:rFonts w:ascii="Times New Roman" w:hAnsi="Times New Roman" w:cs="Times New Roman"/>
          <w:i/>
          <w:iCs/>
          <w:sz w:val="24"/>
          <w:szCs w:val="24"/>
        </w:rPr>
      </w:pPr>
      <w:r w:rsidRPr="000537E1">
        <w:rPr>
          <w:rFonts w:ascii="Times New Roman" w:hAnsi="Times New Roman" w:cs="Times New Roman"/>
          <w:i/>
          <w:iCs/>
          <w:sz w:val="24"/>
          <w:szCs w:val="24"/>
        </w:rPr>
        <w:t>1.tabula</w:t>
      </w:r>
    </w:p>
    <w:tbl>
      <w:tblPr>
        <w:tblStyle w:val="TableGrid"/>
        <w:tblW w:w="0" w:type="auto"/>
        <w:tblInd w:w="0" w:type="dxa"/>
        <w:tblLook w:val="04A0" w:firstRow="1" w:lastRow="0" w:firstColumn="1" w:lastColumn="0" w:noHBand="0" w:noVBand="1"/>
      </w:tblPr>
      <w:tblGrid>
        <w:gridCol w:w="1630"/>
        <w:gridCol w:w="1558"/>
        <w:gridCol w:w="5828"/>
      </w:tblGrid>
      <w:tr w:rsidR="007D025D" w14:paraId="140B5BEE" w14:textId="77777777" w:rsidTr="000537E1">
        <w:tc>
          <w:tcPr>
            <w:tcW w:w="1630" w:type="dxa"/>
            <w:tcBorders>
              <w:top w:val="single" w:sz="4" w:space="0" w:color="auto"/>
              <w:left w:val="single" w:sz="4" w:space="0" w:color="auto"/>
              <w:bottom w:val="single" w:sz="4" w:space="0" w:color="auto"/>
              <w:right w:val="single" w:sz="4" w:space="0" w:color="auto"/>
            </w:tcBorders>
            <w:hideMark/>
          </w:tcPr>
          <w:p w14:paraId="71190CBD" w14:textId="77777777" w:rsidR="007D025D" w:rsidRDefault="007D025D" w:rsidP="000A4847">
            <w:pPr>
              <w:jc w:val="center"/>
              <w:rPr>
                <w:rFonts w:ascii="Times New Roman" w:hAnsi="Times New Roman" w:cs="Times New Roman"/>
                <w:b/>
                <w:sz w:val="24"/>
                <w:szCs w:val="24"/>
              </w:rPr>
            </w:pPr>
            <w:r>
              <w:rPr>
                <w:rFonts w:ascii="Times New Roman" w:hAnsi="Times New Roman" w:cs="Times New Roman"/>
                <w:b/>
                <w:sz w:val="24"/>
                <w:szCs w:val="24"/>
              </w:rPr>
              <w:t>Mērķis</w:t>
            </w:r>
          </w:p>
        </w:tc>
        <w:tc>
          <w:tcPr>
            <w:tcW w:w="1558" w:type="dxa"/>
            <w:tcBorders>
              <w:top w:val="single" w:sz="4" w:space="0" w:color="auto"/>
              <w:left w:val="single" w:sz="4" w:space="0" w:color="auto"/>
              <w:bottom w:val="single" w:sz="4" w:space="0" w:color="auto"/>
              <w:right w:val="single" w:sz="4" w:space="0" w:color="auto"/>
            </w:tcBorders>
            <w:hideMark/>
          </w:tcPr>
          <w:p w14:paraId="690AA618" w14:textId="77777777" w:rsidR="007D025D" w:rsidRDefault="007D025D" w:rsidP="000A4847">
            <w:pPr>
              <w:jc w:val="center"/>
              <w:rPr>
                <w:rFonts w:ascii="Times New Roman" w:hAnsi="Times New Roman" w:cs="Times New Roman"/>
                <w:b/>
                <w:sz w:val="24"/>
                <w:szCs w:val="24"/>
              </w:rPr>
            </w:pPr>
            <w:r>
              <w:rPr>
                <w:rFonts w:ascii="Times New Roman" w:hAnsi="Times New Roman" w:cs="Times New Roman"/>
                <w:b/>
                <w:sz w:val="24"/>
                <w:szCs w:val="24"/>
              </w:rPr>
              <w:t>Resors</w:t>
            </w:r>
          </w:p>
        </w:tc>
        <w:tc>
          <w:tcPr>
            <w:tcW w:w="5828" w:type="dxa"/>
            <w:tcBorders>
              <w:top w:val="single" w:sz="4" w:space="0" w:color="auto"/>
              <w:left w:val="single" w:sz="4" w:space="0" w:color="auto"/>
              <w:bottom w:val="single" w:sz="4" w:space="0" w:color="auto"/>
              <w:right w:val="single" w:sz="4" w:space="0" w:color="auto"/>
            </w:tcBorders>
            <w:hideMark/>
          </w:tcPr>
          <w:p w14:paraId="5892D53D" w14:textId="77777777" w:rsidR="007D025D" w:rsidRDefault="007D025D" w:rsidP="000A4847">
            <w:pPr>
              <w:jc w:val="center"/>
              <w:rPr>
                <w:rFonts w:ascii="Times New Roman" w:hAnsi="Times New Roman" w:cs="Times New Roman"/>
                <w:b/>
                <w:sz w:val="24"/>
                <w:szCs w:val="24"/>
              </w:rPr>
            </w:pPr>
            <w:r>
              <w:rPr>
                <w:rFonts w:ascii="Times New Roman" w:hAnsi="Times New Roman" w:cs="Times New Roman"/>
                <w:b/>
                <w:sz w:val="24"/>
                <w:szCs w:val="24"/>
              </w:rPr>
              <w:t xml:space="preserve">Testējamās grupas, ja nav </w:t>
            </w:r>
            <w:proofErr w:type="spellStart"/>
            <w:r>
              <w:rPr>
                <w:rFonts w:ascii="Times New Roman" w:hAnsi="Times New Roman" w:cs="Times New Roman"/>
                <w:b/>
                <w:sz w:val="24"/>
                <w:szCs w:val="24"/>
              </w:rPr>
              <w:t>sadarbspējīga</w:t>
            </w:r>
            <w:proofErr w:type="spellEnd"/>
            <w:r>
              <w:rPr>
                <w:rFonts w:ascii="Times New Roman" w:hAnsi="Times New Roman" w:cs="Times New Roman"/>
                <w:b/>
                <w:sz w:val="24"/>
                <w:szCs w:val="24"/>
              </w:rPr>
              <w:t xml:space="preserve"> vakcinācijas vai pārslimošanas sertifikāta</w:t>
            </w:r>
          </w:p>
        </w:tc>
      </w:tr>
      <w:tr w:rsidR="007D025D" w14:paraId="02CC88EB" w14:textId="77777777" w:rsidTr="000537E1">
        <w:tc>
          <w:tcPr>
            <w:tcW w:w="1630" w:type="dxa"/>
            <w:vMerge w:val="restart"/>
            <w:tcBorders>
              <w:top w:val="single" w:sz="4" w:space="0" w:color="auto"/>
              <w:left w:val="single" w:sz="4" w:space="0" w:color="auto"/>
              <w:bottom w:val="single" w:sz="4" w:space="0" w:color="auto"/>
              <w:right w:val="single" w:sz="4" w:space="0" w:color="auto"/>
            </w:tcBorders>
            <w:hideMark/>
          </w:tcPr>
          <w:p w14:paraId="12D279FA" w14:textId="77777777" w:rsidR="007D025D" w:rsidRDefault="007D025D" w:rsidP="000A4847">
            <w:pPr>
              <w:rPr>
                <w:rFonts w:ascii="Times New Roman" w:hAnsi="Times New Roman" w:cs="Times New Roman"/>
                <w:sz w:val="24"/>
                <w:szCs w:val="24"/>
              </w:rPr>
            </w:pPr>
            <w:r>
              <w:rPr>
                <w:rFonts w:ascii="Times New Roman" w:hAnsi="Times New Roman" w:cs="Times New Roman"/>
                <w:sz w:val="24"/>
                <w:szCs w:val="24"/>
              </w:rPr>
              <w:t>Riska grupu (seniori, personas ar hroniskām slimībām, pacienti) aizsardzība</w:t>
            </w:r>
          </w:p>
        </w:tc>
        <w:tc>
          <w:tcPr>
            <w:tcW w:w="1558" w:type="dxa"/>
            <w:tcBorders>
              <w:top w:val="single" w:sz="4" w:space="0" w:color="auto"/>
              <w:left w:val="single" w:sz="4" w:space="0" w:color="auto"/>
              <w:bottom w:val="single" w:sz="4" w:space="0" w:color="auto"/>
              <w:right w:val="single" w:sz="4" w:space="0" w:color="auto"/>
            </w:tcBorders>
            <w:hideMark/>
          </w:tcPr>
          <w:p w14:paraId="2F9E2E5C" w14:textId="77777777" w:rsidR="007D025D" w:rsidRDefault="007D025D" w:rsidP="000A4847">
            <w:pPr>
              <w:jc w:val="center"/>
              <w:rPr>
                <w:rFonts w:ascii="Times New Roman" w:hAnsi="Times New Roman" w:cs="Times New Roman"/>
                <w:sz w:val="24"/>
                <w:szCs w:val="24"/>
              </w:rPr>
            </w:pPr>
            <w:r>
              <w:rPr>
                <w:rFonts w:ascii="Times New Roman" w:hAnsi="Times New Roman" w:cs="Times New Roman"/>
                <w:sz w:val="24"/>
                <w:szCs w:val="24"/>
              </w:rPr>
              <w:t>Veselības aprūpes resors</w:t>
            </w:r>
          </w:p>
        </w:tc>
        <w:tc>
          <w:tcPr>
            <w:tcW w:w="5828" w:type="dxa"/>
            <w:tcBorders>
              <w:top w:val="single" w:sz="4" w:space="0" w:color="auto"/>
              <w:left w:val="single" w:sz="4" w:space="0" w:color="auto"/>
              <w:bottom w:val="single" w:sz="4" w:space="0" w:color="auto"/>
              <w:right w:val="single" w:sz="4" w:space="0" w:color="auto"/>
            </w:tcBorders>
            <w:hideMark/>
          </w:tcPr>
          <w:p w14:paraId="62653E49" w14:textId="77777777" w:rsidR="007D025D" w:rsidRDefault="007D025D" w:rsidP="000A4847">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Stacionēti</w:t>
            </w:r>
            <w:proofErr w:type="spellEnd"/>
            <w:r>
              <w:rPr>
                <w:rFonts w:ascii="Times New Roman" w:hAnsi="Times New Roman" w:cs="Times New Roman"/>
                <w:sz w:val="24"/>
                <w:szCs w:val="24"/>
              </w:rPr>
              <w:t xml:space="preserve"> pacienti</w:t>
            </w:r>
          </w:p>
          <w:p w14:paraId="61135F91" w14:textId="77777777" w:rsidR="007D025D" w:rsidRDefault="007D025D" w:rsidP="000A484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Stacionārā ilgi aprūpējamie pacienti, kuri nav Covid-19 inficēti</w:t>
            </w:r>
          </w:p>
          <w:p w14:paraId="5A02495C" w14:textId="77777777" w:rsidR="007D025D" w:rsidRDefault="007D025D" w:rsidP="000A484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Pacientus pavadošās personas</w:t>
            </w:r>
          </w:p>
          <w:p w14:paraId="3F4630D7" w14:textId="0326E916" w:rsidR="00AE2FC5" w:rsidRDefault="00AE2FC5" w:rsidP="000A4847">
            <w:pPr>
              <w:pStyle w:val="ListParagraph"/>
              <w:numPr>
                <w:ilvl w:val="0"/>
                <w:numId w:val="6"/>
              </w:numPr>
              <w:jc w:val="both"/>
              <w:rPr>
                <w:rFonts w:ascii="Times New Roman" w:hAnsi="Times New Roman" w:cs="Times New Roman"/>
                <w:sz w:val="24"/>
                <w:szCs w:val="24"/>
              </w:rPr>
            </w:pPr>
            <w:r w:rsidRPr="00AE2FC5">
              <w:rPr>
                <w:rFonts w:ascii="Times New Roman" w:hAnsi="Times New Roman" w:cs="Times New Roman"/>
                <w:sz w:val="24"/>
                <w:szCs w:val="24"/>
              </w:rPr>
              <w:t>Personas, kurām ar ārsta konsilija lēmumu vakcinācija pret Covid-19 medicīnisku iemeslu dēļ nav veicama vai ir atliekama, kā arī personas, kurām ar ārsta speciālista izziņu vakcinācija pret Covid-19 medicīnisku iemeslu dēļ ir atlikta uz noteiktu laiku.</w:t>
            </w:r>
          </w:p>
        </w:tc>
      </w:tr>
      <w:tr w:rsidR="007D025D" w14:paraId="04B658C2" w14:textId="77777777" w:rsidTr="000537E1">
        <w:tc>
          <w:tcPr>
            <w:tcW w:w="0" w:type="auto"/>
            <w:vMerge/>
            <w:tcBorders>
              <w:top w:val="single" w:sz="4" w:space="0" w:color="auto"/>
              <w:left w:val="single" w:sz="4" w:space="0" w:color="auto"/>
              <w:bottom w:val="single" w:sz="4" w:space="0" w:color="auto"/>
              <w:right w:val="single" w:sz="4" w:space="0" w:color="auto"/>
            </w:tcBorders>
            <w:vAlign w:val="center"/>
            <w:hideMark/>
          </w:tcPr>
          <w:p w14:paraId="7BAD468E" w14:textId="77777777" w:rsidR="007D025D" w:rsidRDefault="007D025D" w:rsidP="000A484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178B5B7" w14:textId="77777777" w:rsidR="007D025D" w:rsidRDefault="007D025D" w:rsidP="000A4847">
            <w:pPr>
              <w:jc w:val="center"/>
              <w:rPr>
                <w:rFonts w:ascii="Times New Roman" w:hAnsi="Times New Roman" w:cs="Times New Roman"/>
                <w:sz w:val="24"/>
                <w:szCs w:val="24"/>
              </w:rPr>
            </w:pPr>
            <w:r>
              <w:rPr>
                <w:rFonts w:ascii="Times New Roman" w:hAnsi="Times New Roman" w:cs="Times New Roman"/>
                <w:sz w:val="24"/>
                <w:szCs w:val="24"/>
              </w:rPr>
              <w:t>Labklājības resors</w:t>
            </w:r>
          </w:p>
        </w:tc>
        <w:tc>
          <w:tcPr>
            <w:tcW w:w="5828" w:type="dxa"/>
            <w:tcBorders>
              <w:top w:val="single" w:sz="4" w:space="0" w:color="auto"/>
              <w:left w:val="single" w:sz="4" w:space="0" w:color="auto"/>
              <w:bottom w:val="single" w:sz="4" w:space="0" w:color="auto"/>
              <w:right w:val="single" w:sz="4" w:space="0" w:color="auto"/>
            </w:tcBorders>
            <w:hideMark/>
          </w:tcPr>
          <w:p w14:paraId="4EE00F43" w14:textId="0518D10A" w:rsidR="007D025D" w:rsidRDefault="007D025D" w:rsidP="000A4847">
            <w:pPr>
              <w:pStyle w:val="ListParagraph"/>
              <w:numPr>
                <w:ilvl w:val="0"/>
                <w:numId w:val="7"/>
              </w:numPr>
              <w:jc w:val="both"/>
              <w:rPr>
                <w:rFonts w:ascii="Times New Roman" w:hAnsi="Times New Roman" w:cs="Times New Roman"/>
                <w:i/>
                <w:sz w:val="24"/>
                <w:szCs w:val="24"/>
              </w:rPr>
            </w:pPr>
            <w:r>
              <w:rPr>
                <w:rFonts w:ascii="Times New Roman" w:hAnsi="Times New Roman" w:cs="Times New Roman"/>
                <w:sz w:val="24"/>
                <w:szCs w:val="24"/>
              </w:rPr>
              <w:t xml:space="preserve">Sociālo aprūpes centru, ilgstošas sociālās aprūpes un sociālās rehabilitācijas </w:t>
            </w:r>
            <w:r w:rsidR="0023548B">
              <w:rPr>
                <w:rFonts w:ascii="Times New Roman" w:hAnsi="Times New Roman" w:cs="Times New Roman"/>
                <w:sz w:val="24"/>
                <w:szCs w:val="24"/>
              </w:rPr>
              <w:t xml:space="preserve">sociālās aprūpes un sociālās rehabilitācijas </w:t>
            </w:r>
            <w:r>
              <w:rPr>
                <w:rFonts w:ascii="Times New Roman" w:hAnsi="Times New Roman" w:cs="Times New Roman"/>
                <w:sz w:val="24"/>
                <w:szCs w:val="24"/>
              </w:rPr>
              <w:t>institūciju klienti</w:t>
            </w:r>
          </w:p>
        </w:tc>
      </w:tr>
      <w:tr w:rsidR="007D025D" w:rsidRPr="007B5447" w14:paraId="01D7EFA1" w14:textId="77777777" w:rsidTr="000537E1">
        <w:tc>
          <w:tcPr>
            <w:tcW w:w="1630" w:type="dxa"/>
            <w:tcBorders>
              <w:top w:val="single" w:sz="4" w:space="0" w:color="auto"/>
              <w:left w:val="single" w:sz="4" w:space="0" w:color="auto"/>
              <w:bottom w:val="single" w:sz="4" w:space="0" w:color="auto"/>
              <w:right w:val="single" w:sz="4" w:space="0" w:color="auto"/>
            </w:tcBorders>
            <w:hideMark/>
          </w:tcPr>
          <w:p w14:paraId="6277AEAA" w14:textId="77777777" w:rsidR="007D025D" w:rsidRPr="007B5447" w:rsidRDefault="007D025D" w:rsidP="000A4847">
            <w:pPr>
              <w:rPr>
                <w:rFonts w:ascii="Times New Roman" w:hAnsi="Times New Roman" w:cs="Times New Roman"/>
                <w:sz w:val="24"/>
                <w:szCs w:val="24"/>
              </w:rPr>
            </w:pPr>
            <w:r w:rsidRPr="007B5447">
              <w:rPr>
                <w:rFonts w:ascii="Times New Roman" w:hAnsi="Times New Roman" w:cs="Times New Roman"/>
                <w:sz w:val="24"/>
                <w:szCs w:val="24"/>
              </w:rPr>
              <w:t xml:space="preserve">Mācības procesa nodrošināšana klātienē </w:t>
            </w:r>
          </w:p>
        </w:tc>
        <w:tc>
          <w:tcPr>
            <w:tcW w:w="1558" w:type="dxa"/>
            <w:tcBorders>
              <w:top w:val="single" w:sz="4" w:space="0" w:color="auto"/>
              <w:left w:val="single" w:sz="4" w:space="0" w:color="auto"/>
              <w:bottom w:val="single" w:sz="4" w:space="0" w:color="auto"/>
              <w:right w:val="single" w:sz="4" w:space="0" w:color="auto"/>
            </w:tcBorders>
            <w:hideMark/>
          </w:tcPr>
          <w:p w14:paraId="2474A5B2" w14:textId="77777777" w:rsidR="007D025D" w:rsidRPr="007B5447" w:rsidRDefault="007D025D" w:rsidP="000A4847">
            <w:pPr>
              <w:jc w:val="center"/>
              <w:rPr>
                <w:rFonts w:ascii="Times New Roman" w:hAnsi="Times New Roman" w:cs="Times New Roman"/>
                <w:sz w:val="24"/>
                <w:szCs w:val="24"/>
              </w:rPr>
            </w:pPr>
            <w:r w:rsidRPr="007B5447">
              <w:rPr>
                <w:rFonts w:ascii="Times New Roman" w:hAnsi="Times New Roman" w:cs="Times New Roman"/>
                <w:sz w:val="24"/>
                <w:szCs w:val="24"/>
              </w:rPr>
              <w:t>Izglītības un sporta resors</w:t>
            </w:r>
          </w:p>
        </w:tc>
        <w:tc>
          <w:tcPr>
            <w:tcW w:w="5828" w:type="dxa"/>
            <w:tcBorders>
              <w:top w:val="single" w:sz="4" w:space="0" w:color="auto"/>
              <w:left w:val="single" w:sz="4" w:space="0" w:color="auto"/>
              <w:bottom w:val="single" w:sz="4" w:space="0" w:color="auto"/>
              <w:right w:val="single" w:sz="4" w:space="0" w:color="auto"/>
            </w:tcBorders>
            <w:hideMark/>
          </w:tcPr>
          <w:p w14:paraId="2A0573C2" w14:textId="77777777" w:rsidR="007D025D" w:rsidRPr="007B5447" w:rsidRDefault="007D025D" w:rsidP="000A4847">
            <w:pPr>
              <w:pStyle w:val="ListParagraph"/>
              <w:numPr>
                <w:ilvl w:val="0"/>
                <w:numId w:val="8"/>
              </w:numPr>
              <w:jc w:val="both"/>
              <w:rPr>
                <w:rFonts w:ascii="Times New Roman" w:hAnsi="Times New Roman" w:cs="Times New Roman"/>
                <w:sz w:val="24"/>
                <w:szCs w:val="24"/>
              </w:rPr>
            </w:pPr>
            <w:r w:rsidRPr="007B5447">
              <w:rPr>
                <w:rFonts w:ascii="Times New Roman" w:hAnsi="Times New Roman" w:cs="Times New Roman"/>
                <w:sz w:val="24"/>
                <w:szCs w:val="24"/>
              </w:rPr>
              <w:t>Izglītojamie (skolās</w:t>
            </w:r>
            <w:r w:rsidRPr="007B5447">
              <w:rPr>
                <w:rStyle w:val="FootnoteReference"/>
                <w:rFonts w:ascii="Times New Roman" w:hAnsi="Times New Roman" w:cs="Times New Roman"/>
                <w:sz w:val="24"/>
                <w:szCs w:val="24"/>
              </w:rPr>
              <w:footnoteReference w:id="8"/>
            </w:r>
            <w:r w:rsidRPr="007B5447">
              <w:rPr>
                <w:rFonts w:ascii="Times New Roman" w:hAnsi="Times New Roman" w:cs="Times New Roman"/>
                <w:sz w:val="24"/>
                <w:szCs w:val="24"/>
              </w:rPr>
              <w:t>) no 7 gadu vecuma</w:t>
            </w:r>
          </w:p>
          <w:p w14:paraId="2E36A801" w14:textId="77777777" w:rsidR="007D025D" w:rsidRPr="007B5447" w:rsidRDefault="007D025D" w:rsidP="000A4847">
            <w:pPr>
              <w:pStyle w:val="ListParagraph"/>
              <w:numPr>
                <w:ilvl w:val="0"/>
                <w:numId w:val="8"/>
              </w:numPr>
              <w:jc w:val="both"/>
              <w:rPr>
                <w:rFonts w:ascii="Times New Roman" w:hAnsi="Times New Roman" w:cs="Times New Roman"/>
                <w:sz w:val="24"/>
                <w:szCs w:val="24"/>
              </w:rPr>
            </w:pPr>
            <w:r w:rsidRPr="007B5447">
              <w:rPr>
                <w:rFonts w:ascii="Times New Roman" w:hAnsi="Times New Roman" w:cs="Times New Roman"/>
                <w:sz w:val="24"/>
                <w:szCs w:val="24"/>
              </w:rPr>
              <w:t>Interešu izglītības un profesionālās ievirzes izglītības programmu audzēkņu</w:t>
            </w:r>
          </w:p>
        </w:tc>
      </w:tr>
      <w:tr w:rsidR="007D025D" w:rsidRPr="007B5447" w14:paraId="7B250043" w14:textId="77777777" w:rsidTr="000537E1">
        <w:tc>
          <w:tcPr>
            <w:tcW w:w="1630" w:type="dxa"/>
            <w:tcBorders>
              <w:top w:val="single" w:sz="4" w:space="0" w:color="auto"/>
              <w:left w:val="single" w:sz="4" w:space="0" w:color="auto"/>
              <w:bottom w:val="single" w:sz="4" w:space="0" w:color="auto"/>
              <w:right w:val="single" w:sz="4" w:space="0" w:color="auto"/>
            </w:tcBorders>
            <w:hideMark/>
          </w:tcPr>
          <w:p w14:paraId="5410AEFB" w14:textId="77777777" w:rsidR="007D025D" w:rsidRPr="007B5447" w:rsidRDefault="007D025D" w:rsidP="000A4847">
            <w:pPr>
              <w:rPr>
                <w:rFonts w:ascii="Times New Roman" w:hAnsi="Times New Roman" w:cs="Times New Roman"/>
                <w:sz w:val="24"/>
                <w:szCs w:val="24"/>
              </w:rPr>
            </w:pPr>
            <w:r w:rsidRPr="007B5447">
              <w:rPr>
                <w:rFonts w:ascii="Times New Roman" w:hAnsi="Times New Roman" w:cs="Times New Roman"/>
                <w:sz w:val="24"/>
                <w:szCs w:val="24"/>
              </w:rPr>
              <w:lastRenderedPageBreak/>
              <w:t>Uzliesmojumu novēršana slēgtajos kolektīvos</w:t>
            </w:r>
          </w:p>
        </w:tc>
        <w:tc>
          <w:tcPr>
            <w:tcW w:w="1558" w:type="dxa"/>
            <w:tcBorders>
              <w:top w:val="single" w:sz="4" w:space="0" w:color="auto"/>
              <w:left w:val="single" w:sz="4" w:space="0" w:color="auto"/>
              <w:bottom w:val="single" w:sz="4" w:space="0" w:color="auto"/>
              <w:right w:val="single" w:sz="4" w:space="0" w:color="auto"/>
            </w:tcBorders>
            <w:hideMark/>
          </w:tcPr>
          <w:p w14:paraId="1F15B592" w14:textId="77777777" w:rsidR="007D025D" w:rsidRPr="007B5447" w:rsidRDefault="007D025D" w:rsidP="000A4847">
            <w:pPr>
              <w:jc w:val="center"/>
              <w:rPr>
                <w:rFonts w:ascii="Times New Roman" w:hAnsi="Times New Roman" w:cs="Times New Roman"/>
                <w:sz w:val="24"/>
                <w:szCs w:val="24"/>
              </w:rPr>
            </w:pPr>
            <w:r w:rsidRPr="007B5447">
              <w:rPr>
                <w:rFonts w:ascii="Times New Roman" w:hAnsi="Times New Roman" w:cs="Times New Roman"/>
                <w:sz w:val="24"/>
                <w:szCs w:val="24"/>
              </w:rPr>
              <w:t>Tieslietu resors un labklājības resors</w:t>
            </w:r>
          </w:p>
        </w:tc>
        <w:tc>
          <w:tcPr>
            <w:tcW w:w="5828" w:type="dxa"/>
            <w:tcBorders>
              <w:top w:val="single" w:sz="4" w:space="0" w:color="auto"/>
              <w:left w:val="single" w:sz="4" w:space="0" w:color="auto"/>
              <w:bottom w:val="single" w:sz="4" w:space="0" w:color="auto"/>
              <w:right w:val="single" w:sz="4" w:space="0" w:color="auto"/>
            </w:tcBorders>
            <w:hideMark/>
          </w:tcPr>
          <w:p w14:paraId="1EE3591D" w14:textId="77777777" w:rsidR="007D025D" w:rsidRPr="007B5447" w:rsidRDefault="007D025D" w:rsidP="000A4847">
            <w:pPr>
              <w:pStyle w:val="ListParagraph"/>
              <w:numPr>
                <w:ilvl w:val="0"/>
                <w:numId w:val="8"/>
              </w:numPr>
              <w:jc w:val="both"/>
              <w:rPr>
                <w:rFonts w:ascii="Times New Roman" w:hAnsi="Times New Roman" w:cs="Times New Roman"/>
                <w:sz w:val="24"/>
                <w:szCs w:val="24"/>
              </w:rPr>
            </w:pPr>
            <w:r w:rsidRPr="007B5447">
              <w:rPr>
                <w:rFonts w:ascii="Times New Roman" w:hAnsi="Times New Roman" w:cs="Times New Roman"/>
                <w:sz w:val="24"/>
                <w:szCs w:val="24"/>
              </w:rPr>
              <w:t>Ieslodzītie</w:t>
            </w:r>
          </w:p>
          <w:p w14:paraId="7006C573" w14:textId="77777777" w:rsidR="007D025D" w:rsidRPr="007B5447" w:rsidRDefault="007D025D" w:rsidP="000A4847">
            <w:pPr>
              <w:pStyle w:val="ListParagraph"/>
              <w:numPr>
                <w:ilvl w:val="0"/>
                <w:numId w:val="8"/>
              </w:numPr>
              <w:jc w:val="both"/>
              <w:rPr>
                <w:rFonts w:ascii="Times New Roman" w:hAnsi="Times New Roman" w:cs="Times New Roman"/>
                <w:sz w:val="24"/>
                <w:szCs w:val="24"/>
              </w:rPr>
            </w:pPr>
            <w:r w:rsidRPr="007B5447">
              <w:rPr>
                <w:rFonts w:ascii="Times New Roman" w:hAnsi="Times New Roman" w:cs="Times New Roman"/>
                <w:sz w:val="24"/>
                <w:szCs w:val="24"/>
              </w:rPr>
              <w:t>Patversmju klienti</w:t>
            </w:r>
          </w:p>
          <w:p w14:paraId="12DE746C" w14:textId="580494EB" w:rsidR="00C06B24" w:rsidRPr="007B5447" w:rsidRDefault="00C06B24" w:rsidP="000A4847">
            <w:pPr>
              <w:pStyle w:val="ListParagraph"/>
              <w:numPr>
                <w:ilvl w:val="0"/>
                <w:numId w:val="8"/>
              </w:numPr>
              <w:jc w:val="both"/>
              <w:rPr>
                <w:rFonts w:ascii="Times New Roman" w:hAnsi="Times New Roman" w:cs="Times New Roman"/>
                <w:sz w:val="24"/>
                <w:szCs w:val="24"/>
              </w:rPr>
            </w:pPr>
            <w:r w:rsidRPr="007B5447">
              <w:rPr>
                <w:rFonts w:ascii="Times New Roman" w:hAnsi="Times New Roman" w:cs="Times New Roman"/>
                <w:sz w:val="24"/>
                <w:szCs w:val="24"/>
              </w:rPr>
              <w:t>Patvēruma meklētāji</w:t>
            </w:r>
          </w:p>
        </w:tc>
      </w:tr>
    </w:tbl>
    <w:p w14:paraId="77EFF556" w14:textId="3C064B89" w:rsidR="000537E1" w:rsidRPr="007B5447" w:rsidRDefault="000537E1" w:rsidP="000537E1">
      <w:pPr>
        <w:spacing w:after="0" w:line="240" w:lineRule="auto"/>
        <w:ind w:firstLine="720"/>
        <w:jc w:val="both"/>
        <w:rPr>
          <w:rFonts w:ascii="Times New Roman" w:hAnsi="Times New Roman" w:cs="Times New Roman"/>
          <w:color w:val="000000"/>
          <w:sz w:val="24"/>
          <w:szCs w:val="24"/>
          <w:shd w:val="clear" w:color="auto" w:fill="FFFFFF"/>
        </w:rPr>
      </w:pPr>
    </w:p>
    <w:p w14:paraId="396C3D97" w14:textId="109A441A" w:rsidR="00416057" w:rsidRPr="007B5447" w:rsidRDefault="00416057" w:rsidP="00416057">
      <w:pPr>
        <w:spacing w:after="0" w:line="240" w:lineRule="auto"/>
        <w:ind w:firstLine="720"/>
        <w:jc w:val="both"/>
        <w:rPr>
          <w:rFonts w:ascii="Times New Roman" w:hAnsi="Times New Roman" w:cs="Times New Roman"/>
          <w:sz w:val="24"/>
          <w:szCs w:val="24"/>
        </w:rPr>
      </w:pPr>
      <w:r w:rsidRPr="007B5447">
        <w:rPr>
          <w:rFonts w:ascii="Times New Roman" w:hAnsi="Times New Roman" w:cs="Times New Roman"/>
          <w:sz w:val="24"/>
          <w:szCs w:val="24"/>
        </w:rPr>
        <w:t xml:space="preserve">Tomēr mācības klātienē saistāmas ar augstāku epidemioloģisko risku. Visu vecumu bērni ir uzņēmīgi pret SARS-CoV-2 vīrusu un var to pārnēsāt. SARS-CoV-2 gadījumi jaunākiem bērniem, noved pie tālākas pārnešanas retāk nekā gadījumi vecākiem bērniem un pieaugušajiem. </w:t>
      </w:r>
      <w:r w:rsidR="00F6310D" w:rsidRPr="007B5447">
        <w:rPr>
          <w:rFonts w:ascii="Times New Roman" w:hAnsi="Times New Roman" w:cs="Times New Roman"/>
          <w:sz w:val="24"/>
          <w:szCs w:val="24"/>
        </w:rPr>
        <w:t>L</w:t>
      </w:r>
      <w:r w:rsidRPr="007B5447">
        <w:rPr>
          <w:rFonts w:ascii="Times New Roman" w:hAnsi="Times New Roman" w:cs="Times New Roman"/>
          <w:sz w:val="24"/>
          <w:szCs w:val="24"/>
        </w:rPr>
        <w:t xml:space="preserve">ielākā daļa pētījumu tika veikti pirms </w:t>
      </w:r>
      <w:r w:rsidRPr="007B5447">
        <w:rPr>
          <w:rFonts w:ascii="Times New Roman" w:hAnsi="Times New Roman" w:cs="Times New Roman"/>
          <w:i/>
          <w:iCs/>
          <w:sz w:val="24"/>
          <w:szCs w:val="24"/>
        </w:rPr>
        <w:t>Delta</w:t>
      </w:r>
      <w:r w:rsidRPr="007B5447">
        <w:rPr>
          <w:rFonts w:ascii="Times New Roman" w:hAnsi="Times New Roman" w:cs="Times New Roman"/>
          <w:sz w:val="24"/>
          <w:szCs w:val="24"/>
        </w:rPr>
        <w:t xml:space="preserve"> varianta parādīšanās un plašas izplatīšanas.</w:t>
      </w:r>
      <w:r w:rsidRPr="007B5447">
        <w:rPr>
          <w:rStyle w:val="FootnoteReference"/>
          <w:rFonts w:ascii="Times New Roman" w:hAnsi="Times New Roman" w:cs="Times New Roman"/>
          <w:sz w:val="24"/>
          <w:szCs w:val="24"/>
        </w:rPr>
        <w:footnoteReference w:id="9"/>
      </w:r>
      <w:r w:rsidRPr="007B5447">
        <w:rPr>
          <w:rFonts w:ascii="Times New Roman" w:hAnsi="Times New Roman" w:cs="Times New Roman"/>
          <w:sz w:val="24"/>
          <w:szCs w:val="24"/>
        </w:rPr>
        <w:t xml:space="preserve"> </w:t>
      </w:r>
      <w:r w:rsidRPr="007B5447">
        <w:rPr>
          <w:rFonts w:ascii="Times New Roman" w:hAnsi="Times New Roman" w:cs="Times New Roman"/>
          <w:i/>
          <w:iCs/>
          <w:sz w:val="24"/>
          <w:szCs w:val="24"/>
        </w:rPr>
        <w:t>Delta</w:t>
      </w:r>
      <w:r w:rsidRPr="007B5447">
        <w:rPr>
          <w:rFonts w:ascii="Times New Roman" w:hAnsi="Times New Roman" w:cs="Times New Roman"/>
          <w:sz w:val="24"/>
          <w:szCs w:val="24"/>
        </w:rPr>
        <w:t xml:space="preserve"> vīrusa variants daudz vieglāk izplātās neimūno cilvēku vidū, ieskaitot bērnus un jauniešus. Tāpēc ir svarīgi mazināt SARS-CoV-2 vīrusa izplatīšanās risku izglītības</w:t>
      </w:r>
      <w:r w:rsidR="00F6310D" w:rsidRPr="007B5447">
        <w:rPr>
          <w:rFonts w:ascii="Times New Roman" w:hAnsi="Times New Roman" w:cs="Times New Roman"/>
          <w:sz w:val="24"/>
          <w:szCs w:val="24"/>
        </w:rPr>
        <w:t xml:space="preserve"> sektorā</w:t>
      </w:r>
      <w:r w:rsidRPr="007B5447">
        <w:rPr>
          <w:rFonts w:ascii="Times New Roman" w:hAnsi="Times New Roman" w:cs="Times New Roman"/>
          <w:sz w:val="24"/>
          <w:szCs w:val="24"/>
        </w:rPr>
        <w:t xml:space="preserve"> </w:t>
      </w:r>
      <w:r w:rsidR="00394B55" w:rsidRPr="007B5447">
        <w:rPr>
          <w:rFonts w:ascii="Times New Roman" w:hAnsi="Times New Roman" w:cs="Times New Roman"/>
          <w:sz w:val="24"/>
          <w:szCs w:val="24"/>
        </w:rPr>
        <w:t xml:space="preserve">pēc iespējas identificēt inficētos, </w:t>
      </w:r>
      <w:r w:rsidRPr="007B5447">
        <w:rPr>
          <w:rFonts w:ascii="Times New Roman" w:hAnsi="Times New Roman" w:cs="Times New Roman"/>
          <w:sz w:val="24"/>
          <w:szCs w:val="24"/>
        </w:rPr>
        <w:t>lai novērstu infekcijas pārnēsāšanu starp grupām un klasēm, kā arī novērsts bērnu ģimenes locekļu, kur var būt riska grupas personas, inficēšanos un turpmāku vīrusa pārnēsāšanu sabiedrībā.</w:t>
      </w:r>
    </w:p>
    <w:p w14:paraId="073016E5" w14:textId="1E03242B" w:rsidR="00F6310D" w:rsidRPr="007B5447" w:rsidRDefault="000537E1" w:rsidP="00F6310D">
      <w:pPr>
        <w:spacing w:after="0" w:line="240" w:lineRule="auto"/>
        <w:ind w:firstLine="720"/>
        <w:jc w:val="both"/>
        <w:rPr>
          <w:rFonts w:ascii="Times New Roman" w:hAnsi="Times New Roman" w:cs="Times New Roman"/>
          <w:color w:val="000000"/>
          <w:sz w:val="24"/>
          <w:szCs w:val="24"/>
          <w:bdr w:val="none" w:sz="0" w:space="0" w:color="auto" w:frame="1"/>
        </w:rPr>
      </w:pPr>
      <w:r w:rsidRPr="007B5447">
        <w:rPr>
          <w:rFonts w:ascii="Times New Roman" w:hAnsi="Times New Roman" w:cs="Times New Roman"/>
          <w:color w:val="000000"/>
          <w:sz w:val="24"/>
          <w:szCs w:val="24"/>
          <w:shd w:val="clear" w:color="auto" w:fill="FFFFFF"/>
        </w:rPr>
        <w:t xml:space="preserve">Ņemot vērā minēto, kā arī ievērojot to, ka </w:t>
      </w:r>
      <w:r w:rsidR="00394B55" w:rsidRPr="007B5447">
        <w:rPr>
          <w:rFonts w:ascii="Times New Roman" w:hAnsi="Times New Roman" w:cs="Times New Roman"/>
          <w:color w:val="000000"/>
          <w:sz w:val="24"/>
          <w:szCs w:val="24"/>
          <w:shd w:val="clear" w:color="auto" w:fill="FFFFFF"/>
        </w:rPr>
        <w:t xml:space="preserve">šobrīd </w:t>
      </w:r>
      <w:r w:rsidRPr="007B5447">
        <w:rPr>
          <w:rFonts w:ascii="Times New Roman" w:hAnsi="Times New Roman" w:cs="Times New Roman"/>
          <w:color w:val="000000"/>
          <w:sz w:val="24"/>
          <w:szCs w:val="24"/>
          <w:shd w:val="clear" w:color="auto" w:fill="FFFFFF"/>
        </w:rPr>
        <w:t>vakcinācija pret Covid-19 tiek īstenota jauniešiem no 12 gadu vecuma, lai pēc iespējas nodrošinātu drošu mācību procesa norisi klātienē no š.g. 1.septembra</w:t>
      </w:r>
      <w:r w:rsidR="00F6310D" w:rsidRPr="007B5447">
        <w:rPr>
          <w:rFonts w:ascii="Times New Roman" w:hAnsi="Times New Roman" w:cs="Times New Roman"/>
          <w:color w:val="000000"/>
          <w:sz w:val="24"/>
          <w:szCs w:val="24"/>
          <w:shd w:val="clear" w:color="auto" w:fill="FFFFFF"/>
        </w:rPr>
        <w:t xml:space="preserve"> tiek</w:t>
      </w:r>
      <w:r w:rsidRPr="007B5447">
        <w:rPr>
          <w:rFonts w:ascii="Times New Roman" w:hAnsi="Times New Roman" w:cs="Times New Roman"/>
          <w:color w:val="000000"/>
          <w:sz w:val="24"/>
          <w:szCs w:val="24"/>
          <w:shd w:val="clear" w:color="auto" w:fill="FFFFFF"/>
        </w:rPr>
        <w:t xml:space="preserve"> īsteno</w:t>
      </w:r>
      <w:r w:rsidR="00F6310D" w:rsidRPr="007B5447">
        <w:rPr>
          <w:rFonts w:ascii="Times New Roman" w:hAnsi="Times New Roman" w:cs="Times New Roman"/>
          <w:color w:val="000000"/>
          <w:sz w:val="24"/>
          <w:szCs w:val="24"/>
          <w:shd w:val="clear" w:color="auto" w:fill="FFFFFF"/>
        </w:rPr>
        <w:t>ta</w:t>
      </w:r>
      <w:r w:rsidRPr="007B5447">
        <w:rPr>
          <w:rFonts w:ascii="Times New Roman" w:hAnsi="Times New Roman" w:cs="Times New Roman"/>
          <w:color w:val="000000"/>
          <w:sz w:val="24"/>
          <w:szCs w:val="24"/>
          <w:shd w:val="clear" w:color="auto" w:fill="FFFFFF"/>
        </w:rPr>
        <w:t xml:space="preserve"> </w:t>
      </w:r>
      <w:r w:rsidR="00E8797D" w:rsidRPr="007B5447">
        <w:rPr>
          <w:rFonts w:ascii="Times New Roman" w:hAnsi="Times New Roman" w:cs="Times New Roman"/>
          <w:color w:val="000000"/>
          <w:sz w:val="24"/>
          <w:szCs w:val="24"/>
          <w:u w:val="single"/>
          <w:shd w:val="clear" w:color="auto" w:fill="FFFFFF"/>
        </w:rPr>
        <w:t xml:space="preserve">prioritāra </w:t>
      </w:r>
      <w:r w:rsidRPr="007B5447">
        <w:rPr>
          <w:rFonts w:ascii="Times New Roman" w:hAnsi="Times New Roman" w:cs="Times New Roman"/>
          <w:color w:val="000000"/>
          <w:sz w:val="24"/>
          <w:szCs w:val="24"/>
          <w:u w:val="single"/>
          <w:shd w:val="clear" w:color="auto" w:fill="FFFFFF"/>
        </w:rPr>
        <w:t>izglīt</w:t>
      </w:r>
      <w:r w:rsidR="00E8797D" w:rsidRPr="007B5447">
        <w:rPr>
          <w:rFonts w:ascii="Times New Roman" w:hAnsi="Times New Roman" w:cs="Times New Roman"/>
          <w:color w:val="000000"/>
          <w:sz w:val="24"/>
          <w:szCs w:val="24"/>
          <w:u w:val="single"/>
          <w:shd w:val="clear" w:color="auto" w:fill="FFFFFF"/>
        </w:rPr>
        <w:t>ojamo</w:t>
      </w:r>
      <w:r w:rsidRPr="007B5447">
        <w:rPr>
          <w:rFonts w:ascii="Times New Roman" w:hAnsi="Times New Roman" w:cs="Times New Roman"/>
          <w:color w:val="000000"/>
          <w:sz w:val="24"/>
          <w:szCs w:val="24"/>
          <w:u w:val="single"/>
          <w:shd w:val="clear" w:color="auto" w:fill="FFFFFF"/>
        </w:rPr>
        <w:t xml:space="preserve"> testēšana uz Covid-19</w:t>
      </w:r>
      <w:r w:rsidRPr="007B5447">
        <w:rPr>
          <w:rFonts w:ascii="Times New Roman" w:hAnsi="Times New Roman" w:cs="Times New Roman"/>
          <w:color w:val="000000"/>
          <w:sz w:val="24"/>
          <w:szCs w:val="24"/>
          <w:shd w:val="clear" w:color="auto" w:fill="FFFFFF"/>
        </w:rPr>
        <w:t xml:space="preserve">, tādējādi savlaicīgi </w:t>
      </w:r>
      <w:r w:rsidRPr="007B5447">
        <w:rPr>
          <w:rFonts w:ascii="Times New Roman" w:hAnsi="Times New Roman" w:cs="Times New Roman"/>
          <w:color w:val="000000"/>
          <w:sz w:val="24"/>
          <w:szCs w:val="24"/>
          <w:bdr w:val="none" w:sz="0" w:space="0" w:color="auto" w:frame="1"/>
        </w:rPr>
        <w:t>identificējot inficētās personas un mazinot draudus sabiedrībai.</w:t>
      </w:r>
      <w:r w:rsidR="00870B61" w:rsidRPr="007B5447">
        <w:rPr>
          <w:rFonts w:ascii="Times New Roman" w:hAnsi="Times New Roman" w:cs="Times New Roman"/>
          <w:color w:val="000000"/>
          <w:sz w:val="24"/>
          <w:szCs w:val="24"/>
          <w:bdr w:val="none" w:sz="0" w:space="0" w:color="auto" w:frame="1"/>
        </w:rPr>
        <w:t xml:space="preserve"> </w:t>
      </w:r>
    </w:p>
    <w:p w14:paraId="6D26CD92" w14:textId="068ADBA1" w:rsidR="00831754" w:rsidRPr="007B5447" w:rsidRDefault="00AF6415" w:rsidP="00AF6415">
      <w:pPr>
        <w:spacing w:after="0" w:line="240" w:lineRule="auto"/>
        <w:ind w:firstLine="720"/>
        <w:jc w:val="both"/>
        <w:rPr>
          <w:rFonts w:ascii="Times New Roman" w:hAnsi="Times New Roman" w:cs="Times New Roman"/>
          <w:color w:val="000000"/>
          <w:sz w:val="24"/>
          <w:szCs w:val="24"/>
          <w:bdr w:val="none" w:sz="0" w:space="0" w:color="auto" w:frame="1"/>
        </w:rPr>
      </w:pPr>
      <w:r w:rsidRPr="007B5447">
        <w:rPr>
          <w:rFonts w:ascii="Times New Roman" w:hAnsi="Times New Roman" w:cs="Times New Roman"/>
          <w:color w:val="000000"/>
          <w:sz w:val="24"/>
          <w:szCs w:val="24"/>
          <w:bdr w:val="none" w:sz="0" w:space="0" w:color="auto" w:frame="1"/>
        </w:rPr>
        <w:t xml:space="preserve">Jau šobrīd izglītības iestāžu darbinieku un izglītojamo </w:t>
      </w:r>
      <w:proofErr w:type="spellStart"/>
      <w:r w:rsidRPr="007B5447">
        <w:rPr>
          <w:rFonts w:ascii="Times New Roman" w:hAnsi="Times New Roman" w:cs="Times New Roman"/>
          <w:color w:val="000000"/>
          <w:sz w:val="24"/>
          <w:szCs w:val="24"/>
          <w:bdr w:val="none" w:sz="0" w:space="0" w:color="auto" w:frame="1"/>
        </w:rPr>
        <w:t>skrīnings</w:t>
      </w:r>
      <w:proofErr w:type="spellEnd"/>
      <w:r w:rsidRPr="007B5447">
        <w:rPr>
          <w:rFonts w:ascii="Times New Roman" w:hAnsi="Times New Roman" w:cs="Times New Roman"/>
          <w:color w:val="000000"/>
          <w:sz w:val="24"/>
          <w:szCs w:val="24"/>
          <w:bdr w:val="none" w:sz="0" w:space="0" w:color="auto" w:frame="1"/>
        </w:rPr>
        <w:t xml:space="preserve"> vērtējams kā nozīmīgs, lai nodrošinātu izglītības iestāžu pēc iespējas ilgāku darbību klātienē un plānotu Covid-19 ierobežošanas pasākumus kopumā. Kā norāda epidemiologi, pirmajās </w:t>
      </w:r>
      <w:proofErr w:type="spellStart"/>
      <w:r w:rsidRPr="007B5447">
        <w:rPr>
          <w:rFonts w:ascii="Times New Roman" w:hAnsi="Times New Roman" w:cs="Times New Roman"/>
          <w:color w:val="000000"/>
          <w:sz w:val="24"/>
          <w:szCs w:val="24"/>
          <w:bdr w:val="none" w:sz="0" w:space="0" w:color="auto" w:frame="1"/>
        </w:rPr>
        <w:t>skrīninga</w:t>
      </w:r>
      <w:proofErr w:type="spellEnd"/>
      <w:r w:rsidRPr="007B5447">
        <w:rPr>
          <w:rFonts w:ascii="Times New Roman" w:hAnsi="Times New Roman" w:cs="Times New Roman"/>
          <w:color w:val="000000"/>
          <w:sz w:val="24"/>
          <w:szCs w:val="24"/>
          <w:bdr w:val="none" w:sz="0" w:space="0" w:color="auto" w:frame="1"/>
        </w:rPr>
        <w:t xml:space="preserve"> nedēļās </w:t>
      </w:r>
      <w:r w:rsidR="00B56854" w:rsidRPr="007B5447">
        <w:rPr>
          <w:rFonts w:ascii="Times New Roman" w:hAnsi="Times New Roman" w:cs="Times New Roman"/>
          <w:color w:val="000000"/>
          <w:sz w:val="24"/>
          <w:szCs w:val="24"/>
          <w:bdr w:val="none" w:sz="0" w:space="0" w:color="auto" w:frame="1"/>
        </w:rPr>
        <w:t xml:space="preserve">izglītības iestāžu darbinieku un izglītojamo </w:t>
      </w:r>
      <w:proofErr w:type="spellStart"/>
      <w:r w:rsidRPr="007B5447">
        <w:rPr>
          <w:rFonts w:ascii="Times New Roman" w:hAnsi="Times New Roman" w:cs="Times New Roman"/>
          <w:color w:val="000000"/>
          <w:sz w:val="24"/>
          <w:szCs w:val="24"/>
          <w:bdr w:val="none" w:sz="0" w:space="0" w:color="auto" w:frame="1"/>
        </w:rPr>
        <w:t>skrīngs</w:t>
      </w:r>
      <w:proofErr w:type="spellEnd"/>
      <w:r w:rsidRPr="007B5447">
        <w:rPr>
          <w:rFonts w:ascii="Times New Roman" w:hAnsi="Times New Roman" w:cs="Times New Roman"/>
          <w:color w:val="000000"/>
          <w:sz w:val="24"/>
          <w:szCs w:val="24"/>
          <w:bdr w:val="none" w:sz="0" w:space="0" w:color="auto" w:frame="1"/>
        </w:rPr>
        <w:t xml:space="preserve"> ir devis iespēju operatīvi identificēt katru trešo Covid-19 gadījumu izglītības iestādē un operatīvi uzsākt </w:t>
      </w:r>
      <w:proofErr w:type="spellStart"/>
      <w:r w:rsidRPr="007B5447">
        <w:rPr>
          <w:rFonts w:ascii="Times New Roman" w:hAnsi="Times New Roman" w:cs="Times New Roman"/>
          <w:color w:val="000000"/>
          <w:sz w:val="24"/>
          <w:szCs w:val="24"/>
          <w:bdr w:val="none" w:sz="0" w:space="0" w:color="auto" w:frame="1"/>
        </w:rPr>
        <w:t>pretepidēmijas</w:t>
      </w:r>
      <w:proofErr w:type="spellEnd"/>
      <w:r w:rsidRPr="007B5447">
        <w:rPr>
          <w:rFonts w:ascii="Times New Roman" w:hAnsi="Times New Roman" w:cs="Times New Roman"/>
          <w:color w:val="000000"/>
          <w:sz w:val="24"/>
          <w:szCs w:val="24"/>
          <w:bdr w:val="none" w:sz="0" w:space="0" w:color="auto" w:frame="1"/>
        </w:rPr>
        <w:t xml:space="preserve"> pasākumus, devis iespēju atklāt gandrīz 10% jaunus Covid-19 gadījumus kopumā, tādējādi arī paredzot iespēju uzsākt </w:t>
      </w:r>
      <w:proofErr w:type="spellStart"/>
      <w:r w:rsidRPr="007B5447">
        <w:rPr>
          <w:rFonts w:ascii="Times New Roman" w:hAnsi="Times New Roman" w:cs="Times New Roman"/>
          <w:color w:val="000000"/>
          <w:sz w:val="24"/>
          <w:szCs w:val="24"/>
          <w:bdr w:val="none" w:sz="0" w:space="0" w:color="auto" w:frame="1"/>
        </w:rPr>
        <w:t>pretepidēmijas</w:t>
      </w:r>
      <w:proofErr w:type="spellEnd"/>
      <w:r w:rsidRPr="007B5447">
        <w:rPr>
          <w:rFonts w:ascii="Times New Roman" w:hAnsi="Times New Roman" w:cs="Times New Roman"/>
          <w:color w:val="000000"/>
          <w:sz w:val="24"/>
          <w:szCs w:val="24"/>
          <w:bdr w:val="none" w:sz="0" w:space="0" w:color="auto" w:frame="1"/>
        </w:rPr>
        <w:t xml:space="preserve"> pasākumus, kā arī ļāvis objektīvāk apzināt Coivd-19 izplatību sabiedrībā kopumā un Latvijas reģionos, tādejādi dodot iespēju uz objektīvākiem datiem vērtēt Covid-19 izplatības turpmākos riskus un plānot pasākumus to novēršanai.</w:t>
      </w:r>
    </w:p>
    <w:p w14:paraId="7B2EF42C" w14:textId="68E8ADCC" w:rsidR="009C1822" w:rsidRPr="007B5447" w:rsidRDefault="009C1822" w:rsidP="009C1822">
      <w:pPr>
        <w:spacing w:after="0" w:line="240" w:lineRule="auto"/>
        <w:ind w:firstLine="720"/>
        <w:jc w:val="both"/>
        <w:rPr>
          <w:rFonts w:ascii="Times New Roman" w:hAnsi="Times New Roman" w:cs="Times New Roman"/>
          <w:sz w:val="24"/>
          <w:szCs w:val="24"/>
        </w:rPr>
      </w:pPr>
      <w:r w:rsidRPr="007B5447">
        <w:rPr>
          <w:rFonts w:ascii="Times New Roman" w:hAnsi="Times New Roman" w:cs="Times New Roman"/>
          <w:color w:val="000000"/>
          <w:sz w:val="24"/>
          <w:szCs w:val="24"/>
          <w:shd w:val="clear" w:color="auto" w:fill="FFFFFF"/>
        </w:rPr>
        <w:t xml:space="preserve">Attiecībā uz izglītības sektoru, atbilstoši Izglītības un zinātnes ministrijas izstrādātajiem </w:t>
      </w:r>
      <w:r w:rsidRPr="007B5447">
        <w:rPr>
          <w:rFonts w:ascii="Times New Roman" w:hAnsi="Times New Roman" w:cs="Times New Roman"/>
          <w:sz w:val="24"/>
          <w:szCs w:val="24"/>
        </w:rPr>
        <w:t>priekšlikumiem nozaru procesa nodrošināšanai 2021. gada rudenī, klātienes izglītība ir viens no priekšnoteikumiem kvalitatīva izglītības procesa nodrošināšanai. Izglītības programmas iecerēts īstenot klātienē neatkarīgi no 14 dienu kumulatīvā Covid-19 gadījumu skaita uz 100 000 iedzīvotāju. Galvenās prasības, kas piemērojamas pie jebkāda riska rādītāja noteiktas - gaisa kvalitāte un testēšana pēc nepieciešamības, atbilstoši konkrētās izglītības iestādes situācijai. Mācības klātienē plānotas arī citās izglītības programmās, tai skaitā augstskolās, sporta nodarbībās utt.</w:t>
      </w:r>
      <w:r w:rsidRPr="007B5447">
        <w:rPr>
          <w:rStyle w:val="FootnoteReference"/>
          <w:rFonts w:ascii="Times New Roman" w:hAnsi="Times New Roman" w:cs="Times New Roman"/>
          <w:sz w:val="24"/>
          <w:szCs w:val="24"/>
        </w:rPr>
        <w:footnoteReference w:id="10"/>
      </w:r>
    </w:p>
    <w:p w14:paraId="35482620" w14:textId="77777777" w:rsidR="002505F7" w:rsidRPr="007B5447" w:rsidRDefault="002505F7" w:rsidP="002505F7">
      <w:pPr>
        <w:spacing w:after="0" w:line="240" w:lineRule="auto"/>
        <w:ind w:firstLine="720"/>
        <w:jc w:val="both"/>
        <w:rPr>
          <w:rFonts w:ascii="Times New Roman" w:hAnsi="Times New Roman" w:cs="Times New Roman"/>
          <w:sz w:val="24"/>
          <w:szCs w:val="24"/>
        </w:rPr>
      </w:pPr>
      <w:r w:rsidRPr="007B5447">
        <w:rPr>
          <w:rFonts w:ascii="Times New Roman" w:hAnsi="Times New Roman" w:cs="Times New Roman"/>
          <w:sz w:val="24"/>
          <w:szCs w:val="24"/>
        </w:rPr>
        <w:t xml:space="preserve">Speciālo skolu audzēkņi ir viena no augsta riska grupām, jo šiem bērniem Covid-19 var izpausties smagākā formā. Skolās būtiski nodrošināt epidemioloģisko uzraudzību un pasākumus, kas ierobežotu Covid-19 infekcijas izplatīšanos, līdz ar to pilnīgi atteikties no testēšanas nebūtu droši. </w:t>
      </w:r>
    </w:p>
    <w:p w14:paraId="2BEB68C0" w14:textId="77777777" w:rsidR="002505F7" w:rsidRPr="007B5447" w:rsidRDefault="002505F7" w:rsidP="002505F7">
      <w:pPr>
        <w:spacing w:after="0" w:line="240" w:lineRule="auto"/>
        <w:ind w:firstLine="720"/>
        <w:jc w:val="both"/>
        <w:rPr>
          <w:rFonts w:ascii="Times New Roman" w:hAnsi="Times New Roman" w:cs="Times New Roman"/>
          <w:sz w:val="24"/>
          <w:szCs w:val="24"/>
        </w:rPr>
      </w:pPr>
      <w:r w:rsidRPr="007B5447">
        <w:rPr>
          <w:rFonts w:ascii="Times New Roman" w:hAnsi="Times New Roman" w:cs="Times New Roman"/>
          <w:sz w:val="24"/>
          <w:szCs w:val="24"/>
        </w:rPr>
        <w:t>Primāri Covid-19 testu veikšanai arī speciālo izglītības programmu audzēkņiem paredzēts nodrošināt izmantot siekalu paraugus. Tomēr, atbilstoši Izglītības un zinātnes ministrijas veiktajai aptaujai, aptuveni 562 audzēkņi iepriekš minētajās programmās nespēj nodot siekalu paraugu, lai veiktu nepieciešamo izmeklējumu uz Covid-19. Tāpēc b</w:t>
      </w:r>
      <w:r w:rsidRPr="007B5447">
        <w:rPr>
          <w:rFonts w:ascii="Times New Roman" w:hAnsi="Times New Roman"/>
          <w:sz w:val="24"/>
          <w:szCs w:val="24"/>
        </w:rPr>
        <w:t>ērnu ar īpašām vajadzībām</w:t>
      </w:r>
      <w:r w:rsidRPr="007B5447">
        <w:rPr>
          <w:rFonts w:ascii="Times New Roman" w:hAnsi="Times New Roman"/>
          <w:sz w:val="28"/>
          <w:szCs w:val="28"/>
        </w:rPr>
        <w:t xml:space="preserve"> </w:t>
      </w:r>
      <w:r w:rsidRPr="007B5447">
        <w:rPr>
          <w:rFonts w:ascii="Times New Roman" w:hAnsi="Times New Roman"/>
          <w:sz w:val="24"/>
          <w:szCs w:val="24"/>
        </w:rPr>
        <w:t>gadījumā testēšanas metožu izvēle jābalsta uz individuālu pieeju, pielāgojot visdraudzīgāko metodi, kas nerada psihi traumējošu pieredzi.</w:t>
      </w:r>
      <w:r w:rsidRPr="007B5447">
        <w:rPr>
          <w:rFonts w:ascii="Times New Roman" w:hAnsi="Times New Roman"/>
          <w:sz w:val="28"/>
          <w:szCs w:val="28"/>
        </w:rPr>
        <w:t xml:space="preserve"> </w:t>
      </w:r>
      <w:r w:rsidRPr="007B5447">
        <w:rPr>
          <w:rFonts w:ascii="Times New Roman" w:hAnsi="Times New Roman"/>
          <w:sz w:val="24"/>
          <w:szCs w:val="24"/>
        </w:rPr>
        <w:t>Līdz ar to</w:t>
      </w:r>
      <w:r w:rsidRPr="007B5447">
        <w:rPr>
          <w:rFonts w:ascii="Times New Roman" w:hAnsi="Times New Roman"/>
          <w:sz w:val="28"/>
          <w:szCs w:val="28"/>
        </w:rPr>
        <w:t xml:space="preserve"> </w:t>
      </w:r>
      <w:r w:rsidRPr="007B5447">
        <w:rPr>
          <w:rFonts w:ascii="Times New Roman" w:hAnsi="Times New Roman"/>
          <w:sz w:val="24"/>
          <w:szCs w:val="24"/>
        </w:rPr>
        <w:t xml:space="preserve">speciālajās skolās testēšana tiks veikta izlases veidā, sabalansējot epidemioloģiskās drošības risku </w:t>
      </w:r>
      <w:r w:rsidRPr="007B5447">
        <w:rPr>
          <w:rFonts w:ascii="Times New Roman" w:hAnsi="Times New Roman"/>
          <w:sz w:val="24"/>
          <w:szCs w:val="24"/>
        </w:rPr>
        <w:lastRenderedPageBreak/>
        <w:t>novēršanu ar iespējām veikt testēšanu bērnam draudzīgā veidā, p</w:t>
      </w:r>
      <w:r w:rsidRPr="007B5447">
        <w:rPr>
          <w:rFonts w:ascii="Times New Roman" w:hAnsi="Times New Roman" w:cs="Times New Roman"/>
          <w:sz w:val="24"/>
          <w:szCs w:val="24"/>
        </w:rPr>
        <w:t xml:space="preserve">aredzot, ka gadījumā, ja bērns nevar pats nodot siekalu paraugu, tā savākšanai jāizmanto atbilstošas un piemērotas metodes, piemēram, </w:t>
      </w:r>
      <w:proofErr w:type="spellStart"/>
      <w:r w:rsidRPr="007B5447">
        <w:rPr>
          <w:rFonts w:ascii="Times New Roman" w:hAnsi="Times New Roman" w:cs="Times New Roman"/>
          <w:i/>
          <w:iCs/>
          <w:sz w:val="24"/>
          <w:szCs w:val="24"/>
        </w:rPr>
        <w:t>LolliSponge</w:t>
      </w:r>
      <w:proofErr w:type="spellEnd"/>
      <w:r w:rsidRPr="007B5447">
        <w:rPr>
          <w:rFonts w:ascii="Times New Roman" w:hAnsi="Times New Roman" w:cs="Times New Roman"/>
          <w:sz w:val="24"/>
          <w:szCs w:val="24"/>
        </w:rPr>
        <w:t xml:space="preserve"> konteineri, </w:t>
      </w:r>
      <w:proofErr w:type="spellStart"/>
      <w:r w:rsidRPr="007B5447">
        <w:rPr>
          <w:rFonts w:ascii="Times New Roman" w:hAnsi="Times New Roman" w:cs="Times New Roman"/>
          <w:sz w:val="24"/>
          <w:szCs w:val="24"/>
        </w:rPr>
        <w:t>uztriepes</w:t>
      </w:r>
      <w:proofErr w:type="spellEnd"/>
      <w:r w:rsidRPr="007B5447">
        <w:rPr>
          <w:rFonts w:ascii="Times New Roman" w:hAnsi="Times New Roman" w:cs="Times New Roman"/>
          <w:sz w:val="24"/>
          <w:szCs w:val="24"/>
        </w:rPr>
        <w:t xml:space="preserve"> paņemšana ar tamponu no smaganām un mutes dobuma priekšējās daļas u.c.</w:t>
      </w:r>
    </w:p>
    <w:p w14:paraId="011E6066" w14:textId="77777777" w:rsidR="002505F7" w:rsidRPr="007B5447" w:rsidRDefault="002505F7" w:rsidP="002505F7">
      <w:pPr>
        <w:spacing w:after="0" w:line="240" w:lineRule="auto"/>
        <w:ind w:firstLine="720"/>
        <w:jc w:val="both"/>
        <w:rPr>
          <w:rFonts w:ascii="Times New Roman" w:hAnsi="Times New Roman" w:cs="Times New Roman"/>
          <w:sz w:val="24"/>
          <w:szCs w:val="24"/>
        </w:rPr>
      </w:pPr>
      <w:r w:rsidRPr="007B5447">
        <w:rPr>
          <w:rFonts w:ascii="Times New Roman" w:hAnsi="Times New Roman"/>
          <w:sz w:val="24"/>
          <w:szCs w:val="24"/>
        </w:rPr>
        <w:t xml:space="preserve">Plānots, ka testēšanas procesu veidos skolas personāls  un ārstniecības personas, kas savstarpēji vienosies par procedūrām katras konkrētās skolas audzēkņu testēšanai, individuāli izvērtējot, kā to veikt katrā konkrētā skolā. </w:t>
      </w:r>
      <w:r w:rsidRPr="007B5447">
        <w:rPr>
          <w:rFonts w:ascii="Times New Roman" w:eastAsia="Calibri" w:hAnsi="Times New Roman" w:cs="Times New Roman"/>
          <w:sz w:val="24"/>
          <w:szCs w:val="24"/>
        </w:rPr>
        <w:t>Tas nozīmē, ka speciālo izglītības iestāžu skolēniem netiek liegts klātienes izglītības process, ja skolēnam Covid-19 tests nav veikts  objektīvu iemeslu dēļ.</w:t>
      </w:r>
      <w:r w:rsidRPr="007B5447">
        <w:rPr>
          <w:rFonts w:ascii="Times New Roman" w:hAnsi="Times New Roman" w:cs="Times New Roman"/>
          <w:sz w:val="24"/>
          <w:szCs w:val="24"/>
        </w:rPr>
        <w:t xml:space="preserve"> </w:t>
      </w:r>
    </w:p>
    <w:p w14:paraId="0564E9F2" w14:textId="77777777" w:rsidR="002505F7" w:rsidRPr="007B5447" w:rsidRDefault="002505F7" w:rsidP="002505F7">
      <w:pPr>
        <w:spacing w:after="0" w:line="240" w:lineRule="auto"/>
        <w:ind w:firstLine="720"/>
        <w:jc w:val="both"/>
        <w:rPr>
          <w:rFonts w:ascii="Times New Roman" w:hAnsi="Times New Roman" w:cs="Times New Roman"/>
          <w:sz w:val="24"/>
          <w:szCs w:val="24"/>
        </w:rPr>
      </w:pPr>
      <w:r w:rsidRPr="007B5447">
        <w:rPr>
          <w:rFonts w:ascii="Times New Roman" w:hAnsi="Times New Roman" w:cs="Times New Roman"/>
          <w:sz w:val="24"/>
          <w:szCs w:val="24"/>
        </w:rPr>
        <w:t xml:space="preserve">Līdzšinējā laboratoriju pieredze, nodrošinot testēšanu uz Covid-19 minēto programmu audzēkņiem atšķiras, ir laboratorijas, kas testēšanai izmanto visas pieejamās metodes, tai skaitā </w:t>
      </w:r>
      <w:proofErr w:type="spellStart"/>
      <w:r w:rsidRPr="007B5447">
        <w:rPr>
          <w:rFonts w:ascii="Times New Roman" w:hAnsi="Times New Roman" w:cs="Times New Roman"/>
          <w:sz w:val="24"/>
          <w:szCs w:val="24"/>
        </w:rPr>
        <w:t>uztriepes</w:t>
      </w:r>
      <w:proofErr w:type="spellEnd"/>
      <w:r w:rsidRPr="007B5447">
        <w:rPr>
          <w:rFonts w:ascii="Times New Roman" w:hAnsi="Times New Roman" w:cs="Times New Roman"/>
          <w:sz w:val="24"/>
          <w:szCs w:val="24"/>
        </w:rPr>
        <w:t xml:space="preserve"> paņemšana ar tamponu no smaganām un mutes dobuma priekšējās daļas, citas laboratorija izmanto </w:t>
      </w:r>
      <w:proofErr w:type="spellStart"/>
      <w:r w:rsidRPr="007B5447">
        <w:rPr>
          <w:rFonts w:ascii="Times New Roman" w:hAnsi="Times New Roman" w:cs="Times New Roman"/>
          <w:i/>
          <w:iCs/>
          <w:sz w:val="24"/>
          <w:szCs w:val="24"/>
        </w:rPr>
        <w:t>LolliSponge</w:t>
      </w:r>
      <w:proofErr w:type="spellEnd"/>
      <w:r w:rsidRPr="007B5447">
        <w:rPr>
          <w:rFonts w:ascii="Times New Roman" w:hAnsi="Times New Roman" w:cs="Times New Roman"/>
          <w:sz w:val="24"/>
          <w:szCs w:val="24"/>
        </w:rPr>
        <w:t xml:space="preserve"> konteineri. Vienlaikus aktualizēts jautājums par </w:t>
      </w:r>
      <w:proofErr w:type="spellStart"/>
      <w:r w:rsidRPr="007B5447">
        <w:rPr>
          <w:rFonts w:ascii="Times New Roman" w:hAnsi="Times New Roman" w:cs="Times New Roman"/>
          <w:sz w:val="24"/>
          <w:szCs w:val="24"/>
        </w:rPr>
        <w:t>psihoemocionālo</w:t>
      </w:r>
      <w:proofErr w:type="spellEnd"/>
      <w:r w:rsidRPr="007B5447">
        <w:rPr>
          <w:rFonts w:ascii="Times New Roman" w:hAnsi="Times New Roman" w:cs="Times New Roman"/>
          <w:sz w:val="24"/>
          <w:szCs w:val="24"/>
        </w:rPr>
        <w:t xml:space="preserve"> satraukumu vecāku vidū un viltus ziņu izplatīšanos.</w:t>
      </w:r>
    </w:p>
    <w:p w14:paraId="0B6FA7EF" w14:textId="77777777" w:rsidR="002505F7" w:rsidRPr="009C7063" w:rsidRDefault="002505F7" w:rsidP="002505F7">
      <w:pPr>
        <w:spacing w:after="0" w:line="240" w:lineRule="auto"/>
        <w:ind w:firstLine="720"/>
        <w:jc w:val="both"/>
        <w:rPr>
          <w:rFonts w:ascii="Times New Roman" w:hAnsi="Times New Roman" w:cs="Times New Roman"/>
          <w:sz w:val="24"/>
          <w:szCs w:val="24"/>
        </w:rPr>
      </w:pPr>
      <w:r w:rsidRPr="007B5447">
        <w:rPr>
          <w:rFonts w:ascii="Times New Roman" w:hAnsi="Times New Roman" w:cs="Times New Roman"/>
          <w:sz w:val="24"/>
          <w:szCs w:val="24"/>
        </w:rPr>
        <w:t xml:space="preserve">Ņemot vērā augstāk minēto, š.g. 4. septembrī spēkā stājās Ministru kabineta 2021. gada 3. septembra noteikumi Nr. 605 “Grozījumi Ministru kabineta 2020. gada 9. jūnija noteikumos Nr. 360 “Epidemioloģiskās drošības pasākumi Covid-19 infekcijas izplatības ierobežošanai””, lai </w:t>
      </w:r>
      <w:r w:rsidRPr="007B5447">
        <w:rPr>
          <w:rFonts w:ascii="Times New Roman" w:eastAsia="Calibri" w:hAnsi="Times New Roman" w:cs="Times New Roman"/>
          <w:sz w:val="24"/>
          <w:szCs w:val="24"/>
        </w:rPr>
        <w:t>speciālo izglītības iestāžu skolēniem netiktu liegts klātienes izglītības process klātienē, ja skolēnam Covid-19 tests nav veikts  objektīvu iemeslu dēļ</w:t>
      </w:r>
      <w:r w:rsidRPr="007B5447">
        <w:rPr>
          <w:rFonts w:ascii="Times New Roman" w:hAnsi="Times New Roman" w:cs="Times New Roman"/>
          <w:sz w:val="24"/>
          <w:szCs w:val="24"/>
        </w:rPr>
        <w:t>. Vienlaikus, lai  risinātu jautājumus attiecībā uz speciālo izglītības programmu audzēkņu testēšanu uz Covid-19, iecerēts tuvākajā laikā rīkot semināru pediatriem.</w:t>
      </w:r>
      <w:r w:rsidRPr="009C7063">
        <w:rPr>
          <w:rFonts w:ascii="Times New Roman" w:hAnsi="Times New Roman" w:cs="Times New Roman"/>
          <w:sz w:val="24"/>
          <w:szCs w:val="24"/>
        </w:rPr>
        <w:t xml:space="preserve"> </w:t>
      </w:r>
    </w:p>
    <w:p w14:paraId="558A3194" w14:textId="77777777" w:rsidR="002505F7" w:rsidRPr="009C7063" w:rsidRDefault="002505F7" w:rsidP="002505F7">
      <w:pPr>
        <w:spacing w:after="0" w:line="240" w:lineRule="auto"/>
        <w:ind w:firstLine="720"/>
        <w:jc w:val="both"/>
        <w:rPr>
          <w:rFonts w:ascii="Times New Roman" w:hAnsi="Times New Roman" w:cs="Times New Roman"/>
          <w:sz w:val="24"/>
          <w:szCs w:val="24"/>
        </w:rPr>
      </w:pPr>
    </w:p>
    <w:p w14:paraId="416063F8" w14:textId="77777777" w:rsidR="002505F7" w:rsidRDefault="002505F7" w:rsidP="009C1822">
      <w:pPr>
        <w:spacing w:after="0" w:line="240" w:lineRule="auto"/>
        <w:ind w:firstLine="720"/>
        <w:jc w:val="both"/>
        <w:rPr>
          <w:rFonts w:ascii="Times New Roman" w:hAnsi="Times New Roman" w:cs="Times New Roman"/>
          <w:sz w:val="24"/>
          <w:szCs w:val="24"/>
        </w:rPr>
      </w:pPr>
    </w:p>
    <w:p w14:paraId="181866DD" w14:textId="6E8BFC6E" w:rsidR="009C1822" w:rsidRDefault="009C1822" w:rsidP="00AF6415">
      <w:pPr>
        <w:spacing w:after="0" w:line="240" w:lineRule="auto"/>
        <w:ind w:firstLine="720"/>
        <w:jc w:val="both"/>
        <w:rPr>
          <w:rFonts w:ascii="Times New Roman" w:hAnsi="Times New Roman" w:cs="Times New Roman"/>
          <w:color w:val="000000"/>
          <w:sz w:val="24"/>
          <w:szCs w:val="24"/>
          <w:bdr w:val="none" w:sz="0" w:space="0" w:color="auto" w:frame="1"/>
        </w:rPr>
      </w:pPr>
    </w:p>
    <w:p w14:paraId="0B5FE7A6" w14:textId="15317EC8" w:rsidR="009134E2" w:rsidRPr="009134E2" w:rsidRDefault="009134E2" w:rsidP="009134E2">
      <w:pPr>
        <w:pStyle w:val="ListParagraph"/>
        <w:numPr>
          <w:ilvl w:val="0"/>
          <w:numId w:val="9"/>
        </w:numPr>
        <w:spacing w:after="0" w:line="240" w:lineRule="auto"/>
        <w:jc w:val="both"/>
        <w:rPr>
          <w:rFonts w:ascii="Times New Roman" w:hAnsi="Times New Roman" w:cs="Times New Roman"/>
          <w:b/>
          <w:bCs/>
          <w:color w:val="000000"/>
          <w:sz w:val="24"/>
          <w:szCs w:val="24"/>
          <w:u w:val="single"/>
          <w:bdr w:val="none" w:sz="0" w:space="0" w:color="auto" w:frame="1"/>
        </w:rPr>
      </w:pPr>
      <w:r w:rsidRPr="009134E2">
        <w:rPr>
          <w:rFonts w:ascii="Times New Roman" w:hAnsi="Times New Roman" w:cs="Times New Roman"/>
          <w:b/>
          <w:bCs/>
          <w:color w:val="000000"/>
          <w:sz w:val="24"/>
          <w:szCs w:val="24"/>
          <w:u w:val="single"/>
          <w:bdr w:val="none" w:sz="0" w:space="0" w:color="auto" w:frame="1"/>
        </w:rPr>
        <w:t>Obligāta testēšana profesiju grupās, kas netiek apmaksāta no valsts budžeta</w:t>
      </w:r>
    </w:p>
    <w:p w14:paraId="5BD040FA" w14:textId="77777777" w:rsidR="009134E2" w:rsidRDefault="009134E2" w:rsidP="007D025D">
      <w:pPr>
        <w:spacing w:after="0" w:line="240" w:lineRule="auto"/>
        <w:ind w:firstLine="720"/>
        <w:jc w:val="both"/>
        <w:rPr>
          <w:rFonts w:ascii="Times New Roman" w:eastAsia="Calibri" w:hAnsi="Times New Roman" w:cs="Times New Roman"/>
          <w:sz w:val="24"/>
          <w:szCs w:val="24"/>
        </w:rPr>
      </w:pPr>
    </w:p>
    <w:p w14:paraId="7AB62D75" w14:textId="61FD0D40" w:rsidR="009134E2" w:rsidRDefault="009134E2" w:rsidP="009134E2">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Lai </w:t>
      </w:r>
      <w:r>
        <w:rPr>
          <w:rFonts w:ascii="Times New Roman" w:hAnsi="Times New Roman" w:cs="Times New Roman"/>
          <w:sz w:val="24"/>
          <w:szCs w:val="24"/>
        </w:rPr>
        <w:t>nodrošinātu epidemioloģiski drošu un nepārtrauktu veselības un sociālo aprūpi, izglītības procesa norisi klātienē un pakalpojumu sniegšanu, ir nepieciešama regulāra testēšana to profesiju grupās, kuras ikdienā ir ciešā saskarē ar iepriekš minētajām riska grupām</w:t>
      </w:r>
      <w:r>
        <w:rPr>
          <w:rFonts w:ascii="Times New Roman" w:eastAsia="Calibri" w:hAnsi="Times New Roman" w:cs="Times New Roman"/>
          <w:sz w:val="24"/>
          <w:szCs w:val="24"/>
        </w:rPr>
        <w:t>, jo tām ir paaugstināts risks inficēt citas personas. Veselības ministrijas ieskatā šīm grupām nosakāma o</w:t>
      </w:r>
      <w:r w:rsidRPr="009134E2">
        <w:rPr>
          <w:rFonts w:ascii="Times New Roman" w:eastAsia="Calibri" w:hAnsi="Times New Roman" w:cs="Times New Roman"/>
          <w:sz w:val="24"/>
          <w:szCs w:val="24"/>
        </w:rPr>
        <w:t>bligāt</w:t>
      </w:r>
      <w:r>
        <w:rPr>
          <w:rFonts w:ascii="Times New Roman" w:eastAsia="Calibri" w:hAnsi="Times New Roman" w:cs="Times New Roman"/>
          <w:sz w:val="24"/>
          <w:szCs w:val="24"/>
        </w:rPr>
        <w:t>a</w:t>
      </w:r>
      <w:r w:rsidRPr="009134E2">
        <w:rPr>
          <w:rFonts w:ascii="Times New Roman" w:eastAsia="Calibri" w:hAnsi="Times New Roman" w:cs="Times New Roman"/>
          <w:sz w:val="24"/>
          <w:szCs w:val="24"/>
        </w:rPr>
        <w:t xml:space="preserve"> prasīb</w:t>
      </w:r>
      <w:r>
        <w:rPr>
          <w:rFonts w:ascii="Times New Roman" w:eastAsia="Calibri" w:hAnsi="Times New Roman" w:cs="Times New Roman"/>
          <w:sz w:val="24"/>
          <w:szCs w:val="24"/>
        </w:rPr>
        <w:t>a</w:t>
      </w:r>
      <w:r w:rsidRPr="009134E2">
        <w:rPr>
          <w:rFonts w:ascii="Times New Roman" w:eastAsia="Calibri" w:hAnsi="Times New Roman" w:cs="Times New Roman"/>
          <w:sz w:val="24"/>
          <w:szCs w:val="24"/>
        </w:rPr>
        <w:t xml:space="preserve"> darba pienākumu veikšanai uzrādīt negatīvu Covid-19 testa rezultātu vai vakcinācijas vai pārslimošanas sertifikātu</w:t>
      </w:r>
      <w:r>
        <w:rPr>
          <w:rFonts w:ascii="Times New Roman" w:eastAsia="Calibri" w:hAnsi="Times New Roman" w:cs="Times New Roman"/>
          <w:sz w:val="24"/>
          <w:szCs w:val="24"/>
        </w:rPr>
        <w:t xml:space="preserve">. </w:t>
      </w:r>
    </w:p>
    <w:p w14:paraId="43F24BE2" w14:textId="187D150E" w:rsidR="009134E2" w:rsidRDefault="009134E2" w:rsidP="009134E2">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Šādas profesiju grupas iekļauj:</w:t>
      </w:r>
    </w:p>
    <w:p w14:paraId="637889D0" w14:textId="24E80F52" w:rsidR="009134E2" w:rsidRPr="009134E2" w:rsidRDefault="009134E2" w:rsidP="009134E2">
      <w:pPr>
        <w:pStyle w:val="ListParagraph"/>
        <w:numPr>
          <w:ilvl w:val="0"/>
          <w:numId w:val="1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9134E2">
        <w:rPr>
          <w:rFonts w:ascii="Times New Roman" w:eastAsia="Calibri" w:hAnsi="Times New Roman" w:cs="Times New Roman"/>
          <w:sz w:val="24"/>
          <w:szCs w:val="24"/>
        </w:rPr>
        <w:t>limnīcu darbiniek</w:t>
      </w:r>
      <w:r>
        <w:rPr>
          <w:rFonts w:ascii="Times New Roman" w:eastAsia="Calibri" w:hAnsi="Times New Roman" w:cs="Times New Roman"/>
          <w:sz w:val="24"/>
          <w:szCs w:val="24"/>
        </w:rPr>
        <w:t>us</w:t>
      </w:r>
      <w:r w:rsidRPr="009134E2">
        <w:rPr>
          <w:rFonts w:ascii="Times New Roman" w:eastAsia="Calibri" w:hAnsi="Times New Roman" w:cs="Times New Roman"/>
          <w:sz w:val="24"/>
          <w:szCs w:val="24"/>
        </w:rPr>
        <w:t>, kas piedalās ārstniecības procesā</w:t>
      </w:r>
      <w:r>
        <w:rPr>
          <w:rFonts w:ascii="Times New Roman" w:eastAsia="Calibri" w:hAnsi="Times New Roman" w:cs="Times New Roman"/>
          <w:sz w:val="24"/>
          <w:szCs w:val="24"/>
        </w:rPr>
        <w:t>,</w:t>
      </w:r>
    </w:p>
    <w:p w14:paraId="224BD33F" w14:textId="5913767B" w:rsidR="009134E2" w:rsidRPr="009134E2" w:rsidRDefault="009134E2" w:rsidP="009134E2">
      <w:pPr>
        <w:pStyle w:val="ListParagraph"/>
        <w:numPr>
          <w:ilvl w:val="0"/>
          <w:numId w:val="15"/>
        </w:numPr>
        <w:spacing w:after="0" w:line="240" w:lineRule="auto"/>
        <w:jc w:val="both"/>
        <w:rPr>
          <w:rFonts w:ascii="Times New Roman" w:eastAsia="Calibri" w:hAnsi="Times New Roman" w:cs="Times New Roman"/>
          <w:sz w:val="24"/>
          <w:szCs w:val="24"/>
        </w:rPr>
      </w:pPr>
      <w:r w:rsidRPr="009134E2">
        <w:rPr>
          <w:rFonts w:ascii="Times New Roman" w:eastAsia="Calibri" w:hAnsi="Times New Roman" w:cs="Times New Roman"/>
          <w:sz w:val="24"/>
          <w:szCs w:val="24"/>
        </w:rPr>
        <w:t>NMPD darbiniek</w:t>
      </w:r>
      <w:r>
        <w:rPr>
          <w:rFonts w:ascii="Times New Roman" w:eastAsia="Calibri" w:hAnsi="Times New Roman" w:cs="Times New Roman"/>
          <w:sz w:val="24"/>
          <w:szCs w:val="24"/>
        </w:rPr>
        <w:t>us</w:t>
      </w:r>
      <w:r w:rsidRPr="009134E2">
        <w:rPr>
          <w:rFonts w:ascii="Times New Roman" w:eastAsia="Calibri" w:hAnsi="Times New Roman" w:cs="Times New Roman"/>
          <w:sz w:val="24"/>
          <w:szCs w:val="24"/>
        </w:rPr>
        <w:t>, kas strādā brigādē</w:t>
      </w:r>
      <w:r>
        <w:rPr>
          <w:rFonts w:ascii="Times New Roman" w:eastAsia="Calibri" w:hAnsi="Times New Roman" w:cs="Times New Roman"/>
          <w:sz w:val="24"/>
          <w:szCs w:val="24"/>
        </w:rPr>
        <w:t>s,</w:t>
      </w:r>
    </w:p>
    <w:p w14:paraId="51F3D3D4" w14:textId="3D328F37" w:rsidR="009134E2" w:rsidRPr="009134E2" w:rsidRDefault="009134E2" w:rsidP="009134E2">
      <w:pPr>
        <w:pStyle w:val="ListParagraph"/>
        <w:numPr>
          <w:ilvl w:val="0"/>
          <w:numId w:val="1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9134E2">
        <w:rPr>
          <w:rFonts w:ascii="Times New Roman" w:eastAsia="Calibri" w:hAnsi="Times New Roman" w:cs="Times New Roman"/>
          <w:sz w:val="24"/>
          <w:szCs w:val="24"/>
        </w:rPr>
        <w:t>zglītības iestāžu pedagoģisk</w:t>
      </w:r>
      <w:r>
        <w:rPr>
          <w:rFonts w:ascii="Times New Roman" w:eastAsia="Calibri" w:hAnsi="Times New Roman" w:cs="Times New Roman"/>
          <w:sz w:val="24"/>
          <w:szCs w:val="24"/>
        </w:rPr>
        <w:t>o</w:t>
      </w:r>
      <w:r w:rsidRPr="009134E2">
        <w:rPr>
          <w:rFonts w:ascii="Times New Roman" w:eastAsia="Calibri" w:hAnsi="Times New Roman" w:cs="Times New Roman"/>
          <w:sz w:val="24"/>
          <w:szCs w:val="24"/>
        </w:rPr>
        <w:t xml:space="preserve"> un tehnisk</w:t>
      </w:r>
      <w:r>
        <w:rPr>
          <w:rFonts w:ascii="Times New Roman" w:eastAsia="Calibri" w:hAnsi="Times New Roman" w:cs="Times New Roman"/>
          <w:sz w:val="24"/>
          <w:szCs w:val="24"/>
        </w:rPr>
        <w:t>o</w:t>
      </w:r>
      <w:r w:rsidRPr="009134E2">
        <w:rPr>
          <w:rFonts w:ascii="Times New Roman" w:eastAsia="Calibri" w:hAnsi="Times New Roman" w:cs="Times New Roman"/>
          <w:sz w:val="24"/>
          <w:szCs w:val="24"/>
        </w:rPr>
        <w:t xml:space="preserve"> personāl</w:t>
      </w:r>
      <w:r>
        <w:rPr>
          <w:rFonts w:ascii="Times New Roman" w:eastAsia="Calibri" w:hAnsi="Times New Roman" w:cs="Times New Roman"/>
          <w:sz w:val="24"/>
          <w:szCs w:val="24"/>
        </w:rPr>
        <w:t>u,</w:t>
      </w:r>
    </w:p>
    <w:p w14:paraId="121251D9" w14:textId="5463E667" w:rsidR="009134E2" w:rsidRPr="009134E2" w:rsidRDefault="009134E2" w:rsidP="009134E2">
      <w:pPr>
        <w:pStyle w:val="ListParagraph"/>
        <w:numPr>
          <w:ilvl w:val="0"/>
          <w:numId w:val="1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134E2">
        <w:rPr>
          <w:rFonts w:ascii="Times New Roman" w:eastAsia="Calibri" w:hAnsi="Times New Roman" w:cs="Times New Roman"/>
          <w:sz w:val="24"/>
          <w:szCs w:val="24"/>
        </w:rPr>
        <w:t>ašvaldību sociāl</w:t>
      </w:r>
      <w:r>
        <w:rPr>
          <w:rFonts w:ascii="Times New Roman" w:eastAsia="Calibri" w:hAnsi="Times New Roman" w:cs="Times New Roman"/>
          <w:sz w:val="24"/>
          <w:szCs w:val="24"/>
        </w:rPr>
        <w:t>os</w:t>
      </w:r>
      <w:r w:rsidRPr="009134E2">
        <w:rPr>
          <w:rFonts w:ascii="Times New Roman" w:eastAsia="Calibri" w:hAnsi="Times New Roman" w:cs="Times New Roman"/>
          <w:sz w:val="24"/>
          <w:szCs w:val="24"/>
        </w:rPr>
        <w:t xml:space="preserve"> darbiniek</w:t>
      </w:r>
      <w:r>
        <w:rPr>
          <w:rFonts w:ascii="Times New Roman" w:eastAsia="Calibri" w:hAnsi="Times New Roman" w:cs="Times New Roman"/>
          <w:sz w:val="24"/>
          <w:szCs w:val="24"/>
        </w:rPr>
        <w:t xml:space="preserve">us, </w:t>
      </w:r>
    </w:p>
    <w:p w14:paraId="63DA9F89" w14:textId="2540FFDC" w:rsidR="009134E2" w:rsidRPr="009134E2" w:rsidRDefault="009134E2" w:rsidP="009134E2">
      <w:pPr>
        <w:pStyle w:val="ListParagraph"/>
        <w:numPr>
          <w:ilvl w:val="0"/>
          <w:numId w:val="1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9134E2">
        <w:rPr>
          <w:rFonts w:ascii="Times New Roman" w:eastAsia="Calibri" w:hAnsi="Times New Roman" w:cs="Times New Roman"/>
          <w:sz w:val="24"/>
          <w:szCs w:val="24"/>
        </w:rPr>
        <w:t>eslodzījuma vietu un Valsts probācijas dienesta darbiniek</w:t>
      </w:r>
      <w:r>
        <w:rPr>
          <w:rFonts w:ascii="Times New Roman" w:eastAsia="Calibri" w:hAnsi="Times New Roman" w:cs="Times New Roman"/>
          <w:sz w:val="24"/>
          <w:szCs w:val="24"/>
        </w:rPr>
        <w:t>us,</w:t>
      </w:r>
    </w:p>
    <w:p w14:paraId="55274354" w14:textId="48D366B0" w:rsidR="009134E2" w:rsidRPr="009134E2" w:rsidRDefault="009134E2" w:rsidP="009134E2">
      <w:pPr>
        <w:pStyle w:val="ListParagraph"/>
        <w:numPr>
          <w:ilvl w:val="0"/>
          <w:numId w:val="15"/>
        </w:numPr>
        <w:spacing w:after="0" w:line="240" w:lineRule="auto"/>
        <w:jc w:val="both"/>
        <w:rPr>
          <w:rFonts w:ascii="Times New Roman" w:eastAsia="Calibri" w:hAnsi="Times New Roman" w:cs="Times New Roman"/>
          <w:sz w:val="24"/>
          <w:szCs w:val="24"/>
        </w:rPr>
      </w:pPr>
      <w:r w:rsidRPr="009134E2">
        <w:rPr>
          <w:rFonts w:ascii="Times New Roman" w:eastAsia="Calibri" w:hAnsi="Times New Roman" w:cs="Times New Roman"/>
          <w:sz w:val="24"/>
          <w:szCs w:val="24"/>
        </w:rPr>
        <w:t>Valsts policijas darbiniek</w:t>
      </w:r>
      <w:r>
        <w:rPr>
          <w:rFonts w:ascii="Times New Roman" w:eastAsia="Calibri" w:hAnsi="Times New Roman" w:cs="Times New Roman"/>
          <w:sz w:val="24"/>
          <w:szCs w:val="24"/>
        </w:rPr>
        <w:t>us,</w:t>
      </w:r>
    </w:p>
    <w:p w14:paraId="119D7EF3" w14:textId="26EC7034" w:rsidR="009134E2" w:rsidRDefault="00BF38FC" w:rsidP="009134E2">
      <w:pPr>
        <w:pStyle w:val="ListParagraph"/>
        <w:numPr>
          <w:ilvl w:val="0"/>
          <w:numId w:val="1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kā arī nodarbinātos </w:t>
      </w:r>
      <w:r w:rsidR="009134E2" w:rsidRPr="009134E2">
        <w:rPr>
          <w:rFonts w:ascii="Times New Roman" w:eastAsia="Calibri" w:hAnsi="Times New Roman" w:cs="Times New Roman"/>
          <w:sz w:val="24"/>
          <w:szCs w:val="24"/>
        </w:rPr>
        <w:t>mazumtirdzniecīb</w:t>
      </w:r>
      <w:r>
        <w:rPr>
          <w:rFonts w:ascii="Times New Roman" w:eastAsia="Calibri" w:hAnsi="Times New Roman" w:cs="Times New Roman"/>
          <w:sz w:val="24"/>
          <w:szCs w:val="24"/>
        </w:rPr>
        <w:t>ā</w:t>
      </w:r>
      <w:r w:rsidR="009134E2" w:rsidRPr="009134E2">
        <w:rPr>
          <w:rFonts w:ascii="Times New Roman" w:eastAsia="Calibri" w:hAnsi="Times New Roman" w:cs="Times New Roman"/>
          <w:sz w:val="24"/>
          <w:szCs w:val="24"/>
        </w:rPr>
        <w:t>, ēdināšana</w:t>
      </w:r>
      <w:r>
        <w:rPr>
          <w:rFonts w:ascii="Times New Roman" w:eastAsia="Calibri" w:hAnsi="Times New Roman" w:cs="Times New Roman"/>
          <w:sz w:val="24"/>
          <w:szCs w:val="24"/>
        </w:rPr>
        <w:t>s jomā un citās, kur darbinieks ikdienā saskaras ar lielu klientu skaitu.</w:t>
      </w:r>
    </w:p>
    <w:p w14:paraId="579954CE" w14:textId="77777777" w:rsidR="00BF38FC" w:rsidRDefault="00BF38FC" w:rsidP="00BF38FC">
      <w:pPr>
        <w:pStyle w:val="ListParagraph"/>
        <w:spacing w:after="0" w:line="240" w:lineRule="auto"/>
        <w:ind w:left="1080"/>
        <w:jc w:val="both"/>
        <w:rPr>
          <w:rFonts w:ascii="Times New Roman" w:eastAsia="Calibri" w:hAnsi="Times New Roman" w:cs="Times New Roman"/>
          <w:sz w:val="24"/>
          <w:szCs w:val="24"/>
        </w:rPr>
      </w:pPr>
    </w:p>
    <w:p w14:paraId="27906B08" w14:textId="71FB1ACF" w:rsidR="00BF38FC" w:rsidRPr="007B5447" w:rsidRDefault="00BF38FC" w:rsidP="00BF38F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Papildus minētajam Veselības ministrijas ieskatā ir jādod tiesības darba devējiem noteikt </w:t>
      </w:r>
      <w:r w:rsidRPr="007B5447">
        <w:rPr>
          <w:rFonts w:ascii="Times New Roman" w:eastAsia="Calibri" w:hAnsi="Times New Roman" w:cs="Times New Roman"/>
          <w:sz w:val="24"/>
          <w:szCs w:val="24"/>
        </w:rPr>
        <w:t xml:space="preserve">pienākumu testēties savam nodarbinātajam. Šīs tiesības būtu attiecināmas uz tiem darbiniekiem, kuriem saskarsme ar klientu ir mazāk intensīva, piemēram, darbinieki pie konveijera, noliktavu darbinieki mazumtirdzniecībā, virtuves darbinieki ēdināšanā utt. </w:t>
      </w:r>
    </w:p>
    <w:p w14:paraId="48BE5E6E" w14:textId="125AA120" w:rsidR="0015359C" w:rsidRPr="0015359C" w:rsidRDefault="0015359C" w:rsidP="00914327">
      <w:pPr>
        <w:spacing w:after="0" w:line="240" w:lineRule="auto"/>
        <w:ind w:firstLine="720"/>
        <w:jc w:val="both"/>
        <w:rPr>
          <w:rFonts w:ascii="Times New Roman" w:hAnsi="Times New Roman" w:cs="Times New Roman"/>
          <w:color w:val="201F1E"/>
          <w:sz w:val="24"/>
          <w:szCs w:val="24"/>
          <w:shd w:val="clear" w:color="auto" w:fill="FFFFFF"/>
        </w:rPr>
      </w:pPr>
      <w:r w:rsidRPr="0015359C">
        <w:rPr>
          <w:rFonts w:ascii="Times New Roman" w:hAnsi="Times New Roman" w:cs="Times New Roman"/>
          <w:color w:val="201F1E"/>
          <w:sz w:val="24"/>
          <w:szCs w:val="24"/>
          <w:shd w:val="clear" w:color="auto" w:fill="FFFFFF"/>
        </w:rPr>
        <w:t xml:space="preserve">Augstāk minētajām profesiju grupām rutīnas </w:t>
      </w:r>
      <w:proofErr w:type="spellStart"/>
      <w:r w:rsidRPr="0015359C">
        <w:rPr>
          <w:rFonts w:ascii="Times New Roman" w:hAnsi="Times New Roman" w:cs="Times New Roman"/>
          <w:color w:val="201F1E"/>
          <w:sz w:val="24"/>
          <w:szCs w:val="24"/>
          <w:shd w:val="clear" w:color="auto" w:fill="FFFFFF"/>
        </w:rPr>
        <w:t>skrīninga</w:t>
      </w:r>
      <w:proofErr w:type="spellEnd"/>
      <w:r w:rsidRPr="0015359C">
        <w:rPr>
          <w:rFonts w:ascii="Times New Roman" w:hAnsi="Times New Roman" w:cs="Times New Roman"/>
          <w:color w:val="201F1E"/>
          <w:sz w:val="24"/>
          <w:szCs w:val="24"/>
          <w:shd w:val="clear" w:color="auto" w:fill="FFFFFF"/>
        </w:rPr>
        <w:t xml:space="preserve"> testēšanu par saviem līdzekļiem veic līdz brīdim, kad stājas spēkā normatīvo aktu grozījumi, kas šīm personu grupām nosaka prasību obligātai vakcinācijai</w:t>
      </w:r>
      <w:r>
        <w:rPr>
          <w:rFonts w:ascii="Times New Roman" w:hAnsi="Times New Roman" w:cs="Times New Roman"/>
          <w:color w:val="201F1E"/>
          <w:sz w:val="24"/>
          <w:szCs w:val="24"/>
          <w:shd w:val="clear" w:color="auto" w:fill="FFFFFF"/>
        </w:rPr>
        <w:t>.</w:t>
      </w:r>
    </w:p>
    <w:p w14:paraId="184020A0" w14:textId="1C501EE8" w:rsidR="009134E2" w:rsidRDefault="00BF38FC" w:rsidP="0091432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Minētie pasākumi būtiski ierobežotu Covid-19 izplatību, ļaujot laikus identificēt un izolēt inficētas personas.</w:t>
      </w:r>
    </w:p>
    <w:p w14:paraId="67CE98A4" w14:textId="77777777" w:rsidR="009134E2" w:rsidRDefault="009134E2" w:rsidP="007D025D">
      <w:pPr>
        <w:spacing w:after="0" w:line="240" w:lineRule="auto"/>
        <w:ind w:firstLine="720"/>
        <w:jc w:val="both"/>
        <w:rPr>
          <w:rFonts w:ascii="Times New Roman" w:eastAsia="Calibri" w:hAnsi="Times New Roman" w:cs="Times New Roman"/>
          <w:sz w:val="24"/>
          <w:szCs w:val="24"/>
        </w:rPr>
      </w:pPr>
    </w:p>
    <w:p w14:paraId="4A0EF2FA" w14:textId="6E10CB7B" w:rsidR="000537E1" w:rsidRPr="000537E1" w:rsidRDefault="000537E1" w:rsidP="000537E1">
      <w:pPr>
        <w:pStyle w:val="ListParagraph"/>
        <w:numPr>
          <w:ilvl w:val="0"/>
          <w:numId w:val="9"/>
        </w:numPr>
        <w:spacing w:after="0" w:line="240" w:lineRule="auto"/>
        <w:jc w:val="both"/>
        <w:rPr>
          <w:rFonts w:ascii="Times New Roman" w:eastAsia="Calibri" w:hAnsi="Times New Roman" w:cs="Times New Roman"/>
          <w:b/>
          <w:bCs/>
          <w:sz w:val="24"/>
          <w:szCs w:val="24"/>
          <w:u w:val="single"/>
        </w:rPr>
      </w:pPr>
      <w:r w:rsidRPr="000537E1">
        <w:rPr>
          <w:rFonts w:ascii="Times New Roman" w:eastAsia="Calibri" w:hAnsi="Times New Roman" w:cs="Times New Roman"/>
          <w:b/>
          <w:bCs/>
          <w:sz w:val="24"/>
          <w:szCs w:val="24"/>
          <w:u w:val="single"/>
        </w:rPr>
        <w:t>Testēšanas</w:t>
      </w:r>
      <w:r w:rsidR="00DC5248">
        <w:rPr>
          <w:rFonts w:ascii="Times New Roman" w:eastAsia="Calibri" w:hAnsi="Times New Roman" w:cs="Times New Roman"/>
          <w:b/>
          <w:bCs/>
          <w:sz w:val="24"/>
          <w:szCs w:val="24"/>
          <w:u w:val="single"/>
        </w:rPr>
        <w:t xml:space="preserve"> </w:t>
      </w:r>
      <w:r w:rsidRPr="000537E1">
        <w:rPr>
          <w:rFonts w:ascii="Times New Roman" w:eastAsia="Calibri" w:hAnsi="Times New Roman" w:cs="Times New Roman"/>
          <w:b/>
          <w:bCs/>
          <w:sz w:val="24"/>
          <w:szCs w:val="24"/>
          <w:u w:val="single"/>
        </w:rPr>
        <w:t>metodes</w:t>
      </w:r>
      <w:r w:rsidR="00DC5248" w:rsidRPr="00DC5248">
        <w:rPr>
          <w:rFonts w:ascii="Times New Roman" w:eastAsia="Calibri" w:hAnsi="Times New Roman" w:cs="Times New Roman"/>
          <w:b/>
          <w:bCs/>
          <w:sz w:val="24"/>
          <w:szCs w:val="24"/>
          <w:u w:val="single"/>
        </w:rPr>
        <w:t xml:space="preserve"> </w:t>
      </w:r>
      <w:r w:rsidR="00DC5248">
        <w:rPr>
          <w:rFonts w:ascii="Times New Roman" w:eastAsia="Calibri" w:hAnsi="Times New Roman" w:cs="Times New Roman"/>
          <w:b/>
          <w:bCs/>
          <w:sz w:val="24"/>
          <w:szCs w:val="24"/>
          <w:u w:val="single"/>
        </w:rPr>
        <w:t xml:space="preserve">un kapacitāte </w:t>
      </w:r>
    </w:p>
    <w:p w14:paraId="517ADA1A" w14:textId="166DA2AC" w:rsidR="007B0556" w:rsidRDefault="00AA36EF" w:rsidP="00AA36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Atbilstoši SPKC sniegtajam viedoklim, r</w:t>
      </w:r>
      <w:r w:rsidR="007D025D">
        <w:rPr>
          <w:rFonts w:ascii="Times New Roman" w:hAnsi="Times New Roman" w:cs="Times New Roman"/>
          <w:sz w:val="24"/>
          <w:szCs w:val="24"/>
        </w:rPr>
        <w:t xml:space="preserve">utīnas laboratoriskā </w:t>
      </w:r>
      <w:proofErr w:type="spellStart"/>
      <w:r w:rsidR="007D025D">
        <w:rPr>
          <w:rFonts w:ascii="Times New Roman" w:hAnsi="Times New Roman" w:cs="Times New Roman"/>
          <w:sz w:val="24"/>
          <w:szCs w:val="24"/>
        </w:rPr>
        <w:t>skrīninga</w:t>
      </w:r>
      <w:proofErr w:type="spellEnd"/>
      <w:r w:rsidR="007B0556">
        <w:rPr>
          <w:rFonts w:ascii="Times New Roman" w:hAnsi="Times New Roman" w:cs="Times New Roman"/>
          <w:sz w:val="24"/>
          <w:szCs w:val="24"/>
        </w:rPr>
        <w:t xml:space="preserve"> nolūkā</w:t>
      </w:r>
      <w:r w:rsidR="007D025D">
        <w:rPr>
          <w:rFonts w:ascii="Times New Roman" w:hAnsi="Times New Roman" w:cs="Times New Roman"/>
          <w:sz w:val="24"/>
          <w:szCs w:val="24"/>
        </w:rPr>
        <w:t>,</w:t>
      </w:r>
      <w:r w:rsidR="007B0556">
        <w:rPr>
          <w:rFonts w:ascii="Times New Roman" w:hAnsi="Times New Roman" w:cs="Times New Roman"/>
          <w:sz w:val="24"/>
          <w:szCs w:val="24"/>
        </w:rPr>
        <w:t xml:space="preserve"> atbilstoši faktiskiem apstākļiem</w:t>
      </w:r>
      <w:r w:rsidR="007D025D">
        <w:rPr>
          <w:rFonts w:ascii="Times New Roman" w:hAnsi="Times New Roman" w:cs="Times New Roman"/>
          <w:sz w:val="24"/>
          <w:szCs w:val="24"/>
        </w:rPr>
        <w:t>,</w:t>
      </w:r>
      <w:r w:rsidR="007B0556">
        <w:rPr>
          <w:rFonts w:ascii="Times New Roman" w:hAnsi="Times New Roman" w:cs="Times New Roman"/>
          <w:sz w:val="24"/>
          <w:szCs w:val="24"/>
        </w:rPr>
        <w:t xml:space="preserve"> tiek izmantotas SARS-CoV-2 vīrusa RNS un antigēna noteikšanas metodes</w:t>
      </w:r>
      <w:r w:rsidR="00831754">
        <w:rPr>
          <w:rFonts w:ascii="Times New Roman" w:hAnsi="Times New Roman" w:cs="Times New Roman"/>
          <w:sz w:val="24"/>
          <w:szCs w:val="24"/>
        </w:rPr>
        <w:t xml:space="preserve"> (skat. </w:t>
      </w:r>
      <w:r w:rsidR="00AF6415">
        <w:rPr>
          <w:rFonts w:ascii="Times New Roman" w:hAnsi="Times New Roman" w:cs="Times New Roman"/>
          <w:sz w:val="24"/>
          <w:szCs w:val="24"/>
        </w:rPr>
        <w:t>4</w:t>
      </w:r>
      <w:r w:rsidR="00831754">
        <w:rPr>
          <w:rFonts w:ascii="Times New Roman" w:hAnsi="Times New Roman" w:cs="Times New Roman"/>
          <w:sz w:val="24"/>
          <w:szCs w:val="24"/>
        </w:rPr>
        <w:t>.tabulu)</w:t>
      </w:r>
      <w:r w:rsidR="007B0556">
        <w:rPr>
          <w:rFonts w:ascii="Times New Roman" w:hAnsi="Times New Roman" w:cs="Times New Roman"/>
          <w:sz w:val="24"/>
          <w:szCs w:val="24"/>
        </w:rPr>
        <w:t>:</w:t>
      </w:r>
    </w:p>
    <w:p w14:paraId="16E7A827" w14:textId="19C9EACA" w:rsidR="00831754" w:rsidRPr="00831754" w:rsidRDefault="00AF6415" w:rsidP="00831754">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4</w:t>
      </w:r>
      <w:r w:rsidR="00831754" w:rsidRPr="00831754">
        <w:rPr>
          <w:rFonts w:ascii="Times New Roman" w:hAnsi="Times New Roman" w:cs="Times New Roman"/>
          <w:i/>
          <w:iCs/>
          <w:sz w:val="24"/>
          <w:szCs w:val="24"/>
        </w:rPr>
        <w:t>.Tabula</w:t>
      </w:r>
    </w:p>
    <w:tbl>
      <w:tblPr>
        <w:tblStyle w:val="TableGrid"/>
        <w:tblW w:w="0" w:type="auto"/>
        <w:tblInd w:w="0" w:type="dxa"/>
        <w:tblLook w:val="04A0" w:firstRow="1" w:lastRow="0" w:firstColumn="1" w:lastColumn="0" w:noHBand="0" w:noVBand="1"/>
      </w:tblPr>
      <w:tblGrid>
        <w:gridCol w:w="1514"/>
        <w:gridCol w:w="1553"/>
        <w:gridCol w:w="2642"/>
        <w:gridCol w:w="3307"/>
      </w:tblGrid>
      <w:tr w:rsidR="007B0556" w14:paraId="76C82196" w14:textId="77777777" w:rsidTr="007B0556">
        <w:tc>
          <w:tcPr>
            <w:tcW w:w="1526" w:type="dxa"/>
            <w:tcBorders>
              <w:top w:val="single" w:sz="4" w:space="0" w:color="auto"/>
              <w:left w:val="single" w:sz="4" w:space="0" w:color="auto"/>
              <w:bottom w:val="single" w:sz="4" w:space="0" w:color="auto"/>
              <w:right w:val="single" w:sz="4" w:space="0" w:color="auto"/>
            </w:tcBorders>
            <w:hideMark/>
          </w:tcPr>
          <w:p w14:paraId="710E03DD" w14:textId="77777777" w:rsidR="007B0556" w:rsidRDefault="007B0556">
            <w:pPr>
              <w:jc w:val="center"/>
              <w:rPr>
                <w:rFonts w:ascii="Times New Roman" w:hAnsi="Times New Roman" w:cs="Times New Roman"/>
                <w:b/>
                <w:sz w:val="24"/>
                <w:szCs w:val="24"/>
              </w:rPr>
            </w:pPr>
            <w:r>
              <w:rPr>
                <w:rFonts w:ascii="Times New Roman" w:hAnsi="Times New Roman" w:cs="Times New Roman"/>
                <w:b/>
                <w:sz w:val="24"/>
                <w:szCs w:val="24"/>
              </w:rPr>
              <w:t xml:space="preserve"> Testēšanas metode un testa veids</w:t>
            </w:r>
          </w:p>
        </w:tc>
        <w:tc>
          <w:tcPr>
            <w:tcW w:w="1559" w:type="dxa"/>
            <w:tcBorders>
              <w:top w:val="single" w:sz="4" w:space="0" w:color="auto"/>
              <w:left w:val="single" w:sz="4" w:space="0" w:color="auto"/>
              <w:bottom w:val="single" w:sz="4" w:space="0" w:color="auto"/>
              <w:right w:val="single" w:sz="4" w:space="0" w:color="auto"/>
            </w:tcBorders>
            <w:hideMark/>
          </w:tcPr>
          <w:p w14:paraId="41B72F1E" w14:textId="77777777" w:rsidR="007B0556" w:rsidRDefault="007B0556">
            <w:pPr>
              <w:jc w:val="center"/>
              <w:rPr>
                <w:rFonts w:ascii="Times New Roman" w:hAnsi="Times New Roman" w:cs="Times New Roman"/>
                <w:b/>
                <w:sz w:val="24"/>
                <w:szCs w:val="24"/>
              </w:rPr>
            </w:pPr>
            <w:r>
              <w:rPr>
                <w:rFonts w:ascii="Times New Roman" w:hAnsi="Times New Roman" w:cs="Times New Roman"/>
                <w:b/>
                <w:sz w:val="24"/>
                <w:szCs w:val="24"/>
              </w:rPr>
              <w:t>Testējamais materiāls</w:t>
            </w:r>
          </w:p>
        </w:tc>
        <w:tc>
          <w:tcPr>
            <w:tcW w:w="2693" w:type="dxa"/>
            <w:tcBorders>
              <w:top w:val="single" w:sz="4" w:space="0" w:color="auto"/>
              <w:left w:val="single" w:sz="4" w:space="0" w:color="auto"/>
              <w:bottom w:val="single" w:sz="4" w:space="0" w:color="auto"/>
              <w:right w:val="single" w:sz="4" w:space="0" w:color="auto"/>
            </w:tcBorders>
            <w:hideMark/>
          </w:tcPr>
          <w:p w14:paraId="2B97793A" w14:textId="77777777" w:rsidR="007B0556" w:rsidRDefault="007B0556">
            <w:pPr>
              <w:jc w:val="center"/>
              <w:rPr>
                <w:rFonts w:ascii="Times New Roman" w:hAnsi="Times New Roman" w:cs="Times New Roman"/>
                <w:b/>
                <w:sz w:val="24"/>
                <w:szCs w:val="24"/>
              </w:rPr>
            </w:pPr>
            <w:r>
              <w:rPr>
                <w:rFonts w:ascii="Times New Roman" w:hAnsi="Times New Roman" w:cs="Times New Roman"/>
                <w:b/>
                <w:sz w:val="24"/>
                <w:szCs w:val="24"/>
              </w:rPr>
              <w:t>Priekšrocības</w:t>
            </w:r>
          </w:p>
        </w:tc>
        <w:tc>
          <w:tcPr>
            <w:tcW w:w="3402" w:type="dxa"/>
            <w:tcBorders>
              <w:top w:val="single" w:sz="4" w:space="0" w:color="auto"/>
              <w:left w:val="single" w:sz="4" w:space="0" w:color="auto"/>
              <w:bottom w:val="single" w:sz="4" w:space="0" w:color="auto"/>
              <w:right w:val="single" w:sz="4" w:space="0" w:color="auto"/>
            </w:tcBorders>
            <w:hideMark/>
          </w:tcPr>
          <w:p w14:paraId="6D126C0D" w14:textId="77777777" w:rsidR="007B0556" w:rsidRDefault="007B0556">
            <w:pPr>
              <w:jc w:val="center"/>
              <w:rPr>
                <w:rFonts w:ascii="Times New Roman" w:hAnsi="Times New Roman" w:cs="Times New Roman"/>
                <w:b/>
                <w:sz w:val="24"/>
                <w:szCs w:val="24"/>
              </w:rPr>
            </w:pPr>
            <w:r>
              <w:rPr>
                <w:rFonts w:ascii="Times New Roman" w:hAnsi="Times New Roman" w:cs="Times New Roman"/>
                <w:b/>
                <w:sz w:val="24"/>
                <w:szCs w:val="24"/>
              </w:rPr>
              <w:t>Trūkumi</w:t>
            </w:r>
          </w:p>
        </w:tc>
      </w:tr>
      <w:tr w:rsidR="007B0556" w14:paraId="0A547E89" w14:textId="77777777" w:rsidTr="007B0556">
        <w:tc>
          <w:tcPr>
            <w:tcW w:w="1526" w:type="dxa"/>
            <w:vMerge w:val="restart"/>
            <w:tcBorders>
              <w:top w:val="single" w:sz="4" w:space="0" w:color="auto"/>
              <w:left w:val="single" w:sz="4" w:space="0" w:color="auto"/>
              <w:bottom w:val="single" w:sz="4" w:space="0" w:color="auto"/>
              <w:right w:val="single" w:sz="4" w:space="0" w:color="auto"/>
            </w:tcBorders>
            <w:hideMark/>
          </w:tcPr>
          <w:p w14:paraId="76BD62DD"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SARS-CoV-2 vīrusa RNS noteikšana (RT-PĶR)</w:t>
            </w:r>
          </w:p>
        </w:tc>
        <w:tc>
          <w:tcPr>
            <w:tcW w:w="1559" w:type="dxa"/>
            <w:tcBorders>
              <w:top w:val="single" w:sz="4" w:space="0" w:color="auto"/>
              <w:left w:val="single" w:sz="4" w:space="0" w:color="auto"/>
              <w:bottom w:val="single" w:sz="4" w:space="0" w:color="auto"/>
              <w:right w:val="single" w:sz="4" w:space="0" w:color="auto"/>
            </w:tcBorders>
            <w:hideMark/>
          </w:tcPr>
          <w:p w14:paraId="5A869D5D"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 xml:space="preserve">Deguna un rīkles </w:t>
            </w:r>
            <w:proofErr w:type="spellStart"/>
            <w:r>
              <w:rPr>
                <w:rFonts w:ascii="Times New Roman" w:hAnsi="Times New Roman" w:cs="Times New Roman"/>
                <w:sz w:val="24"/>
                <w:szCs w:val="24"/>
              </w:rPr>
              <w:t>iztriepe</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794FD3F8"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Augsta testa jūtība, testu var veikt retāk.</w:t>
            </w:r>
          </w:p>
        </w:tc>
        <w:tc>
          <w:tcPr>
            <w:tcW w:w="3402" w:type="dxa"/>
            <w:tcBorders>
              <w:top w:val="single" w:sz="4" w:space="0" w:color="auto"/>
              <w:left w:val="single" w:sz="4" w:space="0" w:color="auto"/>
              <w:bottom w:val="single" w:sz="4" w:space="0" w:color="auto"/>
              <w:right w:val="single" w:sz="4" w:space="0" w:color="auto"/>
            </w:tcBorders>
            <w:hideMark/>
          </w:tcPr>
          <w:p w14:paraId="0683D379"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Nepieciešama apmācīta ārstniecības persona materiāla ņemšanai.</w:t>
            </w:r>
          </w:p>
        </w:tc>
      </w:tr>
      <w:tr w:rsidR="007B0556" w14:paraId="7077A45A" w14:textId="77777777" w:rsidTr="007B0556">
        <w:tc>
          <w:tcPr>
            <w:tcW w:w="0" w:type="auto"/>
            <w:vMerge/>
            <w:tcBorders>
              <w:top w:val="single" w:sz="4" w:space="0" w:color="auto"/>
              <w:left w:val="single" w:sz="4" w:space="0" w:color="auto"/>
              <w:bottom w:val="single" w:sz="4" w:space="0" w:color="auto"/>
              <w:right w:val="single" w:sz="4" w:space="0" w:color="auto"/>
            </w:tcBorders>
            <w:vAlign w:val="center"/>
            <w:hideMark/>
          </w:tcPr>
          <w:p w14:paraId="6686FC5F" w14:textId="77777777" w:rsidR="007B0556" w:rsidRDefault="007B0556">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38CC7F7"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Siekalas</w:t>
            </w:r>
          </w:p>
        </w:tc>
        <w:tc>
          <w:tcPr>
            <w:tcW w:w="2693" w:type="dxa"/>
            <w:tcBorders>
              <w:top w:val="single" w:sz="4" w:space="0" w:color="auto"/>
              <w:left w:val="single" w:sz="4" w:space="0" w:color="auto"/>
              <w:bottom w:val="single" w:sz="4" w:space="0" w:color="auto"/>
              <w:right w:val="single" w:sz="4" w:space="0" w:color="auto"/>
            </w:tcBorders>
            <w:hideMark/>
          </w:tcPr>
          <w:p w14:paraId="2AE02772"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Nav nepieciešama apmācīta ārstniecības persona materiāla ņemšanai.</w:t>
            </w:r>
          </w:p>
          <w:p w14:paraId="74561CA6"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Iespēja apvienot siekalu paraugus.</w:t>
            </w:r>
          </w:p>
        </w:tc>
        <w:tc>
          <w:tcPr>
            <w:tcW w:w="3402" w:type="dxa"/>
            <w:tcBorders>
              <w:top w:val="single" w:sz="4" w:space="0" w:color="auto"/>
              <w:left w:val="single" w:sz="4" w:space="0" w:color="auto"/>
              <w:bottom w:val="single" w:sz="4" w:space="0" w:color="auto"/>
              <w:right w:val="single" w:sz="4" w:space="0" w:color="auto"/>
            </w:tcBorders>
            <w:hideMark/>
          </w:tcPr>
          <w:p w14:paraId="2695FD26"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Risks, ka materiāla ņemšana notiks neuzraudzīti, līdz ar to netīši vai tīši nepareizi.</w:t>
            </w:r>
          </w:p>
          <w:p w14:paraId="631D638F"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 xml:space="preserve">Paraugu kvalitāte atkarīga no piegādes ātruma laboratorijā. </w:t>
            </w:r>
          </w:p>
          <w:p w14:paraId="79814D19"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 xml:space="preserve">Vides kontaminācijas risks. </w:t>
            </w:r>
          </w:p>
        </w:tc>
      </w:tr>
      <w:tr w:rsidR="007B0556" w14:paraId="7B525ED9" w14:textId="77777777" w:rsidTr="007B0556">
        <w:tc>
          <w:tcPr>
            <w:tcW w:w="1526" w:type="dxa"/>
            <w:tcBorders>
              <w:top w:val="single" w:sz="4" w:space="0" w:color="auto"/>
              <w:left w:val="single" w:sz="4" w:space="0" w:color="auto"/>
              <w:bottom w:val="single" w:sz="4" w:space="0" w:color="auto"/>
              <w:right w:val="single" w:sz="4" w:space="0" w:color="auto"/>
            </w:tcBorders>
            <w:hideMark/>
          </w:tcPr>
          <w:p w14:paraId="38E8FCAB"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SARS-CoV-2 vīrusa antigēna noteikšana (ātrie antigēnu testi)</w:t>
            </w:r>
          </w:p>
        </w:tc>
        <w:tc>
          <w:tcPr>
            <w:tcW w:w="1559" w:type="dxa"/>
            <w:tcBorders>
              <w:top w:val="single" w:sz="4" w:space="0" w:color="auto"/>
              <w:left w:val="single" w:sz="4" w:space="0" w:color="auto"/>
              <w:bottom w:val="single" w:sz="4" w:space="0" w:color="auto"/>
              <w:right w:val="single" w:sz="4" w:space="0" w:color="auto"/>
            </w:tcBorders>
            <w:hideMark/>
          </w:tcPr>
          <w:p w14:paraId="5D31FC38"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 xml:space="preserve">Deguna un rīkles </w:t>
            </w:r>
            <w:proofErr w:type="spellStart"/>
            <w:r>
              <w:rPr>
                <w:rFonts w:ascii="Times New Roman" w:hAnsi="Times New Roman" w:cs="Times New Roman"/>
                <w:sz w:val="24"/>
                <w:szCs w:val="24"/>
              </w:rPr>
              <w:t>iztriepe</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61A5D0DA"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Rezultāta iegūšanas operativitāte.</w:t>
            </w:r>
          </w:p>
          <w:p w14:paraId="314A133D"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Tests ir lētāks, tomēr jāņem vērā veikšanas biežums un organizatoriskie izdevumi.</w:t>
            </w:r>
          </w:p>
        </w:tc>
        <w:tc>
          <w:tcPr>
            <w:tcW w:w="3402" w:type="dxa"/>
            <w:tcBorders>
              <w:top w:val="single" w:sz="4" w:space="0" w:color="auto"/>
              <w:left w:val="single" w:sz="4" w:space="0" w:color="auto"/>
              <w:bottom w:val="single" w:sz="4" w:space="0" w:color="auto"/>
              <w:right w:val="single" w:sz="4" w:space="0" w:color="auto"/>
            </w:tcBorders>
            <w:hideMark/>
          </w:tcPr>
          <w:p w14:paraId="01D0CF0D"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Zema testa jūtība, tests jāveic biežāk.</w:t>
            </w:r>
          </w:p>
          <w:p w14:paraId="42A3C891"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Nepieciešama apmācīta ārstniecības persona materiāla ņemšanai.</w:t>
            </w:r>
          </w:p>
          <w:p w14:paraId="205227EA"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Pozitīvā rezultāta gadījumā uzreiz jāveic SARS-CoV-2 vīrusa RNS apstiprinošais tests.</w:t>
            </w:r>
          </w:p>
          <w:p w14:paraId="0AD20032"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Medicīnisko atkritumu savākšana un utilizācija uz vietas.</w:t>
            </w:r>
          </w:p>
          <w:p w14:paraId="355E3CE1" w14:textId="77777777" w:rsidR="007B0556" w:rsidRDefault="007B0556">
            <w:pPr>
              <w:rPr>
                <w:rFonts w:ascii="Times New Roman" w:hAnsi="Times New Roman" w:cs="Times New Roman"/>
                <w:sz w:val="24"/>
                <w:szCs w:val="24"/>
              </w:rPr>
            </w:pPr>
            <w:r>
              <w:rPr>
                <w:rFonts w:ascii="Times New Roman" w:hAnsi="Times New Roman" w:cs="Times New Roman"/>
                <w:sz w:val="24"/>
                <w:szCs w:val="24"/>
              </w:rPr>
              <w:t xml:space="preserve">Ja ir liels testējamo skaits, RLS var radīt lielu personāla noslogojumu un kavēt iestādes procesus. </w:t>
            </w:r>
          </w:p>
        </w:tc>
      </w:tr>
    </w:tbl>
    <w:p w14:paraId="220DA63E" w14:textId="77777777" w:rsidR="007B0556" w:rsidRDefault="007B0556" w:rsidP="007B0556">
      <w:pPr>
        <w:spacing w:after="0" w:line="240" w:lineRule="auto"/>
        <w:jc w:val="both"/>
        <w:rPr>
          <w:rFonts w:ascii="Times New Roman" w:hAnsi="Times New Roman" w:cs="Times New Roman"/>
          <w:sz w:val="24"/>
          <w:szCs w:val="24"/>
        </w:rPr>
      </w:pPr>
    </w:p>
    <w:p w14:paraId="34862EC3" w14:textId="77777777" w:rsidR="00AA36EF" w:rsidRDefault="00AA36EF" w:rsidP="00AA36EF">
      <w:pPr>
        <w:spacing w:after="0" w:line="240" w:lineRule="auto"/>
        <w:jc w:val="both"/>
        <w:rPr>
          <w:rFonts w:ascii="Times New Roman" w:hAnsi="Times New Roman" w:cs="Times New Roman"/>
          <w:sz w:val="24"/>
          <w:szCs w:val="24"/>
        </w:rPr>
      </w:pPr>
    </w:p>
    <w:p w14:paraId="3255C3CC" w14:textId="0A9B1AA6" w:rsidR="00914327" w:rsidRDefault="00914327" w:rsidP="0091432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Šobrīd tiek izmantotas dažādas testēšanas metodes testējamo personu grupās, izvēlēties piemērotāko, šī pieeja ministrijas ieskatā ir turpināma.</w:t>
      </w:r>
    </w:p>
    <w:p w14:paraId="2AAD8D8B" w14:textId="49455B8B" w:rsidR="00A1709B" w:rsidRDefault="00914327" w:rsidP="00A1709B">
      <w:pPr>
        <w:spacing w:after="0" w:line="240" w:lineRule="auto"/>
        <w:ind w:firstLine="720"/>
        <w:jc w:val="both"/>
        <w:rPr>
          <w:rFonts w:ascii="Times New Roman" w:hAnsi="Times New Roman" w:cs="Times New Roman"/>
          <w:color w:val="000000"/>
          <w:sz w:val="24"/>
          <w:szCs w:val="24"/>
          <w:bdr w:val="none" w:sz="0" w:space="0" w:color="auto" w:frame="1"/>
        </w:rPr>
      </w:pPr>
      <w:r w:rsidRPr="00A1709B">
        <w:rPr>
          <w:rFonts w:ascii="Times New Roman" w:hAnsi="Times New Roman" w:cs="Times New Roman"/>
          <w:color w:val="000000"/>
          <w:sz w:val="24"/>
          <w:szCs w:val="24"/>
          <w:bdr w:val="none" w:sz="0" w:space="0" w:color="auto" w:frame="1"/>
        </w:rPr>
        <w:t>Izglītības iestād</w:t>
      </w:r>
      <w:r w:rsidR="00A1709B">
        <w:rPr>
          <w:rFonts w:ascii="Times New Roman" w:hAnsi="Times New Roman" w:cs="Times New Roman"/>
          <w:color w:val="000000"/>
          <w:sz w:val="24"/>
          <w:szCs w:val="24"/>
          <w:bdr w:val="none" w:sz="0" w:space="0" w:color="auto" w:frame="1"/>
        </w:rPr>
        <w:t>ēs r</w:t>
      </w:r>
      <w:r w:rsidR="00A1709B" w:rsidRPr="00A1709B">
        <w:rPr>
          <w:rFonts w:ascii="Times New Roman" w:hAnsi="Times New Roman" w:cs="Times New Roman"/>
          <w:color w:val="000000"/>
          <w:sz w:val="24"/>
          <w:szCs w:val="24"/>
          <w:bdr w:val="none" w:sz="0" w:space="0" w:color="auto" w:frame="1"/>
        </w:rPr>
        <w:t xml:space="preserve">utīnas </w:t>
      </w:r>
      <w:proofErr w:type="spellStart"/>
      <w:r w:rsidR="00A1709B" w:rsidRPr="00A1709B">
        <w:rPr>
          <w:rFonts w:ascii="Times New Roman" w:hAnsi="Times New Roman" w:cs="Times New Roman"/>
          <w:color w:val="000000"/>
          <w:sz w:val="24"/>
          <w:szCs w:val="24"/>
          <w:bdr w:val="none" w:sz="0" w:space="0" w:color="auto" w:frame="1"/>
        </w:rPr>
        <w:t>skrīninga</w:t>
      </w:r>
      <w:proofErr w:type="spellEnd"/>
      <w:r w:rsidR="00A1709B" w:rsidRPr="00A1709B">
        <w:rPr>
          <w:rFonts w:ascii="Times New Roman" w:hAnsi="Times New Roman" w:cs="Times New Roman"/>
          <w:color w:val="000000"/>
          <w:sz w:val="24"/>
          <w:szCs w:val="24"/>
          <w:bdr w:val="none" w:sz="0" w:space="0" w:color="auto" w:frame="1"/>
        </w:rPr>
        <w:t xml:space="preserve"> testēšana </w:t>
      </w:r>
      <w:r w:rsidR="00A1709B">
        <w:rPr>
          <w:rFonts w:ascii="Times New Roman" w:hAnsi="Times New Roman" w:cs="Times New Roman"/>
          <w:color w:val="000000"/>
          <w:sz w:val="24"/>
          <w:szCs w:val="24"/>
          <w:bdr w:val="none" w:sz="0" w:space="0" w:color="auto" w:frame="1"/>
        </w:rPr>
        <w:t>kopš 14. septembra tiek</w:t>
      </w:r>
      <w:r w:rsidR="00A1709B" w:rsidRPr="00A1709B">
        <w:rPr>
          <w:rFonts w:ascii="Times New Roman" w:hAnsi="Times New Roman" w:cs="Times New Roman"/>
          <w:color w:val="000000"/>
          <w:sz w:val="24"/>
          <w:szCs w:val="24"/>
          <w:bdr w:val="none" w:sz="0" w:space="0" w:color="auto" w:frame="1"/>
        </w:rPr>
        <w:t xml:space="preserve"> veikta 1 reizi 2 nedēļās, gadījumos, ja pieaugs saslimstība un/vai pozitīvo testu īpatsvars izglītības iestāžu </w:t>
      </w:r>
      <w:proofErr w:type="spellStart"/>
      <w:r w:rsidR="00A1709B" w:rsidRPr="00A1709B">
        <w:rPr>
          <w:rFonts w:ascii="Times New Roman" w:hAnsi="Times New Roman" w:cs="Times New Roman"/>
          <w:color w:val="000000"/>
          <w:sz w:val="24"/>
          <w:szCs w:val="24"/>
          <w:bdr w:val="none" w:sz="0" w:space="0" w:color="auto" w:frame="1"/>
        </w:rPr>
        <w:t>skrīningā</w:t>
      </w:r>
      <w:proofErr w:type="spellEnd"/>
      <w:r w:rsidR="00A1709B" w:rsidRPr="00A1709B">
        <w:rPr>
          <w:rFonts w:ascii="Times New Roman" w:hAnsi="Times New Roman" w:cs="Times New Roman"/>
          <w:color w:val="000000"/>
          <w:sz w:val="24"/>
          <w:szCs w:val="24"/>
          <w:bdr w:val="none" w:sz="0" w:space="0" w:color="auto" w:frame="1"/>
        </w:rPr>
        <w:t xml:space="preserve"> var tikt pārskatīts testu veikšanas biežums. Šīs grupas rutīnas </w:t>
      </w:r>
      <w:proofErr w:type="spellStart"/>
      <w:r w:rsidR="00A1709B" w:rsidRPr="00A1709B">
        <w:rPr>
          <w:rFonts w:ascii="Times New Roman" w:hAnsi="Times New Roman" w:cs="Times New Roman"/>
          <w:color w:val="000000"/>
          <w:sz w:val="24"/>
          <w:szCs w:val="24"/>
          <w:bdr w:val="none" w:sz="0" w:space="0" w:color="auto" w:frame="1"/>
        </w:rPr>
        <w:t>skrīninga</w:t>
      </w:r>
      <w:proofErr w:type="spellEnd"/>
      <w:r w:rsidR="00A1709B" w:rsidRPr="00A1709B">
        <w:rPr>
          <w:rFonts w:ascii="Times New Roman" w:hAnsi="Times New Roman" w:cs="Times New Roman"/>
          <w:color w:val="000000"/>
          <w:sz w:val="24"/>
          <w:szCs w:val="24"/>
          <w:bdr w:val="none" w:sz="0" w:space="0" w:color="auto" w:frame="1"/>
        </w:rPr>
        <w:t xml:space="preserve"> testēšanas metodei izmanto siekalu “</w:t>
      </w:r>
      <w:proofErr w:type="spellStart"/>
      <w:r w:rsidR="00A1709B" w:rsidRPr="00A1709B">
        <w:rPr>
          <w:rFonts w:ascii="Times New Roman" w:hAnsi="Times New Roman" w:cs="Times New Roman"/>
          <w:color w:val="000000"/>
          <w:sz w:val="24"/>
          <w:szCs w:val="24"/>
          <w:bdr w:val="none" w:sz="0" w:space="0" w:color="auto" w:frame="1"/>
        </w:rPr>
        <w:t>pooling</w:t>
      </w:r>
      <w:proofErr w:type="spellEnd"/>
      <w:r w:rsidR="00A1709B" w:rsidRPr="00A1709B">
        <w:rPr>
          <w:rFonts w:ascii="Times New Roman" w:hAnsi="Times New Roman" w:cs="Times New Roman"/>
          <w:color w:val="000000"/>
          <w:sz w:val="24"/>
          <w:szCs w:val="24"/>
          <w:bdr w:val="none" w:sz="0" w:space="0" w:color="auto" w:frame="1"/>
        </w:rPr>
        <w:t xml:space="preserve">” pa 10, bet ir uzsākta pāreja uz jaunu testēšanas metodi SARS -CoV-2 RNS skolas klašu </w:t>
      </w:r>
      <w:proofErr w:type="spellStart"/>
      <w:r w:rsidR="00A1709B" w:rsidRPr="00A1709B">
        <w:rPr>
          <w:rFonts w:ascii="Times New Roman" w:hAnsi="Times New Roman" w:cs="Times New Roman"/>
          <w:color w:val="000000"/>
          <w:sz w:val="24"/>
          <w:szCs w:val="24"/>
          <w:bdr w:val="none" w:sz="0" w:space="0" w:color="auto" w:frame="1"/>
        </w:rPr>
        <w:t>pūlings</w:t>
      </w:r>
      <w:proofErr w:type="spellEnd"/>
      <w:r w:rsidR="00A1709B" w:rsidRPr="00A1709B">
        <w:rPr>
          <w:rFonts w:ascii="Times New Roman" w:hAnsi="Times New Roman" w:cs="Times New Roman"/>
          <w:color w:val="000000"/>
          <w:sz w:val="24"/>
          <w:szCs w:val="24"/>
          <w:bdr w:val="none" w:sz="0" w:space="0" w:color="auto" w:frame="1"/>
        </w:rPr>
        <w:t xml:space="preserve">. </w:t>
      </w:r>
      <w:r w:rsidR="00A1709B" w:rsidRPr="008C1307">
        <w:rPr>
          <w:rFonts w:ascii="Times New Roman" w:hAnsi="Times New Roman" w:cs="Times New Roman"/>
          <w:color w:val="000000"/>
          <w:sz w:val="24"/>
          <w:szCs w:val="24"/>
          <w:bdr w:val="none" w:sz="0" w:space="0" w:color="auto" w:frame="1"/>
        </w:rPr>
        <w:t xml:space="preserve">Tādējādi negatīva testa rezultātā visa klase var turpināt mācības klātienē, savukārt pozitīva testa gadījumā visai klasei tiks noteikts kontaktpersonu status un veikta individuāla testēšana. </w:t>
      </w:r>
      <w:r w:rsidR="00A1709B" w:rsidRPr="00A1709B">
        <w:rPr>
          <w:rFonts w:ascii="Times New Roman" w:hAnsi="Times New Roman" w:cs="Times New Roman"/>
          <w:color w:val="000000"/>
          <w:sz w:val="24"/>
          <w:szCs w:val="24"/>
          <w:bdr w:val="none" w:sz="0" w:space="0" w:color="auto" w:frame="1"/>
        </w:rPr>
        <w:t>Patreiz notiek šīs metodes pilotēšana un pilnībā plānots pāriet uz šo metodi no 01.10.2021.</w:t>
      </w:r>
    </w:p>
    <w:p w14:paraId="52D20CCE" w14:textId="5E20C835" w:rsidR="0004231B" w:rsidRDefault="00B56854" w:rsidP="002677AD">
      <w:pPr>
        <w:spacing w:after="0" w:line="240" w:lineRule="auto"/>
        <w:ind w:firstLine="720"/>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Savukārt, l</w:t>
      </w:r>
      <w:r w:rsidR="0004231B">
        <w:rPr>
          <w:rFonts w:ascii="Times New Roman" w:hAnsi="Times New Roman" w:cs="Times New Roman"/>
          <w:color w:val="000000"/>
          <w:sz w:val="24"/>
          <w:szCs w:val="24"/>
          <w:bdr w:val="none" w:sz="0" w:space="0" w:color="auto" w:frame="1"/>
        </w:rPr>
        <w:t xml:space="preserve">ai nodrošinātu rutīnas laboratorisko </w:t>
      </w:r>
      <w:proofErr w:type="spellStart"/>
      <w:r w:rsidR="0004231B">
        <w:rPr>
          <w:rFonts w:ascii="Times New Roman" w:hAnsi="Times New Roman" w:cs="Times New Roman"/>
          <w:color w:val="000000"/>
          <w:sz w:val="24"/>
          <w:szCs w:val="24"/>
          <w:bdr w:val="none" w:sz="0" w:space="0" w:color="auto" w:frame="1"/>
        </w:rPr>
        <w:t>skrīningu</w:t>
      </w:r>
      <w:proofErr w:type="spellEnd"/>
      <w:r w:rsidR="0004231B">
        <w:rPr>
          <w:rFonts w:ascii="Times New Roman" w:hAnsi="Times New Roman" w:cs="Times New Roman"/>
          <w:color w:val="000000"/>
          <w:sz w:val="24"/>
          <w:szCs w:val="24"/>
          <w:bdr w:val="none" w:sz="0" w:space="0" w:color="auto" w:frame="1"/>
        </w:rPr>
        <w:t xml:space="preserve"> personām kurām</w:t>
      </w:r>
      <w:r w:rsidR="0004231B" w:rsidRPr="0004231B">
        <w:rPr>
          <w:rFonts w:ascii="Times New Roman" w:hAnsi="Times New Roman" w:cs="Times New Roman"/>
          <w:color w:val="000000"/>
          <w:sz w:val="24"/>
          <w:szCs w:val="24"/>
          <w:bdr w:val="none" w:sz="0" w:space="0" w:color="auto" w:frame="1"/>
        </w:rPr>
        <w:t xml:space="preserve"> nav nepieciešamo spēju un iemaņu nodot Covid-19 siekalu testu</w:t>
      </w:r>
      <w:r w:rsidR="0004231B">
        <w:rPr>
          <w:rFonts w:ascii="Times New Roman" w:hAnsi="Times New Roman" w:cs="Times New Roman"/>
          <w:color w:val="000000"/>
          <w:sz w:val="24"/>
          <w:szCs w:val="24"/>
          <w:bdr w:val="none" w:sz="0" w:space="0" w:color="auto" w:frame="1"/>
        </w:rPr>
        <w:t xml:space="preserve">, piemēram, </w:t>
      </w:r>
      <w:r w:rsidR="0004231B" w:rsidRPr="0004231B">
        <w:rPr>
          <w:rFonts w:ascii="Times New Roman" w:hAnsi="Times New Roman" w:cs="Times New Roman"/>
          <w:color w:val="000000"/>
          <w:sz w:val="24"/>
          <w:szCs w:val="24"/>
          <w:bdr w:val="none" w:sz="0" w:space="0" w:color="auto" w:frame="1"/>
        </w:rPr>
        <w:t>speciālo izglītības programmu audzēkņi</w:t>
      </w:r>
      <w:r w:rsidR="0004231B">
        <w:rPr>
          <w:rFonts w:ascii="Times New Roman" w:hAnsi="Times New Roman" w:cs="Times New Roman"/>
          <w:color w:val="000000"/>
          <w:sz w:val="24"/>
          <w:szCs w:val="24"/>
          <w:bdr w:val="none" w:sz="0" w:space="0" w:color="auto" w:frame="1"/>
        </w:rPr>
        <w:t xml:space="preserve">, </w:t>
      </w:r>
      <w:r w:rsidR="0004231B" w:rsidRPr="0004231B">
        <w:rPr>
          <w:rFonts w:ascii="Times New Roman" w:hAnsi="Times New Roman" w:cs="Times New Roman"/>
          <w:color w:val="000000"/>
          <w:sz w:val="24"/>
          <w:szCs w:val="24"/>
          <w:bdr w:val="none" w:sz="0" w:space="0" w:color="auto" w:frame="1"/>
        </w:rPr>
        <w:t>testēšana ti</w:t>
      </w:r>
      <w:r w:rsidR="0004231B">
        <w:rPr>
          <w:rFonts w:ascii="Times New Roman" w:hAnsi="Times New Roman" w:cs="Times New Roman"/>
          <w:color w:val="000000"/>
          <w:sz w:val="24"/>
          <w:szCs w:val="24"/>
          <w:bdr w:val="none" w:sz="0" w:space="0" w:color="auto" w:frame="1"/>
        </w:rPr>
        <w:t>ek</w:t>
      </w:r>
      <w:r w:rsidR="0004231B" w:rsidRPr="0004231B">
        <w:rPr>
          <w:rFonts w:ascii="Times New Roman" w:hAnsi="Times New Roman" w:cs="Times New Roman"/>
          <w:color w:val="000000"/>
          <w:sz w:val="24"/>
          <w:szCs w:val="24"/>
          <w:bdr w:val="none" w:sz="0" w:space="0" w:color="auto" w:frame="1"/>
        </w:rPr>
        <w:t xml:space="preserve"> veikta izlases veidā, sabalansējot epidemioloģiskās </w:t>
      </w:r>
      <w:r w:rsidR="0004231B" w:rsidRPr="0004231B">
        <w:rPr>
          <w:rFonts w:ascii="Times New Roman" w:hAnsi="Times New Roman" w:cs="Times New Roman"/>
          <w:color w:val="000000"/>
          <w:sz w:val="24"/>
          <w:szCs w:val="24"/>
          <w:bdr w:val="none" w:sz="0" w:space="0" w:color="auto" w:frame="1"/>
        </w:rPr>
        <w:lastRenderedPageBreak/>
        <w:t>drošības risku novēršanu ar iespējām veikt testēšanu bērnam draudzīgā veidā</w:t>
      </w:r>
      <w:r w:rsidR="0004231B">
        <w:rPr>
          <w:rFonts w:ascii="Times New Roman" w:hAnsi="Times New Roman" w:cs="Times New Roman"/>
          <w:color w:val="000000"/>
          <w:sz w:val="24"/>
          <w:szCs w:val="24"/>
          <w:bdr w:val="none" w:sz="0" w:space="0" w:color="auto" w:frame="1"/>
        </w:rPr>
        <w:t>. G</w:t>
      </w:r>
      <w:r w:rsidR="0004231B" w:rsidRPr="0004231B">
        <w:rPr>
          <w:rFonts w:ascii="Times New Roman" w:hAnsi="Times New Roman" w:cs="Times New Roman"/>
          <w:color w:val="000000"/>
          <w:sz w:val="24"/>
          <w:szCs w:val="24"/>
          <w:bdr w:val="none" w:sz="0" w:space="0" w:color="auto" w:frame="1"/>
        </w:rPr>
        <w:t xml:space="preserve">adījumā, ja bērns nevar pats nodot siekalu paraugu, tā savākšanai </w:t>
      </w:r>
      <w:r>
        <w:rPr>
          <w:rFonts w:ascii="Times New Roman" w:hAnsi="Times New Roman" w:cs="Times New Roman"/>
          <w:color w:val="000000"/>
          <w:sz w:val="24"/>
          <w:szCs w:val="24"/>
          <w:bdr w:val="none" w:sz="0" w:space="0" w:color="auto" w:frame="1"/>
        </w:rPr>
        <w:t>tiek izmantota</w:t>
      </w:r>
      <w:r w:rsidR="0004231B" w:rsidRPr="0004231B">
        <w:rPr>
          <w:rFonts w:ascii="Times New Roman" w:hAnsi="Times New Roman" w:cs="Times New Roman"/>
          <w:color w:val="000000"/>
          <w:sz w:val="24"/>
          <w:szCs w:val="24"/>
          <w:bdr w:val="none" w:sz="0" w:space="0" w:color="auto" w:frame="1"/>
        </w:rPr>
        <w:t xml:space="preserve"> atbilstoša un piemērota metode, piemēram, </w:t>
      </w:r>
      <w:proofErr w:type="spellStart"/>
      <w:r w:rsidR="0004231B" w:rsidRPr="0004231B">
        <w:rPr>
          <w:rFonts w:ascii="Times New Roman" w:hAnsi="Times New Roman" w:cs="Times New Roman"/>
          <w:color w:val="000000"/>
          <w:sz w:val="24"/>
          <w:szCs w:val="24"/>
          <w:bdr w:val="none" w:sz="0" w:space="0" w:color="auto" w:frame="1"/>
        </w:rPr>
        <w:t>LolliSponge</w:t>
      </w:r>
      <w:proofErr w:type="spellEnd"/>
      <w:r w:rsidR="0004231B" w:rsidRPr="0004231B">
        <w:rPr>
          <w:rFonts w:ascii="Times New Roman" w:hAnsi="Times New Roman" w:cs="Times New Roman"/>
          <w:color w:val="000000"/>
          <w:sz w:val="24"/>
          <w:szCs w:val="24"/>
          <w:bdr w:val="none" w:sz="0" w:space="0" w:color="auto" w:frame="1"/>
        </w:rPr>
        <w:t xml:space="preserve"> konteineri, </w:t>
      </w:r>
      <w:proofErr w:type="spellStart"/>
      <w:r w:rsidR="0004231B" w:rsidRPr="0004231B">
        <w:rPr>
          <w:rFonts w:ascii="Times New Roman" w:hAnsi="Times New Roman" w:cs="Times New Roman"/>
          <w:color w:val="000000"/>
          <w:sz w:val="24"/>
          <w:szCs w:val="24"/>
          <w:bdr w:val="none" w:sz="0" w:space="0" w:color="auto" w:frame="1"/>
        </w:rPr>
        <w:t>uztriepes</w:t>
      </w:r>
      <w:proofErr w:type="spellEnd"/>
      <w:r w:rsidR="0004231B" w:rsidRPr="0004231B">
        <w:rPr>
          <w:rFonts w:ascii="Times New Roman" w:hAnsi="Times New Roman" w:cs="Times New Roman"/>
          <w:color w:val="000000"/>
          <w:sz w:val="24"/>
          <w:szCs w:val="24"/>
          <w:bdr w:val="none" w:sz="0" w:space="0" w:color="auto" w:frame="1"/>
        </w:rPr>
        <w:t xml:space="preserve"> paņemšana ar tamponu no smaganām un mutes dobuma priekšējās daļas u.c.</w:t>
      </w:r>
    </w:p>
    <w:p w14:paraId="5D56FCB9" w14:textId="671D6AC5" w:rsidR="007B0556" w:rsidRPr="00C770A9" w:rsidRDefault="007B0556" w:rsidP="00702F60">
      <w:pPr>
        <w:spacing w:after="0" w:line="240" w:lineRule="auto"/>
        <w:ind w:firstLine="720"/>
        <w:jc w:val="both"/>
        <w:rPr>
          <w:rFonts w:ascii="Times New Roman" w:hAnsi="Times New Roman" w:cs="Times New Roman"/>
          <w:color w:val="000000"/>
          <w:sz w:val="24"/>
          <w:szCs w:val="24"/>
          <w:bdr w:val="none" w:sz="0" w:space="0" w:color="auto" w:frame="1"/>
        </w:rPr>
      </w:pPr>
      <w:r w:rsidRPr="00C770A9">
        <w:rPr>
          <w:rFonts w:ascii="Times New Roman" w:hAnsi="Times New Roman" w:cs="Times New Roman"/>
          <w:color w:val="000000"/>
          <w:sz w:val="24"/>
          <w:szCs w:val="24"/>
          <w:bdr w:val="none" w:sz="0" w:space="0" w:color="auto" w:frame="1"/>
        </w:rPr>
        <w:t>Papildus</w:t>
      </w:r>
      <w:r w:rsidR="00143879" w:rsidRPr="00C770A9">
        <w:rPr>
          <w:rFonts w:ascii="Times New Roman" w:hAnsi="Times New Roman" w:cs="Times New Roman"/>
          <w:color w:val="000000"/>
          <w:sz w:val="24"/>
          <w:szCs w:val="24"/>
          <w:bdr w:val="none" w:sz="0" w:space="0" w:color="auto" w:frame="1"/>
        </w:rPr>
        <w:t xml:space="preserve">, lai nodrošinātu epidemioloģiski drošu primārās nepieciešamības pakalpojumu sniegšanu un saņemšanu situācijās, kur uz vietas </w:t>
      </w:r>
      <w:r w:rsidR="00A1709B">
        <w:rPr>
          <w:rFonts w:ascii="Times New Roman" w:hAnsi="Times New Roman" w:cs="Times New Roman"/>
          <w:color w:val="000000"/>
          <w:sz w:val="24"/>
          <w:szCs w:val="24"/>
          <w:bdr w:val="none" w:sz="0" w:space="0" w:color="auto" w:frame="1"/>
        </w:rPr>
        <w:t xml:space="preserve">nav </w:t>
      </w:r>
      <w:r w:rsidR="00143879" w:rsidRPr="00C770A9">
        <w:rPr>
          <w:rFonts w:ascii="Times New Roman" w:hAnsi="Times New Roman" w:cs="Times New Roman"/>
          <w:color w:val="000000"/>
          <w:sz w:val="24"/>
          <w:szCs w:val="24"/>
          <w:bdr w:val="none" w:sz="0" w:space="0" w:color="auto" w:frame="1"/>
        </w:rPr>
        <w:t>pieejams medicīnas personāls,</w:t>
      </w:r>
      <w:r w:rsidRPr="00C770A9">
        <w:rPr>
          <w:rFonts w:ascii="Times New Roman" w:hAnsi="Times New Roman" w:cs="Times New Roman"/>
          <w:color w:val="000000"/>
          <w:sz w:val="24"/>
          <w:szCs w:val="24"/>
          <w:bdr w:val="none" w:sz="0" w:space="0" w:color="auto" w:frame="1"/>
        </w:rPr>
        <w:t xml:space="preserve"> tiek vērtēta iespēja testēšanai </w:t>
      </w:r>
      <w:r w:rsidR="004E36B4" w:rsidRPr="00C770A9">
        <w:rPr>
          <w:rFonts w:ascii="Times New Roman" w:hAnsi="Times New Roman" w:cs="Times New Roman"/>
          <w:color w:val="000000"/>
          <w:sz w:val="24"/>
          <w:szCs w:val="24"/>
          <w:bdr w:val="none" w:sz="0" w:space="0" w:color="auto" w:frame="1"/>
        </w:rPr>
        <w:t xml:space="preserve">uz Covid-19 </w:t>
      </w:r>
      <w:r w:rsidRPr="00C770A9">
        <w:rPr>
          <w:rFonts w:ascii="Times New Roman" w:hAnsi="Times New Roman" w:cs="Times New Roman"/>
          <w:color w:val="000000"/>
          <w:sz w:val="24"/>
          <w:szCs w:val="24"/>
          <w:bdr w:val="none" w:sz="0" w:space="0" w:color="auto" w:frame="1"/>
        </w:rPr>
        <w:t xml:space="preserve">izmantot </w:t>
      </w:r>
      <w:proofErr w:type="spellStart"/>
      <w:r w:rsidRPr="00C770A9">
        <w:rPr>
          <w:rFonts w:ascii="Times New Roman" w:hAnsi="Times New Roman" w:cs="Times New Roman"/>
          <w:color w:val="000000"/>
          <w:sz w:val="24"/>
          <w:szCs w:val="24"/>
          <w:bdr w:val="none" w:sz="0" w:space="0" w:color="auto" w:frame="1"/>
        </w:rPr>
        <w:t>paštestus</w:t>
      </w:r>
      <w:proofErr w:type="spellEnd"/>
      <w:r w:rsidR="00533A3C" w:rsidRPr="00C770A9">
        <w:rPr>
          <w:rFonts w:ascii="Times New Roman" w:hAnsi="Times New Roman" w:cs="Times New Roman"/>
          <w:color w:val="000000"/>
          <w:sz w:val="24"/>
          <w:szCs w:val="24"/>
          <w:bdr w:val="none" w:sz="0" w:space="0" w:color="auto" w:frame="1"/>
        </w:rPr>
        <w:t xml:space="preserve"> (</w:t>
      </w:r>
      <w:r w:rsidR="00533A3C" w:rsidRPr="00C770A9">
        <w:rPr>
          <w:rFonts w:ascii="Times New Roman" w:hAnsi="Times New Roman" w:cs="Times New Roman"/>
          <w:i/>
          <w:iCs/>
          <w:color w:val="000000"/>
          <w:sz w:val="24"/>
          <w:szCs w:val="24"/>
          <w:bdr w:val="none" w:sz="0" w:space="0" w:color="auto" w:frame="1"/>
        </w:rPr>
        <w:t xml:space="preserve">RAT </w:t>
      </w:r>
      <w:proofErr w:type="spellStart"/>
      <w:r w:rsidR="00533A3C" w:rsidRPr="00C770A9">
        <w:rPr>
          <w:rFonts w:ascii="Times New Roman" w:hAnsi="Times New Roman" w:cs="Times New Roman"/>
          <w:i/>
          <w:iCs/>
          <w:color w:val="000000"/>
          <w:sz w:val="24"/>
          <w:szCs w:val="24"/>
          <w:bdr w:val="none" w:sz="0" w:space="0" w:color="auto" w:frame="1"/>
        </w:rPr>
        <w:t>and</w:t>
      </w:r>
      <w:proofErr w:type="spellEnd"/>
      <w:r w:rsidR="00533A3C" w:rsidRPr="00C770A9">
        <w:rPr>
          <w:rFonts w:ascii="Times New Roman" w:hAnsi="Times New Roman" w:cs="Times New Roman"/>
          <w:i/>
          <w:iCs/>
          <w:color w:val="000000"/>
          <w:sz w:val="24"/>
          <w:szCs w:val="24"/>
          <w:bdr w:val="none" w:sz="0" w:space="0" w:color="auto" w:frame="1"/>
        </w:rPr>
        <w:t xml:space="preserve"> </w:t>
      </w:r>
      <w:proofErr w:type="spellStart"/>
      <w:r w:rsidR="00533A3C" w:rsidRPr="00C770A9">
        <w:rPr>
          <w:rFonts w:ascii="Times New Roman" w:hAnsi="Times New Roman" w:cs="Times New Roman"/>
          <w:i/>
          <w:iCs/>
          <w:color w:val="000000"/>
          <w:sz w:val="24"/>
          <w:szCs w:val="24"/>
          <w:bdr w:val="none" w:sz="0" w:space="0" w:color="auto" w:frame="1"/>
        </w:rPr>
        <w:t>self</w:t>
      </w:r>
      <w:proofErr w:type="spellEnd"/>
      <w:r w:rsidR="00533A3C" w:rsidRPr="00C770A9">
        <w:rPr>
          <w:rFonts w:ascii="Times New Roman" w:hAnsi="Times New Roman" w:cs="Times New Roman"/>
          <w:i/>
          <w:iCs/>
          <w:color w:val="000000"/>
          <w:sz w:val="24"/>
          <w:szCs w:val="24"/>
          <w:bdr w:val="none" w:sz="0" w:space="0" w:color="auto" w:frame="1"/>
        </w:rPr>
        <w:t>-tests</w:t>
      </w:r>
      <w:r w:rsidR="00533A3C" w:rsidRPr="00C770A9">
        <w:rPr>
          <w:rFonts w:ascii="Times New Roman" w:hAnsi="Times New Roman" w:cs="Times New Roman"/>
          <w:color w:val="000000"/>
          <w:sz w:val="24"/>
          <w:szCs w:val="24"/>
          <w:bdr w:val="none" w:sz="0" w:space="0" w:color="auto" w:frame="1"/>
        </w:rPr>
        <w:t>)</w:t>
      </w:r>
      <w:r w:rsidR="00143879" w:rsidRPr="00C770A9">
        <w:rPr>
          <w:rFonts w:ascii="Times New Roman" w:hAnsi="Times New Roman" w:cs="Times New Roman"/>
          <w:color w:val="000000"/>
          <w:sz w:val="24"/>
          <w:szCs w:val="24"/>
          <w:bdr w:val="none" w:sz="0" w:space="0" w:color="auto" w:frame="1"/>
        </w:rPr>
        <w:t xml:space="preserve">. Šāda testēšanas metode </w:t>
      </w:r>
      <w:r w:rsidR="00533A3C" w:rsidRPr="00C770A9">
        <w:rPr>
          <w:rFonts w:ascii="Times New Roman" w:hAnsi="Times New Roman" w:cs="Times New Roman"/>
          <w:color w:val="000000"/>
          <w:sz w:val="24"/>
          <w:szCs w:val="24"/>
          <w:bdr w:val="none" w:sz="0" w:space="0" w:color="auto" w:frame="1"/>
        </w:rPr>
        <w:t>izglītības iestādēs varētu tikt izmantoti arī ārstniecības personu uzraudzībā, lai nodrošinātu augstāku testu ticamību.</w:t>
      </w:r>
    </w:p>
    <w:p w14:paraId="0572CA45" w14:textId="108637FC" w:rsidR="00A15D09" w:rsidRDefault="004E36B4" w:rsidP="00A15D09">
      <w:pPr>
        <w:spacing w:after="0" w:line="240" w:lineRule="auto"/>
        <w:ind w:firstLine="720"/>
        <w:jc w:val="both"/>
        <w:rPr>
          <w:rFonts w:ascii="Times New Roman" w:hAnsi="Times New Roman" w:cs="Times New Roman"/>
          <w:color w:val="000000"/>
          <w:sz w:val="24"/>
          <w:szCs w:val="24"/>
          <w:bdr w:val="none" w:sz="0" w:space="0" w:color="auto" w:frame="1"/>
        </w:rPr>
      </w:pPr>
      <w:r w:rsidRPr="00C770A9">
        <w:rPr>
          <w:rFonts w:ascii="Times New Roman" w:hAnsi="Times New Roman" w:cs="Times New Roman"/>
          <w:color w:val="000000"/>
          <w:sz w:val="24"/>
          <w:szCs w:val="24"/>
          <w:bdr w:val="none" w:sz="0" w:space="0" w:color="auto" w:frame="1"/>
        </w:rPr>
        <w:t xml:space="preserve">Atbilstoši š.g. aprīlī Eiropas Savienībā veiktajai aptaujai, </w:t>
      </w:r>
      <w:proofErr w:type="spellStart"/>
      <w:r w:rsidRPr="00C770A9">
        <w:rPr>
          <w:rFonts w:ascii="Times New Roman" w:hAnsi="Times New Roman" w:cs="Times New Roman"/>
          <w:color w:val="000000"/>
          <w:sz w:val="24"/>
          <w:szCs w:val="24"/>
          <w:bdr w:val="none" w:sz="0" w:space="0" w:color="auto" w:frame="1"/>
        </w:rPr>
        <w:t>paštesti</w:t>
      </w:r>
      <w:proofErr w:type="spellEnd"/>
      <w:r w:rsidR="0044036D" w:rsidRPr="00C770A9">
        <w:rPr>
          <w:rFonts w:ascii="Times New Roman" w:hAnsi="Times New Roman" w:cs="Times New Roman"/>
          <w:color w:val="000000"/>
          <w:sz w:val="24"/>
          <w:szCs w:val="24"/>
          <w:bdr w:val="none" w:sz="0" w:space="0" w:color="auto" w:frame="1"/>
        </w:rPr>
        <w:t xml:space="preserve"> šobrīd</w:t>
      </w:r>
      <w:r w:rsidRPr="00C770A9">
        <w:rPr>
          <w:rFonts w:ascii="Times New Roman" w:hAnsi="Times New Roman" w:cs="Times New Roman"/>
          <w:color w:val="000000"/>
          <w:sz w:val="24"/>
          <w:szCs w:val="24"/>
          <w:bdr w:val="none" w:sz="0" w:space="0" w:color="auto" w:frame="1"/>
        </w:rPr>
        <w:t xml:space="preserve"> tiek izmantoti vairākās valstīs (piemēram, Vācijā, Francijā) un tuvākajā laikā bija plānots šādu testēšanas metodi ieviest arī cituviet, tai skaitā Lietuvā un Igaunijā. </w:t>
      </w:r>
      <w:r w:rsidR="0044036D" w:rsidRPr="00C770A9">
        <w:rPr>
          <w:rFonts w:ascii="Times New Roman" w:hAnsi="Times New Roman" w:cs="Times New Roman"/>
          <w:color w:val="000000"/>
          <w:sz w:val="24"/>
          <w:szCs w:val="24"/>
          <w:bdr w:val="none" w:sz="0" w:space="0" w:color="auto" w:frame="1"/>
        </w:rPr>
        <w:t>Cit</w:t>
      </w:r>
      <w:r w:rsidR="00143879" w:rsidRPr="00C770A9">
        <w:rPr>
          <w:rFonts w:ascii="Times New Roman" w:hAnsi="Times New Roman" w:cs="Times New Roman"/>
          <w:color w:val="000000"/>
          <w:sz w:val="24"/>
          <w:szCs w:val="24"/>
          <w:bdr w:val="none" w:sz="0" w:space="0" w:color="auto" w:frame="1"/>
        </w:rPr>
        <w:t>u</w:t>
      </w:r>
      <w:r w:rsidR="0044036D" w:rsidRPr="00C770A9">
        <w:rPr>
          <w:rFonts w:ascii="Times New Roman" w:hAnsi="Times New Roman" w:cs="Times New Roman"/>
          <w:color w:val="000000"/>
          <w:sz w:val="24"/>
          <w:szCs w:val="24"/>
          <w:bdr w:val="none" w:sz="0" w:space="0" w:color="auto" w:frame="1"/>
        </w:rPr>
        <w:t xml:space="preserve"> valstu pieredze rāda, ka</w:t>
      </w:r>
      <w:r w:rsidRPr="00C770A9">
        <w:rPr>
          <w:rFonts w:ascii="Times New Roman" w:hAnsi="Times New Roman" w:cs="Times New Roman"/>
          <w:color w:val="000000"/>
          <w:sz w:val="24"/>
          <w:szCs w:val="24"/>
          <w:bdr w:val="none" w:sz="0" w:space="0" w:color="auto" w:frame="1"/>
        </w:rPr>
        <w:t xml:space="preserve"> </w:t>
      </w:r>
      <w:proofErr w:type="spellStart"/>
      <w:r w:rsidRPr="00C770A9">
        <w:rPr>
          <w:rFonts w:ascii="Times New Roman" w:hAnsi="Times New Roman" w:cs="Times New Roman"/>
          <w:color w:val="000000"/>
          <w:sz w:val="24"/>
          <w:szCs w:val="24"/>
          <w:bdr w:val="none" w:sz="0" w:space="0" w:color="auto" w:frame="1"/>
        </w:rPr>
        <w:t>paštesti</w:t>
      </w:r>
      <w:proofErr w:type="spellEnd"/>
      <w:r w:rsidRPr="00C770A9">
        <w:rPr>
          <w:rFonts w:ascii="Times New Roman" w:hAnsi="Times New Roman" w:cs="Times New Roman"/>
          <w:color w:val="000000"/>
          <w:sz w:val="24"/>
          <w:szCs w:val="24"/>
          <w:bdr w:val="none" w:sz="0" w:space="0" w:color="auto" w:frame="1"/>
        </w:rPr>
        <w:t xml:space="preserve"> </w:t>
      </w:r>
      <w:r w:rsidR="0044036D" w:rsidRPr="00C770A9">
        <w:rPr>
          <w:rFonts w:ascii="Times New Roman" w:hAnsi="Times New Roman" w:cs="Times New Roman"/>
          <w:color w:val="000000"/>
          <w:sz w:val="24"/>
          <w:szCs w:val="24"/>
          <w:bdr w:val="none" w:sz="0" w:space="0" w:color="auto" w:frame="1"/>
        </w:rPr>
        <w:t xml:space="preserve">visbiežāk </w:t>
      </w:r>
      <w:r w:rsidRPr="00C770A9">
        <w:rPr>
          <w:rFonts w:ascii="Times New Roman" w:hAnsi="Times New Roman" w:cs="Times New Roman"/>
          <w:color w:val="000000"/>
          <w:sz w:val="24"/>
          <w:szCs w:val="24"/>
          <w:bdr w:val="none" w:sz="0" w:space="0" w:color="auto" w:frame="1"/>
        </w:rPr>
        <w:t>tiek izmantoti plašu sabi</w:t>
      </w:r>
      <w:r w:rsidR="00143879" w:rsidRPr="00C770A9">
        <w:rPr>
          <w:rFonts w:ascii="Times New Roman" w:hAnsi="Times New Roman" w:cs="Times New Roman"/>
          <w:color w:val="000000"/>
          <w:sz w:val="24"/>
          <w:szCs w:val="24"/>
          <w:bdr w:val="none" w:sz="0" w:space="0" w:color="auto" w:frame="1"/>
        </w:rPr>
        <w:t>e</w:t>
      </w:r>
      <w:r w:rsidRPr="00C770A9">
        <w:rPr>
          <w:rFonts w:ascii="Times New Roman" w:hAnsi="Times New Roman" w:cs="Times New Roman"/>
          <w:color w:val="000000"/>
          <w:sz w:val="24"/>
          <w:szCs w:val="24"/>
          <w:bdr w:val="none" w:sz="0" w:space="0" w:color="auto" w:frame="1"/>
        </w:rPr>
        <w:t xml:space="preserve">drības daļu testēšanai, </w:t>
      </w:r>
      <w:r w:rsidR="0044036D" w:rsidRPr="00C770A9">
        <w:rPr>
          <w:rFonts w:ascii="Times New Roman" w:hAnsi="Times New Roman" w:cs="Times New Roman"/>
          <w:color w:val="000000"/>
          <w:sz w:val="24"/>
          <w:szCs w:val="24"/>
          <w:bdr w:val="none" w:sz="0" w:space="0" w:color="auto" w:frame="1"/>
        </w:rPr>
        <w:t xml:space="preserve">bet vairākās valstīs izmantota tieši izglītības iestāžu un darba kolektīvu testēšanai. Visbiežāk testu veic paši iedzīvotāji, piesaistot arī vecākus, izglītības iestāžu personālu un ārstniecības personas, kas nodrošina laboratorisko izmeklēšanu. </w:t>
      </w:r>
      <w:proofErr w:type="spellStart"/>
      <w:r w:rsidR="0044036D" w:rsidRPr="00C770A9">
        <w:rPr>
          <w:rFonts w:ascii="Times New Roman" w:hAnsi="Times New Roman" w:cs="Times New Roman"/>
          <w:color w:val="000000"/>
          <w:sz w:val="24"/>
          <w:szCs w:val="24"/>
          <w:bdr w:val="none" w:sz="0" w:space="0" w:color="auto" w:frame="1"/>
        </w:rPr>
        <w:t>Paštestu</w:t>
      </w:r>
      <w:proofErr w:type="spellEnd"/>
      <w:r w:rsidR="0044036D" w:rsidRPr="00C770A9">
        <w:rPr>
          <w:rFonts w:ascii="Times New Roman" w:hAnsi="Times New Roman" w:cs="Times New Roman"/>
          <w:color w:val="000000"/>
          <w:sz w:val="24"/>
          <w:szCs w:val="24"/>
          <w:bdr w:val="none" w:sz="0" w:space="0" w:color="auto" w:frame="1"/>
        </w:rPr>
        <w:t xml:space="preserve"> rezultāti gan netiek iekļauti statistikas rādītājos par kopējo saslimstību valstī. Papildus pozitīva testa rezultātā visbiežāk tiek veikts atkārtots tests,</w:t>
      </w:r>
      <w:r w:rsidR="00143879" w:rsidRPr="00C770A9">
        <w:rPr>
          <w:rFonts w:ascii="Times New Roman" w:hAnsi="Times New Roman" w:cs="Times New Roman"/>
          <w:color w:val="000000"/>
          <w:sz w:val="24"/>
          <w:szCs w:val="24"/>
          <w:bdr w:val="none" w:sz="0" w:space="0" w:color="auto" w:frame="1"/>
        </w:rPr>
        <w:t xml:space="preserve"> izvēloties uzticamāku testēšanas metodi.</w:t>
      </w:r>
    </w:p>
    <w:p w14:paraId="12C214C0" w14:textId="4DF2C545" w:rsidR="00533A3C" w:rsidRPr="00A1709B" w:rsidRDefault="00AA36EF" w:rsidP="00A1709B">
      <w:pPr>
        <w:spacing w:after="0" w:line="240" w:lineRule="auto"/>
        <w:jc w:val="both"/>
        <w:rPr>
          <w:rFonts w:asciiTheme="majorBidi" w:hAnsiTheme="majorBidi" w:cstheme="majorBidi"/>
          <w:color w:val="000000"/>
          <w:sz w:val="24"/>
          <w:szCs w:val="24"/>
        </w:rPr>
      </w:pPr>
      <w:r>
        <w:rPr>
          <w:rFonts w:ascii="Times New Roman" w:hAnsi="Times New Roman" w:cs="Times New Roman"/>
          <w:sz w:val="24"/>
          <w:szCs w:val="24"/>
        </w:rPr>
        <w:tab/>
      </w:r>
      <w:r w:rsidR="00533A3C" w:rsidRPr="00A1709B">
        <w:rPr>
          <w:rFonts w:asciiTheme="majorBidi" w:hAnsiTheme="majorBidi" w:cstheme="majorBidi"/>
          <w:color w:val="000000"/>
          <w:sz w:val="24"/>
          <w:szCs w:val="24"/>
        </w:rPr>
        <w:t>SARS-CoV-2 vīrusa variantu izpētei pielieto pilna genoma sekvencēšanu ar NGS (</w:t>
      </w:r>
      <w:proofErr w:type="spellStart"/>
      <w:r w:rsidR="00533A3C" w:rsidRPr="00A1709B">
        <w:rPr>
          <w:rFonts w:asciiTheme="majorBidi" w:hAnsiTheme="majorBidi" w:cstheme="majorBidi"/>
          <w:color w:val="000000"/>
          <w:sz w:val="24"/>
          <w:szCs w:val="24"/>
        </w:rPr>
        <w:t>Next</w:t>
      </w:r>
      <w:proofErr w:type="spellEnd"/>
      <w:r w:rsidR="00533A3C" w:rsidRPr="00A1709B">
        <w:rPr>
          <w:rFonts w:asciiTheme="majorBidi" w:hAnsiTheme="majorBidi" w:cstheme="majorBidi"/>
          <w:color w:val="000000"/>
          <w:sz w:val="24"/>
          <w:szCs w:val="24"/>
        </w:rPr>
        <w:t xml:space="preserve"> </w:t>
      </w:r>
      <w:proofErr w:type="spellStart"/>
      <w:r w:rsidR="00533A3C" w:rsidRPr="00A1709B">
        <w:rPr>
          <w:rFonts w:asciiTheme="majorBidi" w:hAnsiTheme="majorBidi" w:cstheme="majorBidi"/>
          <w:color w:val="000000"/>
          <w:sz w:val="24"/>
          <w:szCs w:val="24"/>
        </w:rPr>
        <w:t>Generation</w:t>
      </w:r>
      <w:proofErr w:type="spellEnd"/>
      <w:r w:rsidR="00533A3C" w:rsidRPr="00A1709B">
        <w:rPr>
          <w:rFonts w:asciiTheme="majorBidi" w:hAnsiTheme="majorBidi" w:cstheme="majorBidi"/>
          <w:color w:val="000000"/>
          <w:sz w:val="24"/>
          <w:szCs w:val="24"/>
        </w:rPr>
        <w:t xml:space="preserve"> </w:t>
      </w:r>
      <w:proofErr w:type="spellStart"/>
      <w:r w:rsidR="00533A3C" w:rsidRPr="00A1709B">
        <w:rPr>
          <w:rFonts w:asciiTheme="majorBidi" w:hAnsiTheme="majorBidi" w:cstheme="majorBidi"/>
          <w:color w:val="000000"/>
          <w:sz w:val="24"/>
          <w:szCs w:val="24"/>
        </w:rPr>
        <w:t>Sequencing</w:t>
      </w:r>
      <w:proofErr w:type="spellEnd"/>
      <w:r w:rsidR="00533A3C" w:rsidRPr="00A1709B">
        <w:rPr>
          <w:rFonts w:asciiTheme="majorBidi" w:hAnsiTheme="majorBidi" w:cstheme="majorBidi"/>
          <w:color w:val="000000"/>
          <w:sz w:val="24"/>
          <w:szCs w:val="24"/>
        </w:rPr>
        <w:t>) metodi, kuru no 2020. gada vasaras Valsts pētījumu programmas ietvaros veica LBMC. NRL kā Eiropas Slimību profilakses un kontroles centra Nacionālais Mikrobioloģijas fokālais punkts ir iesaistīta Eiropas sekvencēšanas un infekciju uzraudzības projektos, kas paredz arī Nacionālās sekvencēšanas kapacitātes uzturēšanu un turpmāko attīstību.</w:t>
      </w:r>
    </w:p>
    <w:p w14:paraId="3AA2C77E" w14:textId="45CED8EF" w:rsidR="00533A3C" w:rsidRDefault="00533A3C" w:rsidP="00533A3C">
      <w:pPr>
        <w:pStyle w:val="NormalWeb"/>
        <w:spacing w:before="0" w:beforeAutospacing="0" w:after="0" w:afterAutospacing="0"/>
        <w:ind w:firstLine="720"/>
        <w:jc w:val="both"/>
        <w:rPr>
          <w:color w:val="000000"/>
        </w:rPr>
      </w:pPr>
      <w:r w:rsidRPr="00373C31">
        <w:rPr>
          <w:color w:val="000000"/>
        </w:rPr>
        <w:t>Lai koordinētu valsts m</w:t>
      </w:r>
      <w:r w:rsidR="003B1056">
        <w:rPr>
          <w:color w:val="000000"/>
        </w:rPr>
        <w:t>ē</w:t>
      </w:r>
      <w:r w:rsidRPr="00373C31">
        <w:rPr>
          <w:color w:val="000000"/>
        </w:rPr>
        <w:t xml:space="preserve">roga sekvencēšanas aktivitātes NRL vadībā tika izveidota SARS-CoV-2 ģenētiskās uzraudzības darba grupa, piedaloties VM, SPKC, Covid-19 testēšanas laboratorijām un Latvijas </w:t>
      </w:r>
      <w:proofErr w:type="spellStart"/>
      <w:r w:rsidRPr="00373C31">
        <w:rPr>
          <w:color w:val="000000"/>
        </w:rPr>
        <w:t>Biomedicīnas</w:t>
      </w:r>
      <w:proofErr w:type="spellEnd"/>
      <w:r w:rsidRPr="00373C31">
        <w:rPr>
          <w:color w:val="000000"/>
        </w:rPr>
        <w:t xml:space="preserve"> studiju un pētījumu centram (turpmāk – LBMC).</w:t>
      </w:r>
    </w:p>
    <w:p w14:paraId="18C6D906" w14:textId="77862480" w:rsidR="00EF29E9" w:rsidRPr="00373C31" w:rsidRDefault="00EF29E9" w:rsidP="00533A3C">
      <w:pPr>
        <w:pStyle w:val="NormalWeb"/>
        <w:spacing w:before="0" w:beforeAutospacing="0" w:after="0" w:afterAutospacing="0"/>
        <w:ind w:firstLine="720"/>
        <w:jc w:val="both"/>
        <w:rPr>
          <w:color w:val="000000"/>
        </w:rPr>
      </w:pPr>
      <w:r w:rsidRPr="00EF29E9">
        <w:rPr>
          <w:color w:val="000000"/>
        </w:rPr>
        <w:t xml:space="preserve">Ņemot vērā, ka sekvencēto paraugu apjoms tiek noteikts no pozitīvo paraugu skaita, precīzi plānot sekvencēšanas apjomus nav iespējams. Kā </w:t>
      </w:r>
      <w:r w:rsidR="008C1307">
        <w:rPr>
          <w:color w:val="000000"/>
        </w:rPr>
        <w:t>norāda NRL</w:t>
      </w:r>
      <w:r w:rsidRPr="00EF29E9">
        <w:rPr>
          <w:color w:val="000000"/>
        </w:rPr>
        <w:t xml:space="preserve">, sekvencēšanas kapacitātes ir pietiekama – pakalpojums tiek īstenots gan uz vietas Latvijā, gan ECDC </w:t>
      </w:r>
      <w:proofErr w:type="spellStart"/>
      <w:r w:rsidRPr="00EF29E9">
        <w:rPr>
          <w:color w:val="000000"/>
        </w:rPr>
        <w:t>granta</w:t>
      </w:r>
      <w:proofErr w:type="spellEnd"/>
      <w:r w:rsidRPr="00EF29E9">
        <w:rPr>
          <w:color w:val="000000"/>
        </w:rPr>
        <w:t xml:space="preserve"> ietvaros - Vācijā.</w:t>
      </w:r>
    </w:p>
    <w:p w14:paraId="1F85F5D0" w14:textId="04A8848F" w:rsidR="009903BA" w:rsidRPr="00373C31" w:rsidRDefault="009903BA" w:rsidP="00864803">
      <w:pPr>
        <w:spacing w:after="0" w:line="240" w:lineRule="auto"/>
        <w:ind w:firstLine="720"/>
        <w:jc w:val="both"/>
        <w:rPr>
          <w:rFonts w:ascii="Times New Roman" w:hAnsi="Times New Roman" w:cs="Times New Roman"/>
          <w:color w:val="000000"/>
          <w:sz w:val="24"/>
          <w:szCs w:val="24"/>
          <w:u w:val="single"/>
          <w:shd w:val="clear" w:color="auto" w:fill="FFFFFF"/>
        </w:rPr>
      </w:pPr>
    </w:p>
    <w:p w14:paraId="47137654" w14:textId="274753A9" w:rsidR="009903BA" w:rsidRPr="00373C31" w:rsidRDefault="002D6A39" w:rsidP="009903BA">
      <w:pPr>
        <w:spacing w:after="0" w:line="240" w:lineRule="auto"/>
        <w:ind w:firstLine="720"/>
        <w:jc w:val="both"/>
        <w:rPr>
          <w:rFonts w:ascii="Times New Roman" w:hAnsi="Times New Roman" w:cs="Times New Roman"/>
          <w:bCs/>
          <w:sz w:val="24"/>
          <w:szCs w:val="24"/>
          <w:lang w:val="lv"/>
        </w:rPr>
      </w:pPr>
      <w:r>
        <w:rPr>
          <w:rFonts w:ascii="Times New Roman" w:hAnsi="Times New Roman" w:cs="Times New Roman"/>
          <w:bCs/>
          <w:sz w:val="24"/>
          <w:szCs w:val="24"/>
          <w:lang w:val="lv"/>
        </w:rPr>
        <w:t xml:space="preserve">Savukārt </w:t>
      </w:r>
      <w:r w:rsidR="009903BA" w:rsidRPr="00373C31">
        <w:rPr>
          <w:rFonts w:ascii="Times New Roman" w:hAnsi="Times New Roman" w:cs="Times New Roman"/>
          <w:bCs/>
          <w:sz w:val="24"/>
          <w:szCs w:val="24"/>
          <w:lang w:val="lv"/>
        </w:rPr>
        <w:t>Anti-SARS-CoV-2 antivielu noteikšana</w:t>
      </w:r>
      <w:r>
        <w:rPr>
          <w:rFonts w:ascii="Times New Roman" w:hAnsi="Times New Roman" w:cs="Times New Roman"/>
          <w:bCs/>
          <w:sz w:val="24"/>
          <w:szCs w:val="24"/>
          <w:lang w:val="lv"/>
        </w:rPr>
        <w:t xml:space="preserve"> tiek nodrošināta</w:t>
      </w:r>
      <w:r w:rsidR="009903BA" w:rsidRPr="00373C31">
        <w:rPr>
          <w:rFonts w:ascii="Times New Roman" w:hAnsi="Times New Roman" w:cs="Times New Roman"/>
          <w:bCs/>
          <w:sz w:val="24"/>
          <w:szCs w:val="24"/>
          <w:lang w:val="lv"/>
        </w:rPr>
        <w:t>:</w:t>
      </w:r>
    </w:p>
    <w:p w14:paraId="50AF43DD" w14:textId="77777777" w:rsidR="009903BA" w:rsidRPr="00373C31" w:rsidRDefault="009903BA" w:rsidP="009903BA">
      <w:pPr>
        <w:numPr>
          <w:ilvl w:val="0"/>
          <w:numId w:val="4"/>
        </w:numPr>
        <w:spacing w:after="0" w:line="240" w:lineRule="auto"/>
        <w:ind w:left="0" w:firstLine="720"/>
        <w:jc w:val="both"/>
        <w:rPr>
          <w:rFonts w:ascii="Times New Roman" w:hAnsi="Times New Roman" w:cs="Times New Roman"/>
          <w:bCs/>
          <w:sz w:val="24"/>
          <w:szCs w:val="24"/>
        </w:rPr>
      </w:pPr>
      <w:r w:rsidRPr="00373C31">
        <w:rPr>
          <w:rFonts w:ascii="Times New Roman" w:hAnsi="Times New Roman" w:cs="Times New Roman"/>
          <w:bCs/>
          <w:sz w:val="24"/>
          <w:szCs w:val="24"/>
        </w:rPr>
        <w:t>personām, kurām ir noteikta SARS-CoV-2 RNS klātbūtne, bet nav slimības simptomu (</w:t>
      </w:r>
      <w:proofErr w:type="spellStart"/>
      <w:r w:rsidRPr="00373C31">
        <w:rPr>
          <w:rFonts w:ascii="Times New Roman" w:hAnsi="Times New Roman" w:cs="Times New Roman"/>
          <w:bCs/>
          <w:sz w:val="24"/>
          <w:szCs w:val="24"/>
        </w:rPr>
        <w:t>IgG</w:t>
      </w:r>
      <w:proofErr w:type="spellEnd"/>
      <w:r w:rsidRPr="00373C31">
        <w:rPr>
          <w:rFonts w:ascii="Times New Roman" w:hAnsi="Times New Roman" w:cs="Times New Roman"/>
          <w:bCs/>
          <w:sz w:val="24"/>
          <w:szCs w:val="24"/>
        </w:rPr>
        <w:t xml:space="preserve"> klases antivielu pret SARS-CoV-2 liecina par neaktīvu infekciju – pacients vairs nav infekciozs);</w:t>
      </w:r>
    </w:p>
    <w:p w14:paraId="6ECB5CD5" w14:textId="77777777" w:rsidR="009903BA" w:rsidRPr="00373C31" w:rsidRDefault="009903BA" w:rsidP="009903BA">
      <w:pPr>
        <w:numPr>
          <w:ilvl w:val="0"/>
          <w:numId w:val="4"/>
        </w:numPr>
        <w:spacing w:after="0" w:line="240" w:lineRule="auto"/>
        <w:ind w:left="0" w:firstLine="720"/>
        <w:jc w:val="both"/>
        <w:rPr>
          <w:rFonts w:ascii="Times New Roman" w:hAnsi="Times New Roman" w:cs="Times New Roman"/>
          <w:bCs/>
          <w:sz w:val="24"/>
          <w:szCs w:val="24"/>
        </w:rPr>
      </w:pPr>
      <w:r w:rsidRPr="00373C31">
        <w:rPr>
          <w:rFonts w:ascii="Times New Roman" w:hAnsi="Times New Roman" w:cs="Times New Roman"/>
          <w:bCs/>
          <w:sz w:val="24"/>
          <w:szCs w:val="24"/>
        </w:rPr>
        <w:t>uzliesmojuma izmeklēšanas nolūkā vai pēc citām epidemioloģiskajām indikācijām, piemēram, Covid-19 uzliesmojuma epidemioloģiskās izmeklēšanas nolūkā (sadarbībā ar SPKC).</w:t>
      </w:r>
    </w:p>
    <w:p w14:paraId="0AB558A2" w14:textId="77777777" w:rsidR="009903BA" w:rsidRPr="00373C31" w:rsidRDefault="009903BA" w:rsidP="009903BA">
      <w:pPr>
        <w:spacing w:after="0" w:line="240" w:lineRule="auto"/>
        <w:ind w:firstLine="720"/>
        <w:jc w:val="both"/>
        <w:rPr>
          <w:rFonts w:ascii="Times New Roman" w:hAnsi="Times New Roman" w:cs="Times New Roman"/>
          <w:bCs/>
          <w:sz w:val="24"/>
          <w:szCs w:val="24"/>
        </w:rPr>
      </w:pPr>
      <w:r w:rsidRPr="00373C31">
        <w:rPr>
          <w:rFonts w:ascii="Times New Roman" w:hAnsi="Times New Roman" w:cs="Times New Roman"/>
          <w:bCs/>
          <w:sz w:val="24"/>
          <w:szCs w:val="24"/>
        </w:rPr>
        <w:t xml:space="preserve">Valsts asinsdonoru centrs (turpmāk - VADC) ar valsts atbalstu kopš 2020. gada 10. augusta piedāvā veikt </w:t>
      </w:r>
      <w:proofErr w:type="spellStart"/>
      <w:r w:rsidRPr="00373C31">
        <w:rPr>
          <w:rFonts w:ascii="Times New Roman" w:hAnsi="Times New Roman" w:cs="Times New Roman"/>
          <w:bCs/>
          <w:sz w:val="24"/>
          <w:szCs w:val="24"/>
        </w:rPr>
        <w:t>skrīninga</w:t>
      </w:r>
      <w:proofErr w:type="spellEnd"/>
      <w:r w:rsidRPr="00373C31">
        <w:rPr>
          <w:rFonts w:ascii="Times New Roman" w:hAnsi="Times New Roman" w:cs="Times New Roman"/>
          <w:bCs/>
          <w:sz w:val="24"/>
          <w:szCs w:val="24"/>
        </w:rPr>
        <w:t xml:space="preserve"> – </w:t>
      </w:r>
      <w:proofErr w:type="spellStart"/>
      <w:r w:rsidRPr="00373C31">
        <w:rPr>
          <w:rFonts w:ascii="Times New Roman" w:hAnsi="Times New Roman" w:cs="Times New Roman"/>
          <w:bCs/>
          <w:sz w:val="24"/>
          <w:szCs w:val="24"/>
        </w:rPr>
        <w:t>seroprevalences</w:t>
      </w:r>
      <w:proofErr w:type="spellEnd"/>
      <w:r w:rsidRPr="00373C31">
        <w:rPr>
          <w:rFonts w:ascii="Times New Roman" w:hAnsi="Times New Roman" w:cs="Times New Roman"/>
          <w:bCs/>
          <w:sz w:val="24"/>
          <w:szCs w:val="24"/>
        </w:rPr>
        <w:t xml:space="preserve"> SARS-</w:t>
      </w:r>
      <w:proofErr w:type="spellStart"/>
      <w:r w:rsidRPr="00373C31">
        <w:rPr>
          <w:rFonts w:ascii="Times New Roman" w:hAnsi="Times New Roman" w:cs="Times New Roman"/>
          <w:bCs/>
          <w:sz w:val="24"/>
          <w:szCs w:val="24"/>
        </w:rPr>
        <w:t>CoV</w:t>
      </w:r>
      <w:proofErr w:type="spellEnd"/>
      <w:r w:rsidRPr="00373C31">
        <w:rPr>
          <w:rFonts w:ascii="Times New Roman" w:hAnsi="Times New Roman" w:cs="Times New Roman"/>
          <w:bCs/>
          <w:sz w:val="24"/>
          <w:szCs w:val="24"/>
        </w:rPr>
        <w:t xml:space="preserve"> –2 imunoloģiskos testus donoriem. Minētais ļauj noteikt SARS-CoV-2 antivielu </w:t>
      </w:r>
      <w:proofErr w:type="spellStart"/>
      <w:r w:rsidRPr="00373C31">
        <w:rPr>
          <w:rFonts w:ascii="Times New Roman" w:hAnsi="Times New Roman" w:cs="Times New Roman"/>
          <w:bCs/>
          <w:sz w:val="24"/>
          <w:szCs w:val="24"/>
        </w:rPr>
        <w:t>prevalenci</w:t>
      </w:r>
      <w:proofErr w:type="spellEnd"/>
      <w:r w:rsidRPr="00373C31">
        <w:rPr>
          <w:rFonts w:ascii="Times New Roman" w:hAnsi="Times New Roman" w:cs="Times New Roman"/>
          <w:bCs/>
          <w:sz w:val="24"/>
          <w:szCs w:val="24"/>
        </w:rPr>
        <w:t xml:space="preserve"> veselu donoru populācijā un izvērtēt iespējas uzsākt SARS-CoV-2 </w:t>
      </w:r>
      <w:proofErr w:type="spellStart"/>
      <w:r w:rsidRPr="00373C31">
        <w:rPr>
          <w:rFonts w:ascii="Times New Roman" w:hAnsi="Times New Roman" w:cs="Times New Roman"/>
          <w:bCs/>
          <w:sz w:val="24"/>
          <w:szCs w:val="24"/>
        </w:rPr>
        <w:t>konvalescentās</w:t>
      </w:r>
      <w:proofErr w:type="spellEnd"/>
      <w:r w:rsidRPr="00373C31">
        <w:rPr>
          <w:rFonts w:ascii="Times New Roman" w:hAnsi="Times New Roman" w:cs="Times New Roman"/>
          <w:bCs/>
          <w:sz w:val="24"/>
          <w:szCs w:val="24"/>
        </w:rPr>
        <w:t xml:space="preserve"> jeb atveseļojošas plazmas (turpmāk – CCP) sagatavošanu, kas atsevišķās valstīs tiek izmantota Covid-19 pacientu ārstēšanā kompleksā ar citām metodēm. Tāpat CCP pielietošanu un SARS-CoV-2 antivielu noteikšanu ir atbalstījusi Eiropas Komisija un Eiropas asins alianse (EBA), kura sagatavoja iniciatīvas dokumentu (</w:t>
      </w:r>
      <w:proofErr w:type="spellStart"/>
      <w:r w:rsidRPr="00373C31">
        <w:rPr>
          <w:rFonts w:ascii="Times New Roman" w:hAnsi="Times New Roman" w:cs="Times New Roman"/>
          <w:bCs/>
          <w:i/>
          <w:iCs/>
          <w:sz w:val="24"/>
          <w:szCs w:val="24"/>
        </w:rPr>
        <w:t>position</w:t>
      </w:r>
      <w:proofErr w:type="spellEnd"/>
      <w:r w:rsidRPr="00373C31">
        <w:rPr>
          <w:rFonts w:ascii="Times New Roman" w:hAnsi="Times New Roman" w:cs="Times New Roman"/>
          <w:bCs/>
          <w:i/>
          <w:iCs/>
          <w:sz w:val="24"/>
          <w:szCs w:val="24"/>
        </w:rPr>
        <w:t xml:space="preserve"> paper)</w:t>
      </w:r>
      <w:r w:rsidRPr="00373C31">
        <w:rPr>
          <w:rFonts w:ascii="Times New Roman" w:hAnsi="Times New Roman" w:cs="Times New Roman"/>
          <w:bCs/>
          <w:sz w:val="24"/>
          <w:szCs w:val="24"/>
        </w:rPr>
        <w:t xml:space="preserve"> par atbalstu dalībvalstīm šī procesa uzsākšanai. Minētā īstenošana bija papildus donorus piesaistošs aspekts, kas pandēmijas laikā ļāva noturēt nepieciešamos donoru skaitu, tādejādi neapdraudot neatliekamās palīdzības nodrošināšanu valstī, kā arī šo </w:t>
      </w:r>
      <w:r w:rsidRPr="00373C31">
        <w:rPr>
          <w:rFonts w:ascii="Times New Roman" w:hAnsi="Times New Roman" w:cs="Times New Roman"/>
          <w:bCs/>
          <w:sz w:val="24"/>
          <w:szCs w:val="24"/>
        </w:rPr>
        <w:lastRenderedPageBreak/>
        <w:t>testu veikšana dod iespēju veikt sīkāku iegūto datu analīzi, tādējādi apzinot infekcijas izplatības raksturu veselu donoru populācijā.  Ņemot vērā infekcijas izplatību un prognozi, ka anti-SARS-CoV-2 pozitīvo antivielu donoru skaits pieaugs, VADC turpinājis SARS-</w:t>
      </w:r>
      <w:proofErr w:type="spellStart"/>
      <w:r w:rsidRPr="00373C31">
        <w:rPr>
          <w:rFonts w:ascii="Times New Roman" w:hAnsi="Times New Roman" w:cs="Times New Roman"/>
          <w:bCs/>
          <w:sz w:val="24"/>
          <w:szCs w:val="24"/>
        </w:rPr>
        <w:t>CoV</w:t>
      </w:r>
      <w:proofErr w:type="spellEnd"/>
      <w:r w:rsidRPr="00373C31">
        <w:rPr>
          <w:rFonts w:ascii="Times New Roman" w:hAnsi="Times New Roman" w:cs="Times New Roman"/>
          <w:bCs/>
          <w:sz w:val="24"/>
          <w:szCs w:val="24"/>
        </w:rPr>
        <w:t xml:space="preserve"> -2 imunoloģisko testu veikšanu donoriem no 2021. gada 1. janvāra par saviem līdzekļiem. Salīdzinoši, primāri atklāto donoru skaits ar SARS-CoV-2 antivielām pret </w:t>
      </w:r>
      <w:proofErr w:type="spellStart"/>
      <w:r w:rsidRPr="00373C31">
        <w:rPr>
          <w:rFonts w:ascii="Times New Roman" w:hAnsi="Times New Roman" w:cs="Times New Roman"/>
          <w:bCs/>
          <w:sz w:val="24"/>
          <w:szCs w:val="24"/>
        </w:rPr>
        <w:t>donāciju</w:t>
      </w:r>
      <w:proofErr w:type="spellEnd"/>
      <w:r w:rsidRPr="00373C31">
        <w:rPr>
          <w:rFonts w:ascii="Times New Roman" w:hAnsi="Times New Roman" w:cs="Times New Roman"/>
          <w:bCs/>
          <w:sz w:val="24"/>
          <w:szCs w:val="24"/>
        </w:rPr>
        <w:t xml:space="preserve"> skaitu 2020. gada novembrī bija 1,28%, 2021. gada maijā jau sasniedzis 15%.  Apkopojot datus par 2021. gadu (līdz 18.05.2021.) kopējās anti-SARS-CoV-2 </w:t>
      </w:r>
      <w:proofErr w:type="spellStart"/>
      <w:r w:rsidRPr="00373C31">
        <w:rPr>
          <w:rFonts w:ascii="Times New Roman" w:hAnsi="Times New Roman" w:cs="Times New Roman"/>
          <w:bCs/>
          <w:sz w:val="24"/>
          <w:szCs w:val="24"/>
        </w:rPr>
        <w:t>IgG</w:t>
      </w:r>
      <w:proofErr w:type="spellEnd"/>
      <w:r w:rsidRPr="00373C31">
        <w:rPr>
          <w:rFonts w:ascii="Times New Roman" w:hAnsi="Times New Roman" w:cs="Times New Roman"/>
          <w:bCs/>
          <w:sz w:val="24"/>
          <w:szCs w:val="24"/>
        </w:rPr>
        <w:t xml:space="preserve"> un </w:t>
      </w:r>
      <w:proofErr w:type="spellStart"/>
      <w:r w:rsidRPr="00373C31">
        <w:rPr>
          <w:rFonts w:ascii="Times New Roman" w:hAnsi="Times New Roman" w:cs="Times New Roman"/>
          <w:bCs/>
          <w:sz w:val="24"/>
          <w:szCs w:val="24"/>
        </w:rPr>
        <w:t>IgM</w:t>
      </w:r>
      <w:proofErr w:type="spellEnd"/>
      <w:r w:rsidRPr="00373C31">
        <w:rPr>
          <w:rFonts w:ascii="Times New Roman" w:hAnsi="Times New Roman" w:cs="Times New Roman"/>
          <w:bCs/>
          <w:sz w:val="24"/>
          <w:szCs w:val="24"/>
        </w:rPr>
        <w:t xml:space="preserve"> klases antivielas </w:t>
      </w:r>
      <w:r w:rsidRPr="00882B5D">
        <w:rPr>
          <w:rFonts w:ascii="Times New Roman" w:hAnsi="Times New Roman" w:cs="Times New Roman"/>
          <w:bCs/>
          <w:sz w:val="24"/>
          <w:szCs w:val="24"/>
        </w:rPr>
        <w:t>noteiktas 19 858 reizes</w:t>
      </w:r>
      <w:r w:rsidRPr="00373C31">
        <w:rPr>
          <w:rFonts w:ascii="Times New Roman" w:hAnsi="Times New Roman" w:cs="Times New Roman"/>
          <w:bCs/>
          <w:sz w:val="24"/>
          <w:szCs w:val="24"/>
        </w:rPr>
        <w:t xml:space="preserve">. Tāpat iegūtie dati liecina, ka 55,9 % infekciju pārslimojuši </w:t>
      </w:r>
      <w:proofErr w:type="spellStart"/>
      <w:r w:rsidRPr="00373C31">
        <w:rPr>
          <w:rFonts w:ascii="Times New Roman" w:hAnsi="Times New Roman" w:cs="Times New Roman"/>
          <w:bCs/>
          <w:sz w:val="24"/>
          <w:szCs w:val="24"/>
        </w:rPr>
        <w:t>asimptomātiski</w:t>
      </w:r>
      <w:proofErr w:type="spellEnd"/>
      <w:r w:rsidRPr="00373C31">
        <w:rPr>
          <w:rFonts w:ascii="Times New Roman" w:hAnsi="Times New Roman" w:cs="Times New Roman"/>
          <w:bCs/>
          <w:sz w:val="24"/>
          <w:szCs w:val="24"/>
        </w:rPr>
        <w:t>, norādot, ka arī apkārtējie bijuši veseli un nav saslimuši.</w:t>
      </w:r>
    </w:p>
    <w:p w14:paraId="6A15FF10" w14:textId="77777777" w:rsidR="009903BA" w:rsidRPr="00373C31" w:rsidRDefault="009903BA" w:rsidP="009903BA">
      <w:pPr>
        <w:spacing w:after="0" w:line="240" w:lineRule="auto"/>
        <w:ind w:firstLine="720"/>
        <w:jc w:val="both"/>
        <w:rPr>
          <w:rFonts w:ascii="Times New Roman" w:hAnsi="Times New Roman" w:cs="Times New Roman"/>
          <w:bCs/>
          <w:sz w:val="24"/>
          <w:szCs w:val="24"/>
        </w:rPr>
      </w:pPr>
      <w:r w:rsidRPr="00373C31">
        <w:rPr>
          <w:rFonts w:ascii="Times New Roman" w:hAnsi="Times New Roman" w:cs="Times New Roman"/>
          <w:bCs/>
          <w:sz w:val="24"/>
          <w:szCs w:val="24"/>
        </w:rPr>
        <w:t xml:space="preserve">Vienlaikus šobrīd Eiropas Savienības valstīs ar EBA atbalstu notiek pētījumi par CCP pielietošanu Covid-19 ārstēšanai, īpaši </w:t>
      </w:r>
      <w:proofErr w:type="spellStart"/>
      <w:r w:rsidRPr="00373C31">
        <w:rPr>
          <w:rFonts w:ascii="Times New Roman" w:hAnsi="Times New Roman" w:cs="Times New Roman"/>
          <w:bCs/>
          <w:sz w:val="24"/>
          <w:szCs w:val="24"/>
        </w:rPr>
        <w:t>imūnsupresētiem</w:t>
      </w:r>
      <w:proofErr w:type="spellEnd"/>
      <w:r w:rsidRPr="00373C31">
        <w:rPr>
          <w:rFonts w:ascii="Times New Roman" w:hAnsi="Times New Roman" w:cs="Times New Roman"/>
          <w:bCs/>
          <w:sz w:val="24"/>
          <w:szCs w:val="24"/>
        </w:rPr>
        <w:t xml:space="preserve"> pacientiem ar hroniskām slimībām. Pētījumiem attīstoties, CCP kā uzturošu terapijas līdzekli sāka izmantot arī Latvijā </w:t>
      </w:r>
      <w:proofErr w:type="spellStart"/>
      <w:r w:rsidRPr="00373C31">
        <w:rPr>
          <w:rFonts w:ascii="Times New Roman" w:hAnsi="Times New Roman" w:cs="Times New Roman"/>
          <w:bCs/>
          <w:sz w:val="24"/>
          <w:szCs w:val="24"/>
        </w:rPr>
        <w:t>onkohematoloģijā</w:t>
      </w:r>
      <w:proofErr w:type="spellEnd"/>
      <w:r w:rsidRPr="00373C31">
        <w:rPr>
          <w:rFonts w:ascii="Times New Roman" w:hAnsi="Times New Roman" w:cs="Times New Roman"/>
          <w:bCs/>
          <w:sz w:val="24"/>
          <w:szCs w:val="24"/>
        </w:rPr>
        <w:t xml:space="preserve"> </w:t>
      </w:r>
      <w:proofErr w:type="spellStart"/>
      <w:r w:rsidRPr="00373C31">
        <w:rPr>
          <w:rFonts w:ascii="Times New Roman" w:hAnsi="Times New Roman" w:cs="Times New Roman"/>
          <w:bCs/>
          <w:sz w:val="24"/>
          <w:szCs w:val="24"/>
        </w:rPr>
        <w:t>imūnsupresēto</w:t>
      </w:r>
      <w:proofErr w:type="spellEnd"/>
      <w:r w:rsidRPr="00373C31">
        <w:rPr>
          <w:rFonts w:ascii="Times New Roman" w:hAnsi="Times New Roman" w:cs="Times New Roman"/>
          <w:bCs/>
          <w:sz w:val="24"/>
          <w:szCs w:val="24"/>
        </w:rPr>
        <w:t xml:space="preserve"> pacientu atbalsta terapijai, lai ar CCP palīdzību nodrošinātu šiem pacientiem antivielu esamību, kuras atbilstoši slimības specifikai šai pacientu grupai neizstrādājas. </w:t>
      </w:r>
    </w:p>
    <w:p w14:paraId="68E6FC33" w14:textId="77777777" w:rsidR="009903BA" w:rsidRPr="00373C31" w:rsidRDefault="009903BA" w:rsidP="009903BA">
      <w:pPr>
        <w:spacing w:after="0" w:line="240" w:lineRule="auto"/>
        <w:ind w:firstLine="720"/>
        <w:jc w:val="both"/>
        <w:rPr>
          <w:rFonts w:ascii="Times New Roman" w:hAnsi="Times New Roman" w:cs="Times New Roman"/>
          <w:b/>
          <w:bCs/>
          <w:sz w:val="24"/>
          <w:szCs w:val="24"/>
        </w:rPr>
      </w:pPr>
      <w:r w:rsidRPr="00373C31">
        <w:rPr>
          <w:rFonts w:ascii="Times New Roman" w:hAnsi="Times New Roman" w:cs="Times New Roman"/>
          <w:bCs/>
          <w:sz w:val="24"/>
          <w:szCs w:val="24"/>
        </w:rPr>
        <w:t>Ņemot vērā līdzšinējo pieredzi un pašreizējo infekcijas izplatību un prognozi, ka anti-SARS-CoV-2 pozitīvo antivielu donoru skaits pieaugs, būtu nepieciešams kompensēt izmaksas testiem SARS-CoV-2 antivielu noteikšanai 23 000 donoru izmeklēšanai 2021. gada pirmajā pusgadā, kā arī mērķtiecīgi turpināt SARS-CoV-2 antivielu noteikšanu donoriem arī 2021. gada otrajā pusgadā, kas ir nepieciešama gan potenciālo donoru atlasīšanai CCP sagatavošanai, kā arī papildus donoru piesaistei.</w:t>
      </w:r>
      <w:r w:rsidRPr="00373C31">
        <w:rPr>
          <w:rFonts w:ascii="Times New Roman" w:hAnsi="Times New Roman" w:cs="Times New Roman"/>
          <w:b/>
          <w:bCs/>
          <w:sz w:val="24"/>
          <w:szCs w:val="24"/>
        </w:rPr>
        <w:t xml:space="preserve">  </w:t>
      </w:r>
    </w:p>
    <w:p w14:paraId="0066263E" w14:textId="77777777" w:rsidR="009903BA" w:rsidRPr="00373C31" w:rsidRDefault="009903BA" w:rsidP="009903BA">
      <w:pPr>
        <w:spacing w:after="0" w:line="240" w:lineRule="auto"/>
        <w:ind w:firstLine="720"/>
        <w:jc w:val="both"/>
        <w:rPr>
          <w:rFonts w:ascii="Times New Roman" w:hAnsi="Times New Roman" w:cs="Times New Roman"/>
          <w:sz w:val="24"/>
          <w:szCs w:val="24"/>
        </w:rPr>
      </w:pPr>
      <w:r w:rsidRPr="00373C31">
        <w:rPr>
          <w:rFonts w:ascii="Times New Roman" w:hAnsi="Times New Roman" w:cs="Times New Roman"/>
          <w:sz w:val="24"/>
          <w:szCs w:val="24"/>
        </w:rPr>
        <w:t>Vienlaikus, ņemot vērā epidemioloģiskās situācijas attīstību pasaulē un dažādu Covid-19 vīrusa celmu izplatīšanos, lai plānotu iespējamo situācijas attīstību un veiktu pasākumus, kas ļautu ierobežot jauno celmu izplatīšanos, tiek veikts izmeklējums Covid-19 vīrusa celmu identificēšanai Covid-19 pozitīvām personām. Minētais izmeklējums tiek veikts vidēji katram trešajam pozitīvajam Covid-19 paraugam.</w:t>
      </w:r>
    </w:p>
    <w:p w14:paraId="69D5D9B5" w14:textId="77777777" w:rsidR="009903BA" w:rsidRPr="00864803" w:rsidRDefault="009903BA" w:rsidP="009903BA">
      <w:pPr>
        <w:spacing w:after="0" w:line="240" w:lineRule="auto"/>
        <w:ind w:firstLine="720"/>
        <w:jc w:val="both"/>
        <w:rPr>
          <w:rFonts w:ascii="Times New Roman" w:hAnsi="Times New Roman" w:cs="Times New Roman"/>
          <w:sz w:val="24"/>
          <w:szCs w:val="24"/>
          <w:highlight w:val="yellow"/>
        </w:rPr>
      </w:pPr>
      <w:r w:rsidRPr="00373C31">
        <w:rPr>
          <w:rFonts w:ascii="Times New Roman" w:hAnsi="Times New Roman" w:cs="Times New Roman"/>
          <w:sz w:val="24"/>
          <w:szCs w:val="24"/>
        </w:rPr>
        <w:t>Latvijā laika posmā no 2021. gada 26. aprīļa līdz 2021.gada 6.jūnijam (no 17. līdz 22.nedēļai) konstatēti 18 Indijas celma gadījumi, no tiem 13 Latvijas iedzīvotājiem. 16 gadījumos bijuši personām ir bijuši simptomi, savukārt 2 personas bijušas bez simptomiem.</w:t>
      </w:r>
      <w:r w:rsidRPr="00864803">
        <w:rPr>
          <w:rFonts w:ascii="Times New Roman" w:hAnsi="Times New Roman" w:cs="Times New Roman"/>
          <w:sz w:val="24"/>
          <w:szCs w:val="24"/>
        </w:rPr>
        <w:t xml:space="preserve"> No minētajām 18 gadījumiem 3 gadījumos personas </w:t>
      </w:r>
      <w:proofErr w:type="spellStart"/>
      <w:r w:rsidRPr="00864803">
        <w:rPr>
          <w:rFonts w:ascii="Times New Roman" w:hAnsi="Times New Roman" w:cs="Times New Roman"/>
          <w:sz w:val="24"/>
          <w:szCs w:val="24"/>
        </w:rPr>
        <w:t>stacionētas</w:t>
      </w:r>
      <w:proofErr w:type="spellEnd"/>
      <w:r w:rsidRPr="00864803">
        <w:rPr>
          <w:rFonts w:ascii="Times New Roman" w:hAnsi="Times New Roman" w:cs="Times New Roman"/>
          <w:sz w:val="24"/>
          <w:szCs w:val="24"/>
        </w:rPr>
        <w:t>, bet 2 mirušas. Saslimušajām personām vidējais vecums ir 42 gadi.</w:t>
      </w:r>
    </w:p>
    <w:p w14:paraId="4C0DF602" w14:textId="766139C8" w:rsidR="009903BA" w:rsidRDefault="009903BA" w:rsidP="009903BA">
      <w:pPr>
        <w:spacing w:after="0" w:line="240" w:lineRule="auto"/>
        <w:ind w:firstLine="720"/>
        <w:jc w:val="both"/>
        <w:rPr>
          <w:rFonts w:ascii="Times New Roman" w:hAnsi="Times New Roman" w:cs="Times New Roman"/>
          <w:sz w:val="24"/>
          <w:szCs w:val="24"/>
          <w:highlight w:val="yellow"/>
        </w:rPr>
      </w:pPr>
    </w:p>
    <w:p w14:paraId="523705AA" w14:textId="74BBCBC6" w:rsidR="00AA36EF" w:rsidRDefault="00DC5248" w:rsidP="00864803">
      <w:pPr>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Vienlaikus jāvērtē laboratoriju iespējas nodrošināt nepieciešamo testu apjomu. </w:t>
      </w:r>
      <w:r w:rsidR="008C1307">
        <w:rPr>
          <w:rFonts w:ascii="Times New Roman" w:hAnsi="Times New Roman" w:cs="Times New Roman"/>
          <w:sz w:val="24"/>
          <w:szCs w:val="24"/>
        </w:rPr>
        <w:t xml:space="preserve">NVD </w:t>
      </w:r>
      <w:r>
        <w:rPr>
          <w:rFonts w:ascii="Times New Roman" w:hAnsi="Times New Roman" w:cs="Times New Roman"/>
          <w:sz w:val="24"/>
          <w:szCs w:val="24"/>
        </w:rPr>
        <w:t xml:space="preserve"> ir aptaujājis laboratorijas un apkopojis informāciju par testēšanas kapacitāti Latvijā (skat. </w:t>
      </w:r>
      <w:r w:rsidR="008C1307">
        <w:rPr>
          <w:rFonts w:ascii="Times New Roman" w:hAnsi="Times New Roman" w:cs="Times New Roman"/>
          <w:sz w:val="24"/>
          <w:szCs w:val="24"/>
        </w:rPr>
        <w:t>5</w:t>
      </w:r>
      <w:r w:rsidR="00CE5278">
        <w:rPr>
          <w:rFonts w:ascii="Times New Roman" w:hAnsi="Times New Roman" w:cs="Times New Roman"/>
          <w:sz w:val="24"/>
          <w:szCs w:val="24"/>
        </w:rPr>
        <w:t>.</w:t>
      </w:r>
      <w:r>
        <w:rPr>
          <w:rFonts w:ascii="Times New Roman" w:hAnsi="Times New Roman" w:cs="Times New Roman"/>
          <w:sz w:val="24"/>
          <w:szCs w:val="24"/>
        </w:rPr>
        <w:t>tabula).</w:t>
      </w:r>
    </w:p>
    <w:p w14:paraId="5235A457" w14:textId="744111B7" w:rsidR="00DC5248" w:rsidRPr="00CE5278" w:rsidRDefault="008C1307" w:rsidP="00CE5278">
      <w:pPr>
        <w:shd w:val="clear" w:color="auto" w:fill="FFFFFF"/>
        <w:spacing w:after="0" w:line="240" w:lineRule="auto"/>
        <w:jc w:val="right"/>
        <w:rPr>
          <w:rFonts w:ascii="Times New Roman" w:eastAsia="Times New Roman" w:hAnsi="Times New Roman" w:cs="Times New Roman"/>
          <w:i/>
          <w:iCs/>
          <w:color w:val="323130"/>
          <w:sz w:val="24"/>
          <w:szCs w:val="24"/>
          <w:lang w:eastAsia="lv-LV"/>
        </w:rPr>
      </w:pPr>
      <w:r>
        <w:rPr>
          <w:rFonts w:ascii="Times New Roman" w:eastAsia="Times New Roman" w:hAnsi="Times New Roman" w:cs="Times New Roman"/>
          <w:i/>
          <w:iCs/>
          <w:color w:val="323130"/>
          <w:sz w:val="24"/>
          <w:szCs w:val="24"/>
          <w:lang w:eastAsia="lv-LV"/>
        </w:rPr>
        <w:t>5</w:t>
      </w:r>
      <w:r w:rsidR="00CE5278" w:rsidRPr="00CE5278">
        <w:rPr>
          <w:rFonts w:ascii="Times New Roman" w:eastAsia="Times New Roman" w:hAnsi="Times New Roman" w:cs="Times New Roman"/>
          <w:i/>
          <w:iCs/>
          <w:color w:val="323130"/>
          <w:sz w:val="24"/>
          <w:szCs w:val="24"/>
          <w:lang w:eastAsia="lv-LV"/>
        </w:rPr>
        <w:t>.Tabula</w:t>
      </w:r>
    </w:p>
    <w:tbl>
      <w:tblPr>
        <w:tblW w:w="13736" w:type="dxa"/>
        <w:shd w:val="clear" w:color="auto" w:fill="FFFFFF"/>
        <w:tblCellMar>
          <w:left w:w="0" w:type="dxa"/>
          <w:right w:w="0" w:type="dxa"/>
        </w:tblCellMar>
        <w:tblLook w:val="04A0" w:firstRow="1" w:lastRow="0" w:firstColumn="1" w:lastColumn="0" w:noHBand="0" w:noVBand="1"/>
      </w:tblPr>
      <w:tblGrid>
        <w:gridCol w:w="2150"/>
        <w:gridCol w:w="2070"/>
        <w:gridCol w:w="2430"/>
        <w:gridCol w:w="2340"/>
        <w:gridCol w:w="4740"/>
        <w:gridCol w:w="6"/>
      </w:tblGrid>
      <w:tr w:rsidR="00DC5248" w:rsidRPr="00DC5248" w14:paraId="2189F1AC" w14:textId="77777777" w:rsidTr="00882B5D">
        <w:trPr>
          <w:trHeight w:val="300"/>
        </w:trPr>
        <w:tc>
          <w:tcPr>
            <w:tcW w:w="2150" w:type="dxa"/>
            <w:vMerge w:val="restart"/>
            <w:tcBorders>
              <w:top w:val="single" w:sz="8" w:space="0" w:color="auto"/>
              <w:left w:val="single" w:sz="8" w:space="0" w:color="auto"/>
              <w:bottom w:val="single" w:sz="8" w:space="0" w:color="000000"/>
              <w:right w:val="single" w:sz="8" w:space="0" w:color="auto"/>
            </w:tcBorders>
            <w:shd w:val="clear" w:color="auto" w:fill="D0CECE"/>
            <w:tcMar>
              <w:top w:w="0" w:type="dxa"/>
              <w:left w:w="108" w:type="dxa"/>
              <w:bottom w:w="0" w:type="dxa"/>
              <w:right w:w="108" w:type="dxa"/>
            </w:tcMar>
            <w:vAlign w:val="center"/>
            <w:hideMark/>
          </w:tcPr>
          <w:p w14:paraId="6EEE6FF3" w14:textId="77777777"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b/>
                <w:bCs/>
                <w:color w:val="000000"/>
                <w:bdr w:val="none" w:sz="0" w:space="0" w:color="auto" w:frame="1"/>
                <w:lang w:eastAsia="lv-LV"/>
              </w:rPr>
              <w:t>Laboratorijas nosaukums</w:t>
            </w:r>
          </w:p>
        </w:tc>
        <w:tc>
          <w:tcPr>
            <w:tcW w:w="2070" w:type="dxa"/>
            <w:vMerge w:val="restart"/>
            <w:tcBorders>
              <w:top w:val="single" w:sz="8" w:space="0" w:color="auto"/>
              <w:left w:val="nil"/>
              <w:bottom w:val="single" w:sz="8" w:space="0" w:color="000000"/>
              <w:right w:val="single" w:sz="8" w:space="0" w:color="auto"/>
            </w:tcBorders>
            <w:shd w:val="clear" w:color="auto" w:fill="D0CECE"/>
            <w:tcMar>
              <w:top w:w="0" w:type="dxa"/>
              <w:left w:w="108" w:type="dxa"/>
              <w:bottom w:w="0" w:type="dxa"/>
              <w:right w:w="108" w:type="dxa"/>
            </w:tcMar>
            <w:vAlign w:val="center"/>
            <w:hideMark/>
          </w:tcPr>
          <w:p w14:paraId="4C49AF05" w14:textId="77777777"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b/>
                <w:bCs/>
                <w:color w:val="000000"/>
                <w:bdr w:val="none" w:sz="0" w:space="0" w:color="auto" w:frame="1"/>
                <w:lang w:eastAsia="lv-LV"/>
              </w:rPr>
              <w:t>Analīžu veikšanas kapacitāte </w:t>
            </w:r>
            <w:r w:rsidRPr="00DC5248">
              <w:rPr>
                <w:rFonts w:ascii="Times New Roman" w:eastAsia="Times New Roman" w:hAnsi="Times New Roman" w:cs="Times New Roman"/>
                <w:b/>
                <w:bCs/>
                <w:color w:val="000000"/>
                <w:u w:val="single"/>
                <w:bdr w:val="none" w:sz="0" w:space="0" w:color="auto" w:frame="1"/>
                <w:lang w:eastAsia="lv-LV"/>
              </w:rPr>
              <w:t>darba dienā</w:t>
            </w:r>
            <w:r w:rsidRPr="00DC5248">
              <w:rPr>
                <w:rFonts w:ascii="Times New Roman" w:eastAsia="Times New Roman" w:hAnsi="Times New Roman" w:cs="Times New Roman"/>
                <w:b/>
                <w:bCs/>
                <w:color w:val="000000"/>
                <w:bdr w:val="none" w:sz="0" w:space="0" w:color="auto" w:frame="1"/>
                <w:lang w:eastAsia="lv-LV"/>
              </w:rPr>
              <w:t>, t.sk. maksas analīzes</w:t>
            </w:r>
          </w:p>
        </w:tc>
        <w:tc>
          <w:tcPr>
            <w:tcW w:w="2430" w:type="dxa"/>
            <w:vMerge w:val="restart"/>
            <w:tcBorders>
              <w:top w:val="single" w:sz="8" w:space="0" w:color="auto"/>
              <w:left w:val="nil"/>
              <w:bottom w:val="single" w:sz="8" w:space="0" w:color="000000"/>
              <w:right w:val="single" w:sz="8" w:space="0" w:color="auto"/>
            </w:tcBorders>
            <w:shd w:val="clear" w:color="auto" w:fill="D0CECE"/>
            <w:tcMar>
              <w:top w:w="0" w:type="dxa"/>
              <w:left w:w="108" w:type="dxa"/>
              <w:bottom w:w="0" w:type="dxa"/>
              <w:right w:w="108" w:type="dxa"/>
            </w:tcMar>
            <w:vAlign w:val="center"/>
            <w:hideMark/>
          </w:tcPr>
          <w:p w14:paraId="41CC2277" w14:textId="77777777"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b/>
                <w:bCs/>
                <w:color w:val="000000"/>
                <w:bdr w:val="none" w:sz="0" w:space="0" w:color="auto" w:frame="1"/>
                <w:lang w:eastAsia="lv-LV"/>
              </w:rPr>
              <w:t>Analīžu veikšanas kapacitāte </w:t>
            </w:r>
            <w:r w:rsidRPr="00DC5248">
              <w:rPr>
                <w:rFonts w:ascii="Times New Roman" w:eastAsia="Times New Roman" w:hAnsi="Times New Roman" w:cs="Times New Roman"/>
                <w:b/>
                <w:bCs/>
                <w:color w:val="000000"/>
                <w:u w:val="single"/>
                <w:bdr w:val="none" w:sz="0" w:space="0" w:color="auto" w:frame="1"/>
                <w:lang w:eastAsia="lv-LV"/>
              </w:rPr>
              <w:t>sestdienā</w:t>
            </w:r>
            <w:r w:rsidRPr="00DC5248">
              <w:rPr>
                <w:rFonts w:ascii="Times New Roman" w:eastAsia="Times New Roman" w:hAnsi="Times New Roman" w:cs="Times New Roman"/>
                <w:b/>
                <w:bCs/>
                <w:color w:val="000000"/>
                <w:bdr w:val="none" w:sz="0" w:space="0" w:color="auto" w:frame="1"/>
                <w:lang w:eastAsia="lv-LV"/>
              </w:rPr>
              <w:t>, t.sk. maksas analīzes</w:t>
            </w:r>
          </w:p>
        </w:tc>
        <w:tc>
          <w:tcPr>
            <w:tcW w:w="2340" w:type="dxa"/>
            <w:vMerge w:val="restart"/>
            <w:tcBorders>
              <w:top w:val="single" w:sz="8" w:space="0" w:color="auto"/>
              <w:left w:val="nil"/>
              <w:bottom w:val="single" w:sz="8" w:space="0" w:color="000000"/>
              <w:right w:val="single" w:sz="8" w:space="0" w:color="auto"/>
            </w:tcBorders>
            <w:shd w:val="clear" w:color="auto" w:fill="D0CECE"/>
            <w:tcMar>
              <w:top w:w="0" w:type="dxa"/>
              <w:left w:w="108" w:type="dxa"/>
              <w:bottom w:w="0" w:type="dxa"/>
              <w:right w:w="108" w:type="dxa"/>
            </w:tcMar>
            <w:vAlign w:val="center"/>
            <w:hideMark/>
          </w:tcPr>
          <w:p w14:paraId="4F530C4A" w14:textId="77777777"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b/>
                <w:bCs/>
                <w:color w:val="000000"/>
                <w:bdr w:val="none" w:sz="0" w:space="0" w:color="auto" w:frame="1"/>
                <w:lang w:eastAsia="lv-LV"/>
              </w:rPr>
              <w:t>Analīžu veikšanas kapacitāte </w:t>
            </w:r>
            <w:r w:rsidRPr="00DC5248">
              <w:rPr>
                <w:rFonts w:ascii="Times New Roman" w:eastAsia="Times New Roman" w:hAnsi="Times New Roman" w:cs="Times New Roman"/>
                <w:b/>
                <w:bCs/>
                <w:color w:val="000000"/>
                <w:u w:val="single"/>
                <w:bdr w:val="none" w:sz="0" w:space="0" w:color="auto" w:frame="1"/>
                <w:lang w:eastAsia="lv-LV"/>
              </w:rPr>
              <w:t>svētdienā</w:t>
            </w:r>
            <w:r w:rsidRPr="00DC5248">
              <w:rPr>
                <w:rFonts w:ascii="Times New Roman" w:eastAsia="Times New Roman" w:hAnsi="Times New Roman" w:cs="Times New Roman"/>
                <w:b/>
                <w:bCs/>
                <w:color w:val="000000"/>
                <w:bdr w:val="none" w:sz="0" w:space="0" w:color="auto" w:frame="1"/>
                <w:lang w:eastAsia="lv-LV"/>
              </w:rPr>
              <w:t>, t.sk. maksas analīzes</w:t>
            </w:r>
          </w:p>
        </w:tc>
        <w:tc>
          <w:tcPr>
            <w:tcW w:w="4740" w:type="dxa"/>
            <w:shd w:val="clear" w:color="auto" w:fill="FFFFFF"/>
            <w:vAlign w:val="center"/>
            <w:hideMark/>
          </w:tcPr>
          <w:p w14:paraId="400B63A6"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323130"/>
                <w:lang w:eastAsia="lv-LV"/>
              </w:rPr>
              <w:t> </w:t>
            </w:r>
          </w:p>
        </w:tc>
        <w:tc>
          <w:tcPr>
            <w:tcW w:w="6" w:type="dxa"/>
            <w:shd w:val="clear" w:color="auto" w:fill="FFFFFF"/>
            <w:vAlign w:val="center"/>
            <w:hideMark/>
          </w:tcPr>
          <w:p w14:paraId="0FFABF4F"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r>
      <w:tr w:rsidR="00DC5248" w:rsidRPr="00DC5248" w14:paraId="0D9E237D" w14:textId="77777777" w:rsidTr="00882B5D">
        <w:trPr>
          <w:trHeight w:val="600"/>
        </w:trPr>
        <w:tc>
          <w:tcPr>
            <w:tcW w:w="2150"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44092143"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2070" w:type="dxa"/>
            <w:vMerge/>
            <w:tcBorders>
              <w:top w:val="single" w:sz="8" w:space="0" w:color="auto"/>
              <w:left w:val="nil"/>
              <w:bottom w:val="single" w:sz="8" w:space="0" w:color="000000"/>
              <w:right w:val="single" w:sz="8" w:space="0" w:color="auto"/>
            </w:tcBorders>
            <w:shd w:val="clear" w:color="auto" w:fill="FFFFFF"/>
            <w:vAlign w:val="center"/>
            <w:hideMark/>
          </w:tcPr>
          <w:p w14:paraId="2D4DCFA6"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2430" w:type="dxa"/>
            <w:vMerge/>
            <w:tcBorders>
              <w:top w:val="single" w:sz="8" w:space="0" w:color="auto"/>
              <w:left w:val="nil"/>
              <w:bottom w:val="single" w:sz="8" w:space="0" w:color="000000"/>
              <w:right w:val="single" w:sz="8" w:space="0" w:color="auto"/>
            </w:tcBorders>
            <w:shd w:val="clear" w:color="auto" w:fill="FFFFFF"/>
            <w:vAlign w:val="center"/>
            <w:hideMark/>
          </w:tcPr>
          <w:p w14:paraId="1D23D1A6"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2340" w:type="dxa"/>
            <w:vMerge/>
            <w:tcBorders>
              <w:top w:val="single" w:sz="8" w:space="0" w:color="auto"/>
              <w:left w:val="nil"/>
              <w:bottom w:val="single" w:sz="8" w:space="0" w:color="000000"/>
              <w:right w:val="single" w:sz="8" w:space="0" w:color="auto"/>
            </w:tcBorders>
            <w:shd w:val="clear" w:color="auto" w:fill="FFFFFF"/>
            <w:vAlign w:val="center"/>
            <w:hideMark/>
          </w:tcPr>
          <w:p w14:paraId="022E8594"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4740" w:type="dxa"/>
            <w:shd w:val="clear" w:color="auto" w:fill="FFFFFF"/>
            <w:noWrap/>
            <w:tcMar>
              <w:top w:w="0" w:type="dxa"/>
              <w:left w:w="108" w:type="dxa"/>
              <w:bottom w:w="0" w:type="dxa"/>
              <w:right w:w="108" w:type="dxa"/>
            </w:tcMar>
            <w:vAlign w:val="bottom"/>
            <w:hideMark/>
          </w:tcPr>
          <w:p w14:paraId="4DC7420D" w14:textId="77777777" w:rsidR="00DC5248" w:rsidRPr="00DC5248" w:rsidRDefault="00DC5248" w:rsidP="00DC5248">
            <w:pPr>
              <w:spacing w:after="0" w:line="240" w:lineRule="auto"/>
              <w:rPr>
                <w:rFonts w:ascii="Times New Roman" w:eastAsia="Times New Roman" w:hAnsi="Times New Roman" w:cs="Times New Roman"/>
                <w:lang w:eastAsia="lv-LV"/>
              </w:rPr>
            </w:pPr>
          </w:p>
        </w:tc>
        <w:tc>
          <w:tcPr>
            <w:tcW w:w="6" w:type="dxa"/>
            <w:shd w:val="clear" w:color="auto" w:fill="FFFFFF"/>
            <w:vAlign w:val="center"/>
            <w:hideMark/>
          </w:tcPr>
          <w:p w14:paraId="703DCAE8" w14:textId="77777777" w:rsidR="00DC5248" w:rsidRPr="00DC5248" w:rsidRDefault="00DC5248" w:rsidP="00DC5248">
            <w:pPr>
              <w:spacing w:after="0" w:line="240" w:lineRule="auto"/>
              <w:rPr>
                <w:rFonts w:ascii="Times New Roman" w:eastAsia="Times New Roman" w:hAnsi="Times New Roman" w:cs="Times New Roman"/>
                <w:lang w:eastAsia="lv-LV"/>
              </w:rPr>
            </w:pPr>
          </w:p>
        </w:tc>
      </w:tr>
      <w:tr w:rsidR="00DC5248" w:rsidRPr="00DC5248" w14:paraId="206B54F6" w14:textId="77777777" w:rsidTr="00882B5D">
        <w:trPr>
          <w:trHeight w:val="547"/>
        </w:trPr>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C439F8"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roofErr w:type="spellStart"/>
            <w:r w:rsidRPr="00DC5248">
              <w:rPr>
                <w:rFonts w:ascii="Times New Roman" w:eastAsia="Times New Roman" w:hAnsi="Times New Roman" w:cs="Times New Roman"/>
                <w:color w:val="000000"/>
                <w:bdr w:val="none" w:sz="0" w:space="0" w:color="auto" w:frame="1"/>
                <w:lang w:eastAsia="lv-LV"/>
              </w:rPr>
              <w:t>E.Gulbja</w:t>
            </w:r>
            <w:proofErr w:type="spellEnd"/>
            <w:r w:rsidRPr="00DC5248">
              <w:rPr>
                <w:rFonts w:ascii="Times New Roman" w:eastAsia="Times New Roman" w:hAnsi="Times New Roman" w:cs="Times New Roman"/>
                <w:color w:val="000000"/>
                <w:bdr w:val="none" w:sz="0" w:space="0" w:color="auto" w:frame="1"/>
                <w:lang w:eastAsia="lv-LV"/>
              </w:rPr>
              <w:t xml:space="preserve"> laboratorija</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F0A47B" w14:textId="0C32F9BA"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000000"/>
                <w:bdr w:val="none" w:sz="0" w:space="0" w:color="auto" w:frame="1"/>
                <w:lang w:eastAsia="lv-LV"/>
              </w:rPr>
              <w:t>1</w:t>
            </w:r>
            <w:r w:rsidR="008C1307">
              <w:rPr>
                <w:rFonts w:ascii="Times New Roman" w:eastAsia="Times New Roman" w:hAnsi="Times New Roman" w:cs="Times New Roman"/>
                <w:color w:val="000000"/>
                <w:bdr w:val="none" w:sz="0" w:space="0" w:color="auto" w:frame="1"/>
                <w:lang w:eastAsia="lv-LV"/>
              </w:rPr>
              <w:t>5</w:t>
            </w:r>
            <w:r w:rsidRPr="00DC5248">
              <w:rPr>
                <w:rFonts w:ascii="Times New Roman" w:eastAsia="Times New Roman" w:hAnsi="Times New Roman" w:cs="Times New Roman"/>
                <w:color w:val="000000"/>
                <w:bdr w:val="none" w:sz="0" w:space="0" w:color="auto" w:frame="1"/>
                <w:lang w:eastAsia="lv-LV"/>
              </w:rPr>
              <w:t xml:space="preserve"> 000</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E2BDCE" w14:textId="77777777"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000000"/>
                <w:bdr w:val="none" w:sz="0" w:space="0" w:color="auto" w:frame="1"/>
                <w:lang w:eastAsia="lv-LV"/>
              </w:rPr>
              <w:t>10 000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984761" w14:textId="7EB180E9" w:rsidR="00DC5248" w:rsidRPr="00DC5248" w:rsidRDefault="008C1307" w:rsidP="00DC5248">
            <w:pPr>
              <w:spacing w:after="0" w:line="240" w:lineRule="auto"/>
              <w:jc w:val="center"/>
              <w:rPr>
                <w:rFonts w:ascii="Times New Roman" w:eastAsia="Times New Roman" w:hAnsi="Times New Roman" w:cs="Times New Roman"/>
                <w:color w:val="323130"/>
                <w:lang w:eastAsia="lv-LV"/>
              </w:rPr>
            </w:pPr>
            <w:r>
              <w:rPr>
                <w:rFonts w:ascii="Times New Roman" w:eastAsia="Times New Roman" w:hAnsi="Times New Roman" w:cs="Times New Roman"/>
                <w:color w:val="000000"/>
                <w:bdr w:val="none" w:sz="0" w:space="0" w:color="auto" w:frame="1"/>
                <w:lang w:eastAsia="lv-LV"/>
              </w:rPr>
              <w:t>5</w:t>
            </w:r>
            <w:r w:rsidR="00DC5248" w:rsidRPr="00DC5248">
              <w:rPr>
                <w:rFonts w:ascii="Times New Roman" w:eastAsia="Times New Roman" w:hAnsi="Times New Roman" w:cs="Times New Roman"/>
                <w:color w:val="000000"/>
                <w:bdr w:val="none" w:sz="0" w:space="0" w:color="auto" w:frame="1"/>
                <w:lang w:eastAsia="lv-LV"/>
              </w:rPr>
              <w:t xml:space="preserve"> 000</w:t>
            </w:r>
          </w:p>
        </w:tc>
        <w:tc>
          <w:tcPr>
            <w:tcW w:w="4740" w:type="dxa"/>
            <w:shd w:val="clear" w:color="auto" w:fill="FFFFFF"/>
            <w:tcMar>
              <w:top w:w="0" w:type="dxa"/>
              <w:left w:w="108" w:type="dxa"/>
              <w:bottom w:w="0" w:type="dxa"/>
              <w:right w:w="108" w:type="dxa"/>
            </w:tcMar>
            <w:vAlign w:val="center"/>
            <w:hideMark/>
          </w:tcPr>
          <w:p w14:paraId="77F708E9"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6" w:type="dxa"/>
            <w:shd w:val="clear" w:color="auto" w:fill="FFFFFF"/>
            <w:vAlign w:val="center"/>
            <w:hideMark/>
          </w:tcPr>
          <w:p w14:paraId="5B1DC715" w14:textId="77777777" w:rsidR="00DC5248" w:rsidRPr="00DC5248" w:rsidRDefault="00DC5248" w:rsidP="00DC5248">
            <w:pPr>
              <w:spacing w:after="0" w:line="240" w:lineRule="auto"/>
              <w:rPr>
                <w:rFonts w:ascii="Times New Roman" w:eastAsia="Times New Roman" w:hAnsi="Times New Roman" w:cs="Times New Roman"/>
                <w:lang w:eastAsia="lv-LV"/>
              </w:rPr>
            </w:pPr>
          </w:p>
        </w:tc>
      </w:tr>
      <w:tr w:rsidR="00DC5248" w:rsidRPr="00DC5248" w14:paraId="1F4AE27D" w14:textId="77777777" w:rsidTr="00882B5D">
        <w:trPr>
          <w:trHeight w:val="300"/>
        </w:trPr>
        <w:tc>
          <w:tcPr>
            <w:tcW w:w="215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A71D29"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000000"/>
                <w:bdr w:val="none" w:sz="0" w:space="0" w:color="auto" w:frame="1"/>
                <w:lang w:eastAsia="lv-LV"/>
              </w:rPr>
              <w:t> RAKUS</w:t>
            </w:r>
          </w:p>
        </w:tc>
        <w:tc>
          <w:tcPr>
            <w:tcW w:w="20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1685C9" w14:textId="77777777"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000000"/>
                <w:bdr w:val="none" w:sz="0" w:space="0" w:color="auto" w:frame="1"/>
                <w:lang w:eastAsia="lv-LV"/>
              </w:rPr>
              <w:t>1200</w:t>
            </w:r>
          </w:p>
        </w:tc>
        <w:tc>
          <w:tcPr>
            <w:tcW w:w="243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174C55" w14:textId="77777777"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000000"/>
                <w:bdr w:val="none" w:sz="0" w:space="0" w:color="auto" w:frame="1"/>
                <w:lang w:eastAsia="lv-LV"/>
              </w:rPr>
              <w:t>600</w:t>
            </w:r>
          </w:p>
        </w:tc>
        <w:tc>
          <w:tcPr>
            <w:tcW w:w="23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D82A54" w14:textId="77777777"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000000"/>
                <w:bdr w:val="none" w:sz="0" w:space="0" w:color="auto" w:frame="1"/>
                <w:lang w:eastAsia="lv-LV"/>
              </w:rPr>
              <w:t>600</w:t>
            </w:r>
          </w:p>
        </w:tc>
        <w:tc>
          <w:tcPr>
            <w:tcW w:w="4740" w:type="dxa"/>
            <w:shd w:val="clear" w:color="auto" w:fill="FFFFFF"/>
            <w:tcMar>
              <w:top w:w="0" w:type="dxa"/>
              <w:left w:w="108" w:type="dxa"/>
              <w:bottom w:w="0" w:type="dxa"/>
              <w:right w:w="108" w:type="dxa"/>
            </w:tcMar>
            <w:vAlign w:val="center"/>
            <w:hideMark/>
          </w:tcPr>
          <w:p w14:paraId="58DC9D00"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6" w:type="dxa"/>
            <w:shd w:val="clear" w:color="auto" w:fill="FFFFFF"/>
            <w:vAlign w:val="center"/>
            <w:hideMark/>
          </w:tcPr>
          <w:p w14:paraId="227FE397" w14:textId="77777777" w:rsidR="00DC5248" w:rsidRPr="00DC5248" w:rsidRDefault="00DC5248" w:rsidP="00DC5248">
            <w:pPr>
              <w:spacing w:after="0" w:line="240" w:lineRule="auto"/>
              <w:rPr>
                <w:rFonts w:ascii="Times New Roman" w:eastAsia="Times New Roman" w:hAnsi="Times New Roman" w:cs="Times New Roman"/>
                <w:lang w:eastAsia="lv-LV"/>
              </w:rPr>
            </w:pPr>
          </w:p>
        </w:tc>
      </w:tr>
      <w:tr w:rsidR="00DC5248" w:rsidRPr="00DC5248" w14:paraId="613DCFC4" w14:textId="77777777" w:rsidTr="00882B5D">
        <w:trPr>
          <w:trHeight w:val="300"/>
        </w:trPr>
        <w:tc>
          <w:tcPr>
            <w:tcW w:w="2150" w:type="dxa"/>
            <w:vMerge/>
            <w:tcBorders>
              <w:top w:val="nil"/>
              <w:left w:val="single" w:sz="8" w:space="0" w:color="auto"/>
              <w:bottom w:val="single" w:sz="8" w:space="0" w:color="auto"/>
              <w:right w:val="single" w:sz="8" w:space="0" w:color="auto"/>
            </w:tcBorders>
            <w:shd w:val="clear" w:color="auto" w:fill="FFFFFF"/>
            <w:vAlign w:val="center"/>
            <w:hideMark/>
          </w:tcPr>
          <w:p w14:paraId="16DF8598"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2070" w:type="dxa"/>
            <w:vMerge/>
            <w:tcBorders>
              <w:top w:val="nil"/>
              <w:left w:val="nil"/>
              <w:bottom w:val="single" w:sz="8" w:space="0" w:color="auto"/>
              <w:right w:val="single" w:sz="8" w:space="0" w:color="auto"/>
            </w:tcBorders>
            <w:shd w:val="clear" w:color="auto" w:fill="FFFFFF"/>
            <w:vAlign w:val="center"/>
            <w:hideMark/>
          </w:tcPr>
          <w:p w14:paraId="1814C3D4"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2430" w:type="dxa"/>
            <w:vMerge/>
            <w:tcBorders>
              <w:top w:val="nil"/>
              <w:left w:val="nil"/>
              <w:bottom w:val="single" w:sz="8" w:space="0" w:color="auto"/>
              <w:right w:val="single" w:sz="8" w:space="0" w:color="auto"/>
            </w:tcBorders>
            <w:shd w:val="clear" w:color="auto" w:fill="FFFFFF"/>
            <w:vAlign w:val="center"/>
            <w:hideMark/>
          </w:tcPr>
          <w:p w14:paraId="6FA96AEA"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2340" w:type="dxa"/>
            <w:vMerge/>
            <w:tcBorders>
              <w:top w:val="nil"/>
              <w:left w:val="nil"/>
              <w:bottom w:val="single" w:sz="8" w:space="0" w:color="auto"/>
              <w:right w:val="single" w:sz="8" w:space="0" w:color="auto"/>
            </w:tcBorders>
            <w:shd w:val="clear" w:color="auto" w:fill="FFFFFF"/>
            <w:vAlign w:val="center"/>
            <w:hideMark/>
          </w:tcPr>
          <w:p w14:paraId="5177771C"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4740" w:type="dxa"/>
            <w:shd w:val="clear" w:color="auto" w:fill="FFFFFF"/>
            <w:noWrap/>
            <w:tcMar>
              <w:top w:w="0" w:type="dxa"/>
              <w:left w:w="108" w:type="dxa"/>
              <w:bottom w:w="0" w:type="dxa"/>
              <w:right w:w="108" w:type="dxa"/>
            </w:tcMar>
            <w:vAlign w:val="bottom"/>
            <w:hideMark/>
          </w:tcPr>
          <w:p w14:paraId="6F2160C9" w14:textId="77777777" w:rsidR="00DC5248" w:rsidRPr="00DC5248" w:rsidRDefault="00DC5248" w:rsidP="00DC5248">
            <w:pPr>
              <w:spacing w:after="0" w:line="240" w:lineRule="auto"/>
              <w:rPr>
                <w:rFonts w:ascii="Times New Roman" w:eastAsia="Times New Roman" w:hAnsi="Times New Roman" w:cs="Times New Roman"/>
                <w:lang w:eastAsia="lv-LV"/>
              </w:rPr>
            </w:pPr>
          </w:p>
        </w:tc>
        <w:tc>
          <w:tcPr>
            <w:tcW w:w="6" w:type="dxa"/>
            <w:shd w:val="clear" w:color="auto" w:fill="FFFFFF"/>
            <w:vAlign w:val="center"/>
            <w:hideMark/>
          </w:tcPr>
          <w:p w14:paraId="6E8AE345" w14:textId="77777777" w:rsidR="00DC5248" w:rsidRPr="00DC5248" w:rsidRDefault="00DC5248" w:rsidP="00DC5248">
            <w:pPr>
              <w:spacing w:after="0" w:line="240" w:lineRule="auto"/>
              <w:rPr>
                <w:rFonts w:ascii="Times New Roman" w:eastAsia="Times New Roman" w:hAnsi="Times New Roman" w:cs="Times New Roman"/>
                <w:lang w:eastAsia="lv-LV"/>
              </w:rPr>
            </w:pPr>
          </w:p>
        </w:tc>
      </w:tr>
      <w:tr w:rsidR="00DC5248" w:rsidRPr="00DC5248" w14:paraId="6E77A6AE" w14:textId="77777777" w:rsidTr="00882B5D">
        <w:trPr>
          <w:trHeight w:val="900"/>
        </w:trPr>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587C3B"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000000"/>
                <w:bdr w:val="none" w:sz="0" w:space="0" w:color="auto" w:frame="1"/>
                <w:lang w:eastAsia="lv-LV"/>
              </w:rPr>
              <w:t>SIA “Dziedniecība” - MFD Laboratorija</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A297BC" w14:textId="31DA87A9" w:rsidR="00DC5248" w:rsidRPr="00AF5C52" w:rsidRDefault="008C1307" w:rsidP="00DC5248">
            <w:pPr>
              <w:spacing w:after="0" w:line="240" w:lineRule="auto"/>
              <w:jc w:val="center"/>
              <w:rPr>
                <w:rFonts w:ascii="Times New Roman" w:eastAsia="Times New Roman" w:hAnsi="Times New Roman" w:cs="Times New Roman"/>
                <w:color w:val="FF0000"/>
                <w:lang w:eastAsia="lv-LV"/>
              </w:rPr>
            </w:pPr>
            <w:r w:rsidRPr="00AF5C52">
              <w:rPr>
                <w:rFonts w:ascii="Times New Roman" w:eastAsia="Times New Roman" w:hAnsi="Times New Roman" w:cs="Times New Roman"/>
                <w:color w:val="FF0000"/>
                <w:bdr w:val="none" w:sz="0" w:space="0" w:color="auto" w:frame="1"/>
                <w:lang w:eastAsia="lv-LV"/>
              </w:rPr>
              <w:t>22</w:t>
            </w:r>
            <w:r w:rsidR="003514F8" w:rsidRPr="00AF5C52">
              <w:rPr>
                <w:rFonts w:ascii="Times New Roman" w:eastAsia="Times New Roman" w:hAnsi="Times New Roman" w:cs="Times New Roman"/>
                <w:color w:val="FF0000"/>
                <w:bdr w:val="none" w:sz="0" w:space="0" w:color="auto" w:frame="1"/>
                <w:lang w:eastAsia="lv-LV"/>
              </w:rPr>
              <w:t xml:space="preserve"> </w:t>
            </w:r>
            <w:r w:rsidRPr="00AF5C52">
              <w:rPr>
                <w:rFonts w:ascii="Times New Roman" w:eastAsia="Times New Roman" w:hAnsi="Times New Roman" w:cs="Times New Roman"/>
                <w:color w:val="FF0000"/>
                <w:bdr w:val="none" w:sz="0" w:space="0" w:color="auto" w:frame="1"/>
                <w:lang w:eastAsia="lv-LV"/>
              </w:rPr>
              <w:t>500</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A3D8E4" w14:textId="2DEE35B0" w:rsidR="00DC5248" w:rsidRPr="00AF5C52" w:rsidRDefault="00AB6FEB" w:rsidP="00DC5248">
            <w:pPr>
              <w:spacing w:after="0" w:line="240" w:lineRule="auto"/>
              <w:jc w:val="center"/>
              <w:rPr>
                <w:rFonts w:ascii="Times New Roman" w:eastAsia="Times New Roman" w:hAnsi="Times New Roman" w:cs="Times New Roman"/>
                <w:color w:val="FF0000"/>
                <w:lang w:eastAsia="lv-LV"/>
              </w:rPr>
            </w:pPr>
            <w:r w:rsidRPr="00AF5C52">
              <w:rPr>
                <w:rFonts w:ascii="Times New Roman" w:eastAsia="Times New Roman" w:hAnsi="Times New Roman" w:cs="Times New Roman"/>
                <w:color w:val="FF0000"/>
                <w:bdr w:val="none" w:sz="0" w:space="0" w:color="auto" w:frame="1"/>
                <w:lang w:eastAsia="lv-LV"/>
              </w:rPr>
              <w:t>22 500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C49B9D" w14:textId="70B4CA07" w:rsidR="00DC5248" w:rsidRPr="00AF5C52" w:rsidRDefault="00AB6FEB" w:rsidP="00DC5248">
            <w:pPr>
              <w:spacing w:after="0" w:line="240" w:lineRule="auto"/>
              <w:jc w:val="center"/>
              <w:rPr>
                <w:rFonts w:ascii="Times New Roman" w:eastAsia="Times New Roman" w:hAnsi="Times New Roman" w:cs="Times New Roman"/>
                <w:color w:val="FF0000"/>
                <w:lang w:eastAsia="lv-LV"/>
              </w:rPr>
            </w:pPr>
            <w:r w:rsidRPr="00AF5C52">
              <w:rPr>
                <w:rFonts w:ascii="Times New Roman" w:eastAsia="Times New Roman" w:hAnsi="Times New Roman" w:cs="Times New Roman"/>
                <w:color w:val="FF0000"/>
                <w:bdr w:val="none" w:sz="0" w:space="0" w:color="auto" w:frame="1"/>
                <w:lang w:eastAsia="lv-LV"/>
              </w:rPr>
              <w:t>22 500</w:t>
            </w:r>
          </w:p>
        </w:tc>
        <w:tc>
          <w:tcPr>
            <w:tcW w:w="4740" w:type="dxa"/>
            <w:shd w:val="clear" w:color="auto" w:fill="FFFFFF"/>
            <w:tcMar>
              <w:top w:w="0" w:type="dxa"/>
              <w:left w:w="108" w:type="dxa"/>
              <w:bottom w:w="0" w:type="dxa"/>
              <w:right w:w="108" w:type="dxa"/>
            </w:tcMar>
            <w:vAlign w:val="center"/>
            <w:hideMark/>
          </w:tcPr>
          <w:p w14:paraId="2D92A862"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6" w:type="dxa"/>
            <w:shd w:val="clear" w:color="auto" w:fill="FFFFFF"/>
            <w:vAlign w:val="center"/>
            <w:hideMark/>
          </w:tcPr>
          <w:p w14:paraId="6E5282FA" w14:textId="77777777" w:rsidR="00DC5248" w:rsidRPr="00DC5248" w:rsidRDefault="00DC5248" w:rsidP="00DC5248">
            <w:pPr>
              <w:spacing w:after="0" w:line="240" w:lineRule="auto"/>
              <w:rPr>
                <w:rFonts w:ascii="Times New Roman" w:eastAsia="Times New Roman" w:hAnsi="Times New Roman" w:cs="Times New Roman"/>
                <w:lang w:eastAsia="lv-LV"/>
              </w:rPr>
            </w:pPr>
          </w:p>
        </w:tc>
      </w:tr>
      <w:tr w:rsidR="00DC5248" w:rsidRPr="00DC5248" w14:paraId="260B2FF1" w14:textId="77777777" w:rsidTr="00882B5D">
        <w:trPr>
          <w:trHeight w:val="300"/>
        </w:trPr>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4256C5"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000000"/>
                <w:bdr w:val="none" w:sz="0" w:space="0" w:color="auto" w:frame="1"/>
                <w:lang w:eastAsia="lv-LV"/>
              </w:rPr>
              <w:t>NMS Laboratorija SIA</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07C39F" w14:textId="77777777"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000000"/>
                <w:bdr w:val="none" w:sz="0" w:space="0" w:color="auto" w:frame="1"/>
                <w:lang w:eastAsia="lv-LV"/>
              </w:rPr>
              <w:t>1 000</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E86E92" w14:textId="7A4F2659" w:rsidR="00DC5248" w:rsidRPr="00DC5248" w:rsidRDefault="00882B5D" w:rsidP="00882B5D">
            <w:pPr>
              <w:spacing w:after="0" w:line="240" w:lineRule="auto"/>
              <w:jc w:val="center"/>
              <w:rPr>
                <w:rFonts w:ascii="Times New Roman" w:eastAsia="Times New Roman" w:hAnsi="Times New Roman" w:cs="Times New Roman"/>
                <w:color w:val="323130"/>
                <w:lang w:eastAsia="lv-LV"/>
              </w:rPr>
            </w:pPr>
            <w:r>
              <w:rPr>
                <w:rFonts w:ascii="Times New Roman" w:eastAsia="Times New Roman" w:hAnsi="Times New Roman" w:cs="Times New Roman"/>
                <w:color w:val="323130"/>
                <w:lang w:eastAsia="lv-LV"/>
              </w:rPr>
              <w:t>-</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E6BFA4" w14:textId="497F104E" w:rsidR="00DC5248" w:rsidRPr="00DC5248" w:rsidRDefault="00882B5D" w:rsidP="00882B5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4740" w:type="dxa"/>
            <w:shd w:val="clear" w:color="auto" w:fill="FFFFFF"/>
            <w:tcMar>
              <w:top w:w="0" w:type="dxa"/>
              <w:left w:w="108" w:type="dxa"/>
              <w:bottom w:w="0" w:type="dxa"/>
              <w:right w:w="108" w:type="dxa"/>
            </w:tcMar>
            <w:vAlign w:val="center"/>
            <w:hideMark/>
          </w:tcPr>
          <w:p w14:paraId="5152BFEF" w14:textId="77777777" w:rsidR="00DC5248" w:rsidRPr="00DC5248" w:rsidRDefault="00DC5248" w:rsidP="00DC5248">
            <w:pPr>
              <w:spacing w:after="0" w:line="240" w:lineRule="auto"/>
              <w:rPr>
                <w:rFonts w:ascii="Times New Roman" w:eastAsia="Times New Roman" w:hAnsi="Times New Roman" w:cs="Times New Roman"/>
                <w:lang w:eastAsia="lv-LV"/>
              </w:rPr>
            </w:pPr>
          </w:p>
        </w:tc>
        <w:tc>
          <w:tcPr>
            <w:tcW w:w="6" w:type="dxa"/>
            <w:shd w:val="clear" w:color="auto" w:fill="FFFFFF"/>
            <w:vAlign w:val="center"/>
            <w:hideMark/>
          </w:tcPr>
          <w:p w14:paraId="6E9A06FE" w14:textId="77777777" w:rsidR="00DC5248" w:rsidRPr="00DC5248" w:rsidRDefault="00DC5248" w:rsidP="00DC5248">
            <w:pPr>
              <w:spacing w:after="0" w:line="240" w:lineRule="auto"/>
              <w:rPr>
                <w:rFonts w:ascii="Times New Roman" w:eastAsia="Times New Roman" w:hAnsi="Times New Roman" w:cs="Times New Roman"/>
                <w:lang w:eastAsia="lv-LV"/>
              </w:rPr>
            </w:pPr>
          </w:p>
        </w:tc>
      </w:tr>
      <w:tr w:rsidR="00DC5248" w:rsidRPr="00DC5248" w14:paraId="581670FC" w14:textId="77777777" w:rsidTr="00882B5D">
        <w:trPr>
          <w:trHeight w:val="300"/>
        </w:trPr>
        <w:tc>
          <w:tcPr>
            <w:tcW w:w="215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3AF929"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000000"/>
                <w:bdr w:val="none" w:sz="0" w:space="0" w:color="auto" w:frame="1"/>
                <w:lang w:eastAsia="lv-LV"/>
              </w:rPr>
              <w:lastRenderedPageBreak/>
              <w:t> BIOR</w:t>
            </w:r>
          </w:p>
        </w:tc>
        <w:tc>
          <w:tcPr>
            <w:tcW w:w="20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754DBE" w14:textId="7B3DFB5C" w:rsidR="00DC5248" w:rsidRPr="00DC5248" w:rsidRDefault="00AB6FEB" w:rsidP="00DC5248">
            <w:pPr>
              <w:spacing w:after="0" w:line="240" w:lineRule="auto"/>
              <w:jc w:val="center"/>
              <w:rPr>
                <w:rFonts w:ascii="Times New Roman" w:eastAsia="Times New Roman" w:hAnsi="Times New Roman" w:cs="Times New Roman"/>
                <w:color w:val="323130"/>
                <w:lang w:eastAsia="lv-LV"/>
              </w:rPr>
            </w:pPr>
            <w:r>
              <w:rPr>
                <w:rFonts w:ascii="Times New Roman" w:eastAsia="Times New Roman" w:hAnsi="Times New Roman" w:cs="Times New Roman"/>
                <w:color w:val="000000"/>
                <w:bdr w:val="none" w:sz="0" w:space="0" w:color="auto" w:frame="1"/>
                <w:lang w:eastAsia="lv-LV"/>
              </w:rPr>
              <w:t>20</w:t>
            </w:r>
            <w:r w:rsidR="00DC5248" w:rsidRPr="00DC5248">
              <w:rPr>
                <w:rFonts w:ascii="Times New Roman" w:eastAsia="Times New Roman" w:hAnsi="Times New Roman" w:cs="Times New Roman"/>
                <w:color w:val="000000"/>
                <w:bdr w:val="none" w:sz="0" w:space="0" w:color="auto" w:frame="1"/>
                <w:lang w:eastAsia="lv-LV"/>
              </w:rPr>
              <w:t xml:space="preserve"> 000</w:t>
            </w:r>
          </w:p>
        </w:tc>
        <w:tc>
          <w:tcPr>
            <w:tcW w:w="243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34668B" w14:textId="0B523EEB" w:rsidR="00DC5248" w:rsidRPr="00DC5248" w:rsidRDefault="00882B5D" w:rsidP="00882B5D">
            <w:pPr>
              <w:spacing w:after="0" w:line="240" w:lineRule="auto"/>
              <w:jc w:val="center"/>
              <w:rPr>
                <w:rFonts w:ascii="Times New Roman" w:eastAsia="Times New Roman" w:hAnsi="Times New Roman" w:cs="Times New Roman"/>
                <w:color w:val="323130"/>
                <w:lang w:eastAsia="lv-LV"/>
              </w:rPr>
            </w:pPr>
            <w:r>
              <w:rPr>
                <w:rFonts w:ascii="Times New Roman" w:eastAsia="Times New Roman" w:hAnsi="Times New Roman" w:cs="Times New Roman"/>
                <w:color w:val="323130"/>
                <w:lang w:eastAsia="lv-LV"/>
              </w:rPr>
              <w:t>-</w:t>
            </w:r>
          </w:p>
        </w:tc>
        <w:tc>
          <w:tcPr>
            <w:tcW w:w="23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4E80FE" w14:textId="2AA15BFA" w:rsidR="00DC5248" w:rsidRPr="00DC5248" w:rsidRDefault="00882B5D" w:rsidP="00882B5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4740" w:type="dxa"/>
            <w:shd w:val="clear" w:color="auto" w:fill="FFFFFF"/>
            <w:tcMar>
              <w:top w:w="0" w:type="dxa"/>
              <w:left w:w="108" w:type="dxa"/>
              <w:bottom w:w="0" w:type="dxa"/>
              <w:right w:w="108" w:type="dxa"/>
            </w:tcMar>
            <w:vAlign w:val="center"/>
            <w:hideMark/>
          </w:tcPr>
          <w:p w14:paraId="71B76757" w14:textId="77777777" w:rsidR="00DC5248" w:rsidRPr="00DC5248" w:rsidRDefault="00DC5248" w:rsidP="00DC5248">
            <w:pPr>
              <w:spacing w:after="0" w:line="240" w:lineRule="auto"/>
              <w:rPr>
                <w:rFonts w:ascii="Times New Roman" w:eastAsia="Times New Roman" w:hAnsi="Times New Roman" w:cs="Times New Roman"/>
                <w:lang w:eastAsia="lv-LV"/>
              </w:rPr>
            </w:pPr>
          </w:p>
        </w:tc>
        <w:tc>
          <w:tcPr>
            <w:tcW w:w="6" w:type="dxa"/>
            <w:shd w:val="clear" w:color="auto" w:fill="FFFFFF"/>
            <w:vAlign w:val="center"/>
            <w:hideMark/>
          </w:tcPr>
          <w:p w14:paraId="240467FF" w14:textId="77777777" w:rsidR="00DC5248" w:rsidRPr="00DC5248" w:rsidRDefault="00DC5248" w:rsidP="00DC5248">
            <w:pPr>
              <w:spacing w:after="0" w:line="240" w:lineRule="auto"/>
              <w:rPr>
                <w:rFonts w:ascii="Times New Roman" w:eastAsia="Times New Roman" w:hAnsi="Times New Roman" w:cs="Times New Roman"/>
                <w:lang w:eastAsia="lv-LV"/>
              </w:rPr>
            </w:pPr>
          </w:p>
        </w:tc>
      </w:tr>
      <w:tr w:rsidR="00DC5248" w:rsidRPr="00DC5248" w14:paraId="44F13A8C" w14:textId="77777777" w:rsidTr="00882B5D">
        <w:trPr>
          <w:trHeight w:val="300"/>
        </w:trPr>
        <w:tc>
          <w:tcPr>
            <w:tcW w:w="2150" w:type="dxa"/>
            <w:vMerge/>
            <w:tcBorders>
              <w:top w:val="nil"/>
              <w:left w:val="single" w:sz="8" w:space="0" w:color="auto"/>
              <w:bottom w:val="single" w:sz="8" w:space="0" w:color="auto"/>
              <w:right w:val="single" w:sz="8" w:space="0" w:color="auto"/>
            </w:tcBorders>
            <w:shd w:val="clear" w:color="auto" w:fill="FFFFFF"/>
            <w:vAlign w:val="center"/>
            <w:hideMark/>
          </w:tcPr>
          <w:p w14:paraId="6FF95B18"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2070" w:type="dxa"/>
            <w:vMerge/>
            <w:tcBorders>
              <w:top w:val="nil"/>
              <w:left w:val="nil"/>
              <w:bottom w:val="single" w:sz="8" w:space="0" w:color="auto"/>
              <w:right w:val="single" w:sz="8" w:space="0" w:color="auto"/>
            </w:tcBorders>
            <w:shd w:val="clear" w:color="auto" w:fill="FFFFFF"/>
            <w:vAlign w:val="center"/>
            <w:hideMark/>
          </w:tcPr>
          <w:p w14:paraId="4C28A8F8"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2430" w:type="dxa"/>
            <w:vMerge/>
            <w:tcBorders>
              <w:top w:val="nil"/>
              <w:left w:val="nil"/>
              <w:bottom w:val="single" w:sz="8" w:space="0" w:color="auto"/>
              <w:right w:val="single" w:sz="8" w:space="0" w:color="auto"/>
            </w:tcBorders>
            <w:shd w:val="clear" w:color="auto" w:fill="FFFFFF"/>
            <w:vAlign w:val="center"/>
            <w:hideMark/>
          </w:tcPr>
          <w:p w14:paraId="4EE718AC"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2340" w:type="dxa"/>
            <w:vMerge/>
            <w:tcBorders>
              <w:top w:val="nil"/>
              <w:left w:val="nil"/>
              <w:bottom w:val="single" w:sz="8" w:space="0" w:color="auto"/>
              <w:right w:val="single" w:sz="8" w:space="0" w:color="auto"/>
            </w:tcBorders>
            <w:shd w:val="clear" w:color="auto" w:fill="FFFFFF"/>
            <w:vAlign w:val="center"/>
            <w:hideMark/>
          </w:tcPr>
          <w:p w14:paraId="12AA4B84" w14:textId="77777777" w:rsidR="00DC5248" w:rsidRPr="00DC5248" w:rsidRDefault="00DC5248" w:rsidP="00DC5248">
            <w:pPr>
              <w:spacing w:after="0" w:line="240" w:lineRule="auto"/>
              <w:rPr>
                <w:rFonts w:ascii="Times New Roman" w:eastAsia="Times New Roman" w:hAnsi="Times New Roman" w:cs="Times New Roman"/>
                <w:lang w:eastAsia="lv-LV"/>
              </w:rPr>
            </w:pPr>
          </w:p>
        </w:tc>
        <w:tc>
          <w:tcPr>
            <w:tcW w:w="4740" w:type="dxa"/>
            <w:shd w:val="clear" w:color="auto" w:fill="FFFFFF"/>
            <w:noWrap/>
            <w:tcMar>
              <w:top w:w="0" w:type="dxa"/>
              <w:left w:w="108" w:type="dxa"/>
              <w:bottom w:w="0" w:type="dxa"/>
              <w:right w:w="108" w:type="dxa"/>
            </w:tcMar>
            <w:vAlign w:val="bottom"/>
            <w:hideMark/>
          </w:tcPr>
          <w:p w14:paraId="2A1FAFF1" w14:textId="77777777" w:rsidR="00DC5248" w:rsidRPr="00DC5248" w:rsidRDefault="00DC5248" w:rsidP="00DC5248">
            <w:pPr>
              <w:spacing w:after="0" w:line="240" w:lineRule="auto"/>
              <w:rPr>
                <w:rFonts w:ascii="Times New Roman" w:eastAsia="Times New Roman" w:hAnsi="Times New Roman" w:cs="Times New Roman"/>
                <w:lang w:eastAsia="lv-LV"/>
              </w:rPr>
            </w:pPr>
          </w:p>
        </w:tc>
        <w:tc>
          <w:tcPr>
            <w:tcW w:w="6" w:type="dxa"/>
            <w:shd w:val="clear" w:color="auto" w:fill="FFFFFF"/>
            <w:vAlign w:val="center"/>
            <w:hideMark/>
          </w:tcPr>
          <w:p w14:paraId="1CAD71BE" w14:textId="77777777" w:rsidR="00DC5248" w:rsidRPr="00DC5248" w:rsidRDefault="00DC5248" w:rsidP="00DC5248">
            <w:pPr>
              <w:spacing w:after="0" w:line="240" w:lineRule="auto"/>
              <w:rPr>
                <w:rFonts w:ascii="Times New Roman" w:eastAsia="Times New Roman" w:hAnsi="Times New Roman" w:cs="Times New Roman"/>
                <w:lang w:eastAsia="lv-LV"/>
              </w:rPr>
            </w:pPr>
          </w:p>
        </w:tc>
      </w:tr>
      <w:tr w:rsidR="00DC5248" w:rsidRPr="00DC5248" w14:paraId="57410166" w14:textId="77777777" w:rsidTr="00882B5D">
        <w:trPr>
          <w:trHeight w:val="300"/>
        </w:trPr>
        <w:tc>
          <w:tcPr>
            <w:tcW w:w="2150" w:type="dxa"/>
            <w:vMerge/>
            <w:tcBorders>
              <w:top w:val="nil"/>
              <w:left w:val="single" w:sz="8" w:space="0" w:color="auto"/>
              <w:bottom w:val="single" w:sz="8" w:space="0" w:color="auto"/>
              <w:right w:val="single" w:sz="8" w:space="0" w:color="auto"/>
            </w:tcBorders>
            <w:shd w:val="clear" w:color="auto" w:fill="FFFFFF"/>
            <w:vAlign w:val="center"/>
            <w:hideMark/>
          </w:tcPr>
          <w:p w14:paraId="755FF35C"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2070" w:type="dxa"/>
            <w:vMerge/>
            <w:tcBorders>
              <w:top w:val="nil"/>
              <w:left w:val="nil"/>
              <w:bottom w:val="single" w:sz="8" w:space="0" w:color="auto"/>
              <w:right w:val="single" w:sz="8" w:space="0" w:color="auto"/>
            </w:tcBorders>
            <w:shd w:val="clear" w:color="auto" w:fill="FFFFFF"/>
            <w:vAlign w:val="center"/>
            <w:hideMark/>
          </w:tcPr>
          <w:p w14:paraId="7D07FCD7"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2430" w:type="dxa"/>
            <w:vMerge/>
            <w:tcBorders>
              <w:top w:val="nil"/>
              <w:left w:val="nil"/>
              <w:bottom w:val="single" w:sz="8" w:space="0" w:color="auto"/>
              <w:right w:val="single" w:sz="8" w:space="0" w:color="auto"/>
            </w:tcBorders>
            <w:shd w:val="clear" w:color="auto" w:fill="FFFFFF"/>
            <w:vAlign w:val="center"/>
            <w:hideMark/>
          </w:tcPr>
          <w:p w14:paraId="367BBE04"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2340" w:type="dxa"/>
            <w:vMerge/>
            <w:tcBorders>
              <w:top w:val="nil"/>
              <w:left w:val="nil"/>
              <w:bottom w:val="single" w:sz="8" w:space="0" w:color="auto"/>
              <w:right w:val="single" w:sz="8" w:space="0" w:color="auto"/>
            </w:tcBorders>
            <w:shd w:val="clear" w:color="auto" w:fill="FFFFFF"/>
            <w:vAlign w:val="center"/>
            <w:hideMark/>
          </w:tcPr>
          <w:p w14:paraId="4435674F" w14:textId="77777777" w:rsidR="00DC5248" w:rsidRPr="00DC5248" w:rsidRDefault="00DC5248" w:rsidP="00DC5248">
            <w:pPr>
              <w:spacing w:after="0" w:line="240" w:lineRule="auto"/>
              <w:rPr>
                <w:rFonts w:ascii="Times New Roman" w:eastAsia="Times New Roman" w:hAnsi="Times New Roman" w:cs="Times New Roman"/>
                <w:lang w:eastAsia="lv-LV"/>
              </w:rPr>
            </w:pPr>
          </w:p>
        </w:tc>
        <w:tc>
          <w:tcPr>
            <w:tcW w:w="4740" w:type="dxa"/>
            <w:shd w:val="clear" w:color="auto" w:fill="FFFFFF"/>
            <w:noWrap/>
            <w:tcMar>
              <w:top w:w="0" w:type="dxa"/>
              <w:left w:w="108" w:type="dxa"/>
              <w:bottom w:w="0" w:type="dxa"/>
              <w:right w:w="108" w:type="dxa"/>
            </w:tcMar>
            <w:vAlign w:val="bottom"/>
            <w:hideMark/>
          </w:tcPr>
          <w:p w14:paraId="4FC922F5" w14:textId="77777777" w:rsidR="00DC5248" w:rsidRPr="00DC5248" w:rsidRDefault="00DC5248" w:rsidP="00DC5248">
            <w:pPr>
              <w:spacing w:after="0" w:line="240" w:lineRule="auto"/>
              <w:rPr>
                <w:rFonts w:ascii="Times New Roman" w:eastAsia="Times New Roman" w:hAnsi="Times New Roman" w:cs="Times New Roman"/>
                <w:lang w:eastAsia="lv-LV"/>
              </w:rPr>
            </w:pPr>
          </w:p>
        </w:tc>
        <w:tc>
          <w:tcPr>
            <w:tcW w:w="6" w:type="dxa"/>
            <w:shd w:val="clear" w:color="auto" w:fill="FFFFFF"/>
            <w:vAlign w:val="center"/>
            <w:hideMark/>
          </w:tcPr>
          <w:p w14:paraId="724EE200" w14:textId="77777777" w:rsidR="00DC5248" w:rsidRPr="00DC5248" w:rsidRDefault="00DC5248" w:rsidP="00DC5248">
            <w:pPr>
              <w:spacing w:after="0" w:line="240" w:lineRule="auto"/>
              <w:rPr>
                <w:rFonts w:ascii="Times New Roman" w:eastAsia="Times New Roman" w:hAnsi="Times New Roman" w:cs="Times New Roman"/>
                <w:lang w:eastAsia="lv-LV"/>
              </w:rPr>
            </w:pPr>
          </w:p>
        </w:tc>
      </w:tr>
      <w:tr w:rsidR="00DC5248" w:rsidRPr="00DC5248" w14:paraId="075A78DE" w14:textId="77777777" w:rsidTr="00882B5D">
        <w:trPr>
          <w:trHeight w:val="70"/>
        </w:trPr>
        <w:tc>
          <w:tcPr>
            <w:tcW w:w="2150" w:type="dxa"/>
            <w:vMerge/>
            <w:tcBorders>
              <w:top w:val="nil"/>
              <w:left w:val="single" w:sz="8" w:space="0" w:color="auto"/>
              <w:bottom w:val="single" w:sz="8" w:space="0" w:color="auto"/>
              <w:right w:val="single" w:sz="8" w:space="0" w:color="auto"/>
            </w:tcBorders>
            <w:shd w:val="clear" w:color="auto" w:fill="FFFFFF"/>
            <w:vAlign w:val="center"/>
            <w:hideMark/>
          </w:tcPr>
          <w:p w14:paraId="73DF995E"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2070" w:type="dxa"/>
            <w:vMerge/>
            <w:tcBorders>
              <w:top w:val="nil"/>
              <w:left w:val="nil"/>
              <w:bottom w:val="single" w:sz="8" w:space="0" w:color="auto"/>
              <w:right w:val="single" w:sz="8" w:space="0" w:color="auto"/>
            </w:tcBorders>
            <w:shd w:val="clear" w:color="auto" w:fill="FFFFFF"/>
            <w:vAlign w:val="center"/>
            <w:hideMark/>
          </w:tcPr>
          <w:p w14:paraId="640B99E4"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2430" w:type="dxa"/>
            <w:vMerge/>
            <w:tcBorders>
              <w:top w:val="nil"/>
              <w:left w:val="nil"/>
              <w:bottom w:val="single" w:sz="8" w:space="0" w:color="auto"/>
              <w:right w:val="single" w:sz="8" w:space="0" w:color="auto"/>
            </w:tcBorders>
            <w:shd w:val="clear" w:color="auto" w:fill="FFFFFF"/>
            <w:vAlign w:val="center"/>
            <w:hideMark/>
          </w:tcPr>
          <w:p w14:paraId="2C1BABA7"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2340" w:type="dxa"/>
            <w:vMerge/>
            <w:tcBorders>
              <w:top w:val="nil"/>
              <w:left w:val="nil"/>
              <w:bottom w:val="single" w:sz="8" w:space="0" w:color="auto"/>
              <w:right w:val="single" w:sz="8" w:space="0" w:color="auto"/>
            </w:tcBorders>
            <w:shd w:val="clear" w:color="auto" w:fill="FFFFFF"/>
            <w:vAlign w:val="center"/>
            <w:hideMark/>
          </w:tcPr>
          <w:p w14:paraId="3C94E7C1" w14:textId="77777777" w:rsidR="00DC5248" w:rsidRPr="00DC5248" w:rsidRDefault="00DC5248" w:rsidP="00DC5248">
            <w:pPr>
              <w:spacing w:after="0" w:line="240" w:lineRule="auto"/>
              <w:rPr>
                <w:rFonts w:ascii="Times New Roman" w:eastAsia="Times New Roman" w:hAnsi="Times New Roman" w:cs="Times New Roman"/>
                <w:lang w:eastAsia="lv-LV"/>
              </w:rPr>
            </w:pPr>
          </w:p>
        </w:tc>
        <w:tc>
          <w:tcPr>
            <w:tcW w:w="4740" w:type="dxa"/>
            <w:shd w:val="clear" w:color="auto" w:fill="FFFFFF"/>
            <w:noWrap/>
            <w:tcMar>
              <w:top w:w="0" w:type="dxa"/>
              <w:left w:w="108" w:type="dxa"/>
              <w:bottom w:w="0" w:type="dxa"/>
              <w:right w:w="108" w:type="dxa"/>
            </w:tcMar>
            <w:vAlign w:val="bottom"/>
            <w:hideMark/>
          </w:tcPr>
          <w:p w14:paraId="378BB8E5" w14:textId="77777777" w:rsidR="00DC5248" w:rsidRPr="00DC5248" w:rsidRDefault="00DC5248" w:rsidP="00DC5248">
            <w:pPr>
              <w:spacing w:after="0" w:line="240" w:lineRule="auto"/>
              <w:rPr>
                <w:rFonts w:ascii="Times New Roman" w:eastAsia="Times New Roman" w:hAnsi="Times New Roman" w:cs="Times New Roman"/>
                <w:lang w:eastAsia="lv-LV"/>
              </w:rPr>
            </w:pPr>
          </w:p>
        </w:tc>
        <w:tc>
          <w:tcPr>
            <w:tcW w:w="6" w:type="dxa"/>
            <w:shd w:val="clear" w:color="auto" w:fill="FFFFFF"/>
            <w:vAlign w:val="center"/>
            <w:hideMark/>
          </w:tcPr>
          <w:p w14:paraId="0641049C" w14:textId="77777777" w:rsidR="00DC5248" w:rsidRPr="00DC5248" w:rsidRDefault="00DC5248" w:rsidP="00DC5248">
            <w:pPr>
              <w:spacing w:after="0" w:line="240" w:lineRule="auto"/>
              <w:rPr>
                <w:rFonts w:ascii="Times New Roman" w:eastAsia="Times New Roman" w:hAnsi="Times New Roman" w:cs="Times New Roman"/>
                <w:lang w:eastAsia="lv-LV"/>
              </w:rPr>
            </w:pPr>
          </w:p>
        </w:tc>
      </w:tr>
      <w:tr w:rsidR="00DC5248" w:rsidRPr="00DC5248" w14:paraId="3CE905F4" w14:textId="77777777" w:rsidTr="00882B5D">
        <w:trPr>
          <w:trHeight w:val="600"/>
        </w:trPr>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DB85DC"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222222"/>
                <w:bdr w:val="none" w:sz="0" w:space="0" w:color="auto" w:frame="1"/>
                <w:lang w:eastAsia="lv-LV"/>
              </w:rPr>
              <w:t>Centrālā laboratorija, SIA</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AB1F03" w14:textId="39DCB638"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222222"/>
                <w:bdr w:val="none" w:sz="0" w:space="0" w:color="auto" w:frame="1"/>
                <w:lang w:eastAsia="lv-LV"/>
              </w:rPr>
              <w:t>1</w:t>
            </w:r>
            <w:r w:rsidR="00AB6FEB">
              <w:rPr>
                <w:rFonts w:ascii="Times New Roman" w:eastAsia="Times New Roman" w:hAnsi="Times New Roman" w:cs="Times New Roman"/>
                <w:color w:val="222222"/>
                <w:bdr w:val="none" w:sz="0" w:space="0" w:color="auto" w:frame="1"/>
                <w:lang w:eastAsia="lv-LV"/>
              </w:rPr>
              <w:t>1</w:t>
            </w:r>
            <w:r w:rsidRPr="00DC5248">
              <w:rPr>
                <w:rFonts w:ascii="Times New Roman" w:eastAsia="Times New Roman" w:hAnsi="Times New Roman" w:cs="Times New Roman"/>
                <w:color w:val="222222"/>
                <w:bdr w:val="none" w:sz="0" w:space="0" w:color="auto" w:frame="1"/>
                <w:lang w:eastAsia="lv-LV"/>
              </w:rPr>
              <w:t xml:space="preserve"> 000</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D1AAFB" w14:textId="77777777"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222222"/>
                <w:bdr w:val="none" w:sz="0" w:space="0" w:color="auto" w:frame="1"/>
                <w:lang w:eastAsia="lv-LV"/>
              </w:rPr>
              <w:t>10 000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992072" w14:textId="0D70202B" w:rsidR="00DC5248" w:rsidRPr="00DC5248" w:rsidRDefault="00AB6FEB" w:rsidP="00DC5248">
            <w:pPr>
              <w:spacing w:after="0" w:line="240" w:lineRule="auto"/>
              <w:jc w:val="center"/>
              <w:rPr>
                <w:rFonts w:ascii="Times New Roman" w:eastAsia="Times New Roman" w:hAnsi="Times New Roman" w:cs="Times New Roman"/>
                <w:color w:val="323130"/>
                <w:lang w:eastAsia="lv-LV"/>
              </w:rPr>
            </w:pPr>
            <w:r>
              <w:rPr>
                <w:rFonts w:ascii="Times New Roman" w:eastAsia="Times New Roman" w:hAnsi="Times New Roman" w:cs="Times New Roman"/>
                <w:color w:val="222222"/>
                <w:bdr w:val="none" w:sz="0" w:space="0" w:color="auto" w:frame="1"/>
                <w:lang w:eastAsia="lv-LV"/>
              </w:rPr>
              <w:t>10</w:t>
            </w:r>
            <w:r w:rsidR="00DC5248" w:rsidRPr="00DC5248">
              <w:rPr>
                <w:rFonts w:ascii="Times New Roman" w:eastAsia="Times New Roman" w:hAnsi="Times New Roman" w:cs="Times New Roman"/>
                <w:color w:val="222222"/>
                <w:bdr w:val="none" w:sz="0" w:space="0" w:color="auto" w:frame="1"/>
                <w:lang w:eastAsia="lv-LV"/>
              </w:rPr>
              <w:t xml:space="preserve"> </w:t>
            </w:r>
            <w:r>
              <w:rPr>
                <w:rFonts w:ascii="Times New Roman" w:eastAsia="Times New Roman" w:hAnsi="Times New Roman" w:cs="Times New Roman"/>
                <w:color w:val="222222"/>
                <w:bdr w:val="none" w:sz="0" w:space="0" w:color="auto" w:frame="1"/>
                <w:lang w:eastAsia="lv-LV"/>
              </w:rPr>
              <w:t>0</w:t>
            </w:r>
            <w:r w:rsidR="00DC5248" w:rsidRPr="00DC5248">
              <w:rPr>
                <w:rFonts w:ascii="Times New Roman" w:eastAsia="Times New Roman" w:hAnsi="Times New Roman" w:cs="Times New Roman"/>
                <w:color w:val="222222"/>
                <w:bdr w:val="none" w:sz="0" w:space="0" w:color="auto" w:frame="1"/>
                <w:lang w:eastAsia="lv-LV"/>
              </w:rPr>
              <w:t>00</w:t>
            </w:r>
          </w:p>
        </w:tc>
        <w:tc>
          <w:tcPr>
            <w:tcW w:w="4740" w:type="dxa"/>
            <w:shd w:val="clear" w:color="auto" w:fill="FFFFFF"/>
            <w:tcMar>
              <w:top w:w="0" w:type="dxa"/>
              <w:left w:w="108" w:type="dxa"/>
              <w:bottom w:w="0" w:type="dxa"/>
              <w:right w:w="108" w:type="dxa"/>
            </w:tcMar>
            <w:vAlign w:val="center"/>
            <w:hideMark/>
          </w:tcPr>
          <w:p w14:paraId="267E9746"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6" w:type="dxa"/>
            <w:shd w:val="clear" w:color="auto" w:fill="FFFFFF"/>
            <w:vAlign w:val="center"/>
            <w:hideMark/>
          </w:tcPr>
          <w:p w14:paraId="617E1498" w14:textId="77777777" w:rsidR="00DC5248" w:rsidRPr="00DC5248" w:rsidRDefault="00DC5248" w:rsidP="00DC5248">
            <w:pPr>
              <w:spacing w:after="0" w:line="240" w:lineRule="auto"/>
              <w:rPr>
                <w:rFonts w:ascii="Times New Roman" w:eastAsia="Times New Roman" w:hAnsi="Times New Roman" w:cs="Times New Roman"/>
                <w:lang w:eastAsia="lv-LV"/>
              </w:rPr>
            </w:pPr>
          </w:p>
        </w:tc>
      </w:tr>
      <w:tr w:rsidR="00DC5248" w:rsidRPr="00DC5248" w14:paraId="5E1F01D3" w14:textId="77777777" w:rsidTr="00882B5D">
        <w:trPr>
          <w:trHeight w:val="208"/>
        </w:trPr>
        <w:tc>
          <w:tcPr>
            <w:tcW w:w="21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962959"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roofErr w:type="spellStart"/>
            <w:r w:rsidRPr="00DC5248">
              <w:rPr>
                <w:rFonts w:ascii="Times New Roman" w:eastAsia="Times New Roman" w:hAnsi="Times New Roman" w:cs="Times New Roman"/>
                <w:color w:val="000000"/>
                <w:bdr w:val="none" w:sz="0" w:space="0" w:color="auto" w:frame="1"/>
                <w:lang w:eastAsia="lv-LV"/>
              </w:rPr>
              <w:t>iVF</w:t>
            </w:r>
            <w:proofErr w:type="spellEnd"/>
          </w:p>
        </w:tc>
        <w:tc>
          <w:tcPr>
            <w:tcW w:w="20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5BD0EA6" w14:textId="77777777"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000000"/>
                <w:bdr w:val="none" w:sz="0" w:space="0" w:color="auto" w:frame="1"/>
                <w:lang w:eastAsia="lv-LV"/>
              </w:rPr>
              <w:t>120 RNS</w:t>
            </w:r>
          </w:p>
        </w:tc>
        <w:tc>
          <w:tcPr>
            <w:tcW w:w="24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0E7F5E9" w14:textId="77777777"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000000"/>
                <w:bdr w:val="none" w:sz="0" w:space="0" w:color="auto" w:frame="1"/>
                <w:lang w:eastAsia="lv-LV"/>
              </w:rPr>
              <w:t>72 RNS</w:t>
            </w: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DD1ABEE" w14:textId="77777777"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000000"/>
                <w:bdr w:val="none" w:sz="0" w:space="0" w:color="auto" w:frame="1"/>
                <w:lang w:eastAsia="lv-LV"/>
              </w:rPr>
              <w:t>72 RNS</w:t>
            </w:r>
          </w:p>
        </w:tc>
        <w:tc>
          <w:tcPr>
            <w:tcW w:w="4740" w:type="dxa"/>
            <w:shd w:val="clear" w:color="auto" w:fill="FFFFFF"/>
            <w:tcMar>
              <w:top w:w="0" w:type="dxa"/>
              <w:left w:w="108" w:type="dxa"/>
              <w:bottom w:w="0" w:type="dxa"/>
              <w:right w:w="108" w:type="dxa"/>
            </w:tcMar>
            <w:vAlign w:val="center"/>
            <w:hideMark/>
          </w:tcPr>
          <w:p w14:paraId="6FBDC3D1"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6" w:type="dxa"/>
            <w:shd w:val="clear" w:color="auto" w:fill="FFFFFF"/>
            <w:vAlign w:val="center"/>
            <w:hideMark/>
          </w:tcPr>
          <w:p w14:paraId="5E0E1A97" w14:textId="77777777" w:rsidR="00DC5248" w:rsidRPr="00DC5248" w:rsidRDefault="00DC5248" w:rsidP="00DC5248">
            <w:pPr>
              <w:spacing w:after="0" w:line="240" w:lineRule="auto"/>
              <w:rPr>
                <w:rFonts w:ascii="Times New Roman" w:eastAsia="Times New Roman" w:hAnsi="Times New Roman" w:cs="Times New Roman"/>
                <w:lang w:eastAsia="lv-LV"/>
              </w:rPr>
            </w:pPr>
          </w:p>
        </w:tc>
      </w:tr>
      <w:tr w:rsidR="00DC5248" w:rsidRPr="00DC5248" w14:paraId="27C90253" w14:textId="77777777" w:rsidTr="00BE1D6D">
        <w:trPr>
          <w:trHeight w:val="70"/>
        </w:trPr>
        <w:tc>
          <w:tcPr>
            <w:tcW w:w="215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14:paraId="6695D5DD"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000000"/>
                <w:bdr w:val="none" w:sz="0" w:space="0" w:color="auto" w:frame="1"/>
                <w:lang w:eastAsia="lv-LV"/>
              </w:rPr>
              <w:t>BIOCON</w:t>
            </w:r>
          </w:p>
        </w:tc>
        <w:tc>
          <w:tcPr>
            <w:tcW w:w="2070"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1D3A73CD" w14:textId="77777777"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000000"/>
                <w:bdr w:val="none" w:sz="0" w:space="0" w:color="auto" w:frame="1"/>
                <w:lang w:eastAsia="lv-LV"/>
              </w:rPr>
              <w:t>200-300</w:t>
            </w:r>
          </w:p>
        </w:tc>
        <w:tc>
          <w:tcPr>
            <w:tcW w:w="2430"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66794441" w14:textId="77777777"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000000"/>
                <w:bdr w:val="none" w:sz="0" w:space="0" w:color="auto" w:frame="1"/>
                <w:lang w:eastAsia="lv-LV"/>
              </w:rPr>
              <w:t>200-300</w:t>
            </w:r>
          </w:p>
        </w:tc>
        <w:tc>
          <w:tcPr>
            <w:tcW w:w="2340"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553C6813" w14:textId="77777777" w:rsidR="00DC5248" w:rsidRPr="00DC5248" w:rsidRDefault="00DC5248" w:rsidP="00DC5248">
            <w:pPr>
              <w:spacing w:after="0" w:line="240" w:lineRule="auto"/>
              <w:jc w:val="center"/>
              <w:rPr>
                <w:rFonts w:ascii="Times New Roman" w:eastAsia="Times New Roman" w:hAnsi="Times New Roman" w:cs="Times New Roman"/>
                <w:color w:val="323130"/>
                <w:lang w:eastAsia="lv-LV"/>
              </w:rPr>
            </w:pPr>
            <w:r w:rsidRPr="00DC5248">
              <w:rPr>
                <w:rFonts w:ascii="Times New Roman" w:eastAsia="Times New Roman" w:hAnsi="Times New Roman" w:cs="Times New Roman"/>
                <w:color w:val="000000"/>
                <w:bdr w:val="none" w:sz="0" w:space="0" w:color="auto" w:frame="1"/>
                <w:lang w:eastAsia="lv-LV"/>
              </w:rPr>
              <w:t>200-300</w:t>
            </w:r>
          </w:p>
        </w:tc>
        <w:tc>
          <w:tcPr>
            <w:tcW w:w="4740" w:type="dxa"/>
            <w:shd w:val="clear" w:color="auto" w:fill="FFFFFF"/>
            <w:tcMar>
              <w:top w:w="0" w:type="dxa"/>
              <w:left w:w="108" w:type="dxa"/>
              <w:bottom w:w="0" w:type="dxa"/>
              <w:right w:w="108" w:type="dxa"/>
            </w:tcMar>
            <w:vAlign w:val="center"/>
            <w:hideMark/>
          </w:tcPr>
          <w:p w14:paraId="0971816A" w14:textId="77777777" w:rsidR="00DC5248" w:rsidRPr="00DC5248" w:rsidRDefault="00DC5248" w:rsidP="00DC5248">
            <w:pPr>
              <w:spacing w:after="0" w:line="240" w:lineRule="auto"/>
              <w:rPr>
                <w:rFonts w:ascii="Times New Roman" w:eastAsia="Times New Roman" w:hAnsi="Times New Roman" w:cs="Times New Roman"/>
                <w:color w:val="323130"/>
                <w:lang w:eastAsia="lv-LV"/>
              </w:rPr>
            </w:pPr>
          </w:p>
        </w:tc>
        <w:tc>
          <w:tcPr>
            <w:tcW w:w="6" w:type="dxa"/>
            <w:shd w:val="clear" w:color="auto" w:fill="FFFFFF"/>
            <w:vAlign w:val="center"/>
            <w:hideMark/>
          </w:tcPr>
          <w:p w14:paraId="627E712F" w14:textId="77777777" w:rsidR="00DC5248" w:rsidRPr="00DC5248" w:rsidRDefault="00DC5248" w:rsidP="00DC5248">
            <w:pPr>
              <w:spacing w:after="0" w:line="240" w:lineRule="auto"/>
              <w:rPr>
                <w:rFonts w:ascii="Times New Roman" w:eastAsia="Times New Roman" w:hAnsi="Times New Roman" w:cs="Times New Roman"/>
                <w:lang w:eastAsia="lv-LV"/>
              </w:rPr>
            </w:pPr>
          </w:p>
        </w:tc>
      </w:tr>
      <w:tr w:rsidR="00BE1D6D" w:rsidRPr="00DC5248" w14:paraId="730F73A1" w14:textId="77777777" w:rsidTr="00D80F79">
        <w:trPr>
          <w:trHeight w:val="70"/>
        </w:trPr>
        <w:tc>
          <w:tcPr>
            <w:tcW w:w="215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tcPr>
          <w:p w14:paraId="584919BB" w14:textId="3EAA1931" w:rsidR="00BE1D6D" w:rsidRPr="00DC5248" w:rsidRDefault="00BE1D6D" w:rsidP="00BE1D6D">
            <w:pPr>
              <w:spacing w:after="0" w:line="240" w:lineRule="auto"/>
              <w:rPr>
                <w:rFonts w:ascii="Times New Roman" w:eastAsia="Times New Roman" w:hAnsi="Times New Roman" w:cs="Times New Roman"/>
                <w:color w:val="000000"/>
                <w:bdr w:val="none" w:sz="0" w:space="0" w:color="auto" w:frame="1"/>
                <w:lang w:eastAsia="lv-LV"/>
              </w:rPr>
            </w:pPr>
            <w:r w:rsidRPr="0033216D">
              <w:rPr>
                <w:rFonts w:ascii="Times New Roman" w:eastAsia="Times New Roman" w:hAnsi="Times New Roman" w:cs="Times New Roman"/>
                <w:b/>
                <w:bCs/>
                <w:color w:val="000000"/>
                <w:bdr w:val="none" w:sz="0" w:space="0" w:color="auto" w:frame="1"/>
                <w:lang w:eastAsia="lv-LV"/>
              </w:rPr>
              <w:t>Kopā vidēji dienā</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76CF1A1" w14:textId="1E954239" w:rsidR="00BE1D6D" w:rsidRPr="00DC5248" w:rsidRDefault="00BE1D6D" w:rsidP="00BE1D6D">
            <w:pPr>
              <w:spacing w:after="0" w:line="240" w:lineRule="auto"/>
              <w:jc w:val="center"/>
              <w:rPr>
                <w:rFonts w:ascii="Times New Roman" w:eastAsia="Times New Roman" w:hAnsi="Times New Roman" w:cs="Times New Roman"/>
                <w:color w:val="000000"/>
                <w:bdr w:val="none" w:sz="0" w:space="0" w:color="auto" w:frame="1"/>
                <w:lang w:eastAsia="lv-LV"/>
              </w:rPr>
            </w:pPr>
            <w:r w:rsidRPr="0033216D">
              <w:rPr>
                <w:rFonts w:ascii="Times New Roman" w:eastAsia="Times New Roman" w:hAnsi="Times New Roman" w:cs="Times New Roman"/>
                <w:b/>
                <w:bCs/>
                <w:color w:val="000000"/>
                <w:bdr w:val="none" w:sz="0" w:space="0" w:color="auto" w:frame="1"/>
                <w:lang w:eastAsia="lv-LV"/>
              </w:rPr>
              <w:t>71 120</w:t>
            </w:r>
          </w:p>
        </w:tc>
        <w:tc>
          <w:tcPr>
            <w:tcW w:w="243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97E6708" w14:textId="5F1A3AE1" w:rsidR="00BE1D6D" w:rsidRPr="00DC5248" w:rsidRDefault="00BE1D6D" w:rsidP="00BE1D6D">
            <w:pPr>
              <w:spacing w:after="0" w:line="240" w:lineRule="auto"/>
              <w:jc w:val="center"/>
              <w:rPr>
                <w:rFonts w:ascii="Times New Roman" w:eastAsia="Times New Roman" w:hAnsi="Times New Roman" w:cs="Times New Roman"/>
                <w:color w:val="000000"/>
                <w:bdr w:val="none" w:sz="0" w:space="0" w:color="auto" w:frame="1"/>
                <w:lang w:eastAsia="lv-LV"/>
              </w:rPr>
            </w:pPr>
            <w:r w:rsidRPr="0033216D">
              <w:rPr>
                <w:rFonts w:ascii="Times New Roman" w:eastAsia="Times New Roman" w:hAnsi="Times New Roman" w:cs="Times New Roman"/>
                <w:b/>
                <w:bCs/>
                <w:color w:val="000000"/>
                <w:bdr w:val="none" w:sz="0" w:space="0" w:color="auto" w:frame="1"/>
                <w:lang w:eastAsia="lv-LV"/>
              </w:rPr>
              <w:t>43 472</w:t>
            </w:r>
          </w:p>
        </w:tc>
        <w:tc>
          <w:tcPr>
            <w:tcW w:w="234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1438AEE" w14:textId="0C51B018" w:rsidR="00BE1D6D" w:rsidRPr="00DC5248" w:rsidRDefault="00BE1D6D" w:rsidP="00BE1D6D">
            <w:pPr>
              <w:spacing w:after="0" w:line="240" w:lineRule="auto"/>
              <w:jc w:val="center"/>
              <w:rPr>
                <w:rFonts w:ascii="Times New Roman" w:eastAsia="Times New Roman" w:hAnsi="Times New Roman" w:cs="Times New Roman"/>
                <w:color w:val="000000"/>
                <w:bdr w:val="none" w:sz="0" w:space="0" w:color="auto" w:frame="1"/>
                <w:lang w:eastAsia="lv-LV"/>
              </w:rPr>
            </w:pPr>
            <w:r w:rsidRPr="0033216D">
              <w:rPr>
                <w:rFonts w:ascii="Times New Roman" w:eastAsia="Times New Roman" w:hAnsi="Times New Roman" w:cs="Times New Roman"/>
                <w:b/>
                <w:bCs/>
                <w:color w:val="000000"/>
                <w:bdr w:val="none" w:sz="0" w:space="0" w:color="auto" w:frame="1"/>
                <w:lang w:eastAsia="lv-LV"/>
              </w:rPr>
              <w:t>43 472</w:t>
            </w:r>
          </w:p>
        </w:tc>
        <w:tc>
          <w:tcPr>
            <w:tcW w:w="4740" w:type="dxa"/>
            <w:shd w:val="clear" w:color="auto" w:fill="FFFFFF"/>
            <w:tcMar>
              <w:top w:w="0" w:type="dxa"/>
              <w:left w:w="108" w:type="dxa"/>
              <w:bottom w:w="0" w:type="dxa"/>
              <w:right w:w="108" w:type="dxa"/>
            </w:tcMar>
            <w:vAlign w:val="center"/>
          </w:tcPr>
          <w:p w14:paraId="17358B07" w14:textId="77777777" w:rsidR="00BE1D6D" w:rsidRPr="00DC5248" w:rsidRDefault="00BE1D6D" w:rsidP="00BE1D6D">
            <w:pPr>
              <w:spacing w:after="0" w:line="240" w:lineRule="auto"/>
              <w:rPr>
                <w:rFonts w:ascii="Times New Roman" w:eastAsia="Times New Roman" w:hAnsi="Times New Roman" w:cs="Times New Roman"/>
                <w:color w:val="323130"/>
                <w:lang w:eastAsia="lv-LV"/>
              </w:rPr>
            </w:pPr>
          </w:p>
        </w:tc>
        <w:tc>
          <w:tcPr>
            <w:tcW w:w="6" w:type="dxa"/>
            <w:shd w:val="clear" w:color="auto" w:fill="FFFFFF"/>
            <w:vAlign w:val="center"/>
          </w:tcPr>
          <w:p w14:paraId="7C2358B8" w14:textId="77777777" w:rsidR="00BE1D6D" w:rsidRPr="00DC5248" w:rsidRDefault="00BE1D6D" w:rsidP="00BE1D6D">
            <w:pPr>
              <w:spacing w:after="0" w:line="240" w:lineRule="auto"/>
              <w:rPr>
                <w:rFonts w:ascii="Times New Roman" w:eastAsia="Times New Roman" w:hAnsi="Times New Roman" w:cs="Times New Roman"/>
                <w:lang w:eastAsia="lv-LV"/>
              </w:rPr>
            </w:pPr>
          </w:p>
        </w:tc>
      </w:tr>
    </w:tbl>
    <w:p w14:paraId="3EC2DBA7" w14:textId="77777777" w:rsidR="00557224" w:rsidRPr="00864803" w:rsidRDefault="00557224" w:rsidP="00057B37">
      <w:pPr>
        <w:spacing w:after="0" w:line="240" w:lineRule="auto"/>
        <w:jc w:val="both"/>
        <w:rPr>
          <w:rFonts w:ascii="Times New Roman" w:hAnsi="Times New Roman" w:cs="Times New Roman"/>
          <w:sz w:val="24"/>
          <w:szCs w:val="24"/>
        </w:rPr>
      </w:pPr>
    </w:p>
    <w:p w14:paraId="76023CC6" w14:textId="5ADBDE53" w:rsidR="003526EA" w:rsidRPr="00057B37" w:rsidRDefault="00AB6FEB" w:rsidP="00057B37">
      <w:pPr>
        <w:pStyle w:val="Heading2"/>
        <w:numPr>
          <w:ilvl w:val="0"/>
          <w:numId w:val="2"/>
        </w:numPr>
        <w:spacing w:before="0" w:line="240" w:lineRule="auto"/>
        <w:ind w:left="0" w:firstLine="720"/>
        <w:rPr>
          <w:rFonts w:cs="Times New Roman"/>
          <w:sz w:val="24"/>
          <w:szCs w:val="24"/>
          <w:shd w:val="clear" w:color="auto" w:fill="FFFFFF"/>
        </w:rPr>
      </w:pPr>
      <w:bookmarkStart w:id="0" w:name="_Hlk77845204"/>
      <w:r>
        <w:rPr>
          <w:rFonts w:cs="Times New Roman"/>
          <w:sz w:val="24"/>
          <w:szCs w:val="24"/>
          <w:shd w:val="clear" w:color="auto" w:fill="FFFFFF"/>
        </w:rPr>
        <w:t>Secinājumi, n</w:t>
      </w:r>
      <w:r w:rsidR="00057B37" w:rsidRPr="00057B37">
        <w:rPr>
          <w:rFonts w:cs="Times New Roman"/>
          <w:sz w:val="24"/>
          <w:szCs w:val="24"/>
          <w:shd w:val="clear" w:color="auto" w:fill="FFFFFF"/>
        </w:rPr>
        <w:t>epieciešamais finansējums</w:t>
      </w:r>
    </w:p>
    <w:p w14:paraId="3812C805" w14:textId="77777777" w:rsidR="00C33C53" w:rsidRPr="00864803" w:rsidRDefault="00C33C53" w:rsidP="00864803">
      <w:pPr>
        <w:spacing w:after="0" w:line="240" w:lineRule="auto"/>
        <w:ind w:firstLine="720"/>
        <w:jc w:val="both"/>
        <w:rPr>
          <w:rFonts w:ascii="Times New Roman" w:hAnsi="Times New Roman" w:cs="Times New Roman"/>
          <w:sz w:val="24"/>
          <w:szCs w:val="24"/>
        </w:rPr>
      </w:pPr>
    </w:p>
    <w:p w14:paraId="5D6E2102" w14:textId="2120E7D4" w:rsidR="00AB6FEB" w:rsidRDefault="00AB6FEB" w:rsidP="00AB6FEB">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I</w:t>
      </w:r>
      <w:r w:rsidRPr="009903BA">
        <w:rPr>
          <w:rFonts w:ascii="Times New Roman" w:hAnsi="Times New Roman" w:cs="Times New Roman"/>
          <w:sz w:val="24"/>
          <w:szCs w:val="24"/>
        </w:rPr>
        <w:t>evērojot to, ka t</w:t>
      </w:r>
      <w:r w:rsidRPr="00864803">
        <w:rPr>
          <w:rFonts w:ascii="Times New Roman" w:hAnsi="Times New Roman" w:cs="Times New Roman"/>
          <w:sz w:val="24"/>
          <w:szCs w:val="24"/>
        </w:rPr>
        <w:t xml:space="preserve">estēšana nepasargā no </w:t>
      </w:r>
      <w:r>
        <w:rPr>
          <w:rFonts w:ascii="Times New Roman" w:hAnsi="Times New Roman" w:cs="Times New Roman"/>
          <w:sz w:val="24"/>
          <w:szCs w:val="24"/>
        </w:rPr>
        <w:t>inficēšanās ar Covid-19 un</w:t>
      </w:r>
      <w:r w:rsidRPr="00864803">
        <w:rPr>
          <w:rFonts w:ascii="Times New Roman" w:hAnsi="Times New Roman" w:cs="Times New Roman"/>
          <w:sz w:val="24"/>
          <w:szCs w:val="24"/>
        </w:rPr>
        <w:t xml:space="preserve"> šobrīd iedzīvotājiem ir pieejams cits, efektīv</w:t>
      </w:r>
      <w:r>
        <w:rPr>
          <w:rFonts w:ascii="Times New Roman" w:hAnsi="Times New Roman" w:cs="Times New Roman"/>
          <w:sz w:val="24"/>
          <w:szCs w:val="24"/>
        </w:rPr>
        <w:t>āks</w:t>
      </w:r>
      <w:r w:rsidRPr="00864803">
        <w:rPr>
          <w:rFonts w:ascii="Times New Roman" w:hAnsi="Times New Roman" w:cs="Times New Roman"/>
          <w:sz w:val="24"/>
          <w:szCs w:val="24"/>
        </w:rPr>
        <w:t xml:space="preserve"> infekcijas ierobežošanas veids – vakcinācija</w:t>
      </w:r>
      <w:r>
        <w:rPr>
          <w:rFonts w:ascii="Times New Roman" w:hAnsi="Times New Roman" w:cs="Times New Roman"/>
          <w:sz w:val="24"/>
          <w:szCs w:val="24"/>
        </w:rPr>
        <w:t xml:space="preserve">, </w:t>
      </w:r>
      <w:r w:rsidRPr="009903BA">
        <w:rPr>
          <w:rFonts w:ascii="Times New Roman" w:hAnsi="Times New Roman" w:cs="Times New Roman"/>
          <w:sz w:val="24"/>
          <w:szCs w:val="24"/>
        </w:rPr>
        <w:t xml:space="preserve">Veselības ministrijas ieskatā nepieciešams mainīt līdzšinējo </w:t>
      </w:r>
      <w:r>
        <w:rPr>
          <w:rFonts w:ascii="Times New Roman" w:hAnsi="Times New Roman" w:cs="Times New Roman"/>
          <w:sz w:val="24"/>
          <w:szCs w:val="24"/>
        </w:rPr>
        <w:t xml:space="preserve">valsts apmaksātās </w:t>
      </w:r>
      <w:r w:rsidRPr="009903BA">
        <w:rPr>
          <w:rFonts w:ascii="Times New Roman" w:hAnsi="Times New Roman" w:cs="Times New Roman"/>
          <w:sz w:val="24"/>
          <w:szCs w:val="24"/>
        </w:rPr>
        <w:t>testēšanas</w:t>
      </w:r>
      <w:r>
        <w:rPr>
          <w:rFonts w:ascii="Times New Roman" w:hAnsi="Times New Roman" w:cs="Times New Roman"/>
          <w:sz w:val="24"/>
          <w:szCs w:val="24"/>
        </w:rPr>
        <w:t xml:space="preserve"> uz Covid-19</w:t>
      </w:r>
      <w:r w:rsidRPr="009903BA">
        <w:rPr>
          <w:rFonts w:ascii="Times New Roman" w:hAnsi="Times New Roman" w:cs="Times New Roman"/>
          <w:sz w:val="24"/>
          <w:szCs w:val="24"/>
        </w:rPr>
        <w:t xml:space="preserve"> stratēģiju.</w:t>
      </w:r>
      <w:r>
        <w:rPr>
          <w:rFonts w:ascii="Times New Roman" w:hAnsi="Times New Roman" w:cs="Times New Roman"/>
          <w:sz w:val="24"/>
          <w:szCs w:val="24"/>
        </w:rPr>
        <w:t xml:space="preserve"> Testēšanu uz Covid-19 no valsts budžeta līdzekļiem arī turpmāk </w:t>
      </w:r>
      <w:r>
        <w:rPr>
          <w:rFonts w:ascii="Times New Roman" w:eastAsia="Calibri" w:hAnsi="Times New Roman" w:cs="Times New Roman"/>
          <w:sz w:val="24"/>
          <w:szCs w:val="24"/>
        </w:rPr>
        <w:t>nodrošinot</w:t>
      </w:r>
      <w:r w:rsidRPr="005B677A">
        <w:rPr>
          <w:rFonts w:ascii="Times New Roman" w:eastAsia="Calibri" w:hAnsi="Times New Roman" w:cs="Times New Roman"/>
          <w:sz w:val="24"/>
          <w:szCs w:val="24"/>
        </w:rPr>
        <w:t xml:space="preserve"> gan pēc klīniskajām, gan pēc epidemioloģiskajām indikācijām</w:t>
      </w:r>
      <w:r>
        <w:rPr>
          <w:rFonts w:ascii="Times New Roman" w:eastAsia="Calibri" w:hAnsi="Times New Roman" w:cs="Times New Roman"/>
          <w:sz w:val="24"/>
          <w:szCs w:val="24"/>
        </w:rPr>
        <w:t xml:space="preserve">, arī </w:t>
      </w:r>
      <w:r w:rsidRPr="005B677A">
        <w:rPr>
          <w:rFonts w:ascii="Times New Roman" w:eastAsia="Calibri" w:hAnsi="Times New Roman" w:cs="Times New Roman"/>
          <w:sz w:val="24"/>
          <w:szCs w:val="24"/>
        </w:rPr>
        <w:t>Anti-SARS-CoV-2 antivielu noteikšan</w:t>
      </w:r>
      <w:r>
        <w:rPr>
          <w:rFonts w:ascii="Times New Roman" w:eastAsia="Calibri" w:hAnsi="Times New Roman" w:cs="Times New Roman"/>
          <w:sz w:val="24"/>
          <w:szCs w:val="24"/>
        </w:rPr>
        <w:t xml:space="preserve">u un </w:t>
      </w:r>
      <w:r w:rsidRPr="005B677A">
        <w:rPr>
          <w:rFonts w:ascii="Times New Roman" w:eastAsia="Calibri" w:hAnsi="Times New Roman" w:cs="Times New Roman"/>
          <w:sz w:val="24"/>
          <w:szCs w:val="24"/>
        </w:rPr>
        <w:t>SARS-CoV-2 vīrusa sekvencēšan</w:t>
      </w:r>
      <w:r>
        <w:rPr>
          <w:rFonts w:ascii="Times New Roman" w:eastAsia="Calibri" w:hAnsi="Times New Roman" w:cs="Times New Roman"/>
          <w:sz w:val="24"/>
          <w:szCs w:val="24"/>
        </w:rPr>
        <w:t>u. Saglabājama arī esošā kārtība, kad pozitīva testa gadījumā tiek nodrošināts valsts apmaksāts apstiprinošais tests.</w:t>
      </w:r>
    </w:p>
    <w:p w14:paraId="066A6EE2" w14:textId="001E024D" w:rsidR="00AB6FEB" w:rsidRDefault="00AB6FEB" w:rsidP="00AB6FE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Savukārt r</w:t>
      </w:r>
      <w:r w:rsidRPr="00AB6FEB">
        <w:rPr>
          <w:rFonts w:ascii="Times New Roman" w:eastAsia="Calibri" w:hAnsi="Times New Roman" w:cs="Times New Roman"/>
          <w:sz w:val="24"/>
          <w:szCs w:val="24"/>
        </w:rPr>
        <w:t xml:space="preserve">utīnas laboratoriskā </w:t>
      </w:r>
      <w:proofErr w:type="spellStart"/>
      <w:r w:rsidRPr="00AB6FEB">
        <w:rPr>
          <w:rFonts w:ascii="Times New Roman" w:eastAsia="Calibri" w:hAnsi="Times New Roman" w:cs="Times New Roman"/>
          <w:sz w:val="24"/>
          <w:szCs w:val="24"/>
        </w:rPr>
        <w:t>skrīninga</w:t>
      </w:r>
      <w:proofErr w:type="spellEnd"/>
      <w:r w:rsidRPr="00AB6FEB">
        <w:rPr>
          <w:rFonts w:ascii="Times New Roman" w:eastAsia="Calibri" w:hAnsi="Times New Roman" w:cs="Times New Roman"/>
          <w:sz w:val="24"/>
          <w:szCs w:val="24"/>
        </w:rPr>
        <w:t xml:space="preserve"> ietvaros</w:t>
      </w:r>
      <w:r>
        <w:rPr>
          <w:rFonts w:ascii="Times New Roman" w:eastAsia="Calibri" w:hAnsi="Times New Roman" w:cs="Times New Roman"/>
          <w:sz w:val="24"/>
          <w:szCs w:val="24"/>
        </w:rPr>
        <w:t xml:space="preserve"> testēšana no valsts budžeta līdzekļiem </w:t>
      </w:r>
      <w:r w:rsidR="006A387D">
        <w:rPr>
          <w:rFonts w:ascii="Times New Roman" w:eastAsia="Calibri" w:hAnsi="Times New Roman" w:cs="Times New Roman"/>
          <w:sz w:val="24"/>
          <w:szCs w:val="24"/>
        </w:rPr>
        <w:t>turpmāk plānots īstenot</w:t>
      </w:r>
      <w:r>
        <w:rPr>
          <w:rFonts w:ascii="Times New Roman" w:eastAsia="Calibri" w:hAnsi="Times New Roman" w:cs="Times New Roman"/>
          <w:sz w:val="24"/>
          <w:szCs w:val="24"/>
        </w:rPr>
        <w:t xml:space="preserve"> ierobežotam iedzīvotāju lokam, ņemot vērā personas iespējas vakcinēties pret Covid-19</w:t>
      </w:r>
      <w:r w:rsidR="0077444F">
        <w:rPr>
          <w:rFonts w:ascii="Times New Roman" w:eastAsia="Calibri" w:hAnsi="Times New Roman" w:cs="Times New Roman"/>
          <w:sz w:val="24"/>
          <w:szCs w:val="24"/>
        </w:rPr>
        <w:t xml:space="preserve">, t.s. nodrošinot ārstu konsilijus gadījumā, ja vakcinācija pret Covid-19 atliekama uz noteiktu laiku vai ir </w:t>
      </w:r>
      <w:proofErr w:type="spellStart"/>
      <w:r w:rsidR="0077444F">
        <w:rPr>
          <w:rFonts w:ascii="Times New Roman" w:eastAsia="Calibri" w:hAnsi="Times New Roman" w:cs="Times New Roman"/>
          <w:sz w:val="24"/>
          <w:szCs w:val="24"/>
        </w:rPr>
        <w:t>kontrindicēta</w:t>
      </w:r>
      <w:proofErr w:type="spellEnd"/>
      <w:r>
        <w:rPr>
          <w:rFonts w:ascii="Times New Roman" w:eastAsia="Calibri" w:hAnsi="Times New Roman" w:cs="Times New Roman"/>
          <w:sz w:val="24"/>
          <w:szCs w:val="24"/>
        </w:rPr>
        <w:t xml:space="preserve">, kā arī dodot iespēju saņemt epidemioloģiski drošus primāri nepieciešamos pakalpojumus, </w:t>
      </w:r>
      <w:r w:rsidR="0077444F">
        <w:rPr>
          <w:rFonts w:ascii="Times New Roman" w:eastAsia="Calibri" w:hAnsi="Times New Roman" w:cs="Times New Roman"/>
          <w:sz w:val="24"/>
          <w:szCs w:val="24"/>
        </w:rPr>
        <w:t>piemēram,</w:t>
      </w:r>
      <w:r>
        <w:rPr>
          <w:rFonts w:ascii="Times New Roman" w:eastAsia="Calibri" w:hAnsi="Times New Roman" w:cs="Times New Roman"/>
          <w:sz w:val="24"/>
          <w:szCs w:val="24"/>
        </w:rPr>
        <w:t xml:space="preserve"> izglītību, veselības aprūpi, utt.</w:t>
      </w:r>
    </w:p>
    <w:p w14:paraId="0B7EBBF2" w14:textId="3331C43B" w:rsidR="00AB6FEB" w:rsidRDefault="00AB6FEB" w:rsidP="00AB6FE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Vienlaikus arī turpmāk tiek aicināts vērtēt iespēju</w:t>
      </w:r>
      <w:r w:rsidRPr="00AB6FEB">
        <w:rPr>
          <w:rFonts w:asciiTheme="majorHAnsi" w:eastAsia="Calibri" w:hAnsi="Calibri"/>
          <w:color w:val="000000" w:themeColor="text1"/>
          <w:kern w:val="24"/>
          <w:sz w:val="40"/>
          <w:szCs w:val="40"/>
        </w:rPr>
        <w:t xml:space="preserve"> </w:t>
      </w:r>
      <w:r w:rsidRPr="00AB6FEB">
        <w:rPr>
          <w:rFonts w:ascii="Times New Roman" w:eastAsia="Calibri" w:hAnsi="Times New Roman" w:cs="Times New Roman"/>
          <w:sz w:val="24"/>
          <w:szCs w:val="24"/>
        </w:rPr>
        <w:t>personām, kuru darba pienākumos ir darbs situācijās ar palielinātu risku inficēt citas personas</w:t>
      </w:r>
      <w:r w:rsidR="006A387D">
        <w:rPr>
          <w:rFonts w:ascii="Times New Roman" w:eastAsia="Calibri" w:hAnsi="Times New Roman" w:cs="Times New Roman"/>
          <w:sz w:val="24"/>
          <w:szCs w:val="24"/>
        </w:rPr>
        <w:t>, kā o</w:t>
      </w:r>
      <w:r w:rsidR="006A387D" w:rsidRPr="006A387D">
        <w:rPr>
          <w:rFonts w:ascii="Times New Roman" w:eastAsia="Calibri" w:hAnsi="Times New Roman" w:cs="Times New Roman"/>
          <w:sz w:val="24"/>
          <w:szCs w:val="24"/>
        </w:rPr>
        <w:t xml:space="preserve">bligātu prasību darba pienākumu veikšanai uzrādīt negatīvu Covid-19 testa rezultātu vai </w:t>
      </w:r>
      <w:proofErr w:type="spellStart"/>
      <w:r w:rsidR="006A387D" w:rsidRPr="006A387D">
        <w:rPr>
          <w:rFonts w:ascii="Times New Roman" w:eastAsia="Calibri" w:hAnsi="Times New Roman" w:cs="Times New Roman"/>
          <w:sz w:val="24"/>
          <w:szCs w:val="24"/>
        </w:rPr>
        <w:t>sadarbspējīgu</w:t>
      </w:r>
      <w:proofErr w:type="spellEnd"/>
      <w:r w:rsidR="006A387D" w:rsidRPr="006A387D">
        <w:rPr>
          <w:rFonts w:ascii="Times New Roman" w:eastAsia="Calibri" w:hAnsi="Times New Roman" w:cs="Times New Roman"/>
          <w:sz w:val="24"/>
          <w:szCs w:val="24"/>
        </w:rPr>
        <w:t xml:space="preserve"> vakcinācijas vai pārslimošanas sertifikātu (Covid-19 sertifikāts)</w:t>
      </w:r>
      <w:r w:rsidR="006A387D">
        <w:rPr>
          <w:rFonts w:ascii="Times New Roman" w:eastAsia="Calibri" w:hAnsi="Times New Roman" w:cs="Times New Roman"/>
          <w:sz w:val="24"/>
          <w:szCs w:val="24"/>
        </w:rPr>
        <w:t>, lai pēc nodrošinātu epidemi</w:t>
      </w:r>
      <w:r w:rsidR="00FE091B">
        <w:rPr>
          <w:rFonts w:ascii="Times New Roman" w:eastAsia="Calibri" w:hAnsi="Times New Roman" w:cs="Times New Roman"/>
          <w:sz w:val="24"/>
          <w:szCs w:val="24"/>
        </w:rPr>
        <w:t>o</w:t>
      </w:r>
      <w:r w:rsidR="006A387D">
        <w:rPr>
          <w:rFonts w:ascii="Times New Roman" w:eastAsia="Calibri" w:hAnsi="Times New Roman" w:cs="Times New Roman"/>
          <w:sz w:val="24"/>
          <w:szCs w:val="24"/>
        </w:rPr>
        <w:t xml:space="preserve">loģiski drošu pakalpojumu sniegšanu, neradot liekus izdevumus valsts budžetā. </w:t>
      </w:r>
    </w:p>
    <w:p w14:paraId="1741DA90" w14:textId="0BBDB165" w:rsidR="00D43BFE" w:rsidRDefault="00D43BFE" w:rsidP="00AB6FE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Attiecīgi Veselības ministrijai tiek uzdots uzdevums piedāvāt grozījumu Ministru kabineta noteikumos nr. 360 atbilstoši šajā ziņojumā aprakstītajai testēšanas politikai, tai skaitā paredzot samērīgu pārejas posmu tām profesiju grupām, kurām testēšana tiks paredzēta kā obligāta, bet netiks apmaksāta no valsts līdzekļiem.</w:t>
      </w:r>
    </w:p>
    <w:p w14:paraId="5CF07D8B" w14:textId="1531EA12" w:rsidR="00C62ED1" w:rsidRDefault="00EC1969" w:rsidP="00AB6FEB">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Ņemot vērā </w:t>
      </w:r>
      <w:r w:rsidR="002D6A39">
        <w:rPr>
          <w:rFonts w:ascii="Times New Roman" w:eastAsia="Calibri" w:hAnsi="Times New Roman" w:cs="Times New Roman"/>
          <w:sz w:val="24"/>
          <w:szCs w:val="24"/>
        </w:rPr>
        <w:t xml:space="preserve">ziņojumā aprakstīto testēšanas </w:t>
      </w:r>
      <w:r w:rsidR="00D43BFE">
        <w:rPr>
          <w:rFonts w:ascii="Times New Roman" w:eastAsia="Calibri" w:hAnsi="Times New Roman" w:cs="Times New Roman"/>
          <w:sz w:val="24"/>
          <w:szCs w:val="24"/>
        </w:rPr>
        <w:t>politiku</w:t>
      </w:r>
      <w:r>
        <w:rPr>
          <w:rFonts w:ascii="Times New Roman" w:eastAsia="Calibri" w:hAnsi="Times New Roman" w:cs="Times New Roman"/>
          <w:sz w:val="24"/>
          <w:szCs w:val="24"/>
        </w:rPr>
        <w:t xml:space="preserve">, Veselības ministrija ir sagatavojusi </w:t>
      </w:r>
      <w:r w:rsidR="00D43BFE">
        <w:rPr>
          <w:rFonts w:ascii="Times New Roman" w:eastAsia="Calibri" w:hAnsi="Times New Roman" w:cs="Times New Roman"/>
          <w:sz w:val="24"/>
          <w:szCs w:val="24"/>
        </w:rPr>
        <w:t xml:space="preserve">arī indikatīvus </w:t>
      </w:r>
      <w:r>
        <w:rPr>
          <w:rFonts w:ascii="Times New Roman" w:eastAsia="Calibri" w:hAnsi="Times New Roman" w:cs="Times New Roman"/>
          <w:sz w:val="24"/>
          <w:szCs w:val="24"/>
        </w:rPr>
        <w:t>aprēķinus,</w:t>
      </w:r>
      <w:r w:rsidR="002D6A39">
        <w:rPr>
          <w:rFonts w:ascii="Times New Roman" w:eastAsia="Calibri" w:hAnsi="Times New Roman" w:cs="Times New Roman"/>
          <w:sz w:val="24"/>
          <w:szCs w:val="24"/>
        </w:rPr>
        <w:t xml:space="preserve"> tomēr v</w:t>
      </w:r>
      <w:r w:rsidR="00C62ED1">
        <w:rPr>
          <w:rFonts w:ascii="Times New Roman" w:hAnsi="Times New Roman" w:cs="Times New Roman"/>
          <w:sz w:val="24"/>
          <w:szCs w:val="24"/>
        </w:rPr>
        <w:t xml:space="preserve">ienlaikus atzīmējams, ka izmaksas iedzīvotāju testēšanai uz Covid-19 atlikušajam 2021. gadam un turpmāk ir nosakāmas tikai aptuveni, jo nav iespējams precīzi prognozēt iknedēļas saslimstības rādītājus, kas noteiks nepieciešamo testu skaitu pēc klīniskām un epidemioloģiskām indikācijām, vai vakcinācijas aptveri, kas ietekmēs rutīnas </w:t>
      </w:r>
      <w:proofErr w:type="spellStart"/>
      <w:r w:rsidR="00C62ED1">
        <w:rPr>
          <w:rFonts w:ascii="Times New Roman" w:hAnsi="Times New Roman" w:cs="Times New Roman"/>
          <w:sz w:val="24"/>
          <w:szCs w:val="24"/>
        </w:rPr>
        <w:t>skrīninga</w:t>
      </w:r>
      <w:proofErr w:type="spellEnd"/>
      <w:r w:rsidR="00C62ED1">
        <w:rPr>
          <w:rFonts w:ascii="Times New Roman" w:hAnsi="Times New Roman" w:cs="Times New Roman"/>
          <w:sz w:val="24"/>
          <w:szCs w:val="24"/>
        </w:rPr>
        <w:t xml:space="preserve"> ietvaros testējamo personu skaitu. </w:t>
      </w:r>
    </w:p>
    <w:p w14:paraId="61B57062" w14:textId="77777777" w:rsidR="002726EB" w:rsidRPr="002726EB" w:rsidRDefault="002726EB" w:rsidP="002726EB">
      <w:pPr>
        <w:spacing w:after="0" w:line="240" w:lineRule="auto"/>
        <w:ind w:firstLine="720"/>
        <w:jc w:val="both"/>
        <w:rPr>
          <w:rFonts w:ascii="Times New Roman" w:hAnsi="Times New Roman" w:cs="Times New Roman"/>
          <w:sz w:val="24"/>
          <w:szCs w:val="24"/>
        </w:rPr>
      </w:pPr>
      <w:bookmarkStart w:id="1" w:name="_Hlk82374845"/>
      <w:r w:rsidRPr="002726EB">
        <w:rPr>
          <w:rFonts w:ascii="Times New Roman" w:hAnsi="Times New Roman" w:cs="Times New Roman"/>
          <w:sz w:val="24"/>
          <w:szCs w:val="24"/>
        </w:rPr>
        <w:t xml:space="preserve">Ņemot vērā to, ka savlaicīgai Covid-19 infekcijas diagnosticēšanai ir būtiska ietekme infekcijas izplatīšanās ierobežošanai, būtiski Covid-19 testēšanu veikt visām tautsaimniecībā strādājošām prioritārajām personu grupām, atbilstoši, Covid-19 testēšanas kārtībai, kas publiski pieejama SPKC tīmekļa vietnē (tai skaitā personām, lai saņemtu </w:t>
      </w:r>
      <w:proofErr w:type="spellStart"/>
      <w:r w:rsidRPr="002726EB">
        <w:rPr>
          <w:rFonts w:ascii="Times New Roman" w:hAnsi="Times New Roman" w:cs="Times New Roman"/>
          <w:sz w:val="24"/>
          <w:szCs w:val="24"/>
        </w:rPr>
        <w:t>sadarbspējīgu</w:t>
      </w:r>
      <w:proofErr w:type="spellEnd"/>
      <w:r w:rsidRPr="002726EB">
        <w:rPr>
          <w:rFonts w:ascii="Times New Roman" w:hAnsi="Times New Roman" w:cs="Times New Roman"/>
          <w:sz w:val="24"/>
          <w:szCs w:val="24"/>
        </w:rPr>
        <w:t xml:space="preserve"> testēšanas sertifikātu), paredzot papildus finansējumu, kā arī SARS-CoV-2 antivielu noteikšanu asins donoriem un visu pozitīvo paraugu izmeklēšanu uz vīrusa Indijas celmu.</w:t>
      </w:r>
    </w:p>
    <w:p w14:paraId="08A55551" w14:textId="41D08231" w:rsidR="002726EB" w:rsidRPr="002726EB" w:rsidRDefault="002726EB" w:rsidP="002726EB">
      <w:pPr>
        <w:spacing w:after="0" w:line="240" w:lineRule="auto"/>
        <w:ind w:firstLine="720"/>
        <w:jc w:val="both"/>
        <w:rPr>
          <w:rFonts w:ascii="Times New Roman" w:hAnsi="Times New Roman" w:cs="Times New Roman"/>
          <w:sz w:val="24"/>
          <w:szCs w:val="24"/>
        </w:rPr>
      </w:pPr>
      <w:r w:rsidRPr="002726EB">
        <w:rPr>
          <w:rFonts w:ascii="Times New Roman" w:hAnsi="Times New Roman" w:cs="Times New Roman"/>
          <w:sz w:val="24"/>
          <w:szCs w:val="24"/>
        </w:rPr>
        <w:t xml:space="preserve">Minētā īstenošanai, lai nodrošinātu </w:t>
      </w:r>
      <w:r w:rsidR="008A0857">
        <w:rPr>
          <w:rFonts w:ascii="Times New Roman" w:hAnsi="Times New Roman" w:cs="Times New Roman"/>
          <w:sz w:val="24"/>
          <w:szCs w:val="24"/>
        </w:rPr>
        <w:t>prioritāro</w:t>
      </w:r>
      <w:r w:rsidRPr="002726EB">
        <w:rPr>
          <w:rFonts w:ascii="Times New Roman" w:hAnsi="Times New Roman" w:cs="Times New Roman"/>
          <w:sz w:val="24"/>
          <w:szCs w:val="24"/>
        </w:rPr>
        <w:t xml:space="preserve"> grupu rutīnas </w:t>
      </w:r>
      <w:proofErr w:type="spellStart"/>
      <w:r w:rsidRPr="002726EB">
        <w:rPr>
          <w:rFonts w:ascii="Times New Roman" w:hAnsi="Times New Roman" w:cs="Times New Roman"/>
          <w:sz w:val="24"/>
          <w:szCs w:val="24"/>
        </w:rPr>
        <w:t>skrīnēšanu</w:t>
      </w:r>
      <w:proofErr w:type="spellEnd"/>
      <w:r w:rsidRPr="002726EB">
        <w:rPr>
          <w:rFonts w:ascii="Times New Roman" w:hAnsi="Times New Roman" w:cs="Times New Roman"/>
          <w:sz w:val="24"/>
          <w:szCs w:val="24"/>
        </w:rPr>
        <w:t xml:space="preserve"> nepieciešams papildus finansējums. Ņemot vērā paredzamo Covid-19 testu veikšanas apjomu (papildus testiem, kas laboratorijām veicami pēc klīniskām un epidemioloģiskām indikācijām), laboratorijām būs nepieciešams paaugstināt kapacitāti, kā arī veikt papildus pasākumus, lai nodrošinātu, ka paaugstinot kapacitāti, netiek ietekmēta izmeklējumu kvalitāte. </w:t>
      </w:r>
    </w:p>
    <w:p w14:paraId="6997F2EC" w14:textId="33C02718" w:rsidR="002726EB" w:rsidRPr="002726EB" w:rsidRDefault="002726EB" w:rsidP="002726EB">
      <w:pPr>
        <w:spacing w:after="0" w:line="240" w:lineRule="auto"/>
        <w:ind w:firstLine="720"/>
        <w:jc w:val="both"/>
        <w:rPr>
          <w:rFonts w:ascii="Times New Roman" w:hAnsi="Times New Roman" w:cs="Times New Roman"/>
          <w:sz w:val="24"/>
          <w:szCs w:val="24"/>
        </w:rPr>
      </w:pPr>
      <w:r w:rsidRPr="002726EB">
        <w:rPr>
          <w:rFonts w:ascii="Times New Roman" w:hAnsi="Times New Roman" w:cs="Times New Roman"/>
          <w:sz w:val="24"/>
          <w:szCs w:val="24"/>
        </w:rPr>
        <w:lastRenderedPageBreak/>
        <w:t xml:space="preserve">Būtiski atzīmēt, ka, </w:t>
      </w:r>
      <w:r w:rsidR="008A0857">
        <w:rPr>
          <w:rFonts w:ascii="Times New Roman" w:hAnsi="Times New Roman" w:cs="Times New Roman"/>
          <w:sz w:val="24"/>
          <w:szCs w:val="24"/>
        </w:rPr>
        <w:t xml:space="preserve">ja </w:t>
      </w:r>
      <w:r w:rsidRPr="002726EB">
        <w:rPr>
          <w:rFonts w:ascii="Times New Roman" w:hAnsi="Times New Roman" w:cs="Times New Roman"/>
          <w:sz w:val="24"/>
          <w:szCs w:val="24"/>
        </w:rPr>
        <w:t>palieli</w:t>
      </w:r>
      <w:r w:rsidR="008A0857">
        <w:rPr>
          <w:rFonts w:ascii="Times New Roman" w:hAnsi="Times New Roman" w:cs="Times New Roman"/>
          <w:sz w:val="24"/>
          <w:szCs w:val="24"/>
        </w:rPr>
        <w:t>nāsies</w:t>
      </w:r>
      <w:r w:rsidRPr="002726EB">
        <w:rPr>
          <w:rFonts w:ascii="Times New Roman" w:hAnsi="Times New Roman" w:cs="Times New Roman"/>
          <w:sz w:val="24"/>
          <w:szCs w:val="24"/>
        </w:rPr>
        <w:t xml:space="preserve"> vakcinācijas aptvere, tiek prognozēts, ka mazināsies ar Covid-19 testu veikšanas nepieciešamība un līdz ar to testu veikšanai nepieciešamais papildus finansējuma apmērs. </w:t>
      </w:r>
    </w:p>
    <w:p w14:paraId="054F2E3D" w14:textId="2A3C577B" w:rsidR="002726EB" w:rsidRPr="007B5447" w:rsidRDefault="00BE1D6D" w:rsidP="002726EB">
      <w:pPr>
        <w:spacing w:after="0" w:line="240" w:lineRule="auto"/>
        <w:ind w:firstLine="720"/>
        <w:jc w:val="both"/>
        <w:rPr>
          <w:rFonts w:ascii="Times New Roman" w:hAnsi="Times New Roman" w:cs="Times New Roman"/>
          <w:sz w:val="24"/>
          <w:szCs w:val="24"/>
        </w:rPr>
      </w:pPr>
      <w:r w:rsidRPr="007B5447">
        <w:rPr>
          <w:rFonts w:ascii="Times New Roman" w:hAnsi="Times New Roman" w:cs="Times New Roman"/>
          <w:sz w:val="24"/>
          <w:szCs w:val="24"/>
        </w:rPr>
        <w:t xml:space="preserve">Vienlaikus atzīmējams, ka </w:t>
      </w:r>
      <w:r w:rsidR="00547736" w:rsidRPr="007B5447">
        <w:rPr>
          <w:rFonts w:ascii="Times New Roman" w:hAnsi="Times New Roman" w:cs="Times New Roman"/>
          <w:sz w:val="24"/>
          <w:szCs w:val="24"/>
        </w:rPr>
        <w:t xml:space="preserve">ar Ministru kabineta 2021. gada 19. februāra rīkojumu Nr. 100 “Par finanšu līdzekļu piešķiršanu no valsts budžeta programmas “Līdzekļi neparedzētiem gadījumiem”” (Latvijas Vēstnesis, 2021, 36. nr.4) </w:t>
      </w:r>
      <w:r w:rsidRPr="007B5447">
        <w:rPr>
          <w:rFonts w:ascii="Times New Roman" w:hAnsi="Times New Roman" w:cs="Times New Roman"/>
          <w:sz w:val="24"/>
          <w:szCs w:val="24"/>
        </w:rPr>
        <w:t xml:space="preserve">tika iezīmēts papildus nepieciešamais finansējums 83 232 508 </w:t>
      </w:r>
      <w:proofErr w:type="spellStart"/>
      <w:r w:rsidRPr="007B5447">
        <w:rPr>
          <w:rFonts w:ascii="Times New Roman" w:hAnsi="Times New Roman" w:cs="Times New Roman"/>
          <w:sz w:val="24"/>
          <w:szCs w:val="24"/>
        </w:rPr>
        <w:t>euro</w:t>
      </w:r>
      <w:proofErr w:type="spellEnd"/>
      <w:r w:rsidRPr="007B5447">
        <w:rPr>
          <w:rFonts w:ascii="Times New Roman" w:hAnsi="Times New Roman" w:cs="Times New Roman"/>
          <w:sz w:val="24"/>
          <w:szCs w:val="24"/>
        </w:rPr>
        <w:t xml:space="preserve"> apmērā</w:t>
      </w:r>
      <w:r w:rsidR="002726EB" w:rsidRPr="007B5447">
        <w:rPr>
          <w:rFonts w:ascii="Times New Roman" w:hAnsi="Times New Roman" w:cs="Times New Roman"/>
          <w:sz w:val="24"/>
          <w:szCs w:val="24"/>
        </w:rPr>
        <w:t>, lai nodrošinātu Covid-19 testēšanu Covid-19 testēšanas politikas mērķu sasniegšanai, veicinot Covid-19 testēšanas jaudas palielināšanu Latvijā un ņemot vērā laboratoriju kopējo testēšanas kapacitāti, tai skaitā:</w:t>
      </w:r>
    </w:p>
    <w:p w14:paraId="49ADA038" w14:textId="3A921FB8" w:rsidR="002726EB" w:rsidRPr="007B5447" w:rsidRDefault="002726EB" w:rsidP="002726EB">
      <w:pPr>
        <w:spacing w:after="0" w:line="240" w:lineRule="auto"/>
        <w:ind w:firstLine="720"/>
        <w:jc w:val="both"/>
        <w:rPr>
          <w:rFonts w:ascii="Times New Roman" w:hAnsi="Times New Roman" w:cs="Times New Roman"/>
          <w:sz w:val="24"/>
          <w:szCs w:val="24"/>
        </w:rPr>
      </w:pPr>
      <w:r w:rsidRPr="007B5447">
        <w:rPr>
          <w:rFonts w:ascii="Times New Roman" w:hAnsi="Times New Roman" w:cs="Times New Roman"/>
          <w:sz w:val="24"/>
          <w:szCs w:val="24"/>
        </w:rPr>
        <w:t>1. Covid-19 testēšanas jaudas palielināšanai - finansējumu, kas nepārsniedz 79 443</w:t>
      </w:r>
      <w:r w:rsidR="00F65444" w:rsidRPr="007B5447">
        <w:rPr>
          <w:rFonts w:ascii="Times New Roman" w:hAnsi="Times New Roman" w:cs="Times New Roman"/>
          <w:sz w:val="24"/>
          <w:szCs w:val="24"/>
        </w:rPr>
        <w:t> </w:t>
      </w:r>
      <w:r w:rsidRPr="007B5447">
        <w:rPr>
          <w:rFonts w:ascii="Times New Roman" w:hAnsi="Times New Roman" w:cs="Times New Roman"/>
          <w:sz w:val="24"/>
          <w:szCs w:val="24"/>
        </w:rPr>
        <w:t>301</w:t>
      </w:r>
      <w:r w:rsidR="00F65444" w:rsidRPr="007B5447">
        <w:rPr>
          <w:rFonts w:ascii="Times New Roman" w:hAnsi="Times New Roman" w:cs="Times New Roman"/>
          <w:sz w:val="24"/>
          <w:szCs w:val="24"/>
        </w:rPr>
        <w:t> </w:t>
      </w:r>
      <w:proofErr w:type="spellStart"/>
      <w:r w:rsidRPr="007B5447">
        <w:rPr>
          <w:rFonts w:ascii="Times New Roman" w:hAnsi="Times New Roman" w:cs="Times New Roman"/>
          <w:sz w:val="24"/>
          <w:szCs w:val="24"/>
        </w:rPr>
        <w:t>euro</w:t>
      </w:r>
      <w:proofErr w:type="spellEnd"/>
      <w:r w:rsidRPr="007B5447">
        <w:rPr>
          <w:rFonts w:ascii="Times New Roman" w:hAnsi="Times New Roman" w:cs="Times New Roman"/>
          <w:sz w:val="24"/>
          <w:szCs w:val="24"/>
        </w:rPr>
        <w:t>;</w:t>
      </w:r>
    </w:p>
    <w:p w14:paraId="24E857D1" w14:textId="77777777" w:rsidR="002726EB" w:rsidRPr="007B5447" w:rsidRDefault="002726EB" w:rsidP="002726EB">
      <w:pPr>
        <w:spacing w:after="0" w:line="240" w:lineRule="auto"/>
        <w:ind w:firstLine="720"/>
        <w:jc w:val="both"/>
        <w:rPr>
          <w:rFonts w:ascii="Times New Roman" w:hAnsi="Times New Roman" w:cs="Times New Roman"/>
          <w:sz w:val="24"/>
          <w:szCs w:val="24"/>
        </w:rPr>
      </w:pPr>
      <w:r w:rsidRPr="007B5447">
        <w:rPr>
          <w:rFonts w:ascii="Times New Roman" w:hAnsi="Times New Roman" w:cs="Times New Roman"/>
          <w:sz w:val="24"/>
          <w:szCs w:val="24"/>
        </w:rPr>
        <w:t xml:space="preserve">2. jaunu infekcijas vīrusu celmu vai paveidu agrīnai atklāšanai, tādējādi pilnveidojot un attīstot vīrusa sekvencēšanas metodi, - finansējumu, kas nepārsniedz 3 597 119 </w:t>
      </w:r>
      <w:proofErr w:type="spellStart"/>
      <w:r w:rsidRPr="007B5447">
        <w:rPr>
          <w:rFonts w:ascii="Times New Roman" w:hAnsi="Times New Roman" w:cs="Times New Roman"/>
          <w:sz w:val="24"/>
          <w:szCs w:val="24"/>
        </w:rPr>
        <w:t>euro</w:t>
      </w:r>
      <w:proofErr w:type="spellEnd"/>
      <w:r w:rsidRPr="007B5447">
        <w:rPr>
          <w:rFonts w:ascii="Times New Roman" w:hAnsi="Times New Roman" w:cs="Times New Roman"/>
          <w:sz w:val="24"/>
          <w:szCs w:val="24"/>
        </w:rPr>
        <w:t>.</w:t>
      </w:r>
    </w:p>
    <w:p w14:paraId="007DADBE" w14:textId="7FEFDD02" w:rsidR="002726EB" w:rsidRPr="007B5447" w:rsidRDefault="002726EB" w:rsidP="002726EB">
      <w:pPr>
        <w:spacing w:after="0" w:line="240" w:lineRule="auto"/>
        <w:ind w:firstLine="720"/>
        <w:jc w:val="both"/>
        <w:rPr>
          <w:rFonts w:ascii="Times New Roman" w:hAnsi="Times New Roman" w:cs="Times New Roman"/>
          <w:sz w:val="24"/>
          <w:szCs w:val="24"/>
        </w:rPr>
      </w:pPr>
      <w:r w:rsidRPr="007B5447">
        <w:rPr>
          <w:rFonts w:ascii="Times New Roman" w:hAnsi="Times New Roman" w:cs="Times New Roman"/>
          <w:sz w:val="24"/>
          <w:szCs w:val="24"/>
        </w:rPr>
        <w:t xml:space="preserve"> Tāpat Veselības ministrijai tika uzdots uzdevums noteiktā kārtībā sagatavot un iesniegt izskatīšanai Ministru kabinetā rīkojuma projektus par finanšu līdzekļu piešķiršanu no valsts budžeta programmas 02.00.00 “Līdzekļi neparedzētiem gadījumiem” atbilstoši faktiskajai nepieciešamībai 2021.gadā informatīvajā ziņojumā minēto pasākumu Covid-19 izplatības mazināšanai. </w:t>
      </w:r>
    </w:p>
    <w:p w14:paraId="2FFE9209" w14:textId="345E44E7" w:rsidR="00CE7737" w:rsidRPr="007B5447" w:rsidRDefault="00CE7737" w:rsidP="002726EB">
      <w:pPr>
        <w:spacing w:after="0" w:line="240" w:lineRule="auto"/>
        <w:ind w:firstLine="720"/>
        <w:jc w:val="both"/>
        <w:rPr>
          <w:rFonts w:ascii="Times New Roman" w:hAnsi="Times New Roman" w:cs="Times New Roman"/>
          <w:sz w:val="24"/>
          <w:szCs w:val="24"/>
        </w:rPr>
      </w:pPr>
      <w:r w:rsidRPr="007B5447">
        <w:rPr>
          <w:rFonts w:ascii="Times New Roman" w:hAnsi="Times New Roman" w:cs="Times New Roman"/>
          <w:sz w:val="24"/>
          <w:szCs w:val="24"/>
        </w:rPr>
        <w:t>Lai realizētu j</w:t>
      </w:r>
      <w:r w:rsidR="00AF5C52" w:rsidRPr="007B5447">
        <w:rPr>
          <w:rFonts w:ascii="Times New Roman" w:hAnsi="Times New Roman" w:cs="Times New Roman"/>
          <w:sz w:val="24"/>
          <w:szCs w:val="24"/>
        </w:rPr>
        <w:t>a</w:t>
      </w:r>
      <w:r w:rsidRPr="007B5447">
        <w:rPr>
          <w:rFonts w:ascii="Times New Roman" w:hAnsi="Times New Roman" w:cs="Times New Roman"/>
          <w:sz w:val="24"/>
          <w:szCs w:val="24"/>
        </w:rPr>
        <w:t>unās testēšanas st</w:t>
      </w:r>
      <w:r w:rsidR="00AF5C52" w:rsidRPr="007B5447">
        <w:rPr>
          <w:rFonts w:ascii="Times New Roman" w:hAnsi="Times New Roman" w:cs="Times New Roman"/>
          <w:sz w:val="24"/>
          <w:szCs w:val="24"/>
        </w:rPr>
        <w:t>ra</w:t>
      </w:r>
      <w:r w:rsidRPr="007B5447">
        <w:rPr>
          <w:rFonts w:ascii="Times New Roman" w:hAnsi="Times New Roman" w:cs="Times New Roman"/>
          <w:sz w:val="24"/>
          <w:szCs w:val="24"/>
        </w:rPr>
        <w:t xml:space="preserve">tēģijas </w:t>
      </w:r>
      <w:r w:rsidR="00AF5C52" w:rsidRPr="007B5447">
        <w:rPr>
          <w:rFonts w:ascii="Times New Roman" w:hAnsi="Times New Roman" w:cs="Times New Roman"/>
          <w:sz w:val="24"/>
          <w:szCs w:val="24"/>
        </w:rPr>
        <w:t xml:space="preserve">ieviešanu un īstenošanu, </w:t>
      </w:r>
      <w:r w:rsidRPr="007B5447">
        <w:rPr>
          <w:rFonts w:ascii="Times New Roman" w:hAnsi="Times New Roman" w:cs="Times New Roman"/>
          <w:sz w:val="24"/>
          <w:szCs w:val="24"/>
        </w:rPr>
        <w:t>Veselības ministrija</w:t>
      </w:r>
      <w:r w:rsidR="00AF5C52" w:rsidRPr="007B5447">
        <w:rPr>
          <w:rFonts w:ascii="Times New Roman" w:hAnsi="Times New Roman" w:cs="Times New Roman"/>
          <w:sz w:val="24"/>
          <w:szCs w:val="24"/>
        </w:rPr>
        <w:t>i ir jāsagatavo un jāiesniedz normatīvo aktu grozījumi, nosakot nepieciešamību obligātai darbinieku testēšanai, atbilstoši informatīvajā ziņojumā minētajam.</w:t>
      </w:r>
    </w:p>
    <w:p w14:paraId="5FB06C75" w14:textId="20EB5871" w:rsidR="00BE1D6D" w:rsidRPr="007B5447" w:rsidRDefault="00BE1D6D" w:rsidP="002726EB">
      <w:pPr>
        <w:spacing w:after="0" w:line="240" w:lineRule="auto"/>
        <w:ind w:firstLine="720"/>
        <w:jc w:val="both"/>
        <w:rPr>
          <w:rFonts w:ascii="Times New Roman" w:hAnsi="Times New Roman" w:cs="Times New Roman"/>
          <w:sz w:val="24"/>
          <w:szCs w:val="24"/>
        </w:rPr>
      </w:pPr>
      <w:r w:rsidRPr="007B5447">
        <w:rPr>
          <w:rFonts w:ascii="Times New Roman" w:hAnsi="Times New Roman" w:cs="Times New Roman"/>
          <w:sz w:val="24"/>
          <w:szCs w:val="24"/>
        </w:rPr>
        <w:t xml:space="preserve">Lai nodrošinātu testēšanas kapacitātes palielināšanu un laboratorijas dienestu stiprināšanu finansējuma pieprasījums tiek precizēts atbilstoši jauno algoritmu ieviešanai un turpmāk 2021. gadam sastāda 109 411 604 </w:t>
      </w:r>
      <w:proofErr w:type="spellStart"/>
      <w:r w:rsidRPr="007B5447">
        <w:rPr>
          <w:rFonts w:ascii="Times New Roman" w:hAnsi="Times New Roman" w:cs="Times New Roman"/>
          <w:sz w:val="24"/>
          <w:szCs w:val="24"/>
        </w:rPr>
        <w:t>euro</w:t>
      </w:r>
      <w:proofErr w:type="spellEnd"/>
      <w:r w:rsidRPr="007B5447">
        <w:rPr>
          <w:rFonts w:ascii="Times New Roman" w:hAnsi="Times New Roman" w:cs="Times New Roman"/>
          <w:sz w:val="24"/>
          <w:szCs w:val="24"/>
        </w:rPr>
        <w:t xml:space="preserve">, no tiem 14 636 985 </w:t>
      </w:r>
      <w:proofErr w:type="spellStart"/>
      <w:r w:rsidRPr="007B5447">
        <w:rPr>
          <w:rFonts w:ascii="Times New Roman" w:hAnsi="Times New Roman" w:cs="Times New Roman"/>
          <w:sz w:val="24"/>
          <w:szCs w:val="24"/>
        </w:rPr>
        <w:t>euro</w:t>
      </w:r>
      <w:proofErr w:type="spellEnd"/>
      <w:r w:rsidRPr="007B5447">
        <w:rPr>
          <w:rFonts w:ascii="Times New Roman" w:hAnsi="Times New Roman" w:cs="Times New Roman"/>
          <w:sz w:val="24"/>
          <w:szCs w:val="24"/>
        </w:rPr>
        <w:t xml:space="preserve"> (par 2021. gada decembra mēnesi veikto testēšanu) būtu pieprasāmi 2022. gadā (skatīt pielikumā). Ziņojumā iekļautais aprēķins paredz maksimāli nepieciešamo finansējumu nodrošinot testēšanu konkrētām testējamo personu grupām par valsts budžeta līdzekļiem, ņemot vērā to, ka tik</w:t>
      </w:r>
      <w:r w:rsidR="00547736" w:rsidRPr="007B5447">
        <w:rPr>
          <w:rFonts w:ascii="Times New Roman" w:hAnsi="Times New Roman" w:cs="Times New Roman"/>
          <w:sz w:val="24"/>
          <w:szCs w:val="24"/>
        </w:rPr>
        <w:t>s</w:t>
      </w:r>
      <w:r w:rsidRPr="007B5447">
        <w:rPr>
          <w:rFonts w:ascii="Times New Roman" w:hAnsi="Times New Roman" w:cs="Times New Roman"/>
          <w:sz w:val="24"/>
          <w:szCs w:val="24"/>
        </w:rPr>
        <w:t xml:space="preserve"> noteikts pārejas periods un nav pieņemts lēmums par obligātās vakcinācijas noteikšanu.</w:t>
      </w:r>
    </w:p>
    <w:p w14:paraId="54B22949" w14:textId="48D2F290" w:rsidR="002726EB" w:rsidRPr="002726EB" w:rsidRDefault="002726EB" w:rsidP="002726EB">
      <w:pPr>
        <w:spacing w:after="0" w:line="240" w:lineRule="auto"/>
        <w:ind w:firstLine="720"/>
        <w:jc w:val="both"/>
        <w:rPr>
          <w:rFonts w:ascii="Times New Roman" w:hAnsi="Times New Roman" w:cs="Times New Roman"/>
          <w:sz w:val="24"/>
          <w:szCs w:val="24"/>
        </w:rPr>
      </w:pPr>
      <w:r w:rsidRPr="007B5447">
        <w:rPr>
          <w:rFonts w:ascii="Times New Roman" w:hAnsi="Times New Roman" w:cs="Times New Roman"/>
          <w:sz w:val="24"/>
          <w:szCs w:val="24"/>
        </w:rPr>
        <w:t>Veselības ministrija turpinās sekot līdzi izpildei abās pakalpojumu sadaļās</w:t>
      </w:r>
      <w:r w:rsidRPr="002726EB">
        <w:rPr>
          <w:rFonts w:ascii="Times New Roman" w:hAnsi="Times New Roman" w:cs="Times New Roman"/>
          <w:sz w:val="24"/>
          <w:szCs w:val="24"/>
        </w:rPr>
        <w:t xml:space="preserve"> un nepieciešamības gadījumā uz Ministru kabinetu sagatavos informatīvo ziņojumu par testēšanas gaitu un tam nepieciešamā finansējuma izlietojumu. </w:t>
      </w:r>
    </w:p>
    <w:bookmarkEnd w:id="1"/>
    <w:p w14:paraId="23E423E1" w14:textId="05627992" w:rsidR="007542FC" w:rsidRPr="00864803" w:rsidRDefault="007542FC" w:rsidP="00864803">
      <w:pPr>
        <w:spacing w:after="0" w:line="240" w:lineRule="auto"/>
        <w:ind w:firstLine="720"/>
        <w:jc w:val="both"/>
        <w:rPr>
          <w:rFonts w:ascii="Times New Roman" w:hAnsi="Times New Roman" w:cs="Times New Roman"/>
          <w:sz w:val="24"/>
          <w:szCs w:val="24"/>
        </w:rPr>
      </w:pPr>
    </w:p>
    <w:bookmarkEnd w:id="0"/>
    <w:p w14:paraId="58933B51" w14:textId="77777777" w:rsidR="006C3F69" w:rsidRDefault="006C3F69" w:rsidP="006C3F69">
      <w:pPr>
        <w:spacing w:after="0" w:line="240" w:lineRule="auto"/>
        <w:ind w:firstLine="720"/>
        <w:jc w:val="both"/>
        <w:rPr>
          <w:rFonts w:ascii="Times New Roman" w:hAnsi="Times New Roman" w:cs="Times New Roman"/>
          <w:sz w:val="24"/>
          <w:szCs w:val="24"/>
        </w:rPr>
      </w:pPr>
    </w:p>
    <w:p w14:paraId="6D0311AA" w14:textId="0299F125" w:rsidR="006C3F69" w:rsidRPr="006C3F69" w:rsidRDefault="006C3F69" w:rsidP="006C3F69">
      <w:pPr>
        <w:spacing w:after="0" w:line="240" w:lineRule="auto"/>
        <w:ind w:left="4320" w:hanging="3600"/>
        <w:jc w:val="both"/>
        <w:rPr>
          <w:rFonts w:ascii="Times New Roman" w:hAnsi="Times New Roman" w:cs="Times New Roman"/>
          <w:sz w:val="24"/>
          <w:szCs w:val="24"/>
        </w:rPr>
      </w:pPr>
      <w:r w:rsidRPr="006C3F69">
        <w:rPr>
          <w:rFonts w:ascii="Times New Roman" w:hAnsi="Times New Roman" w:cs="Times New Roman"/>
          <w:sz w:val="24"/>
          <w:szCs w:val="24"/>
        </w:rPr>
        <w:t>Veselības ministrs</w:t>
      </w:r>
      <w:r w:rsidRPr="006C3F69">
        <w:rPr>
          <w:rFonts w:ascii="Times New Roman" w:hAnsi="Times New Roman" w:cs="Times New Roman"/>
          <w:sz w:val="24"/>
          <w:szCs w:val="24"/>
        </w:rPr>
        <w:tab/>
      </w:r>
      <w:r w:rsidRPr="006C3F69">
        <w:rPr>
          <w:rFonts w:ascii="Times New Roman" w:hAnsi="Times New Roman" w:cs="Times New Roman"/>
          <w:sz w:val="24"/>
          <w:szCs w:val="24"/>
        </w:rPr>
        <w:tab/>
      </w:r>
      <w:r w:rsidRPr="006C3F69">
        <w:rPr>
          <w:rFonts w:ascii="Times New Roman" w:hAnsi="Times New Roman" w:cs="Times New Roman"/>
          <w:sz w:val="24"/>
          <w:szCs w:val="24"/>
        </w:rPr>
        <w:tab/>
      </w:r>
      <w:r w:rsidRPr="006C3F69">
        <w:rPr>
          <w:rFonts w:ascii="Times New Roman" w:hAnsi="Times New Roman" w:cs="Times New Roman"/>
          <w:sz w:val="24"/>
          <w:szCs w:val="24"/>
        </w:rPr>
        <w:tab/>
      </w:r>
      <w:r w:rsidR="007B5447">
        <w:rPr>
          <w:rFonts w:ascii="Times New Roman" w:hAnsi="Times New Roman" w:cs="Times New Roman"/>
          <w:sz w:val="24"/>
          <w:szCs w:val="24"/>
        </w:rPr>
        <w:tab/>
        <w:t xml:space="preserve">     </w:t>
      </w:r>
      <w:r w:rsidRPr="006C3F69">
        <w:rPr>
          <w:rFonts w:ascii="Times New Roman" w:hAnsi="Times New Roman" w:cs="Times New Roman"/>
          <w:sz w:val="24"/>
          <w:szCs w:val="24"/>
        </w:rPr>
        <w:t xml:space="preserve">       D. Pavļuts</w:t>
      </w:r>
    </w:p>
    <w:p w14:paraId="29C9986D" w14:textId="77777777" w:rsidR="006C3F69" w:rsidRPr="006C3F69" w:rsidRDefault="006C3F69" w:rsidP="006C3F69">
      <w:pPr>
        <w:spacing w:after="0" w:line="240" w:lineRule="auto"/>
        <w:ind w:firstLine="720"/>
        <w:jc w:val="both"/>
        <w:rPr>
          <w:rFonts w:ascii="Times New Roman" w:hAnsi="Times New Roman" w:cs="Times New Roman"/>
          <w:sz w:val="24"/>
          <w:szCs w:val="24"/>
        </w:rPr>
      </w:pPr>
    </w:p>
    <w:p w14:paraId="35E95634" w14:textId="77777777" w:rsidR="006C3F69" w:rsidRPr="006C3F69" w:rsidRDefault="006C3F69" w:rsidP="006C3F69">
      <w:pPr>
        <w:spacing w:after="0" w:line="240" w:lineRule="auto"/>
        <w:ind w:firstLine="720"/>
        <w:jc w:val="both"/>
        <w:rPr>
          <w:rFonts w:ascii="Times New Roman" w:hAnsi="Times New Roman" w:cs="Times New Roman"/>
          <w:sz w:val="24"/>
          <w:szCs w:val="24"/>
        </w:rPr>
      </w:pPr>
      <w:r w:rsidRPr="006C3F69">
        <w:rPr>
          <w:rFonts w:ascii="Times New Roman" w:hAnsi="Times New Roman" w:cs="Times New Roman"/>
          <w:sz w:val="24"/>
          <w:szCs w:val="24"/>
        </w:rPr>
        <w:t>Iesniedzējs: veselības ministrs</w:t>
      </w:r>
      <w:r w:rsidRPr="006C3F69">
        <w:rPr>
          <w:rFonts w:ascii="Times New Roman" w:hAnsi="Times New Roman" w:cs="Times New Roman"/>
          <w:sz w:val="24"/>
          <w:szCs w:val="24"/>
        </w:rPr>
        <w:tab/>
        <w:t xml:space="preserve">                                                            D. Pavļuts</w:t>
      </w:r>
    </w:p>
    <w:p w14:paraId="539CE31A" w14:textId="77777777" w:rsidR="006C3F69" w:rsidRPr="006C3F69" w:rsidRDefault="006C3F69" w:rsidP="006C3F69">
      <w:pPr>
        <w:spacing w:after="0" w:line="240" w:lineRule="auto"/>
        <w:ind w:firstLine="720"/>
        <w:jc w:val="both"/>
        <w:rPr>
          <w:rFonts w:ascii="Times New Roman" w:hAnsi="Times New Roman" w:cs="Times New Roman"/>
          <w:sz w:val="24"/>
          <w:szCs w:val="24"/>
        </w:rPr>
      </w:pPr>
    </w:p>
    <w:p w14:paraId="5CFCBE9E" w14:textId="7EFBC27F" w:rsidR="003526EA" w:rsidRPr="00864803" w:rsidRDefault="006C3F69" w:rsidP="006C3F69">
      <w:pPr>
        <w:spacing w:after="0" w:line="240" w:lineRule="auto"/>
        <w:ind w:firstLine="720"/>
        <w:jc w:val="both"/>
        <w:rPr>
          <w:rFonts w:ascii="Times New Roman" w:hAnsi="Times New Roman" w:cs="Times New Roman"/>
          <w:sz w:val="24"/>
          <w:szCs w:val="24"/>
        </w:rPr>
      </w:pPr>
      <w:r w:rsidRPr="006C3F69">
        <w:rPr>
          <w:rFonts w:ascii="Times New Roman" w:hAnsi="Times New Roman" w:cs="Times New Roman"/>
          <w:sz w:val="24"/>
          <w:szCs w:val="24"/>
        </w:rPr>
        <w:t xml:space="preserve">Vīza: valsts sekretāre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3F69">
        <w:rPr>
          <w:rFonts w:ascii="Times New Roman" w:hAnsi="Times New Roman" w:cs="Times New Roman"/>
          <w:sz w:val="24"/>
          <w:szCs w:val="24"/>
        </w:rPr>
        <w:t xml:space="preserve">    </w:t>
      </w:r>
      <w:proofErr w:type="spellStart"/>
      <w:r>
        <w:rPr>
          <w:rFonts w:ascii="Times New Roman" w:hAnsi="Times New Roman" w:cs="Times New Roman"/>
          <w:sz w:val="24"/>
          <w:szCs w:val="24"/>
        </w:rPr>
        <w:t>I.Dreika</w:t>
      </w:r>
      <w:proofErr w:type="spellEnd"/>
    </w:p>
    <w:sectPr w:rsidR="003526EA" w:rsidRPr="0086480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7F92" w14:textId="77777777" w:rsidR="00663737" w:rsidRDefault="00663737" w:rsidP="00663737">
      <w:pPr>
        <w:spacing w:after="0" w:line="240" w:lineRule="auto"/>
      </w:pPr>
      <w:r>
        <w:separator/>
      </w:r>
    </w:p>
  </w:endnote>
  <w:endnote w:type="continuationSeparator" w:id="0">
    <w:p w14:paraId="5D1DEEB8" w14:textId="77777777" w:rsidR="00663737" w:rsidRDefault="00663737" w:rsidP="0066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EB24" w14:textId="77777777" w:rsidR="00663737" w:rsidRDefault="00663737" w:rsidP="00663737">
      <w:pPr>
        <w:spacing w:after="0" w:line="240" w:lineRule="auto"/>
      </w:pPr>
      <w:r>
        <w:separator/>
      </w:r>
    </w:p>
  </w:footnote>
  <w:footnote w:type="continuationSeparator" w:id="0">
    <w:p w14:paraId="67E8EDE7" w14:textId="77777777" w:rsidR="00663737" w:rsidRDefault="00663737" w:rsidP="00663737">
      <w:pPr>
        <w:spacing w:after="0" w:line="240" w:lineRule="auto"/>
      </w:pPr>
      <w:r>
        <w:continuationSeparator/>
      </w:r>
    </w:p>
  </w:footnote>
  <w:footnote w:id="1">
    <w:p w14:paraId="57C165BE" w14:textId="77777777" w:rsidR="00DB164C" w:rsidRDefault="00DB164C" w:rsidP="00DB164C">
      <w:pPr>
        <w:pStyle w:val="FootnoteText"/>
      </w:pPr>
      <w:r>
        <w:rPr>
          <w:rStyle w:val="FootnoteReference"/>
        </w:rPr>
        <w:footnoteRef/>
      </w:r>
      <w:r>
        <w:t xml:space="preserve"> </w:t>
      </w:r>
      <w:r w:rsidRPr="00A71B90">
        <w:rPr>
          <w:rFonts w:ascii="Times New Roman" w:hAnsi="Times New Roman" w:cs="Times New Roman"/>
        </w:rPr>
        <w:t>Kopš 17. maija vakcīnu pret Covid-19 var saņemt pusaudži no 16 gadu vecuma, bet no 2. jūnija –  pusaudži vecumā no 12 gadu vecuma.</w:t>
      </w:r>
    </w:p>
  </w:footnote>
  <w:footnote w:id="2">
    <w:p w14:paraId="6EB23E6D" w14:textId="77777777" w:rsidR="00F2765C" w:rsidRDefault="00F2765C" w:rsidP="00F2765C">
      <w:pPr>
        <w:pStyle w:val="FootnoteText"/>
      </w:pPr>
      <w:r>
        <w:rPr>
          <w:rStyle w:val="FootnoteReference"/>
        </w:rPr>
        <w:footnoteRef/>
      </w:r>
      <w:r>
        <w:t xml:space="preserve"> </w:t>
      </w:r>
      <w:r w:rsidRPr="007C2016">
        <w:rPr>
          <w:rFonts w:ascii="Times New Roman" w:hAnsi="Times New Roman" w:cs="Times New Roman"/>
        </w:rPr>
        <w:t>Informatīvais ziņojums "Priekšlikumi Covid-19 testēšanas politikas izmaiņām" izskatīts 2021.gada 16.februāra sēdē (protokola Nr. 17 7.§)</w:t>
      </w:r>
    </w:p>
  </w:footnote>
  <w:footnote w:id="3">
    <w:p w14:paraId="7967E7EB" w14:textId="77777777" w:rsidR="004526C4" w:rsidRPr="000069BA" w:rsidRDefault="004526C4" w:rsidP="004526C4">
      <w:pPr>
        <w:pStyle w:val="FootnoteText"/>
        <w:rPr>
          <w:rFonts w:asciiTheme="majorBidi" w:hAnsiTheme="majorBidi" w:cstheme="majorBidi"/>
        </w:rPr>
      </w:pPr>
      <w:r w:rsidRPr="000069BA">
        <w:rPr>
          <w:rStyle w:val="FootnoteReference"/>
          <w:rFonts w:asciiTheme="majorBidi" w:hAnsiTheme="majorBidi" w:cstheme="majorBidi"/>
        </w:rPr>
        <w:footnoteRef/>
      </w:r>
      <w:r w:rsidRPr="000069BA">
        <w:rPr>
          <w:rFonts w:asciiTheme="majorBidi" w:hAnsiTheme="majorBidi" w:cstheme="majorBidi"/>
        </w:rPr>
        <w:t xml:space="preserve"> </w:t>
      </w:r>
      <w:r w:rsidRPr="000069BA">
        <w:rPr>
          <w:rFonts w:asciiTheme="majorBidi" w:hAnsiTheme="majorBidi" w:cstheme="majorBidi"/>
        </w:rPr>
        <w:t>Atbilstoši SPKC datiem uz š.g. 26.jūliju</w:t>
      </w:r>
    </w:p>
  </w:footnote>
  <w:footnote w:id="4">
    <w:p w14:paraId="48F5C710" w14:textId="10F3B3B9" w:rsidR="002C5486" w:rsidRPr="000069BA" w:rsidRDefault="002C5486">
      <w:pPr>
        <w:pStyle w:val="FootnoteText"/>
        <w:rPr>
          <w:rFonts w:asciiTheme="majorBidi" w:hAnsiTheme="majorBidi" w:cstheme="majorBidi"/>
        </w:rPr>
      </w:pPr>
      <w:r w:rsidRPr="000069BA">
        <w:rPr>
          <w:rStyle w:val="FootnoteReference"/>
          <w:rFonts w:asciiTheme="majorBidi" w:hAnsiTheme="majorBidi" w:cstheme="majorBidi"/>
        </w:rPr>
        <w:footnoteRef/>
      </w:r>
      <w:r w:rsidRPr="000069BA">
        <w:rPr>
          <w:rFonts w:asciiTheme="majorBidi" w:hAnsiTheme="majorBidi" w:cstheme="majorBidi"/>
        </w:rPr>
        <w:t xml:space="preserve"> </w:t>
      </w:r>
      <w:r w:rsidRPr="000069BA">
        <w:rPr>
          <w:rFonts w:asciiTheme="majorBidi" w:hAnsiTheme="majorBidi" w:cstheme="majorBidi"/>
        </w:rPr>
        <w:t xml:space="preserve">Pieejams: </w:t>
      </w:r>
      <w:hyperlink r:id="rId1" w:history="1">
        <w:r w:rsidRPr="000069BA">
          <w:rPr>
            <w:rStyle w:val="Hyperlink"/>
            <w:rFonts w:asciiTheme="majorBidi" w:hAnsiTheme="majorBidi" w:cstheme="majorBidi"/>
          </w:rPr>
          <w:t>https://www.ecdc.europa.eu/en/covid-19/surveillance/weekly-surveillance-report</w:t>
        </w:r>
      </w:hyperlink>
      <w:r w:rsidRPr="000069BA">
        <w:rPr>
          <w:rFonts w:asciiTheme="majorBidi" w:hAnsiTheme="majorBidi" w:cstheme="majorBidi"/>
        </w:rPr>
        <w:t xml:space="preserve"> </w:t>
      </w:r>
    </w:p>
  </w:footnote>
  <w:footnote w:id="5">
    <w:p w14:paraId="052FE56E" w14:textId="4B033059" w:rsidR="002C5486" w:rsidRDefault="002C5486">
      <w:pPr>
        <w:pStyle w:val="FootnoteText"/>
      </w:pPr>
      <w:r w:rsidRPr="000069BA">
        <w:rPr>
          <w:rStyle w:val="FootnoteReference"/>
          <w:rFonts w:asciiTheme="majorBidi" w:hAnsiTheme="majorBidi" w:cstheme="majorBidi"/>
        </w:rPr>
        <w:footnoteRef/>
      </w:r>
      <w:r w:rsidRPr="000069BA">
        <w:rPr>
          <w:rFonts w:asciiTheme="majorBidi" w:hAnsiTheme="majorBidi" w:cstheme="majorBidi"/>
        </w:rPr>
        <w:t xml:space="preserve"> </w:t>
      </w:r>
      <w:r w:rsidRPr="000069BA">
        <w:rPr>
          <w:rFonts w:asciiTheme="majorBidi" w:eastAsia="Calibri" w:hAnsiTheme="majorBidi" w:cstheme="majorBidi"/>
        </w:rPr>
        <w:t xml:space="preserve">Emil </w:t>
      </w:r>
      <w:proofErr w:type="spellStart"/>
      <w:r w:rsidRPr="000069BA">
        <w:rPr>
          <w:rFonts w:asciiTheme="majorBidi" w:eastAsia="Calibri" w:hAnsiTheme="majorBidi" w:cstheme="majorBidi"/>
        </w:rPr>
        <w:t>Nafis</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Iftekhar</w:t>
      </w:r>
      <w:proofErr w:type="spellEnd"/>
      <w:r w:rsidRPr="000069BA">
        <w:rPr>
          <w:rFonts w:asciiTheme="majorBidi" w:eastAsia="Calibri" w:hAnsiTheme="majorBidi" w:cstheme="majorBidi"/>
        </w:rPr>
        <w:t xml:space="preserve">, Viola </w:t>
      </w:r>
      <w:proofErr w:type="spellStart"/>
      <w:r w:rsidRPr="000069BA">
        <w:rPr>
          <w:rFonts w:asciiTheme="majorBidi" w:eastAsia="Calibri" w:hAnsiTheme="majorBidi" w:cstheme="majorBidi"/>
        </w:rPr>
        <w:t>Priesemann</w:t>
      </w:r>
      <w:proofErr w:type="spellEnd"/>
      <w:r w:rsidRPr="000069BA">
        <w:rPr>
          <w:rFonts w:asciiTheme="majorBidi" w:eastAsia="Calibri" w:hAnsiTheme="majorBidi" w:cstheme="majorBidi"/>
        </w:rPr>
        <w:t xml:space="preserve">, Rudi </w:t>
      </w:r>
      <w:proofErr w:type="spellStart"/>
      <w:r w:rsidRPr="000069BA">
        <w:rPr>
          <w:rFonts w:asciiTheme="majorBidi" w:eastAsia="Calibri" w:hAnsiTheme="majorBidi" w:cstheme="majorBidi"/>
        </w:rPr>
        <w:t>Balling</w:t>
      </w:r>
      <w:proofErr w:type="spellEnd"/>
      <w:r w:rsidRPr="000069BA">
        <w:rPr>
          <w:rFonts w:asciiTheme="majorBidi" w:eastAsia="Calibri" w:hAnsiTheme="majorBidi" w:cstheme="majorBidi"/>
        </w:rPr>
        <w:t xml:space="preserve">, Simon </w:t>
      </w:r>
      <w:proofErr w:type="spellStart"/>
      <w:r w:rsidRPr="000069BA">
        <w:rPr>
          <w:rFonts w:asciiTheme="majorBidi" w:eastAsia="Calibri" w:hAnsiTheme="majorBidi" w:cstheme="majorBidi"/>
        </w:rPr>
        <w:t>Bauer</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Philippe</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Beutels</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André</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Calero</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Valdez</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et</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al</w:t>
      </w:r>
      <w:proofErr w:type="spellEnd"/>
      <w:r w:rsidRPr="000069BA">
        <w:rPr>
          <w:rFonts w:asciiTheme="majorBidi" w:eastAsia="Calibri" w:hAnsiTheme="majorBidi" w:cstheme="majorBidi"/>
        </w:rPr>
        <w:t xml:space="preserve">. “A </w:t>
      </w:r>
      <w:proofErr w:type="spellStart"/>
      <w:r w:rsidRPr="000069BA">
        <w:rPr>
          <w:rFonts w:asciiTheme="majorBidi" w:eastAsia="Calibri" w:hAnsiTheme="majorBidi" w:cstheme="majorBidi"/>
        </w:rPr>
        <w:t>look</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into</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the</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future</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of</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the</w:t>
      </w:r>
      <w:proofErr w:type="spellEnd"/>
      <w:r w:rsidRPr="000069BA">
        <w:rPr>
          <w:rFonts w:asciiTheme="majorBidi" w:eastAsia="Calibri" w:hAnsiTheme="majorBidi" w:cstheme="majorBidi"/>
        </w:rPr>
        <w:t xml:space="preserve"> COVID-19 </w:t>
      </w:r>
      <w:proofErr w:type="spellStart"/>
      <w:r w:rsidRPr="000069BA">
        <w:rPr>
          <w:rFonts w:asciiTheme="majorBidi" w:eastAsia="Calibri" w:hAnsiTheme="majorBidi" w:cstheme="majorBidi"/>
        </w:rPr>
        <w:t>pandemic</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in</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Europe</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an</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expert</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consultation</w:t>
      </w:r>
      <w:proofErr w:type="spellEnd"/>
      <w:r w:rsidRPr="000069BA">
        <w:rPr>
          <w:rFonts w:asciiTheme="majorBidi" w:eastAsia="Calibri" w:hAnsiTheme="majorBidi" w:cstheme="majorBidi"/>
        </w:rPr>
        <w:t xml:space="preserve">”, </w:t>
      </w:r>
      <w:proofErr w:type="spellStart"/>
      <w:r w:rsidRPr="000069BA">
        <w:rPr>
          <w:rFonts w:asciiTheme="majorBidi" w:eastAsia="Calibri" w:hAnsiTheme="majorBidi" w:cstheme="majorBidi"/>
        </w:rPr>
        <w:t>The</w:t>
      </w:r>
      <w:proofErr w:type="spellEnd"/>
      <w:r w:rsidRPr="000069BA">
        <w:rPr>
          <w:rFonts w:asciiTheme="majorBidi" w:eastAsia="Calibri" w:hAnsiTheme="majorBidi" w:cstheme="majorBidi"/>
        </w:rPr>
        <w:t xml:space="preserve"> Lancet </w:t>
      </w:r>
      <w:proofErr w:type="spellStart"/>
      <w:r w:rsidRPr="000069BA">
        <w:rPr>
          <w:rFonts w:asciiTheme="majorBidi" w:eastAsia="Calibri" w:hAnsiTheme="majorBidi" w:cstheme="majorBidi"/>
        </w:rPr>
        <w:t>Regional</w:t>
      </w:r>
      <w:proofErr w:type="spellEnd"/>
      <w:r w:rsidRPr="000069BA">
        <w:rPr>
          <w:rFonts w:asciiTheme="majorBidi" w:eastAsia="Calibri" w:hAnsiTheme="majorBidi" w:cstheme="majorBidi"/>
        </w:rPr>
        <w:t xml:space="preserve"> Health – </w:t>
      </w:r>
      <w:proofErr w:type="spellStart"/>
      <w:r w:rsidRPr="000069BA">
        <w:rPr>
          <w:rFonts w:asciiTheme="majorBidi" w:eastAsia="Calibri" w:hAnsiTheme="majorBidi" w:cstheme="majorBidi"/>
        </w:rPr>
        <w:t>Europe</w:t>
      </w:r>
      <w:proofErr w:type="spellEnd"/>
      <w:r w:rsidRPr="000069BA">
        <w:rPr>
          <w:rFonts w:asciiTheme="majorBidi" w:eastAsia="Calibri" w:hAnsiTheme="majorBidi" w:cstheme="majorBidi"/>
        </w:rPr>
        <w:t xml:space="preserve">, 30 </w:t>
      </w:r>
      <w:proofErr w:type="spellStart"/>
      <w:r w:rsidRPr="000069BA">
        <w:rPr>
          <w:rFonts w:asciiTheme="majorBidi" w:eastAsia="Calibri" w:hAnsiTheme="majorBidi" w:cstheme="majorBidi"/>
        </w:rPr>
        <w:t>July</w:t>
      </w:r>
      <w:proofErr w:type="spellEnd"/>
      <w:r w:rsidRPr="000069BA">
        <w:rPr>
          <w:rFonts w:asciiTheme="majorBidi" w:eastAsia="Calibri" w:hAnsiTheme="majorBidi" w:cstheme="majorBidi"/>
        </w:rPr>
        <w:t xml:space="preserve"> 2021: https://www.sciencedirect.com/science/article/pii/S2666776221001629?via%3Dihub</w:t>
      </w:r>
    </w:p>
  </w:footnote>
  <w:footnote w:id="6">
    <w:p w14:paraId="7EA99D38" w14:textId="350FBFBB" w:rsidR="006B4E5C" w:rsidRPr="00BF134F" w:rsidRDefault="006B4E5C">
      <w:pPr>
        <w:pStyle w:val="FootnoteText"/>
        <w:rPr>
          <w:rFonts w:asciiTheme="majorBidi" w:hAnsiTheme="majorBidi" w:cstheme="majorBidi"/>
        </w:rPr>
      </w:pPr>
      <w:r w:rsidRPr="00BF134F">
        <w:rPr>
          <w:rStyle w:val="FootnoteReference"/>
          <w:rFonts w:asciiTheme="majorBidi" w:hAnsiTheme="majorBidi" w:cstheme="majorBidi"/>
        </w:rPr>
        <w:footnoteRef/>
      </w:r>
      <w:r w:rsidRPr="00BF134F">
        <w:rPr>
          <w:rFonts w:asciiTheme="majorBidi" w:hAnsiTheme="majorBidi" w:cstheme="majorBidi"/>
        </w:rPr>
        <w:t xml:space="preserve"> </w:t>
      </w:r>
      <w:r w:rsidRPr="00BF134F">
        <w:rPr>
          <w:rFonts w:asciiTheme="majorBidi" w:hAnsiTheme="majorBidi" w:cstheme="majorBidi"/>
        </w:rPr>
        <w:t>Prognoze sniedz aptuvenu informāciju, sagatavota, turpinot līdzšinējās vakcinēšanas tendences.</w:t>
      </w:r>
    </w:p>
  </w:footnote>
  <w:footnote w:id="7">
    <w:p w14:paraId="33120C63" w14:textId="77777777" w:rsidR="00A1709B" w:rsidRDefault="00A1709B" w:rsidP="00A1709B">
      <w:pPr>
        <w:pStyle w:val="FootnoteText"/>
        <w:jc w:val="both"/>
      </w:pPr>
      <w:r>
        <w:rPr>
          <w:rStyle w:val="FootnoteReference"/>
        </w:rPr>
        <w:footnoteRef/>
      </w:r>
      <w:r>
        <w:t xml:space="preserve"> </w:t>
      </w:r>
      <w:r w:rsidRPr="00882B5D">
        <w:rPr>
          <w:rFonts w:ascii="Times New Roman" w:hAnsi="Times New Roman" w:cs="Times New Roman"/>
        </w:rPr>
        <w:t>2021.gada 19.februāra sēdē Ministru kabinets (rīkojums Nr.100 (prot. Nr. 18 52. §) rīkojums Nr.101 (prot. Nr. 18 53. §)) atbalstīja pasākumus, lai nodrošinātu jaunu Covid-19 infekcijas vīrusu celmu vai paveidu agrīnu atklāšanu, tādējādi pilnveidojot un attīstot vīrusa sekvencēšanas metodi.</w:t>
      </w:r>
    </w:p>
  </w:footnote>
  <w:footnote w:id="8">
    <w:p w14:paraId="1F839BB8" w14:textId="3F0424B6" w:rsidR="007D025D" w:rsidRPr="00E64EF0" w:rsidRDefault="007D025D" w:rsidP="007D025D">
      <w:pPr>
        <w:pStyle w:val="FootnoteText"/>
      </w:pPr>
      <w:r>
        <w:rPr>
          <w:rStyle w:val="FootnoteReference"/>
        </w:rPr>
        <w:footnoteRef/>
      </w:r>
      <w:r>
        <w:t xml:space="preserve"> </w:t>
      </w:r>
      <w:r w:rsidRPr="00E64EF0">
        <w:rPr>
          <w:rFonts w:ascii="Times New Roman" w:hAnsi="Times New Roman" w:cs="Times New Roman"/>
        </w:rPr>
        <w:t>Veicot bērnu testēšanu, jāņem vērā, ka ir nepieciešams iegūt vecāku piekrišanu</w:t>
      </w:r>
      <w:r w:rsidR="00BF134F">
        <w:rPr>
          <w:rFonts w:ascii="Times New Roman" w:hAnsi="Times New Roman" w:cs="Times New Roman"/>
        </w:rPr>
        <w:t xml:space="preserve">. </w:t>
      </w:r>
    </w:p>
  </w:footnote>
  <w:footnote w:id="9">
    <w:p w14:paraId="08839C0E" w14:textId="63FF1D2E" w:rsidR="00416057" w:rsidRPr="009C1822" w:rsidRDefault="00416057" w:rsidP="00416057">
      <w:pPr>
        <w:pStyle w:val="FootnoteText"/>
        <w:jc w:val="both"/>
        <w:rPr>
          <w:rFonts w:asciiTheme="majorBidi" w:hAnsiTheme="majorBidi" w:cstheme="majorBidi"/>
        </w:rPr>
      </w:pPr>
      <w:r w:rsidRPr="009C1822">
        <w:rPr>
          <w:rStyle w:val="FootnoteReference"/>
          <w:rFonts w:asciiTheme="majorBidi" w:hAnsiTheme="majorBidi" w:cstheme="majorBidi"/>
        </w:rPr>
        <w:footnoteRef/>
      </w:r>
      <w:r w:rsidR="00A60240" w:rsidRPr="009C1822">
        <w:rPr>
          <w:rFonts w:asciiTheme="majorBidi" w:hAnsiTheme="majorBidi" w:cstheme="majorBidi"/>
        </w:rPr>
        <w:t xml:space="preserve">ECDC </w:t>
      </w:r>
      <w:proofErr w:type="spellStart"/>
      <w:r w:rsidR="00A60240" w:rsidRPr="009C1822">
        <w:rPr>
          <w:rFonts w:asciiTheme="majorBidi" w:hAnsiTheme="majorBidi" w:cstheme="majorBidi"/>
        </w:rPr>
        <w:t>technical</w:t>
      </w:r>
      <w:proofErr w:type="spellEnd"/>
      <w:r w:rsidR="00A60240" w:rsidRPr="009C1822">
        <w:rPr>
          <w:rFonts w:asciiTheme="majorBidi" w:hAnsiTheme="majorBidi" w:cstheme="majorBidi"/>
        </w:rPr>
        <w:t xml:space="preserve"> </w:t>
      </w:r>
      <w:proofErr w:type="spellStart"/>
      <w:r w:rsidR="00A60240" w:rsidRPr="009C1822">
        <w:rPr>
          <w:rFonts w:asciiTheme="majorBidi" w:hAnsiTheme="majorBidi" w:cstheme="majorBidi"/>
        </w:rPr>
        <w:t>report</w:t>
      </w:r>
      <w:proofErr w:type="spellEnd"/>
      <w:r w:rsidR="00A60240" w:rsidRPr="009C1822">
        <w:rPr>
          <w:rFonts w:asciiTheme="majorBidi" w:hAnsiTheme="majorBidi" w:cstheme="majorBidi"/>
        </w:rPr>
        <w:t xml:space="preserve"> “COVID-19 </w:t>
      </w:r>
      <w:proofErr w:type="spellStart"/>
      <w:r w:rsidR="00A60240" w:rsidRPr="009C1822">
        <w:rPr>
          <w:rFonts w:asciiTheme="majorBidi" w:hAnsiTheme="majorBidi" w:cstheme="majorBidi"/>
        </w:rPr>
        <w:t>in</w:t>
      </w:r>
      <w:proofErr w:type="spellEnd"/>
      <w:r w:rsidR="00A60240" w:rsidRPr="009C1822">
        <w:rPr>
          <w:rFonts w:asciiTheme="majorBidi" w:hAnsiTheme="majorBidi" w:cstheme="majorBidi"/>
        </w:rPr>
        <w:t xml:space="preserve"> </w:t>
      </w:r>
      <w:proofErr w:type="spellStart"/>
      <w:r w:rsidR="00A60240" w:rsidRPr="009C1822">
        <w:rPr>
          <w:rFonts w:asciiTheme="majorBidi" w:hAnsiTheme="majorBidi" w:cstheme="majorBidi"/>
        </w:rPr>
        <w:t>children</w:t>
      </w:r>
      <w:proofErr w:type="spellEnd"/>
      <w:r w:rsidR="00A60240" w:rsidRPr="009C1822">
        <w:rPr>
          <w:rFonts w:asciiTheme="majorBidi" w:hAnsiTheme="majorBidi" w:cstheme="majorBidi"/>
        </w:rPr>
        <w:t xml:space="preserve"> </w:t>
      </w:r>
      <w:proofErr w:type="spellStart"/>
      <w:r w:rsidR="00A60240" w:rsidRPr="009C1822">
        <w:rPr>
          <w:rFonts w:asciiTheme="majorBidi" w:hAnsiTheme="majorBidi" w:cstheme="majorBidi"/>
        </w:rPr>
        <w:t>and</w:t>
      </w:r>
      <w:proofErr w:type="spellEnd"/>
      <w:r w:rsidR="00A60240" w:rsidRPr="009C1822">
        <w:rPr>
          <w:rFonts w:asciiTheme="majorBidi" w:hAnsiTheme="majorBidi" w:cstheme="majorBidi"/>
        </w:rPr>
        <w:t xml:space="preserve"> </w:t>
      </w:r>
      <w:proofErr w:type="spellStart"/>
      <w:r w:rsidR="00A60240" w:rsidRPr="009C1822">
        <w:rPr>
          <w:rFonts w:asciiTheme="majorBidi" w:hAnsiTheme="majorBidi" w:cstheme="majorBidi"/>
        </w:rPr>
        <w:t>the</w:t>
      </w:r>
      <w:proofErr w:type="spellEnd"/>
      <w:r w:rsidR="00A60240" w:rsidRPr="009C1822">
        <w:rPr>
          <w:rFonts w:asciiTheme="majorBidi" w:hAnsiTheme="majorBidi" w:cstheme="majorBidi"/>
        </w:rPr>
        <w:t xml:space="preserve"> </w:t>
      </w:r>
      <w:proofErr w:type="spellStart"/>
      <w:r w:rsidR="00A60240" w:rsidRPr="009C1822">
        <w:rPr>
          <w:rFonts w:asciiTheme="majorBidi" w:hAnsiTheme="majorBidi" w:cstheme="majorBidi"/>
        </w:rPr>
        <w:t>role</w:t>
      </w:r>
      <w:proofErr w:type="spellEnd"/>
      <w:r w:rsidR="00A60240" w:rsidRPr="009C1822">
        <w:rPr>
          <w:rFonts w:asciiTheme="majorBidi" w:hAnsiTheme="majorBidi" w:cstheme="majorBidi"/>
        </w:rPr>
        <w:t xml:space="preserve"> </w:t>
      </w:r>
      <w:proofErr w:type="spellStart"/>
      <w:r w:rsidR="00A60240" w:rsidRPr="009C1822">
        <w:rPr>
          <w:rFonts w:asciiTheme="majorBidi" w:hAnsiTheme="majorBidi" w:cstheme="majorBidi"/>
        </w:rPr>
        <w:t>of</w:t>
      </w:r>
      <w:proofErr w:type="spellEnd"/>
      <w:r w:rsidR="00A60240" w:rsidRPr="009C1822">
        <w:rPr>
          <w:rFonts w:asciiTheme="majorBidi" w:hAnsiTheme="majorBidi" w:cstheme="majorBidi"/>
        </w:rPr>
        <w:t xml:space="preserve"> </w:t>
      </w:r>
      <w:proofErr w:type="spellStart"/>
      <w:r w:rsidR="00A60240" w:rsidRPr="009C1822">
        <w:rPr>
          <w:rFonts w:asciiTheme="majorBidi" w:hAnsiTheme="majorBidi" w:cstheme="majorBidi"/>
        </w:rPr>
        <w:t>school</w:t>
      </w:r>
      <w:proofErr w:type="spellEnd"/>
      <w:r w:rsidR="00A60240" w:rsidRPr="009C1822">
        <w:rPr>
          <w:rFonts w:asciiTheme="majorBidi" w:hAnsiTheme="majorBidi" w:cstheme="majorBidi"/>
        </w:rPr>
        <w:t xml:space="preserve"> </w:t>
      </w:r>
      <w:proofErr w:type="spellStart"/>
      <w:r w:rsidR="00A60240" w:rsidRPr="009C1822">
        <w:rPr>
          <w:rFonts w:asciiTheme="majorBidi" w:hAnsiTheme="majorBidi" w:cstheme="majorBidi"/>
        </w:rPr>
        <w:t>settings</w:t>
      </w:r>
      <w:proofErr w:type="spellEnd"/>
      <w:r w:rsidR="00A60240" w:rsidRPr="009C1822">
        <w:rPr>
          <w:rFonts w:asciiTheme="majorBidi" w:hAnsiTheme="majorBidi" w:cstheme="majorBidi"/>
        </w:rPr>
        <w:t xml:space="preserve"> </w:t>
      </w:r>
      <w:proofErr w:type="spellStart"/>
      <w:r w:rsidR="00A60240" w:rsidRPr="009C1822">
        <w:rPr>
          <w:rFonts w:asciiTheme="majorBidi" w:hAnsiTheme="majorBidi" w:cstheme="majorBidi"/>
        </w:rPr>
        <w:t>in</w:t>
      </w:r>
      <w:proofErr w:type="spellEnd"/>
      <w:r w:rsidR="00A60240" w:rsidRPr="009C1822">
        <w:rPr>
          <w:rFonts w:asciiTheme="majorBidi" w:hAnsiTheme="majorBidi" w:cstheme="majorBidi"/>
        </w:rPr>
        <w:t xml:space="preserve"> </w:t>
      </w:r>
      <w:proofErr w:type="spellStart"/>
      <w:r w:rsidR="00A60240" w:rsidRPr="009C1822">
        <w:rPr>
          <w:rFonts w:asciiTheme="majorBidi" w:hAnsiTheme="majorBidi" w:cstheme="majorBidi"/>
        </w:rPr>
        <w:t>transmission</w:t>
      </w:r>
      <w:proofErr w:type="spellEnd"/>
      <w:r w:rsidR="00A60240" w:rsidRPr="009C1822">
        <w:rPr>
          <w:rFonts w:asciiTheme="majorBidi" w:hAnsiTheme="majorBidi" w:cstheme="majorBidi"/>
        </w:rPr>
        <w:t xml:space="preserve"> - </w:t>
      </w:r>
      <w:proofErr w:type="spellStart"/>
      <w:r w:rsidR="00A60240" w:rsidRPr="009C1822">
        <w:rPr>
          <w:rFonts w:asciiTheme="majorBidi" w:hAnsiTheme="majorBidi" w:cstheme="majorBidi"/>
        </w:rPr>
        <w:t>second</w:t>
      </w:r>
      <w:proofErr w:type="spellEnd"/>
      <w:r w:rsidR="00A60240" w:rsidRPr="009C1822">
        <w:rPr>
          <w:rFonts w:asciiTheme="majorBidi" w:hAnsiTheme="majorBidi" w:cstheme="majorBidi"/>
        </w:rPr>
        <w:t xml:space="preserve"> </w:t>
      </w:r>
      <w:proofErr w:type="spellStart"/>
      <w:r w:rsidR="00A60240" w:rsidRPr="009C1822">
        <w:rPr>
          <w:rFonts w:asciiTheme="majorBidi" w:hAnsiTheme="majorBidi" w:cstheme="majorBidi"/>
        </w:rPr>
        <w:t>update</w:t>
      </w:r>
      <w:proofErr w:type="spellEnd"/>
      <w:r w:rsidR="00A60240" w:rsidRPr="009C1822">
        <w:rPr>
          <w:rFonts w:asciiTheme="majorBidi" w:hAnsiTheme="majorBidi" w:cstheme="majorBidi"/>
        </w:rPr>
        <w:t xml:space="preserve">”. 8 </w:t>
      </w:r>
      <w:proofErr w:type="spellStart"/>
      <w:r w:rsidR="00A60240" w:rsidRPr="009C1822">
        <w:rPr>
          <w:rFonts w:asciiTheme="majorBidi" w:hAnsiTheme="majorBidi" w:cstheme="majorBidi"/>
        </w:rPr>
        <w:t>Jul</w:t>
      </w:r>
      <w:proofErr w:type="spellEnd"/>
      <w:r w:rsidR="00A60240" w:rsidRPr="009C1822">
        <w:rPr>
          <w:rFonts w:asciiTheme="majorBidi" w:hAnsiTheme="majorBidi" w:cstheme="majorBidi"/>
        </w:rPr>
        <w:t xml:space="preserve"> 2021, Pieejams:</w:t>
      </w:r>
      <w:r w:rsidRPr="009C1822">
        <w:rPr>
          <w:rFonts w:asciiTheme="majorBidi" w:hAnsiTheme="majorBidi" w:cstheme="majorBidi"/>
        </w:rPr>
        <w:t xml:space="preserve"> </w:t>
      </w:r>
      <w:r w:rsidRPr="009C1822">
        <w:rPr>
          <w:rFonts w:asciiTheme="majorBidi" w:hAnsiTheme="majorBidi" w:cstheme="majorBidi"/>
          <w:bdr w:val="none" w:sz="0" w:space="0" w:color="auto" w:frame="1"/>
        </w:rPr>
        <w:t>https://www.ecdc.europa.eu/en/publications-data/children-and-school-settings-covid-19-transmission</w:t>
      </w:r>
    </w:p>
  </w:footnote>
  <w:footnote w:id="10">
    <w:p w14:paraId="535A2C48" w14:textId="77777777" w:rsidR="009C1822" w:rsidRPr="009C1822" w:rsidRDefault="009C1822" w:rsidP="009C1822">
      <w:pPr>
        <w:pStyle w:val="FootnoteText"/>
        <w:rPr>
          <w:rFonts w:asciiTheme="majorBidi" w:hAnsiTheme="majorBidi" w:cstheme="majorBidi"/>
        </w:rPr>
      </w:pPr>
      <w:r w:rsidRPr="009C1822">
        <w:rPr>
          <w:rStyle w:val="FootnoteReference"/>
          <w:rFonts w:asciiTheme="majorBidi" w:hAnsiTheme="majorBidi" w:cstheme="majorBidi"/>
        </w:rPr>
        <w:footnoteRef/>
      </w:r>
      <w:r w:rsidRPr="009C1822">
        <w:rPr>
          <w:rFonts w:asciiTheme="majorBidi" w:hAnsiTheme="majorBidi" w:cstheme="majorBidi"/>
        </w:rPr>
        <w:t xml:space="preserve"> </w:t>
      </w:r>
      <w:r w:rsidRPr="009C1822">
        <w:rPr>
          <w:rFonts w:asciiTheme="majorBidi" w:hAnsiTheme="majorBidi" w:cstheme="majorBidi"/>
        </w:rPr>
        <w:t>Pieejams: https://www.izm.gov.lv/lv/media/12578/download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18CE"/>
    <w:multiLevelType w:val="hybridMultilevel"/>
    <w:tmpl w:val="681A31FC"/>
    <w:lvl w:ilvl="0" w:tplc="030A136C">
      <w:start w:val="1"/>
      <w:numFmt w:val="bullet"/>
      <w:suff w:val="space"/>
      <w:lvlText w:val=""/>
      <w:lvlJc w:val="left"/>
      <w:pPr>
        <w:ind w:left="1440" w:hanging="360"/>
      </w:pPr>
      <w:rPr>
        <w:rFonts w:ascii="Symbol" w:hAnsi="Symbol" w:hint="default"/>
      </w:rPr>
    </w:lvl>
    <w:lvl w:ilvl="1" w:tplc="062E7438">
      <w:start w:val="1"/>
      <w:numFmt w:val="bullet"/>
      <w:lvlText w:val="o"/>
      <w:lvlJc w:val="left"/>
      <w:pPr>
        <w:ind w:left="1440" w:hanging="360"/>
      </w:pPr>
      <w:rPr>
        <w:rFonts w:ascii="Courier New" w:hAnsi="Courier New" w:hint="default"/>
      </w:rPr>
    </w:lvl>
    <w:lvl w:ilvl="2" w:tplc="057A6CF4">
      <w:start w:val="1"/>
      <w:numFmt w:val="bullet"/>
      <w:lvlText w:val=""/>
      <w:lvlJc w:val="left"/>
      <w:pPr>
        <w:ind w:left="2160" w:hanging="360"/>
      </w:pPr>
      <w:rPr>
        <w:rFonts w:ascii="Wingdings" w:hAnsi="Wingdings" w:hint="default"/>
      </w:rPr>
    </w:lvl>
    <w:lvl w:ilvl="3" w:tplc="48DA6164">
      <w:start w:val="1"/>
      <w:numFmt w:val="bullet"/>
      <w:lvlText w:val=""/>
      <w:lvlJc w:val="left"/>
      <w:pPr>
        <w:ind w:left="2880" w:hanging="360"/>
      </w:pPr>
      <w:rPr>
        <w:rFonts w:ascii="Symbol" w:hAnsi="Symbol" w:hint="default"/>
      </w:rPr>
    </w:lvl>
    <w:lvl w:ilvl="4" w:tplc="C6CE5556">
      <w:start w:val="1"/>
      <w:numFmt w:val="bullet"/>
      <w:lvlText w:val="o"/>
      <w:lvlJc w:val="left"/>
      <w:pPr>
        <w:ind w:left="3600" w:hanging="360"/>
      </w:pPr>
      <w:rPr>
        <w:rFonts w:ascii="Courier New" w:hAnsi="Courier New" w:hint="default"/>
      </w:rPr>
    </w:lvl>
    <w:lvl w:ilvl="5" w:tplc="2892EBE0">
      <w:start w:val="1"/>
      <w:numFmt w:val="bullet"/>
      <w:lvlText w:val=""/>
      <w:lvlJc w:val="left"/>
      <w:pPr>
        <w:ind w:left="4320" w:hanging="360"/>
      </w:pPr>
      <w:rPr>
        <w:rFonts w:ascii="Wingdings" w:hAnsi="Wingdings" w:hint="default"/>
      </w:rPr>
    </w:lvl>
    <w:lvl w:ilvl="6" w:tplc="8A009CFC">
      <w:start w:val="1"/>
      <w:numFmt w:val="bullet"/>
      <w:lvlText w:val=""/>
      <w:lvlJc w:val="left"/>
      <w:pPr>
        <w:ind w:left="5040" w:hanging="360"/>
      </w:pPr>
      <w:rPr>
        <w:rFonts w:ascii="Symbol" w:hAnsi="Symbol" w:hint="default"/>
      </w:rPr>
    </w:lvl>
    <w:lvl w:ilvl="7" w:tplc="177C6F20">
      <w:start w:val="1"/>
      <w:numFmt w:val="bullet"/>
      <w:lvlText w:val="o"/>
      <w:lvlJc w:val="left"/>
      <w:pPr>
        <w:ind w:left="5760" w:hanging="360"/>
      </w:pPr>
      <w:rPr>
        <w:rFonts w:ascii="Courier New" w:hAnsi="Courier New" w:hint="default"/>
      </w:rPr>
    </w:lvl>
    <w:lvl w:ilvl="8" w:tplc="AA8652A2">
      <w:start w:val="1"/>
      <w:numFmt w:val="bullet"/>
      <w:lvlText w:val=""/>
      <w:lvlJc w:val="left"/>
      <w:pPr>
        <w:ind w:left="6480" w:hanging="360"/>
      </w:pPr>
      <w:rPr>
        <w:rFonts w:ascii="Wingdings" w:hAnsi="Wingdings" w:hint="default"/>
      </w:rPr>
    </w:lvl>
  </w:abstractNum>
  <w:abstractNum w:abstractNumId="1" w15:restartNumberingAfterBreak="0">
    <w:nsid w:val="15D837D5"/>
    <w:multiLevelType w:val="hybridMultilevel"/>
    <w:tmpl w:val="3CAC0760"/>
    <w:lvl w:ilvl="0" w:tplc="333E3274">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1A2454"/>
    <w:multiLevelType w:val="hybridMultilevel"/>
    <w:tmpl w:val="D76A8398"/>
    <w:lvl w:ilvl="0" w:tplc="333E3274">
      <w:numFmt w:val="bullet"/>
      <w:lvlText w:val="-"/>
      <w:lvlJc w:val="left"/>
      <w:pPr>
        <w:ind w:left="360" w:hanging="360"/>
      </w:pPr>
      <w:rPr>
        <w:rFonts w:ascii="Calibri" w:eastAsiaTheme="minorHAnsi" w:hAnsi="Calibri" w:cs="Calibri"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30307101"/>
    <w:multiLevelType w:val="hybridMultilevel"/>
    <w:tmpl w:val="F258D8DA"/>
    <w:lvl w:ilvl="0" w:tplc="FFFFFFFF">
      <w:start w:val="1"/>
      <w:numFmt w:val="bullet"/>
      <w:lvlText w:val="-"/>
      <w:lvlJc w:val="left"/>
      <w:pPr>
        <w:ind w:left="1440" w:hanging="360"/>
      </w:pPr>
      <w:rPr>
        <w:rFonts w:ascii="Calibri" w:hAnsi="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44D6187F"/>
    <w:multiLevelType w:val="multilevel"/>
    <w:tmpl w:val="CAC69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9769DB"/>
    <w:multiLevelType w:val="hybridMultilevel"/>
    <w:tmpl w:val="A3FEF65C"/>
    <w:lvl w:ilvl="0" w:tplc="6FA8FD80">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6D47FA6"/>
    <w:multiLevelType w:val="hybridMultilevel"/>
    <w:tmpl w:val="8DE0385C"/>
    <w:lvl w:ilvl="0" w:tplc="333E3274">
      <w:numFmt w:val="bullet"/>
      <w:lvlText w:val="-"/>
      <w:lvlJc w:val="left"/>
      <w:pPr>
        <w:ind w:left="360" w:hanging="360"/>
      </w:pPr>
      <w:rPr>
        <w:rFonts w:ascii="Calibri" w:eastAsiaTheme="minorHAnsi" w:hAnsi="Calibri" w:cs="Calibri"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7B9436D"/>
    <w:multiLevelType w:val="hybridMultilevel"/>
    <w:tmpl w:val="D2B4E180"/>
    <w:lvl w:ilvl="0" w:tplc="333E3274">
      <w:numFmt w:val="bullet"/>
      <w:lvlText w:val="-"/>
      <w:lvlJc w:val="left"/>
      <w:pPr>
        <w:ind w:left="360" w:hanging="360"/>
      </w:pPr>
      <w:rPr>
        <w:rFonts w:ascii="Calibri" w:eastAsiaTheme="minorHAnsi" w:hAnsi="Calibri" w:cs="Calibri"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8" w15:restartNumberingAfterBreak="0">
    <w:nsid w:val="52606BD4"/>
    <w:multiLevelType w:val="hybridMultilevel"/>
    <w:tmpl w:val="E2D6D1DA"/>
    <w:lvl w:ilvl="0" w:tplc="F25C4372">
      <w:start w:val="1"/>
      <w:numFmt w:val="upperRoman"/>
      <w:suff w:val="space"/>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39642A"/>
    <w:multiLevelType w:val="hybridMultilevel"/>
    <w:tmpl w:val="DBFCDB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625525AB"/>
    <w:multiLevelType w:val="hybridMultilevel"/>
    <w:tmpl w:val="ACC6C044"/>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33F2E"/>
    <w:multiLevelType w:val="multilevel"/>
    <w:tmpl w:val="1BBE8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7C4A28"/>
    <w:multiLevelType w:val="hybridMultilevel"/>
    <w:tmpl w:val="ECCCF424"/>
    <w:lvl w:ilvl="0" w:tplc="30C08F60">
      <w:start w:val="1"/>
      <w:numFmt w:val="bullet"/>
      <w:suff w:val="space"/>
      <w:lvlText w:val=""/>
      <w:lvlJc w:val="left"/>
      <w:pPr>
        <w:ind w:left="0" w:firstLine="432"/>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8175381"/>
    <w:multiLevelType w:val="multilevel"/>
    <w:tmpl w:val="FCEA39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2"/>
  </w:num>
  <w:num w:numId="2">
    <w:abstractNumId w:val="8"/>
  </w:num>
  <w:num w:numId="3">
    <w:abstractNumId w:val="10"/>
  </w:num>
  <w:num w:numId="4">
    <w:abstractNumId w:val="0"/>
  </w:num>
  <w:num w:numId="5">
    <w:abstractNumId w:val="4"/>
  </w:num>
  <w:num w:numId="6">
    <w:abstractNumId w:val="6"/>
  </w:num>
  <w:num w:numId="7">
    <w:abstractNumId w:val="7"/>
  </w:num>
  <w:num w:numId="8">
    <w:abstractNumId w:val="2"/>
  </w:num>
  <w:num w:numId="9">
    <w:abstractNumId w:val="13"/>
  </w:num>
  <w:num w:numId="10">
    <w:abstractNumId w:val="2"/>
  </w:num>
  <w:num w:numId="11">
    <w:abstractNumId w:val="9"/>
  </w:num>
  <w:num w:numId="12">
    <w:abstractNumId w:val="11"/>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24"/>
    <w:rsid w:val="000069BA"/>
    <w:rsid w:val="0002524E"/>
    <w:rsid w:val="00030313"/>
    <w:rsid w:val="0004231B"/>
    <w:rsid w:val="000537E1"/>
    <w:rsid w:val="000575A2"/>
    <w:rsid w:val="00057B37"/>
    <w:rsid w:val="0006276A"/>
    <w:rsid w:val="00082A97"/>
    <w:rsid w:val="000C739C"/>
    <w:rsid w:val="000E3584"/>
    <w:rsid w:val="000E363F"/>
    <w:rsid w:val="00143879"/>
    <w:rsid w:val="001500BA"/>
    <w:rsid w:val="00150FD0"/>
    <w:rsid w:val="0015359C"/>
    <w:rsid w:val="00161236"/>
    <w:rsid w:val="00181B90"/>
    <w:rsid w:val="001839DD"/>
    <w:rsid w:val="00197BE7"/>
    <w:rsid w:val="001A1813"/>
    <w:rsid w:val="001F0180"/>
    <w:rsid w:val="0023548B"/>
    <w:rsid w:val="002505F7"/>
    <w:rsid w:val="002677AD"/>
    <w:rsid w:val="002714C8"/>
    <w:rsid w:val="002726EB"/>
    <w:rsid w:val="00290D13"/>
    <w:rsid w:val="002C5486"/>
    <w:rsid w:val="002D6A39"/>
    <w:rsid w:val="00302FA1"/>
    <w:rsid w:val="0030314F"/>
    <w:rsid w:val="0030481E"/>
    <w:rsid w:val="0032730F"/>
    <w:rsid w:val="003514F8"/>
    <w:rsid w:val="003526EA"/>
    <w:rsid w:val="00373C31"/>
    <w:rsid w:val="00380626"/>
    <w:rsid w:val="00394B55"/>
    <w:rsid w:val="003B1056"/>
    <w:rsid w:val="003C52F7"/>
    <w:rsid w:val="003D0A4B"/>
    <w:rsid w:val="00411FA8"/>
    <w:rsid w:val="00416057"/>
    <w:rsid w:val="0044036D"/>
    <w:rsid w:val="004526C4"/>
    <w:rsid w:val="00457B56"/>
    <w:rsid w:val="0047236C"/>
    <w:rsid w:val="00474D67"/>
    <w:rsid w:val="00491B85"/>
    <w:rsid w:val="004A6EE5"/>
    <w:rsid w:val="004D720F"/>
    <w:rsid w:val="004E36B4"/>
    <w:rsid w:val="00506D50"/>
    <w:rsid w:val="00533A3C"/>
    <w:rsid w:val="00542B85"/>
    <w:rsid w:val="00547736"/>
    <w:rsid w:val="00557224"/>
    <w:rsid w:val="005825D4"/>
    <w:rsid w:val="00590119"/>
    <w:rsid w:val="00593EAF"/>
    <w:rsid w:val="005A41F7"/>
    <w:rsid w:val="005B2B26"/>
    <w:rsid w:val="005B4F95"/>
    <w:rsid w:val="005B677A"/>
    <w:rsid w:val="005D1C63"/>
    <w:rsid w:val="005D39C5"/>
    <w:rsid w:val="005E6A8B"/>
    <w:rsid w:val="005F762B"/>
    <w:rsid w:val="00602E12"/>
    <w:rsid w:val="0060501A"/>
    <w:rsid w:val="00613248"/>
    <w:rsid w:val="006138A2"/>
    <w:rsid w:val="006172B2"/>
    <w:rsid w:val="0063100E"/>
    <w:rsid w:val="00663737"/>
    <w:rsid w:val="0069510B"/>
    <w:rsid w:val="006A387D"/>
    <w:rsid w:val="006A7860"/>
    <w:rsid w:val="006B0166"/>
    <w:rsid w:val="006B4E5C"/>
    <w:rsid w:val="006B78BB"/>
    <w:rsid w:val="006C3F69"/>
    <w:rsid w:val="006E1EF0"/>
    <w:rsid w:val="006F5646"/>
    <w:rsid w:val="006F5A51"/>
    <w:rsid w:val="00702F60"/>
    <w:rsid w:val="00706488"/>
    <w:rsid w:val="00727558"/>
    <w:rsid w:val="00733C59"/>
    <w:rsid w:val="00744925"/>
    <w:rsid w:val="007542FC"/>
    <w:rsid w:val="0077444F"/>
    <w:rsid w:val="007918F0"/>
    <w:rsid w:val="007B0556"/>
    <w:rsid w:val="007B5447"/>
    <w:rsid w:val="007D025D"/>
    <w:rsid w:val="007D2977"/>
    <w:rsid w:val="007D2D46"/>
    <w:rsid w:val="007E231E"/>
    <w:rsid w:val="007E5A26"/>
    <w:rsid w:val="008119C8"/>
    <w:rsid w:val="00825480"/>
    <w:rsid w:val="00831754"/>
    <w:rsid w:val="00864803"/>
    <w:rsid w:val="00870B61"/>
    <w:rsid w:val="00882B5D"/>
    <w:rsid w:val="00893EBD"/>
    <w:rsid w:val="008A0393"/>
    <w:rsid w:val="008A0857"/>
    <w:rsid w:val="008C1307"/>
    <w:rsid w:val="008E2176"/>
    <w:rsid w:val="008F05B2"/>
    <w:rsid w:val="009134E2"/>
    <w:rsid w:val="00914327"/>
    <w:rsid w:val="00926F72"/>
    <w:rsid w:val="00933446"/>
    <w:rsid w:val="00946589"/>
    <w:rsid w:val="00957A58"/>
    <w:rsid w:val="009903BA"/>
    <w:rsid w:val="009C1822"/>
    <w:rsid w:val="009C4EE2"/>
    <w:rsid w:val="009C5617"/>
    <w:rsid w:val="009C7063"/>
    <w:rsid w:val="009D062C"/>
    <w:rsid w:val="00A00CD7"/>
    <w:rsid w:val="00A049DA"/>
    <w:rsid w:val="00A15D09"/>
    <w:rsid w:val="00A1709B"/>
    <w:rsid w:val="00A27C09"/>
    <w:rsid w:val="00A4614E"/>
    <w:rsid w:val="00A60240"/>
    <w:rsid w:val="00A71B90"/>
    <w:rsid w:val="00A80E60"/>
    <w:rsid w:val="00AA36EF"/>
    <w:rsid w:val="00AB2F96"/>
    <w:rsid w:val="00AB6FEB"/>
    <w:rsid w:val="00AE2FC5"/>
    <w:rsid w:val="00AF5C52"/>
    <w:rsid w:val="00AF6415"/>
    <w:rsid w:val="00AF7F89"/>
    <w:rsid w:val="00B040F9"/>
    <w:rsid w:val="00B13831"/>
    <w:rsid w:val="00B2433A"/>
    <w:rsid w:val="00B26783"/>
    <w:rsid w:val="00B53C7F"/>
    <w:rsid w:val="00B54CB1"/>
    <w:rsid w:val="00B56854"/>
    <w:rsid w:val="00B85086"/>
    <w:rsid w:val="00BC6F3C"/>
    <w:rsid w:val="00BD7981"/>
    <w:rsid w:val="00BE1D6D"/>
    <w:rsid w:val="00BF134F"/>
    <w:rsid w:val="00BF38FC"/>
    <w:rsid w:val="00C06B24"/>
    <w:rsid w:val="00C141CD"/>
    <w:rsid w:val="00C172CE"/>
    <w:rsid w:val="00C326D2"/>
    <w:rsid w:val="00C33C53"/>
    <w:rsid w:val="00C62ED1"/>
    <w:rsid w:val="00C75DAD"/>
    <w:rsid w:val="00C770A9"/>
    <w:rsid w:val="00C806FD"/>
    <w:rsid w:val="00C91415"/>
    <w:rsid w:val="00CD1D07"/>
    <w:rsid w:val="00CD41EF"/>
    <w:rsid w:val="00CE5278"/>
    <w:rsid w:val="00CE7737"/>
    <w:rsid w:val="00D03DB6"/>
    <w:rsid w:val="00D43BFE"/>
    <w:rsid w:val="00D8171A"/>
    <w:rsid w:val="00DB164C"/>
    <w:rsid w:val="00DB2A7D"/>
    <w:rsid w:val="00DC5248"/>
    <w:rsid w:val="00DE12DA"/>
    <w:rsid w:val="00E03FB7"/>
    <w:rsid w:val="00E12305"/>
    <w:rsid w:val="00E46EAB"/>
    <w:rsid w:val="00E64EF0"/>
    <w:rsid w:val="00E70D29"/>
    <w:rsid w:val="00E8797D"/>
    <w:rsid w:val="00EA3513"/>
    <w:rsid w:val="00EC1969"/>
    <w:rsid w:val="00ED20F5"/>
    <w:rsid w:val="00ED4182"/>
    <w:rsid w:val="00EE1D04"/>
    <w:rsid w:val="00EF29E9"/>
    <w:rsid w:val="00F04246"/>
    <w:rsid w:val="00F07137"/>
    <w:rsid w:val="00F25FB4"/>
    <w:rsid w:val="00F2765C"/>
    <w:rsid w:val="00F30A36"/>
    <w:rsid w:val="00F40D7B"/>
    <w:rsid w:val="00F53983"/>
    <w:rsid w:val="00F6310D"/>
    <w:rsid w:val="00F65444"/>
    <w:rsid w:val="00F803A1"/>
    <w:rsid w:val="00FA4E86"/>
    <w:rsid w:val="00FD26CA"/>
    <w:rsid w:val="00FD6014"/>
    <w:rsid w:val="00FE091B"/>
    <w:rsid w:val="00FF60F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08E9"/>
  <w15:chartTrackingRefBased/>
  <w15:docId w15:val="{76AACDD2-61D1-4172-B125-4AB9799F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3831"/>
    <w:pPr>
      <w:keepNext/>
      <w:keepLines/>
      <w:spacing w:before="40" w:after="0"/>
      <w:jc w:val="center"/>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H&amp;P List Paragraph,Strip,Colorful List - Accent 12,List Paragraph1,List1,Saraksta rindkopa1,Normal bullet 2,Bullet list,Bullet 1,Bullet Points,Dot pt,F5 List Paragraph,IFCL - List Paragraph,Indicator Text,MAIN CONTE"/>
    <w:basedOn w:val="Normal"/>
    <w:link w:val="ListParagraphChar"/>
    <w:uiPriority w:val="34"/>
    <w:qFormat/>
    <w:rsid w:val="00E12305"/>
    <w:pPr>
      <w:ind w:left="720"/>
      <w:contextualSpacing/>
    </w:pPr>
  </w:style>
  <w:style w:type="character" w:customStyle="1" w:styleId="Heading2Char">
    <w:name w:val="Heading 2 Char"/>
    <w:basedOn w:val="DefaultParagraphFont"/>
    <w:link w:val="Heading2"/>
    <w:uiPriority w:val="9"/>
    <w:rsid w:val="00B13831"/>
    <w:rPr>
      <w:rFonts w:ascii="Times New Roman" w:eastAsiaTheme="majorEastAsia" w:hAnsi="Times New Roman" w:cstheme="majorBidi"/>
      <w:b/>
      <w:sz w:val="26"/>
      <w:szCs w:val="26"/>
    </w:rPr>
  </w:style>
  <w:style w:type="character" w:customStyle="1" w:styleId="ListParagraphChar">
    <w:name w:val="List Paragraph Char"/>
    <w:aliases w:val="2 Char,Akapit z listą BS Char,H&amp;P List Paragraph Char,Strip Char,Colorful List - Accent 12 Char,List Paragraph1 Char,List1 Char,Saraksta rindkopa1 Char,Normal bullet 2 Char,Bullet list Char,Bullet 1 Char,Bullet Points Char"/>
    <w:link w:val="ListParagraph"/>
    <w:uiPriority w:val="34"/>
    <w:qFormat/>
    <w:locked/>
    <w:rsid w:val="00C75DAD"/>
  </w:style>
  <w:style w:type="paragraph" w:styleId="FootnoteText">
    <w:name w:val="footnote text"/>
    <w:aliases w:val="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663737"/>
    <w:pPr>
      <w:spacing w:after="0" w:line="240" w:lineRule="auto"/>
    </w:pPr>
    <w:rPr>
      <w:sz w:val="20"/>
      <w:szCs w:val="20"/>
    </w:rPr>
  </w:style>
  <w:style w:type="character" w:customStyle="1" w:styleId="FootnoteTextChar">
    <w:name w:val="Footnote Text Char"/>
    <w:aliases w:val="Fußnote Char,Fußnotentext Char Char1,Fußnotentext Char1 Char1 Char,Fußnotentext Char Char Char Char Char,Fußnotentext Char1 Char Char Char Char1,Fußnotentext Char Char Char,Fußnotentext Char1 Char Char Char Char Char,Fußn Char"/>
    <w:basedOn w:val="DefaultParagraphFont"/>
    <w:link w:val="FootnoteText"/>
    <w:uiPriority w:val="99"/>
    <w:rsid w:val="00663737"/>
    <w:rPr>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stylish,ftref"/>
    <w:basedOn w:val="DefaultParagraphFont"/>
    <w:link w:val="FootnotesymbolCarZchn"/>
    <w:uiPriority w:val="99"/>
    <w:unhideWhenUsed/>
    <w:qFormat/>
    <w:rsid w:val="0066373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663737"/>
    <w:pPr>
      <w:spacing w:line="240" w:lineRule="exact"/>
      <w:jc w:val="both"/>
    </w:pPr>
    <w:rPr>
      <w:vertAlign w:val="superscript"/>
    </w:rPr>
  </w:style>
  <w:style w:type="character" w:styleId="Hyperlink">
    <w:name w:val="Hyperlink"/>
    <w:basedOn w:val="DefaultParagraphFont"/>
    <w:uiPriority w:val="99"/>
    <w:unhideWhenUsed/>
    <w:rsid w:val="00ED4182"/>
    <w:rPr>
      <w:color w:val="0563C1" w:themeColor="hyperlink"/>
      <w:u w:val="single"/>
    </w:rPr>
  </w:style>
  <w:style w:type="character" w:styleId="CommentReference">
    <w:name w:val="annotation reference"/>
    <w:basedOn w:val="DefaultParagraphFont"/>
    <w:uiPriority w:val="99"/>
    <w:semiHidden/>
    <w:unhideWhenUsed/>
    <w:rsid w:val="00727558"/>
    <w:rPr>
      <w:sz w:val="16"/>
      <w:szCs w:val="16"/>
    </w:rPr>
  </w:style>
  <w:style w:type="paragraph" w:styleId="CommentText">
    <w:name w:val="annotation text"/>
    <w:basedOn w:val="Normal"/>
    <w:link w:val="CommentTextChar"/>
    <w:uiPriority w:val="99"/>
    <w:semiHidden/>
    <w:unhideWhenUsed/>
    <w:rsid w:val="00727558"/>
    <w:pPr>
      <w:spacing w:line="240" w:lineRule="auto"/>
    </w:pPr>
    <w:rPr>
      <w:sz w:val="20"/>
      <w:szCs w:val="20"/>
    </w:rPr>
  </w:style>
  <w:style w:type="character" w:customStyle="1" w:styleId="CommentTextChar">
    <w:name w:val="Comment Text Char"/>
    <w:basedOn w:val="DefaultParagraphFont"/>
    <w:link w:val="CommentText"/>
    <w:uiPriority w:val="99"/>
    <w:semiHidden/>
    <w:rsid w:val="00727558"/>
    <w:rPr>
      <w:sz w:val="20"/>
      <w:szCs w:val="20"/>
    </w:rPr>
  </w:style>
  <w:style w:type="paragraph" w:styleId="CommentSubject">
    <w:name w:val="annotation subject"/>
    <w:basedOn w:val="CommentText"/>
    <w:next w:val="CommentText"/>
    <w:link w:val="CommentSubjectChar"/>
    <w:uiPriority w:val="99"/>
    <w:semiHidden/>
    <w:unhideWhenUsed/>
    <w:rsid w:val="00727558"/>
    <w:rPr>
      <w:b/>
      <w:bCs/>
    </w:rPr>
  </w:style>
  <w:style w:type="character" w:customStyle="1" w:styleId="CommentSubjectChar">
    <w:name w:val="Comment Subject Char"/>
    <w:basedOn w:val="CommentTextChar"/>
    <w:link w:val="CommentSubject"/>
    <w:uiPriority w:val="99"/>
    <w:semiHidden/>
    <w:rsid w:val="00727558"/>
    <w:rPr>
      <w:b/>
      <w:bCs/>
      <w:sz w:val="20"/>
      <w:szCs w:val="20"/>
    </w:rPr>
  </w:style>
  <w:style w:type="paragraph" w:styleId="NormalWeb">
    <w:name w:val="Normal (Web)"/>
    <w:basedOn w:val="Normal"/>
    <w:uiPriority w:val="99"/>
    <w:unhideWhenUsed/>
    <w:rsid w:val="00DB2A7D"/>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7B0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26CA"/>
    <w:rPr>
      <w:color w:val="954F72" w:themeColor="followedHyperlink"/>
      <w:u w:val="single"/>
    </w:rPr>
  </w:style>
  <w:style w:type="character" w:styleId="UnresolvedMention">
    <w:name w:val="Unresolved Mention"/>
    <w:basedOn w:val="DefaultParagraphFont"/>
    <w:uiPriority w:val="99"/>
    <w:semiHidden/>
    <w:unhideWhenUsed/>
    <w:rsid w:val="002C5486"/>
    <w:rPr>
      <w:color w:val="605E5C"/>
      <w:shd w:val="clear" w:color="auto" w:fill="E1DFDD"/>
    </w:rPr>
  </w:style>
  <w:style w:type="paragraph" w:styleId="Revision">
    <w:name w:val="Revision"/>
    <w:hidden/>
    <w:uiPriority w:val="99"/>
    <w:semiHidden/>
    <w:rsid w:val="009465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453">
      <w:bodyDiv w:val="1"/>
      <w:marLeft w:val="0"/>
      <w:marRight w:val="0"/>
      <w:marTop w:val="0"/>
      <w:marBottom w:val="0"/>
      <w:divBdr>
        <w:top w:val="none" w:sz="0" w:space="0" w:color="auto"/>
        <w:left w:val="none" w:sz="0" w:space="0" w:color="auto"/>
        <w:bottom w:val="none" w:sz="0" w:space="0" w:color="auto"/>
        <w:right w:val="none" w:sz="0" w:space="0" w:color="auto"/>
      </w:divBdr>
      <w:divsChild>
        <w:div w:id="2034844755">
          <w:marLeft w:val="0"/>
          <w:marRight w:val="0"/>
          <w:marTop w:val="0"/>
          <w:marBottom w:val="0"/>
          <w:divBdr>
            <w:top w:val="none" w:sz="0" w:space="0" w:color="auto"/>
            <w:left w:val="none" w:sz="0" w:space="0" w:color="auto"/>
            <w:bottom w:val="none" w:sz="0" w:space="0" w:color="auto"/>
            <w:right w:val="none" w:sz="0" w:space="0" w:color="auto"/>
          </w:divBdr>
        </w:div>
        <w:div w:id="934020434">
          <w:marLeft w:val="0"/>
          <w:marRight w:val="0"/>
          <w:marTop w:val="0"/>
          <w:marBottom w:val="0"/>
          <w:divBdr>
            <w:top w:val="none" w:sz="0" w:space="0" w:color="auto"/>
            <w:left w:val="none" w:sz="0" w:space="0" w:color="auto"/>
            <w:bottom w:val="none" w:sz="0" w:space="0" w:color="auto"/>
            <w:right w:val="none" w:sz="0" w:space="0" w:color="auto"/>
          </w:divBdr>
        </w:div>
        <w:div w:id="579488032">
          <w:marLeft w:val="0"/>
          <w:marRight w:val="0"/>
          <w:marTop w:val="0"/>
          <w:marBottom w:val="0"/>
          <w:divBdr>
            <w:top w:val="none" w:sz="0" w:space="0" w:color="auto"/>
            <w:left w:val="none" w:sz="0" w:space="0" w:color="auto"/>
            <w:bottom w:val="none" w:sz="0" w:space="0" w:color="auto"/>
            <w:right w:val="none" w:sz="0" w:space="0" w:color="auto"/>
          </w:divBdr>
        </w:div>
        <w:div w:id="1786345284">
          <w:marLeft w:val="0"/>
          <w:marRight w:val="0"/>
          <w:marTop w:val="0"/>
          <w:marBottom w:val="0"/>
          <w:divBdr>
            <w:top w:val="none" w:sz="0" w:space="0" w:color="auto"/>
            <w:left w:val="none" w:sz="0" w:space="0" w:color="auto"/>
            <w:bottom w:val="none" w:sz="0" w:space="0" w:color="auto"/>
            <w:right w:val="none" w:sz="0" w:space="0" w:color="auto"/>
          </w:divBdr>
        </w:div>
      </w:divsChild>
    </w:div>
    <w:div w:id="159659473">
      <w:bodyDiv w:val="1"/>
      <w:marLeft w:val="0"/>
      <w:marRight w:val="0"/>
      <w:marTop w:val="0"/>
      <w:marBottom w:val="0"/>
      <w:divBdr>
        <w:top w:val="none" w:sz="0" w:space="0" w:color="auto"/>
        <w:left w:val="none" w:sz="0" w:space="0" w:color="auto"/>
        <w:bottom w:val="none" w:sz="0" w:space="0" w:color="auto"/>
        <w:right w:val="none" w:sz="0" w:space="0" w:color="auto"/>
      </w:divBdr>
    </w:div>
    <w:div w:id="221064792">
      <w:bodyDiv w:val="1"/>
      <w:marLeft w:val="0"/>
      <w:marRight w:val="0"/>
      <w:marTop w:val="0"/>
      <w:marBottom w:val="0"/>
      <w:divBdr>
        <w:top w:val="none" w:sz="0" w:space="0" w:color="auto"/>
        <w:left w:val="none" w:sz="0" w:space="0" w:color="auto"/>
        <w:bottom w:val="none" w:sz="0" w:space="0" w:color="auto"/>
        <w:right w:val="none" w:sz="0" w:space="0" w:color="auto"/>
      </w:divBdr>
    </w:div>
    <w:div w:id="245002149">
      <w:bodyDiv w:val="1"/>
      <w:marLeft w:val="0"/>
      <w:marRight w:val="0"/>
      <w:marTop w:val="0"/>
      <w:marBottom w:val="0"/>
      <w:divBdr>
        <w:top w:val="none" w:sz="0" w:space="0" w:color="auto"/>
        <w:left w:val="none" w:sz="0" w:space="0" w:color="auto"/>
        <w:bottom w:val="none" w:sz="0" w:space="0" w:color="auto"/>
        <w:right w:val="none" w:sz="0" w:space="0" w:color="auto"/>
      </w:divBdr>
    </w:div>
    <w:div w:id="271671421">
      <w:bodyDiv w:val="1"/>
      <w:marLeft w:val="0"/>
      <w:marRight w:val="0"/>
      <w:marTop w:val="0"/>
      <w:marBottom w:val="0"/>
      <w:divBdr>
        <w:top w:val="none" w:sz="0" w:space="0" w:color="auto"/>
        <w:left w:val="none" w:sz="0" w:space="0" w:color="auto"/>
        <w:bottom w:val="none" w:sz="0" w:space="0" w:color="auto"/>
        <w:right w:val="none" w:sz="0" w:space="0" w:color="auto"/>
      </w:divBdr>
    </w:div>
    <w:div w:id="401368603">
      <w:bodyDiv w:val="1"/>
      <w:marLeft w:val="0"/>
      <w:marRight w:val="0"/>
      <w:marTop w:val="0"/>
      <w:marBottom w:val="0"/>
      <w:divBdr>
        <w:top w:val="none" w:sz="0" w:space="0" w:color="auto"/>
        <w:left w:val="none" w:sz="0" w:space="0" w:color="auto"/>
        <w:bottom w:val="none" w:sz="0" w:space="0" w:color="auto"/>
        <w:right w:val="none" w:sz="0" w:space="0" w:color="auto"/>
      </w:divBdr>
      <w:divsChild>
        <w:div w:id="1925531571">
          <w:marLeft w:val="0"/>
          <w:marRight w:val="0"/>
          <w:marTop w:val="0"/>
          <w:marBottom w:val="0"/>
          <w:divBdr>
            <w:top w:val="none" w:sz="0" w:space="0" w:color="auto"/>
            <w:left w:val="none" w:sz="0" w:space="0" w:color="auto"/>
            <w:bottom w:val="none" w:sz="0" w:space="0" w:color="auto"/>
            <w:right w:val="none" w:sz="0" w:space="0" w:color="auto"/>
          </w:divBdr>
        </w:div>
        <w:div w:id="1244679757">
          <w:marLeft w:val="0"/>
          <w:marRight w:val="0"/>
          <w:marTop w:val="0"/>
          <w:marBottom w:val="0"/>
          <w:divBdr>
            <w:top w:val="none" w:sz="0" w:space="0" w:color="auto"/>
            <w:left w:val="none" w:sz="0" w:space="0" w:color="auto"/>
            <w:bottom w:val="none" w:sz="0" w:space="0" w:color="auto"/>
            <w:right w:val="none" w:sz="0" w:space="0" w:color="auto"/>
          </w:divBdr>
        </w:div>
        <w:div w:id="1949464641">
          <w:marLeft w:val="0"/>
          <w:marRight w:val="0"/>
          <w:marTop w:val="0"/>
          <w:marBottom w:val="0"/>
          <w:divBdr>
            <w:top w:val="none" w:sz="0" w:space="0" w:color="auto"/>
            <w:left w:val="none" w:sz="0" w:space="0" w:color="auto"/>
            <w:bottom w:val="none" w:sz="0" w:space="0" w:color="auto"/>
            <w:right w:val="none" w:sz="0" w:space="0" w:color="auto"/>
          </w:divBdr>
        </w:div>
        <w:div w:id="2048752158">
          <w:marLeft w:val="0"/>
          <w:marRight w:val="0"/>
          <w:marTop w:val="0"/>
          <w:marBottom w:val="0"/>
          <w:divBdr>
            <w:top w:val="none" w:sz="0" w:space="0" w:color="auto"/>
            <w:left w:val="none" w:sz="0" w:space="0" w:color="auto"/>
            <w:bottom w:val="none" w:sz="0" w:space="0" w:color="auto"/>
            <w:right w:val="none" w:sz="0" w:space="0" w:color="auto"/>
          </w:divBdr>
        </w:div>
        <w:div w:id="1977487518">
          <w:marLeft w:val="0"/>
          <w:marRight w:val="0"/>
          <w:marTop w:val="0"/>
          <w:marBottom w:val="0"/>
          <w:divBdr>
            <w:top w:val="none" w:sz="0" w:space="0" w:color="auto"/>
            <w:left w:val="none" w:sz="0" w:space="0" w:color="auto"/>
            <w:bottom w:val="none" w:sz="0" w:space="0" w:color="auto"/>
            <w:right w:val="none" w:sz="0" w:space="0" w:color="auto"/>
          </w:divBdr>
          <w:divsChild>
            <w:div w:id="18541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0424">
      <w:bodyDiv w:val="1"/>
      <w:marLeft w:val="0"/>
      <w:marRight w:val="0"/>
      <w:marTop w:val="0"/>
      <w:marBottom w:val="0"/>
      <w:divBdr>
        <w:top w:val="none" w:sz="0" w:space="0" w:color="auto"/>
        <w:left w:val="none" w:sz="0" w:space="0" w:color="auto"/>
        <w:bottom w:val="none" w:sz="0" w:space="0" w:color="auto"/>
        <w:right w:val="none" w:sz="0" w:space="0" w:color="auto"/>
      </w:divBdr>
    </w:div>
    <w:div w:id="617955237">
      <w:bodyDiv w:val="1"/>
      <w:marLeft w:val="0"/>
      <w:marRight w:val="0"/>
      <w:marTop w:val="0"/>
      <w:marBottom w:val="0"/>
      <w:divBdr>
        <w:top w:val="none" w:sz="0" w:space="0" w:color="auto"/>
        <w:left w:val="none" w:sz="0" w:space="0" w:color="auto"/>
        <w:bottom w:val="none" w:sz="0" w:space="0" w:color="auto"/>
        <w:right w:val="none" w:sz="0" w:space="0" w:color="auto"/>
      </w:divBdr>
      <w:divsChild>
        <w:div w:id="2096122332">
          <w:marLeft w:val="0"/>
          <w:marRight w:val="0"/>
          <w:marTop w:val="0"/>
          <w:marBottom w:val="0"/>
          <w:divBdr>
            <w:top w:val="none" w:sz="0" w:space="0" w:color="auto"/>
            <w:left w:val="none" w:sz="0" w:space="0" w:color="auto"/>
            <w:bottom w:val="none" w:sz="0" w:space="0" w:color="auto"/>
            <w:right w:val="none" w:sz="0" w:space="0" w:color="auto"/>
          </w:divBdr>
        </w:div>
      </w:divsChild>
    </w:div>
    <w:div w:id="698361498">
      <w:bodyDiv w:val="1"/>
      <w:marLeft w:val="0"/>
      <w:marRight w:val="0"/>
      <w:marTop w:val="0"/>
      <w:marBottom w:val="0"/>
      <w:divBdr>
        <w:top w:val="none" w:sz="0" w:space="0" w:color="auto"/>
        <w:left w:val="none" w:sz="0" w:space="0" w:color="auto"/>
        <w:bottom w:val="none" w:sz="0" w:space="0" w:color="auto"/>
        <w:right w:val="none" w:sz="0" w:space="0" w:color="auto"/>
      </w:divBdr>
      <w:divsChild>
        <w:div w:id="714547437">
          <w:marLeft w:val="0"/>
          <w:marRight w:val="0"/>
          <w:marTop w:val="0"/>
          <w:marBottom w:val="0"/>
          <w:divBdr>
            <w:top w:val="none" w:sz="0" w:space="0" w:color="auto"/>
            <w:left w:val="none" w:sz="0" w:space="0" w:color="auto"/>
            <w:bottom w:val="none" w:sz="0" w:space="0" w:color="auto"/>
            <w:right w:val="none" w:sz="0" w:space="0" w:color="auto"/>
          </w:divBdr>
        </w:div>
      </w:divsChild>
    </w:div>
    <w:div w:id="1071006457">
      <w:bodyDiv w:val="1"/>
      <w:marLeft w:val="0"/>
      <w:marRight w:val="0"/>
      <w:marTop w:val="0"/>
      <w:marBottom w:val="0"/>
      <w:divBdr>
        <w:top w:val="none" w:sz="0" w:space="0" w:color="auto"/>
        <w:left w:val="none" w:sz="0" w:space="0" w:color="auto"/>
        <w:bottom w:val="none" w:sz="0" w:space="0" w:color="auto"/>
        <w:right w:val="none" w:sz="0" w:space="0" w:color="auto"/>
      </w:divBdr>
    </w:div>
    <w:div w:id="1299217600">
      <w:bodyDiv w:val="1"/>
      <w:marLeft w:val="0"/>
      <w:marRight w:val="0"/>
      <w:marTop w:val="0"/>
      <w:marBottom w:val="0"/>
      <w:divBdr>
        <w:top w:val="none" w:sz="0" w:space="0" w:color="auto"/>
        <w:left w:val="none" w:sz="0" w:space="0" w:color="auto"/>
        <w:bottom w:val="none" w:sz="0" w:space="0" w:color="auto"/>
        <w:right w:val="none" w:sz="0" w:space="0" w:color="auto"/>
      </w:divBdr>
      <w:divsChild>
        <w:div w:id="2042314587">
          <w:marLeft w:val="0"/>
          <w:marRight w:val="0"/>
          <w:marTop w:val="0"/>
          <w:marBottom w:val="0"/>
          <w:divBdr>
            <w:top w:val="none" w:sz="0" w:space="0" w:color="auto"/>
            <w:left w:val="none" w:sz="0" w:space="0" w:color="auto"/>
            <w:bottom w:val="none" w:sz="0" w:space="0" w:color="auto"/>
            <w:right w:val="none" w:sz="0" w:space="0" w:color="auto"/>
          </w:divBdr>
        </w:div>
        <w:div w:id="652753464">
          <w:marLeft w:val="0"/>
          <w:marRight w:val="0"/>
          <w:marTop w:val="0"/>
          <w:marBottom w:val="0"/>
          <w:divBdr>
            <w:top w:val="none" w:sz="0" w:space="0" w:color="auto"/>
            <w:left w:val="none" w:sz="0" w:space="0" w:color="auto"/>
            <w:bottom w:val="none" w:sz="0" w:space="0" w:color="auto"/>
            <w:right w:val="none" w:sz="0" w:space="0" w:color="auto"/>
          </w:divBdr>
        </w:div>
        <w:div w:id="392236805">
          <w:marLeft w:val="0"/>
          <w:marRight w:val="0"/>
          <w:marTop w:val="0"/>
          <w:marBottom w:val="0"/>
          <w:divBdr>
            <w:top w:val="none" w:sz="0" w:space="0" w:color="auto"/>
            <w:left w:val="none" w:sz="0" w:space="0" w:color="auto"/>
            <w:bottom w:val="none" w:sz="0" w:space="0" w:color="auto"/>
            <w:right w:val="none" w:sz="0" w:space="0" w:color="auto"/>
          </w:divBdr>
        </w:div>
        <w:div w:id="1261525292">
          <w:marLeft w:val="0"/>
          <w:marRight w:val="0"/>
          <w:marTop w:val="0"/>
          <w:marBottom w:val="0"/>
          <w:divBdr>
            <w:top w:val="none" w:sz="0" w:space="0" w:color="auto"/>
            <w:left w:val="none" w:sz="0" w:space="0" w:color="auto"/>
            <w:bottom w:val="none" w:sz="0" w:space="0" w:color="auto"/>
            <w:right w:val="none" w:sz="0" w:space="0" w:color="auto"/>
          </w:divBdr>
        </w:div>
        <w:div w:id="231736269">
          <w:marLeft w:val="0"/>
          <w:marRight w:val="0"/>
          <w:marTop w:val="0"/>
          <w:marBottom w:val="0"/>
          <w:divBdr>
            <w:top w:val="none" w:sz="0" w:space="0" w:color="auto"/>
            <w:left w:val="none" w:sz="0" w:space="0" w:color="auto"/>
            <w:bottom w:val="none" w:sz="0" w:space="0" w:color="auto"/>
            <w:right w:val="none" w:sz="0" w:space="0" w:color="auto"/>
          </w:divBdr>
        </w:div>
        <w:div w:id="1418668083">
          <w:marLeft w:val="0"/>
          <w:marRight w:val="0"/>
          <w:marTop w:val="0"/>
          <w:marBottom w:val="0"/>
          <w:divBdr>
            <w:top w:val="none" w:sz="0" w:space="0" w:color="auto"/>
            <w:left w:val="none" w:sz="0" w:space="0" w:color="auto"/>
            <w:bottom w:val="none" w:sz="0" w:space="0" w:color="auto"/>
            <w:right w:val="none" w:sz="0" w:space="0" w:color="auto"/>
          </w:divBdr>
        </w:div>
        <w:div w:id="1304314126">
          <w:marLeft w:val="0"/>
          <w:marRight w:val="0"/>
          <w:marTop w:val="0"/>
          <w:marBottom w:val="0"/>
          <w:divBdr>
            <w:top w:val="none" w:sz="0" w:space="0" w:color="auto"/>
            <w:left w:val="none" w:sz="0" w:space="0" w:color="auto"/>
            <w:bottom w:val="none" w:sz="0" w:space="0" w:color="auto"/>
            <w:right w:val="none" w:sz="0" w:space="0" w:color="auto"/>
          </w:divBdr>
        </w:div>
      </w:divsChild>
    </w:div>
    <w:div w:id="1332833632">
      <w:bodyDiv w:val="1"/>
      <w:marLeft w:val="0"/>
      <w:marRight w:val="0"/>
      <w:marTop w:val="0"/>
      <w:marBottom w:val="0"/>
      <w:divBdr>
        <w:top w:val="none" w:sz="0" w:space="0" w:color="auto"/>
        <w:left w:val="none" w:sz="0" w:space="0" w:color="auto"/>
        <w:bottom w:val="none" w:sz="0" w:space="0" w:color="auto"/>
        <w:right w:val="none" w:sz="0" w:space="0" w:color="auto"/>
      </w:divBdr>
    </w:div>
    <w:div w:id="1531919180">
      <w:bodyDiv w:val="1"/>
      <w:marLeft w:val="0"/>
      <w:marRight w:val="0"/>
      <w:marTop w:val="0"/>
      <w:marBottom w:val="0"/>
      <w:divBdr>
        <w:top w:val="none" w:sz="0" w:space="0" w:color="auto"/>
        <w:left w:val="none" w:sz="0" w:space="0" w:color="auto"/>
        <w:bottom w:val="none" w:sz="0" w:space="0" w:color="auto"/>
        <w:right w:val="none" w:sz="0" w:space="0" w:color="auto"/>
      </w:divBdr>
    </w:div>
    <w:div w:id="1532839381">
      <w:bodyDiv w:val="1"/>
      <w:marLeft w:val="0"/>
      <w:marRight w:val="0"/>
      <w:marTop w:val="0"/>
      <w:marBottom w:val="0"/>
      <w:divBdr>
        <w:top w:val="none" w:sz="0" w:space="0" w:color="auto"/>
        <w:left w:val="none" w:sz="0" w:space="0" w:color="auto"/>
        <w:bottom w:val="none" w:sz="0" w:space="0" w:color="auto"/>
        <w:right w:val="none" w:sz="0" w:space="0" w:color="auto"/>
      </w:divBdr>
    </w:div>
    <w:div w:id="1612589984">
      <w:bodyDiv w:val="1"/>
      <w:marLeft w:val="0"/>
      <w:marRight w:val="0"/>
      <w:marTop w:val="0"/>
      <w:marBottom w:val="0"/>
      <w:divBdr>
        <w:top w:val="none" w:sz="0" w:space="0" w:color="auto"/>
        <w:left w:val="none" w:sz="0" w:space="0" w:color="auto"/>
        <w:bottom w:val="none" w:sz="0" w:space="0" w:color="auto"/>
        <w:right w:val="none" w:sz="0" w:space="0" w:color="auto"/>
      </w:divBdr>
    </w:div>
    <w:div w:id="1728261449">
      <w:bodyDiv w:val="1"/>
      <w:marLeft w:val="0"/>
      <w:marRight w:val="0"/>
      <w:marTop w:val="0"/>
      <w:marBottom w:val="0"/>
      <w:divBdr>
        <w:top w:val="none" w:sz="0" w:space="0" w:color="auto"/>
        <w:left w:val="none" w:sz="0" w:space="0" w:color="auto"/>
        <w:bottom w:val="none" w:sz="0" w:space="0" w:color="auto"/>
        <w:right w:val="none" w:sz="0" w:space="0" w:color="auto"/>
      </w:divBdr>
    </w:div>
    <w:div w:id="1898782598">
      <w:bodyDiv w:val="1"/>
      <w:marLeft w:val="0"/>
      <w:marRight w:val="0"/>
      <w:marTop w:val="0"/>
      <w:marBottom w:val="0"/>
      <w:divBdr>
        <w:top w:val="none" w:sz="0" w:space="0" w:color="auto"/>
        <w:left w:val="none" w:sz="0" w:space="0" w:color="auto"/>
        <w:bottom w:val="none" w:sz="0" w:space="0" w:color="auto"/>
        <w:right w:val="none" w:sz="0" w:space="0" w:color="auto"/>
      </w:divBdr>
    </w:div>
    <w:div w:id="2008945020">
      <w:bodyDiv w:val="1"/>
      <w:marLeft w:val="0"/>
      <w:marRight w:val="0"/>
      <w:marTop w:val="0"/>
      <w:marBottom w:val="0"/>
      <w:divBdr>
        <w:top w:val="none" w:sz="0" w:space="0" w:color="auto"/>
        <w:left w:val="none" w:sz="0" w:space="0" w:color="auto"/>
        <w:bottom w:val="none" w:sz="0" w:space="0" w:color="auto"/>
        <w:right w:val="none" w:sz="0" w:space="0" w:color="auto"/>
      </w:divBdr>
      <w:divsChild>
        <w:div w:id="1942908165">
          <w:marLeft w:val="0"/>
          <w:marRight w:val="0"/>
          <w:marTop w:val="0"/>
          <w:marBottom w:val="0"/>
          <w:divBdr>
            <w:top w:val="none" w:sz="0" w:space="0" w:color="auto"/>
            <w:left w:val="none" w:sz="0" w:space="0" w:color="auto"/>
            <w:bottom w:val="none" w:sz="0" w:space="0" w:color="auto"/>
            <w:right w:val="none" w:sz="0" w:space="0" w:color="auto"/>
          </w:divBdr>
        </w:div>
        <w:div w:id="1993243593">
          <w:marLeft w:val="0"/>
          <w:marRight w:val="0"/>
          <w:marTop w:val="0"/>
          <w:marBottom w:val="0"/>
          <w:divBdr>
            <w:top w:val="none" w:sz="0" w:space="0" w:color="auto"/>
            <w:left w:val="none" w:sz="0" w:space="0" w:color="auto"/>
            <w:bottom w:val="none" w:sz="0" w:space="0" w:color="auto"/>
            <w:right w:val="none" w:sz="0" w:space="0" w:color="auto"/>
          </w:divBdr>
        </w:div>
        <w:div w:id="1955549546">
          <w:marLeft w:val="0"/>
          <w:marRight w:val="0"/>
          <w:marTop w:val="0"/>
          <w:marBottom w:val="0"/>
          <w:divBdr>
            <w:top w:val="none" w:sz="0" w:space="0" w:color="auto"/>
            <w:left w:val="none" w:sz="0" w:space="0" w:color="auto"/>
            <w:bottom w:val="none" w:sz="0" w:space="0" w:color="auto"/>
            <w:right w:val="none" w:sz="0" w:space="0" w:color="auto"/>
          </w:divBdr>
        </w:div>
        <w:div w:id="1834448784">
          <w:marLeft w:val="0"/>
          <w:marRight w:val="0"/>
          <w:marTop w:val="0"/>
          <w:marBottom w:val="0"/>
          <w:divBdr>
            <w:top w:val="none" w:sz="0" w:space="0" w:color="auto"/>
            <w:left w:val="none" w:sz="0" w:space="0" w:color="auto"/>
            <w:bottom w:val="none" w:sz="0" w:space="0" w:color="auto"/>
            <w:right w:val="none" w:sz="0" w:space="0" w:color="auto"/>
          </w:divBdr>
        </w:div>
      </w:divsChild>
    </w:div>
    <w:div w:id="2014871144">
      <w:bodyDiv w:val="1"/>
      <w:marLeft w:val="0"/>
      <w:marRight w:val="0"/>
      <w:marTop w:val="0"/>
      <w:marBottom w:val="0"/>
      <w:divBdr>
        <w:top w:val="none" w:sz="0" w:space="0" w:color="auto"/>
        <w:left w:val="none" w:sz="0" w:space="0" w:color="auto"/>
        <w:bottom w:val="none" w:sz="0" w:space="0" w:color="auto"/>
        <w:right w:val="none" w:sz="0" w:space="0" w:color="auto"/>
      </w:divBdr>
    </w:div>
    <w:div w:id="20263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covid-19/surveillance/weekly-surveillanc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DB7CB-9251-44D0-9C39-8AB15EDC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24996</Words>
  <Characters>14249</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Reinholde</dc:creator>
  <cp:keywords/>
  <dc:description/>
  <cp:lastModifiedBy>Sanita Janka</cp:lastModifiedBy>
  <cp:revision>2</cp:revision>
  <dcterms:created xsi:type="dcterms:W3CDTF">2021-09-17T11:55:00Z</dcterms:created>
  <dcterms:modified xsi:type="dcterms:W3CDTF">2021-09-17T11:55:00Z</dcterms:modified>
</cp:coreProperties>
</file>