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A13B32" w:rsidRDefault="00E920D4" w14:paraId="4CA8B660" w14:textId="629196EA">
      <w:pPr>
        <w:jc w:val="center"/>
        <w:rPr>
          <w:b/>
          <w:bCs/>
        </w:rPr>
      </w:pPr>
      <w:bookmarkStart w:name="_Hlk46742949" w:id="0"/>
      <w:r w:rsidRPr="2B3E1191">
        <w:rPr>
          <w:b/>
          <w:bCs/>
        </w:rPr>
        <w:t>Latvijas Republikas nacionālā pozīcija Nr. 1 “</w:t>
      </w:r>
      <w:r w:rsidRPr="00A13B32" w:rsidR="00A13B32">
        <w:rPr>
          <w:b/>
          <w:bCs/>
        </w:rPr>
        <w:t>Priekšlikums Eiropas Parlamenta un Padomes Regulai, ar ko Regulas (EK) Nr. 80/2009, (ES) Nr. 996/2010 un (ES) Nr. 165/2014 groza attiecībā uz dažām ziņošanas prasībām autotransporta un aviācijas jomā</w:t>
      </w:r>
      <w:r w:rsidR="00A13B32">
        <w:rPr>
          <w:b/>
          <w:bCs/>
        </w:rPr>
        <w:t xml:space="preserve"> un </w:t>
      </w:r>
      <w:r w:rsidRPr="00A13B32" w:rsidR="00A13B32">
        <w:rPr>
          <w:b/>
          <w:bCs/>
        </w:rPr>
        <w:t>Priekšlikums Eiropas Parlamenta un Padomes Lēmumam, ar ko Eiropas Parlamenta un Padomes Direktīvas 2009/12/EK, 2009/33/EK un (ES) 2022/1999 un Padomes Direktīvu 96/67/EK groza attiecībā uz dažām ziņošanas prasībām autotransporta un aviācijas jomā</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7FD808F4">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A13B32" w:rsidR="00A13B32">
        <w:rPr>
          <w:b/>
          <w:bCs/>
        </w:rPr>
        <w:t>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w:t>
      </w:r>
      <w:r w:rsidRPr="00AD53ED" w:rsidR="00AD53ED">
        <w:rPr>
          <w:b/>
          <w:bCs/>
        </w:rPr>
        <w:t>”</w:t>
      </w:r>
      <w:r w:rsidRPr="2B3E1191" w:rsidR="003B7F13">
        <w:rPr>
          <w:b/>
          <w:bCs/>
        </w:rPr>
        <w:t>.</w:t>
      </w:r>
    </w:p>
    <w:p w:rsidR="00C37347" w:rsidP="2B3E1191" w:rsidRDefault="0035318A" w14:paraId="1EE9BE53" w14:textId="450A90C9">
      <w:pPr>
        <w:ind w:firstLine="720"/>
        <w:jc w:val="both"/>
        <w:rPr>
          <w:color w:val="000000" w:themeColor="text1"/>
        </w:rPr>
      </w:pPr>
      <w:r w:rsidRPr="00DF1050">
        <w:rPr>
          <w:color w:val="000000" w:themeColor="text1"/>
        </w:rPr>
        <w:t>P</w:t>
      </w:r>
      <w:r w:rsidRPr="00DF1050"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00DF1050" w:rsidR="00030A24">
        <w:rPr>
          <w:color w:val="000000" w:themeColor="text1"/>
        </w:rPr>
        <w:t xml:space="preserve"> </w:t>
      </w:r>
      <w:r w:rsidRPr="00DF1050"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077B81" w:rsidR="00077B81">
        <w:rPr>
          <w:color w:val="000000" w:themeColor="text1"/>
        </w:rPr>
        <w:t xml:space="preserve">Ārlietu ministriju, </w:t>
      </w:r>
      <w:proofErr w:type="spellStart"/>
      <w:r w:rsidRPr="00077B81" w:rsidR="00077B81">
        <w:rPr>
          <w:color w:val="000000" w:themeColor="text1"/>
        </w:rPr>
        <w:t>Iekšlietu</w:t>
      </w:r>
      <w:proofErr w:type="spellEnd"/>
      <w:r w:rsidRPr="00077B81" w:rsidR="00077B81">
        <w:rPr>
          <w:color w:val="000000" w:themeColor="text1"/>
        </w:rPr>
        <w:t xml:space="preserve"> ministriju, Finanšu ministriju, Ekonomikas ministriju.</w:t>
      </w:r>
    </w:p>
    <w:p w:rsidR="00A23590" w:rsidP="00A23590" w:rsidRDefault="00A23590" w14:paraId="7A2AED94" w14:textId="48B7D0A2">
      <w:pPr>
        <w:ind w:firstLine="720"/>
        <w:jc w:val="both"/>
        <w:rPr>
          <w:color w:val="000000" w:themeColor="text1"/>
        </w:rPr>
      </w:pPr>
      <w:r>
        <w:rPr>
          <w:color w:val="000000" w:themeColor="text1"/>
        </w:rPr>
        <w:t>Ar paziņojumu</w:t>
      </w:r>
      <w:r w:rsidRPr="00A23590">
        <w:rPr>
          <w:color w:val="000000" w:themeColor="text1"/>
        </w:rPr>
        <w:t xml:space="preserve"> “Eiropas Savienības ilgtermiņa konkurētspēja: skatījums pēc 2030. gada” Eiropas Komisija (turpmāk tekstā – Komisija) ir apņēmusies ķerties pie ziņošanas prasību racionalizēšanas un vienkāršošanas, kur galīgais mērķis ir, neapdraudot saistīto </w:t>
      </w:r>
      <w:proofErr w:type="spellStart"/>
      <w:r w:rsidRPr="00A23590">
        <w:rPr>
          <w:color w:val="000000" w:themeColor="text1"/>
        </w:rPr>
        <w:t>rīcībpolitikas</w:t>
      </w:r>
      <w:proofErr w:type="spellEnd"/>
      <w:r w:rsidRPr="00A23590">
        <w:rPr>
          <w:color w:val="000000" w:themeColor="text1"/>
        </w:rPr>
        <w:t xml:space="preserve"> mērķu sasniegšanu, ziņošanas slogu samazināt par 25%.</w:t>
      </w:r>
      <w:r>
        <w:rPr>
          <w:color w:val="000000" w:themeColor="text1"/>
        </w:rPr>
        <w:t xml:space="preserve"> </w:t>
      </w:r>
      <w:r w:rsidRPr="009A677E">
        <w:rPr>
          <w:rFonts w:eastAsiaTheme="minorHAnsi"/>
          <w:color w:val="000000"/>
          <w:lang w:eastAsia="en-US"/>
        </w:rPr>
        <w:t>Ziņošanas prasībām ir liela nozīme pareizas tiesību aktu izpildes panākšanas un pienācīgas pārraudzības nodrošināšanā</w:t>
      </w:r>
      <w:r>
        <w:rPr>
          <w:rFonts w:eastAsiaTheme="minorHAnsi"/>
          <w:color w:val="000000"/>
          <w:lang w:eastAsia="en-US"/>
        </w:rPr>
        <w:t>, t</w:t>
      </w:r>
      <w:r w:rsidRPr="009A677E">
        <w:rPr>
          <w:rFonts w:eastAsiaTheme="minorHAnsi"/>
          <w:color w:val="000000"/>
          <w:lang w:eastAsia="en-US"/>
        </w:rPr>
        <w:t xml:space="preserve">omēr ziņošanas prasības, ņemot vērā arī organizatoriskās un tehnoloģiskās pārmaiņas, kuru dēļ sākotnējās ziņošanas prasības jāpielāgo, var uzlikt nesamērīgu slogu ieinteresētajām personām. </w:t>
      </w:r>
      <w:r>
        <w:rPr>
          <w:rFonts w:eastAsiaTheme="minorHAnsi"/>
          <w:color w:val="000000"/>
          <w:lang w:eastAsia="en-US"/>
        </w:rPr>
        <w:t>Z</w:t>
      </w:r>
      <w:r w:rsidRPr="009A677E">
        <w:rPr>
          <w:rFonts w:eastAsiaTheme="minorHAnsi"/>
          <w:color w:val="000000"/>
          <w:lang w:eastAsia="en-US"/>
        </w:rPr>
        <w:t>iņošanas prasības ar laiku var izrādīties liekas, dublējošas vai novecojušas, to izpildes biežums un laiks neefektīvs, bet informācijas vākšanas metodes — nepiemērotas.</w:t>
      </w:r>
    </w:p>
    <w:p w:rsidRPr="00A23590" w:rsidR="00A23590" w:rsidP="00A23590" w:rsidRDefault="00A23590" w14:paraId="1554B380" w14:textId="76F54688">
      <w:pPr>
        <w:ind w:firstLine="720"/>
        <w:jc w:val="both"/>
        <w:rPr>
          <w:color w:val="000000" w:themeColor="text1"/>
        </w:rPr>
      </w:pPr>
      <w:r w:rsidRPr="009A677E">
        <w:rPr>
          <w:rFonts w:eastAsiaTheme="minorHAnsi"/>
          <w:color w:val="000000"/>
          <w:lang w:eastAsia="en-US"/>
        </w:rPr>
        <w:t xml:space="preserve">Šajā kontekstā </w:t>
      </w:r>
      <w:r>
        <w:rPr>
          <w:rFonts w:eastAsiaTheme="minorHAnsi"/>
          <w:color w:val="000000"/>
          <w:lang w:eastAsia="en-US"/>
        </w:rPr>
        <w:t>abu</w:t>
      </w:r>
      <w:r w:rsidRPr="009A677E">
        <w:rPr>
          <w:rFonts w:eastAsiaTheme="minorHAnsi"/>
          <w:color w:val="000000"/>
          <w:lang w:eastAsia="en-US"/>
        </w:rPr>
        <w:t xml:space="preserve"> </w:t>
      </w:r>
      <w:r>
        <w:rPr>
          <w:rFonts w:eastAsiaTheme="minorHAnsi"/>
          <w:color w:val="000000"/>
          <w:lang w:eastAsia="en-US"/>
        </w:rPr>
        <w:t xml:space="preserve">Komisijas publicēto </w:t>
      </w:r>
      <w:r w:rsidRPr="009A677E">
        <w:rPr>
          <w:rFonts w:eastAsiaTheme="minorHAnsi"/>
          <w:color w:val="000000"/>
          <w:lang w:eastAsia="en-US"/>
        </w:rPr>
        <w:t>priekšlikum</w:t>
      </w:r>
      <w:r>
        <w:rPr>
          <w:rFonts w:eastAsiaTheme="minorHAnsi"/>
          <w:color w:val="000000"/>
          <w:lang w:eastAsia="en-US"/>
        </w:rPr>
        <w:t xml:space="preserve">u </w:t>
      </w:r>
      <w:r w:rsidRPr="009A677E">
        <w:rPr>
          <w:rFonts w:eastAsiaTheme="minorHAnsi"/>
          <w:color w:val="000000"/>
          <w:lang w:eastAsia="en-US"/>
        </w:rPr>
        <w:t xml:space="preserve">mērķi ir vienkāršot </w:t>
      </w:r>
      <w:r>
        <w:rPr>
          <w:rFonts w:eastAsiaTheme="minorHAnsi"/>
          <w:color w:val="000000"/>
          <w:lang w:eastAsia="en-US"/>
        </w:rPr>
        <w:t>vairāku Regulu un Direktīvu prasības</w:t>
      </w:r>
      <w:r w:rsidRPr="009A677E">
        <w:rPr>
          <w:rFonts w:eastAsiaTheme="minorHAnsi"/>
          <w:color w:val="000000"/>
          <w:lang w:eastAsia="en-US"/>
        </w:rPr>
        <w:t xml:space="preserve">, </w:t>
      </w:r>
      <w:r>
        <w:rPr>
          <w:rFonts w:eastAsiaTheme="minorHAnsi"/>
          <w:color w:val="000000"/>
          <w:lang w:eastAsia="en-US"/>
        </w:rPr>
        <w:t>kas</w:t>
      </w:r>
      <w:r w:rsidRPr="009A677E">
        <w:rPr>
          <w:rFonts w:eastAsiaTheme="minorHAnsi"/>
          <w:color w:val="000000"/>
          <w:lang w:eastAsia="en-US"/>
        </w:rPr>
        <w:t xml:space="preserve"> attiecas uz autotransport</w:t>
      </w:r>
      <w:r>
        <w:rPr>
          <w:rFonts w:eastAsiaTheme="minorHAnsi"/>
          <w:color w:val="000000"/>
          <w:lang w:eastAsia="en-US"/>
        </w:rPr>
        <w:t>a</w:t>
      </w:r>
      <w:r w:rsidRPr="009A677E">
        <w:rPr>
          <w:rFonts w:eastAsiaTheme="minorHAnsi"/>
          <w:color w:val="000000"/>
          <w:lang w:eastAsia="en-US"/>
        </w:rPr>
        <w:t xml:space="preserve"> un aviācij</w:t>
      </w:r>
      <w:r>
        <w:rPr>
          <w:rFonts w:eastAsiaTheme="minorHAnsi"/>
          <w:color w:val="000000"/>
          <w:lang w:eastAsia="en-US"/>
        </w:rPr>
        <w:t xml:space="preserve">as nozarēm. </w:t>
      </w:r>
      <w:r w:rsidRPr="009A677E">
        <w:rPr>
          <w:rFonts w:eastAsiaTheme="minorHAnsi"/>
          <w:color w:val="000000"/>
          <w:lang w:eastAsia="en-US"/>
        </w:rPr>
        <w:t xml:space="preserve">Ar </w:t>
      </w:r>
      <w:r>
        <w:rPr>
          <w:rFonts w:eastAsiaTheme="minorHAnsi"/>
          <w:color w:val="000000"/>
          <w:lang w:eastAsia="en-US"/>
        </w:rPr>
        <w:t xml:space="preserve">abiem priekšlikumiem </w:t>
      </w:r>
      <w:r w:rsidRPr="009A677E">
        <w:rPr>
          <w:rFonts w:eastAsiaTheme="minorHAnsi"/>
          <w:color w:val="000000"/>
          <w:lang w:eastAsia="en-US"/>
        </w:rPr>
        <w:t>tiks atcelti vai pilnveidoti īpaši ziņošanas pienākumi, kas noteikti publiskajām iestādēm</w:t>
      </w:r>
      <w:r>
        <w:rPr>
          <w:rFonts w:eastAsiaTheme="minorHAnsi"/>
          <w:color w:val="000000"/>
          <w:lang w:eastAsia="en-US"/>
        </w:rPr>
        <w:t xml:space="preserve">, kā arī paredzēts apvienot </w:t>
      </w:r>
      <w:r w:rsidRPr="00E463D5">
        <w:rPr>
          <w:rFonts w:eastAsiaTheme="minorHAnsi"/>
          <w:color w:val="000000"/>
          <w:lang w:eastAsia="en-US"/>
        </w:rPr>
        <w:t>vairākus pasākumus, jo īpaši samazinot ziņošanas prasību izpildes biežumu un atceļot dažus ziņošanas pienākumu elementus.</w:t>
      </w:r>
    </w:p>
    <w:p w:rsidR="00A23590" w:rsidP="2B3E1191" w:rsidRDefault="003F634E" w14:paraId="1D010ECC" w14:textId="524A5B7F">
      <w:pPr>
        <w:ind w:firstLine="720"/>
        <w:jc w:val="both"/>
        <w:rPr>
          <w:color w:val="000000" w:themeColor="text1"/>
        </w:rPr>
      </w:pPr>
      <w:r w:rsidRPr="003F634E">
        <w:rPr>
          <w:color w:val="000000" w:themeColor="text1"/>
        </w:rPr>
        <w:t xml:space="preserve">Latvija </w:t>
      </w:r>
      <w:r w:rsidRPr="003F634E">
        <w:rPr>
          <w:b/>
          <w:bCs/>
          <w:color w:val="000000" w:themeColor="text1"/>
        </w:rPr>
        <w:t>atzinīgi vērtē un atbalsta</w:t>
      </w:r>
      <w:r w:rsidRPr="003F634E">
        <w:rPr>
          <w:color w:val="000000" w:themeColor="text1"/>
        </w:rPr>
        <w:t xml:space="preserve"> Komisijas centienus racionalizēt un vienkāršot ziņošanas prasības autotransporta un aviācijas jomās, lai samazinātu administratīvo slogu, nodrošinot efektīvu atbilstību tiesiskajam regulējumam, tādējādi arī taupot laika resursus. </w:t>
      </w:r>
      <w:r w:rsidR="008202EA">
        <w:rPr>
          <w:b/>
          <w:bCs/>
          <w:color w:val="000000" w:themeColor="text1"/>
        </w:rPr>
        <w:t>Līdz ar to Latvija atbalsta Regulas un Lēmuma projektu.</w:t>
      </w:r>
    </w:p>
    <w:p w:rsidR="00001CDE" w:rsidP="00C87082" w:rsidRDefault="00A23590" w14:paraId="52F790C7" w14:textId="5DBF8C80">
      <w:pPr>
        <w:ind w:firstLine="720"/>
        <w:jc w:val="both"/>
        <w:rPr>
          <w:color w:val="000000" w:themeColor="text1"/>
        </w:rPr>
      </w:pPr>
      <w:r w:rsidRPr="00A23590">
        <w:rPr>
          <w:noProof/>
        </w:rPr>
        <w:t xml:space="preserve">Pagaidām nav zināms, kurā </w:t>
      </w:r>
      <w:r>
        <w:rPr>
          <w:noProof/>
        </w:rPr>
        <w:t xml:space="preserve">Padomes </w:t>
      </w:r>
      <w:r w:rsidRPr="00A23590">
        <w:rPr>
          <w:noProof/>
        </w:rPr>
        <w:t>darba grupā tiks izskatīts</w:t>
      </w:r>
      <w:r w:rsidR="00072644">
        <w:rPr>
          <w:noProof/>
        </w:rPr>
        <w:t xml:space="preserve"> šis</w:t>
      </w:r>
      <w:r w:rsidRPr="00A23590">
        <w:rPr>
          <w:noProof/>
        </w:rPr>
        <w:t xml:space="preserve"> jautājums.</w:t>
      </w:r>
    </w:p>
    <w:p w:rsidR="000630CA" w:rsidP="2B3E1191" w:rsidRDefault="000630CA" w14:paraId="2FA0180D" w14:textId="77777777"/>
    <w:p w:rsidR="002A27D9" w:rsidP="2B3E1191" w:rsidRDefault="002A27D9" w14:paraId="3D691D8C" w14:textId="3CBABB09">
      <w:pPr>
        <w:ind w:left="720"/>
      </w:pPr>
      <w:r w:rsidRPr="2B3E1191">
        <w:t>Satiksmes ministrs</w:t>
      </w:r>
      <w:r>
        <w:tab/>
      </w:r>
      <w:r>
        <w:tab/>
      </w:r>
      <w:r>
        <w:tab/>
      </w:r>
      <w:r>
        <w:tab/>
      </w:r>
      <w:r>
        <w:tab/>
      </w:r>
      <w:r>
        <w:tab/>
      </w:r>
      <w:r>
        <w:tab/>
      </w:r>
      <w:r w:rsidR="005F03EC">
        <w:t xml:space="preserve">K. </w:t>
      </w:r>
      <w:proofErr w:type="spellStart"/>
      <w:r w:rsidR="005F03EC">
        <w:t>Briškens</w:t>
      </w:r>
      <w:proofErr w:type="spellEnd"/>
      <w:r w:rsidRPr="2B3E1191">
        <w:t xml:space="preserve">  </w:t>
      </w:r>
    </w:p>
    <w:p w:rsidR="000630CA" w:rsidP="2B3E1191" w:rsidRDefault="000630CA" w14:paraId="1BB4ADD9" w14:textId="77777777"/>
    <w:p w:rsidR="007162BE" w:rsidP="007162BE" w:rsidRDefault="007162BE" w14:paraId="1B2D04CE" w14:textId="77777777">
      <w:pPr>
        <w:ind w:firstLine="720"/>
      </w:pPr>
      <w:r>
        <w:t>Vizē:</w:t>
      </w:r>
    </w:p>
    <w:p w:rsidR="007162BE" w:rsidP="007162BE" w:rsidRDefault="007162BE" w14:paraId="291E0BB5" w14:textId="77777777">
      <w:r>
        <w:tab/>
        <w:t xml:space="preserve">Valsts sekretāres vietā – </w:t>
      </w:r>
    </w:p>
    <w:p w:rsidR="007162BE" w:rsidP="007162BE" w:rsidRDefault="007162BE" w14:paraId="00B3F36D" w14:textId="79F15AED">
      <w:r>
        <w:tab/>
        <w:t>Valsts sekretāres vietniece</w:t>
      </w:r>
      <w:r>
        <w:tab/>
      </w:r>
      <w:r>
        <w:tab/>
      </w:r>
      <w:r>
        <w:tab/>
      </w:r>
      <w:r>
        <w:tab/>
      </w:r>
      <w:r>
        <w:tab/>
      </w:r>
      <w:r>
        <w:tab/>
      </w:r>
      <w:proofErr w:type="spellStart"/>
      <w:r>
        <w:t>L.Austrupe</w:t>
      </w:r>
      <w:proofErr w:type="spellEnd"/>
    </w:p>
    <w:p w:rsidR="003F634E" w:rsidP="2B3E1191" w:rsidRDefault="003F634E" w14:paraId="1ED871D6" w14:textId="77777777">
      <w:pPr>
        <w:ind w:firstLine="720"/>
      </w:pPr>
    </w:p>
    <w:p w:rsidR="003F634E" w:rsidP="2B3E1191" w:rsidRDefault="003F634E" w14:paraId="74BA8012" w14:textId="77777777">
      <w:pPr>
        <w:ind w:firstLine="720"/>
      </w:pPr>
    </w:p>
    <w:p w:rsidRPr="00000F43" w:rsidR="00014887" w:rsidP="2B3E1191" w:rsidRDefault="00014887" w14:paraId="33F55606" w14:textId="1BA00BBF">
      <w:pPr>
        <w:ind w:firstLine="720"/>
      </w:pP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00F02660" w:rsidRDefault="00000F43" w14:paraId="4ADA16C7" w14:textId="6D4F1E3F">
      <w:pPr>
        <w:tabs>
          <w:tab w:val="right" w:pos="9638"/>
        </w:tabs>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r w:rsidR="00F02660">
        <w:rPr>
          <w:sz w:val="16"/>
          <w:szCs w:val="16"/>
        </w:rPr>
        <w:tab/>
      </w:r>
    </w:p>
    <w:sectPr w:rsidRPr="00B81753" w:rsidR="00000F43" w:rsidSect="006916A6">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53A48" w14:textId="77777777" w:rsidR="00DB24DA" w:rsidRDefault="00DB24DA" w:rsidP="002A27D9">
      <w:r>
        <w:separator/>
      </w:r>
    </w:p>
  </w:endnote>
  <w:endnote w:type="continuationSeparator" w:id="0">
    <w:p w14:paraId="04176E0B" w14:textId="77777777" w:rsidR="00DB24DA" w:rsidRDefault="00DB24DA"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E121F2"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E121F2" w:rsidRDefault="00E121F2"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663436"/>
      <w:docPartObj>
        <w:docPartGallery w:val="Page Numbers (Bottom of Page)"/>
        <w:docPartUnique/>
      </w:docPartObj>
    </w:sdtPr>
    <w:sdtEndPr>
      <w:rPr>
        <w:noProof/>
      </w:rPr>
    </w:sdtEndPr>
    <w:sdtContent>
      <w:p w14:paraId="7154CFF4" w14:textId="77777777" w:rsidR="001601B7" w:rsidRDefault="001601B7">
        <w:pPr>
          <w:pStyle w:val="Footer"/>
          <w:jc w:val="right"/>
        </w:pPr>
      </w:p>
      <w:p w14:paraId="309994E5" w14:textId="23FF1D3E" w:rsidR="006916A6" w:rsidRDefault="006916A6">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3F634E">
          <w:rPr>
            <w:noProof/>
          </w:rPr>
          <w:t>1</w:t>
        </w:r>
      </w:p>
    </w:sdtContent>
  </w:sdt>
  <w:p w14:paraId="48C510D4" w14:textId="7EE67137" w:rsidR="006916A6" w:rsidRDefault="006916A6">
    <w:pPr>
      <w:pStyle w:val="Footer"/>
    </w:pPr>
    <w:r w:rsidRPr="00E40025">
      <w:t>SAMzino_</w:t>
    </w:r>
    <w:r w:rsidR="00077B81">
      <w:t>2711</w:t>
    </w:r>
    <w:r w:rsidR="00DF1050">
      <w:t>23_</w:t>
    </w:r>
    <w:r w:rsidR="00077B81">
      <w:t>zinosana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7C84304" w:rsidR="00B00CBB" w:rsidRDefault="00E40025" w:rsidP="00E40025">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41853" w14:textId="77777777" w:rsidR="00DB24DA" w:rsidRDefault="00DB24DA" w:rsidP="002A27D9">
      <w:r>
        <w:separator/>
      </w:r>
    </w:p>
  </w:footnote>
  <w:footnote w:type="continuationSeparator" w:id="0">
    <w:p w14:paraId="19A38D94" w14:textId="77777777" w:rsidR="00DB24DA" w:rsidRDefault="00DB24DA"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3"/>
  </w:num>
  <w:num w:numId="2" w16cid:durableId="121196698">
    <w:abstractNumId w:val="1"/>
  </w:num>
  <w:num w:numId="3" w16cid:durableId="785853288">
    <w:abstractNumId w:val="0"/>
  </w:num>
  <w:num w:numId="4" w16cid:durableId="930889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32BC7"/>
    <w:rsid w:val="000630CA"/>
    <w:rsid w:val="000719D1"/>
    <w:rsid w:val="00072644"/>
    <w:rsid w:val="00077B81"/>
    <w:rsid w:val="00090631"/>
    <w:rsid w:val="00093FD4"/>
    <w:rsid w:val="000C374C"/>
    <w:rsid w:val="000C58D3"/>
    <w:rsid w:val="000D41F4"/>
    <w:rsid w:val="000E23ED"/>
    <w:rsid w:val="0010296C"/>
    <w:rsid w:val="00105185"/>
    <w:rsid w:val="0013043D"/>
    <w:rsid w:val="00135589"/>
    <w:rsid w:val="00136489"/>
    <w:rsid w:val="00136C56"/>
    <w:rsid w:val="001436E1"/>
    <w:rsid w:val="001504D7"/>
    <w:rsid w:val="001601B7"/>
    <w:rsid w:val="00164AD9"/>
    <w:rsid w:val="00170128"/>
    <w:rsid w:val="00170FE4"/>
    <w:rsid w:val="00174AD2"/>
    <w:rsid w:val="00183052"/>
    <w:rsid w:val="001834D5"/>
    <w:rsid w:val="00187C12"/>
    <w:rsid w:val="001A0B4C"/>
    <w:rsid w:val="001A2B9D"/>
    <w:rsid w:val="001B3982"/>
    <w:rsid w:val="001B595E"/>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3F634E"/>
    <w:rsid w:val="004037B9"/>
    <w:rsid w:val="004158F3"/>
    <w:rsid w:val="00417821"/>
    <w:rsid w:val="00421468"/>
    <w:rsid w:val="004248D7"/>
    <w:rsid w:val="00437BE4"/>
    <w:rsid w:val="004401C6"/>
    <w:rsid w:val="00471D2E"/>
    <w:rsid w:val="00477D65"/>
    <w:rsid w:val="0048165C"/>
    <w:rsid w:val="004833C9"/>
    <w:rsid w:val="0049776D"/>
    <w:rsid w:val="004A3116"/>
    <w:rsid w:val="004B2B2C"/>
    <w:rsid w:val="004C0971"/>
    <w:rsid w:val="004C47C5"/>
    <w:rsid w:val="004C5BB6"/>
    <w:rsid w:val="004C704D"/>
    <w:rsid w:val="004D0957"/>
    <w:rsid w:val="004D26DF"/>
    <w:rsid w:val="00501038"/>
    <w:rsid w:val="00502290"/>
    <w:rsid w:val="00507F2F"/>
    <w:rsid w:val="00510B89"/>
    <w:rsid w:val="00511462"/>
    <w:rsid w:val="00513E2B"/>
    <w:rsid w:val="005168B7"/>
    <w:rsid w:val="005244E7"/>
    <w:rsid w:val="00526531"/>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03EC"/>
    <w:rsid w:val="005F6D94"/>
    <w:rsid w:val="00601879"/>
    <w:rsid w:val="00620577"/>
    <w:rsid w:val="006205FE"/>
    <w:rsid w:val="006374FD"/>
    <w:rsid w:val="00641B46"/>
    <w:rsid w:val="0065611A"/>
    <w:rsid w:val="006773A2"/>
    <w:rsid w:val="006916A6"/>
    <w:rsid w:val="006A60A1"/>
    <w:rsid w:val="006B4C17"/>
    <w:rsid w:val="006D1B0A"/>
    <w:rsid w:val="006D36BA"/>
    <w:rsid w:val="006D3A84"/>
    <w:rsid w:val="006E447B"/>
    <w:rsid w:val="006F462C"/>
    <w:rsid w:val="006F4F72"/>
    <w:rsid w:val="006F7DBA"/>
    <w:rsid w:val="00710C1B"/>
    <w:rsid w:val="007162BE"/>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1413D"/>
    <w:rsid w:val="008202EA"/>
    <w:rsid w:val="00826B84"/>
    <w:rsid w:val="00835E29"/>
    <w:rsid w:val="0084049C"/>
    <w:rsid w:val="008463AD"/>
    <w:rsid w:val="008612D6"/>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93C24"/>
    <w:rsid w:val="009A0646"/>
    <w:rsid w:val="009A313A"/>
    <w:rsid w:val="009A76C0"/>
    <w:rsid w:val="009B039F"/>
    <w:rsid w:val="009B2DA1"/>
    <w:rsid w:val="009C1C8F"/>
    <w:rsid w:val="009F00CA"/>
    <w:rsid w:val="00A0190C"/>
    <w:rsid w:val="00A1392C"/>
    <w:rsid w:val="00A13B32"/>
    <w:rsid w:val="00A23590"/>
    <w:rsid w:val="00A34AE6"/>
    <w:rsid w:val="00A425F3"/>
    <w:rsid w:val="00A61779"/>
    <w:rsid w:val="00A62D37"/>
    <w:rsid w:val="00A64237"/>
    <w:rsid w:val="00A74483"/>
    <w:rsid w:val="00A8023A"/>
    <w:rsid w:val="00A93A05"/>
    <w:rsid w:val="00AA53EF"/>
    <w:rsid w:val="00AA5FB9"/>
    <w:rsid w:val="00AB3A16"/>
    <w:rsid w:val="00AD04C0"/>
    <w:rsid w:val="00AD53ED"/>
    <w:rsid w:val="00B00CBB"/>
    <w:rsid w:val="00B039B2"/>
    <w:rsid w:val="00B05E50"/>
    <w:rsid w:val="00B06093"/>
    <w:rsid w:val="00B208F3"/>
    <w:rsid w:val="00B23F9C"/>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0B6"/>
    <w:rsid w:val="00C81CEB"/>
    <w:rsid w:val="00C83490"/>
    <w:rsid w:val="00C8378E"/>
    <w:rsid w:val="00C8413E"/>
    <w:rsid w:val="00C87082"/>
    <w:rsid w:val="00CA3170"/>
    <w:rsid w:val="00CA4732"/>
    <w:rsid w:val="00CB0A65"/>
    <w:rsid w:val="00CB68B4"/>
    <w:rsid w:val="00CE102B"/>
    <w:rsid w:val="00CF1CA1"/>
    <w:rsid w:val="00D1700E"/>
    <w:rsid w:val="00D22421"/>
    <w:rsid w:val="00D23316"/>
    <w:rsid w:val="00D2357E"/>
    <w:rsid w:val="00D268E9"/>
    <w:rsid w:val="00D5742D"/>
    <w:rsid w:val="00D70BB3"/>
    <w:rsid w:val="00D74646"/>
    <w:rsid w:val="00D74CED"/>
    <w:rsid w:val="00D754FF"/>
    <w:rsid w:val="00D874E5"/>
    <w:rsid w:val="00DB24DA"/>
    <w:rsid w:val="00DC3B65"/>
    <w:rsid w:val="00DC655A"/>
    <w:rsid w:val="00DD77FB"/>
    <w:rsid w:val="00DE1D02"/>
    <w:rsid w:val="00DF1050"/>
    <w:rsid w:val="00E121F2"/>
    <w:rsid w:val="00E14001"/>
    <w:rsid w:val="00E27FD6"/>
    <w:rsid w:val="00E32AEC"/>
    <w:rsid w:val="00E32DB4"/>
    <w:rsid w:val="00E35D35"/>
    <w:rsid w:val="00E40025"/>
    <w:rsid w:val="00E40535"/>
    <w:rsid w:val="00E920D4"/>
    <w:rsid w:val="00E92A91"/>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F22"/>
    <w:rsid w:val="00F34613"/>
    <w:rsid w:val="00F3725B"/>
    <w:rsid w:val="00F42C3A"/>
    <w:rsid w:val="00F43B76"/>
    <w:rsid w:val="00F66290"/>
    <w:rsid w:val="00F73E3F"/>
    <w:rsid w:val="00F76A94"/>
    <w:rsid w:val="00F82F7C"/>
    <w:rsid w:val="00F90958"/>
    <w:rsid w:val="00F90DD6"/>
    <w:rsid w:val="00F92E0C"/>
    <w:rsid w:val="00F93EC2"/>
    <w:rsid w:val="00FA3CD5"/>
    <w:rsid w:val="00FB424F"/>
    <w:rsid w:val="00FB5AB8"/>
    <w:rsid w:val="00FC7C02"/>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 w:type="paragraph" w:customStyle="1" w:styleId="Bullet1">
    <w:name w:val="Bullet 1"/>
    <w:basedOn w:val="Normal"/>
    <w:rsid w:val="00CE102B"/>
    <w:pPr>
      <w:numPr>
        <w:numId w:val="4"/>
      </w:numPr>
      <w:spacing w:before="120" w:after="120"/>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2267</Words>
  <Characters>1293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Regulai, ar ko Regulas (EK) Nr. 80/2009, (ES) Nr. 996/2010 un (ES) Nr. 165/2014 groza attiecībā uz dažām ziņošanas prasībām autotransporta un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dc:title>
  <dc:subject>Informatīvais ziņojums</dc:subject>
  <dc:creator>Satiksmes ministrija</dc:creator>
  <cp:keywords>Satiksmes ministrija</cp:keywords>
  <dc:description>Evita Nagle _x000d_
67028190_x000d_
evita.nagle@sam.gov.lv</dc:description>
  <cp:lastModifiedBy>Evita Nagle</cp:lastModifiedBy>
  <cp:revision>61</cp:revision>
  <cp:lastPrinted>2017-05-18T08:16:00Z</cp:lastPrinted>
  <dcterms:created xsi:type="dcterms:W3CDTF">2022-03-16T13:19:00Z</dcterms:created>
  <dcterms:modified xsi:type="dcterms:W3CDTF">2023-11-22T07:04:00Z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L440114</vt:lpwstr>
  </property>
  <property fmtid="{D5CDD505-2E9C-101B-9397-08002B2CF9AE}" pid="6" name="DISCesvisSigner">
    <vt:lpwstr>satiksmes ministrs Kaspars Briškens</vt:lpwstr>
  </property>
  <property fmtid="{D5CDD505-2E9C-101B-9397-08002B2CF9AE}" pid="7" name="DISTaskPaneUrl">
    <vt:lpwstr>https://lim.esvis.gov.lv/cs/idcplg?ClientControlled=DocMan&amp;coreContentOnly=1&amp;WebdavRequest=1&amp;IdcService=DOC_INFO&amp;dID=519679</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519679</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Iekšlietu ministrija, Finanšu ministrija, Ekonomikas ministrija</vt:lpwstr>
  </property>
</Properties>
</file>