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4BE04B" w14:textId="77777777" w:rsidR="00760AF6" w:rsidRDefault="00760AF6" w:rsidP="002476D5">
      <w:pPr>
        <w:rPr>
          <w:b/>
          <w:color w:val="000000" w:themeColor="text1"/>
          <w:sz w:val="32"/>
        </w:rPr>
      </w:pPr>
    </w:p>
    <w:p w14:paraId="49E854FE" w14:textId="77777777" w:rsidR="00E73FC1" w:rsidRPr="00C82B48" w:rsidRDefault="00EE4212" w:rsidP="002476D5">
      <w:pPr>
        <w:rPr>
          <w:color w:val="000000" w:themeColor="text1"/>
        </w:rPr>
      </w:pPr>
      <w:r w:rsidRPr="00C82B48">
        <w:rPr>
          <w:b/>
          <w:color w:val="000000" w:themeColor="text1"/>
          <w:sz w:val="32"/>
        </w:rPr>
        <w:t>1. Tiesību akta projekta izstrādes nepieciešamība</w:t>
      </w:r>
    </w:p>
    <w:p w14:paraId="71117381" w14:textId="77777777" w:rsidR="00D6434F" w:rsidRDefault="00D6434F" w:rsidP="002476D5">
      <w:pPr>
        <w:rPr>
          <w:b/>
          <w:color w:val="000000" w:themeColor="text1"/>
        </w:rPr>
      </w:pPr>
    </w:p>
    <w:p w14:paraId="458916E5" w14:textId="77777777" w:rsidR="00E73FC1" w:rsidRPr="00C82B48" w:rsidRDefault="00EE4212" w:rsidP="002476D5">
      <w:pPr>
        <w:rPr>
          <w:color w:val="000000" w:themeColor="text1"/>
        </w:rPr>
      </w:pPr>
      <w:r w:rsidRPr="00C82B48">
        <w:rPr>
          <w:b/>
          <w:color w:val="000000" w:themeColor="text1"/>
        </w:rPr>
        <w:t>Anotācijas (</w:t>
      </w:r>
      <w:proofErr w:type="spellStart"/>
      <w:r w:rsidRPr="009D45A2">
        <w:rPr>
          <w:b/>
          <w:i/>
          <w:iCs/>
          <w:color w:val="000000" w:themeColor="text1"/>
        </w:rPr>
        <w:t>ex-ante</w:t>
      </w:r>
      <w:proofErr w:type="spellEnd"/>
      <w:r w:rsidRPr="00C82B48">
        <w:rPr>
          <w:b/>
          <w:color w:val="000000" w:themeColor="text1"/>
        </w:rPr>
        <w:t>) nosaukums</w:t>
      </w:r>
    </w:p>
    <w:tbl>
      <w:tblPr>
        <w:tblStyle w:val="TableGrid"/>
        <w:tblW w:w="0" w:type="auto"/>
        <w:tblLook w:val="04A0" w:firstRow="1" w:lastRow="0" w:firstColumn="1" w:lastColumn="0" w:noHBand="0" w:noVBand="1"/>
      </w:tblPr>
      <w:tblGrid>
        <w:gridCol w:w="9632"/>
      </w:tblGrid>
      <w:tr w:rsidR="00C82B48" w:rsidRPr="00C82B48" w14:paraId="34EE5882" w14:textId="77777777" w:rsidTr="00D74081">
        <w:tc>
          <w:tcPr>
            <w:tcW w:w="9632" w:type="dxa"/>
          </w:tcPr>
          <w:p w14:paraId="374032EC" w14:textId="1BE37EC5" w:rsidR="00D74081" w:rsidRPr="00C82B48" w:rsidRDefault="0039798D" w:rsidP="002476D5">
            <w:pPr>
              <w:rPr>
                <w:color w:val="000000" w:themeColor="text1"/>
              </w:rPr>
            </w:pPr>
            <w:r w:rsidRPr="0039798D">
              <w:rPr>
                <w:color w:val="000000" w:themeColor="text1"/>
              </w:rPr>
              <w:t>Likumprojekt</w:t>
            </w:r>
            <w:r>
              <w:rPr>
                <w:color w:val="000000" w:themeColor="text1"/>
              </w:rPr>
              <w:t>s</w:t>
            </w:r>
            <w:r w:rsidRPr="0039798D">
              <w:rPr>
                <w:color w:val="000000" w:themeColor="text1"/>
              </w:rPr>
              <w:t xml:space="preserve"> "Grozījumi Civillikumā"</w:t>
            </w:r>
          </w:p>
        </w:tc>
      </w:tr>
    </w:tbl>
    <w:p w14:paraId="36C645B9" w14:textId="77777777" w:rsidR="00E73FC1" w:rsidRPr="00C82B48" w:rsidRDefault="00EE4212" w:rsidP="002476D5">
      <w:pPr>
        <w:rPr>
          <w:color w:val="000000" w:themeColor="text1"/>
        </w:rPr>
      </w:pPr>
      <w:r w:rsidRPr="00C82B48">
        <w:rPr>
          <w:b/>
          <w:color w:val="000000" w:themeColor="text1"/>
          <w:sz w:val="30"/>
        </w:rPr>
        <w:t>1.1. Pamatojums</w:t>
      </w:r>
    </w:p>
    <w:p w14:paraId="6F6DA385" w14:textId="77777777" w:rsidR="00E73FC1" w:rsidRDefault="00EE4212" w:rsidP="002476D5">
      <w:pPr>
        <w:rPr>
          <w:b/>
          <w:color w:val="000000" w:themeColor="text1"/>
        </w:rPr>
      </w:pPr>
      <w:r w:rsidRPr="00C82B48">
        <w:rPr>
          <w:b/>
          <w:color w:val="000000" w:themeColor="text1"/>
        </w:rPr>
        <w:t>Izstrādes pamatojums</w:t>
      </w:r>
    </w:p>
    <w:p w14:paraId="58FC1133" w14:textId="592CBA5A" w:rsidR="0039798D" w:rsidRPr="0039798D" w:rsidRDefault="0039798D" w:rsidP="002476D5">
      <w:pPr>
        <w:rPr>
          <w:bCs/>
          <w:color w:val="000000" w:themeColor="text1"/>
        </w:rPr>
      </w:pPr>
      <w:r w:rsidRPr="0039798D">
        <w:rPr>
          <w:bCs/>
          <w:color w:val="000000" w:themeColor="text1"/>
        </w:rPr>
        <w:t>Ministrijas iniciatīva</w:t>
      </w:r>
    </w:p>
    <w:p w14:paraId="6E9F8C8F" w14:textId="77777777" w:rsidR="00E73FC1" w:rsidRPr="00C82B48" w:rsidRDefault="00EE4212" w:rsidP="002476D5">
      <w:pPr>
        <w:rPr>
          <w:color w:val="000000" w:themeColor="text1"/>
        </w:rPr>
      </w:pPr>
      <w:r w:rsidRPr="00C82B48">
        <w:rPr>
          <w:b/>
          <w:color w:val="000000" w:themeColor="text1"/>
        </w:rPr>
        <w:t>Apraksts</w:t>
      </w:r>
    </w:p>
    <w:tbl>
      <w:tblPr>
        <w:tblStyle w:val="TableGrid"/>
        <w:tblW w:w="0" w:type="auto"/>
        <w:tblLook w:val="04A0" w:firstRow="1" w:lastRow="0" w:firstColumn="1" w:lastColumn="0" w:noHBand="0" w:noVBand="1"/>
      </w:tblPr>
      <w:tblGrid>
        <w:gridCol w:w="9632"/>
      </w:tblGrid>
      <w:tr w:rsidR="00C82B48" w:rsidRPr="00C82B48" w14:paraId="2CFF668A" w14:textId="77777777" w:rsidTr="00D74081">
        <w:tc>
          <w:tcPr>
            <w:tcW w:w="9632" w:type="dxa"/>
          </w:tcPr>
          <w:p w14:paraId="79E04D38" w14:textId="45315E9A" w:rsidR="00D74081" w:rsidRPr="00C82B48" w:rsidRDefault="0039798D" w:rsidP="002476D5">
            <w:pPr>
              <w:rPr>
                <w:color w:val="000000" w:themeColor="text1"/>
              </w:rPr>
            </w:pPr>
            <w:r w:rsidRPr="0039798D">
              <w:rPr>
                <w:color w:val="000000" w:themeColor="text1"/>
              </w:rPr>
              <w:t xml:space="preserve">Likumprojekts izstrādāts pēc Tieslietu ministrijas iniciatīvas un pamatojoties uz Tieslietu ministrijas pētījumu "Civillikuma Mantojuma tiesību daļas tiesiskā regulējuma </w:t>
            </w:r>
            <w:proofErr w:type="spellStart"/>
            <w:r w:rsidRPr="0039798D">
              <w:rPr>
                <w:color w:val="000000" w:themeColor="text1"/>
              </w:rPr>
              <w:t>problēmjautājumi</w:t>
            </w:r>
            <w:proofErr w:type="spellEnd"/>
            <w:r w:rsidRPr="0039798D">
              <w:rPr>
                <w:color w:val="000000" w:themeColor="text1"/>
              </w:rPr>
              <w:t xml:space="preserve"> un to modernizācijas nepieciešamība" (Pētījums)</w:t>
            </w:r>
            <w:r>
              <w:rPr>
                <w:color w:val="000000" w:themeColor="text1"/>
              </w:rPr>
              <w:t xml:space="preserve"> </w:t>
            </w:r>
            <w:r w:rsidRPr="0039798D">
              <w:rPr>
                <w:color w:val="000000" w:themeColor="text1"/>
              </w:rPr>
              <w:t>(pieejams:</w:t>
            </w:r>
            <w:hyperlink r:id="rId8" w:history="1">
              <w:r w:rsidRPr="001F3C71">
                <w:rPr>
                  <w:rStyle w:val="Hyperlink"/>
                </w:rPr>
                <w:t>https://www.tm.gov.lv/sites/tm/files/2020-01/Documents/mantosanas-petijuma-gala-nodevums-20102017-final.pdf</w:t>
              </w:r>
            </w:hyperlink>
            <w:r>
              <w:rPr>
                <w:color w:val="000000" w:themeColor="text1"/>
              </w:rPr>
              <w:t xml:space="preserve"> </w:t>
            </w:r>
            <w:r w:rsidRPr="0039798D">
              <w:rPr>
                <w:color w:val="000000" w:themeColor="text1"/>
              </w:rPr>
              <w:t>), kā arī Tieslietu ministrijas pastāvīgās darba grupas Civillikuma mantojuma tiesību daļas grozījumu izstrādei (Darba grupa) mantojuma tiesību ekspertu secinājumiem un dažādām tiesas judikatūras spriedumos paustajām atziņām.</w:t>
            </w:r>
          </w:p>
        </w:tc>
      </w:tr>
    </w:tbl>
    <w:p w14:paraId="5D0D8616" w14:textId="77777777" w:rsidR="00E73FC1" w:rsidRPr="00C82B48" w:rsidRDefault="00EE4212" w:rsidP="002476D5">
      <w:pPr>
        <w:rPr>
          <w:color w:val="000000" w:themeColor="text1"/>
        </w:rPr>
      </w:pPr>
      <w:r w:rsidRPr="00C82B48">
        <w:rPr>
          <w:b/>
          <w:color w:val="000000" w:themeColor="text1"/>
          <w:sz w:val="30"/>
        </w:rPr>
        <w:t>1.2. Mērķis</w:t>
      </w:r>
    </w:p>
    <w:p w14:paraId="6ADDDE8B" w14:textId="77777777" w:rsidR="00E73FC1" w:rsidRPr="00C82B48" w:rsidRDefault="00EE4212" w:rsidP="002476D5">
      <w:pPr>
        <w:rPr>
          <w:color w:val="000000" w:themeColor="text1"/>
        </w:rPr>
      </w:pPr>
      <w:r w:rsidRPr="00C82B48">
        <w:rPr>
          <w:b/>
          <w:color w:val="000000" w:themeColor="text1"/>
        </w:rPr>
        <w:t>Mērķa apraksts</w:t>
      </w:r>
    </w:p>
    <w:p w14:paraId="5CAF718E" w14:textId="77777777" w:rsidR="00D74081" w:rsidRPr="00C82B48" w:rsidRDefault="00D74081" w:rsidP="002476D5">
      <w:pPr>
        <w:shd w:val="clear" w:color="auto" w:fill="FFFFFF"/>
        <w:rPr>
          <w:i/>
          <w:color w:val="000000" w:themeColor="text1"/>
          <w:sz w:val="20"/>
        </w:rPr>
      </w:pPr>
      <w:r w:rsidRPr="00C82B48">
        <w:rPr>
          <w:i/>
          <w:color w:val="000000" w:themeColor="text1"/>
          <w:sz w:val="20"/>
        </w:rPr>
        <w:t>Mērķa apraksts (līdz 500 simboliem)</w:t>
      </w:r>
    </w:p>
    <w:tbl>
      <w:tblPr>
        <w:tblStyle w:val="TableGrid"/>
        <w:tblW w:w="0" w:type="auto"/>
        <w:tblLook w:val="04A0" w:firstRow="1" w:lastRow="0" w:firstColumn="1" w:lastColumn="0" w:noHBand="0" w:noVBand="1"/>
      </w:tblPr>
      <w:tblGrid>
        <w:gridCol w:w="9632"/>
      </w:tblGrid>
      <w:tr w:rsidR="00C82B48" w:rsidRPr="00C82B48" w14:paraId="263373A1" w14:textId="77777777" w:rsidTr="00D74081">
        <w:tc>
          <w:tcPr>
            <w:tcW w:w="9632" w:type="dxa"/>
          </w:tcPr>
          <w:p w14:paraId="51A4468D" w14:textId="4F8E9FC5" w:rsidR="00D74081" w:rsidRPr="00C82B48" w:rsidRDefault="0039798D" w:rsidP="002476D5">
            <w:pPr>
              <w:rPr>
                <w:color w:val="000000" w:themeColor="text1"/>
              </w:rPr>
            </w:pPr>
            <w:r w:rsidRPr="0039798D">
              <w:rPr>
                <w:color w:val="000000" w:themeColor="text1"/>
              </w:rPr>
              <w:t xml:space="preserve">Likumprojekta "Grozījumi Civillikumā" (Likumprojekts) mērķis ir modernizēt un pilnveidot Civillikuma otrās daļas "Mantojuma tiesības" regulējumu. Likumprojektā iekļautie risinājumi, cita starpā, paredz pilnveidot mantojuma pieņemšanas sistēmu, padarot to noteiktu un paredzamu, noregulēt mantinieku atbildību pret mantojuma atstājēja kreditoriem, pilnveidot regulējumu attiecībā uz kreditoru prasījumu apmierināšanas kārtību, kā arī citus uzlabojumus. </w:t>
            </w:r>
          </w:p>
        </w:tc>
      </w:tr>
    </w:tbl>
    <w:p w14:paraId="1EE7AA40" w14:textId="77777777" w:rsidR="00E73FC1" w:rsidRPr="00C82B48" w:rsidRDefault="00EE4212" w:rsidP="002476D5">
      <w:pPr>
        <w:rPr>
          <w:color w:val="000000" w:themeColor="text1"/>
        </w:rPr>
      </w:pPr>
      <w:r w:rsidRPr="00C82B48">
        <w:rPr>
          <w:b/>
          <w:color w:val="000000" w:themeColor="text1"/>
        </w:rPr>
        <w:t>Spēkā stāšanās termiņš</w:t>
      </w:r>
    </w:p>
    <w:p w14:paraId="3B2A8278" w14:textId="2C47739B" w:rsidR="00D74081" w:rsidRPr="0039798D" w:rsidRDefault="0039798D" w:rsidP="002476D5">
      <w:pPr>
        <w:rPr>
          <w:iCs/>
          <w:color w:val="000000" w:themeColor="text1"/>
          <w:szCs w:val="28"/>
        </w:rPr>
      </w:pPr>
      <w:r w:rsidRPr="0039798D">
        <w:rPr>
          <w:iCs/>
          <w:color w:val="000000" w:themeColor="text1"/>
          <w:szCs w:val="28"/>
        </w:rPr>
        <w:t>Vispārējā kārtībā</w:t>
      </w:r>
    </w:p>
    <w:p w14:paraId="68DBF641" w14:textId="77777777" w:rsidR="00E73FC1" w:rsidRPr="00C82B48" w:rsidRDefault="00EE4212" w:rsidP="002476D5">
      <w:pPr>
        <w:rPr>
          <w:color w:val="000000" w:themeColor="text1"/>
        </w:rPr>
      </w:pPr>
      <w:r w:rsidRPr="00C82B48">
        <w:rPr>
          <w:b/>
          <w:color w:val="000000" w:themeColor="text1"/>
          <w:sz w:val="30"/>
        </w:rPr>
        <w:t>1.3. Pašreizējā situācija, problēmas un risinājumi</w:t>
      </w:r>
    </w:p>
    <w:p w14:paraId="59831273" w14:textId="77777777" w:rsidR="00E73FC1" w:rsidRPr="00C82B48" w:rsidRDefault="00EE4212" w:rsidP="002476D5">
      <w:pPr>
        <w:rPr>
          <w:color w:val="000000" w:themeColor="text1"/>
        </w:rPr>
      </w:pPr>
      <w:r w:rsidRPr="00C82B48">
        <w:rPr>
          <w:b/>
          <w:color w:val="000000" w:themeColor="text1"/>
        </w:rPr>
        <w:t>Pašreizējā situācija</w:t>
      </w:r>
    </w:p>
    <w:tbl>
      <w:tblPr>
        <w:tblStyle w:val="TableGrid"/>
        <w:tblW w:w="0" w:type="auto"/>
        <w:tblLook w:val="04A0" w:firstRow="1" w:lastRow="0" w:firstColumn="1" w:lastColumn="0" w:noHBand="0" w:noVBand="1"/>
      </w:tblPr>
      <w:tblGrid>
        <w:gridCol w:w="9632"/>
      </w:tblGrid>
      <w:tr w:rsidR="00C82B48" w:rsidRPr="00C82B48" w14:paraId="66DBFCA3" w14:textId="77777777" w:rsidTr="00D74081">
        <w:tc>
          <w:tcPr>
            <w:tcW w:w="9632" w:type="dxa"/>
          </w:tcPr>
          <w:p w14:paraId="17C0D3A0" w14:textId="77777777" w:rsidR="0039798D" w:rsidRPr="0039798D" w:rsidRDefault="0039798D" w:rsidP="0039798D">
            <w:pPr>
              <w:rPr>
                <w:color w:val="000000" w:themeColor="text1"/>
              </w:rPr>
            </w:pPr>
            <w:r w:rsidRPr="0039798D">
              <w:rPr>
                <w:color w:val="000000" w:themeColor="text1"/>
              </w:rPr>
              <w:t xml:space="preserve">Lai saprastu tiesisko realitāti attiecībā uz mantojuma tiesību regulējumu un tā piemērošanu praksē, Tieslietu ministrija 2017. gadā pasūtīja pētījumu par Civillikuma mantojuma tiesību daļas tiesisko regulējumu, kā rezultātā tika izstrādāts Pētījums un kopš 2018. gada Tieslietu ministrijā darbu ir uzsākusi Darba grupa. </w:t>
            </w:r>
          </w:p>
          <w:p w14:paraId="5B834C82" w14:textId="77777777" w:rsidR="0039798D" w:rsidRPr="0039798D" w:rsidRDefault="0039798D" w:rsidP="0039798D">
            <w:pPr>
              <w:rPr>
                <w:color w:val="000000" w:themeColor="text1"/>
              </w:rPr>
            </w:pPr>
            <w:r w:rsidRPr="0039798D">
              <w:rPr>
                <w:color w:val="000000" w:themeColor="text1"/>
              </w:rPr>
              <w:t xml:space="preserve">Darba grupā, cita starpā, balstoties uz Pētījumā paustajām atziņām, tika diskutēts par nepieciešamajiem pilnveidojumiem normatīvajos aktos saistībā ar mantojuma tiesību regulējuma uzlabošanu. Ievērojot minēto un to, ka Darba grupas ekspertu vidū panākta konceptuāla vienošanās par nepieciešamajiem pilnveidojumiem un grozījumiem normatīvajos aktos, izstrādāts Likumprojekts. </w:t>
            </w:r>
          </w:p>
          <w:p w14:paraId="571AF795" w14:textId="77777777" w:rsidR="0039798D" w:rsidRPr="0039798D" w:rsidRDefault="0039798D" w:rsidP="0039798D">
            <w:pPr>
              <w:rPr>
                <w:color w:val="000000" w:themeColor="text1"/>
              </w:rPr>
            </w:pPr>
            <w:r w:rsidRPr="0039798D">
              <w:rPr>
                <w:color w:val="000000" w:themeColor="text1"/>
              </w:rPr>
              <w:t xml:space="preserve">Likumprojekta mērķis ir īstenot mantojuma tiesību reformu, veicot attiecīgas izmaiņas Civillikuma Mantojuma tiesību daļā (atsevišķi panti tiek grozīti arī Civillikuma Ģimenes tiesību un Saistību tiesību daļā). Reformas ietvaros paredzēts modernizēt mantojuma tiesību regulējumu un pielāgot to mūsdienu tendencēm un </w:t>
            </w:r>
            <w:r w:rsidRPr="0039798D">
              <w:rPr>
                <w:color w:val="000000" w:themeColor="text1"/>
              </w:rPr>
              <w:lastRenderedPageBreak/>
              <w:t xml:space="preserve">prasībām, kā arī risināt </w:t>
            </w:r>
            <w:proofErr w:type="spellStart"/>
            <w:r w:rsidRPr="0039798D">
              <w:rPr>
                <w:color w:val="000000" w:themeColor="text1"/>
              </w:rPr>
              <w:t>problēmjautājumus</w:t>
            </w:r>
            <w:proofErr w:type="spellEnd"/>
            <w:r w:rsidRPr="0039798D">
              <w:rPr>
                <w:color w:val="000000" w:themeColor="text1"/>
              </w:rPr>
              <w:t xml:space="preserve"> esošajā praksē, kas saistīti ar mantošanas procesu kopumā.</w:t>
            </w:r>
          </w:p>
          <w:p w14:paraId="4098FF99" w14:textId="77777777" w:rsidR="0039798D" w:rsidRPr="0039798D" w:rsidRDefault="0039798D" w:rsidP="0039798D">
            <w:pPr>
              <w:rPr>
                <w:color w:val="000000" w:themeColor="text1"/>
              </w:rPr>
            </w:pPr>
            <w:r w:rsidRPr="0039798D">
              <w:rPr>
                <w:color w:val="000000" w:themeColor="text1"/>
              </w:rPr>
              <w:t>Jānorāda, ka Tieslietu ministrijas ieskatā skaidrs un noteikts mantošanas process palīdzēs novērst tiesisko nenoteiktību, kas bieži vien pastāv gadījumos, kad mantojuma atstājēja saistību un tiesību pārņēmēji (mantinieki) dažādu iemeslu dēļ neuzsāk mantojuma lietu vai nepabeidz to, vai nav noskaidrojami. Lai panāktu caurskatāmu, noteiktu un prognozējamu mantošanas procesu, ar Likumprojektu paredzēts izdarīt šādus grozījumus Civillikumā:</w:t>
            </w:r>
          </w:p>
          <w:p w14:paraId="48925CB5" w14:textId="77777777" w:rsidR="0039798D" w:rsidRPr="0039798D" w:rsidRDefault="0039798D" w:rsidP="0039798D">
            <w:pPr>
              <w:rPr>
                <w:color w:val="000000" w:themeColor="text1"/>
              </w:rPr>
            </w:pPr>
            <w:r w:rsidRPr="0039798D">
              <w:rPr>
                <w:color w:val="000000" w:themeColor="text1"/>
              </w:rPr>
              <w:t>1) precizēt mantojuma pieņemšanas sistēmu, padarot to noteiktāku un paredzamāku;</w:t>
            </w:r>
          </w:p>
          <w:p w14:paraId="31FB7A93" w14:textId="77777777" w:rsidR="0039798D" w:rsidRPr="0039798D" w:rsidRDefault="0039798D" w:rsidP="0039798D">
            <w:pPr>
              <w:rPr>
                <w:color w:val="000000" w:themeColor="text1"/>
              </w:rPr>
            </w:pPr>
            <w:r w:rsidRPr="0039798D">
              <w:rPr>
                <w:color w:val="000000" w:themeColor="text1"/>
              </w:rPr>
              <w:t>2) precizēt kreditoru pretenziju pieteikšanas kārtību, novēršot praksē pastāvošās dažādās izpratnes attiecībā uz mantojuma atstājēja kreditoru tiesībām un pienākumiem;</w:t>
            </w:r>
          </w:p>
          <w:p w14:paraId="179A25AF" w14:textId="77777777" w:rsidR="0039798D" w:rsidRPr="0039798D" w:rsidRDefault="0039798D" w:rsidP="0039798D">
            <w:pPr>
              <w:rPr>
                <w:color w:val="000000" w:themeColor="text1"/>
              </w:rPr>
            </w:pPr>
            <w:r w:rsidRPr="0039798D">
              <w:rPr>
                <w:color w:val="000000" w:themeColor="text1"/>
              </w:rPr>
              <w:t xml:space="preserve">3) noteikt mantinieku atbildību pret mantojuma atstājēja kreditoriem (ņemot vērā, ka personas nāve ir izņēmuma stāvoklis no parastās civiltiesiskās aprites); </w:t>
            </w:r>
          </w:p>
          <w:p w14:paraId="0FA45A9B" w14:textId="77777777" w:rsidR="0039798D" w:rsidRPr="0039798D" w:rsidRDefault="0039798D" w:rsidP="0039798D">
            <w:pPr>
              <w:rPr>
                <w:color w:val="000000" w:themeColor="text1"/>
              </w:rPr>
            </w:pPr>
            <w:r w:rsidRPr="0039798D">
              <w:rPr>
                <w:color w:val="000000" w:themeColor="text1"/>
              </w:rPr>
              <w:t>4) precizēt regulējumu attiecībā uz mantojuma aizgādnību;</w:t>
            </w:r>
          </w:p>
          <w:p w14:paraId="2F34B058" w14:textId="77777777" w:rsidR="0039798D" w:rsidRPr="0039798D" w:rsidRDefault="0039798D" w:rsidP="0039798D">
            <w:pPr>
              <w:rPr>
                <w:color w:val="000000" w:themeColor="text1"/>
              </w:rPr>
            </w:pPr>
            <w:r w:rsidRPr="0039798D">
              <w:rPr>
                <w:color w:val="000000" w:themeColor="text1"/>
              </w:rPr>
              <w:t>5) precizēt regulējumu attiecībā uz iepriekšēji saņemtā pievienojumu, pielāgojot to mūsdienu tiesību tendencēm;</w:t>
            </w:r>
          </w:p>
          <w:p w14:paraId="135DF71D" w14:textId="77777777" w:rsidR="0039798D" w:rsidRPr="0039798D" w:rsidRDefault="0039798D" w:rsidP="0039798D">
            <w:pPr>
              <w:rPr>
                <w:color w:val="000000" w:themeColor="text1"/>
              </w:rPr>
            </w:pPr>
            <w:r w:rsidRPr="0039798D">
              <w:rPr>
                <w:color w:val="000000" w:themeColor="text1"/>
              </w:rPr>
              <w:t>6) precizēt regulējumu attiecībā uz mantojuma dalīšanu, ņemot vērā praksē pastāvošās problēmas;</w:t>
            </w:r>
          </w:p>
          <w:p w14:paraId="1467A2C4" w14:textId="16DDD088" w:rsidR="00D74081" w:rsidRPr="00C82B48" w:rsidRDefault="0039798D" w:rsidP="0039798D">
            <w:pPr>
              <w:rPr>
                <w:color w:val="000000" w:themeColor="text1"/>
              </w:rPr>
            </w:pPr>
            <w:r w:rsidRPr="0039798D">
              <w:rPr>
                <w:color w:val="000000" w:themeColor="text1"/>
              </w:rPr>
              <w:t>7) veikt dažādus nepieciešamos pilnveidojumus mantojuma regulējumā, nodrošinot tā atbilstību mūsdienu tendencēm un tiesiskajai situācijai.</w:t>
            </w:r>
          </w:p>
        </w:tc>
      </w:tr>
    </w:tbl>
    <w:p w14:paraId="2077E557" w14:textId="77777777" w:rsidR="00E73FC1" w:rsidRPr="00C82B48" w:rsidRDefault="00E73FC1" w:rsidP="002476D5">
      <w:pPr>
        <w:rPr>
          <w:color w:val="000000" w:themeColor="text1"/>
        </w:rPr>
      </w:pPr>
    </w:p>
    <w:p w14:paraId="32A5F234" w14:textId="46D8D967" w:rsidR="00D74081" w:rsidRDefault="00EE4212" w:rsidP="002476D5">
      <w:pPr>
        <w:rPr>
          <w:b/>
          <w:color w:val="000000" w:themeColor="text1"/>
        </w:rPr>
      </w:pPr>
      <w:r w:rsidRPr="00C82B48">
        <w:rPr>
          <w:b/>
          <w:color w:val="000000" w:themeColor="text1"/>
        </w:rPr>
        <w:t>Problēmas un risinājumi</w:t>
      </w:r>
    </w:p>
    <w:p w14:paraId="081912B9" w14:textId="77777777" w:rsidR="00C733BF" w:rsidRPr="00C82B48" w:rsidRDefault="00C733BF" w:rsidP="002476D5">
      <w:pPr>
        <w:rPr>
          <w:color w:val="000000" w:themeColor="text1"/>
        </w:rPr>
      </w:pPr>
    </w:p>
    <w:p w14:paraId="075C6A14" w14:textId="5C8A4460" w:rsidR="007E0A60" w:rsidRPr="00AD19A3" w:rsidRDefault="00EE4212" w:rsidP="00AD19A3">
      <w:pPr>
        <w:rPr>
          <w:color w:val="000000" w:themeColor="text1"/>
        </w:rPr>
      </w:pPr>
      <w:r w:rsidRPr="00AD19A3">
        <w:rPr>
          <w:b/>
          <w:color w:val="000000" w:themeColor="text1"/>
        </w:rPr>
        <w:t>Problēmas apraksts</w:t>
      </w:r>
      <w:r w:rsidR="00D74081" w:rsidRPr="00AD19A3">
        <w:rPr>
          <w:b/>
          <w:color w:val="000000" w:themeColor="text1"/>
        </w:rPr>
        <w:t xml:space="preserve"> </w:t>
      </w:r>
    </w:p>
    <w:p w14:paraId="5D5A88EF" w14:textId="77777777" w:rsidR="007E0A60" w:rsidRPr="00C733BF" w:rsidRDefault="007E0A60" w:rsidP="007E0A60">
      <w:pPr>
        <w:jc w:val="center"/>
        <w:rPr>
          <w:b/>
          <w:bCs/>
          <w:iCs/>
          <w:szCs w:val="28"/>
        </w:rPr>
      </w:pPr>
      <w:r w:rsidRPr="00C733BF">
        <w:rPr>
          <w:b/>
          <w:bCs/>
          <w:iCs/>
          <w:szCs w:val="28"/>
        </w:rPr>
        <w:t>I. Mantojuma pieņemšana.</w:t>
      </w:r>
    </w:p>
    <w:p w14:paraId="75440E51" w14:textId="5FC7A154" w:rsidR="007E0A60" w:rsidRPr="00C733BF" w:rsidRDefault="007E0A60" w:rsidP="007E0A60">
      <w:pPr>
        <w:rPr>
          <w:iCs/>
          <w:szCs w:val="28"/>
        </w:rPr>
      </w:pPr>
      <w:r w:rsidRPr="00C733BF">
        <w:rPr>
          <w:iCs/>
          <w:szCs w:val="28"/>
        </w:rPr>
        <w:t>Civillikumā ietvertais mantojuma pieņemšanas institūts balstās romiešu tiesības un saskaņā ar to mantojumu iegūst tikai ar tā pieņemšanu. Mantojuma atklāšanās nozīmē vienīgi aicinājumu mantot (</w:t>
      </w:r>
      <w:proofErr w:type="spellStart"/>
      <w:r w:rsidRPr="00C733BF">
        <w:rPr>
          <w:i/>
          <w:szCs w:val="28"/>
        </w:rPr>
        <w:t>aditio</w:t>
      </w:r>
      <w:proofErr w:type="spellEnd"/>
      <w:r w:rsidRPr="00C733BF">
        <w:rPr>
          <w:iCs/>
          <w:szCs w:val="28"/>
        </w:rPr>
        <w:t xml:space="preserve"> vai </w:t>
      </w:r>
      <w:proofErr w:type="spellStart"/>
      <w:r w:rsidRPr="00C733BF">
        <w:rPr>
          <w:i/>
          <w:szCs w:val="28"/>
        </w:rPr>
        <w:t>asquisitio</w:t>
      </w:r>
      <w:proofErr w:type="spellEnd"/>
      <w:r w:rsidRPr="00C733BF">
        <w:rPr>
          <w:i/>
          <w:szCs w:val="28"/>
        </w:rPr>
        <w:t xml:space="preserve"> </w:t>
      </w:r>
      <w:proofErr w:type="spellStart"/>
      <w:r w:rsidRPr="00C733BF">
        <w:rPr>
          <w:i/>
          <w:szCs w:val="28"/>
        </w:rPr>
        <w:t>hereditatis</w:t>
      </w:r>
      <w:proofErr w:type="spellEnd"/>
      <w:r w:rsidRPr="00C733BF">
        <w:rPr>
          <w:iCs/>
          <w:szCs w:val="28"/>
        </w:rPr>
        <w:t xml:space="preserve">), kuru mantinieki var arī neizlietot. </w:t>
      </w:r>
    </w:p>
    <w:p w14:paraId="4EE61CEE" w14:textId="47439A19" w:rsidR="007E0A60" w:rsidRPr="00C733BF" w:rsidRDefault="007E0A60" w:rsidP="007E0A60">
      <w:pPr>
        <w:rPr>
          <w:iCs/>
          <w:szCs w:val="28"/>
        </w:rPr>
      </w:pPr>
      <w:r w:rsidRPr="00C733BF">
        <w:rPr>
          <w:iCs/>
          <w:szCs w:val="28"/>
        </w:rPr>
        <w:t xml:space="preserve">Civillikums šo principu pārņēma no līdz 1937. gadam spēkā esošajam normām – Baltijas Vietējo likumu kopojuma. Izstrādājot Civillikuma regulējumu, notika debates par regulējuma saglabāšanu un radās principiāls jautājums: "vai attiecibā uz mantojuma iegūšanu jāievēro romiešu tiesību </w:t>
      </w:r>
      <w:r w:rsidRPr="00C733BF">
        <w:rPr>
          <w:i/>
          <w:szCs w:val="28"/>
        </w:rPr>
        <w:t>"</w:t>
      </w:r>
      <w:proofErr w:type="spellStart"/>
      <w:r w:rsidRPr="00C733BF">
        <w:rPr>
          <w:i/>
          <w:szCs w:val="28"/>
        </w:rPr>
        <w:t>hereditas</w:t>
      </w:r>
      <w:proofErr w:type="spellEnd"/>
      <w:r w:rsidRPr="00C733BF">
        <w:rPr>
          <w:i/>
          <w:szCs w:val="28"/>
        </w:rPr>
        <w:t xml:space="preserve"> </w:t>
      </w:r>
      <w:proofErr w:type="spellStart"/>
      <w:r w:rsidRPr="00C733BF">
        <w:rPr>
          <w:i/>
          <w:szCs w:val="28"/>
        </w:rPr>
        <w:t>iacens</w:t>
      </w:r>
      <w:proofErr w:type="spellEnd"/>
      <w:r w:rsidRPr="00C733BF">
        <w:rPr>
          <w:i/>
          <w:szCs w:val="28"/>
        </w:rPr>
        <w:t>"</w:t>
      </w:r>
      <w:r w:rsidRPr="00C733BF">
        <w:rPr>
          <w:iCs/>
          <w:szCs w:val="28"/>
        </w:rPr>
        <w:t xml:space="preserve"> princips ("snaudošais mantojums", līdz to paņem mantot tiesīgais) vai drīzāk, piem., Francijas </w:t>
      </w:r>
      <w:r w:rsidRPr="00C733BF">
        <w:rPr>
          <w:i/>
          <w:szCs w:val="28"/>
        </w:rPr>
        <w:t xml:space="preserve">Code </w:t>
      </w:r>
      <w:proofErr w:type="spellStart"/>
      <w:r w:rsidRPr="00C733BF">
        <w:rPr>
          <w:i/>
          <w:szCs w:val="28"/>
        </w:rPr>
        <w:t>Civil</w:t>
      </w:r>
      <w:proofErr w:type="spellEnd"/>
      <w:r w:rsidRPr="00C733BF">
        <w:rPr>
          <w:iCs/>
          <w:szCs w:val="28"/>
        </w:rPr>
        <w:t xml:space="preserve">, Vācijas Civillikuma vai Šveices Civillikuma pamatā esošais </w:t>
      </w:r>
      <w:r w:rsidR="00C733BF">
        <w:rPr>
          <w:iCs/>
          <w:szCs w:val="28"/>
        </w:rPr>
        <w:t>ģermāņu</w:t>
      </w:r>
      <w:r w:rsidRPr="00C733BF">
        <w:rPr>
          <w:iCs/>
          <w:szCs w:val="28"/>
        </w:rPr>
        <w:t xml:space="preserve"> princips "mirušais manto dzīvo" (automātiska mantojuma parēja, pieņemšana nav nepieciešama). Beigu beigās Latvijas Civillikums tomēr nesekoja principam "mirušais manto dzīvo" un mantojuma iegūšana nenotika uz likuma pamata. Gluži pretēji, tapāt kā romiešu tiesībās tā bija atkarīga no mantot tiesīgā̄ gribas. </w:t>
      </w:r>
    </w:p>
    <w:p w14:paraId="6CF0B8B1" w14:textId="77777777" w:rsidR="007E0A60" w:rsidRPr="00C733BF" w:rsidRDefault="007E0A60" w:rsidP="007E0A60">
      <w:pPr>
        <w:rPr>
          <w:iCs/>
          <w:szCs w:val="28"/>
        </w:rPr>
      </w:pPr>
      <w:r w:rsidRPr="00C733BF">
        <w:rPr>
          <w:iCs/>
          <w:szCs w:val="28"/>
        </w:rPr>
        <w:t xml:space="preserve">Arī saskaņā ar spēkā esošo regulējumu Latvijas mantojuma tiesībās mantojuma iegūšana ir atkarīga no mantot tiesīgā gribas. Viņam mantojums vispirms ir jāpieņem (Civillikuma 687.-700., sevišķi 688.-691. pants). </w:t>
      </w:r>
    </w:p>
    <w:p w14:paraId="69EA3D28" w14:textId="3C5FD5C1" w:rsidR="007E0A60" w:rsidRPr="00C733BF" w:rsidRDefault="007E0A60" w:rsidP="007E0A60">
      <w:pPr>
        <w:rPr>
          <w:iCs/>
          <w:szCs w:val="28"/>
        </w:rPr>
      </w:pPr>
      <w:r w:rsidRPr="00C733BF">
        <w:rPr>
          <w:iCs/>
          <w:szCs w:val="28"/>
        </w:rPr>
        <w:t xml:space="preserve">Tātad pamatnosacījums, lai mantot tiesīgais saņemtu mantojumu, iegūtu visas ar to saistītās tiesības un uzņemtos pienākumus, ir skaidra un nepārprotama mantot aicinātā </w:t>
      </w:r>
      <w:r w:rsidRPr="00C733BF">
        <w:rPr>
          <w:iCs/>
          <w:szCs w:val="28"/>
        </w:rPr>
        <w:lastRenderedPageBreak/>
        <w:t xml:space="preserve">griba, kas šobrīd var būt izteikta "mutiski vai rakstiski, vai arī klusējot, ar tādu darbību, kuru attiecīgos apstākļos var iztulkot vienīgi </w:t>
      </w:r>
      <w:r w:rsidR="00C733BF" w:rsidRPr="00C733BF">
        <w:rPr>
          <w:iCs/>
          <w:szCs w:val="28"/>
        </w:rPr>
        <w:t>t</w:t>
      </w:r>
      <w:r w:rsidR="00C733BF">
        <w:rPr>
          <w:iCs/>
          <w:szCs w:val="28"/>
        </w:rPr>
        <w:t>ā</w:t>
      </w:r>
      <w:r w:rsidRPr="00C733BF">
        <w:rPr>
          <w:iCs/>
          <w:szCs w:val="28"/>
        </w:rPr>
        <w:t xml:space="preserve">, ka zināma persona atzīst sevi par mantinieku" (Civillikuma 691. pants). </w:t>
      </w:r>
    </w:p>
    <w:p w14:paraId="5A39263C" w14:textId="77777777" w:rsidR="007E0A60" w:rsidRPr="00C733BF" w:rsidRDefault="007E0A60" w:rsidP="007E0A60">
      <w:pPr>
        <w:rPr>
          <w:iCs/>
          <w:szCs w:val="28"/>
        </w:rPr>
      </w:pPr>
      <w:r w:rsidRPr="00C733BF">
        <w:rPr>
          <w:iCs/>
          <w:szCs w:val="28"/>
        </w:rPr>
        <w:t>Nav pamata pieņemt, ka pastāvošais mantojuma pieņemšanas institūts kopumā, proti, - pati prasība pēc mantot aicinātā darbības, kas vērsta uz mantojuma pieņemšanu, būtu kaut kādā mērā neaktuāla vai nelietderīga 21. gs. Latvijā. Šādas atziņas nav paustas juridiskajā literatūrā un neizriet arī no tiesu prakses.</w:t>
      </w:r>
      <w:r w:rsidRPr="00C733BF">
        <w:rPr>
          <w:rStyle w:val="FootnoteReference"/>
          <w:iCs/>
          <w:szCs w:val="28"/>
        </w:rPr>
        <w:footnoteReference w:id="1"/>
      </w:r>
      <w:r w:rsidRPr="00C733BF">
        <w:rPr>
          <w:iCs/>
          <w:szCs w:val="28"/>
        </w:rPr>
        <w:t xml:space="preserve"> </w:t>
      </w:r>
    </w:p>
    <w:p w14:paraId="5D7CAB8E" w14:textId="77777777" w:rsidR="007E0A60" w:rsidRPr="00C733BF" w:rsidRDefault="007E0A60" w:rsidP="007E0A60">
      <w:pPr>
        <w:rPr>
          <w:iCs/>
          <w:szCs w:val="28"/>
        </w:rPr>
      </w:pPr>
      <w:r w:rsidRPr="00C733BF">
        <w:rPr>
          <w:iCs/>
          <w:szCs w:val="28"/>
        </w:rPr>
        <w:t>Tomēr konstatēts, ka dažāda Civillikuma normu piemērošanas prakse un dažādās mantot aicināto gribas izteikšanas formas un termiņi, ko pašreiz pieļauj Civillikums, rada tiesisko nenoteiktību, piemēram, mantinieku noskaidrošanā, kas savukārt tālāk rada ķēdes reakciju attiecībā uz mantojuma masā ietilpstošās mantas atgriešanos normālā civiltiesiskajā apritē.</w:t>
      </w:r>
    </w:p>
    <w:p w14:paraId="12CE45AC" w14:textId="77777777" w:rsidR="007E0A60" w:rsidRPr="00C733BF" w:rsidRDefault="007E0A60" w:rsidP="007E0A60">
      <w:pPr>
        <w:rPr>
          <w:iCs/>
          <w:szCs w:val="28"/>
        </w:rPr>
      </w:pPr>
      <w:r w:rsidRPr="00C733BF">
        <w:rPr>
          <w:iCs/>
          <w:szCs w:val="28"/>
        </w:rPr>
        <w:t xml:space="preserve">Vienlaikus Darba grupā, tāpat kā Pētījumā secināts, ka mantojuma pieņemšanas sistēma Latvijā, kas prasa nepieciešamību pēc aktīvas mantot aicināto iesaistes mantošanas procesā (lietas uzsākšana pie zvērināta notāra, gribas paušana u.tml.), nebūtu maināma – to nepieciešams pilnveidot un stiprināt, tādējādi panākot vēlamo efektu. </w:t>
      </w:r>
    </w:p>
    <w:p w14:paraId="0E539E38" w14:textId="77777777" w:rsidR="007E0A60" w:rsidRPr="00C733BF" w:rsidRDefault="007E0A60" w:rsidP="007E0A60">
      <w:pPr>
        <w:rPr>
          <w:iCs/>
          <w:szCs w:val="28"/>
        </w:rPr>
      </w:pPr>
      <w:r w:rsidRPr="00C733BF">
        <w:rPr>
          <w:iCs/>
          <w:szCs w:val="28"/>
        </w:rPr>
        <w:t xml:space="preserve">Tāpat ekspertu vidū secināts, ka Vācijas modeļa (vai līdzīga modeļa), kur mantiniekiem zināmā termiņā pēc mantojuma atstājēja nāves jāatsakās no mantojuma, pretējā gadījumā uzskatāms, ka tie ir mantojuši uz likuma pamata, ieviešana Latvijā būtu nesamērīgi dārga un radītu lielu administratīvo slogu valstij, ņemot vērā, ka par katru mirušo personu valstij būtu jāuzsāk mantojuma lieta, jāapzina potenciālie mantinieki u.tml. Līdz ar to secināts, ka mantošanas procesa iniciēšana jāatstāj ieinteresēto personu (mantinieku, kreditoru u.c.) ziņā. </w:t>
      </w:r>
    </w:p>
    <w:p w14:paraId="38E98FCE" w14:textId="77777777" w:rsidR="007E0A60" w:rsidRPr="00C733BF" w:rsidRDefault="007E0A60" w:rsidP="007E0A60">
      <w:pPr>
        <w:rPr>
          <w:b/>
          <w:bCs/>
          <w:iCs/>
          <w:szCs w:val="28"/>
        </w:rPr>
      </w:pPr>
      <w:r w:rsidRPr="00C733BF">
        <w:rPr>
          <w:b/>
          <w:bCs/>
          <w:iCs/>
          <w:szCs w:val="28"/>
        </w:rPr>
        <w:t>Savukārt, izvērtējot jautājumu par to, vai mantojuma lietas ierosināšanai būtu nepieciešams noteikt konkrētu termiņu, secināts, ka termiņš mantojuma lietas uzsākšanai nav jānosaka, jo, pirmkārt, mantojuma pieņemšana Latvijā nav obligāta vai automātiska, otrkārt, Likumprojekts saglabā iespēju pieņemt mantojumu klusējot. Tāpat secināts, ka, nosakot termiņu mantojuma izsludināšanai, varētu tikt aizskartas arī citu mantojumā interesēto personu tiesības termiņa notecējuma gadījumā, jo, notekot termiņam, arī tās zaudētu savas tiesības uz mantojumu vai mantojumā ietilpstošo mantu, tajā skaitā, piemēram, pašvaldība kā kreditors.</w:t>
      </w:r>
    </w:p>
    <w:p w14:paraId="733E93EB" w14:textId="77777777" w:rsidR="007E0A60" w:rsidRPr="00C733BF" w:rsidRDefault="007E0A60" w:rsidP="007E0A60">
      <w:pPr>
        <w:rPr>
          <w:iCs/>
          <w:szCs w:val="28"/>
        </w:rPr>
      </w:pPr>
      <w:r w:rsidRPr="00C733BF">
        <w:rPr>
          <w:iCs/>
          <w:szCs w:val="28"/>
        </w:rPr>
        <w:t>Ievērojot visu minēto, ar Likumprojektu atbilstoši Darba grupas atbalstītajam konceptam tiek ieviesti šādi jauninājumi pastāvošās mantojuma pieņemšanas sistēmas ietvaros:</w:t>
      </w:r>
    </w:p>
    <w:p w14:paraId="42BDA684" w14:textId="77777777" w:rsidR="007E0A60" w:rsidRPr="00C733BF" w:rsidRDefault="007E0A60" w:rsidP="007E0A60">
      <w:pPr>
        <w:pStyle w:val="ListParagraph"/>
        <w:numPr>
          <w:ilvl w:val="0"/>
          <w:numId w:val="3"/>
        </w:numPr>
        <w:rPr>
          <w:iCs/>
          <w:szCs w:val="28"/>
        </w:rPr>
      </w:pPr>
      <w:r w:rsidRPr="00C733BF">
        <w:rPr>
          <w:iCs/>
          <w:szCs w:val="28"/>
        </w:rPr>
        <w:t>mantojumu var pieņemt (paust gribu) noteikti – iesniedzot mantojuma iesniegumu notāram vai klusējot (ar faktisko valdījumu);</w:t>
      </w:r>
    </w:p>
    <w:p w14:paraId="00A9F172" w14:textId="77777777" w:rsidR="007E0A60" w:rsidRPr="00C733BF" w:rsidRDefault="007E0A60" w:rsidP="007E0A60">
      <w:pPr>
        <w:pStyle w:val="ListParagraph"/>
        <w:numPr>
          <w:ilvl w:val="0"/>
          <w:numId w:val="3"/>
        </w:numPr>
        <w:rPr>
          <w:iCs/>
          <w:szCs w:val="28"/>
        </w:rPr>
      </w:pPr>
      <w:r w:rsidRPr="00C733BF">
        <w:rPr>
          <w:iCs/>
          <w:szCs w:val="28"/>
        </w:rPr>
        <w:t xml:space="preserve">visiem mantiniekiem ir pienākums pārtraukt klusēšanu, ja mantojuma lieta tiek uzsākta pie notāra (proti, mantojumu var pieņemt arī caur faktisko valdījumu (klusējot), bet, ja cits mantinieks vai ieinteresētā persona, piemēram, mantojuma atstājēja kreditors, pēc tam uzsāk mantojuma lietu, mantiniekiem, kas agrāk pieņēmuši mantojumu ar faktisko valdījumu (klusējot), jāpārtrauc klusēšana un </w:t>
      </w:r>
      <w:r w:rsidRPr="00C733BF">
        <w:rPr>
          <w:iCs/>
          <w:szCs w:val="28"/>
        </w:rPr>
        <w:lastRenderedPageBreak/>
        <w:t>sludinājumā par mantojuma atklāšanos noteiktajā termiņā jāpiesaka savas tiesības zvērinātam notāram, pretējā gadījumā termiņā nepieteiktās un arī iepriekš iegūtās (ar faktisko valdījumu) mantinieku tiesības tiks dzēstas);</w:t>
      </w:r>
    </w:p>
    <w:p w14:paraId="12A04D93" w14:textId="77777777" w:rsidR="007E0A60" w:rsidRPr="00C733BF" w:rsidRDefault="007E0A60" w:rsidP="007E0A60">
      <w:pPr>
        <w:pStyle w:val="ListParagraph"/>
        <w:numPr>
          <w:ilvl w:val="0"/>
          <w:numId w:val="3"/>
        </w:numPr>
        <w:rPr>
          <w:iCs/>
          <w:szCs w:val="28"/>
        </w:rPr>
      </w:pPr>
      <w:r w:rsidRPr="00C733BF">
        <w:rPr>
          <w:iCs/>
          <w:szCs w:val="28"/>
        </w:rPr>
        <w:t xml:space="preserve">mantojums ir izsludināms katrā uzsāktā mantojuma lietā, pretēji tam, kā ir šobrīd, kad mantojuma izsludināšana notiek tikai likumā paredzētos gadījumos </w:t>
      </w:r>
      <w:r w:rsidRPr="00C733BF">
        <w:rPr>
          <w:b/>
          <w:bCs/>
          <w:i/>
          <w:szCs w:val="28"/>
        </w:rPr>
        <w:t>(attiecīgie grozījumi paredzēti saistītajā likumprojektā "Grozījumi Notariāta likumā)</w:t>
      </w:r>
      <w:r w:rsidRPr="00C733BF">
        <w:rPr>
          <w:iCs/>
          <w:szCs w:val="28"/>
        </w:rPr>
        <w:t>;</w:t>
      </w:r>
    </w:p>
    <w:p w14:paraId="2ACCCBDC" w14:textId="0E2875D8" w:rsidR="007E0A60" w:rsidRPr="00C733BF" w:rsidRDefault="007E0A60" w:rsidP="007E0A60">
      <w:pPr>
        <w:pStyle w:val="ListParagraph"/>
        <w:numPr>
          <w:ilvl w:val="0"/>
          <w:numId w:val="3"/>
        </w:numPr>
        <w:rPr>
          <w:iCs/>
          <w:szCs w:val="28"/>
        </w:rPr>
      </w:pPr>
      <w:r w:rsidRPr="00C733BF">
        <w:rPr>
          <w:iCs/>
          <w:szCs w:val="28"/>
        </w:rPr>
        <w:t xml:space="preserve">zvērinātam notāram, vadoties no pieejamiem datiem (publiskie reģistri), vienmēr, neatkarīgi no tā, kas uzsācis mantojuma lietu, jāinformē mantot aicinātos (līdz trešajai pakāpei) par mantojuma izsludināšanu un jāapzina mantojuma atstājējam piederējusī manta. Mantu jāpārbauda Valsts vienotajā datorizētajā zemesgrāmatā, Nekustamā īpašuma valsts kadastra informācijas sistēmā, Transportlīdzekļu un to vadītāju reģistrā, Uzņēmumu reģistrā un kontu reģistrā, </w:t>
      </w:r>
      <w:r w:rsidRPr="00C733BF">
        <w:rPr>
          <w:b/>
          <w:bCs/>
          <w:iCs/>
          <w:szCs w:val="28"/>
        </w:rPr>
        <w:t>un ziņas par to jāiekļauj mantojuma saraksta daļā, ko aizpilda notārs (otru daļu par pārējo mirušajam piederējušo mantu aizpilda mantot aicinātie)</w:t>
      </w:r>
      <w:r w:rsidRPr="00C733BF">
        <w:rPr>
          <w:iCs/>
          <w:szCs w:val="28"/>
        </w:rPr>
        <w:t xml:space="preserve"> </w:t>
      </w:r>
      <w:r w:rsidRPr="00C733BF">
        <w:rPr>
          <w:b/>
          <w:bCs/>
          <w:i/>
          <w:szCs w:val="28"/>
        </w:rPr>
        <w:t>(attiecīgie grozījumi paredzēti saistītajā  likumprojektā "Grozījumi Notariāta likumā</w:t>
      </w:r>
      <w:r w:rsidR="00D44C63">
        <w:rPr>
          <w:b/>
          <w:bCs/>
          <w:i/>
          <w:szCs w:val="28"/>
        </w:rPr>
        <w:t xml:space="preserve"> un attiecīgajos Ministru kabineta noteikumos pēc likumprojektu pieņemšanas Saeimā otrajā lasījumā</w:t>
      </w:r>
      <w:r w:rsidRPr="00C733BF">
        <w:rPr>
          <w:b/>
          <w:bCs/>
          <w:i/>
          <w:szCs w:val="28"/>
        </w:rPr>
        <w:t>)</w:t>
      </w:r>
      <w:r w:rsidRPr="00C733BF">
        <w:rPr>
          <w:iCs/>
          <w:szCs w:val="28"/>
        </w:rPr>
        <w:t>;</w:t>
      </w:r>
    </w:p>
    <w:p w14:paraId="0DB57288" w14:textId="77777777" w:rsidR="007E0A60" w:rsidRPr="00C733BF" w:rsidRDefault="007E0A60" w:rsidP="007E0A60">
      <w:pPr>
        <w:pStyle w:val="ListParagraph"/>
        <w:numPr>
          <w:ilvl w:val="0"/>
          <w:numId w:val="3"/>
        </w:numPr>
        <w:rPr>
          <w:iCs/>
          <w:szCs w:val="28"/>
        </w:rPr>
      </w:pPr>
      <w:r w:rsidRPr="00C733BF">
        <w:rPr>
          <w:iCs/>
          <w:szCs w:val="28"/>
        </w:rPr>
        <w:t xml:space="preserve">mantot aicinātajiem un mantojuma atstājēja kreditoriem sludinājumā par mantojuma atklāšanos tiek noteikti divi dažādi termiņi, kurā mantiniekiem jāpauž griba par mantojuma pieņemšanu/atraidīšanu un kreditoriem jāpiesaka pretenzijas </w:t>
      </w:r>
      <w:r w:rsidRPr="00C733BF">
        <w:rPr>
          <w:b/>
          <w:bCs/>
          <w:i/>
          <w:szCs w:val="28"/>
        </w:rPr>
        <w:t>(attiecīgie grozījumi paredzēti saistītajā likumprojektā "Grozījumi Notariāta likumā)</w:t>
      </w:r>
      <w:r w:rsidRPr="00C733BF">
        <w:rPr>
          <w:iCs/>
          <w:szCs w:val="28"/>
        </w:rPr>
        <w:t>;</w:t>
      </w:r>
    </w:p>
    <w:p w14:paraId="04F77EB3" w14:textId="77777777" w:rsidR="007E0A60" w:rsidRPr="00C733BF" w:rsidRDefault="007E0A60" w:rsidP="007E0A60">
      <w:pPr>
        <w:pStyle w:val="ListParagraph"/>
        <w:numPr>
          <w:ilvl w:val="0"/>
          <w:numId w:val="3"/>
        </w:numPr>
        <w:rPr>
          <w:iCs/>
          <w:szCs w:val="28"/>
        </w:rPr>
      </w:pPr>
      <w:r w:rsidRPr="00C733BF">
        <w:rPr>
          <w:iCs/>
          <w:szCs w:val="28"/>
        </w:rPr>
        <w:t>neatņemamās daļas tiesīgajiem nav jāpiesaka savas tiesības uz neatņemamo daļu, ja tie mantojuma lietā jau pieteikušies kā mantinieki;</w:t>
      </w:r>
    </w:p>
    <w:p w14:paraId="25C44619" w14:textId="77777777" w:rsidR="007E0A60" w:rsidRPr="00C733BF" w:rsidRDefault="007E0A60" w:rsidP="007E0A60">
      <w:pPr>
        <w:pStyle w:val="ListParagraph"/>
        <w:numPr>
          <w:ilvl w:val="0"/>
          <w:numId w:val="3"/>
        </w:numPr>
        <w:rPr>
          <w:iCs/>
          <w:szCs w:val="28"/>
        </w:rPr>
      </w:pPr>
      <w:r w:rsidRPr="00C733BF">
        <w:rPr>
          <w:iCs/>
          <w:szCs w:val="28"/>
        </w:rPr>
        <w:t>ņemot vērā, ka nevienu personu nevar piespiest pieņemt mantojumu, jāparedz, ka līgumiskajam mantiniekam visos gadījumos ir tiesības atraidīt mantojumu;</w:t>
      </w:r>
    </w:p>
    <w:p w14:paraId="75C1FD97" w14:textId="73CDBA14" w:rsidR="007E0A60" w:rsidRPr="00C733BF" w:rsidRDefault="007E0A60" w:rsidP="007E0A60">
      <w:pPr>
        <w:pStyle w:val="ListParagraph"/>
        <w:numPr>
          <w:ilvl w:val="0"/>
          <w:numId w:val="3"/>
        </w:numPr>
        <w:rPr>
          <w:b/>
          <w:bCs/>
          <w:iCs/>
          <w:szCs w:val="28"/>
        </w:rPr>
      </w:pPr>
      <w:r w:rsidRPr="00C733BF">
        <w:rPr>
          <w:b/>
          <w:bCs/>
          <w:iCs/>
          <w:szCs w:val="28"/>
        </w:rPr>
        <w:t>tiek stiprināts princips, kas paredz, ka tas, kas mantojumu pieņēmis, no tā vairs nevar atteikties, paredzot, ka kreditori pēc sludinājuma par mantojuma atklāšanos termiņa notecējuma var vērst savus prasījumus pret  mantiniekiem, kas pauduši gribu un pierādījuši savas mantojuma tiesības, taču dažādu apsvērumu dēļ neizņem mantojuma apliecības (ar minēto paredzēts novēr</w:t>
      </w:r>
      <w:r w:rsidR="00C36A59">
        <w:rPr>
          <w:b/>
          <w:bCs/>
          <w:iCs/>
          <w:szCs w:val="28"/>
        </w:rPr>
        <w:t>st</w:t>
      </w:r>
      <w:r w:rsidRPr="00C733BF">
        <w:rPr>
          <w:b/>
          <w:bCs/>
          <w:iCs/>
          <w:szCs w:val="28"/>
        </w:rPr>
        <w:t xml:space="preserve"> dažādo tiesu praksi attiecībā uz to, pret ko ceļama prasība brīdī, kad sludinājuma par mantojuma atklāšanos termiņš ir notecējis, mantinieki ir pieņēmuši mantojumu un pierādījuši savas tiesības, bet neizņem mantojuma apliecības, paredzot, ka tieši mantinieki ir tie, kas šādā gadījumā ir atbildētāji).</w:t>
      </w:r>
    </w:p>
    <w:p w14:paraId="3F6E077E" w14:textId="77777777" w:rsidR="007E0A60" w:rsidRPr="007E0A60" w:rsidRDefault="007E0A60" w:rsidP="007E0A60">
      <w:pPr>
        <w:pStyle w:val="ListParagraph"/>
        <w:rPr>
          <w:color w:val="000000" w:themeColor="text1"/>
        </w:rPr>
      </w:pPr>
    </w:p>
    <w:p w14:paraId="6E446622" w14:textId="3A3E695A" w:rsidR="00E73FC1" w:rsidRPr="007E0A60" w:rsidRDefault="00EE4212" w:rsidP="007E0A60">
      <w:pPr>
        <w:rPr>
          <w:color w:val="000000" w:themeColor="text1"/>
        </w:rPr>
      </w:pPr>
      <w:r w:rsidRPr="007E0A60">
        <w:rPr>
          <w:b/>
          <w:color w:val="000000" w:themeColor="text1"/>
        </w:rPr>
        <w:t>Risinājuma apraksts</w:t>
      </w:r>
    </w:p>
    <w:tbl>
      <w:tblPr>
        <w:tblStyle w:val="TableGrid"/>
        <w:tblW w:w="0" w:type="auto"/>
        <w:tblLook w:val="04A0" w:firstRow="1" w:lastRow="0" w:firstColumn="1" w:lastColumn="0" w:noHBand="0" w:noVBand="1"/>
      </w:tblPr>
      <w:tblGrid>
        <w:gridCol w:w="9632"/>
      </w:tblGrid>
      <w:tr w:rsidR="00C82B48" w:rsidRPr="00C82B48" w14:paraId="4DD6A0DE" w14:textId="77777777" w:rsidTr="00D74081">
        <w:tc>
          <w:tcPr>
            <w:tcW w:w="9632" w:type="dxa"/>
          </w:tcPr>
          <w:p w14:paraId="4C640E0E" w14:textId="77777777" w:rsidR="00C733BF" w:rsidRPr="00C733BF" w:rsidRDefault="00C733BF" w:rsidP="00C733BF">
            <w:pPr>
              <w:rPr>
                <w:iCs/>
                <w:color w:val="000000" w:themeColor="text1"/>
              </w:rPr>
            </w:pPr>
            <w:r w:rsidRPr="00C733BF">
              <w:rPr>
                <w:iCs/>
                <w:color w:val="000000" w:themeColor="text1"/>
              </w:rPr>
              <w:t>Ņemot vērā visu iepriekš aprakstīto, Likumprojekts attiecībā uz mantojuma pieņemšanu paredz izdarīt sekojošus grozījumus Civillikumā (panti norādīti secīgi):</w:t>
            </w:r>
          </w:p>
          <w:p w14:paraId="357C1FEE" w14:textId="77777777" w:rsidR="00C733BF" w:rsidRPr="00C733BF" w:rsidRDefault="00C733BF" w:rsidP="00C733BF">
            <w:pPr>
              <w:rPr>
                <w:iCs/>
                <w:color w:val="000000" w:themeColor="text1"/>
              </w:rPr>
            </w:pPr>
            <w:r w:rsidRPr="00C733BF">
              <w:rPr>
                <w:b/>
                <w:bCs/>
                <w:iCs/>
                <w:color w:val="000000" w:themeColor="text1"/>
              </w:rPr>
              <w:t>1.</w:t>
            </w:r>
            <w:r w:rsidRPr="00C733BF">
              <w:rPr>
                <w:iCs/>
                <w:color w:val="000000" w:themeColor="text1"/>
              </w:rPr>
              <w:t> </w:t>
            </w:r>
            <w:r w:rsidRPr="00C733BF">
              <w:rPr>
                <w:b/>
                <w:bCs/>
                <w:iCs/>
                <w:color w:val="000000" w:themeColor="text1"/>
              </w:rPr>
              <w:t>Grozīta Civillikuma</w:t>
            </w:r>
            <w:r w:rsidRPr="00C733BF">
              <w:rPr>
                <w:iCs/>
                <w:color w:val="000000" w:themeColor="text1"/>
              </w:rPr>
              <w:t xml:space="preserve"> </w:t>
            </w:r>
            <w:r w:rsidRPr="00C733BF">
              <w:rPr>
                <w:b/>
                <w:bCs/>
                <w:iCs/>
                <w:color w:val="000000" w:themeColor="text1"/>
              </w:rPr>
              <w:t>423. panta trešā daļa</w:t>
            </w:r>
            <w:r w:rsidRPr="00C733BF">
              <w:rPr>
                <w:iCs/>
                <w:color w:val="000000" w:themeColor="text1"/>
              </w:rPr>
              <w:t xml:space="preserve">. Šobrīd mantinieks, kas mantojuma lietā pieteicies (paudis gribu) kā mantinieks, līdz sludinājuma par mantojuma atklāšanos termiņa beigām var neuzzināt, ka tas, piemēram, ar testamentu, kas bijis </w:t>
            </w:r>
            <w:r w:rsidRPr="00C733BF">
              <w:rPr>
                <w:iCs/>
                <w:color w:val="000000" w:themeColor="text1"/>
              </w:rPr>
              <w:lastRenderedPageBreak/>
              <w:t xml:space="preserve">cita mantinieka rīcībā, ir atstumts no mantojuma. Kā rezultātā šāds mantinieks var nepaspēt atlikušajā sludinājuma par mantojuma atklāšanos termiņā pieteikties uz sev piekrītošo neatņemamo daļu vai vienkārši to neizdarīt, jo nezina, ka mantojuma lietā iesniegts testaments </w:t>
            </w:r>
            <w:r w:rsidRPr="00C733BF">
              <w:rPr>
                <w:b/>
                <w:bCs/>
                <w:iCs/>
                <w:color w:val="000000" w:themeColor="text1"/>
              </w:rPr>
              <w:t>ar ko tas atstumts no mantošanas</w:t>
            </w:r>
            <w:r w:rsidRPr="00C733BF">
              <w:rPr>
                <w:iCs/>
                <w:color w:val="000000" w:themeColor="text1"/>
              </w:rPr>
              <w:t>. Ievērojot minēto, ar grozījumu noteikts, ka neatņemamās daļas tiesīgajiem, ja tie sākotnēji pieteikuši savas tiesības mantojuma lietā kā mantinieki, papildus tam atlikušajā sludinājuma par mantojuma atklāšanos termiņā savas tiesības uz neatņemamo daļu vairs nav jāpiesaka.</w:t>
            </w:r>
          </w:p>
          <w:p w14:paraId="75E1B610" w14:textId="77777777" w:rsidR="00C733BF" w:rsidRPr="00C733BF" w:rsidRDefault="00C733BF" w:rsidP="00C733BF">
            <w:pPr>
              <w:rPr>
                <w:iCs/>
                <w:color w:val="000000" w:themeColor="text1"/>
              </w:rPr>
            </w:pPr>
            <w:r w:rsidRPr="00C733BF">
              <w:rPr>
                <w:b/>
                <w:bCs/>
                <w:iCs/>
                <w:color w:val="000000" w:themeColor="text1"/>
              </w:rPr>
              <w:t xml:space="preserve">2. Grozīts Civillikuma 651. un 689. pants. </w:t>
            </w:r>
            <w:r w:rsidRPr="00C733BF">
              <w:rPr>
                <w:iCs/>
                <w:color w:val="000000" w:themeColor="text1"/>
              </w:rPr>
              <w:t xml:space="preserve">Šobrīd līgumiskajam mantiniekam atbilstoši Civillikumam nav tiesības atkāpties no mantojuma līguma un līdz ar to – nav tiesības arī atraidīt mantojumu, ja vien tas nav tieši pielīgts mantojuma līgumā. Vienlaikus atbilstoši pastāvošajai praksei arī līgumiskajiem mantiniekiem šobrīd savas tiesības sludinājuma par mantojuma atklāšanos noteiktajā termiņā ir jāpiesaka zvērinātam notāram, kurš ved mantojuma lietu, citādāk tās tiek zaudētas. Darba grupā konstatēts, ka šobrīd pastāv zināma pretruna starp praksi un Civillikuma regulējumu. Ievērojot minēto, diskusiju rezultātā secināts, ka Civillikuma regulējums būtu pielāgojams esošajai praksei, kas paredz, ka arī līgumiskajiem mantiniekiem savas tiesības jāpiesaka sludinājumā par mantojuma atklāšanos noteiktajā termiņā. Tāpat secināts, ka nav nepieciešams tāds tiesiskais regulējums, kas atsevišķos gadījumos nepieļauj atteikties no mantojuma, jo mantošana Latvijas Republikā nav obligāta. Tādējādi ar grozījumiem no minētajiem pantiem tiek izslēgta daļa par tiesībām atraidīt mantojumu, kas paredzēs, ka </w:t>
            </w:r>
            <w:r w:rsidRPr="00C733BF">
              <w:rPr>
                <w:color w:val="000000" w:themeColor="text1"/>
              </w:rPr>
              <w:t>arī līgumiskajiem mantiniekiem turpmāk būs tiesības atraidīt mantojumu visos gadījumos, ne tikai tad, kad šāda tiesība ir pielīgta.</w:t>
            </w:r>
          </w:p>
          <w:p w14:paraId="6F128463" w14:textId="77777777" w:rsidR="00C733BF" w:rsidRPr="00C733BF" w:rsidRDefault="00C733BF" w:rsidP="00C733BF">
            <w:pPr>
              <w:rPr>
                <w:iCs/>
                <w:color w:val="000000" w:themeColor="text1"/>
              </w:rPr>
            </w:pPr>
            <w:r w:rsidRPr="00C733BF">
              <w:rPr>
                <w:b/>
                <w:bCs/>
                <w:iCs/>
                <w:color w:val="000000" w:themeColor="text1"/>
              </w:rPr>
              <w:t>3.</w:t>
            </w:r>
            <w:r w:rsidRPr="00C733BF">
              <w:rPr>
                <w:iCs/>
                <w:color w:val="000000" w:themeColor="text1"/>
              </w:rPr>
              <w:t> </w:t>
            </w:r>
            <w:r w:rsidRPr="00C733BF">
              <w:rPr>
                <w:b/>
                <w:bCs/>
                <w:iCs/>
                <w:color w:val="000000" w:themeColor="text1"/>
              </w:rPr>
              <w:t xml:space="preserve">Grozīts Civillikuma 691., 693. un 694. pants. </w:t>
            </w:r>
            <w:r w:rsidRPr="00C733BF">
              <w:rPr>
                <w:iCs/>
                <w:color w:val="000000" w:themeColor="text1"/>
              </w:rPr>
              <w:t>Kā jau minēts anotācijas sākumā, šobrīd Civillikums pieļauj dažādus gribas izteikumus (formas) par mantojuma pieņemšanu (turklāt dažādos termiņos), kas var radīt neskaidrības attiecībā uz to, vai mantojuma atstājējam (mirušajam) ir saistību un tiesību pārņēmēji un vai tie pienācīgā veidā izteikuši gribu pieņemt mantojumu vai gluži pretēji – mantinieku nav un mantojums piekritīgs valstij kā bezmantinieka manta.</w:t>
            </w:r>
          </w:p>
          <w:p w14:paraId="346DBE7B" w14:textId="77777777" w:rsidR="00C733BF" w:rsidRPr="00C733BF" w:rsidRDefault="00C733BF" w:rsidP="00C733BF">
            <w:pPr>
              <w:rPr>
                <w:iCs/>
                <w:color w:val="000000" w:themeColor="text1"/>
              </w:rPr>
            </w:pPr>
            <w:r w:rsidRPr="00C733BF">
              <w:rPr>
                <w:iCs/>
                <w:color w:val="000000" w:themeColor="text1"/>
              </w:rPr>
              <w:t>Turklāt tiesu praksē pastāv dažādas interpretācijas par mantinieka paustās gribas tiesisko nozīmi, kā arī nav skaidrības, kādā termiņā klusējošajiem mantiniekiem "</w:t>
            </w:r>
            <w:proofErr w:type="spellStart"/>
            <w:r w:rsidRPr="00C733BF">
              <w:rPr>
                <w:iCs/>
                <w:color w:val="000000" w:themeColor="text1"/>
              </w:rPr>
              <w:t>jāleģitimizē</w:t>
            </w:r>
            <w:proofErr w:type="spellEnd"/>
            <w:r w:rsidRPr="00C733BF">
              <w:rPr>
                <w:iCs/>
                <w:color w:val="000000" w:themeColor="text1"/>
              </w:rPr>
              <w:t xml:space="preserve">" savas tiesības pret trešajām personām (jāapstiprinās mantojuma tiesībās pie zvērināta notāra) un vai tas vispār ir jādara. </w:t>
            </w:r>
          </w:p>
          <w:p w14:paraId="7131398A" w14:textId="77777777" w:rsidR="00C733BF" w:rsidRPr="00C733BF" w:rsidRDefault="00C733BF" w:rsidP="00C733BF">
            <w:pPr>
              <w:rPr>
                <w:iCs/>
                <w:color w:val="000000" w:themeColor="text1"/>
              </w:rPr>
            </w:pPr>
            <w:r w:rsidRPr="00C733BF">
              <w:rPr>
                <w:iCs/>
                <w:color w:val="000000" w:themeColor="text1"/>
              </w:rPr>
              <w:t xml:space="preserve">Problemātiku ar dažādām gribas izteikuma formām labi ilustrē </w:t>
            </w:r>
            <w:r w:rsidRPr="00C733BF">
              <w:rPr>
                <w:i/>
                <w:color w:val="000000" w:themeColor="text1"/>
              </w:rPr>
              <w:t>Latvijas Republikas Senāta Civillietu departamenta 2019. gada 30. maija spriedumā lietā Nr. C32184016, SKC-178/2019</w:t>
            </w:r>
            <w:r w:rsidRPr="00C733BF">
              <w:rPr>
                <w:iCs/>
                <w:color w:val="000000" w:themeColor="text1"/>
                <w:vertAlign w:val="superscript"/>
              </w:rPr>
              <w:footnoteReference w:id="2"/>
            </w:r>
            <w:r w:rsidRPr="00C733BF">
              <w:rPr>
                <w:iCs/>
                <w:color w:val="000000" w:themeColor="text1"/>
              </w:rPr>
              <w:t xml:space="preserve"> apskatītā situācija, kur par spīti tam, ka mantojuma lieta uzsākta pie zvērināta notāra vairākus gadus pēc mantojuma atstājēja nāves un pabeigta kā bezmantinieka lieta (mantojuma lietā pie zvērināta notāra mantinieki nebija pieteikušies), tiesa secina, ka mantojuma atstājējam tomēr ir mantinieks, jo mantojums iegūts agrāk ar faktisko valdījumu (klusējot), turklāt šādai mantojuma pieņemšanai ir neatgriezeniskas sekas. Proti, faktam, ka ir bijusi uzsākta mantojuma lieta pie zvērināta notāra, kurā konkrētais mantinieks savu gribu nebija izteicis, nav </w:t>
            </w:r>
            <w:r w:rsidRPr="00C733BF">
              <w:rPr>
                <w:iCs/>
                <w:color w:val="000000" w:themeColor="text1"/>
              </w:rPr>
              <w:lastRenderedPageBreak/>
              <w:t>izšķirošas nozīmes, ja mantinieks agrāk jau mantojumu pieņēmis ar faktisko valdījumu (klusējot).</w:t>
            </w:r>
          </w:p>
          <w:p w14:paraId="08796091" w14:textId="77777777" w:rsidR="00C733BF" w:rsidRPr="00C733BF" w:rsidRDefault="00C733BF" w:rsidP="00C733BF">
            <w:pPr>
              <w:rPr>
                <w:iCs/>
                <w:color w:val="000000" w:themeColor="text1"/>
              </w:rPr>
            </w:pPr>
            <w:r w:rsidRPr="00C733BF">
              <w:rPr>
                <w:iCs/>
                <w:color w:val="000000" w:themeColor="text1"/>
              </w:rPr>
              <w:t>Tādējādi spēkā esošais regulējums, kas pieļauj šādu mantojuma pieņemšanu, var nelabvēlīgi ietekmēt mantojuma atstājēja kreditorus un citas ieinteresētas personas, kas, līdzīgos gadījumos, objektīvi nevar noskaidrot mantojuma atstājēja saistību un tiesību pārņēmējus (mantiniekus) – to vienīgā iespēja ir mēģināt šos faktus noskaidrot tiesvedības ceļā. Līdz ar ko mantojuma pieņemšanas iespēja klusējot, būtu pilnveidojama, paredzot tai noteiktas un paredzamas sekas.</w:t>
            </w:r>
          </w:p>
          <w:p w14:paraId="337A50DA" w14:textId="77777777" w:rsidR="00C733BF" w:rsidRPr="00C733BF" w:rsidRDefault="00C733BF" w:rsidP="00C733BF">
            <w:pPr>
              <w:rPr>
                <w:iCs/>
                <w:color w:val="000000" w:themeColor="text1"/>
              </w:rPr>
            </w:pPr>
            <w:r w:rsidRPr="00C733BF">
              <w:rPr>
                <w:iCs/>
                <w:color w:val="000000" w:themeColor="text1"/>
              </w:rPr>
              <w:t>Papildus minētajam Darba grupas diskusijās secināts, ka no tiesiskās noteiktības viedokļa nebūtu atbalstāms, ka mirušas personas saistību un tiesību pārņēmēji var būt uzskatāmi par leģitīmiem mantiniekiem attiecībā pret trešajām personām vienlaikus, nepastāvot efektīvam veidam, kā citām mantojumā ieinteresētajām personām to noskaidrot.</w:t>
            </w:r>
          </w:p>
          <w:p w14:paraId="767C7B2E" w14:textId="77777777" w:rsidR="00C733BF" w:rsidRPr="00C733BF" w:rsidRDefault="00C733BF" w:rsidP="00C733BF">
            <w:pPr>
              <w:rPr>
                <w:iCs/>
                <w:color w:val="000000" w:themeColor="text1"/>
              </w:rPr>
            </w:pPr>
            <w:r w:rsidRPr="00C733BF">
              <w:rPr>
                <w:iCs/>
                <w:color w:val="000000" w:themeColor="text1"/>
              </w:rPr>
              <w:t>Ievērojot minēto, ar Likumprojektu, pirmkārt, tiek precizēta gribas izteikšanas forma un, otrkārt, noteikts, ka mantojuma pieņemšanai turpmāk ir atvēlēts tikai viens termiņš – zvērināta notāra, kurš ved mantojuma lietu, izsludinātais sludinājuma par mantojuma atklāšanos termiņš un, treškārt, noteikts, ka mantojumu ar faktisko valdījumu (klusējot) var pieņemt, bet, ja mantojuma lieta tomēr tiek uzsākta, tad šādam mantiniekam jāpārtrauc klusēšana un jāpauž sava griba zvērināta notāra izsludinātājā sludinājuma par mantojuma atklāšanos noteiktajā termiņā.</w:t>
            </w:r>
          </w:p>
          <w:p w14:paraId="208E9890" w14:textId="77777777" w:rsidR="00C733BF" w:rsidRPr="00C733BF" w:rsidRDefault="00C733BF" w:rsidP="00C733BF">
            <w:pPr>
              <w:rPr>
                <w:iCs/>
                <w:color w:val="000000" w:themeColor="text1"/>
              </w:rPr>
            </w:pPr>
            <w:r w:rsidRPr="00C733BF">
              <w:rPr>
                <w:iCs/>
                <w:color w:val="000000" w:themeColor="text1"/>
              </w:rPr>
              <w:t xml:space="preserve">Tādējādi ar grozījumu Civillikuma 691. pantā paredzēts, ka gribu pieņemt mantojumu var izsacīt vai nu noteikti mantojuma iesniegumā, iesniedzot to mantojuma lietā, vai arī klusējot, ar tādu darbību, kuru attiecīgos apstākļos var iztulkot vienīgi tā, ka zināma persona atzīst sevi par mantinieku. </w:t>
            </w:r>
          </w:p>
          <w:p w14:paraId="197F81BD" w14:textId="77777777" w:rsidR="00C733BF" w:rsidRPr="00C733BF" w:rsidRDefault="00C733BF" w:rsidP="00C733BF">
            <w:pPr>
              <w:rPr>
                <w:iCs/>
                <w:color w:val="000000" w:themeColor="text1"/>
              </w:rPr>
            </w:pPr>
            <w:r w:rsidRPr="00C733BF">
              <w:rPr>
                <w:iCs/>
                <w:color w:val="000000" w:themeColor="text1"/>
              </w:rPr>
              <w:t>Proti, lai nerastos pārpratumu par to, kā mantiniekam izsakāma griba mantojuma lietas ietvaros grozījums Civillikuma 691. pantā paredz, ka gribu izsaka ar mantojuma iesniegumu zvērinātam notāram, jo spēkā esošajā panta redakcijā lietotais jēdziens "rakstiski vai mutiski" nonāk pretrunā ar pastāvošo mantojuma lietas vešanas kārtību un praksi (kas paredz mantojuma iesniegumu, kas noformējams notariālā akta formā, kā gribas izpaušanas veidu pie zvērināta notāra).</w:t>
            </w:r>
          </w:p>
          <w:p w14:paraId="4BA0F6B1" w14:textId="3A47E197" w:rsidR="00C733BF" w:rsidRPr="00C733BF" w:rsidRDefault="00C733BF" w:rsidP="00C733BF">
            <w:pPr>
              <w:rPr>
                <w:b/>
                <w:bCs/>
                <w:iCs/>
                <w:color w:val="000000" w:themeColor="text1"/>
              </w:rPr>
            </w:pPr>
            <w:r w:rsidRPr="00C733BF">
              <w:rPr>
                <w:iCs/>
                <w:color w:val="000000" w:themeColor="text1"/>
              </w:rPr>
              <w:t xml:space="preserve">Vienlaikus pantā atstāta iespēja pieņemt mantojumu klusējot (mājas kārtībā, bez notāra iesaistes), bet šāds mantojuma pieņemšanas veids turpmāk būs limitēts, paredzot iespēju </w:t>
            </w:r>
            <w:r w:rsidRPr="00C733BF">
              <w:rPr>
                <w:b/>
                <w:bCs/>
                <w:iCs/>
                <w:color w:val="000000" w:themeColor="text1"/>
              </w:rPr>
              <w:t>mantojumā ieinteresētajām</w:t>
            </w:r>
            <w:r w:rsidRPr="00C733BF">
              <w:rPr>
                <w:iCs/>
                <w:color w:val="000000" w:themeColor="text1"/>
              </w:rPr>
              <w:t xml:space="preserve"> personām noskaidrot mantiniekus, pašām uzsākot mantojuma lietu, kas savukārt prasīs visiem mantiniekiem, </w:t>
            </w:r>
            <w:r w:rsidRPr="00C733BF">
              <w:rPr>
                <w:b/>
                <w:bCs/>
                <w:iCs/>
                <w:color w:val="000000" w:themeColor="text1"/>
              </w:rPr>
              <w:t>kas līdz tam brīdim pieņēmuši mantojumu klusējot</w:t>
            </w:r>
            <w:r w:rsidRPr="00C733BF">
              <w:rPr>
                <w:iCs/>
                <w:color w:val="000000" w:themeColor="text1"/>
              </w:rPr>
              <w:t xml:space="preserve">, pārtraukt klusēšanu un pieteikt savas tiesības uzsāktajā mantojuma lietā, pretējā gadījumā to agrāk iegūtās (ar faktisko valdījumu) tiesības tiks dzēstas. </w:t>
            </w:r>
            <w:r w:rsidRPr="00C733BF">
              <w:rPr>
                <w:b/>
                <w:bCs/>
                <w:iCs/>
                <w:color w:val="000000" w:themeColor="text1"/>
              </w:rPr>
              <w:t xml:space="preserve">Tādējādi Likumprojekts paredz, ka mantojumu arī turpmāk varēs pieņemt klusējot, bet, ja mantojuma lieta pēc tam tiks uzsākta, tad arī šādiem mantiniekiem, kas ieguvuši mantojumu klusējot, būs jāpārtrauc klusēšana, pretējā gadījumā to tiesības zudīs (tiks dzēstas). Tiesības, kas iegūtas klusējot un pēc tam zaudētas, nepiesakoties pie notāra sludinājuma par mantojuma atklāšanos termiņā, ja mantinieks ticis uzaicināts, nebūs iespējams atjaunot tiesas ceļā. Citos gadījums celt mantojuma prasību minētais netraucēs, piemēram, ja mantinieks bijis ārzemēs un nav bijis informēts vai objektīvi nevarēja būt informēts par to, ka mantojums </w:t>
            </w:r>
            <w:r w:rsidR="00FD1053">
              <w:rPr>
                <w:b/>
                <w:bCs/>
                <w:iCs/>
                <w:color w:val="000000" w:themeColor="text1"/>
              </w:rPr>
              <w:t xml:space="preserve">ir ticis </w:t>
            </w:r>
            <w:r w:rsidRPr="00C733BF">
              <w:rPr>
                <w:b/>
                <w:bCs/>
                <w:iCs/>
                <w:color w:val="000000" w:themeColor="text1"/>
              </w:rPr>
              <w:t xml:space="preserve">izsludināts. </w:t>
            </w:r>
          </w:p>
          <w:p w14:paraId="7924C5A1" w14:textId="77777777" w:rsidR="00C733BF" w:rsidRPr="00C733BF" w:rsidRDefault="00C733BF" w:rsidP="00C733BF">
            <w:pPr>
              <w:rPr>
                <w:iCs/>
                <w:color w:val="000000" w:themeColor="text1"/>
              </w:rPr>
            </w:pPr>
            <w:r w:rsidRPr="00C733BF">
              <w:rPr>
                <w:iCs/>
                <w:color w:val="000000" w:themeColor="text1"/>
              </w:rPr>
              <w:lastRenderedPageBreak/>
              <w:t xml:space="preserve">Kā jau minēts, Civillikuma 691. panta grozījums precizē gribas izteikšanas formas, savukārt, lai panāktu to, ka mantojuma lietā turpmāk ir viens publisks aicinājums (sludinājuma par mantojuma atklāšanos termiņš), kas ir saistošs visām mantojumā ieinteresētajām personām </w:t>
            </w:r>
            <w:r w:rsidRPr="00C733BF">
              <w:rPr>
                <w:b/>
                <w:bCs/>
                <w:iCs/>
                <w:color w:val="000000" w:themeColor="text1"/>
              </w:rPr>
              <w:t>(visiem mantot aicinātajiem – likumiskajiem, līgumiskajiem un testamentārajiem mantiniekiem), un lai noteiktu, ka arī mantiniekiem, kas pieņēmuši mantojumu agrāk ar faktisko valdījumu (klusējot), arī jāpārtrauc klusēšana, ja tie uzaicināti un vēlas paturēt mantojumu, tiek attiecīgi grozīts Civillikuma 693. pants, attiecinot to uz visiem mantot aicinātajiem.</w:t>
            </w:r>
          </w:p>
          <w:p w14:paraId="12BEAFD2" w14:textId="77777777" w:rsidR="00C733BF" w:rsidRPr="00C733BF" w:rsidRDefault="00C733BF" w:rsidP="00C733BF">
            <w:pPr>
              <w:rPr>
                <w:iCs/>
                <w:color w:val="000000" w:themeColor="text1"/>
              </w:rPr>
            </w:pPr>
            <w:r w:rsidRPr="00C733BF">
              <w:rPr>
                <w:iCs/>
                <w:color w:val="000000" w:themeColor="text1"/>
              </w:rPr>
              <w:t>Tāpat no Civillikuma 693. panta tiek izslēgts nosacījums par mantojuma pieņemšanas termiņu, kuru noteicis pats testators – Darba grupā secināts, ka šis nosacījums praksē netiek piemērots – personām tāpat jāievēro zvērināta notāra noteiktais termiņš mantojuma pieņemšanai, kas tiek noteikts atbilstoši Notariāta likuma nosacījumiem.</w:t>
            </w:r>
          </w:p>
          <w:p w14:paraId="386BC85B" w14:textId="1CF3920C" w:rsidR="00C733BF" w:rsidRPr="00C733BF" w:rsidRDefault="00C733BF" w:rsidP="00C733BF">
            <w:pPr>
              <w:rPr>
                <w:b/>
                <w:bCs/>
                <w:color w:val="000000" w:themeColor="text1"/>
              </w:rPr>
            </w:pPr>
            <w:r w:rsidRPr="00C733BF">
              <w:rPr>
                <w:iCs/>
                <w:color w:val="000000" w:themeColor="text1"/>
              </w:rPr>
              <w:t xml:space="preserve">Vienlaikus ņemot vērā Likumprojektā paredzētos grozījumus attiecībā uz gribas paušanu mantojuma pieņemšanai un to, ka šobrīd tiesu praksē pastāv dažāda izpratne par mantinieku gribas paušanas tiesisko nozīmi, nepieciešams izteikt 694. pantu jaunā redakcijā. Proti, pirmkārt, pants šobrīd runā par iespēju pieņemt mantojumu klusējot, arī, ja mantojums ir izsludināts – atbilstoši Likumprojektam </w:t>
            </w:r>
            <w:r w:rsidRPr="00C733BF">
              <w:rPr>
                <w:b/>
                <w:bCs/>
                <w:iCs/>
                <w:color w:val="000000" w:themeColor="text1"/>
              </w:rPr>
              <w:t>mantojumu paturēt šādā gadījumā</w:t>
            </w:r>
            <w:r w:rsidRPr="00C733BF">
              <w:rPr>
                <w:iCs/>
                <w:color w:val="000000" w:themeColor="text1"/>
              </w:rPr>
              <w:t xml:space="preserve"> vairs nebūs iespējams. </w:t>
            </w:r>
            <w:r w:rsidRPr="00C733BF">
              <w:rPr>
                <w:b/>
                <w:bCs/>
                <w:iCs/>
                <w:color w:val="000000" w:themeColor="text1"/>
              </w:rPr>
              <w:t>Attiecīgi tas ar Likumprojektu tiek precizēts, nosakot ka mantinieka agrāk iegūtās tiesības, kas iegūtas pieņemot mantojumu klusējot, tiek dzēstas, ja mantinieks mantojuma izsludināšanas un uzaicinājuma gadījumā turpina klusēt, un savu gribu par mantojuma pieņemšanu nesniedz notāram sludinājuma par mantojuma atklāšanos termiņā. Klusēšanas gadījumā sekas noteiktas tādas pašas, kā iestājoties atceļošam nosacījumam – šāda konstrukcija mantojuma tiesībās jau ir pazīstama un atrodama Civillikuma 584. pant</w:t>
            </w:r>
            <w:r w:rsidR="00FD1053">
              <w:rPr>
                <w:b/>
                <w:bCs/>
                <w:iCs/>
                <w:color w:val="000000" w:themeColor="text1"/>
              </w:rPr>
              <w:t>ā</w:t>
            </w:r>
            <w:r w:rsidRPr="00C733BF">
              <w:rPr>
                <w:b/>
                <w:bCs/>
                <w:iCs/>
                <w:color w:val="000000" w:themeColor="text1"/>
              </w:rPr>
              <w:t xml:space="preserve">. Kā arī </w:t>
            </w:r>
            <w:r w:rsidR="00FD1053">
              <w:rPr>
                <w:b/>
                <w:bCs/>
                <w:iCs/>
                <w:color w:val="000000" w:themeColor="text1"/>
              </w:rPr>
              <w:t xml:space="preserve">grozāmajā </w:t>
            </w:r>
            <w:r w:rsidRPr="00C733BF">
              <w:rPr>
                <w:b/>
                <w:bCs/>
                <w:iCs/>
                <w:color w:val="000000" w:themeColor="text1"/>
              </w:rPr>
              <w:t xml:space="preserve">pantā iekļauta atsauce uz Civillikuma </w:t>
            </w:r>
            <w:r w:rsidRPr="00C733BF">
              <w:rPr>
                <w:b/>
                <w:bCs/>
                <w:color w:val="000000" w:themeColor="text1"/>
              </w:rPr>
              <w:t xml:space="preserve">1565. pantu, kurā noregulēta rīcība atceļoša nosacījuma iestāšanās gadījumā. </w:t>
            </w:r>
          </w:p>
          <w:p w14:paraId="19F22653" w14:textId="076A616F" w:rsidR="00C733BF" w:rsidRPr="00C733BF" w:rsidRDefault="00C733BF" w:rsidP="00C733BF">
            <w:pPr>
              <w:rPr>
                <w:b/>
                <w:bCs/>
                <w:iCs/>
                <w:color w:val="000000" w:themeColor="text1"/>
              </w:rPr>
            </w:pPr>
            <w:r w:rsidRPr="00C733BF">
              <w:rPr>
                <w:b/>
                <w:bCs/>
                <w:color w:val="000000" w:themeColor="text1"/>
              </w:rPr>
              <w:t>Tiesību zaudēšana neattieksies uz mantiniekiem, kas</w:t>
            </w:r>
            <w:r w:rsidRPr="00C733BF">
              <w:rPr>
                <w:color w:val="000000" w:themeColor="text1"/>
              </w:rPr>
              <w:t xml:space="preserve"> </w:t>
            </w:r>
            <w:r w:rsidRPr="00C733BF">
              <w:rPr>
                <w:b/>
                <w:bCs/>
                <w:color w:val="000000" w:themeColor="text1"/>
              </w:rPr>
              <w:t>nezināja vai nevarēja</w:t>
            </w:r>
            <w:r w:rsidR="00FD1053">
              <w:rPr>
                <w:b/>
                <w:bCs/>
                <w:color w:val="000000" w:themeColor="text1"/>
              </w:rPr>
              <w:t xml:space="preserve"> objektīvi</w:t>
            </w:r>
            <w:r w:rsidRPr="00C733BF">
              <w:rPr>
                <w:b/>
                <w:bCs/>
                <w:color w:val="000000" w:themeColor="text1"/>
              </w:rPr>
              <w:t xml:space="preserve"> zināt, ka mantojums izsludināts. Proti, ja mantinieks klusēšanu nav pārtraucis labā ticībā, tad tas nezaudē savas tiesības un var tās aizstāvēt ar mantojuma prasību.</w:t>
            </w:r>
          </w:p>
          <w:p w14:paraId="79B4FAC4" w14:textId="77777777" w:rsidR="00C733BF" w:rsidRPr="00C733BF" w:rsidRDefault="00C733BF" w:rsidP="00C733BF">
            <w:pPr>
              <w:rPr>
                <w:iCs/>
                <w:color w:val="000000" w:themeColor="text1"/>
              </w:rPr>
            </w:pPr>
            <w:r w:rsidRPr="00C733BF">
              <w:rPr>
                <w:iCs/>
                <w:color w:val="000000" w:themeColor="text1"/>
              </w:rPr>
              <w:t xml:space="preserve">Otrkārt, pantā ir nepieciešams stiprināt </w:t>
            </w:r>
            <w:r w:rsidRPr="00C733BF">
              <w:rPr>
                <w:b/>
                <w:bCs/>
                <w:iCs/>
                <w:color w:val="000000" w:themeColor="text1"/>
              </w:rPr>
              <w:t>Civillikumā esošo principu, kas paredz</w:t>
            </w:r>
            <w:r w:rsidRPr="00C733BF">
              <w:rPr>
                <w:iCs/>
                <w:color w:val="000000" w:themeColor="text1"/>
              </w:rPr>
              <w:t xml:space="preserve">, </w:t>
            </w:r>
            <w:r w:rsidRPr="00C733BF">
              <w:rPr>
                <w:b/>
                <w:bCs/>
                <w:iCs/>
                <w:color w:val="000000" w:themeColor="text1"/>
              </w:rPr>
              <w:t>ka tas, kas mantojumu pieņēmis, vairs to nevar atraidīt.</w:t>
            </w:r>
            <w:r w:rsidRPr="00C733BF">
              <w:rPr>
                <w:iCs/>
                <w:color w:val="000000" w:themeColor="text1"/>
              </w:rPr>
              <w:t xml:space="preserve"> Šobrīd tiesu praksē pastāv dažādi viedokļi par to, vai mantinieka tiesīgi pausta griba </w:t>
            </w:r>
            <w:r w:rsidRPr="00C733BF">
              <w:rPr>
                <w:b/>
                <w:bCs/>
                <w:iCs/>
                <w:color w:val="000000" w:themeColor="text1"/>
              </w:rPr>
              <w:t>(gadījumā, kad sludinājuma par mantojuma atklāšanos termiņš ir notecējis, mantinieki ir pieņēmuši mantojumu un pierādījuši savas tiesības)</w:t>
            </w:r>
            <w:r w:rsidRPr="00C733BF">
              <w:rPr>
                <w:iCs/>
                <w:color w:val="000000" w:themeColor="text1"/>
              </w:rPr>
              <w:t xml:space="preserve"> ir vai nav pietiekams apstāklis, lai secinātu to, ka mantinieks ir mantojis vai nē. Piemēram, Latvijas Republikas Augstākās tiesas Civillietu departaments secinājis, ka attiecībā uz gadījumiem, kad mantojuma lieta uzsākta, faktam, ka mantiniekam apliecība par tiesībām uz mantojumu nav izsniegta, konkrētajā gadījumā nav tiesiskas nozīmes, jo </w:t>
            </w:r>
            <w:r w:rsidRPr="00C733BF">
              <w:rPr>
                <w:iCs/>
                <w:color w:val="000000" w:themeColor="text1"/>
                <w:u w:val="single"/>
              </w:rPr>
              <w:t>mantojuma tiesības rada mantojuma pieņemšana nevis mantojuma apliecības izsniegšana</w:t>
            </w:r>
            <w:r w:rsidRPr="00C733BF">
              <w:rPr>
                <w:iCs/>
                <w:color w:val="000000" w:themeColor="text1"/>
              </w:rPr>
              <w:t xml:space="preserve"> </w:t>
            </w:r>
            <w:r w:rsidRPr="00C733BF">
              <w:rPr>
                <w:i/>
                <w:color w:val="000000" w:themeColor="text1"/>
              </w:rPr>
              <w:t>(sk. Latvijas Republikas Augstākās tiesas Civillietu tiesu palātas 2013. gada 6. augustā lēmumu lietā Nr. C02021113, PAC –1853/2013).</w:t>
            </w:r>
            <w:r w:rsidRPr="00C733BF">
              <w:rPr>
                <w:iCs/>
                <w:color w:val="000000" w:themeColor="text1"/>
              </w:rPr>
              <w:t xml:space="preserve"> Vienlaikus </w:t>
            </w:r>
            <w:r w:rsidRPr="00C733BF">
              <w:rPr>
                <w:iCs/>
                <w:color w:val="000000" w:themeColor="text1"/>
              </w:rPr>
              <w:lastRenderedPageBreak/>
              <w:t xml:space="preserve">Latvijas Republikas Senāta Administratīvo lietu departaments savā spriedumā, cita starpā, secinājis, ka persona, kas iesniegusi notāram iesniegumu par mantojuma pieņemšanu, līdz mantojuma apliecības saņemšanai </w:t>
            </w:r>
            <w:r w:rsidRPr="00C733BF">
              <w:rPr>
                <w:iCs/>
                <w:color w:val="000000" w:themeColor="text1"/>
                <w:u w:val="single"/>
              </w:rPr>
              <w:t>nav atzīstama par mantojumā nekustamā īpašuma tiesisko valdītāju</w:t>
            </w:r>
            <w:r w:rsidRPr="00C733BF">
              <w:rPr>
                <w:iCs/>
                <w:color w:val="000000" w:themeColor="text1"/>
              </w:rPr>
              <w:t xml:space="preserve"> (īpašnieku) </w:t>
            </w:r>
            <w:r w:rsidRPr="00C733BF">
              <w:rPr>
                <w:i/>
                <w:color w:val="000000" w:themeColor="text1"/>
              </w:rPr>
              <w:t>(sk. Latvijas Republikas Senāta Administratīvo lietu departamenta 2020. gada 27. marta spriedumu lietā Nr. A420202416, SKA-733/2020)</w:t>
            </w:r>
            <w:r w:rsidRPr="00C733BF">
              <w:rPr>
                <w:iCs/>
                <w:color w:val="000000" w:themeColor="text1"/>
                <w:vertAlign w:val="superscript"/>
              </w:rPr>
              <w:footnoteReference w:id="3"/>
            </w:r>
            <w:r w:rsidRPr="00C733BF">
              <w:rPr>
                <w:i/>
                <w:color w:val="000000" w:themeColor="text1"/>
              </w:rPr>
              <w:t>.</w:t>
            </w:r>
            <w:r w:rsidRPr="00C733BF">
              <w:rPr>
                <w:iCs/>
                <w:color w:val="000000" w:themeColor="text1"/>
              </w:rPr>
              <w:t xml:space="preserve"> Proti, šobrīd, Civillikuma normas, kas regulē mantojuma pieņemšanu, tiesu praksē dažādos gadījumos tiek tulkotas diametrāli pretēji – vienā gadījumā tiesa secina, ka pietiek ar mantinieka tiesīgi paustu gribu, lai konstatētu, ka mantinieks mantojumu pieņēmis, otrā, gadījumā tiesa secina, ka, lai gan mantinieks paudis gribu notāram, uzskatāms, ka līdz mantojuma apliecības izņemšanai, tas nav uzskatāms par pilntiesīgu mantinieku. </w:t>
            </w:r>
          </w:p>
          <w:p w14:paraId="2F052F62" w14:textId="77777777" w:rsidR="00C733BF" w:rsidRPr="00C733BF" w:rsidRDefault="00C733BF" w:rsidP="00C733BF">
            <w:pPr>
              <w:rPr>
                <w:b/>
                <w:bCs/>
                <w:iCs/>
                <w:color w:val="000000" w:themeColor="text1"/>
              </w:rPr>
            </w:pPr>
            <w:r w:rsidRPr="00C733BF">
              <w:rPr>
                <w:iCs/>
                <w:color w:val="000000" w:themeColor="text1"/>
              </w:rPr>
              <w:t xml:space="preserve">Jānorāda, ka Tieslietu ministrija atbalsta un pēc iespējas veicina, ka mantinieki apstiprinās mantojuma tiesībās pie zvērināta notāra un izņem mantojuma apliecības, un nostiprina savas tiesības uz mantoto mantu publiskajos reģistros, piemēram, zemesgrāmatā, ja tāda manta mantojumā ir. Tomēr Tieslietu ministrijas un darba grupas ekspertu ieskatā ir jāpiekrīt Latvijas Republikas Augstākās tiesas Civillietu departamenta paustajām atziņām par to, ka ar mantojuma pieņemšanu </w:t>
            </w:r>
            <w:r w:rsidRPr="00C733BF">
              <w:rPr>
                <w:b/>
                <w:bCs/>
                <w:iCs/>
                <w:color w:val="000000" w:themeColor="text1"/>
              </w:rPr>
              <w:t>un savu tiesību pierādīšanu</w:t>
            </w:r>
            <w:r w:rsidRPr="00C733BF">
              <w:rPr>
                <w:iCs/>
                <w:color w:val="000000" w:themeColor="text1"/>
              </w:rPr>
              <w:t xml:space="preserve"> </w:t>
            </w:r>
            <w:r w:rsidRPr="00C733BF">
              <w:rPr>
                <w:b/>
                <w:bCs/>
                <w:iCs/>
                <w:color w:val="000000" w:themeColor="text1"/>
              </w:rPr>
              <w:t xml:space="preserve">pietiek, lai vērstu savus prasījumus pret mantinieku gadījumā, kad sludinājuma par mantojuma atklāšanos termiņš ir notecējis, bet mantinieks dažādu iemeslu dēļ neizņem mantojuma apliecību. </w:t>
            </w:r>
          </w:p>
          <w:p w14:paraId="74F797F1" w14:textId="77777777" w:rsidR="00C733BF" w:rsidRPr="00C733BF" w:rsidRDefault="00C733BF" w:rsidP="00C733BF">
            <w:pPr>
              <w:rPr>
                <w:iCs/>
                <w:color w:val="000000" w:themeColor="text1"/>
              </w:rPr>
            </w:pPr>
            <w:r w:rsidRPr="00C733BF">
              <w:rPr>
                <w:iCs/>
                <w:color w:val="000000" w:themeColor="text1"/>
              </w:rPr>
              <w:t xml:space="preserve">Proti, mantojuma pieņemšanas fakta konstatēšanu nevar sasaistīt tikai ar mantojuma apliecības izņemšanu vai neizņemšanu pie zvērināta notāra, kurš ved mantojuma lietu. Tā ir formāla pieeja, jo mantojuma apliecības izņemšana/neizņemšana nerada tiesiskās sekas attiecībā uz to, ir vai nav pieņemts mantojums, bet gan gribas (attieksmes) tiesiska (likuma regulējumam atbilstoša) paušana par mantojuma pieņemšanu </w:t>
            </w:r>
            <w:r w:rsidRPr="00C733BF">
              <w:rPr>
                <w:b/>
                <w:bCs/>
                <w:iCs/>
                <w:color w:val="000000" w:themeColor="text1"/>
              </w:rPr>
              <w:t>(un savu tiesību pierādīšana)</w:t>
            </w:r>
            <w:r w:rsidRPr="00C733BF">
              <w:rPr>
                <w:iCs/>
                <w:color w:val="000000" w:themeColor="text1"/>
              </w:rPr>
              <w:t xml:space="preserve">/atraidīšanu rada tiesiskās sekas – kas turklāt </w:t>
            </w:r>
            <w:r w:rsidRPr="00C733BF">
              <w:rPr>
                <w:b/>
                <w:bCs/>
                <w:iCs/>
                <w:color w:val="000000" w:themeColor="text1"/>
              </w:rPr>
              <w:t>atbilstoši Civillikumam</w:t>
            </w:r>
            <w:r w:rsidRPr="00C733BF">
              <w:rPr>
                <w:iCs/>
                <w:color w:val="000000" w:themeColor="text1"/>
              </w:rPr>
              <w:t xml:space="preserve"> ir neatgriezeniskas – ar mantojuma apliecības neizņemšanu neatceļamas.</w:t>
            </w:r>
          </w:p>
          <w:p w14:paraId="598CF47B" w14:textId="77777777" w:rsidR="00C733BF" w:rsidRPr="00C733BF" w:rsidRDefault="00C733BF" w:rsidP="00C733BF">
            <w:pPr>
              <w:rPr>
                <w:iCs/>
                <w:color w:val="000000" w:themeColor="text1"/>
              </w:rPr>
            </w:pPr>
            <w:r w:rsidRPr="00C733BF">
              <w:rPr>
                <w:iCs/>
                <w:color w:val="000000" w:themeColor="text1"/>
              </w:rPr>
              <w:t>Atbilstoši Likumprojektam par tiesīgi paustu gribu, kā jau minēts, turpmāk būs uzskatāms mantojuma iesniegums, kas noformēts pie zvērināta notāra, gadījumos, ja mantojuma liet uzsākta, vai mantojuma pieņemšana klusējot, gadījumos, ja mantojuma lieta nav uzsākta (un tikai līdz brīdim, kad mantojuma lieta tiek uzsākta un mantojums izsludināts).</w:t>
            </w:r>
          </w:p>
          <w:p w14:paraId="0F8BFD4F" w14:textId="2D8F1BE9" w:rsidR="00C733BF" w:rsidRPr="00C733BF" w:rsidRDefault="00C733BF" w:rsidP="00C733BF">
            <w:pPr>
              <w:rPr>
                <w:b/>
                <w:bCs/>
                <w:color w:val="000000" w:themeColor="text1"/>
              </w:rPr>
            </w:pPr>
            <w:r w:rsidRPr="00C733BF">
              <w:rPr>
                <w:iCs/>
                <w:color w:val="000000" w:themeColor="text1"/>
              </w:rPr>
              <w:t xml:space="preserve">Ievērojot minēto, Likumprojekts paredz izteikt 694. pantu jaunā redakcijā, kas, pirmkārt, nosaka, ka, </w:t>
            </w:r>
            <w:r w:rsidRPr="00C733BF">
              <w:rPr>
                <w:color w:val="000000" w:themeColor="text1"/>
              </w:rPr>
              <w:t xml:space="preserve">ja mantinieks izteicis gribu zvērinātam notāram </w:t>
            </w:r>
            <w:r w:rsidRPr="00C733BF">
              <w:rPr>
                <w:b/>
                <w:bCs/>
                <w:color w:val="000000" w:themeColor="text1"/>
              </w:rPr>
              <w:t>(un pierādījis savas tiesības)</w:t>
            </w:r>
            <w:r w:rsidR="00CA552B">
              <w:rPr>
                <w:b/>
                <w:bCs/>
                <w:color w:val="000000" w:themeColor="text1"/>
              </w:rPr>
              <w:t>,</w:t>
            </w:r>
            <w:r w:rsidRPr="00C733BF">
              <w:rPr>
                <w:color w:val="000000" w:themeColor="text1"/>
              </w:rPr>
              <w:t xml:space="preserve"> </w:t>
            </w:r>
            <w:r w:rsidRPr="00C733BF">
              <w:rPr>
                <w:b/>
                <w:bCs/>
                <w:color w:val="000000" w:themeColor="text1"/>
              </w:rPr>
              <w:t>pēc sludinājuma par mantojuma atklāšanos termiņa notecējuma</w:t>
            </w:r>
            <w:r w:rsidRPr="00C733BF">
              <w:rPr>
                <w:color w:val="000000" w:themeColor="text1"/>
              </w:rPr>
              <w:t xml:space="preserve">  </w:t>
            </w:r>
            <w:r w:rsidRPr="00C733BF">
              <w:rPr>
                <w:b/>
                <w:bCs/>
                <w:color w:val="000000" w:themeColor="text1"/>
              </w:rPr>
              <w:t>atzīstams, ka viņš mantojumu pieņēmis, tādējādi stiprinot mantojuma tiesību principu, ka mantojuma pieņemšana ir neatgriezeniska (mantojuma pieņemšanai nav sasaistes ar mantojuma apliecības izņemšanu, bet gan ar gribas paušanu un tiesību pierādīšanu).</w:t>
            </w:r>
            <w:r w:rsidRPr="00C733BF">
              <w:rPr>
                <w:color w:val="000000" w:themeColor="text1"/>
              </w:rPr>
              <w:t xml:space="preserve"> Turklāt jānorāda, ka cita starpā, minēto principu nepieciešams stiprināt arī tāpēc, lai stiprinātu kreditoru (un arī citu mantojumā ieinteresēto personu) aizsardzību un novērstu iespēju mantiniekiem, neizņemot mantojuma apliecību, izvairīties no atbildības par mantojuma atstājēja </w:t>
            </w:r>
            <w:r w:rsidRPr="00C733BF">
              <w:rPr>
                <w:color w:val="000000" w:themeColor="text1"/>
              </w:rPr>
              <w:lastRenderedPageBreak/>
              <w:t xml:space="preserve">parādiem un pienākuma veikt maksājumus par mantoto nekustamo īpašumu un kustamās mantas uzturēšanu (apsaimniekošanas maksa, nekustamā īpašuma nodokļa maksājums, u.c.), </w:t>
            </w:r>
            <w:r w:rsidRPr="00C733BF">
              <w:rPr>
                <w:b/>
                <w:bCs/>
                <w:color w:val="000000" w:themeColor="text1"/>
              </w:rPr>
              <w:t>vienlaikus faktiski lietojot mantojuma masā ietilpstošo mantu. Līdz ar ko</w:t>
            </w:r>
            <w:r w:rsidR="00652FF5">
              <w:rPr>
                <w:b/>
                <w:bCs/>
                <w:color w:val="000000" w:themeColor="text1"/>
              </w:rPr>
              <w:t xml:space="preserve"> </w:t>
            </w:r>
            <w:r w:rsidRPr="00C733BF">
              <w:rPr>
                <w:b/>
                <w:bCs/>
                <w:color w:val="000000" w:themeColor="text1"/>
              </w:rPr>
              <w:t>ar Likumprojektu tiek stiprināts Civillikuma Mantojuma tiesību daļā esošais princips, ka mantojuma pieņemšanai pietiek ar tiesīgi paustu gribu un gribas paušanai ir neatgriezeniskas sekas, kas savukārt nozīmē, ka mantinieki nevarēs izvairīties no pārņemto saistību nepildīšanas tikai tāpēc, ka tie nav izņēmuši mantojuma apliecību un nav savas iegūtās tiesības nostiprinājuši publiskajos reģistros. Likumprojekts piedāvās skaidras materiālās tiesību normas, kas būs par pamatu, piemēram, piedziņas vēršanai uz mantu, kas vēl jo projām nostiprināta uz mirušā vārda, bet kuru faktiski ieguvis mantinieks pieņemot mantojumu (paužot gribu). Proti, mantojuma atstājēja kreditoriem, kas pieteikuši savas pretenzijas sludinājuma termiņā vai kuru prasījumi nodrošināti ar hipotēku vai komercķīlu, pēc sludinājuma par mantojuma atklāšanos termiņa notecējuma būs tiesības vērsties ar saviem prasījumiem pie mantojumu pieņēmušajiem mantiniekiem pat, ja tie neizņems mantojuma apliecīb</w:t>
            </w:r>
            <w:r w:rsidR="00652FF5">
              <w:rPr>
                <w:b/>
                <w:bCs/>
                <w:color w:val="000000" w:themeColor="text1"/>
              </w:rPr>
              <w:t>as</w:t>
            </w:r>
            <w:r w:rsidRPr="00C733BF">
              <w:rPr>
                <w:b/>
                <w:bCs/>
                <w:color w:val="000000" w:themeColor="text1"/>
              </w:rPr>
              <w:t xml:space="preserve"> pie notāra. Turklāt ar saistītajiem grozījumiem Notariāta likumā paredzēts, ka notārs tiesīgajiem mantojuma atstājēja kreditoriem izsniegs informāciju par mantojumu pieņēmušajiem mantiniekiem.</w:t>
            </w:r>
          </w:p>
          <w:p w14:paraId="08818563" w14:textId="77777777" w:rsidR="00C733BF" w:rsidRPr="00C733BF" w:rsidRDefault="00C733BF" w:rsidP="00C733BF">
            <w:pPr>
              <w:rPr>
                <w:b/>
                <w:bCs/>
                <w:color w:val="000000" w:themeColor="text1"/>
              </w:rPr>
            </w:pPr>
            <w:r w:rsidRPr="00C733BF">
              <w:rPr>
                <w:b/>
                <w:bCs/>
                <w:color w:val="000000" w:themeColor="text1"/>
              </w:rPr>
              <w:t>Vienlaikus norādām, ka atbilstoši Tieslietu ministrijas rīcībā esošajai informācijai no visām uzsāktajām mantojuma lietām pēdējo piecu gadu laikā mantojuma apliecība netika izņemta tikai, aptuveni, 4% gadījumos, līdz ar ko minētie gadījumi nav problemātiska tendence, bet vien ir atsevišķi gadījumi, kur personas dažādu iemeslu un apsvērumu dēļ neizņem mantojuma apliecības. Turklāt Tieslietu ministrijas ieskatā minētais nav par pamatu, lai mainītu mantojuma tiesību pamatprincipus, piemēram, sasaistot mantojuma pieņemšanu ar formālu darbību – mantojuma apliecības izņemšanu.</w:t>
            </w:r>
          </w:p>
          <w:p w14:paraId="6BE6D797" w14:textId="77777777" w:rsidR="00C733BF" w:rsidRPr="00C733BF" w:rsidRDefault="00C733BF" w:rsidP="00C733BF">
            <w:pPr>
              <w:rPr>
                <w:color w:val="000000" w:themeColor="text1"/>
              </w:rPr>
            </w:pPr>
            <w:r w:rsidRPr="00C733BF">
              <w:rPr>
                <w:color w:val="000000" w:themeColor="text1"/>
              </w:rPr>
              <w:t xml:space="preserve">Otrkārt pantā tiek noteiktas sekas, ja mantinieks, kas pieņēmis mantojumu ar faktisko valdījumu (klusējot), sludinājuma par mantojuma atklāšanos termiņā turpina klusēt, proti, uzskatāms, ka tādā gadījumā </w:t>
            </w:r>
            <w:r w:rsidRPr="00C733BF">
              <w:rPr>
                <w:b/>
                <w:bCs/>
                <w:color w:val="000000" w:themeColor="text1"/>
              </w:rPr>
              <w:t>tas iegūtās tiesības zaudējis</w:t>
            </w:r>
            <w:r w:rsidRPr="00C733BF">
              <w:rPr>
                <w:color w:val="000000" w:themeColor="text1"/>
              </w:rPr>
              <w:t xml:space="preserve">. </w:t>
            </w:r>
          </w:p>
          <w:p w14:paraId="11E9B7A4" w14:textId="662E731D" w:rsidR="00C733BF" w:rsidRPr="00C733BF" w:rsidRDefault="00C733BF" w:rsidP="00C733BF">
            <w:pPr>
              <w:rPr>
                <w:b/>
                <w:bCs/>
                <w:color w:val="000000" w:themeColor="text1"/>
              </w:rPr>
            </w:pPr>
            <w:r w:rsidRPr="00C733BF">
              <w:rPr>
                <w:b/>
                <w:bCs/>
                <w:color w:val="000000" w:themeColor="text1"/>
              </w:rPr>
              <w:t>Tādējādi piedāvātie grozījumi novērsīs dažādu izprat</w:t>
            </w:r>
            <w:r w:rsidR="00652FF5">
              <w:rPr>
                <w:b/>
                <w:bCs/>
                <w:color w:val="000000" w:themeColor="text1"/>
              </w:rPr>
              <w:t>n</w:t>
            </w:r>
            <w:r w:rsidRPr="00C733BF">
              <w:rPr>
                <w:b/>
                <w:bCs/>
                <w:color w:val="000000" w:themeColor="text1"/>
              </w:rPr>
              <w:t xml:space="preserve">i par mantojuma pieņemšanas fakta konstatēšanu un izslēgs arī dažādu tiesu praksi attiecībā uz to. </w:t>
            </w:r>
          </w:p>
          <w:p w14:paraId="4E36C4C0" w14:textId="77777777" w:rsidR="00C733BF" w:rsidRPr="00C733BF" w:rsidRDefault="00C733BF" w:rsidP="00C733BF">
            <w:pPr>
              <w:rPr>
                <w:iCs/>
                <w:color w:val="000000" w:themeColor="text1"/>
              </w:rPr>
            </w:pPr>
            <w:r w:rsidRPr="00C733BF">
              <w:rPr>
                <w:b/>
                <w:bCs/>
                <w:iCs/>
                <w:color w:val="000000" w:themeColor="text1"/>
              </w:rPr>
              <w:t>4. Izslēgts Civillikuma 697. un 698. pants.</w:t>
            </w:r>
            <w:r w:rsidRPr="00C733BF">
              <w:rPr>
                <w:iCs/>
                <w:color w:val="000000" w:themeColor="text1"/>
              </w:rPr>
              <w:t xml:space="preserve"> Minētie panti paredz, ka notārs pēc ieinteresēto persona lūguma speciāli aicina mantiniekus paust gribu pieņemt vai atraidīt mantojumu. Turklāt minētie panti, atkarībā no tā, kura mantojumā ieinteresētā persona prasa mantiniekiem, lai tie pauž gribu, paredz dažādas sekas – ja kreditori aicina mantiniekus, tad mantinieku klusēšana tiek uzskatīta par mantojuma pieņemšanu, savukārt, ja mantiniekus aicina, piemēram, pēcmantinieks, tad mantinieku klusēšana tiek uzskatīta par mantojuma atraidīšanu. Minētie panti domāti, lai mantojumā ieinteresētās personas varētu uzaicināt mantiniekus paust savu galējo gribu (attieksmi) par mantojuma pieņemšanu, tādējādi novēršot neskaidrības par to, kas ir tiesīgās personas attiecībā uz mantojuma masā ietilpstošo aktīvu un pasīvu kopumu. </w:t>
            </w:r>
          </w:p>
          <w:p w14:paraId="2626E01B" w14:textId="77777777" w:rsidR="00C733BF" w:rsidRPr="00C733BF" w:rsidRDefault="00C733BF" w:rsidP="00C733BF">
            <w:pPr>
              <w:rPr>
                <w:iCs/>
                <w:color w:val="000000" w:themeColor="text1"/>
              </w:rPr>
            </w:pPr>
            <w:r w:rsidRPr="00C733BF">
              <w:rPr>
                <w:iCs/>
                <w:color w:val="000000" w:themeColor="text1"/>
              </w:rPr>
              <w:lastRenderedPageBreak/>
              <w:t>Ņemot vērā, ka atbilstoši Likumprojektā paredzētajam turpmāk katra uzsākta mantojuma lieta tiks izsludināta un notārs vienmēr aicinās mantiniekus izteikt gribu, kā arī to, ka sludinājumā nepieteiktās tiesības (gan mantinieku, gan kreditoru) tiks dzēstas, minētie panti izslēdzami no Civillikuma.</w:t>
            </w:r>
          </w:p>
          <w:p w14:paraId="3C7023EE" w14:textId="77777777" w:rsidR="00C733BF" w:rsidRPr="00C733BF" w:rsidRDefault="00C733BF" w:rsidP="00C733BF">
            <w:pPr>
              <w:rPr>
                <w:iCs/>
                <w:color w:val="000000" w:themeColor="text1"/>
              </w:rPr>
            </w:pPr>
          </w:p>
          <w:p w14:paraId="351F3D2D" w14:textId="3A9BECA1" w:rsidR="00C733BF" w:rsidRPr="00C733BF" w:rsidRDefault="00C733BF" w:rsidP="00C733BF">
            <w:pPr>
              <w:rPr>
                <w:b/>
                <w:bCs/>
                <w:iCs/>
                <w:color w:val="000000" w:themeColor="text1"/>
              </w:rPr>
            </w:pPr>
            <w:r w:rsidRPr="00C733BF">
              <w:rPr>
                <w:b/>
                <w:bCs/>
                <w:iCs/>
                <w:color w:val="000000" w:themeColor="text1"/>
              </w:rPr>
              <w:t xml:space="preserve">Rezumējot ar Likumprojektā paredzēto jauno mantojuma pieņemšanas sistēmu no vienas puses tiek saglabāti esošie principi, kas praksē šobrīd strādā un ir mantiniekiem labvēlīgi, piemēram, iespēja pieņemt mantojumu klusējot vai iespēja nenoteiktā termiņā uzsākt mantojuma lietu, vienlaikus no otras puses ar Likumprojektu tiek piedāvāti mantojuma pieņemšanas sistēmas uzlabojumi, kas uzlabo gan mantinieku, gan mantojumā ieinteresēto personu stāvokli. </w:t>
            </w:r>
          </w:p>
          <w:p w14:paraId="0A7AA76A" w14:textId="77777777" w:rsidR="00C733BF" w:rsidRPr="00C733BF" w:rsidRDefault="00C733BF" w:rsidP="00C733BF">
            <w:pPr>
              <w:rPr>
                <w:b/>
                <w:bCs/>
                <w:iCs/>
                <w:color w:val="000000" w:themeColor="text1"/>
              </w:rPr>
            </w:pPr>
            <w:r w:rsidRPr="00C733BF">
              <w:rPr>
                <w:b/>
                <w:bCs/>
                <w:iCs/>
                <w:color w:val="000000" w:themeColor="text1"/>
              </w:rPr>
              <w:t>Galvenie ieguvum mantiniekiem no mantojuma pieņemšanas sistēmas uzlabojumiem:</w:t>
            </w:r>
          </w:p>
          <w:p w14:paraId="1E754C9A" w14:textId="77777777" w:rsidR="00C733BF" w:rsidRPr="00C733BF" w:rsidRDefault="00C733BF" w:rsidP="00C733BF">
            <w:pPr>
              <w:numPr>
                <w:ilvl w:val="0"/>
                <w:numId w:val="4"/>
              </w:numPr>
              <w:rPr>
                <w:b/>
                <w:bCs/>
                <w:iCs/>
                <w:color w:val="000000" w:themeColor="text1"/>
              </w:rPr>
            </w:pPr>
            <w:r w:rsidRPr="00C733BF">
              <w:rPr>
                <w:b/>
                <w:bCs/>
                <w:iCs/>
                <w:color w:val="000000" w:themeColor="text1"/>
              </w:rPr>
              <w:t>precizētas gribas par mantojuma pieņemšanu paušanas formas;</w:t>
            </w:r>
          </w:p>
          <w:p w14:paraId="1508612D" w14:textId="77777777" w:rsidR="00C733BF" w:rsidRPr="00C733BF" w:rsidRDefault="00C733BF" w:rsidP="00C733BF">
            <w:pPr>
              <w:numPr>
                <w:ilvl w:val="0"/>
                <w:numId w:val="3"/>
              </w:numPr>
              <w:rPr>
                <w:b/>
                <w:bCs/>
                <w:iCs/>
                <w:color w:val="000000" w:themeColor="text1"/>
              </w:rPr>
            </w:pPr>
            <w:r w:rsidRPr="00C733BF">
              <w:rPr>
                <w:b/>
                <w:bCs/>
                <w:iCs/>
                <w:color w:val="000000" w:themeColor="text1"/>
              </w:rPr>
              <w:t>saglabāta iespēja pieņemt mantojumu klusējot;</w:t>
            </w:r>
          </w:p>
          <w:p w14:paraId="7D84BBC8" w14:textId="77777777" w:rsidR="00C733BF" w:rsidRPr="00C733BF" w:rsidRDefault="00C733BF" w:rsidP="00C733BF">
            <w:pPr>
              <w:numPr>
                <w:ilvl w:val="0"/>
                <w:numId w:val="3"/>
              </w:numPr>
              <w:rPr>
                <w:b/>
                <w:bCs/>
                <w:iCs/>
                <w:color w:val="000000" w:themeColor="text1"/>
              </w:rPr>
            </w:pPr>
            <w:r w:rsidRPr="00C733BF">
              <w:rPr>
                <w:b/>
                <w:bCs/>
                <w:iCs/>
                <w:color w:val="000000" w:themeColor="text1"/>
              </w:rPr>
              <w:t>notārs individuāli ar vēstuli aicinās zināmos mantiniekus (līdz 3.šķirai), lai tie pauž gribu par mantojuma pieņemšanu/atraidīšanu;</w:t>
            </w:r>
          </w:p>
          <w:p w14:paraId="6824EFF3" w14:textId="77777777" w:rsidR="00C733BF" w:rsidRPr="00C733BF" w:rsidRDefault="00C733BF" w:rsidP="00C733BF">
            <w:pPr>
              <w:numPr>
                <w:ilvl w:val="0"/>
                <w:numId w:val="3"/>
              </w:numPr>
              <w:rPr>
                <w:b/>
                <w:bCs/>
                <w:iCs/>
                <w:color w:val="000000" w:themeColor="text1"/>
              </w:rPr>
            </w:pPr>
            <w:r w:rsidRPr="00C733BF">
              <w:rPr>
                <w:b/>
                <w:bCs/>
                <w:iCs/>
                <w:color w:val="000000" w:themeColor="text1"/>
              </w:rPr>
              <w:t xml:space="preserve">mantojuma pieņemšanas termiņš garāks par kreditoru pretenziju termiņu līdz ar ko mantiniekiem, pirms izvēles izdarīšanas, ir zināmas visas kreditora pretenzijas </w:t>
            </w:r>
            <w:r w:rsidRPr="00C733BF">
              <w:rPr>
                <w:b/>
                <w:bCs/>
                <w:i/>
                <w:color w:val="000000" w:themeColor="text1"/>
              </w:rPr>
              <w:t>(attiecīgie grozījumi paredzēti likumprojektā "Grozījumi Notariāta likumā")</w:t>
            </w:r>
            <w:r w:rsidRPr="00C733BF">
              <w:rPr>
                <w:b/>
                <w:bCs/>
                <w:iCs/>
                <w:color w:val="000000" w:themeColor="text1"/>
              </w:rPr>
              <w:t>;</w:t>
            </w:r>
          </w:p>
          <w:p w14:paraId="6C1626B3" w14:textId="77777777" w:rsidR="00C733BF" w:rsidRPr="00C733BF" w:rsidRDefault="00C733BF" w:rsidP="00C733BF">
            <w:pPr>
              <w:rPr>
                <w:b/>
                <w:bCs/>
                <w:iCs/>
                <w:color w:val="000000" w:themeColor="text1"/>
              </w:rPr>
            </w:pPr>
            <w:r w:rsidRPr="00C733BF">
              <w:rPr>
                <w:b/>
                <w:bCs/>
                <w:iCs/>
                <w:color w:val="000000" w:themeColor="text1"/>
              </w:rPr>
              <w:t xml:space="preserve">Galvenie ieguvumi mantojumā ieinteresētajām personām no mantojuma pieņemšanas sistēmas uzlabojumiem: </w:t>
            </w:r>
          </w:p>
          <w:p w14:paraId="28D790AC" w14:textId="77777777" w:rsidR="00C733BF" w:rsidRPr="00C733BF" w:rsidRDefault="00C733BF" w:rsidP="00C733BF">
            <w:pPr>
              <w:numPr>
                <w:ilvl w:val="0"/>
                <w:numId w:val="3"/>
              </w:numPr>
              <w:rPr>
                <w:b/>
                <w:bCs/>
                <w:iCs/>
                <w:color w:val="000000" w:themeColor="text1"/>
              </w:rPr>
            </w:pPr>
            <w:r w:rsidRPr="00C733BF">
              <w:rPr>
                <w:b/>
                <w:bCs/>
                <w:iCs/>
                <w:color w:val="000000" w:themeColor="text1"/>
              </w:rPr>
              <w:t>iespēja noskaidrot mirušā saistību un tiesību pārņēmējus – mantiniekus, lūdzot izsludināt mantojuma atklāšanos, arī attiecībā uz tādiem mantiniekiem, kas mantojumu pieņēmuši klusējot;</w:t>
            </w:r>
          </w:p>
          <w:p w14:paraId="70D5E2D5" w14:textId="77777777" w:rsidR="00C733BF" w:rsidRPr="00C733BF" w:rsidRDefault="00C733BF" w:rsidP="00C733BF">
            <w:pPr>
              <w:numPr>
                <w:ilvl w:val="0"/>
                <w:numId w:val="3"/>
              </w:numPr>
              <w:rPr>
                <w:b/>
                <w:bCs/>
                <w:iCs/>
                <w:color w:val="000000" w:themeColor="text1"/>
              </w:rPr>
            </w:pPr>
            <w:r w:rsidRPr="00C733BF">
              <w:rPr>
                <w:b/>
                <w:bCs/>
                <w:iCs/>
                <w:color w:val="000000" w:themeColor="text1"/>
              </w:rPr>
              <w:t>tiek stiprināts princips, ka mantojuma pieņemšanai pietiek ar tiesīgi paustu mantinieka gribu, tādējādi, piemēram, kreditoriem, lai vērstos ar saviem prasījumiem pret mantiniekiem, nav jāgaida līdz mantinieki izņem mantojuma apliecību pie notāra;</w:t>
            </w:r>
          </w:p>
          <w:p w14:paraId="586C091A" w14:textId="77777777" w:rsidR="00C733BF" w:rsidRPr="00C733BF" w:rsidRDefault="00C733BF" w:rsidP="00C733BF">
            <w:pPr>
              <w:numPr>
                <w:ilvl w:val="0"/>
                <w:numId w:val="3"/>
              </w:numPr>
              <w:rPr>
                <w:b/>
                <w:bCs/>
                <w:iCs/>
                <w:color w:val="000000" w:themeColor="text1"/>
              </w:rPr>
            </w:pPr>
            <w:r w:rsidRPr="00C733BF">
              <w:rPr>
                <w:b/>
                <w:bCs/>
                <w:iCs/>
                <w:color w:val="000000" w:themeColor="text1"/>
              </w:rPr>
              <w:t>neatņemamās daļas tiesīgajiem nav jāpiesaka savas tiesības uz neatņemamo daļu, ja tie mantojuma lietā jau pieteikušies kā mantinieki.</w:t>
            </w:r>
          </w:p>
          <w:p w14:paraId="510F2A4D" w14:textId="77777777" w:rsidR="00D74081" w:rsidRPr="00C82B48" w:rsidRDefault="00D74081" w:rsidP="002476D5">
            <w:pPr>
              <w:rPr>
                <w:color w:val="000000" w:themeColor="text1"/>
              </w:rPr>
            </w:pPr>
          </w:p>
        </w:tc>
      </w:tr>
    </w:tbl>
    <w:p w14:paraId="2767BFAD" w14:textId="77777777" w:rsidR="00B65E05" w:rsidRDefault="00B65E05" w:rsidP="00B65E05">
      <w:pPr>
        <w:pStyle w:val="ListParagraph"/>
        <w:rPr>
          <w:i/>
          <w:color w:val="000000" w:themeColor="text1"/>
          <w:sz w:val="20"/>
        </w:rPr>
      </w:pPr>
    </w:p>
    <w:p w14:paraId="3E78CBE4" w14:textId="77777777" w:rsidR="00B65E05" w:rsidRPr="00D44C63" w:rsidRDefault="00B65E05" w:rsidP="00D44C63">
      <w:pPr>
        <w:rPr>
          <w:i/>
          <w:color w:val="000000" w:themeColor="text1"/>
          <w:sz w:val="20"/>
        </w:rPr>
      </w:pPr>
    </w:p>
    <w:p w14:paraId="3DE636C5" w14:textId="7CA721D2" w:rsidR="00D74081" w:rsidRPr="00AD19A3" w:rsidRDefault="00D74081" w:rsidP="00AD19A3">
      <w:pPr>
        <w:rPr>
          <w:i/>
          <w:color w:val="000000" w:themeColor="text1"/>
          <w:sz w:val="20"/>
        </w:rPr>
      </w:pPr>
      <w:r w:rsidRPr="00AD19A3">
        <w:rPr>
          <w:b/>
          <w:color w:val="000000" w:themeColor="text1"/>
        </w:rPr>
        <w:t xml:space="preserve">Problēmas apraksts </w:t>
      </w:r>
    </w:p>
    <w:p w14:paraId="431A5913" w14:textId="77777777" w:rsidR="0076024F" w:rsidRPr="00D44C63" w:rsidRDefault="0076024F" w:rsidP="0076024F">
      <w:pPr>
        <w:jc w:val="center"/>
        <w:rPr>
          <w:b/>
          <w:bCs/>
          <w:iCs/>
          <w:color w:val="000000" w:themeColor="text1"/>
        </w:rPr>
      </w:pPr>
      <w:r w:rsidRPr="00D44C63">
        <w:rPr>
          <w:b/>
          <w:bCs/>
          <w:iCs/>
          <w:color w:val="000000" w:themeColor="text1"/>
        </w:rPr>
        <w:t>II. Kreditoru pretenziju pieteikšana.</w:t>
      </w:r>
    </w:p>
    <w:p w14:paraId="64D8191F" w14:textId="77777777" w:rsidR="0076024F" w:rsidRPr="00D44C63" w:rsidRDefault="0076024F" w:rsidP="0076024F">
      <w:pPr>
        <w:rPr>
          <w:iCs/>
          <w:color w:val="000000" w:themeColor="text1"/>
        </w:rPr>
      </w:pPr>
      <w:r w:rsidRPr="00D44C63">
        <w:rPr>
          <w:iCs/>
          <w:color w:val="000000" w:themeColor="text1"/>
        </w:rPr>
        <w:t xml:space="preserve">Apskatot Civillikuma 705. panta otro daļu, sākotnēji varētu šķist, ka tā ir skaidra un nepārprotama. Tomēr, ņemot vērā, ka tādas tēmas, kā kreditoru pretenziju pieteikšanas pienākums sludinājumā par mantojuma atklāšanos noteiktajā termiņā un kreditoru pretenziju nepieteikšanas sekas (arī – sludinājuma par mantojuma atklāšanos termiņa </w:t>
      </w:r>
      <w:proofErr w:type="spellStart"/>
      <w:r w:rsidRPr="00D44C63">
        <w:rPr>
          <w:iCs/>
          <w:color w:val="000000" w:themeColor="text1"/>
        </w:rPr>
        <w:t>prekluzivitāte</w:t>
      </w:r>
      <w:proofErr w:type="spellEnd"/>
      <w:r w:rsidRPr="00D44C63">
        <w:rPr>
          <w:iCs/>
          <w:color w:val="000000" w:themeColor="text1"/>
        </w:rPr>
        <w:t>) ir kļuvušas par praktiķu un ekspertu diskusiju objektu, ir izdarāms secinājums, ka kopējā izpratne par Civillikuma 705. panta interpretāciju nav tik viennozīmīga.</w:t>
      </w:r>
    </w:p>
    <w:p w14:paraId="5148B7B1" w14:textId="77777777" w:rsidR="0076024F" w:rsidRPr="00D44C63" w:rsidRDefault="0076024F" w:rsidP="0076024F">
      <w:pPr>
        <w:rPr>
          <w:iCs/>
          <w:color w:val="000000" w:themeColor="text1"/>
        </w:rPr>
      </w:pPr>
      <w:r w:rsidRPr="00D44C63">
        <w:rPr>
          <w:iCs/>
          <w:color w:val="000000" w:themeColor="text1"/>
        </w:rPr>
        <w:lastRenderedPageBreak/>
        <w:t>No vienas puses varētu šķist, ka spēkā esošā Civillikuma redakcija nepārprotami paredz pienākumu visiem mantojuma atstājēja kreditoriem, gan zināmiem, gan nezināmiem (nodrošinātajiem, nenodrošinātajiem) pieteikt savas kreditoru pretenzijas sludinājuma par mantojuma atklāšanos termiņā, paredzot, ka pretējā gadījumā tās tiks dzēstas. To (gramatiski tulkojot) paredz Civillikuma 705. panta otrā daļa, kas iekļauta ar 2013. gada grozījumiem Civillikumā,</w:t>
      </w:r>
      <w:r w:rsidRPr="00D44C63">
        <w:rPr>
          <w:iCs/>
          <w:color w:val="000000" w:themeColor="text1"/>
          <w:vertAlign w:val="superscript"/>
        </w:rPr>
        <w:footnoteReference w:id="4"/>
      </w:r>
      <w:r w:rsidRPr="00D44C63">
        <w:rPr>
          <w:iCs/>
          <w:color w:val="000000" w:themeColor="text1"/>
        </w:rPr>
        <w:t xml:space="preserve"> turklāt no likumdošanas materiāliem ir konstatējama likumdevēja griba ar 2013. gada Civillikuma grozījumiem paredzēt visiem kreditoriem pieteikt savas pretenzijas uzaicinājumā (sludinājumā par mantojuma atklāšanos) noradītajā terminā, pretējā gadījumā tās tiek dzēstas. […]. T</w:t>
      </w:r>
      <w:r>
        <w:rPr>
          <w:iCs/>
          <w:color w:val="000000" w:themeColor="text1"/>
        </w:rPr>
        <w:t>ādējādi</w:t>
      </w:r>
      <w:r w:rsidRPr="00D44C63">
        <w:rPr>
          <w:iCs/>
          <w:color w:val="000000" w:themeColor="text1"/>
        </w:rPr>
        <w:t xml:space="preserve"> ar minētajiem grozījumiem tika atjaunota </w:t>
      </w:r>
      <w:proofErr w:type="spellStart"/>
      <w:r w:rsidRPr="00D44C63">
        <w:rPr>
          <w:iCs/>
          <w:color w:val="000000" w:themeColor="text1"/>
        </w:rPr>
        <w:t>preklūzija</w:t>
      </w:r>
      <w:proofErr w:type="spellEnd"/>
      <w:r w:rsidRPr="00D44C63">
        <w:rPr>
          <w:iCs/>
          <w:color w:val="000000" w:themeColor="text1"/>
        </w:rPr>
        <w:t xml:space="preserve"> – </w:t>
      </w:r>
      <w:r>
        <w:rPr>
          <w:iCs/>
          <w:color w:val="000000" w:themeColor="text1"/>
        </w:rPr>
        <w:t>sevišķs</w:t>
      </w:r>
      <w:r w:rsidRPr="00D44C63">
        <w:rPr>
          <w:iCs/>
          <w:color w:val="000000" w:themeColor="text1"/>
        </w:rPr>
        <w:t xml:space="preserve"> nosacījums, ka kreditoru, kas uzaicinājuma terminā̄ nebūs pieteicis savas tiesības vai prasības uz atstāto mantojumu, atzīs par tādu, kas zaudējis </w:t>
      </w:r>
      <w:r>
        <w:rPr>
          <w:iCs/>
          <w:color w:val="000000" w:themeColor="text1"/>
        </w:rPr>
        <w:t>šīs</w:t>
      </w:r>
      <w:r w:rsidRPr="00D44C63">
        <w:rPr>
          <w:iCs/>
          <w:color w:val="000000" w:themeColor="text1"/>
        </w:rPr>
        <w:t xml:space="preserve"> tiesības vai atteicies no iebildumiem.</w:t>
      </w:r>
      <w:r w:rsidRPr="00D44C63">
        <w:rPr>
          <w:iCs/>
          <w:color w:val="000000" w:themeColor="text1"/>
          <w:vertAlign w:val="superscript"/>
        </w:rPr>
        <w:footnoteReference w:id="5"/>
      </w:r>
    </w:p>
    <w:p w14:paraId="6DBBDDAF" w14:textId="77777777" w:rsidR="0076024F" w:rsidRPr="00D44C63" w:rsidRDefault="0076024F" w:rsidP="0076024F">
      <w:pPr>
        <w:rPr>
          <w:iCs/>
          <w:color w:val="000000" w:themeColor="text1"/>
        </w:rPr>
      </w:pPr>
      <w:r w:rsidRPr="00D44C63">
        <w:rPr>
          <w:iCs/>
          <w:color w:val="000000" w:themeColor="text1"/>
        </w:rPr>
        <w:t>Vienlaikus Latvijas Republikas Augstākā tiesa Civillikuma 705. panta otrajai daļai ir devusi citu interpretāciju. Proti, tā izvirzījusi šādu tēzi: "Zvērināta notāra uzaicinājumā par mantojuma atklāšanos noteiktajā termiņā jāpiesaka tie kreditoru prasījumi, kuri mantiniekam nav zināmi. Uzaicinājuma spēks neattiecas uz mantiniekam zināmiem kreditoru prasījumiem, par kādiem, pamatojoties uz zemesgrāmatu publisko raksturu, uzskatāmi zemesgrāmatā ierakstītie hipotekārie prasījumi. Tādējādi Civillikuma 705. panta otrās daļas normā ietvertās kreditora prasījuma nepieteikšanas sekas nav attiecināmas uz prasījumiem, kas nodrošināti ar zemesgrāmatā attiecībā uz mantojuma atstājējam piederošu nekustamo īpašumu ierakstītu hipotēku.</w:t>
      </w:r>
      <w:r w:rsidRPr="00D44C63">
        <w:rPr>
          <w:iCs/>
          <w:color w:val="000000" w:themeColor="text1"/>
          <w:vertAlign w:val="superscript"/>
        </w:rPr>
        <w:footnoteReference w:id="6"/>
      </w:r>
      <w:r w:rsidRPr="00D44C63">
        <w:rPr>
          <w:iCs/>
          <w:color w:val="000000" w:themeColor="text1"/>
        </w:rPr>
        <w:t>"</w:t>
      </w:r>
    </w:p>
    <w:p w14:paraId="5B34815A" w14:textId="77777777" w:rsidR="0076024F" w:rsidRPr="00D44C63" w:rsidRDefault="0076024F" w:rsidP="0076024F">
      <w:pPr>
        <w:rPr>
          <w:iCs/>
          <w:color w:val="000000" w:themeColor="text1"/>
        </w:rPr>
      </w:pPr>
      <w:r w:rsidRPr="00D44C63">
        <w:rPr>
          <w:iCs/>
          <w:color w:val="000000" w:themeColor="text1"/>
        </w:rPr>
        <w:t>Ņemot vērā Civillikuma 705. panta otrās daļas redakciju un tiesu praksi attiecībā uz kreditoru pretenziju pieteikšanu un to dzēšanu secināts, ka nepieciešams precizēt Civillikumu tā, lai, no vienas puses, likumdevēja griba būtu skaidra un nepārprotama un, no otras puses, tā, lai likuma prasības atbilstu tiesiskajai izpratnei par zināmiem, nezināmiem kreditoriem (to pienākumiem un tiesībām) un saistību un tiesību pārņemšanu.</w:t>
      </w:r>
    </w:p>
    <w:p w14:paraId="0853406D" w14:textId="77777777" w:rsidR="0076024F" w:rsidRPr="00D44C63" w:rsidRDefault="0076024F" w:rsidP="0076024F">
      <w:pPr>
        <w:rPr>
          <w:iCs/>
          <w:color w:val="000000" w:themeColor="text1"/>
        </w:rPr>
      </w:pPr>
      <w:r w:rsidRPr="00D44C63">
        <w:rPr>
          <w:iCs/>
          <w:color w:val="000000" w:themeColor="text1"/>
        </w:rPr>
        <w:t>Tāpat jānorāda, ka Darba grupā secināts, ka nepieciešami arī citi grozījumi saistītajos normatīvajos aktos, piemēram, Notariāta likumā, kas noregulē procesuālo pusi kreditoru pretenziju pieteikšanai. Proti, Darba grupa, cita starpā, izvirzījusi priekšlikumus, kas neskar Civillikuma regulējumu attiecībā uz kreditoru pretenziju pieteikšanu, bet skar to pieteikšanas kārtību, piemēram, turpmāk paredzēts, ka par nepatiesu ziņu sniegšanu, piesakot kreditora pretenziju, paredzēta kriminālatbildība – tas tiks paredzēts Notariāta likumā. Minētais nepieciešams, jo, piemēram, šobrīd, kad mantojums tiek atzīts par bezmantinieka mantu, neviens nepārbauda pieteikto kreditoru pretenziju pamatotību, kā arī kreditoriem par nepatiesu kreditoru pretenziju pieteikšanu nav paredzēta nekāda atbildība, kas pieļauj regulējumu izmantot negodprātīgi un iegūt mantu, kas kreditoram nepienāktos. Līdz ar ko Tieslietu ministrija ir izstrādājusi arī grozījumus saistītajos normatīvajos aktos, ko virza izskatīšanai kopā ar šo Likumprojektu.</w:t>
      </w:r>
    </w:p>
    <w:p w14:paraId="7CDB4A32" w14:textId="77777777" w:rsidR="0076024F" w:rsidRPr="00D44C63" w:rsidRDefault="0076024F" w:rsidP="0076024F">
      <w:pPr>
        <w:rPr>
          <w:iCs/>
          <w:color w:val="000000" w:themeColor="text1"/>
        </w:rPr>
      </w:pPr>
      <w:r w:rsidRPr="00D44C63">
        <w:rPr>
          <w:iCs/>
          <w:color w:val="000000" w:themeColor="text1"/>
        </w:rPr>
        <w:lastRenderedPageBreak/>
        <w:t>Ievērojot visu minēto, ar Likumprojektu atbilstoši Darba grupas atbalstītajam konceptam Civillikumā tiek ieviesti šādi jauninājumi attiecībā uz kreditoru pretenziju pieteikšanu:</w:t>
      </w:r>
    </w:p>
    <w:p w14:paraId="03BA4DA3" w14:textId="77777777" w:rsidR="0076024F" w:rsidRPr="00D44C63" w:rsidRDefault="0076024F" w:rsidP="0076024F">
      <w:pPr>
        <w:numPr>
          <w:ilvl w:val="0"/>
          <w:numId w:val="3"/>
        </w:numPr>
        <w:rPr>
          <w:iCs/>
          <w:color w:val="000000" w:themeColor="text1"/>
        </w:rPr>
      </w:pPr>
      <w:r w:rsidRPr="00D44C63">
        <w:rPr>
          <w:iCs/>
          <w:color w:val="000000" w:themeColor="text1"/>
        </w:rPr>
        <w:t xml:space="preserve">Civillikumā jāsaglabā </w:t>
      </w:r>
      <w:proofErr w:type="spellStart"/>
      <w:r w:rsidRPr="00D44C63">
        <w:rPr>
          <w:iCs/>
          <w:color w:val="000000" w:themeColor="text1"/>
        </w:rPr>
        <w:t>prekluzīvais</w:t>
      </w:r>
      <w:proofErr w:type="spellEnd"/>
      <w:r w:rsidRPr="00D44C63">
        <w:rPr>
          <w:iCs/>
          <w:color w:val="000000" w:themeColor="text1"/>
        </w:rPr>
        <w:t xml:space="preserve"> termiņš, kurā mantojuma atstājēja nezināmajiem kreditoriem (tādiem, kuru prasījumi nav nodrošināti ar hipotēku vai komercķīlu) jāpiesaka savas kreditoru pretenzijas, pretējā gadījumā tās tiks dzēstas;</w:t>
      </w:r>
    </w:p>
    <w:p w14:paraId="1D41283B" w14:textId="77777777" w:rsidR="0076024F" w:rsidRPr="00D44C63" w:rsidRDefault="0076024F" w:rsidP="0076024F">
      <w:pPr>
        <w:numPr>
          <w:ilvl w:val="0"/>
          <w:numId w:val="3"/>
        </w:numPr>
        <w:rPr>
          <w:iCs/>
          <w:color w:val="000000" w:themeColor="text1"/>
        </w:rPr>
      </w:pPr>
      <w:r w:rsidRPr="00D44C63">
        <w:rPr>
          <w:iCs/>
          <w:color w:val="000000" w:themeColor="text1"/>
        </w:rPr>
        <w:t>mantojuma pieņemšana nav automātiska pieteikto kreditoru pretenziju atzīšana;</w:t>
      </w:r>
    </w:p>
    <w:p w14:paraId="67B113E2" w14:textId="77777777" w:rsidR="0076024F" w:rsidRPr="00D44C63" w:rsidRDefault="0076024F" w:rsidP="0076024F">
      <w:pPr>
        <w:numPr>
          <w:ilvl w:val="0"/>
          <w:numId w:val="3"/>
        </w:numPr>
        <w:rPr>
          <w:iCs/>
          <w:color w:val="000000" w:themeColor="text1"/>
        </w:rPr>
      </w:pPr>
      <w:r w:rsidRPr="00D44C63">
        <w:rPr>
          <w:iCs/>
          <w:color w:val="000000" w:themeColor="text1"/>
        </w:rPr>
        <w:t>par mantojuma atstājēja kreditoru prasījumiem, kuri nodrošināti ar hipotēku vai komercķīlu, pēc publiskajos reģistros pieejamās informācijas mantiniekus informē zvērināts notārs.</w:t>
      </w:r>
    </w:p>
    <w:p w14:paraId="46852346" w14:textId="77777777" w:rsidR="0076024F" w:rsidRDefault="0076024F" w:rsidP="002476D5">
      <w:pPr>
        <w:rPr>
          <w:b/>
          <w:color w:val="000000" w:themeColor="text1"/>
        </w:rPr>
      </w:pPr>
    </w:p>
    <w:p w14:paraId="75D0D727" w14:textId="4BB053A1" w:rsidR="00D74081" w:rsidRPr="00C82B48" w:rsidRDefault="00D74081" w:rsidP="002476D5">
      <w:pPr>
        <w:rPr>
          <w:color w:val="000000" w:themeColor="text1"/>
        </w:rPr>
      </w:pPr>
      <w:r w:rsidRPr="00C82B48">
        <w:rPr>
          <w:b/>
          <w:color w:val="000000" w:themeColor="text1"/>
        </w:rPr>
        <w:t>Risinājuma apraksts</w:t>
      </w:r>
    </w:p>
    <w:tbl>
      <w:tblPr>
        <w:tblStyle w:val="TableGrid"/>
        <w:tblW w:w="0" w:type="auto"/>
        <w:tblLook w:val="04A0" w:firstRow="1" w:lastRow="0" w:firstColumn="1" w:lastColumn="0" w:noHBand="0" w:noVBand="1"/>
      </w:tblPr>
      <w:tblGrid>
        <w:gridCol w:w="9632"/>
      </w:tblGrid>
      <w:tr w:rsidR="00C82B48" w:rsidRPr="00C82B48" w14:paraId="5638AF5D" w14:textId="77777777" w:rsidTr="00B54B6F">
        <w:tc>
          <w:tcPr>
            <w:tcW w:w="9632" w:type="dxa"/>
          </w:tcPr>
          <w:p w14:paraId="44D30BB4" w14:textId="77777777" w:rsidR="00831FA2" w:rsidRPr="00831FA2" w:rsidRDefault="00831FA2" w:rsidP="00831FA2">
            <w:pPr>
              <w:rPr>
                <w:iCs/>
                <w:color w:val="000000" w:themeColor="text1"/>
              </w:rPr>
            </w:pPr>
            <w:r w:rsidRPr="00831FA2">
              <w:rPr>
                <w:iCs/>
                <w:color w:val="000000" w:themeColor="text1"/>
              </w:rPr>
              <w:t>Likumprojekts attiecībā uz mantojuma atstājēja kreditoru pretenziju pieteikšanu paredz izdarīt grozījumus Civillikuma 705. pantā, precizējot sekojošus aspektus.</w:t>
            </w:r>
          </w:p>
          <w:p w14:paraId="6F74CEC8" w14:textId="77777777" w:rsidR="00831FA2" w:rsidRPr="00831FA2" w:rsidRDefault="00831FA2" w:rsidP="00831FA2">
            <w:pPr>
              <w:rPr>
                <w:iCs/>
                <w:color w:val="000000" w:themeColor="text1"/>
              </w:rPr>
            </w:pPr>
            <w:r w:rsidRPr="00831FA2">
              <w:rPr>
                <w:b/>
                <w:bCs/>
                <w:iCs/>
                <w:color w:val="000000" w:themeColor="text1"/>
              </w:rPr>
              <w:t xml:space="preserve">1. Tiek saglabāta un stiprināta sludinājuma par mantojuma atklāšanos termiņa </w:t>
            </w:r>
            <w:proofErr w:type="spellStart"/>
            <w:r w:rsidRPr="00831FA2">
              <w:rPr>
                <w:b/>
                <w:bCs/>
                <w:iCs/>
                <w:color w:val="000000" w:themeColor="text1"/>
              </w:rPr>
              <w:t>prekluzivitāte</w:t>
            </w:r>
            <w:proofErr w:type="spellEnd"/>
            <w:r w:rsidRPr="00831FA2">
              <w:rPr>
                <w:b/>
                <w:bCs/>
                <w:iCs/>
                <w:color w:val="000000" w:themeColor="text1"/>
              </w:rPr>
              <w:t xml:space="preserve">. </w:t>
            </w:r>
            <w:r w:rsidRPr="00831FA2">
              <w:rPr>
                <w:iCs/>
                <w:color w:val="000000" w:themeColor="text1"/>
              </w:rPr>
              <w:t xml:space="preserve">Proti, tiek paredzēts, ka sludinājumā nepieteiktās kreditoru, kuru prasījumi nav nodrošināti ar hipotēku vai komercķīlu, pretenzijas tiks dzēstas un saistību tiesības, kas netiek pieteiktas kā pretenzijas sludinājumā par mantojuma atklāšanos noteiktajā termiņā, izbeidzas. </w:t>
            </w:r>
          </w:p>
          <w:p w14:paraId="6F2DB90D" w14:textId="77777777" w:rsidR="00831FA2" w:rsidRPr="00831FA2" w:rsidRDefault="00831FA2" w:rsidP="00831FA2">
            <w:pPr>
              <w:rPr>
                <w:iCs/>
                <w:color w:val="000000" w:themeColor="text1"/>
              </w:rPr>
            </w:pPr>
            <w:r w:rsidRPr="00831FA2">
              <w:rPr>
                <w:iCs/>
                <w:color w:val="000000" w:themeColor="text1"/>
              </w:rPr>
              <w:t>Tādējādi padarot likumdevēja gribu nepārprotamu, ka kreditoriem, kuru prasījumi nav nodrošināti ar hipotēku vai komercķīlu, savi prasījumi noteiktā termiņā jāpiesaka, citādāk tie tiks dzēsti. Minētais saistīts ar to, ka turpmāk, kā jau šajā sākotnējās ietekmes novērtējuma ziņojumā (anotācijā) norādīts, būs viens publisks aicinājums – sludinājums par mantojuma atklāšanos, kas būs saistošs visām mantojumā ieinteresētajām personām un šī termiņa, kas būs prekluzīvs, neievērošanas sekas ir savu tiesību zaudēšana.</w:t>
            </w:r>
          </w:p>
          <w:p w14:paraId="4821253A" w14:textId="77777777" w:rsidR="00831FA2" w:rsidRPr="00831FA2" w:rsidRDefault="00831FA2" w:rsidP="00831FA2">
            <w:pPr>
              <w:rPr>
                <w:iCs/>
                <w:color w:val="000000" w:themeColor="text1"/>
              </w:rPr>
            </w:pPr>
            <w:r w:rsidRPr="00831FA2">
              <w:rPr>
                <w:b/>
                <w:bCs/>
                <w:iCs/>
                <w:color w:val="000000" w:themeColor="text1"/>
              </w:rPr>
              <w:t xml:space="preserve">2. Civillikums turpmāk paredzēs, ka mantojuma pieņemšana nenozīmē pieteikto kreditoru pretenziju atzīšanu. </w:t>
            </w:r>
            <w:r w:rsidRPr="00831FA2">
              <w:rPr>
                <w:iCs/>
                <w:color w:val="000000" w:themeColor="text1"/>
              </w:rPr>
              <w:t xml:space="preserve">Proti, lai gan kreditors pienācīgā kārtā būs pieteicis savu kreditora pretenziju, tās apmērs vai kāds cits būtisks aspekts, mantinieku ieskatā varētu būt apstrīdams vai par to varētu pastāvēt strīds, kas pretenzijas pieteikšanas brīdī, piemēram, jau tiek skatīts tiesā. Līdz ar to, mantinieki varēs pieņemt mantojumu nebaidoties, ka mantojuma pieņemšana ir bezstrīdus pieteiktās kreditora pretenzijas atzīšana - mantojuma pieņemšana mantiniekam nenozīmē automātisku kreditora pietikto pretenziju atzīšanu. Kreditoram piesakot savas pretenzijas termiņā, tas iegūst tiesības prasīt saistību izpildi no mantiniekiem, tomēr tas neizslēdz iespēju abām pusēm vienošanās ceļā risināt domstarpības par parāda atlikumu vai risināt strīdu tiesā, piemēram, ja pastāv strīds par kreditora prasījuma spēkā esamību vai parāda atlikumu. Vienlaikus jāvērš uzmanība, ka minētie grozījumu nav uzskatāmi par jauninājumu tiesību sistēmā, bet gan skaidri nostiprina Civillikumā mantojuma tiesībās pastāvošu principu. </w:t>
            </w:r>
            <w:r w:rsidRPr="00831FA2">
              <w:rPr>
                <w:b/>
                <w:bCs/>
                <w:iCs/>
                <w:color w:val="000000" w:themeColor="text1"/>
              </w:rPr>
              <w:t xml:space="preserve">Tāpat jānorāda, ka minētie grozījumi neparedz, ka mantinieki bez pamata varēs atteikties izpildīt kreditora prasījumus, bet Likumprojekts vien dod iespēju mantiniekiem apstrīdēt nepamatotas kreditora pretenzijas. </w:t>
            </w:r>
          </w:p>
          <w:p w14:paraId="3A9E0580" w14:textId="77777777" w:rsidR="00831FA2" w:rsidRPr="00831FA2" w:rsidRDefault="00831FA2" w:rsidP="00831FA2">
            <w:pPr>
              <w:rPr>
                <w:iCs/>
                <w:color w:val="000000" w:themeColor="text1"/>
              </w:rPr>
            </w:pPr>
            <w:r w:rsidRPr="00831FA2">
              <w:rPr>
                <w:b/>
                <w:bCs/>
                <w:iCs/>
                <w:color w:val="000000" w:themeColor="text1"/>
              </w:rPr>
              <w:lastRenderedPageBreak/>
              <w:t xml:space="preserve">3. Par mantojuma atstājēja kreditoru prasījumiem, kuri nodrošināti ar hipotēku vai komercķīlu, pēc publiskajos reģistros pieejamās informācijas mantiniekus informē zvērināts notārs. </w:t>
            </w:r>
            <w:r w:rsidRPr="00831FA2">
              <w:rPr>
                <w:iCs/>
                <w:color w:val="000000" w:themeColor="text1"/>
              </w:rPr>
              <w:t xml:space="preserve">Minētais jaunievedums, saglabājot pantā ietvertos principus, tomēr mainīs to, ka atsevišķu kategoriju kreditoru prasījumi mantojuma lietas ietvaros kā kreditora pretenzijas obligāti nav piesakāmi, vienlaikus par to esamību mantiniekus informēs zvērināts notārs, kurš ved mantojuma lietu, kā arī iekļaus šīs ziņas mantojuma lietā. </w:t>
            </w:r>
          </w:p>
          <w:p w14:paraId="5B45DAC3" w14:textId="77777777" w:rsidR="00831FA2" w:rsidRPr="00831FA2" w:rsidRDefault="00831FA2" w:rsidP="00831FA2">
            <w:pPr>
              <w:rPr>
                <w:iCs/>
                <w:color w:val="000000" w:themeColor="text1"/>
              </w:rPr>
            </w:pPr>
            <w:r w:rsidRPr="00831FA2">
              <w:rPr>
                <w:iCs/>
                <w:color w:val="000000" w:themeColor="text1"/>
              </w:rPr>
              <w:t>Proti, Darba grupas locekļi un pieaicinātie eksperti, tajā skaitā, Latvijas Universitātes Juridiskās fakultātes mācībspēki, diskutējot par mantojuma atstājēja kreditoru tiesībām un pienākumiem mantošanas procesā, nonāca pie kopsaucēja, ka kreditoru prasījumi, kas mantiniekiem ir zināmi (publiski) un kas vienlaikus ir nodrošināti, piemēram, aizdevums ar zemesgrāmatā ierakstītu hipotēku, tomēr prasa lielāku aizsardzību no likuma puses attiecībā uz sludinājuma par mantojuma atklāšanos termiņa neievēršanu, tādējādi savos secinājumos zināmā mērā eksperti pievienojās Latvijas Republikas Augstākās tiesas judikatūrā paustajām atziņām.</w:t>
            </w:r>
          </w:p>
          <w:p w14:paraId="21E64DD3" w14:textId="77777777" w:rsidR="00831FA2" w:rsidRPr="00831FA2" w:rsidRDefault="00831FA2" w:rsidP="00831FA2">
            <w:pPr>
              <w:rPr>
                <w:iCs/>
                <w:color w:val="000000" w:themeColor="text1"/>
              </w:rPr>
            </w:pPr>
            <w:r w:rsidRPr="00831FA2">
              <w:rPr>
                <w:iCs/>
                <w:color w:val="000000" w:themeColor="text1"/>
              </w:rPr>
              <w:t xml:space="preserve">Lai nemainītu vispārējo kārtību, paredzēts, ka šādu kreditoru pretenzijas, kas ir nodrošinātas ar hipotēku vai komercķīlu, sludinājumā par mantojuma atklāšanos noteiktajā termiņā mantojuma lietā pats kreditors varēs pieteikt, tomēr tas nebūs obligāts nosacījums prasījuma saglabāšanai, kā tas ir, ja kreditora prasījums nav nodrošināts ar hipotēku vai komercķīlu. </w:t>
            </w:r>
          </w:p>
          <w:p w14:paraId="1B44491C" w14:textId="77777777" w:rsidR="00831FA2" w:rsidRPr="00831FA2" w:rsidRDefault="00831FA2" w:rsidP="00831FA2">
            <w:pPr>
              <w:rPr>
                <w:iCs/>
                <w:color w:val="000000" w:themeColor="text1"/>
              </w:rPr>
            </w:pPr>
            <w:r w:rsidRPr="00831FA2">
              <w:rPr>
                <w:iCs/>
                <w:color w:val="000000" w:themeColor="text1"/>
              </w:rPr>
              <w:t xml:space="preserve">Vienlaikus zvērināts notārs, kam mantojuma lietas ietvaros būs iespējas noskaidrot ziņas par publiskiem prasījumiem pret mantojuma atstājēju, ja pats kreditors nebūs pieteicis savu kreditora pretenziju, informēs par tādiem prasījumiem mantiniekus. </w:t>
            </w:r>
          </w:p>
          <w:p w14:paraId="25B56627" w14:textId="77777777" w:rsidR="00831FA2" w:rsidRPr="00831FA2" w:rsidRDefault="00831FA2" w:rsidP="00831FA2">
            <w:pPr>
              <w:rPr>
                <w:iCs/>
                <w:color w:val="000000" w:themeColor="text1"/>
              </w:rPr>
            </w:pPr>
            <w:r w:rsidRPr="00831FA2">
              <w:rPr>
                <w:iCs/>
                <w:color w:val="000000" w:themeColor="text1"/>
              </w:rPr>
              <w:t>Par publiskiem reģistriem, kas satur ticamas (publiskas) ziņas par mantojuma atstājēja kreditoru nodrošinātiem prasījumiem pret mantojuma atstājēju, uzskatāmi zemesgrāmata, komercķīlu reģistrs un kā papildu informācijas avots - kredītu reģistrs.</w:t>
            </w:r>
          </w:p>
          <w:p w14:paraId="3B1CBBBD" w14:textId="77777777" w:rsidR="00831FA2" w:rsidRPr="00831FA2" w:rsidRDefault="00831FA2" w:rsidP="00831FA2">
            <w:pPr>
              <w:rPr>
                <w:iCs/>
                <w:color w:val="000000" w:themeColor="text1"/>
              </w:rPr>
            </w:pPr>
            <w:r w:rsidRPr="00831FA2">
              <w:rPr>
                <w:iCs/>
                <w:color w:val="000000" w:themeColor="text1"/>
              </w:rPr>
              <w:t xml:space="preserve">Tādējādi notārs pārbaudīs zemesgrāmatu un komercķīlu reģistru, lai noskaidrotu, vai pret mantojuma atstājēju ir vai nav prasījumi, kas nodrošināti ar hipotēku vai komercķīlu, un ja pats kreditors, kura prasījums ir nodrošināts ar hipotēku vai komercķīlu, nebūs pieteicis savu kreditora pretenziju mantojuma lietā, tad par šādu prasījumu esamību mantiniekus informēs notārs. </w:t>
            </w:r>
          </w:p>
          <w:p w14:paraId="585B05C5" w14:textId="77777777" w:rsidR="00831FA2" w:rsidRPr="00831FA2" w:rsidRDefault="00831FA2" w:rsidP="00831FA2">
            <w:pPr>
              <w:rPr>
                <w:iCs/>
                <w:color w:val="000000" w:themeColor="text1"/>
              </w:rPr>
            </w:pPr>
            <w:r w:rsidRPr="00831FA2">
              <w:rPr>
                <w:iCs/>
                <w:color w:val="000000" w:themeColor="text1"/>
              </w:rPr>
              <w:t>Turklāt, tā kā notāriem ar saistošajiem grozījumiem plānots piešķirt pieeju Latvijas Bankas turētajam kredītu reģistram, tad notārs informēs mantiniekus arī par atlikušo prasījuma, kas nodrošināts ar hipotēku vai komercķīlu, summu, ja mantojuma atstājēja kreditors būs kredīta reģistra dalībnieks un ja kredītu reģistrā par to būs pieejamas ziņas. Proti, Kredītu reģistrā atbilstoši Latvijas Bankas 2018. gada 18. janvāra noteikumu Nr. 160 "Kredītu reģistra noteikumi" 6. punktam un turpmākajiem punktiem tiek iekļautas detalizētas ziņas par prasījumiem, tajā skaitā, aktuālā informācija par parādu atlikumiem.</w:t>
            </w:r>
          </w:p>
          <w:p w14:paraId="36F934AD" w14:textId="77777777" w:rsidR="00831FA2" w:rsidRPr="00831FA2" w:rsidRDefault="00831FA2" w:rsidP="00831FA2">
            <w:pPr>
              <w:rPr>
                <w:iCs/>
                <w:color w:val="000000" w:themeColor="text1"/>
              </w:rPr>
            </w:pPr>
            <w:r w:rsidRPr="00831FA2">
              <w:rPr>
                <w:iCs/>
                <w:color w:val="000000" w:themeColor="text1"/>
              </w:rPr>
              <w:t xml:space="preserve">Zemesgrāmatā ierakstot ķīlas tiesību, atbilstoši Ministru kabineta 2006. gada 31. oktobra noteikumu Nr. 898 "Noteikumi par zemesgrāmatu nostiprinājuma lūguma formām" 4. pielikumam jānorāda nodrošināmais prasījums (summa </w:t>
            </w:r>
            <w:proofErr w:type="spellStart"/>
            <w:r w:rsidRPr="00831FA2">
              <w:rPr>
                <w:i/>
                <w:color w:val="000000" w:themeColor="text1"/>
              </w:rPr>
              <w:t>euro</w:t>
            </w:r>
            <w:proofErr w:type="spellEnd"/>
            <w:r w:rsidRPr="00831FA2">
              <w:rPr>
                <w:iCs/>
                <w:color w:val="000000" w:themeColor="text1"/>
              </w:rPr>
              <w:t>). Šādas ziņas var kalpot par pamatu, lai zvērināts notārs pieteiktu kreditora pretenziju, ja mantojuma atstājēja kreditors nav kredītu reģistra dalībnieks.</w:t>
            </w:r>
          </w:p>
          <w:p w14:paraId="1166B016" w14:textId="77777777" w:rsidR="00831FA2" w:rsidRPr="00831FA2" w:rsidRDefault="00831FA2" w:rsidP="00831FA2">
            <w:pPr>
              <w:rPr>
                <w:iCs/>
                <w:color w:val="000000" w:themeColor="text1"/>
              </w:rPr>
            </w:pPr>
            <w:r w:rsidRPr="00831FA2">
              <w:rPr>
                <w:iCs/>
                <w:color w:val="000000" w:themeColor="text1"/>
              </w:rPr>
              <w:lastRenderedPageBreak/>
              <w:t xml:space="preserve">Komercķīlu reģistrā atbilstoši Komercķīlas likuma 10. panta pirmās daļas 4. punktam norāda summu </w:t>
            </w:r>
            <w:proofErr w:type="spellStart"/>
            <w:r w:rsidRPr="00831FA2">
              <w:rPr>
                <w:i/>
                <w:color w:val="000000" w:themeColor="text1"/>
              </w:rPr>
              <w:t>euro</w:t>
            </w:r>
            <w:proofErr w:type="spellEnd"/>
            <w:r w:rsidRPr="00831FA2">
              <w:rPr>
                <w:iCs/>
                <w:color w:val="000000" w:themeColor="text1"/>
              </w:rPr>
              <w:t>, līdz kurai sniedzas ķīlas atbildība. Arī šādas ziņas var kalpot par pamatu, lai zvērināts notārs pieteiktu kreditora pretenziju, ja mantojuma atstājēja kreditors nav kredītu reģistra dalībnieks.</w:t>
            </w:r>
          </w:p>
          <w:p w14:paraId="2B7DEA4D" w14:textId="77777777" w:rsidR="00831FA2" w:rsidRPr="00831FA2" w:rsidRDefault="00831FA2" w:rsidP="00831FA2">
            <w:pPr>
              <w:rPr>
                <w:iCs/>
                <w:color w:val="000000" w:themeColor="text1"/>
              </w:rPr>
            </w:pPr>
            <w:r w:rsidRPr="00831FA2">
              <w:rPr>
                <w:iCs/>
                <w:color w:val="000000" w:themeColor="text1"/>
              </w:rPr>
              <w:t>Te jāatzīmē, ka gadījumos, kad mantojuma atstājēja nodrošinātais kreditors nav kredītu reģistra dalībnieks un kad nodrošinātā kreditora prasījumu atlikušo apmēru nav iespējams noskaidrot no kredītu reģistra, tad, informējot mantiniekus par parāda esamību, notārs norādīs prasījuma summu, kas norādīta zemesgrāmatā vai komercķīlu reģistrā - šādā gadījumā mantiniekiem pašiem jānoskaidro atlikušā prasījuma apmērs.</w:t>
            </w:r>
          </w:p>
          <w:p w14:paraId="18924931" w14:textId="77777777" w:rsidR="00831FA2" w:rsidRPr="00831FA2" w:rsidRDefault="00831FA2" w:rsidP="00831FA2">
            <w:pPr>
              <w:rPr>
                <w:iCs/>
                <w:color w:val="000000" w:themeColor="text1"/>
              </w:rPr>
            </w:pPr>
            <w:r w:rsidRPr="00831FA2">
              <w:rPr>
                <w:iCs/>
                <w:color w:val="000000" w:themeColor="text1"/>
              </w:rPr>
              <w:t>Idejiski piedāvātais risinājums nemaina tiesisko realitāti, kāda šobrīd pastāv atbilstoši Latvijas Republikas Augstākās tiesas judikatūrai - ka nodrošinātajiem (ar hipotēku vai komercķīlu) kreditoriem ir priekšroka pret nenodrošinātajiem kreditoriem attiecībā uz pretenzijas pieteikšanu. Tikai tagad, ar grozījumu Civillikuma 705. pantā, tam tiek piešķirts tiesisks ietvars.</w:t>
            </w:r>
          </w:p>
          <w:p w14:paraId="3F0E9FA3" w14:textId="77777777" w:rsidR="00831FA2" w:rsidRPr="00831FA2" w:rsidRDefault="00831FA2" w:rsidP="00831FA2">
            <w:pPr>
              <w:rPr>
                <w:iCs/>
                <w:color w:val="000000" w:themeColor="text1"/>
              </w:rPr>
            </w:pPr>
            <w:r w:rsidRPr="00831FA2">
              <w:rPr>
                <w:iCs/>
                <w:color w:val="000000" w:themeColor="text1"/>
              </w:rPr>
              <w:t>Ņemot vērā minēto, nenodrošinātiem kreditoriem sludinājuma par mantojuma atklāšanos termiņā sava kreditoru pretenzija būs jāpiesaka kā līdz šim</w:t>
            </w:r>
            <w:r w:rsidRPr="00831FA2">
              <w:rPr>
                <w:iCs/>
                <w:color w:val="000000" w:themeColor="text1"/>
                <w:u w:val="single"/>
              </w:rPr>
              <w:t>, turpretim kreditoriem, kuru prasījumi ir nodrošināti ar hipotēku vai komercķīlu, sava pretenzija nebūs obligāti jāpiesaka sludinājumā par mantojuma atklāšanos noteiktajā termiņā (grozījumi neaizliedz to darīt, ja, piemēram, kreditors pats vēlas mantojuma lietā iesniegt pēc iespējas precīzāku informāciju par parāda atlikumu) un par šādiem prasījumiem pēc publiskajos reģistros pieejamās informācijas mantiniekus informēs notārs, kurš ved konkrēto mantojuma lietu.</w:t>
            </w:r>
          </w:p>
          <w:p w14:paraId="2F0F0AF4" w14:textId="77777777" w:rsidR="00831FA2" w:rsidRPr="00831FA2" w:rsidRDefault="00831FA2" w:rsidP="00831FA2">
            <w:pPr>
              <w:rPr>
                <w:iCs/>
                <w:color w:val="000000" w:themeColor="text1"/>
              </w:rPr>
            </w:pPr>
            <w:r w:rsidRPr="00831FA2">
              <w:rPr>
                <w:iCs/>
                <w:color w:val="000000" w:themeColor="text1"/>
              </w:rPr>
              <w:t xml:space="preserve">Notārs ziņas par kreditoru prasījumiem, kas nodrošināti ar hipotēku vai komercķīlu, mantojuma lietā iekļaus pēc sludinājumā par mantojuma atklāšanos kreditoriem atvēlētā termiņa notecēšanas. </w:t>
            </w:r>
          </w:p>
          <w:p w14:paraId="6F240B34" w14:textId="77777777" w:rsidR="00831FA2" w:rsidRPr="00831FA2" w:rsidRDefault="00831FA2" w:rsidP="00831FA2">
            <w:pPr>
              <w:rPr>
                <w:iCs/>
                <w:color w:val="000000" w:themeColor="text1"/>
              </w:rPr>
            </w:pPr>
            <w:r w:rsidRPr="00831FA2">
              <w:rPr>
                <w:iCs/>
                <w:color w:val="000000" w:themeColor="text1"/>
              </w:rPr>
              <w:t>Papildus jāpiezīmē, ka piedāvātais regulējums, kur nodrošinātajiem kreditoriem nav obligāti mantojuma lietas ietvaros jāpiesaka sava kreditora pretenzija, neatceļ kreditoru pienākumu interesēties par savu parādnieku un tā saistību un tiesību pārņēmējiem, kā arī veikt darbības, lai parādnieka mantinieki varētu norēķināties par mantojuma atstājēja parādiem. Tādējādi pats nodrošinātais kreditors var izvērtēt, vai labāk jau sludinājuma par mantojuma atklāšanos termiņā iesniegt precīzas ziņas par prasījuma atlikumu (pieteikt kreditora pretenziju) vai nedarīt neko un pēc mantojuma lietas ar mantiniekiem risināt jautājumu, piemēram, par atlikušā prasījuma apmēru.</w:t>
            </w:r>
          </w:p>
          <w:p w14:paraId="54CEBE8E" w14:textId="77777777" w:rsidR="00831FA2" w:rsidRPr="00831FA2" w:rsidRDefault="00831FA2" w:rsidP="00831FA2">
            <w:pPr>
              <w:rPr>
                <w:iCs/>
                <w:color w:val="000000" w:themeColor="text1"/>
              </w:rPr>
            </w:pPr>
            <w:r w:rsidRPr="00831FA2">
              <w:rPr>
                <w:iCs/>
                <w:color w:val="000000" w:themeColor="text1"/>
              </w:rPr>
              <w:t xml:space="preserve">Jānorāda, ka pretenziju pieteikšana un ziņu iekļaušana par prasījumiem nepieciešama, jo īstenojot mantojuma tiesību reformu, paredzēts, ka mantojuma apliecībai klāt turpmāk būs pielikums, kas saturēs ziņas par visām pieteiktajām kreditoru pretenzijām un nodrošinātajiem prasījumiem, kā arī pie mantojuma apliecības būs pievienots mantojuma saraksts, tādējādi atvieglojot iespējas tiesīgajām personām iepazīties ar mantojuma sastāvu un mantinieku atbildības apmēru. </w:t>
            </w:r>
          </w:p>
          <w:p w14:paraId="67DAF6BD" w14:textId="77777777" w:rsidR="00D74081" w:rsidRPr="00C82B48" w:rsidRDefault="00D74081" w:rsidP="002476D5">
            <w:pPr>
              <w:rPr>
                <w:color w:val="000000" w:themeColor="text1"/>
              </w:rPr>
            </w:pPr>
          </w:p>
        </w:tc>
      </w:tr>
    </w:tbl>
    <w:p w14:paraId="7DA6F162" w14:textId="77777777" w:rsidR="00831FA2" w:rsidRDefault="00831FA2" w:rsidP="00831FA2">
      <w:pPr>
        <w:ind w:left="360"/>
        <w:rPr>
          <w:b/>
          <w:color w:val="000000" w:themeColor="text1"/>
        </w:rPr>
      </w:pPr>
    </w:p>
    <w:p w14:paraId="2ACFA847" w14:textId="1311CBEA" w:rsidR="00831FA2" w:rsidRDefault="00831FA2" w:rsidP="00AD19A3">
      <w:pPr>
        <w:rPr>
          <w:b/>
          <w:color w:val="000000" w:themeColor="text1"/>
        </w:rPr>
      </w:pPr>
      <w:r w:rsidRPr="00831FA2">
        <w:rPr>
          <w:b/>
          <w:color w:val="000000" w:themeColor="text1"/>
        </w:rPr>
        <w:t>Problēmas apraksts</w:t>
      </w:r>
    </w:p>
    <w:p w14:paraId="1EC82987" w14:textId="77777777" w:rsidR="00BB402A" w:rsidRPr="00BB402A" w:rsidRDefault="00BB402A" w:rsidP="00BB402A">
      <w:pPr>
        <w:ind w:left="360"/>
        <w:jc w:val="center"/>
        <w:rPr>
          <w:b/>
          <w:bCs/>
          <w:color w:val="000000" w:themeColor="text1"/>
          <w:szCs w:val="28"/>
        </w:rPr>
      </w:pPr>
      <w:r w:rsidRPr="00BB402A">
        <w:rPr>
          <w:b/>
          <w:bCs/>
          <w:color w:val="000000" w:themeColor="text1"/>
          <w:szCs w:val="28"/>
        </w:rPr>
        <w:t>III. Mantinieku atbildība pret mantojuma atstājēja kreditoriem.</w:t>
      </w:r>
    </w:p>
    <w:p w14:paraId="7FEDF4C9" w14:textId="77777777" w:rsidR="00BB402A" w:rsidRPr="00BB402A" w:rsidRDefault="00BB402A" w:rsidP="00BB402A">
      <w:pPr>
        <w:ind w:left="360"/>
        <w:rPr>
          <w:color w:val="000000" w:themeColor="text1"/>
          <w:szCs w:val="28"/>
        </w:rPr>
      </w:pPr>
      <w:r w:rsidRPr="00BB402A">
        <w:rPr>
          <w:color w:val="000000" w:themeColor="text1"/>
          <w:szCs w:val="28"/>
        </w:rPr>
        <w:lastRenderedPageBreak/>
        <w:t>Saskaņā ar spēkā esošo regulējumu mantinieka atbildība par mantojuma atstājēja parādiem ir tikai mantiska un pēc apmēra tai jābūt tādai pašai kā mantojuma atstājēja atbildībai, turklāt neierobežotai ar mantojuma apmēru, bet virs tā, ja vien mantojums nav pieņemts ar inventāra tiesību.</w:t>
      </w:r>
      <w:r w:rsidRPr="00BB402A">
        <w:rPr>
          <w:color w:val="000000" w:themeColor="text1"/>
          <w:szCs w:val="28"/>
          <w:vertAlign w:val="superscript"/>
        </w:rPr>
        <w:footnoteReference w:id="7"/>
      </w:r>
    </w:p>
    <w:p w14:paraId="66D4B911" w14:textId="77777777" w:rsidR="00BB402A" w:rsidRPr="00BB402A" w:rsidRDefault="00BB402A" w:rsidP="00BB402A">
      <w:pPr>
        <w:ind w:left="360"/>
        <w:rPr>
          <w:color w:val="000000" w:themeColor="text1"/>
          <w:szCs w:val="28"/>
        </w:rPr>
      </w:pPr>
      <w:r w:rsidRPr="00BB402A">
        <w:rPr>
          <w:color w:val="000000" w:themeColor="text1"/>
          <w:szCs w:val="28"/>
        </w:rPr>
        <w:t xml:space="preserve">Proti, šobrīd pastāv divi atšķirīgi atbildības par mantojuma atstājēja parādiem režīmi, viens, kur mantinieku atbildība nav ierobežota ar mantotā apmēru - mantiniekiem ir pienākums norēķināties ar mantojuma atstājēja kreditoriem pilnā apmērā un otrs, kur mantinieku atbildība ir ierobežota ar mantoto mantu un neko vairāk - gadījumos, kad mantinieki izmanto inventāra tiesību. Vienlaikus, neņemot vērā ievērojamo atšķirību mantinieka iegūto pienākumu apjomā (atbildības apmērā pret kreditoriem) un tā ietekmi uz kreditoru tiesībām, Civillikums, bez pienākuma pieteikties noteiktā termiņā, neizvirza nekādas papildu prasības, lai mantinieki varētu izmantot inventāra tiesību, proti, pieņemt mantojumu ar ierobežotu atbildību pret mantojuma atstājēja kreditoriem (nepilngadīgo mantinieku gadījumā mantojuma pieņemšana ar ierobežotu atbildību ir obligāts nosacījums). </w:t>
      </w:r>
    </w:p>
    <w:p w14:paraId="09CCB4F2" w14:textId="77777777" w:rsidR="00BB402A" w:rsidRPr="00BB402A" w:rsidRDefault="00BB402A" w:rsidP="00BB402A">
      <w:pPr>
        <w:ind w:left="360"/>
        <w:rPr>
          <w:color w:val="000000" w:themeColor="text1"/>
          <w:szCs w:val="28"/>
        </w:rPr>
      </w:pPr>
      <w:r w:rsidRPr="00BB402A">
        <w:rPr>
          <w:color w:val="000000" w:themeColor="text1"/>
          <w:szCs w:val="28"/>
        </w:rPr>
        <w:t>Aplūkojot ārvalstu praksi attiecībā uz mantinieku atbildību pret mantojuma atstājēja kreditoriem secināms, ka lielā daļā Eiropas valstu</w:t>
      </w:r>
      <w:r w:rsidRPr="00BB402A">
        <w:rPr>
          <w:color w:val="000000" w:themeColor="text1"/>
          <w:szCs w:val="28"/>
          <w:vertAlign w:val="superscript"/>
        </w:rPr>
        <w:footnoteReference w:id="8"/>
      </w:r>
      <w:r w:rsidRPr="00BB402A">
        <w:rPr>
          <w:color w:val="000000" w:themeColor="text1"/>
          <w:szCs w:val="28"/>
        </w:rPr>
        <w:t xml:space="preserve">, līdzīgi kā Latvijā, mantiniekiem ir tiesības izmantot inventāra tiesību, līdz ar to samazināts mantinieku atbildības režīms, pieņemot mantojumu, kā opcija mantojuma tiesībās arī Eiropā nav nekas jauns. </w:t>
      </w:r>
    </w:p>
    <w:p w14:paraId="0D464D62" w14:textId="77777777" w:rsidR="00BB402A" w:rsidRPr="00BB402A" w:rsidRDefault="00BB402A" w:rsidP="00BB402A">
      <w:pPr>
        <w:ind w:left="360"/>
        <w:rPr>
          <w:color w:val="000000" w:themeColor="text1"/>
          <w:szCs w:val="28"/>
        </w:rPr>
      </w:pPr>
      <w:r w:rsidRPr="00BB402A">
        <w:rPr>
          <w:color w:val="000000" w:themeColor="text1"/>
          <w:szCs w:val="28"/>
        </w:rPr>
        <w:t xml:space="preserve">Tomēr šī opcija parasti prasa, lai potenciālie mantinieki zinātu par šādu iespējamību (opciju pieņemt mantojumu ar ierobežotu atbildību) un lai tie likumā noteiktai procedūrai atbilstoši pieteiktos šo opciju izmantot. </w:t>
      </w:r>
    </w:p>
    <w:p w14:paraId="5D13552F" w14:textId="77777777" w:rsidR="00BB402A" w:rsidRPr="00BB402A" w:rsidRDefault="00BB402A" w:rsidP="00BB402A">
      <w:pPr>
        <w:ind w:left="360"/>
        <w:rPr>
          <w:color w:val="000000" w:themeColor="text1"/>
          <w:szCs w:val="28"/>
        </w:rPr>
      </w:pPr>
      <w:r w:rsidRPr="00BB402A">
        <w:rPr>
          <w:color w:val="000000" w:themeColor="text1"/>
          <w:szCs w:val="28"/>
        </w:rPr>
        <w:t>Minētais atbilst arī tam, kā Civillikums šobrīd paredz iespēju izmantot inventāra tiesību – mantiniekiem divu mēnešu laikā no ziņu saņemšanas par mantojuma atklāšanos jāpiesaka notāram, ka tie vēlas izmantot inventāra tiesību, pretējā gadījumā šī tiesība tiek zaudēta. Lai gan šāda pieeja nav tiesiski nepareiza, tomēr no prakses redzams, ka atsevišķos gadījumos inventāra tiesības izmantošana var būt apgrūtinoša, jo, piemēram, inventāra tiesības izmantošanas termiņš sāk tecēt no mantojuma atklāšanās brīža, nevis no mantojuma lietas uzsākšanas brīža un mantojuma saraksta sastādīšana var būt komplicēta līdz ar ko to nav iespējams veikt atvēlētajā termiņā (kas maksimums ir viens gads).</w:t>
      </w:r>
    </w:p>
    <w:p w14:paraId="49B7C8D6" w14:textId="77777777" w:rsidR="00BB402A" w:rsidRPr="00BB402A" w:rsidRDefault="00BB402A" w:rsidP="00BB402A">
      <w:pPr>
        <w:ind w:left="360"/>
        <w:rPr>
          <w:color w:val="000000" w:themeColor="text1"/>
          <w:szCs w:val="28"/>
        </w:rPr>
      </w:pPr>
      <w:r w:rsidRPr="00BB402A">
        <w:rPr>
          <w:color w:val="000000" w:themeColor="text1"/>
          <w:szCs w:val="28"/>
        </w:rPr>
        <w:t xml:space="preserve">Jānorāda, ka tādās valstīs kā Anglija vai Zviedrija, kur mantojuma masas aktīvus un pasīvus apzina speciāla persona, kas veic norēķinu ar mantojuma atstājēja kreditoriem un tad, ja pēc norēķina procesa kādi aktīvi paliek pāri, tos nodod mantiniekiem, šādu problēmu nav. Tomēr šāds process, kas savā ziņā ir mantojuma masas likvidācijai vai maksātnespējai pielīdzināms process, ir ļoti dārgs un sarežģīts, un tāda modeļa ieviešana šajā posmā Latvijā būtu nesamērīgi dārga un radītu lielu administratīvo slogu valstij, ņemot vērā, ka par katru mirušo personu valstij būtu jāuzsāk mantojuma lieta un jāveic minētās darbības. </w:t>
      </w:r>
    </w:p>
    <w:p w14:paraId="2AA08EA3" w14:textId="77777777" w:rsidR="00BB402A" w:rsidRPr="00BB402A" w:rsidRDefault="00BB402A" w:rsidP="00BB402A">
      <w:pPr>
        <w:ind w:left="360"/>
        <w:rPr>
          <w:color w:val="000000" w:themeColor="text1"/>
          <w:szCs w:val="28"/>
        </w:rPr>
      </w:pPr>
      <w:r w:rsidRPr="00BB402A">
        <w:rPr>
          <w:color w:val="000000" w:themeColor="text1"/>
          <w:szCs w:val="28"/>
        </w:rPr>
        <w:t xml:space="preserve">Tādējādi mantinieku atbildības aspekti būtu pilnveidojami esošās mantojuma sistēmas ietvaros. Darba grupā diskutējot par mantinieku atbildību pret mantojuma </w:t>
      </w:r>
      <w:r w:rsidRPr="00BB402A">
        <w:rPr>
          <w:color w:val="000000" w:themeColor="text1"/>
          <w:szCs w:val="28"/>
        </w:rPr>
        <w:lastRenderedPageBreak/>
        <w:t>atstājēja kreditoriem, secināts, ka spēkā esošais regulējums var radīt neskaidrības gan no mantinieku tiesību viedokļa, gan no mantojuma atstājēja kreditoru tiesību viedokļa. Proti, ne visi mantinieki zina, ka Civillikums šobrīd piedāvā dažādus atbildības režīmus, kas neapšaubāmi ietekmē to, kādu izvēli par mantojuma pieņemšanu/atraidīšanu mantinieki izdara (un to vai vispār tiek uzsākta mantojuma lieta). Tāpat kreditori, piesakot kreditoru pretenzijas, nezina, kādā apmērā atbildēs mantinieks.</w:t>
      </w:r>
    </w:p>
    <w:p w14:paraId="6C8CD555" w14:textId="77777777" w:rsidR="00BB402A" w:rsidRPr="00BB402A" w:rsidRDefault="00BB402A" w:rsidP="00BB402A">
      <w:pPr>
        <w:ind w:left="360"/>
        <w:rPr>
          <w:color w:val="000000" w:themeColor="text1"/>
          <w:szCs w:val="28"/>
        </w:rPr>
      </w:pPr>
      <w:r w:rsidRPr="00BB402A">
        <w:rPr>
          <w:color w:val="000000" w:themeColor="text1"/>
          <w:szCs w:val="28"/>
        </w:rPr>
        <w:t xml:space="preserve">Domājams, ja tiesiskais regulējums paredzētu vispārīgu principu, ka mantinieka atbildība pret mantojuma atstājēja kreditoriem ir ierobežota ar to mantu, ko mantinieks mantotu, tad uzsākto mantojuma lietu un pieņemto mantojumu skaits palielinātos, turklāt tādējādi tiktu veicināta situācija, ka privātpersonām piederošā manta pēc to nāves laicīgi, pilntiesīgi atgrieztos civiltiesiskajā apgrozībā un, domājams,  palielinātos izpildīto saistību skaits. </w:t>
      </w:r>
    </w:p>
    <w:p w14:paraId="71E12113" w14:textId="77777777" w:rsidR="00BB402A" w:rsidRPr="00BB402A" w:rsidRDefault="00BB402A" w:rsidP="00BB402A">
      <w:pPr>
        <w:ind w:left="360"/>
        <w:rPr>
          <w:color w:val="000000" w:themeColor="text1"/>
          <w:szCs w:val="28"/>
        </w:rPr>
      </w:pPr>
      <w:r w:rsidRPr="00BB402A">
        <w:rPr>
          <w:color w:val="000000" w:themeColor="text1"/>
          <w:szCs w:val="28"/>
        </w:rPr>
        <w:t>Proti, likumā noteiktā mantinieku atbildība spēlē būtisku lomu mantinieku lēmumu pieņemšanā par to, vai mantojumu pieņemt vai atraidīt, kas savukārt atstāj sekas arī uz citu mantojumā ieinteresēto personu tiesībām un mantojuma masā atrodošās mantas pilntiesīgu atgriešanos civiltiesiskajā apritē.</w:t>
      </w:r>
    </w:p>
    <w:p w14:paraId="64BED833" w14:textId="77777777" w:rsidR="00BB402A" w:rsidRPr="00BB402A" w:rsidRDefault="00BB402A" w:rsidP="00BB402A">
      <w:pPr>
        <w:ind w:left="360"/>
        <w:rPr>
          <w:color w:val="000000" w:themeColor="text1"/>
          <w:szCs w:val="28"/>
        </w:rPr>
      </w:pPr>
      <w:r w:rsidRPr="00BB402A">
        <w:rPr>
          <w:color w:val="000000" w:themeColor="text1"/>
          <w:szCs w:val="28"/>
        </w:rPr>
        <w:t>Kā piemērs jānorāda, ka pēc Tieslietu ministrijas rīcībā esošajiem datiem vidēji iepretim 30 000 fizisku personu nāves gadījumiem</w:t>
      </w:r>
      <w:r w:rsidRPr="00BB402A">
        <w:rPr>
          <w:color w:val="000000" w:themeColor="text1"/>
          <w:szCs w:val="28"/>
          <w:vertAlign w:val="superscript"/>
        </w:rPr>
        <w:footnoteReference w:id="9"/>
      </w:r>
      <w:r w:rsidRPr="00BB402A">
        <w:rPr>
          <w:color w:val="000000" w:themeColor="text1"/>
          <w:szCs w:val="28"/>
        </w:rPr>
        <w:t xml:space="preserve"> gadā tiek ierosinātas 10 000 mantojuma lietas, kas nozīmē, ka aptuveni 20 000 gadījumos tiesiskās situācijas, kas rodas pēc personas nāves, iespējams, paliek līdz galam neatrasinātas. Protams, ne visos gadījumos personās nāve prasa aktīvu mantinieku iesaisti (arī tāpēc ar Likumprojektu tiek saglabāta iespēja pieņemt mantojumu klusējot), tomēr valsts interešu pamatā ir tiesiskā noteiktība un stabila civiltiesiskā aprite, kas ar šī brīža regulējumu visos gadījumos netiek sasniegta.</w:t>
      </w:r>
    </w:p>
    <w:p w14:paraId="087917F0" w14:textId="77777777" w:rsidR="00BB402A" w:rsidRPr="00BB402A" w:rsidRDefault="00BB402A" w:rsidP="00BB402A">
      <w:pPr>
        <w:ind w:left="360"/>
        <w:rPr>
          <w:color w:val="000000" w:themeColor="text1"/>
          <w:szCs w:val="28"/>
        </w:rPr>
      </w:pPr>
      <w:r w:rsidRPr="00BB402A">
        <w:rPr>
          <w:color w:val="000000" w:themeColor="text1"/>
          <w:szCs w:val="28"/>
        </w:rPr>
        <w:t xml:space="preserve">Šobrīd saskaņā ar spēkā esošo regulējumu, kad pastāv divi mantinieku atbildības režīmi, mantojuma atstājēja kreditori nevar zināt, vai mantinieks atbildēs visa prasījuma apmērā (ja nepieciešams, arī ar savu mantu), pieņemot, ka nav strīds par pieteiktās kreditora pretenzijas apmēru, vai tikai ar to mantu, kas norādīta mantojuma inventāra sarakstā. Līdz ar to no kreditoru interešu aizsardzības viedokļa šobrīd nav iespējams prognozēt, kādu daļu no prasījuma būs iespējams atgūt no mantiniekiem.  </w:t>
      </w:r>
    </w:p>
    <w:p w14:paraId="28980BE2" w14:textId="77777777" w:rsidR="00BB402A" w:rsidRPr="00BB402A" w:rsidRDefault="00BB402A" w:rsidP="00BB402A">
      <w:pPr>
        <w:ind w:left="360"/>
        <w:rPr>
          <w:color w:val="000000" w:themeColor="text1"/>
          <w:szCs w:val="28"/>
        </w:rPr>
      </w:pPr>
      <w:r w:rsidRPr="00BB402A">
        <w:rPr>
          <w:color w:val="000000" w:themeColor="text1"/>
          <w:szCs w:val="28"/>
        </w:rPr>
        <w:t xml:space="preserve">Vienlaikus Darba grupā secināts, ka problēmas attiecībā uz kreditoru tiesībām praksē nerada tas, ka mantiniekiem ir izvēles iespēja pieņemt mantojumu ar ierobežotu atbildību vai nē, bet gan tas, ka kreditoram, vienlaicīgi pastāvot diviem mantinieku atbildības modeļiem, mantošanas procesā rodas nenoteiktība par iespēju segt savu prasījumu. Turklāt Darba grupā tika secināts, ka mantinieku atbildība šobrīd vienā vai otrā gadījumā nav pietiekami skaidri noregulēta Civillikumā. Piemēram, atbilstoši šobrīd pastāvošajai praksei, ja inventāra sarakstā norādītā manta dabā nav atrodama, tad piespiedu izpildes gadījumā zvērināts tiesu izpildītājs uz to nevar veikt piedziņu, un kreditors savu apmierinājumu nerod, jo no mantinieka mantas, ko tas nav ieguvis mantojot, piedziņa nav pieļaujama - arī šis aspekts varētu tikt uzskatīts par nesamērīgu attiecībā pret mantojuma atstājēja kreditoriem un šādas </w:t>
      </w:r>
      <w:r w:rsidRPr="00BB402A">
        <w:rPr>
          <w:color w:val="000000" w:themeColor="text1"/>
          <w:szCs w:val="28"/>
        </w:rPr>
        <w:lastRenderedPageBreak/>
        <w:t xml:space="preserve">situācijas, kur pazudusi manta, kas norādīta sarakstā, būtu skaidri jānoregulē. Šobrīd minētās situācijas tiek risinātas tiesvedības ceļā. </w:t>
      </w:r>
    </w:p>
    <w:p w14:paraId="6C0CB1B1" w14:textId="77777777" w:rsidR="00BB402A" w:rsidRPr="00BB402A" w:rsidRDefault="00BB402A" w:rsidP="00BB402A">
      <w:pPr>
        <w:ind w:left="360"/>
        <w:rPr>
          <w:color w:val="000000" w:themeColor="text1"/>
          <w:szCs w:val="28"/>
        </w:rPr>
      </w:pPr>
      <w:r w:rsidRPr="00BB402A">
        <w:rPr>
          <w:color w:val="000000" w:themeColor="text1"/>
          <w:szCs w:val="28"/>
        </w:rPr>
        <w:t>Līdz ar ko, bez tā, ka nepieciešams panākt, lai mirušās personas manta ātrāk pilntiesīgi atgrieztos civiltiesiskajā apgrozībā – tiek noskaidrots mantas īpašnieks (mantojuma atstājēja saistību un tiesību pārņēmējs), kas ir tiesīgs ar to rīkoties, nepieciešams arī, lai mantinieki pieņemtu mantojumu uz skaidriem noteikumiem par atbildību pret mantojuma atstājēja kreditoru prasījumiem.</w:t>
      </w:r>
    </w:p>
    <w:p w14:paraId="3E09D647" w14:textId="77777777" w:rsidR="00BB402A" w:rsidRPr="00BB402A" w:rsidRDefault="00BB402A" w:rsidP="00BB402A">
      <w:pPr>
        <w:ind w:left="360"/>
        <w:rPr>
          <w:color w:val="000000" w:themeColor="text1"/>
          <w:szCs w:val="28"/>
        </w:rPr>
      </w:pPr>
      <w:r w:rsidRPr="00BB402A">
        <w:rPr>
          <w:color w:val="000000" w:themeColor="text1"/>
          <w:szCs w:val="28"/>
        </w:rPr>
        <w:t xml:space="preserve">Proti, Civillikuma noteikumiem par mantinieku atbildību pret mantojuma atstājēja parādiem daudzos gadījumos var būt izšķiroša nozīme, lai mantinieki izšķirtos uzsākt mantojuma lietu un pieņemtu mantojumu. </w:t>
      </w:r>
    </w:p>
    <w:p w14:paraId="1A6E28C1" w14:textId="77777777" w:rsidR="00BB402A" w:rsidRPr="00BB402A" w:rsidRDefault="00BB402A" w:rsidP="00BB402A">
      <w:pPr>
        <w:ind w:left="360"/>
        <w:rPr>
          <w:color w:val="000000" w:themeColor="text1"/>
          <w:szCs w:val="28"/>
        </w:rPr>
      </w:pPr>
      <w:r w:rsidRPr="00BB402A">
        <w:rPr>
          <w:color w:val="000000" w:themeColor="text1"/>
          <w:szCs w:val="28"/>
        </w:rPr>
        <w:t>Mantojuma lietas uzsākšana un mantojuma pieņemšana (arī atraidīšana) no tiesiskās noteiktības viedokļa ir ļoti svarīga, jo tas ir process, kurā mantojuma masā ietilpstošā manta pilnā apmērā atgriežas civiltiesiskajā apritē un, ja mantojums tiek pieņemts, tiek noskaidroti arī mantojuma atstājēja saistību un tiesību pārņēmēji.</w:t>
      </w:r>
    </w:p>
    <w:p w14:paraId="0F1E281E" w14:textId="77777777" w:rsidR="00BB402A" w:rsidRPr="00BB402A" w:rsidRDefault="00BB402A" w:rsidP="00BB402A">
      <w:pPr>
        <w:ind w:left="360"/>
        <w:rPr>
          <w:color w:val="000000" w:themeColor="text1"/>
          <w:szCs w:val="28"/>
        </w:rPr>
      </w:pPr>
      <w:r w:rsidRPr="00BB402A">
        <w:rPr>
          <w:color w:val="000000" w:themeColor="text1"/>
          <w:szCs w:val="28"/>
        </w:rPr>
        <w:t>Līdz ar ko, Tieslietu ministrijas viens no mērķiem, izstrādājot jauno mantošanas konceptu kopumā un attiecīgi arī Likumprojektā iekļaujot mantinieku atbildības noregulējumu, ir panākt, lai augtu uzsākto un pabeigto mantojuma lietu skaits un situācijā, kad pēc personas nāves ir palikusi manta, tā laicīgi un pilnā kārtā atgrieztos civiltiesiskā apgrozībā, vienlaikus noskaidrojot mirušās personas saistību un tiesību pārņēmējus vai konstatējot, ka mantojums piekrīt valstij kā bezmantinieka manta.</w:t>
      </w:r>
    </w:p>
    <w:p w14:paraId="12F5BCA0" w14:textId="14C06EE0" w:rsidR="00BB402A" w:rsidRPr="00BB402A" w:rsidRDefault="00BB402A" w:rsidP="00BB402A">
      <w:pPr>
        <w:ind w:left="360"/>
        <w:rPr>
          <w:color w:val="000000" w:themeColor="text1"/>
          <w:szCs w:val="28"/>
        </w:rPr>
      </w:pPr>
      <w:r w:rsidRPr="00BB402A">
        <w:rPr>
          <w:color w:val="000000" w:themeColor="text1"/>
          <w:szCs w:val="28"/>
        </w:rPr>
        <w:t>Turklāt papildus jau minētajam jānorāda, ka Tieslietu ministrijas ieskatā nākotnes tendence būs atstāt ar vien komplicētākus mantojumus, kas apgrūtināti ar dažādām saistībām un</w:t>
      </w:r>
      <w:r w:rsidRPr="00BB402A">
        <w:rPr>
          <w:b/>
          <w:bCs/>
          <w:color w:val="000000" w:themeColor="text1"/>
          <w:szCs w:val="28"/>
        </w:rPr>
        <w:t xml:space="preserve"> kas varētu atturēt mantiniekus pieņemt mantojumu un ierobežot mantojumā ietilpstošās mantas atgriešanos</w:t>
      </w:r>
      <w:r w:rsidR="00D80AB6">
        <w:rPr>
          <w:b/>
          <w:bCs/>
          <w:color w:val="000000" w:themeColor="text1"/>
          <w:szCs w:val="28"/>
        </w:rPr>
        <w:t xml:space="preserve"> pilntiesīgā</w:t>
      </w:r>
      <w:r w:rsidRPr="00BB402A">
        <w:rPr>
          <w:b/>
          <w:bCs/>
          <w:color w:val="000000" w:themeColor="text1"/>
          <w:szCs w:val="28"/>
        </w:rPr>
        <w:t xml:space="preserve"> civiltiesiskajā apgrozībā.</w:t>
      </w:r>
      <w:r w:rsidRPr="00BB402A">
        <w:rPr>
          <w:color w:val="000000" w:themeColor="text1"/>
          <w:szCs w:val="28"/>
        </w:rPr>
        <w:t xml:space="preserve"> </w:t>
      </w:r>
      <w:r w:rsidRPr="00BB402A">
        <w:rPr>
          <w:b/>
          <w:bCs/>
          <w:color w:val="000000" w:themeColor="text1"/>
          <w:szCs w:val="28"/>
        </w:rPr>
        <w:t>Minētais tiek apstiprināts arī juridiskajā literatūrā</w:t>
      </w:r>
      <w:r w:rsidRPr="00BB402A">
        <w:rPr>
          <w:b/>
          <w:bCs/>
          <w:color w:val="000000" w:themeColor="text1"/>
          <w:szCs w:val="28"/>
          <w:vertAlign w:val="superscript"/>
        </w:rPr>
        <w:footnoteReference w:id="10"/>
      </w:r>
      <w:r w:rsidRPr="00BB402A">
        <w:rPr>
          <w:b/>
          <w:bCs/>
          <w:color w:val="000000" w:themeColor="text1"/>
          <w:szCs w:val="28"/>
        </w:rPr>
        <w:t>, kur analizēts Polijas izvēlētais mantojuma tiesību attīstības ceļš ieviest mantojuma regulējumā ierobežotu mantinieku atbildību pret mantojuma atstājēja kreditoriem kā vienīgo mantinieku atbildības modeli.</w:t>
      </w:r>
      <w:r w:rsidRPr="00BB402A">
        <w:rPr>
          <w:color w:val="000000" w:themeColor="text1"/>
          <w:szCs w:val="28"/>
        </w:rPr>
        <w:t xml:space="preserve"> </w:t>
      </w:r>
      <w:r w:rsidRPr="00BB402A">
        <w:rPr>
          <w:b/>
          <w:bCs/>
          <w:color w:val="000000" w:themeColor="text1"/>
          <w:szCs w:val="28"/>
        </w:rPr>
        <w:t xml:space="preserve">Arī Darba grupā tika izvērtēts šīs modelis, kas ieviests Polijas tiesību sistēmā un veiksmīgi darbojas jau kādu laiku, un tika konstatēts, ka tieši šis ir modelis, kas vislabāk panāktu vēlamo efektu attiecībā uz pieņemto mantojuma lietu skaita palielināšanu, mantas ātru atgriešanu civiltiesiskajā apgrozība un skaidras mantinieku atbildības noteikšanu, turklāt saglabājot jau Civillikumā esošos principus (mantojuma pieņemšana ar inventāra tiesību). </w:t>
      </w:r>
    </w:p>
    <w:p w14:paraId="785202AA" w14:textId="77777777" w:rsidR="00BB402A" w:rsidRPr="00BB402A" w:rsidRDefault="00BB402A" w:rsidP="00BB402A">
      <w:pPr>
        <w:ind w:left="360"/>
        <w:rPr>
          <w:color w:val="000000" w:themeColor="text1"/>
          <w:szCs w:val="28"/>
        </w:rPr>
      </w:pPr>
      <w:r w:rsidRPr="00BB402A">
        <w:rPr>
          <w:color w:val="000000" w:themeColor="text1"/>
          <w:szCs w:val="28"/>
        </w:rPr>
        <w:t>Ievērojot visu minēto, ar Likumprojektu atbilstoši Darba grupas atbalstītajam konceptam tiek ieviesti šādi jauninājumi pastāvošās mantinieku atbildības sistēmas ietvaros:</w:t>
      </w:r>
    </w:p>
    <w:p w14:paraId="7D3D2AF7" w14:textId="77777777" w:rsidR="00BB402A" w:rsidRPr="00BB402A" w:rsidRDefault="00BB402A" w:rsidP="00BB402A">
      <w:pPr>
        <w:numPr>
          <w:ilvl w:val="0"/>
          <w:numId w:val="3"/>
        </w:numPr>
        <w:rPr>
          <w:color w:val="000000" w:themeColor="text1"/>
          <w:szCs w:val="28"/>
        </w:rPr>
      </w:pPr>
      <w:r w:rsidRPr="00BB402A">
        <w:rPr>
          <w:color w:val="000000" w:themeColor="text1"/>
          <w:szCs w:val="28"/>
        </w:rPr>
        <w:t>tiek paredzēts, ka mantinieki pieņem mantojumu tikai ar ierobežotu atbildību (inventāra tiesību). Proti, mantinieki par mantojuma atstājēja parādiem atbild tikai ar mantojumā ietilpstošo mantu/tās apmērā;</w:t>
      </w:r>
    </w:p>
    <w:p w14:paraId="2EA645A2" w14:textId="77777777" w:rsidR="00BB402A" w:rsidRPr="00BB402A" w:rsidRDefault="00BB402A" w:rsidP="00BB402A">
      <w:pPr>
        <w:numPr>
          <w:ilvl w:val="0"/>
          <w:numId w:val="3"/>
        </w:numPr>
        <w:rPr>
          <w:color w:val="000000" w:themeColor="text1"/>
          <w:szCs w:val="28"/>
        </w:rPr>
      </w:pPr>
      <w:r w:rsidRPr="00BB402A">
        <w:rPr>
          <w:color w:val="000000" w:themeColor="text1"/>
          <w:szCs w:val="28"/>
        </w:rPr>
        <w:lastRenderedPageBreak/>
        <w:t>jēdziens "mantot ar inventāra tiesību" tiek izslēgts no Civillikuma, jo mantošana ar ierobežotu atbildību būs vienīgais mantošanas veids - līdz ar to tam vairs nav nepieciešams speciāls jēdziens;</w:t>
      </w:r>
    </w:p>
    <w:p w14:paraId="3BCA3417" w14:textId="77777777" w:rsidR="00BB402A" w:rsidRPr="00BB402A" w:rsidRDefault="00BB402A" w:rsidP="00BB402A">
      <w:pPr>
        <w:numPr>
          <w:ilvl w:val="0"/>
          <w:numId w:val="3"/>
        </w:numPr>
        <w:rPr>
          <w:color w:val="000000" w:themeColor="text1"/>
          <w:szCs w:val="28"/>
        </w:rPr>
      </w:pPr>
      <w:r w:rsidRPr="00BB402A">
        <w:rPr>
          <w:color w:val="000000" w:themeColor="text1"/>
          <w:szCs w:val="28"/>
        </w:rPr>
        <w:t>mantinieki par mantojuma atstājēja kreditoru prasījumiem atbild ar mantojuma masā ietilpstošo mantu. Savukārt, ja mantinieki patur mantojuma masā ietilpstošo mantu, tad noteicošā paturētās mantas vērtība ir tā, kas iekļauta mantojuma sarakstā. Vienlaikus kreditoriem noteiktos gadījumos ir tiesības pierādīt citu mantas vērtību;</w:t>
      </w:r>
    </w:p>
    <w:p w14:paraId="573D20D5" w14:textId="77777777" w:rsidR="00BB402A" w:rsidRPr="00BB402A" w:rsidRDefault="00BB402A" w:rsidP="00BB402A">
      <w:pPr>
        <w:numPr>
          <w:ilvl w:val="0"/>
          <w:numId w:val="3"/>
        </w:numPr>
        <w:rPr>
          <w:color w:val="000000" w:themeColor="text1"/>
          <w:szCs w:val="28"/>
        </w:rPr>
      </w:pPr>
      <w:r w:rsidRPr="00BB402A">
        <w:rPr>
          <w:color w:val="000000" w:themeColor="text1"/>
          <w:szCs w:val="28"/>
        </w:rPr>
        <w:t>attiecībā uz mantas bojā eju mantinieku atbildība nosakāma pēc analoģijas kā Civillikuma 492. pantā noteiktā pirmmantinieku atbildība;</w:t>
      </w:r>
    </w:p>
    <w:p w14:paraId="5F217A59" w14:textId="77777777" w:rsidR="00BB402A" w:rsidRPr="00BB402A" w:rsidRDefault="00BB402A" w:rsidP="00BB402A">
      <w:pPr>
        <w:numPr>
          <w:ilvl w:val="0"/>
          <w:numId w:val="3"/>
        </w:numPr>
        <w:rPr>
          <w:color w:val="000000" w:themeColor="text1"/>
          <w:szCs w:val="28"/>
        </w:rPr>
      </w:pPr>
      <w:r w:rsidRPr="00BB402A">
        <w:rPr>
          <w:color w:val="000000" w:themeColor="text1"/>
          <w:szCs w:val="28"/>
        </w:rPr>
        <w:t>Civillikumā jālieto vienots jēdziens – "mantojuma saraksts" inventāra saraksta vietā;</w:t>
      </w:r>
    </w:p>
    <w:p w14:paraId="225F828C" w14:textId="77777777" w:rsidR="00BB402A" w:rsidRPr="00BB402A" w:rsidRDefault="00BB402A" w:rsidP="00BB402A">
      <w:pPr>
        <w:numPr>
          <w:ilvl w:val="0"/>
          <w:numId w:val="3"/>
        </w:numPr>
        <w:rPr>
          <w:color w:val="000000" w:themeColor="text1"/>
          <w:szCs w:val="28"/>
        </w:rPr>
      </w:pPr>
      <w:r w:rsidRPr="00BB402A">
        <w:rPr>
          <w:b/>
          <w:bCs/>
          <w:color w:val="000000" w:themeColor="text1"/>
          <w:szCs w:val="28"/>
        </w:rPr>
        <w:t>ja tiek atsavināta mantojuma masā ietilpstošā manta, tad noteicošā mantas vērtība ir parastā vērtība vai mantojuma sarakstā norādītā vērtība, atkarībā no tā, kura augstāka. Mantiniekam pienākums atsavināt mantu par augstāko cenu</w:t>
      </w:r>
      <w:r w:rsidRPr="00BB402A">
        <w:rPr>
          <w:color w:val="000000" w:themeColor="text1"/>
          <w:szCs w:val="28"/>
        </w:rPr>
        <w:t>;</w:t>
      </w:r>
    </w:p>
    <w:p w14:paraId="45200302" w14:textId="77777777" w:rsidR="00BB402A" w:rsidRPr="00BB402A" w:rsidRDefault="00BB402A" w:rsidP="00BB402A">
      <w:pPr>
        <w:numPr>
          <w:ilvl w:val="0"/>
          <w:numId w:val="3"/>
        </w:numPr>
        <w:rPr>
          <w:color w:val="000000" w:themeColor="text1"/>
          <w:szCs w:val="28"/>
        </w:rPr>
      </w:pPr>
      <w:r w:rsidRPr="00BB402A">
        <w:rPr>
          <w:b/>
          <w:bCs/>
          <w:color w:val="000000" w:themeColor="text1"/>
          <w:szCs w:val="28"/>
        </w:rPr>
        <w:t>mantojuma atstājēja kreditoriem priekšroka pār legatāriem</w:t>
      </w:r>
      <w:r w:rsidRPr="00BB402A">
        <w:rPr>
          <w:color w:val="000000" w:themeColor="text1"/>
          <w:szCs w:val="28"/>
        </w:rPr>
        <w:t>;</w:t>
      </w:r>
    </w:p>
    <w:p w14:paraId="78204EDF" w14:textId="77777777" w:rsidR="00BB402A" w:rsidRPr="00BB402A" w:rsidRDefault="00BB402A" w:rsidP="00BB402A">
      <w:pPr>
        <w:numPr>
          <w:ilvl w:val="0"/>
          <w:numId w:val="3"/>
        </w:numPr>
        <w:rPr>
          <w:color w:val="000000" w:themeColor="text1"/>
          <w:szCs w:val="28"/>
        </w:rPr>
      </w:pPr>
      <w:r w:rsidRPr="00BB402A">
        <w:rPr>
          <w:b/>
          <w:bCs/>
          <w:color w:val="000000" w:themeColor="text1"/>
          <w:szCs w:val="28"/>
        </w:rPr>
        <w:t xml:space="preserve">mantojuma sarakstu varēs sastādīt mantinieki kopā ar zvērinātu notāru (notāri iekļauj ziņas mantojuma sarakstā par publiskajos reģistros esošo mirušā mantu, ko tiem saskaņā ar saistītā likumprojekta "Grozījumi Notariāta likumā" turpmāk būs jāpārbauda) </w:t>
      </w:r>
      <w:r w:rsidRPr="00BB402A">
        <w:rPr>
          <w:color w:val="000000" w:themeColor="text1"/>
          <w:szCs w:val="28"/>
        </w:rPr>
        <w:t>vai zvērināts tiesu izpildītājs. Mantojuma sarakstu sastāda atbilstoši Ministru kabineta noteikumiem</w:t>
      </w:r>
      <w:r w:rsidRPr="00BB402A">
        <w:rPr>
          <w:color w:val="000000" w:themeColor="text1"/>
          <w:szCs w:val="28"/>
          <w:vertAlign w:val="superscript"/>
        </w:rPr>
        <w:footnoteReference w:id="11"/>
      </w:r>
      <w:r w:rsidRPr="00BB402A">
        <w:rPr>
          <w:color w:val="000000" w:themeColor="text1"/>
          <w:szCs w:val="28"/>
        </w:rPr>
        <w:t xml:space="preserve"> (turpmāk - MK noteikumi Nr.618), zvērināti tiesu izpildītāji (turpmāk arī – ZTI) – atbilstoši to amatu regulējušajiem normatīvajiem aktiem;</w:t>
      </w:r>
    </w:p>
    <w:p w14:paraId="0A7EB77A" w14:textId="77777777" w:rsidR="00BB402A" w:rsidRPr="00BB402A" w:rsidRDefault="00BB402A" w:rsidP="00BB402A">
      <w:pPr>
        <w:numPr>
          <w:ilvl w:val="0"/>
          <w:numId w:val="3"/>
        </w:numPr>
        <w:rPr>
          <w:color w:val="000000" w:themeColor="text1"/>
          <w:szCs w:val="28"/>
        </w:rPr>
      </w:pPr>
      <w:r w:rsidRPr="00BB402A">
        <w:rPr>
          <w:color w:val="000000" w:themeColor="text1"/>
          <w:szCs w:val="28"/>
        </w:rPr>
        <w:t xml:space="preserve">tiek nodrošināta iespēja mantojuma atstājēja kreditoriem, </w:t>
      </w:r>
      <w:r w:rsidRPr="00BB402A">
        <w:rPr>
          <w:b/>
          <w:bCs/>
          <w:color w:val="000000" w:themeColor="text1"/>
          <w:szCs w:val="28"/>
        </w:rPr>
        <w:t>kas pieteikuši kreditora pretenziju vai par kuriem ziņas mantojuma lietā iekļāvis notārs,</w:t>
      </w:r>
      <w:r w:rsidRPr="00BB402A">
        <w:rPr>
          <w:color w:val="000000" w:themeColor="text1"/>
          <w:szCs w:val="28"/>
        </w:rPr>
        <w:t xml:space="preserve"> iepazīties ar mantojuma masas sastāvu (mantojuma sarakstu) un pieteiktajām pretenzijām, kreditori šo iespēju var izmantot, pieprasot informāciju notāram pēc tam, </w:t>
      </w:r>
      <w:r w:rsidRPr="00BB402A">
        <w:rPr>
          <w:b/>
          <w:bCs/>
          <w:color w:val="000000" w:themeColor="text1"/>
          <w:szCs w:val="28"/>
        </w:rPr>
        <w:t>kad notecējis kreditoriem atvēlētais sludinājuma par mantojuma atklāšanos termiņš</w:t>
      </w:r>
      <w:r w:rsidRPr="00BB402A">
        <w:rPr>
          <w:color w:val="000000" w:themeColor="text1"/>
          <w:szCs w:val="28"/>
        </w:rPr>
        <w:t>;</w:t>
      </w:r>
    </w:p>
    <w:p w14:paraId="3A517D8A" w14:textId="77777777" w:rsidR="00BB402A" w:rsidRPr="00BB402A" w:rsidRDefault="00BB402A" w:rsidP="00BB402A">
      <w:pPr>
        <w:numPr>
          <w:ilvl w:val="0"/>
          <w:numId w:val="3"/>
        </w:numPr>
        <w:rPr>
          <w:color w:val="000000" w:themeColor="text1"/>
          <w:szCs w:val="28"/>
        </w:rPr>
      </w:pPr>
      <w:r w:rsidRPr="00BB402A">
        <w:rPr>
          <w:color w:val="000000" w:themeColor="text1"/>
          <w:szCs w:val="28"/>
        </w:rPr>
        <w:t xml:space="preserve">mantojuma atstājēja kreditoriem ir tiesības prasīt mantojuma saraksta sastādīšanu pie zvērināta tiesu izpildītāja, lai noskaidrotu pilnu mantojuma masas sastāvu un mantojuma vērtību; </w:t>
      </w:r>
    </w:p>
    <w:p w14:paraId="6349F624" w14:textId="77777777" w:rsidR="00BB402A" w:rsidRPr="00BB402A" w:rsidRDefault="00BB402A" w:rsidP="00BB402A">
      <w:pPr>
        <w:numPr>
          <w:ilvl w:val="0"/>
          <w:numId w:val="3"/>
        </w:numPr>
        <w:rPr>
          <w:color w:val="000000" w:themeColor="text1"/>
          <w:szCs w:val="28"/>
        </w:rPr>
      </w:pPr>
      <w:r w:rsidRPr="00BB402A">
        <w:rPr>
          <w:color w:val="000000" w:themeColor="text1"/>
          <w:szCs w:val="28"/>
        </w:rPr>
        <w:t>kreditora izdevumi, kas saistīti ar ZTI sastādītu mantojuma sarakstu būtu atzīstami par izdevumiem, kas saistīti ar mantojuma lietas vešanu (atlīdzināmi pirms kreditoru pretenziju apmierināšanas);</w:t>
      </w:r>
    </w:p>
    <w:p w14:paraId="2774A935" w14:textId="77777777" w:rsidR="00BB402A" w:rsidRPr="00BB402A" w:rsidRDefault="00BB402A" w:rsidP="00BB402A">
      <w:pPr>
        <w:numPr>
          <w:ilvl w:val="0"/>
          <w:numId w:val="3"/>
        </w:numPr>
        <w:rPr>
          <w:color w:val="000000" w:themeColor="text1"/>
          <w:szCs w:val="28"/>
        </w:rPr>
      </w:pPr>
      <w:r w:rsidRPr="00BB402A">
        <w:rPr>
          <w:color w:val="000000" w:themeColor="text1"/>
          <w:szCs w:val="28"/>
        </w:rPr>
        <w:t>mantojuma lietā ir tikai viens mantojuma saraksts, ko sastādījuši mantinieki ar notāru vai ZTI. Ja viens ZTI jau ir sastādījis mantojuma sarakstu, tad cits mantojuma saraksts par konkrēto mantojumu vairs nevar tikt sastādīts;</w:t>
      </w:r>
    </w:p>
    <w:p w14:paraId="418C1FD5" w14:textId="77777777" w:rsidR="00BB402A" w:rsidRPr="00BB402A" w:rsidRDefault="00BB402A" w:rsidP="00BB402A">
      <w:pPr>
        <w:numPr>
          <w:ilvl w:val="0"/>
          <w:numId w:val="3"/>
        </w:numPr>
        <w:rPr>
          <w:color w:val="000000" w:themeColor="text1"/>
          <w:szCs w:val="28"/>
        </w:rPr>
      </w:pPr>
      <w:r w:rsidRPr="00BB402A">
        <w:rPr>
          <w:color w:val="000000" w:themeColor="text1"/>
          <w:szCs w:val="28"/>
        </w:rPr>
        <w:t xml:space="preserve">notārs izdod vienu (pirmajam prasītājam) aicinājumu zvērinātam tiesu izpildītājam sastādīt mantojuma sarakstu. Ja pēc tam pie notāra vēršas citas </w:t>
      </w:r>
      <w:r w:rsidRPr="00BB402A">
        <w:rPr>
          <w:color w:val="000000" w:themeColor="text1"/>
          <w:szCs w:val="28"/>
        </w:rPr>
        <w:lastRenderedPageBreak/>
        <w:t>ieinteresētās personas ar lūgumu uzdot zvērinātam tiesu izpildītājam sastādīt mantojuma sarakstu, notārs informē, ka mantojuma sarakstu jau uzdots sastādīt konkrētam zvērinātam tiesu izpildītājam, pie kura tad arī var vērsties pārējās ieinteresētās personas. Savukārt, ja persona, kas prasījusi uzdot zvērinātam tiesu izpildītājam sastādīt mantojuma sarakstu, nemaksā par saraksta sastādīšanu, pārējām ieinteresētajām personām ir tiesības veikt samaksu par mantojuma saraksta sastādīšanu, to var veikt gan individuāli vai kopīgi pēc ieinteresēto personu vienošanās;</w:t>
      </w:r>
    </w:p>
    <w:p w14:paraId="37AE1675" w14:textId="77777777" w:rsidR="00BB402A" w:rsidRPr="00BB402A" w:rsidRDefault="00BB402A" w:rsidP="00BB402A">
      <w:pPr>
        <w:numPr>
          <w:ilvl w:val="0"/>
          <w:numId w:val="3"/>
        </w:numPr>
        <w:rPr>
          <w:color w:val="000000" w:themeColor="text1"/>
          <w:szCs w:val="28"/>
        </w:rPr>
      </w:pPr>
      <w:r w:rsidRPr="00BB402A">
        <w:rPr>
          <w:color w:val="000000" w:themeColor="text1"/>
          <w:szCs w:val="28"/>
        </w:rPr>
        <w:t>pēc mantojuma lietas pabeigšanas mantojuma sarakstu var papildināt tikai, pierādot izmaiņu nepieciešamību un pamatotību (mantojuma masā) tiesvedības ceļā;</w:t>
      </w:r>
    </w:p>
    <w:p w14:paraId="2CA04572" w14:textId="77777777" w:rsidR="00BB402A" w:rsidRPr="00BB402A" w:rsidRDefault="00BB402A" w:rsidP="00BB402A">
      <w:pPr>
        <w:numPr>
          <w:ilvl w:val="0"/>
          <w:numId w:val="3"/>
        </w:numPr>
        <w:rPr>
          <w:color w:val="000000" w:themeColor="text1"/>
          <w:szCs w:val="28"/>
        </w:rPr>
      </w:pPr>
      <w:r w:rsidRPr="00BB402A">
        <w:rPr>
          <w:color w:val="000000" w:themeColor="text1"/>
          <w:szCs w:val="28"/>
        </w:rPr>
        <w:t xml:space="preserve">kreditoram ir tiesības apstrīdēt mantojuma sarakstā norādītas mantas vērtību tikai, ja to novērtējis pats mantinieks. Tiesības neattiecas uz tādu mantu, ko jau vērtējis eksperts. Ja mantojuma lietā ir divi mantojuma saraksti – </w:t>
      </w:r>
      <w:r w:rsidRPr="00BB402A">
        <w:rPr>
          <w:b/>
          <w:bCs/>
          <w:color w:val="000000" w:themeColor="text1"/>
          <w:szCs w:val="28"/>
        </w:rPr>
        <w:t>notāra un mantinieku sastādītais</w:t>
      </w:r>
      <w:r w:rsidRPr="00BB402A">
        <w:rPr>
          <w:color w:val="000000" w:themeColor="text1"/>
          <w:szCs w:val="28"/>
        </w:rPr>
        <w:t xml:space="preserve"> un sastādīts pie ZTI, tad par noteicošo uzskatāms tas mantojuma saraksts, ko sastādījis ZTI;</w:t>
      </w:r>
    </w:p>
    <w:p w14:paraId="1B94F012" w14:textId="77777777" w:rsidR="00BB402A" w:rsidRPr="00BB402A" w:rsidRDefault="00BB402A" w:rsidP="00BB402A">
      <w:pPr>
        <w:numPr>
          <w:ilvl w:val="0"/>
          <w:numId w:val="3"/>
        </w:numPr>
        <w:rPr>
          <w:color w:val="000000" w:themeColor="text1"/>
          <w:szCs w:val="28"/>
        </w:rPr>
      </w:pPr>
      <w:r w:rsidRPr="00BB402A">
        <w:rPr>
          <w:color w:val="000000" w:themeColor="text1"/>
          <w:szCs w:val="28"/>
        </w:rPr>
        <w:t>mantojuma masas vērtība nosakāma uz mantojuma atklāšanās brīdi;</w:t>
      </w:r>
    </w:p>
    <w:p w14:paraId="3BCAAB38" w14:textId="77777777" w:rsidR="00BB402A" w:rsidRPr="00BB402A" w:rsidRDefault="00BB402A" w:rsidP="00BB402A">
      <w:pPr>
        <w:numPr>
          <w:ilvl w:val="0"/>
          <w:numId w:val="3"/>
        </w:numPr>
        <w:rPr>
          <w:color w:val="000000" w:themeColor="text1"/>
          <w:szCs w:val="28"/>
        </w:rPr>
      </w:pPr>
      <w:r w:rsidRPr="00BB402A">
        <w:rPr>
          <w:color w:val="000000" w:themeColor="text1"/>
          <w:szCs w:val="28"/>
        </w:rPr>
        <w:t>mantinieki atbild tikai ar mantojumā ietilpstošo mantu. Kad visa manta realizēta, tad izpildu lieta izbeidzas. Savukārt, ja mantinieks grib paturēt mantojuma masā ietilpstošo mantu, tad mantinieks atbild mantojuma sarakstā norādītās vērtības apmērā (vērtība norādāma uz mantojuma atklāšanās brīdi).</w:t>
      </w:r>
    </w:p>
    <w:p w14:paraId="69176486" w14:textId="77777777" w:rsidR="00BB402A" w:rsidRPr="00BB402A" w:rsidRDefault="00BB402A" w:rsidP="00BB402A">
      <w:pPr>
        <w:ind w:left="360"/>
        <w:rPr>
          <w:b/>
          <w:bCs/>
          <w:color w:val="000000" w:themeColor="text1"/>
          <w:szCs w:val="28"/>
        </w:rPr>
      </w:pPr>
      <w:r w:rsidRPr="00BB402A">
        <w:rPr>
          <w:b/>
          <w:bCs/>
          <w:color w:val="000000" w:themeColor="text1"/>
          <w:szCs w:val="28"/>
        </w:rPr>
        <w:t xml:space="preserve">Līdz ar ko Tieslietu ministrijas ieskatā mantošanas reformas īstenošanas ietvaros viens no galvenajiem uzlabojumiem, kas ar reformu tiek veikts, attiecībā uz mantiniekiem ir mantinieku ierobežotā atbildība pret mantojuma atstājēja kreditoriem (mantojumu pieņēmušo mantinieku atbildība nepārsniedz pieņemtā mantojuma vērtību un tie neatbild par mantojuma atstājēja parādiem ar savu mantu). </w:t>
      </w:r>
    </w:p>
    <w:p w14:paraId="6A95F301" w14:textId="77777777" w:rsidR="0076024F" w:rsidRPr="00831FA2" w:rsidRDefault="0076024F" w:rsidP="00831FA2">
      <w:pPr>
        <w:ind w:left="360"/>
        <w:rPr>
          <w:i/>
          <w:color w:val="000000" w:themeColor="text1"/>
          <w:sz w:val="20"/>
        </w:rPr>
      </w:pPr>
    </w:p>
    <w:p w14:paraId="68539682" w14:textId="77777777" w:rsidR="00831FA2" w:rsidRPr="00C82B48" w:rsidRDefault="00831FA2" w:rsidP="00831FA2">
      <w:pPr>
        <w:rPr>
          <w:color w:val="000000" w:themeColor="text1"/>
        </w:rPr>
      </w:pPr>
      <w:r w:rsidRPr="00C82B48">
        <w:rPr>
          <w:b/>
          <w:color w:val="000000" w:themeColor="text1"/>
        </w:rPr>
        <w:t>Risinājuma apraksts</w:t>
      </w:r>
    </w:p>
    <w:tbl>
      <w:tblPr>
        <w:tblStyle w:val="TableGrid"/>
        <w:tblW w:w="0" w:type="auto"/>
        <w:tblLook w:val="04A0" w:firstRow="1" w:lastRow="0" w:firstColumn="1" w:lastColumn="0" w:noHBand="0" w:noVBand="1"/>
      </w:tblPr>
      <w:tblGrid>
        <w:gridCol w:w="9632"/>
      </w:tblGrid>
      <w:tr w:rsidR="00831FA2" w:rsidRPr="00C82B48" w14:paraId="4E4C0802" w14:textId="77777777" w:rsidTr="00CD023C">
        <w:tc>
          <w:tcPr>
            <w:tcW w:w="9632" w:type="dxa"/>
          </w:tcPr>
          <w:p w14:paraId="5CEF4712" w14:textId="77777777" w:rsidR="00BB402A" w:rsidRPr="00BB402A" w:rsidRDefault="00BB402A" w:rsidP="00BB402A">
            <w:pPr>
              <w:rPr>
                <w:iCs/>
                <w:color w:val="000000" w:themeColor="text1"/>
              </w:rPr>
            </w:pPr>
            <w:r w:rsidRPr="00BB402A">
              <w:rPr>
                <w:iCs/>
                <w:color w:val="000000" w:themeColor="text1"/>
              </w:rPr>
              <w:t>Ievērojot visu minēto, Likumprojekts attiecībā uz mantinieku atbildību pret mantojuma atstājēja kreditoriem paredz izdarīt sekojošus grozījumus Civillikumā (panti norādīti secīgi).</w:t>
            </w:r>
          </w:p>
          <w:p w14:paraId="62866F34" w14:textId="77777777" w:rsidR="00BB402A" w:rsidRPr="00BB402A" w:rsidRDefault="00BB402A" w:rsidP="00BB402A">
            <w:pPr>
              <w:rPr>
                <w:b/>
                <w:bCs/>
                <w:iCs/>
                <w:color w:val="000000" w:themeColor="text1"/>
              </w:rPr>
            </w:pPr>
            <w:r w:rsidRPr="00BB402A">
              <w:rPr>
                <w:b/>
                <w:bCs/>
                <w:iCs/>
                <w:color w:val="000000" w:themeColor="text1"/>
              </w:rPr>
              <w:t>1. Grozīts Civillikuma 583. pants. Šobrīd 583. pants nepārprotamā veidā paredz legatāru atbildību par mantojuma atstājēja parādiem tikai gadījumā, ja nav neviena mantinieka, t.i., viss mantojums sastāv tikai no legātiem. Norāde "ja legāti pārsniedz mantojuma vērtību" varētu būt ņemama vērā, kad mantinieks bijis aicināts mantot, bet no mantojuma atteicies, vai kaut kādu iemeslu dēļ nevar mantot, un mantojuma daļā kā bezmantinieka manta piekrīt valstij.</w:t>
            </w:r>
            <w:r w:rsidRPr="00BB402A">
              <w:rPr>
                <w:b/>
                <w:bCs/>
                <w:iCs/>
                <w:color w:val="000000" w:themeColor="text1"/>
                <w:vertAlign w:val="superscript"/>
              </w:rPr>
              <w:footnoteReference w:id="12"/>
            </w:r>
            <w:r w:rsidRPr="00BB402A">
              <w:rPr>
                <w:iCs/>
                <w:color w:val="000000" w:themeColor="text1"/>
              </w:rPr>
              <w:t xml:space="preserve"> </w:t>
            </w:r>
            <w:r w:rsidRPr="00BB402A">
              <w:rPr>
                <w:b/>
                <w:bCs/>
                <w:iCs/>
                <w:color w:val="000000" w:themeColor="text1"/>
              </w:rPr>
              <w:t xml:space="preserve">Ņemot vērā, ka ar Likumprojektu paredzēts ieviest atbildības limitu par mantojuma atstājēja parādiem ar mantojumā ietilpstošo mantu, tad kreditoru aizsardzībai nepieciešams noteikt, ka mantojuma atstājēja kreditoriem ir priekšroka pret legatāriem visos gadījumos. Ievērojot minēto </w:t>
            </w:r>
            <w:r w:rsidRPr="00BB402A">
              <w:rPr>
                <w:b/>
                <w:bCs/>
                <w:iCs/>
                <w:color w:val="000000" w:themeColor="text1"/>
              </w:rPr>
              <w:lastRenderedPageBreak/>
              <w:t>attiecīgi papildināts Civillikuma 583, faktiski izsakot to sākotnējā (Vietējo Civillikuma kopojuma  2666.p.) redakcijā.</w:t>
            </w:r>
          </w:p>
          <w:p w14:paraId="5A650CC9" w14:textId="77777777" w:rsidR="00BB402A" w:rsidRPr="00BB402A" w:rsidRDefault="00BB402A" w:rsidP="00BB402A">
            <w:pPr>
              <w:rPr>
                <w:iCs/>
                <w:color w:val="000000" w:themeColor="text1"/>
              </w:rPr>
            </w:pPr>
            <w:r w:rsidRPr="00BB402A">
              <w:rPr>
                <w:b/>
                <w:bCs/>
                <w:iCs/>
                <w:color w:val="000000" w:themeColor="text1"/>
              </w:rPr>
              <w:t>2. Civillikums papildināts ar 696.</w:t>
            </w:r>
            <w:r w:rsidRPr="00BB402A">
              <w:rPr>
                <w:b/>
                <w:bCs/>
                <w:iCs/>
                <w:color w:val="000000" w:themeColor="text1"/>
                <w:vertAlign w:val="superscript"/>
              </w:rPr>
              <w:t>1</w:t>
            </w:r>
            <w:r w:rsidRPr="00BB402A">
              <w:rPr>
                <w:b/>
                <w:bCs/>
                <w:iCs/>
                <w:color w:val="000000" w:themeColor="text1"/>
              </w:rPr>
              <w:t> pantu.</w:t>
            </w:r>
            <w:r w:rsidRPr="00BB402A">
              <w:rPr>
                <w:iCs/>
                <w:color w:val="000000" w:themeColor="text1"/>
              </w:rPr>
              <w:t xml:space="preserve"> Šobrīd mantinieku pienākums iesniegt mantojuma sarakstu notāram ir noregulēts Ministru kabineta līmenī</w:t>
            </w:r>
            <w:r w:rsidRPr="00BB402A">
              <w:rPr>
                <w:iCs/>
                <w:color w:val="000000" w:themeColor="text1"/>
                <w:vertAlign w:val="superscript"/>
              </w:rPr>
              <w:footnoteReference w:id="13"/>
            </w:r>
            <w:r w:rsidRPr="00BB402A">
              <w:rPr>
                <w:iCs/>
                <w:color w:val="000000" w:themeColor="text1"/>
              </w:rPr>
              <w:t>. Darba grupai apspriežoties, secināts, ka, ņemot vērā mantojuma saraksta nozīmīgo lomu mantošanas procesā, atsevišķus aspektus attiecībā uz mantojuma saraksta sastādīšanu turpmāk nepieciešams noregulēt likuma līmenī. Proti, mantojuma saraksta nozīmīgums mantošanas procesā ir saistāms ar to, ka tajā norādītā manta un tās vērtība kalpo tam, lai noteiktu mantinieku atbildības slieksni un uzskaitītu zināmo mantu, ar ko tas atbild.</w:t>
            </w:r>
          </w:p>
          <w:p w14:paraId="71A84E43" w14:textId="77777777" w:rsidR="00BB402A" w:rsidRPr="00BB402A" w:rsidRDefault="00BB402A" w:rsidP="00BB402A">
            <w:pPr>
              <w:rPr>
                <w:iCs/>
                <w:color w:val="000000" w:themeColor="text1"/>
              </w:rPr>
            </w:pPr>
            <w:r w:rsidRPr="00BB402A">
              <w:rPr>
                <w:iCs/>
                <w:color w:val="000000" w:themeColor="text1"/>
              </w:rPr>
              <w:t>Likumprojektā ietvertais regulējums paredz, ka katrā mantojuma lietā būs viens mantojuma saraksts. Tāpat kā spēkā esošajā regulējumā, Likumprojektā saglabāta iespēja mantiniekiem pašiem sastādīt mantojuma sarakstu, norādot ziņas par tiem zināmo mirušā mantu, ar nosacījumu, ka tas tiek darīts saskaņā ar Ministru kabineta noteikumiem</w:t>
            </w:r>
            <w:r w:rsidRPr="00BB402A">
              <w:rPr>
                <w:iCs/>
                <w:color w:val="000000" w:themeColor="text1"/>
                <w:vertAlign w:val="superscript"/>
              </w:rPr>
              <w:footnoteReference w:id="14"/>
            </w:r>
            <w:r w:rsidRPr="00BB402A">
              <w:rPr>
                <w:iCs/>
                <w:color w:val="000000" w:themeColor="text1"/>
              </w:rPr>
              <w:t xml:space="preserve">, tajā skaitā, ievērojot noteikumus par to, kā dažādām lietām nosakāma vērtība un kad vērtēšanai nepieciešams pieaicināt speciālistu. </w:t>
            </w:r>
            <w:r w:rsidRPr="00BB402A">
              <w:rPr>
                <w:b/>
                <w:bCs/>
                <w:iCs/>
                <w:color w:val="000000" w:themeColor="text1"/>
              </w:rPr>
              <w:t>Vienlaikus mantojuma saraksta sastādīšanas kārtība tiek papildināta ar to, ka turpmāk par mirušā zināmo mantu ziņas mantojuma sarakstā iekļauj notārs, kurš ved mantojuma lietu. Ar zināmo mantu jāsaprot tā manta, ko atbilstoši saistītā likumprojekta "Grozījumi Notariāta likumā" 259.</w:t>
            </w:r>
            <w:r w:rsidRPr="00BB402A">
              <w:rPr>
                <w:b/>
                <w:bCs/>
                <w:iCs/>
                <w:color w:val="000000" w:themeColor="text1"/>
                <w:vertAlign w:val="superscript"/>
              </w:rPr>
              <w:t>1</w:t>
            </w:r>
            <w:r w:rsidRPr="00BB402A">
              <w:rPr>
                <w:b/>
                <w:bCs/>
                <w:iCs/>
                <w:color w:val="000000" w:themeColor="text1"/>
              </w:rPr>
              <w:t xml:space="preserve"> pantam  turpmāk notāram būs jāapzina.</w:t>
            </w:r>
            <w:r w:rsidRPr="00BB402A">
              <w:rPr>
                <w:iCs/>
                <w:color w:val="000000" w:themeColor="text1"/>
              </w:rPr>
              <w:t xml:space="preserve"> </w:t>
            </w:r>
          </w:p>
          <w:p w14:paraId="60CF58F9" w14:textId="77777777" w:rsidR="00BB402A" w:rsidRPr="00BB402A" w:rsidRDefault="00BB402A" w:rsidP="00BB402A">
            <w:pPr>
              <w:rPr>
                <w:b/>
                <w:bCs/>
                <w:iCs/>
                <w:color w:val="000000" w:themeColor="text1"/>
              </w:rPr>
            </w:pPr>
            <w:r w:rsidRPr="00BB402A">
              <w:rPr>
                <w:b/>
                <w:bCs/>
                <w:iCs/>
                <w:color w:val="000000" w:themeColor="text1"/>
              </w:rPr>
              <w:t xml:space="preserve">Ievērojot minēto ir paredzēts, ka mantojuma saraksts turpmāk sastāvēs no: </w:t>
            </w:r>
          </w:p>
          <w:p w14:paraId="0D953362" w14:textId="77777777" w:rsidR="00BB402A" w:rsidRPr="00BB402A" w:rsidRDefault="00BB402A" w:rsidP="00BB402A">
            <w:pPr>
              <w:rPr>
                <w:b/>
                <w:bCs/>
                <w:iCs/>
                <w:color w:val="000000" w:themeColor="text1"/>
              </w:rPr>
            </w:pPr>
            <w:r w:rsidRPr="00BB402A">
              <w:rPr>
                <w:b/>
                <w:bCs/>
                <w:iCs/>
                <w:color w:val="000000" w:themeColor="text1"/>
              </w:rPr>
              <w:t>"A" daļas – ziņas par publiskajos reģistros esošo mantu, kas piederējusi mantojuma atstājējam, ko pārbauda un mantojuma saraksta iekļauj notārs tiklīdz tiek uzsākta mantojuma lieta;</w:t>
            </w:r>
          </w:p>
          <w:p w14:paraId="2FE0F1CC" w14:textId="77777777" w:rsidR="00BB402A" w:rsidRPr="00BB402A" w:rsidRDefault="00BB402A" w:rsidP="00BB402A">
            <w:pPr>
              <w:rPr>
                <w:b/>
                <w:bCs/>
                <w:iCs/>
                <w:color w:val="000000" w:themeColor="text1"/>
              </w:rPr>
            </w:pPr>
            <w:r w:rsidRPr="00BB402A">
              <w:rPr>
                <w:b/>
                <w:bCs/>
                <w:iCs/>
                <w:color w:val="000000" w:themeColor="text1"/>
              </w:rPr>
              <w:t>"B" daļas – ziņas par mantojuma atstājējam piederējušo mantu, ko norāda mantinieki, kas iesnieguši mantojuma iesniegumu;</w:t>
            </w:r>
          </w:p>
          <w:p w14:paraId="63A8E59D" w14:textId="77777777" w:rsidR="00BB402A" w:rsidRPr="00BB402A" w:rsidRDefault="00BB402A" w:rsidP="00BB402A">
            <w:pPr>
              <w:rPr>
                <w:b/>
                <w:bCs/>
                <w:iCs/>
                <w:color w:val="000000" w:themeColor="text1"/>
              </w:rPr>
            </w:pPr>
            <w:r w:rsidRPr="00BB402A">
              <w:rPr>
                <w:b/>
                <w:bCs/>
                <w:iCs/>
                <w:color w:val="000000" w:themeColor="text1"/>
              </w:rPr>
              <w:t>"C" daļas – ziņas par mantojuma atstājējam piederējušo mantu, kas atrodas ārzemēs un par ko ziņas ir norādījuši mantinieki.</w:t>
            </w:r>
          </w:p>
          <w:p w14:paraId="617DB550" w14:textId="77777777" w:rsidR="00BB402A" w:rsidRPr="00BB402A" w:rsidRDefault="00BB402A" w:rsidP="00BB402A">
            <w:pPr>
              <w:rPr>
                <w:b/>
                <w:bCs/>
                <w:iCs/>
                <w:color w:val="000000" w:themeColor="text1"/>
              </w:rPr>
            </w:pPr>
            <w:r w:rsidRPr="00BB402A">
              <w:rPr>
                <w:b/>
                <w:bCs/>
                <w:iCs/>
                <w:color w:val="000000" w:themeColor="text1"/>
              </w:rPr>
              <w:t>Nosacījumi par to, kā novērtējama manta tiks noteikti Ministru kabineta noteikumos.</w:t>
            </w:r>
          </w:p>
          <w:p w14:paraId="2EA1B2E1" w14:textId="77777777" w:rsidR="00BB402A" w:rsidRPr="00BB402A" w:rsidRDefault="00BB402A" w:rsidP="00BB402A">
            <w:pPr>
              <w:rPr>
                <w:iCs/>
                <w:color w:val="000000" w:themeColor="text1"/>
              </w:rPr>
            </w:pPr>
            <w:r w:rsidRPr="00BB402A">
              <w:rPr>
                <w:iCs/>
                <w:color w:val="000000" w:themeColor="text1"/>
              </w:rPr>
              <w:t xml:space="preserve">Savukārt, ja mantinieki nevar vienoties vai nevar atrast visu mantojuma atstājēja mantu, mantojuma saraksta sastādīšanu var uzticēt ZTI. </w:t>
            </w:r>
            <w:r w:rsidRPr="00BB402A">
              <w:rPr>
                <w:b/>
                <w:bCs/>
                <w:iCs/>
                <w:color w:val="000000" w:themeColor="text1"/>
              </w:rPr>
              <w:t>ZTI sastādot mantojuma saraksts, jāņem vērā ziņas, ko "A" daļā norādījis notārs (lai neatkārtotu jau izdarītu darbu).</w:t>
            </w:r>
          </w:p>
          <w:p w14:paraId="0C581C09" w14:textId="77777777" w:rsidR="00BB402A" w:rsidRPr="00BB402A" w:rsidRDefault="00BB402A" w:rsidP="00BB402A">
            <w:pPr>
              <w:rPr>
                <w:iCs/>
                <w:color w:val="000000" w:themeColor="text1"/>
              </w:rPr>
            </w:pPr>
            <w:r w:rsidRPr="00BB402A">
              <w:rPr>
                <w:iCs/>
                <w:color w:val="000000" w:themeColor="text1"/>
              </w:rPr>
              <w:t xml:space="preserve">Atbilstoši Darba grupas atbalstītajam modelim bāriņtiesām ir plānots mainīt kompetenci mantojuma lietās, tajā skaitā, paredzot atbrīvot bāriņtiesas no mantojuma saraksta sastādīšanas. Papildus informējam, ka atbilstošie grozījumi Bāriņtiesu likumā, kas paredzēs, ka bāriņtiesas turpmāk vairs nesastādīs inventāra sarakstus (turpmāk mantojuma sarakstus) tiks izstrādāti vēlāk ar citiem nepieciešamajiem grozījumiem Bāriņtiesu likumā (bāriņtiesu darbībā), lai nebūtu jāizstrādā vairāki </w:t>
            </w:r>
            <w:r w:rsidRPr="00BB402A">
              <w:rPr>
                <w:iCs/>
                <w:color w:val="000000" w:themeColor="text1"/>
              </w:rPr>
              <w:lastRenderedPageBreak/>
              <w:t xml:space="preserve">grozījumu likumprojekti vienā likumā paralēli un lai visi nepieciešamie grozījumi tiktu iekļauti vienā likumprojektā. </w:t>
            </w:r>
          </w:p>
          <w:p w14:paraId="2B3844E3" w14:textId="77777777" w:rsidR="00BB402A" w:rsidRPr="00BB402A" w:rsidRDefault="00BB402A" w:rsidP="00BB402A">
            <w:pPr>
              <w:rPr>
                <w:iCs/>
                <w:color w:val="000000" w:themeColor="text1"/>
              </w:rPr>
            </w:pPr>
            <w:r w:rsidRPr="00BB402A">
              <w:rPr>
                <w:iCs/>
                <w:color w:val="000000" w:themeColor="text1"/>
              </w:rPr>
              <w:t xml:space="preserve">Saskaņā ar Likumprojekta regulējumu arī kreditoriem ir tiesības lūgt notāram, lai tas uzdod mantojuma sarakstu sastādīt zvērinātam tiesu izpildītājam. Izmaksas, kas saistās ar mantojuma saraksta sastādīšanu turpmāk tiek uzskatītas par izmaksām, kas saistītas ar mantojuma lietas vešanu – sedzamas no mantojuma pirms kreditoru prasījumiem </w:t>
            </w:r>
            <w:r w:rsidRPr="00BB402A">
              <w:rPr>
                <w:i/>
                <w:color w:val="000000" w:themeColor="text1"/>
              </w:rPr>
              <w:t>(tas noregulēts ar grozījumu Civillikuma 711. pantā)</w:t>
            </w:r>
            <w:r w:rsidRPr="00BB402A">
              <w:rPr>
                <w:iCs/>
                <w:color w:val="000000" w:themeColor="text1"/>
              </w:rPr>
              <w:t xml:space="preserve">. </w:t>
            </w:r>
          </w:p>
          <w:p w14:paraId="28B7741C" w14:textId="77777777" w:rsidR="00BB402A" w:rsidRPr="00BB402A" w:rsidRDefault="00BB402A" w:rsidP="00BB402A">
            <w:pPr>
              <w:rPr>
                <w:iCs/>
                <w:color w:val="000000" w:themeColor="text1"/>
              </w:rPr>
            </w:pPr>
            <w:r w:rsidRPr="00BB402A">
              <w:rPr>
                <w:iCs/>
                <w:color w:val="000000" w:themeColor="text1"/>
              </w:rPr>
              <w:t>Visbeidzot, pants paredz, ka mantojuma vērtība norādāma uz mantojuma atklāšanās dienu. Proti, mantojuma atstājēja nāves dienu kā atskaites punktu vērtības noteikšanai jau šobrīd nosaka Civillikuma 425. pants, kas spēkā esošajā redakcijā noteic, ka neatņemamās daļas vērtība nosakāma uz testatora nāves dienu (mantojuma atklāšanos brīdi). Tāpat attiecībā uz mantojuma vērtības noteikšanu uz mantojuma atklāšanās brīdi (personas nāvi) jānorāda, ka tas atbilst vispārējam mantojuma tiesību principam, ka kreditori kā apmierinājumu saviem prasījumiem varētu dabūt tikai to, kas mantojuma atstājējam viņa nāves dienā ir piederējis un neko vairāk. Tādējādi Likumprojektā ietverts regulējums, kas paredz, ka vērtība nosakāma uz mantojuma atstājēja nāves brīdi (mantojuma atklāšanās brīdi).</w:t>
            </w:r>
          </w:p>
          <w:p w14:paraId="20EE2021" w14:textId="77777777" w:rsidR="00BB402A" w:rsidRPr="00BB402A" w:rsidRDefault="00BB402A" w:rsidP="00BB402A">
            <w:pPr>
              <w:rPr>
                <w:b/>
                <w:bCs/>
                <w:color w:val="000000" w:themeColor="text1"/>
              </w:rPr>
            </w:pPr>
            <w:r w:rsidRPr="00BB402A">
              <w:rPr>
                <w:b/>
                <w:bCs/>
                <w:color w:val="000000" w:themeColor="text1"/>
              </w:rPr>
              <w:t>Vienlaikus, lai sabalansētu nodrošināto kreditoru tiesības, atbilstošajos Ministru kabineta noteikumos, kas noregulēs mantojuma saraksta sastādīšanas kārtību, tiks iekļauts nosacījums, ka, ja nodrošināto kreditoru prasījumi pārsniedz mantojuma sarakstā norādīto ķīlas objektu vērtību un šo vērtējumu nav izdarījis sertificēts vērtētājs, tad konkrētais nekustamais īpašums jānovērtē sertificētam vērtētājam. Tāpat minētajos noteikumos tiks noteikts, ka gadījumā, ja kreditoram būs pamatotas šaubas par nekustamā īpašuma, kas ietilpst mantojuma masā, vērtējuma objektivitāti, viņam būs tiesības griezties Latvijas Īpašumu Vērtētāju Asociācijā (turpmāk – LĪVA) tā atbilstības Latvijas standarta LVS 401:2013 "Īpašuma vērtēšana" un normatīvajiem aktiem pārbaudei. Ņemot vērā LĪVA atzinumu ierobežojumus (tiks noteikta līdzīga kārtība, kāda iekļauta 2011. gada 15. marta Ministru kabineta noteikumu Nr.204 "Kārtība, kādā nosaka taisnīgu atlīdzību par sabiedrības vajadzībām atsavināmo nekustamo īpašumu" 30.-34. punktos. Vienlaikus jānorāda, ka šāda atzinuma sagatavošana būs maksas pakalpojums, jo LĪVA, kā biedrībai, darbu pārbaudei nāksies piesaistīt atbilstošas kvalifikācijas ekspertus);</w:t>
            </w:r>
          </w:p>
          <w:p w14:paraId="6A53502D" w14:textId="77777777" w:rsidR="00BB402A" w:rsidRPr="00BB402A" w:rsidRDefault="00BB402A" w:rsidP="00BB402A">
            <w:pPr>
              <w:rPr>
                <w:iCs/>
                <w:color w:val="000000" w:themeColor="text1"/>
              </w:rPr>
            </w:pPr>
            <w:r w:rsidRPr="00BB402A">
              <w:rPr>
                <w:b/>
                <w:bCs/>
                <w:iCs/>
                <w:color w:val="000000" w:themeColor="text1"/>
              </w:rPr>
              <w:t xml:space="preserve">3. Grozīts Civillikuma 707. pants. </w:t>
            </w:r>
            <w:r w:rsidRPr="00BB402A">
              <w:rPr>
                <w:iCs/>
                <w:color w:val="000000" w:themeColor="text1"/>
              </w:rPr>
              <w:t>Šobrīd minētais pants noteic, ka mantojuma atstājēja kreditoriem jāgriežas ar saviem prasījumiem pie mantinieka, kuram, ja no mantojuma nepietiek, jāsamaksā parādi no savas paša mantas; bet citādā ziņā šos parādus samaksājot jāievēro mantojuma atstājēja noteikumi. Ņemot vērā, ka Likumprojektā tiek mainīts mantinieku atbildības koncepts, nepieciešams atbilstoši precizēt Civillikuma 707. pantu.</w:t>
            </w:r>
          </w:p>
          <w:p w14:paraId="1937C569" w14:textId="77777777" w:rsidR="00BB402A" w:rsidRPr="00BB402A" w:rsidRDefault="00BB402A" w:rsidP="00BB402A">
            <w:pPr>
              <w:rPr>
                <w:iCs/>
                <w:color w:val="000000" w:themeColor="text1"/>
              </w:rPr>
            </w:pPr>
            <w:r w:rsidRPr="00BB402A">
              <w:rPr>
                <w:iCs/>
                <w:color w:val="000000" w:themeColor="text1"/>
              </w:rPr>
              <w:t>Panta pirmās daļas pirmais teikums jau šobrīd pastāvošo principu, par to, ka kreditoriem jāvēršas pie mantiniekiem, nemaina.</w:t>
            </w:r>
          </w:p>
          <w:p w14:paraId="0B9D18AD" w14:textId="77777777" w:rsidR="00BB402A" w:rsidRPr="00BB402A" w:rsidRDefault="00BB402A" w:rsidP="00BB402A">
            <w:pPr>
              <w:rPr>
                <w:iCs/>
                <w:color w:val="000000" w:themeColor="text1"/>
              </w:rPr>
            </w:pPr>
            <w:r w:rsidRPr="00BB402A">
              <w:rPr>
                <w:iCs/>
                <w:color w:val="000000" w:themeColor="text1"/>
              </w:rPr>
              <w:t>Pirmās daļas otrais teikums nosaka, ka</w:t>
            </w:r>
            <w:r w:rsidRPr="00BB402A">
              <w:rPr>
                <w:b/>
                <w:bCs/>
                <w:iCs/>
                <w:color w:val="000000" w:themeColor="text1"/>
              </w:rPr>
              <w:t xml:space="preserve"> </w:t>
            </w:r>
            <w:r w:rsidRPr="00BB402A">
              <w:rPr>
                <w:iCs/>
                <w:color w:val="000000" w:themeColor="text1"/>
              </w:rPr>
              <w:t xml:space="preserve">mantinieki par kreditoru prasījumiem atbild ar mantojumu. Minētais atbilstoši spēkā esošajam regulējumam nozīmētu, ka mantinieki vienmēr pieņem mantojumu ar inventāra tiesību. Bet kā jau norādīts </w:t>
            </w:r>
            <w:r w:rsidRPr="00BB402A">
              <w:rPr>
                <w:iCs/>
                <w:color w:val="000000" w:themeColor="text1"/>
              </w:rPr>
              <w:lastRenderedPageBreak/>
              <w:t>iepriekš – mantiniekiem vairāk netiks dotas divas iespējas, no kurām mantiniekiem izvēlēties savas atbildības apmēru attiecībā pret mantojuma atstājēja kreditoriem. Mantinieki vienmēr pieņems mantojumu ar ierobežotu atbildību un atbildēs kreditoriem pēc mantojuma saraksta mantojuma apmērā (</w:t>
            </w:r>
            <w:proofErr w:type="spellStart"/>
            <w:r w:rsidRPr="00BB402A">
              <w:rPr>
                <w:i/>
                <w:color w:val="000000" w:themeColor="text1"/>
              </w:rPr>
              <w:t>intra</w:t>
            </w:r>
            <w:proofErr w:type="spellEnd"/>
            <w:r w:rsidRPr="00BB402A">
              <w:rPr>
                <w:i/>
                <w:color w:val="000000" w:themeColor="text1"/>
              </w:rPr>
              <w:t xml:space="preserve"> </w:t>
            </w:r>
            <w:proofErr w:type="spellStart"/>
            <w:r w:rsidRPr="00BB402A">
              <w:rPr>
                <w:i/>
                <w:color w:val="000000" w:themeColor="text1"/>
              </w:rPr>
              <w:t>vires</w:t>
            </w:r>
            <w:proofErr w:type="spellEnd"/>
            <w:r w:rsidRPr="00BB402A">
              <w:rPr>
                <w:i/>
                <w:color w:val="000000" w:themeColor="text1"/>
              </w:rPr>
              <w:t xml:space="preserve"> </w:t>
            </w:r>
            <w:proofErr w:type="spellStart"/>
            <w:r w:rsidRPr="00BB402A">
              <w:rPr>
                <w:i/>
                <w:color w:val="000000" w:themeColor="text1"/>
              </w:rPr>
              <w:t>hereditatis</w:t>
            </w:r>
            <w:proofErr w:type="spellEnd"/>
            <w:r w:rsidRPr="00BB402A">
              <w:rPr>
                <w:iCs/>
                <w:color w:val="000000" w:themeColor="text1"/>
              </w:rPr>
              <w:t xml:space="preserve"> – mantojuma iespēju robežās). </w:t>
            </w:r>
          </w:p>
          <w:p w14:paraId="24C85BEC" w14:textId="77777777" w:rsidR="00BB402A" w:rsidRPr="00BB402A" w:rsidRDefault="00BB402A" w:rsidP="00BB402A">
            <w:pPr>
              <w:rPr>
                <w:iCs/>
                <w:color w:val="000000" w:themeColor="text1"/>
              </w:rPr>
            </w:pPr>
            <w:r w:rsidRPr="00BB402A">
              <w:rPr>
                <w:iCs/>
                <w:color w:val="000000" w:themeColor="text1"/>
              </w:rPr>
              <w:t>Attiecībā uz to, kā tas ietekmēs kreditoru tiesības jānorāda, ka apmēru, ko kreditoriem iespējams atgūt no mantiniekiem jau šobrīd nosaka mantinieki, izdarot izvēli par to, vai mantojums tiks pieņemts izmantojot inventāra tiesību vai nē. Līdz ar to zinošākie mantinieki jau šobrīd manto šādi. Turklāt uz noteiktu subjektu loku pienākums mantot ar ierobežotu atbildību jau tagad noteikts Civillikuma 708. panta otrajā daļā. Savukārt Darba grupas diskusijās, kurās piedalījās arī kreditoru pārstāvji (Latvijas Finanšu nozares asociācijas pārstāvji, kredītiestāžu pārstāvji, pašvaldību pārstāvji) un tiesību eksperti no Latvijas Universitātes Juridiskās fakultātes, tika secināts, ka šāds regulējums neierobežo mantojuma atstājēja kreditoru tiesības. Proti, Latvijas tiesību sistēmā netiek ievests jauns princips, kas pēkšņi izmainītu mantinieku atbildību pret mantojuma atstājēja kreditoriem – ar grozījumiem tiek atstāts viens no šobrīd esošajiem diviem mantinieku atbildības režīmiem.</w:t>
            </w:r>
          </w:p>
          <w:p w14:paraId="357B339E" w14:textId="77777777" w:rsidR="00BB402A" w:rsidRPr="00BB402A" w:rsidRDefault="00BB402A" w:rsidP="00BB402A">
            <w:pPr>
              <w:rPr>
                <w:iCs/>
                <w:color w:val="000000" w:themeColor="text1"/>
              </w:rPr>
            </w:pPr>
            <w:r w:rsidRPr="00BB402A">
              <w:rPr>
                <w:iCs/>
                <w:color w:val="000000" w:themeColor="text1"/>
              </w:rPr>
              <w:t>Vienlaikus Darba grupā secināts, ka jāsekmē uzsākto mantojuma lietu skaita pieaugums, kas rezultējas ar zināmiem saistību un tiesību pārņēmējiem un mantas atgriešanos civiltiesiskajā apgrozībā un viens no veidiem, kā to panākt, ir noteikt, ka mantinieki manto ar ierobežotu atbildību.</w:t>
            </w:r>
          </w:p>
          <w:p w14:paraId="527807CB" w14:textId="77777777" w:rsidR="00BB402A" w:rsidRPr="00BB402A" w:rsidRDefault="00BB402A" w:rsidP="00BB402A">
            <w:pPr>
              <w:rPr>
                <w:iCs/>
                <w:color w:val="000000" w:themeColor="text1"/>
              </w:rPr>
            </w:pPr>
            <w:r w:rsidRPr="00BB402A">
              <w:rPr>
                <w:iCs/>
                <w:color w:val="000000" w:themeColor="text1"/>
              </w:rPr>
              <w:t xml:space="preserve">Panta otrās daļas pirmais teikums nosaka, ka, ja mantinieki vēlas </w:t>
            </w:r>
            <w:r w:rsidRPr="00BB402A">
              <w:rPr>
                <w:iCs/>
                <w:color w:val="000000" w:themeColor="text1"/>
                <w:u w:val="single"/>
              </w:rPr>
              <w:t>paturēt mantojumu</w:t>
            </w:r>
            <w:r w:rsidRPr="00BB402A">
              <w:rPr>
                <w:iCs/>
                <w:color w:val="000000" w:themeColor="text1"/>
              </w:rPr>
              <w:t xml:space="preserve"> (mantojuma masā ietilpstošo mantu), tad to atbildības apmērs pret mantojuma atstājēja kreditoriem ir mantojuma vērtība uz mantojuma atklāšanās brīdi. Mantojuma vērtība norādīta mantojuma sarakstā, kas kreditoriem atbilstoši paredzētajiem grozījumiem būs pieejama.</w:t>
            </w:r>
          </w:p>
          <w:p w14:paraId="61CFD6F4" w14:textId="77777777" w:rsidR="00BB402A" w:rsidRPr="00BB402A" w:rsidRDefault="00BB402A" w:rsidP="00BB402A">
            <w:pPr>
              <w:rPr>
                <w:iCs/>
                <w:color w:val="000000" w:themeColor="text1"/>
              </w:rPr>
            </w:pPr>
            <w:r w:rsidRPr="00BB402A">
              <w:rPr>
                <w:iCs/>
                <w:color w:val="000000" w:themeColor="text1"/>
              </w:rPr>
              <w:t xml:space="preserve">Otrās daļas otrais teikums nosaka mantinieku atbildības apmēru, ja, kāda daļa no mantotās un paturētās mantas tiek atsavināta pirms tiek segtas kreditoru pretenzijas. </w:t>
            </w:r>
            <w:r w:rsidRPr="00BB402A">
              <w:rPr>
                <w:b/>
                <w:bCs/>
                <w:iCs/>
                <w:color w:val="000000" w:themeColor="text1"/>
              </w:rPr>
              <w:t>Ieviestais princips domāts kreditoru tiesību aizsardzībai, proti, ja mantiniekam pašam vai zvērinātam tiesu izpildītājam, atsavinot lietu, izdodas iegūt vairāk, nekā konkrētās lietas vērtība norādīta mantojuma sarakstā, tad arī atbildība pret kreditoru prasījumiem palielinās par attiecīgo starpību.</w:t>
            </w:r>
            <w:r w:rsidRPr="00BB402A">
              <w:rPr>
                <w:iCs/>
                <w:color w:val="000000" w:themeColor="text1"/>
              </w:rPr>
              <w:t xml:space="preserve"> Pantā lietots jēdziens "lietu parastā vērība", kas atbilst Civillikumā (871. p) jau lietotā jēdziena "lietu parastā vērtība" izpratnei un nozīmē labumu, kādu lieta var dot katram valdītājam pati par sevi, neatkarīgi no viņa personīgām attiecībām. Piemēram, ar to saprotama arī nekustamā īpašuma tirgus cena, par kādu mantinieks lietu atsavinājis. Savukārt, ja, atsavinot mantu, tiek iegūts mazāk kā vērtība, kas norādīta mantojuma sarakstā, tad vērā ņemama augstākā vērtība – tā, kas norādīta mantojuma sarakstā.</w:t>
            </w:r>
          </w:p>
          <w:p w14:paraId="7D76312B" w14:textId="77777777" w:rsidR="00BB402A" w:rsidRPr="00BB402A" w:rsidRDefault="00BB402A" w:rsidP="00BB402A">
            <w:pPr>
              <w:rPr>
                <w:iCs/>
                <w:color w:val="000000" w:themeColor="text1"/>
              </w:rPr>
            </w:pPr>
            <w:r w:rsidRPr="00BB402A">
              <w:rPr>
                <w:iCs/>
                <w:color w:val="000000" w:themeColor="text1"/>
                <w:u w:val="single"/>
              </w:rPr>
              <w:t>Minētais neattiecas uz saistību piespiedu izpildi, kad mantu atsavina zvērināts tiesu izpildītājs piespiedu kārtā</w:t>
            </w:r>
            <w:r w:rsidRPr="00BB402A">
              <w:rPr>
                <w:iCs/>
                <w:color w:val="000000" w:themeColor="text1"/>
              </w:rPr>
              <w:t>. Tad ar kreditoriem norēķinās no iegūtajiem līdzekļiem par atsavināto mantu, tomēr nepārsniedzot visu mantojuma masas kopējo vērtību uz mantojuma atklāšanās brīdi. Piemēram, ja mantojuma masā ietilpst viens nekustamais īpašums, kas piespiedu kārtā tiek atsavināts par lielāku cenu, nekā mantojuma sarakstā norādīta visa mantojuma vērtība, tad no iegūtā var segt kreditoru pretenzijas, nepārsniedzot visa mantojuma vērtību - atlikums jāatgriež mantiniekiem.</w:t>
            </w:r>
          </w:p>
          <w:p w14:paraId="3A49395B" w14:textId="77777777" w:rsidR="00BB402A" w:rsidRPr="00BB402A" w:rsidRDefault="00BB402A" w:rsidP="00BB402A">
            <w:pPr>
              <w:rPr>
                <w:iCs/>
                <w:color w:val="000000" w:themeColor="text1"/>
              </w:rPr>
            </w:pPr>
            <w:r w:rsidRPr="00BB402A">
              <w:rPr>
                <w:iCs/>
                <w:color w:val="000000" w:themeColor="text1"/>
              </w:rPr>
              <w:lastRenderedPageBreak/>
              <w:t>Gadījumi, kad mantinieks pats atsavina iegūto mantu, nošķirami no gadījumiem, kad uz iegūto mantu vērsta piedziņa, jo pirmajā gadījumā uzskatāms, ka mantinieks mantojumā ietilpstošo mantu ir aizstājis/pārvērtis naudā, tādējādi, iespējams, palielinot savu atbildības apmēru, jo pirms ir veikts norēķins ar kreditoriem (vai panāktas vienošanās par to, kā tiks turpināta saistību izpilde), kreditoriem ir tiesības uz minēto mantu, un mantinieks nevar uz tā rēķina iedzīvoties. Savukārt otrā gadījumā manta tiek atsavināta piespiedu procesā, tādējādi īstenojot jauno principu, ka mantinieks atbild tikai ar mantojuma sarakstā norādīto mantu. Ja atsavinot mantu iegūtie līdzekļi pārsniedz prasījuma apmēru, tāpat kā pie ķīlas objekta realizācijas, pārpalikums atgriežams parādniekam – mantiniekam. Savukārt, ja visa manta izpārdota, neatkarīgi no tā, vai visas kreditoru pretenzijas izdevies segt no iegūtā, mantinieks vairs neatbild par atlikušajām kreditoru pretenzijām un saistības tiek dzēstas.</w:t>
            </w:r>
          </w:p>
          <w:p w14:paraId="262A1FEB" w14:textId="77777777" w:rsidR="00BB402A" w:rsidRPr="00BB402A" w:rsidRDefault="00BB402A" w:rsidP="00BB402A">
            <w:pPr>
              <w:rPr>
                <w:b/>
                <w:bCs/>
                <w:iCs/>
                <w:color w:val="000000" w:themeColor="text1"/>
              </w:rPr>
            </w:pPr>
            <w:r w:rsidRPr="00BB402A">
              <w:rPr>
                <w:b/>
                <w:bCs/>
                <w:iCs/>
                <w:color w:val="000000" w:themeColor="text1"/>
              </w:rPr>
              <w:t>Panta trešā daļa nosaka, ka</w:t>
            </w:r>
            <w:r w:rsidRPr="00BB402A">
              <w:rPr>
                <w:color w:val="000000" w:themeColor="text1"/>
              </w:rPr>
              <w:t xml:space="preserve"> </w:t>
            </w:r>
            <w:r w:rsidRPr="00BB402A">
              <w:rPr>
                <w:b/>
                <w:bCs/>
                <w:iCs/>
                <w:color w:val="000000" w:themeColor="text1"/>
              </w:rPr>
              <w:t xml:space="preserve">norēķinoties ar mantojuma atstājēja kreditoriem, mantiniekiem jāievēro prasījumu priekšrocība, vispirms sedzot nodrošināto kreditoru prasījumus un sludinājuma par mantojuma atklāšanos termiņa pieteiktos nodokļu prasījumus. </w:t>
            </w:r>
            <w:r w:rsidRPr="00BB402A">
              <w:rPr>
                <w:iCs/>
                <w:color w:val="000000" w:themeColor="text1"/>
              </w:rPr>
              <w:t>Civiltiesībās un civilprocesā ir tādi noteikumi, kas dažiem kreditoriem rada priekšrocības uz izpildījuma vai zaudējuma atlīdzības saņemšanu.</w:t>
            </w:r>
            <w:r w:rsidRPr="00BB402A">
              <w:rPr>
                <w:iCs/>
                <w:color w:val="000000" w:themeColor="text1"/>
                <w:vertAlign w:val="superscript"/>
              </w:rPr>
              <w:footnoteReference w:id="15"/>
            </w:r>
            <w:r w:rsidRPr="00BB402A">
              <w:rPr>
                <w:iCs/>
                <w:color w:val="000000" w:themeColor="text1"/>
              </w:rPr>
              <w:t xml:space="preserve"> Minētais princips jau šobrīd darbojas mantotu saistību izpildē, bet, ņemot vērā, ka mantinieku atbildību ar Likumprojektu plānots ierobežot ar mantojuma apmēru, un pie šāda mehānisma visiem kreditoriem var nepietikt mantas to prasījumu apmierināšanai, Likumprojekts papildināts ar norādi uz to, ka kreditoru prasījumi apmierināmi pēc to priekšrocībām. Jēdziens "priekšrocības" civiltiesībās nav nekas jauns un šobrīd jau tiek lietots, piemēram, Civillikuma 711. pantā un Civilprocesa likuma 622. pantā. Attiecībā uz jēdziena "priekšrocības" nozīmi grozāmajā pantā jānorāda, ka tas attiecināts uz nodrošināto kreditoru </w:t>
            </w:r>
            <w:r w:rsidRPr="00BB402A">
              <w:rPr>
                <w:b/>
                <w:bCs/>
                <w:iCs/>
                <w:color w:val="000000" w:themeColor="text1"/>
              </w:rPr>
              <w:t>un nodokļu prasījumu</w:t>
            </w:r>
            <w:r w:rsidRPr="00BB402A">
              <w:rPr>
                <w:iCs/>
                <w:color w:val="000000" w:themeColor="text1"/>
              </w:rPr>
              <w:t xml:space="preserve"> priekšrocību pret nenodrošinātajiem kreditoriem, kā arī nodrošināto kreditoru savstarpējo priekšrocību. Līdzīgi kā šobrīd Civilprocesa likumā noregulēta piedzīto summu sadalīšana starp vairākiem kreditoriem.</w:t>
            </w:r>
          </w:p>
          <w:p w14:paraId="39173544" w14:textId="77777777" w:rsidR="00BB402A" w:rsidRPr="00BB402A" w:rsidRDefault="00BB402A" w:rsidP="00BB402A">
            <w:pPr>
              <w:rPr>
                <w:iCs/>
                <w:color w:val="000000" w:themeColor="text1"/>
              </w:rPr>
            </w:pPr>
            <w:r w:rsidRPr="00BB402A">
              <w:rPr>
                <w:iCs/>
                <w:color w:val="000000" w:themeColor="text1"/>
              </w:rPr>
              <w:t xml:space="preserve">Jāpiezīmē, ka ar grozījumiem Mantošanas tiesību daļā Civillikumā nekas jauns attiecībā uz mantinieka saistību izpildi pret mantojuma atstājēja kreditoriem netiek ieviests – to turpina regulēt Civillikuma Saistību tiesību daļa un citi attiecināmie normatīvie akti. </w:t>
            </w:r>
          </w:p>
          <w:p w14:paraId="4A6342B3" w14:textId="77777777" w:rsidR="00BB402A" w:rsidRDefault="00BB402A" w:rsidP="00BB402A">
            <w:pPr>
              <w:rPr>
                <w:b/>
                <w:bCs/>
                <w:iCs/>
                <w:color w:val="000000" w:themeColor="text1"/>
              </w:rPr>
            </w:pPr>
            <w:r w:rsidRPr="00BB402A">
              <w:rPr>
                <w:iCs/>
                <w:color w:val="000000" w:themeColor="text1"/>
              </w:rPr>
              <w:t xml:space="preserve">Grozījumi nosaka, kāds ir maksimālais apmērs, no kā iespējama parādu piedziņa (mantojuma masas apmērs) un to, ka prasījumi, tā pat kā visos citos gadījumos, sedzami pēc to priekšrocības. </w:t>
            </w:r>
            <w:r w:rsidRPr="00BB402A">
              <w:rPr>
                <w:b/>
                <w:bCs/>
                <w:iCs/>
                <w:color w:val="000000" w:themeColor="text1"/>
              </w:rPr>
              <w:t>Vienlaikus Likumprojektā noteikts, ka arī nodokļu prasījumi, kas pieteikti sludinājuma par mantojuma atklāšanos termiņa, pielīdzināmi nodrošināto kreditoru prasījumiem attiecībā uz to priekšrocību pret citu nenodrošināto kreditoru prasījumiem.</w:t>
            </w:r>
            <w:r w:rsidRPr="00BB402A">
              <w:rPr>
                <w:iCs/>
                <w:color w:val="000000" w:themeColor="text1"/>
              </w:rPr>
              <w:t xml:space="preserve"> </w:t>
            </w:r>
            <w:r w:rsidRPr="00BB402A">
              <w:rPr>
                <w:b/>
                <w:bCs/>
                <w:iCs/>
                <w:color w:val="000000" w:themeColor="text1"/>
              </w:rPr>
              <w:t xml:space="preserve">Proti, nodokļu prasījumi, piemēram, nekustamā īpašuma nodoklis, sedzami pirms citu nenodrošināto kreditoru prasījumiem, vienlaikus ar citu nodrošināto kreditoru prasījumiem. Saskaņā ar Likumprojektu par nodrošināto kreditoru uzskatāms kreditors, kura prasījums ir nodrošināts ar hipotēku vai komercķīlu.  Pielīdzinot nodokļu </w:t>
            </w:r>
            <w:r w:rsidRPr="00BB402A">
              <w:rPr>
                <w:b/>
                <w:bCs/>
                <w:iCs/>
                <w:color w:val="000000" w:themeColor="text1"/>
              </w:rPr>
              <w:lastRenderedPageBreak/>
              <w:t>prasījumus nodrošināto kreditoru prasījumiem mantojumu lietā tiek atzītas par prioritārām nodokļus administrējošo iestāžu iespējas saņemt atmaksu par aprēķinātajiem un mantojuma lietā kā kreditoru pretenziju pieteiktajiem nodokļu prasījumiem.</w:t>
            </w:r>
          </w:p>
          <w:p w14:paraId="06F32D28" w14:textId="16B7CB20" w:rsidR="00F5134D" w:rsidRDefault="00F5134D" w:rsidP="00BB402A">
            <w:pPr>
              <w:rPr>
                <w:b/>
                <w:bCs/>
                <w:iCs/>
                <w:color w:val="000000" w:themeColor="text1"/>
                <w:highlight w:val="yellow"/>
              </w:rPr>
            </w:pPr>
            <w:r>
              <w:rPr>
                <w:b/>
                <w:bCs/>
                <w:iCs/>
                <w:color w:val="000000" w:themeColor="text1"/>
                <w:highlight w:val="yellow"/>
              </w:rPr>
              <w:t>Visiem n</w:t>
            </w:r>
            <w:r w:rsidR="0069592C" w:rsidRPr="0069592C">
              <w:rPr>
                <w:b/>
                <w:bCs/>
                <w:iCs/>
                <w:color w:val="000000" w:themeColor="text1"/>
                <w:highlight w:val="yellow"/>
              </w:rPr>
              <w:t>odokļu prasījumi</w:t>
            </w:r>
            <w:r>
              <w:rPr>
                <w:b/>
                <w:bCs/>
                <w:iCs/>
                <w:color w:val="000000" w:themeColor="text1"/>
                <w:highlight w:val="yellow"/>
              </w:rPr>
              <w:t>em, kas pieteikti kā kreditoru pretenzijas mantojuma lietā,</w:t>
            </w:r>
            <w:r w:rsidR="0069592C" w:rsidRPr="0069592C">
              <w:rPr>
                <w:b/>
                <w:bCs/>
                <w:iCs/>
                <w:color w:val="000000" w:themeColor="text1"/>
                <w:highlight w:val="yellow"/>
              </w:rPr>
              <w:t xml:space="preserve"> </w:t>
            </w:r>
            <w:r>
              <w:rPr>
                <w:b/>
                <w:bCs/>
                <w:iCs/>
                <w:color w:val="000000" w:themeColor="text1"/>
                <w:highlight w:val="yellow"/>
              </w:rPr>
              <w:t xml:space="preserve">ar Likumprojektu paredzēta </w:t>
            </w:r>
            <w:r w:rsidR="0069592C" w:rsidRPr="0069592C">
              <w:rPr>
                <w:b/>
                <w:bCs/>
                <w:iCs/>
                <w:color w:val="000000" w:themeColor="text1"/>
                <w:highlight w:val="yellow"/>
              </w:rPr>
              <w:t>vien</w:t>
            </w:r>
            <w:r>
              <w:rPr>
                <w:b/>
                <w:bCs/>
                <w:iCs/>
                <w:color w:val="000000" w:themeColor="text1"/>
                <w:highlight w:val="yellow"/>
              </w:rPr>
              <w:t>a</w:t>
            </w:r>
            <w:r w:rsidR="0069592C" w:rsidRPr="0069592C">
              <w:rPr>
                <w:b/>
                <w:bCs/>
                <w:iCs/>
                <w:color w:val="000000" w:themeColor="text1"/>
                <w:highlight w:val="yellow"/>
              </w:rPr>
              <w:t xml:space="preserve"> </w:t>
            </w:r>
            <w:r>
              <w:rPr>
                <w:b/>
                <w:bCs/>
                <w:iCs/>
                <w:color w:val="000000" w:themeColor="text1"/>
                <w:highlight w:val="yellow"/>
              </w:rPr>
              <w:t>prioritātes</w:t>
            </w:r>
            <w:r w:rsidR="0069592C" w:rsidRPr="0069592C">
              <w:rPr>
                <w:b/>
                <w:bCs/>
                <w:iCs/>
                <w:color w:val="000000" w:themeColor="text1"/>
                <w:highlight w:val="yellow"/>
              </w:rPr>
              <w:t xml:space="preserve"> pakāpē</w:t>
            </w:r>
            <w:r w:rsidR="00FE7560">
              <w:rPr>
                <w:b/>
                <w:bCs/>
                <w:iCs/>
                <w:color w:val="000000" w:themeColor="text1"/>
                <w:highlight w:val="yellow"/>
              </w:rPr>
              <w:t xml:space="preserve"> </w:t>
            </w:r>
            <w:r w:rsidR="0069592C" w:rsidRPr="0069592C">
              <w:rPr>
                <w:b/>
                <w:bCs/>
                <w:iCs/>
                <w:color w:val="000000" w:themeColor="text1"/>
                <w:highlight w:val="yellow"/>
              </w:rPr>
              <w:t>ar nodrošināto kreditoru prasījumiem, lai ievērotu Satversmes 105.</w:t>
            </w:r>
            <w:r w:rsidR="00FE7560">
              <w:rPr>
                <w:b/>
                <w:bCs/>
                <w:iCs/>
                <w:color w:val="000000" w:themeColor="text1"/>
                <w:highlight w:val="yellow"/>
              </w:rPr>
              <w:t> </w:t>
            </w:r>
            <w:r w:rsidR="0069592C" w:rsidRPr="0069592C">
              <w:rPr>
                <w:b/>
                <w:bCs/>
                <w:iCs/>
                <w:color w:val="000000" w:themeColor="text1"/>
                <w:highlight w:val="yellow"/>
              </w:rPr>
              <w:t xml:space="preserve">pantā aizsargātās </w:t>
            </w:r>
            <w:r w:rsidR="00FE7560">
              <w:rPr>
                <w:b/>
                <w:bCs/>
                <w:iCs/>
                <w:color w:val="000000" w:themeColor="text1"/>
                <w:highlight w:val="yellow"/>
              </w:rPr>
              <w:t xml:space="preserve">personu </w:t>
            </w:r>
            <w:r w:rsidR="0069592C" w:rsidRPr="0069592C">
              <w:rPr>
                <w:b/>
                <w:bCs/>
                <w:iCs/>
                <w:color w:val="000000" w:themeColor="text1"/>
                <w:highlight w:val="yellow"/>
              </w:rPr>
              <w:t xml:space="preserve">tiesības uz īpašumu. </w:t>
            </w:r>
            <w:r w:rsidR="00FE7560">
              <w:rPr>
                <w:b/>
                <w:bCs/>
                <w:iCs/>
                <w:color w:val="000000" w:themeColor="text1"/>
                <w:highlight w:val="yellow"/>
              </w:rPr>
              <w:t xml:space="preserve">Proti, </w:t>
            </w:r>
            <w:r w:rsidR="0069592C" w:rsidRPr="0069592C">
              <w:rPr>
                <w:b/>
                <w:bCs/>
                <w:iCs/>
                <w:color w:val="000000" w:themeColor="text1"/>
                <w:highlight w:val="yellow"/>
              </w:rPr>
              <w:t xml:space="preserve">veicot tālāku jēdziena "īpašums" jeb "mantiska rakstura tiesības" konkretizāciju, Satversmes tiesas praksē atzīts, ka ar šīm tiesībām </w:t>
            </w:r>
            <w:proofErr w:type="spellStart"/>
            <w:r w:rsidR="0069592C" w:rsidRPr="0069592C">
              <w:rPr>
                <w:b/>
                <w:bCs/>
                <w:iCs/>
                <w:color w:val="000000" w:themeColor="text1"/>
                <w:highlight w:val="yellow"/>
              </w:rPr>
              <w:t>visupirms</w:t>
            </w:r>
            <w:proofErr w:type="spellEnd"/>
            <w:r w:rsidR="0069592C" w:rsidRPr="0069592C">
              <w:rPr>
                <w:b/>
                <w:bCs/>
                <w:iCs/>
                <w:color w:val="000000" w:themeColor="text1"/>
                <w:highlight w:val="yellow"/>
              </w:rPr>
              <w:t xml:space="preserve"> saprotamas īpašuma tiesības </w:t>
            </w:r>
            <w:r w:rsidR="0069592C" w:rsidRPr="00F5134D">
              <w:rPr>
                <w:b/>
                <w:bCs/>
                <w:iCs/>
                <w:color w:val="000000" w:themeColor="text1"/>
                <w:highlight w:val="yellow"/>
              </w:rPr>
              <w:t>Civillikuma 927. panta izpratnē un citas lietu tiesības (piemēram, ķīlas tiesības)</w:t>
            </w:r>
            <w:r w:rsidR="0069592C" w:rsidRPr="00F5134D">
              <w:rPr>
                <w:rStyle w:val="FootnoteReference"/>
                <w:b/>
                <w:bCs/>
                <w:iCs/>
                <w:color w:val="000000" w:themeColor="text1"/>
                <w:highlight w:val="yellow"/>
              </w:rPr>
              <w:footnoteReference w:id="16"/>
            </w:r>
            <w:r w:rsidR="0069592C" w:rsidRPr="00F5134D">
              <w:rPr>
                <w:b/>
                <w:bCs/>
                <w:iCs/>
                <w:color w:val="000000" w:themeColor="text1"/>
                <w:highlight w:val="yellow"/>
              </w:rPr>
              <w:t>.</w:t>
            </w:r>
            <w:r w:rsidRPr="00F5134D">
              <w:rPr>
                <w:b/>
                <w:bCs/>
                <w:iCs/>
                <w:color w:val="000000" w:themeColor="text1"/>
                <w:highlight w:val="yellow"/>
              </w:rPr>
              <w:t xml:space="preserve"> </w:t>
            </w:r>
            <w:r w:rsidR="00FE7560">
              <w:rPr>
                <w:b/>
                <w:bCs/>
                <w:iCs/>
                <w:color w:val="000000" w:themeColor="text1"/>
                <w:highlight w:val="yellow"/>
              </w:rPr>
              <w:t>Civiltiesībās ar ķīlu tiek nodrošināts prasījums, tātad par prasījumu atbild manta (ķīla), kas šī Likumprojekta kontekstā atrodas mantojuma masā. Tādējādi, lai sabalansētu mantinieku pienākumu segt</w:t>
            </w:r>
            <w:r w:rsidR="00CE236F">
              <w:rPr>
                <w:b/>
                <w:bCs/>
                <w:iCs/>
                <w:color w:val="000000" w:themeColor="text1"/>
                <w:highlight w:val="yellow"/>
              </w:rPr>
              <w:t xml:space="preserve"> </w:t>
            </w:r>
            <w:r w:rsidR="00FE7560">
              <w:rPr>
                <w:b/>
                <w:bCs/>
                <w:iCs/>
                <w:color w:val="000000" w:themeColor="text1"/>
                <w:highlight w:val="yellow"/>
              </w:rPr>
              <w:t>nodokļu prasījumus</w:t>
            </w:r>
            <w:r w:rsidR="00CE236F">
              <w:rPr>
                <w:b/>
                <w:bCs/>
                <w:iCs/>
                <w:color w:val="000000" w:themeColor="text1"/>
                <w:highlight w:val="yellow"/>
              </w:rPr>
              <w:t>, kas pieteikti kā pretenzijas mantojuma lietā,</w:t>
            </w:r>
            <w:r w:rsidR="00FE7560">
              <w:rPr>
                <w:b/>
                <w:bCs/>
                <w:iCs/>
                <w:color w:val="000000" w:themeColor="text1"/>
                <w:highlight w:val="yellow"/>
              </w:rPr>
              <w:t xml:space="preserve"> un panāktu efektīvu Satversmes 105.pantā garantēto tiesību</w:t>
            </w:r>
            <w:r w:rsidR="00CE236F">
              <w:rPr>
                <w:b/>
                <w:bCs/>
                <w:iCs/>
                <w:color w:val="000000" w:themeColor="text1"/>
                <w:highlight w:val="yellow"/>
              </w:rPr>
              <w:t xml:space="preserve"> uz īpašumu</w:t>
            </w:r>
            <w:r w:rsidR="00FE7560">
              <w:rPr>
                <w:b/>
                <w:bCs/>
                <w:iCs/>
                <w:color w:val="000000" w:themeColor="text1"/>
                <w:highlight w:val="yellow"/>
              </w:rPr>
              <w:t xml:space="preserve"> aizsardzību</w:t>
            </w:r>
            <w:r w:rsidR="00CE236F">
              <w:rPr>
                <w:b/>
                <w:bCs/>
                <w:iCs/>
                <w:color w:val="000000" w:themeColor="text1"/>
                <w:highlight w:val="yellow"/>
              </w:rPr>
              <w:t xml:space="preserve"> nodrošinātajiem kreditoriem</w:t>
            </w:r>
            <w:r w:rsidR="00FE7560">
              <w:rPr>
                <w:b/>
                <w:bCs/>
                <w:iCs/>
                <w:color w:val="000000" w:themeColor="text1"/>
                <w:highlight w:val="yellow"/>
              </w:rPr>
              <w:t xml:space="preserve"> Likumprojekts nosaka, ka nodokļu prasījumi un nodrošināto kreditoru prasījumi sedzami vienlaikus.</w:t>
            </w:r>
          </w:p>
          <w:p w14:paraId="3F1ED843" w14:textId="45CC1E00" w:rsidR="00FE7560" w:rsidRPr="00FE7560" w:rsidRDefault="00C2070E" w:rsidP="00BB402A">
            <w:pPr>
              <w:rPr>
                <w:b/>
                <w:bCs/>
                <w:iCs/>
                <w:color w:val="000000" w:themeColor="text1"/>
                <w:highlight w:val="yellow"/>
              </w:rPr>
            </w:pPr>
            <w:r>
              <w:rPr>
                <w:b/>
                <w:bCs/>
                <w:iCs/>
                <w:color w:val="000000" w:themeColor="text1"/>
                <w:highlight w:val="yellow"/>
              </w:rPr>
              <w:t xml:space="preserve">Jānorāda, ka nodokļu prasījum prioritāte citos normatīvajos aktos vienmēr netiek noteikta kā augstākā. </w:t>
            </w:r>
            <w:r w:rsidR="00A125BA">
              <w:rPr>
                <w:b/>
                <w:bCs/>
                <w:iCs/>
                <w:color w:val="000000" w:themeColor="text1"/>
                <w:highlight w:val="yellow"/>
              </w:rPr>
              <w:t xml:space="preserve">Proti, </w:t>
            </w:r>
            <w:r>
              <w:rPr>
                <w:b/>
                <w:bCs/>
                <w:iCs/>
                <w:color w:val="000000" w:themeColor="text1"/>
                <w:highlight w:val="yellow"/>
              </w:rPr>
              <w:t>Civilprocesa likumā</w:t>
            </w:r>
            <w:r w:rsidR="00A125BA">
              <w:rPr>
                <w:b/>
                <w:bCs/>
                <w:iCs/>
                <w:color w:val="000000" w:themeColor="text1"/>
                <w:highlight w:val="yellow"/>
              </w:rPr>
              <w:t xml:space="preserve"> (CPL)</w:t>
            </w:r>
            <w:r>
              <w:rPr>
                <w:b/>
                <w:bCs/>
                <w:iCs/>
                <w:color w:val="000000" w:themeColor="text1"/>
                <w:highlight w:val="yellow"/>
              </w:rPr>
              <w:t xml:space="preserve"> atkarībā no atsavināmās mantas veida nodokļu prasījumiem noteikta dažāda prioritātes pakāpe.</w:t>
            </w:r>
            <w:r w:rsidR="00A125BA">
              <w:rPr>
                <w:b/>
                <w:bCs/>
                <w:iCs/>
                <w:color w:val="000000" w:themeColor="text1"/>
                <w:highlight w:val="yellow"/>
              </w:rPr>
              <w:t xml:space="preserve"> Piemēram, tikai pie nekustamā īpašuma atsavināšanas nekustamā īpašuma nodoklim noteikta prioritāte pār citiem prasījumiem, savukārt, atsavinot ieķīlātu kustamu mantu, vispirms sedzami nodrošināto kreditoru prasījumi un tad nodokļu prasījumi. Tāpat CPL 624.</w:t>
            </w:r>
            <w:r w:rsidR="00CE236F">
              <w:rPr>
                <w:b/>
                <w:bCs/>
                <w:iCs/>
                <w:color w:val="000000" w:themeColor="text1"/>
                <w:highlight w:val="yellow"/>
              </w:rPr>
              <w:t xml:space="preserve"> pants vispārīgi </w:t>
            </w:r>
            <w:r w:rsidR="00A125BA">
              <w:rPr>
                <w:b/>
                <w:bCs/>
                <w:iCs/>
                <w:color w:val="000000" w:themeColor="text1"/>
                <w:highlight w:val="yellow"/>
              </w:rPr>
              <w:t xml:space="preserve">paredz, ka </w:t>
            </w:r>
            <w:r w:rsidR="00A125BA" w:rsidRPr="00CE236F">
              <w:rPr>
                <w:b/>
                <w:bCs/>
                <w:iCs/>
                <w:color w:val="000000" w:themeColor="text1"/>
                <w:highlight w:val="yellow"/>
              </w:rPr>
              <w:t xml:space="preserve">prasījumi par nodokļiem apmierināmi </w:t>
            </w:r>
            <w:r w:rsidR="00CE236F" w:rsidRPr="00CE236F">
              <w:rPr>
                <w:b/>
                <w:bCs/>
                <w:iCs/>
                <w:color w:val="000000" w:themeColor="text1"/>
                <w:highlight w:val="yellow"/>
              </w:rPr>
              <w:t>o</w:t>
            </w:r>
            <w:r w:rsidR="00A125BA" w:rsidRPr="00CE236F">
              <w:rPr>
                <w:b/>
                <w:bCs/>
                <w:iCs/>
                <w:color w:val="000000" w:themeColor="text1"/>
                <w:highlight w:val="yellow"/>
              </w:rPr>
              <w:t>trajā kārtā</w:t>
            </w:r>
            <w:r w:rsidR="00CE236F" w:rsidRPr="00CE236F">
              <w:rPr>
                <w:b/>
                <w:bCs/>
                <w:iCs/>
                <w:color w:val="000000" w:themeColor="text1"/>
                <w:highlight w:val="yellow"/>
              </w:rPr>
              <w:t xml:space="preserve"> – tātad nodokļu prasījumiem nav noteikta augstākā </w:t>
            </w:r>
            <w:r w:rsidR="00CE236F" w:rsidRPr="009E2ED7">
              <w:rPr>
                <w:b/>
                <w:bCs/>
                <w:iCs/>
                <w:color w:val="000000" w:themeColor="text1"/>
                <w:highlight w:val="yellow"/>
              </w:rPr>
              <w:t xml:space="preserve">prioritāte. Ievērojot minēto, norādāms, ka Likumprojektā pielīdzinot visus nodokļu prasījumus, kas pieteikti kā pretenzijas mantojuma lietā, </w:t>
            </w:r>
            <w:r w:rsidR="009E2ED7" w:rsidRPr="009E2ED7">
              <w:rPr>
                <w:b/>
                <w:bCs/>
                <w:iCs/>
                <w:color w:val="000000" w:themeColor="text1"/>
                <w:highlight w:val="yellow"/>
              </w:rPr>
              <w:t>nodrošināto kreditoru prasījumiem kopumā tiek uzlabota nodokļus administrējošo iestāžu kā kreditoru situācija.</w:t>
            </w:r>
            <w:r w:rsidR="009E2ED7">
              <w:rPr>
                <w:b/>
                <w:bCs/>
                <w:iCs/>
                <w:color w:val="000000" w:themeColor="text1"/>
              </w:rPr>
              <w:t xml:space="preserve">  </w:t>
            </w:r>
            <w:r w:rsidR="00CE236F">
              <w:rPr>
                <w:b/>
                <w:bCs/>
                <w:iCs/>
                <w:color w:val="000000" w:themeColor="text1"/>
              </w:rPr>
              <w:t xml:space="preserve"> </w:t>
            </w:r>
          </w:p>
          <w:p w14:paraId="497C1C99" w14:textId="77777777" w:rsidR="00F5134D" w:rsidRPr="00BB402A" w:rsidRDefault="00F5134D" w:rsidP="00BB402A">
            <w:pPr>
              <w:rPr>
                <w:b/>
                <w:bCs/>
                <w:iCs/>
                <w:color w:val="000000" w:themeColor="text1"/>
              </w:rPr>
            </w:pPr>
          </w:p>
          <w:p w14:paraId="5D02B46D" w14:textId="77777777" w:rsidR="00BB402A" w:rsidRPr="00BB402A" w:rsidRDefault="00BB402A" w:rsidP="00BB402A">
            <w:pPr>
              <w:rPr>
                <w:iCs/>
                <w:color w:val="000000" w:themeColor="text1"/>
              </w:rPr>
            </w:pPr>
            <w:r w:rsidRPr="00BB402A">
              <w:rPr>
                <w:b/>
                <w:bCs/>
                <w:iCs/>
                <w:color w:val="000000" w:themeColor="text1"/>
              </w:rPr>
              <w:t>Panta ceturtā daļa nosaka, ka mantiniekam, ja no mantojuma nepietiek, lai segtu visus kreditoru, kam ir priekšrocība, prasījumus pilnībā, tad tos sedz samērīgi.</w:t>
            </w:r>
            <w:r w:rsidRPr="00BB402A">
              <w:rPr>
                <w:iCs/>
                <w:color w:val="000000" w:themeColor="text1"/>
              </w:rPr>
              <w:t xml:space="preserve"> Tas nozīmē, ka mantinieks nevar izvēlēties segt viena nodrošinātā kreditora prasījumu un pārējo nē – tas jādara samērīgi ar visu kreditoru prasījumiem. Līdzīgs pienākums Civillikumā paredzēts 1845. pantā, kas nosaka samērīgu norēķināšanos ar kreditoriem, ja to prasījumus nodrošinājis viens ķīlas objekts, kas atsavināts.</w:t>
            </w:r>
          </w:p>
          <w:p w14:paraId="4BD0ACE9" w14:textId="77777777" w:rsidR="00BB402A" w:rsidRPr="00BB402A" w:rsidRDefault="00BB402A" w:rsidP="00BB402A">
            <w:pPr>
              <w:rPr>
                <w:b/>
                <w:bCs/>
                <w:iCs/>
                <w:color w:val="000000" w:themeColor="text1"/>
              </w:rPr>
            </w:pPr>
            <w:r w:rsidRPr="00BB402A">
              <w:rPr>
                <w:b/>
                <w:bCs/>
                <w:iCs/>
                <w:color w:val="000000" w:themeColor="text1"/>
              </w:rPr>
              <w:t>Panta piektā daļa nosaka, ka, ja pēc kreditoru, kam ir priekšrocība, prasījumu segšanas, no mantojuma paliek pāri manta, tad pārējos kreditoru pieteiktos prasījumus sedz samērīgi. Ar šo daļu iepriekšminētie principi par priekšrocību tiek attiecināti arī uz nenodrošinātajiem kreditoriem, ja no mantojuma pietiek, lai segtu arī nenodrošināto kreditoru prasījumus.</w:t>
            </w:r>
          </w:p>
          <w:p w14:paraId="1F865564" w14:textId="77777777" w:rsidR="00BB402A" w:rsidRPr="00BB402A" w:rsidRDefault="00BB402A" w:rsidP="00BB402A">
            <w:pPr>
              <w:rPr>
                <w:iCs/>
                <w:color w:val="000000" w:themeColor="text1"/>
              </w:rPr>
            </w:pPr>
            <w:r w:rsidRPr="00BB402A">
              <w:rPr>
                <w:iCs/>
                <w:color w:val="000000" w:themeColor="text1"/>
              </w:rPr>
              <w:lastRenderedPageBreak/>
              <w:t>Panta sestā daļa nosaka, ka strīdus gadījumā kārtību, kādā notiek norēķināšanās ar mantojuma atstājēja kreditoriem, nosaka tiesa. Mantiniekam ir tiesības celt ierunu, ka tas ievērojot pantā noteiktos principus, savas atbildības apmērā jau ir norēķinājies ar kreditoriem un no pārējiem prasījumiem ir atsvabināts.</w:t>
            </w:r>
          </w:p>
          <w:p w14:paraId="7F86A2A2" w14:textId="77777777" w:rsidR="00BB402A" w:rsidRPr="00BB402A" w:rsidRDefault="00BB402A" w:rsidP="00BB402A">
            <w:pPr>
              <w:rPr>
                <w:iCs/>
                <w:color w:val="000000" w:themeColor="text1"/>
              </w:rPr>
            </w:pPr>
            <w:r w:rsidRPr="00BB402A">
              <w:rPr>
                <w:iCs/>
                <w:color w:val="000000" w:themeColor="text1"/>
              </w:rPr>
              <w:t>Panta septītā daļa nosaka, ka tad, kad mantinieki norēķinājušies ar mantojuma atstājēja kreditoriem mantojuma vērtībā, no tiem vairs nevar prasīt, lai tie nomaksā atlikušos mantojuma atstājēja parādus, tādējādi Likumprojektā nostiprinot mantinieku ierobežoto atbildību pret mantojuma atstājēja kreditoriem.</w:t>
            </w:r>
          </w:p>
          <w:p w14:paraId="6B1A21BA" w14:textId="77777777" w:rsidR="00BB402A" w:rsidRPr="00BB402A" w:rsidRDefault="00BB402A" w:rsidP="00BB402A">
            <w:pPr>
              <w:rPr>
                <w:iCs/>
                <w:color w:val="000000" w:themeColor="text1"/>
              </w:rPr>
            </w:pPr>
            <w:r w:rsidRPr="00BB402A">
              <w:rPr>
                <w:b/>
                <w:bCs/>
                <w:iCs/>
                <w:color w:val="000000" w:themeColor="text1"/>
              </w:rPr>
              <w:t>4. Grozīts Civillikuma 708. pants.</w:t>
            </w:r>
            <w:r w:rsidRPr="00BB402A">
              <w:rPr>
                <w:iCs/>
                <w:color w:val="000000" w:themeColor="text1"/>
              </w:rPr>
              <w:t xml:space="preserve"> Šobrīd pants regulē iespēju mantiniekiem izmantot inventāra tiesību. Pants tiek izteikts jaunā redakcijā, atsakoties no inventāra tiesības institūta un paredzot</w:t>
            </w:r>
            <w:r w:rsidRPr="00BB402A" w:rsidDel="00F80D90">
              <w:rPr>
                <w:iCs/>
                <w:color w:val="000000" w:themeColor="text1"/>
              </w:rPr>
              <w:t xml:space="preserve"> </w:t>
            </w:r>
            <w:r w:rsidRPr="00BB402A">
              <w:rPr>
                <w:iCs/>
                <w:color w:val="000000" w:themeColor="text1"/>
              </w:rPr>
              <w:t>ietvaru mantinieku atbildībai pret kreditoriem attiecībā uz mantotās mantas uzturēšanu, samazinājumu un bojāeju. Darba grupā secināts, ka mantinieka atbildība šādos gadījumos būtu jāparedz tāda pati kā Civillikuma 492. pantā paredzēta pirmmantinieku atbildība pret pēcmantiniekiem attiecībā uz mantojuma saglabāšanu. Skaidrībai papildus noteikts, ka arī par mantas bojā eju atbild mantinieki.</w:t>
            </w:r>
          </w:p>
          <w:p w14:paraId="648CC698" w14:textId="77777777" w:rsidR="00BB402A" w:rsidRPr="00BB402A" w:rsidRDefault="00BB402A" w:rsidP="00BB402A">
            <w:pPr>
              <w:rPr>
                <w:iCs/>
                <w:color w:val="000000" w:themeColor="text1"/>
              </w:rPr>
            </w:pPr>
            <w:r w:rsidRPr="00BB402A">
              <w:rPr>
                <w:b/>
                <w:bCs/>
                <w:iCs/>
                <w:color w:val="000000" w:themeColor="text1"/>
              </w:rPr>
              <w:t>5. Grozīts Civillikuma 709. pants.</w:t>
            </w:r>
            <w:r w:rsidRPr="00BB402A">
              <w:rPr>
                <w:iCs/>
                <w:color w:val="000000" w:themeColor="text1"/>
              </w:rPr>
              <w:t xml:space="preserve"> Šobrīd pants paredz pienākumu mantiniekiem, kas vēlas izmantot inventāra tiesību, noteiktā periodā griezties pie zvērināta notāra par inventāra saraksta sastādīšanu. Atbilstoši Likumprojektam pants tiek izteikts jaunā redakcijā, ņemot vērā, ka katrā mantojuma lietā turpmāk sastādāms mantojuma saraksts. Pants nosaka kreditoru tiesības: 1) iepazīties ar mantojuma sarakstu, ņemot vērā, ka mantinieku atbildība ir ierobežota ar mantoto; 2) apstrīdēt mantojuma sarakstā iekļautas mantas vērtību, ko novērtējuši paši mantinieki. Proti, ja kreditora ieskatā mantas vērtība norādīta zemāka par lietu parasto vērtību (tirgus cenu), tad kreditoram, ir tiesības prasīt, lai mantu novērtē eksperts. Izdevumus, kas no tā rodas, sedz no mantojuma kā izdevumus, kas saistīti ar mantojuma lietas vešanu; 3) pieprasīt, lai mantojuma sarakstu sastāda zvērināts tiesu izpildītājs, ja mantojuma sarakstu sastādījuši paši mantinieki. Minētie tiesiskie mehānismi iekļauti Civillikumā, lai maksimāli nodrošinātu kreditoru tiesības saņemt savu prasījumu apmierinājumu no mantojuma. </w:t>
            </w:r>
          </w:p>
          <w:p w14:paraId="07AB8FF6" w14:textId="77777777" w:rsidR="00BB402A" w:rsidRPr="00BB402A" w:rsidRDefault="00BB402A" w:rsidP="00BB402A">
            <w:pPr>
              <w:rPr>
                <w:iCs/>
                <w:color w:val="000000" w:themeColor="text1"/>
              </w:rPr>
            </w:pPr>
            <w:r w:rsidRPr="00BB402A">
              <w:rPr>
                <w:b/>
                <w:bCs/>
                <w:iCs/>
                <w:color w:val="000000" w:themeColor="text1"/>
              </w:rPr>
              <w:t>6. Grozīts Civillikuma 710. pants.</w:t>
            </w:r>
            <w:r w:rsidRPr="00BB402A">
              <w:rPr>
                <w:iCs/>
                <w:color w:val="000000" w:themeColor="text1"/>
              </w:rPr>
              <w:t xml:space="preserve"> Grozījums pēc būtības neko nemaina, tikai aizstāj inventāra saraksta sastādīšanu ar mantojuma saraksta sastādīšanu.</w:t>
            </w:r>
          </w:p>
          <w:p w14:paraId="5BBE8291" w14:textId="77777777" w:rsidR="00BB402A" w:rsidRPr="00BB402A" w:rsidRDefault="00BB402A" w:rsidP="00BB402A">
            <w:pPr>
              <w:rPr>
                <w:color w:val="000000" w:themeColor="text1"/>
              </w:rPr>
            </w:pPr>
            <w:r w:rsidRPr="00BB402A">
              <w:rPr>
                <w:b/>
                <w:bCs/>
                <w:iCs/>
                <w:color w:val="000000" w:themeColor="text1"/>
              </w:rPr>
              <w:t xml:space="preserve">7. Grozīts Civillikuma 711. pants. </w:t>
            </w:r>
            <w:r w:rsidRPr="00BB402A">
              <w:rPr>
                <w:iCs/>
                <w:color w:val="000000" w:themeColor="text1"/>
              </w:rPr>
              <w:t xml:space="preserve">Grozījums pielāgo spēkā esošo redakciju jaunajam mantinieku atbildības modelim. Vienlaikus pants tiek papildināts ar to, ka </w:t>
            </w:r>
            <w:r w:rsidRPr="00BB402A">
              <w:rPr>
                <w:color w:val="000000" w:themeColor="text1"/>
              </w:rPr>
              <w:t>arī kreditora izdevumi par mantojuma saraksta sastādīšanu atvelkami no mantojuma pirms citiem parādiem un prasījumiem.</w:t>
            </w:r>
          </w:p>
          <w:p w14:paraId="36A3E957" w14:textId="77777777" w:rsidR="00BB402A" w:rsidRPr="00BB402A" w:rsidRDefault="00BB402A" w:rsidP="00BB402A">
            <w:pPr>
              <w:rPr>
                <w:color w:val="000000" w:themeColor="text1"/>
              </w:rPr>
            </w:pPr>
            <w:r w:rsidRPr="00BB402A">
              <w:rPr>
                <w:color w:val="000000" w:themeColor="text1"/>
              </w:rPr>
              <w:t xml:space="preserve">Būtiskākās izmaiņas paredzētās salāgojot šajā pantā ietverto tiesisko regulējumu ar Civillikuma 703. panta otro daļu, kas paredz, ka ar mantojuma iegūšanu izbeidzas visi mantojuma atstājēja prasījumi pret mantinieku un, otrādi, mantinieka prasījumi pret mantojuma atstājēju. Līdz ar ko no 711. panta tiek svītrots teikums par to, ka mantinieka paša prasījumi pret mantojuma atstājēju neizbeidzas, bet tiek segti pēc priekšrocības. Šāds princips tiek piemērots saskaņā ar šobrīd spēkā esošo regulējumu, tad, kad mantojums tiek pieņemts ar inventāra tiesību. Šobrīd mantošana ar ierobežotu atbildību būs vienīgais mantošanas veids, līdz ar ko tiek saglabāts </w:t>
            </w:r>
            <w:r w:rsidRPr="00BB402A">
              <w:rPr>
                <w:color w:val="000000" w:themeColor="text1"/>
              </w:rPr>
              <w:lastRenderedPageBreak/>
              <w:t xml:space="preserve">vispārējais mantošanas princips, kas nosaka, ka mantinieka prasījumi pret mantojuma atstājēju ar mantojuma pieņemšanu izbeidzas. </w:t>
            </w:r>
          </w:p>
          <w:p w14:paraId="493B8153" w14:textId="77777777" w:rsidR="00BB402A" w:rsidRPr="00BB402A" w:rsidRDefault="00BB402A" w:rsidP="00BB402A">
            <w:pPr>
              <w:rPr>
                <w:color w:val="000000" w:themeColor="text1"/>
              </w:rPr>
            </w:pPr>
            <w:r w:rsidRPr="00BB402A">
              <w:rPr>
                <w:b/>
                <w:bCs/>
                <w:color w:val="000000" w:themeColor="text1"/>
              </w:rPr>
              <w:t>Noslēgumā par mantojuma pieņemšanu ar ierobežotu mantinieku atbildību, kā vienīgo mantošanas veidu, jānorāda,</w:t>
            </w:r>
            <w:r w:rsidRPr="00BB402A">
              <w:rPr>
                <w:color w:val="000000" w:themeColor="text1"/>
              </w:rPr>
              <w:t xml:space="preserve"> ka Likumprojekta izstrādes gaitā Darba grupā un citu pieaicināto ekspertu vidū tika daudz diskutēts, un diskusiju rezultātā tika panākta vienošanās, ka mūsdienu civiltiesību tendencēm un straujajam ekonomiskajam ritmam tomēr piemērotāka ir mantojuma pieņemšanas sistēma, kur paredzēta ierobežota mantinieku atbildību pret mantojuma atstājēja kreditoriem. </w:t>
            </w:r>
          </w:p>
          <w:p w14:paraId="0ADD3B60" w14:textId="77777777" w:rsidR="00BB402A" w:rsidRPr="00BB402A" w:rsidRDefault="00BB402A" w:rsidP="00BB402A">
            <w:pPr>
              <w:rPr>
                <w:color w:val="000000" w:themeColor="text1"/>
              </w:rPr>
            </w:pPr>
            <w:r w:rsidRPr="00BB402A">
              <w:rPr>
                <w:color w:val="000000" w:themeColor="text1"/>
              </w:rPr>
              <w:t>Turklāt jāvērš uzmanība, ka sabiedriskās domas attīstības gaitā mantošanas pamatideja ir mainījusies cauri laikiem. Proti, mantošanai vairs nav izteikta personiska rakstura – turpināt mirušā personību (un tāpēc stāties mirušā saistībās pēc pilna apmēra), kā tas bija Romas impērijas laikos. Mūsdienās mantošanai vairāk ir mantiska nozīme, kas nozīmē neturpināt mirušā personu un neuzņemties neko, kas pārsniedz mantojumā atstāto. Minētais neizslēdz, ka mantinieks, ja, piemēram, uzskata to par goda lietu, var norēķināties ar kreditoriem, pārsniedzot mantotā apmēru, tikai tas vairs nav mantinieku pienākums.</w:t>
            </w:r>
          </w:p>
          <w:p w14:paraId="643B8CC4" w14:textId="77777777" w:rsidR="00BB402A" w:rsidRPr="00BB402A" w:rsidRDefault="00BB402A" w:rsidP="00BB402A">
            <w:pPr>
              <w:rPr>
                <w:color w:val="000000" w:themeColor="text1"/>
              </w:rPr>
            </w:pPr>
            <w:r w:rsidRPr="00BB402A">
              <w:rPr>
                <w:color w:val="000000" w:themeColor="text1"/>
              </w:rPr>
              <w:t xml:space="preserve">Visi minēti grozījumi, kas saistīti ar mantinieku atbildības robežu noteikšanu domāti situācijām, kad no mantojuma nepietiek visu kreditoru pretenziju apmierināšanai - pasīvi pārsniedz aktīvus. </w:t>
            </w:r>
          </w:p>
          <w:p w14:paraId="5B943290" w14:textId="77777777" w:rsidR="00BB402A" w:rsidRPr="00BB402A" w:rsidRDefault="00BB402A" w:rsidP="00BB402A">
            <w:pPr>
              <w:rPr>
                <w:color w:val="000000" w:themeColor="text1"/>
              </w:rPr>
            </w:pPr>
            <w:r w:rsidRPr="00BB402A">
              <w:rPr>
                <w:color w:val="000000" w:themeColor="text1"/>
              </w:rPr>
              <w:t>Gadījumos, kad aktīvi pārsniedz pasīvus, mantiniekiem saglabājas pienākums norēķināties ar kreditoriem pilnībā. Minētais neizslēdz mantinieku tiesības apstrīdēt pieteiktās kreditoru pretenzijas vai to apmēru.</w:t>
            </w:r>
          </w:p>
          <w:p w14:paraId="69C1E3C6" w14:textId="77777777" w:rsidR="00831FA2" w:rsidRPr="00C82B48" w:rsidRDefault="00831FA2" w:rsidP="00CD023C">
            <w:pPr>
              <w:rPr>
                <w:color w:val="000000" w:themeColor="text1"/>
              </w:rPr>
            </w:pPr>
          </w:p>
        </w:tc>
      </w:tr>
    </w:tbl>
    <w:p w14:paraId="57AC628B" w14:textId="55DC0FD7" w:rsidR="00D74081" w:rsidRDefault="00D74081" w:rsidP="002476D5">
      <w:pPr>
        <w:rPr>
          <w:color w:val="000000" w:themeColor="text1"/>
        </w:rPr>
      </w:pPr>
    </w:p>
    <w:p w14:paraId="6EBFEF0C" w14:textId="18F63FD3" w:rsidR="00ED7F86" w:rsidRDefault="00831FA2" w:rsidP="00ED7F86">
      <w:pPr>
        <w:rPr>
          <w:b/>
          <w:color w:val="000000" w:themeColor="text1"/>
        </w:rPr>
      </w:pPr>
      <w:r w:rsidRPr="00831FA2">
        <w:rPr>
          <w:b/>
          <w:color w:val="000000" w:themeColor="text1"/>
        </w:rPr>
        <w:t xml:space="preserve">Problēmas apraksts </w:t>
      </w:r>
    </w:p>
    <w:p w14:paraId="27BDDBC8" w14:textId="77777777" w:rsidR="00ED7F86" w:rsidRPr="00ED7F86" w:rsidRDefault="00ED7F86" w:rsidP="00E9419A">
      <w:pPr>
        <w:jc w:val="center"/>
        <w:rPr>
          <w:b/>
          <w:bCs/>
          <w:color w:val="000000" w:themeColor="text1"/>
        </w:rPr>
      </w:pPr>
      <w:r w:rsidRPr="00ED7F86">
        <w:rPr>
          <w:b/>
          <w:bCs/>
          <w:color w:val="000000" w:themeColor="text1"/>
        </w:rPr>
        <w:t>IV. Mantojuma aizgādnība.</w:t>
      </w:r>
    </w:p>
    <w:p w14:paraId="39A560D2" w14:textId="77777777" w:rsidR="00ED7F86" w:rsidRPr="00ED7F86" w:rsidRDefault="00ED7F86" w:rsidP="00ED7F86">
      <w:pPr>
        <w:rPr>
          <w:bCs/>
          <w:color w:val="000000" w:themeColor="text1"/>
        </w:rPr>
      </w:pPr>
      <w:r w:rsidRPr="00ED7F86">
        <w:rPr>
          <w:bCs/>
          <w:color w:val="000000" w:themeColor="text1"/>
        </w:rPr>
        <w:t>Aizgādnība pār mantojumu ir viens no Civillikumā regulētiem aizgādnības veidiem. Mantojums kā juridiska persona var darboties ar savu reprezentantu, mantojuma aizgādni, kamēr mantojuma atstājēja vietā nav iestājies viņa tiesību pārņēmējs – mantinieks.</w:t>
      </w:r>
      <w:r w:rsidRPr="00ED7F86">
        <w:rPr>
          <w:bCs/>
          <w:color w:val="000000" w:themeColor="text1"/>
          <w:vertAlign w:val="superscript"/>
        </w:rPr>
        <w:footnoteReference w:id="17"/>
      </w:r>
      <w:r w:rsidRPr="00ED7F86">
        <w:rPr>
          <w:bCs/>
          <w:color w:val="000000" w:themeColor="text1"/>
        </w:rPr>
        <w:t xml:space="preserve"> Šobrīd mantojuma aizgādnībai atbilstoši Civillikuma 662. pantam piemērojams nepilngadīgā mantas pārvaldības režīms. Minētais nozīmē, ka mantojuma aizgādni, kas atbilstoši Civillikumam darbojas patstāvīgi, tomēr tā darbībās ir jāuzrauga bāriņtiesai. Turklāt atsevišķos gadījumos, kad darījuma summa pārsniedz 14 000 </w:t>
      </w:r>
      <w:proofErr w:type="spellStart"/>
      <w:r w:rsidRPr="00ED7F86">
        <w:rPr>
          <w:bCs/>
          <w:i/>
          <w:iCs/>
          <w:color w:val="000000" w:themeColor="text1"/>
        </w:rPr>
        <w:t>euro</w:t>
      </w:r>
      <w:proofErr w:type="spellEnd"/>
      <w:r w:rsidRPr="00ED7F86">
        <w:rPr>
          <w:bCs/>
          <w:color w:val="000000" w:themeColor="text1"/>
        </w:rPr>
        <w:t>, iecerētajai darbībai nepieciešams saņemt tiesas atļauju (Civillikuma 279., 280. pants).</w:t>
      </w:r>
    </w:p>
    <w:p w14:paraId="188037FA" w14:textId="77777777" w:rsidR="00ED7F86" w:rsidRPr="00ED7F86" w:rsidRDefault="00ED7F86" w:rsidP="00ED7F86">
      <w:pPr>
        <w:rPr>
          <w:bCs/>
          <w:color w:val="000000" w:themeColor="text1"/>
        </w:rPr>
      </w:pPr>
      <w:r w:rsidRPr="00ED7F86">
        <w:rPr>
          <w:bCs/>
          <w:color w:val="000000" w:themeColor="text1"/>
        </w:rPr>
        <w:t xml:space="preserve">Mantojuma </w:t>
      </w:r>
      <w:r w:rsidRPr="00ED7F86">
        <w:rPr>
          <w:b/>
          <w:bCs/>
          <w:color w:val="000000" w:themeColor="text1"/>
        </w:rPr>
        <w:t>kā juridiskas personas</w:t>
      </w:r>
      <w:r w:rsidRPr="00ED7F86">
        <w:rPr>
          <w:bCs/>
          <w:color w:val="000000" w:themeColor="text1"/>
        </w:rPr>
        <w:t xml:space="preserve"> aizgādnības institūts ir ticis pārskatīts jau 2014. gadā ar likumu </w:t>
      </w:r>
      <w:r w:rsidRPr="00ED7F86">
        <w:rPr>
          <w:bCs/>
          <w:iCs/>
          <w:color w:val="000000" w:themeColor="text1"/>
        </w:rPr>
        <w:t>"</w:t>
      </w:r>
      <w:r w:rsidRPr="00ED7F86">
        <w:rPr>
          <w:bCs/>
          <w:color w:val="000000" w:themeColor="text1"/>
        </w:rPr>
        <w:t>Grozījumi Civillikumā</w:t>
      </w:r>
      <w:r w:rsidRPr="00ED7F86">
        <w:rPr>
          <w:bCs/>
          <w:iCs/>
          <w:color w:val="000000" w:themeColor="text1"/>
        </w:rPr>
        <w:t>". Jau toreiz likumprojekta anotācijā norādīts, ka</w:t>
      </w:r>
      <w:r w:rsidRPr="00ED7F86">
        <w:rPr>
          <w:bCs/>
          <w:color w:val="000000" w:themeColor="text1"/>
        </w:rPr>
        <w:t xml:space="preserve"> mantojuma aizgādnības būtība ir radīt efektīvu mehānismu, kas nodrošinātu pilnvērtīgu mantojuma darbību līdz brīdim, kamēr to pārņem mantinieki. Diemžēl pašreizējais mantojuma aizgādnības nodibināšanas regulējums ar tiesas līdzdalību ir laikietilpīgs un sarežģīts, kas nenodrošina mantojuma aizgādnības nodibināšanas primāro funkciju – operatīvu rīcību.</w:t>
      </w:r>
      <w:r w:rsidRPr="00ED7F86">
        <w:rPr>
          <w:bCs/>
          <w:color w:val="000000" w:themeColor="text1"/>
          <w:vertAlign w:val="superscript"/>
        </w:rPr>
        <w:footnoteReference w:id="18"/>
      </w:r>
      <w:r w:rsidRPr="00ED7F86">
        <w:rPr>
          <w:bCs/>
          <w:color w:val="000000" w:themeColor="text1"/>
        </w:rPr>
        <w:t xml:space="preserve"> Minēto grozījumu rezultātā </w:t>
      </w:r>
      <w:r w:rsidRPr="00ED7F86">
        <w:rPr>
          <w:bCs/>
          <w:color w:val="000000" w:themeColor="text1"/>
        </w:rPr>
        <w:lastRenderedPageBreak/>
        <w:t>mantojuma aizgādnības nodibināšanas funkcija, kas agrāk bija tiesas kompetencē, tika nodota notāriem. Lai gan aizgādnības nodibināšana tādējādi ir kļuvusi ātrāka, tomēr jānorāda, ka mantojuma aizgādnības process šobrīd tik un tā ir ar savu problemātiku.</w:t>
      </w:r>
    </w:p>
    <w:p w14:paraId="09F02394" w14:textId="77777777" w:rsidR="00ED7F86" w:rsidRPr="00ED7F86" w:rsidRDefault="00ED7F86" w:rsidP="00ED7F86">
      <w:pPr>
        <w:rPr>
          <w:bCs/>
          <w:color w:val="000000" w:themeColor="text1"/>
        </w:rPr>
      </w:pPr>
      <w:r w:rsidRPr="00ED7F86">
        <w:rPr>
          <w:bCs/>
          <w:color w:val="000000" w:themeColor="text1"/>
        </w:rPr>
        <w:t xml:space="preserve">Proti, nosakot mantojuma kā juridiskas personas aizgādnībai nepilngadīgā mantas pārvaldības režīmu, bāriņtiesai piešķirta kontroles funkcija pār mantojuma kā juridiskas personas aizgādni. Kas nozīmē bāriņtiesas aktīvu iesaistīšanos katrā mantojuma kā juridiskas personas aizgādnībā un tās aizgādņa darbībā. Savukārt bāriņtiesa ir iestāde, kurai ir uzticēta valsts funkcija ļoti </w:t>
      </w:r>
      <w:proofErr w:type="spellStart"/>
      <w:r w:rsidRPr="00ED7F86">
        <w:rPr>
          <w:bCs/>
          <w:color w:val="000000" w:themeColor="text1"/>
        </w:rPr>
        <w:t>sensitīvā</w:t>
      </w:r>
      <w:proofErr w:type="spellEnd"/>
      <w:r w:rsidRPr="00ED7F86">
        <w:rPr>
          <w:bCs/>
          <w:color w:val="000000" w:themeColor="text1"/>
        </w:rPr>
        <w:t xml:space="preserve"> tiesību aizsardzības jomā – bērnu tiesību un interešu aizsardzībā. Tāpat bāriņtiesa ir krīzes situāciju risināšanas iestāde, kuras primārā funkcija </w:t>
      </w:r>
      <w:r w:rsidRPr="00ED7F86">
        <w:rPr>
          <w:b/>
          <w:bCs/>
          <w:color w:val="000000" w:themeColor="text1"/>
        </w:rPr>
        <w:t>ir nodrošināt bērna un aizgādnībā esošās fiziskas personas tiesību un interešu aizsardzību, nevis īstenot mantojuma kā juridiskas personas aizgādņa uzraudzības funkciju.</w:t>
      </w:r>
      <w:r w:rsidRPr="00ED7F86">
        <w:rPr>
          <w:bCs/>
          <w:color w:val="000000" w:themeColor="text1"/>
        </w:rPr>
        <w:t xml:space="preserve"> Attiecīgi bāriņtiesa prioritāri nodrošina bērna vai aizgādnībā esošās fiziskas personas tiesību un tiesisko interešu aizsardzību, līdz ar to bāriņtiesai ar likumu uzlikto pienākumu izpildē ir jāievēro, ka prioritāras ir tās darbības, kas saistītas ar bērna vai citas personas ar ierobežotu rīcībspēju tiesību un tiesisko interešu aizsardzību. </w:t>
      </w:r>
      <w:r w:rsidRPr="00ED7F86">
        <w:rPr>
          <w:b/>
          <w:bCs/>
          <w:color w:val="000000" w:themeColor="text1"/>
        </w:rPr>
        <w:t>Ievērojot minēto un bāriņtiesām noteikto plašo kompetenču dēļ, bāriņtiesu resursi, kas primāri būtu jāpatērē uz bērnu un citu mazāk aizsargāto fizisko personu interešu aizstāvību, tiek tērēti arī mantojuma kā juridiskas personas (mantojuma kopības) aizgādņa uzraudzībā.</w:t>
      </w:r>
      <w:r w:rsidRPr="00ED7F86">
        <w:rPr>
          <w:bCs/>
          <w:color w:val="000000" w:themeColor="text1"/>
        </w:rPr>
        <w:t xml:space="preserve"> Tādējādi Tieslietu ministrijas ieskatā mantojuma kā juridiskas personas aizgādņa kontrole nav bāriņtiesām raksturīga funkcija, kas šobrīd tomēr tām ir noteikta kā kompetence un vienlaikus tērē bāriņtiesu resursus.</w:t>
      </w:r>
    </w:p>
    <w:p w14:paraId="5C918941" w14:textId="77777777" w:rsidR="00ED7F86" w:rsidRPr="00ED7F86" w:rsidRDefault="00ED7F86" w:rsidP="00ED7F86">
      <w:pPr>
        <w:rPr>
          <w:bCs/>
          <w:color w:val="000000" w:themeColor="text1"/>
        </w:rPr>
      </w:pPr>
      <w:r w:rsidRPr="00ED7F86">
        <w:rPr>
          <w:bCs/>
          <w:color w:val="000000" w:themeColor="text1"/>
        </w:rPr>
        <w:t xml:space="preserve">Ievērojot minēto, Tieslietu ministrija 2019. gadā veica bāriņtiesu aptauju, cita starpā, vaicājot, vai mantojuma aizgādņa uzraudzība bāriņtiesām sagādā problēmas un vai bāriņtiesa vienmēr spēj izvērtēt aizgādņa plānotās rīcības, kas aizgādnim jāsaskaņo ar bāriņtiesu, ietekmi uz mantojumu. Tāpat aptaujā tika jautāts, vai bāriņtiesas ir </w:t>
      </w:r>
      <w:proofErr w:type="spellStart"/>
      <w:r w:rsidRPr="00ED7F86">
        <w:rPr>
          <w:bCs/>
          <w:color w:val="000000" w:themeColor="text1"/>
        </w:rPr>
        <w:t>saskārušās</w:t>
      </w:r>
      <w:proofErr w:type="spellEnd"/>
      <w:r w:rsidRPr="00ED7F86">
        <w:rPr>
          <w:bCs/>
          <w:color w:val="000000" w:themeColor="text1"/>
        </w:rPr>
        <w:t xml:space="preserve"> ar sarežģītiem gadījumiem, īstenojot mantojuma aizgādņa uzraudzību.</w:t>
      </w:r>
    </w:p>
    <w:p w14:paraId="564B6E0F" w14:textId="77777777" w:rsidR="00ED7F86" w:rsidRPr="00ED7F86" w:rsidRDefault="00ED7F86" w:rsidP="00ED7F86">
      <w:pPr>
        <w:rPr>
          <w:bCs/>
          <w:color w:val="000000" w:themeColor="text1"/>
        </w:rPr>
      </w:pPr>
      <w:r w:rsidRPr="00ED7F86">
        <w:rPr>
          <w:bCs/>
          <w:color w:val="000000" w:themeColor="text1"/>
        </w:rPr>
        <w:t xml:space="preserve">Aptaujas ietvaros tika aptaujātas 63 Latvijas bāriņtiesas. Tādējādi lielākā daļa Latvijas bāriņtiesas ir sniegušas savu viedokli par bāriņtiesu iesaisti mantojuma aizgādnībā. </w:t>
      </w:r>
    </w:p>
    <w:p w14:paraId="26CA216C" w14:textId="77777777" w:rsidR="00ED7F86" w:rsidRPr="00ED7F86" w:rsidRDefault="00ED7F86" w:rsidP="00ED7F86">
      <w:pPr>
        <w:rPr>
          <w:bCs/>
          <w:color w:val="000000" w:themeColor="text1"/>
        </w:rPr>
      </w:pPr>
      <w:r w:rsidRPr="00ED7F86">
        <w:rPr>
          <w:bCs/>
          <w:color w:val="000000" w:themeColor="text1"/>
        </w:rPr>
        <w:t xml:space="preserve">Virspusīgi aplūkojot atbildes, redzams, ka 35 bāriņtiesas saskata problemātiku tajā, ka bāriņtiesām ir noteikts pienākums uzraudzīt mantojuma aizgādni atbilstoši nepilngadīgā mantas pārvaldības režīmam, 24 bāriņtiesas nesaskata problēmas mantojuma aizgādņa uzraudzībā un 4 bāriņtiesām nav viedoklis par minētajiem jautājumiem. </w:t>
      </w:r>
    </w:p>
    <w:p w14:paraId="3370FC42" w14:textId="77777777" w:rsidR="00ED7F86" w:rsidRPr="00ED7F86" w:rsidRDefault="00ED7F86" w:rsidP="00ED7F86">
      <w:pPr>
        <w:rPr>
          <w:bCs/>
          <w:color w:val="000000" w:themeColor="text1"/>
        </w:rPr>
      </w:pPr>
      <w:r w:rsidRPr="00ED7F86">
        <w:rPr>
          <w:bCs/>
          <w:color w:val="000000" w:themeColor="text1"/>
        </w:rPr>
        <w:t>Tomēr, iedziļinoties bāriņtiesu atbildēs, iespējams izdarīt precīzākus secinājumus, tajā skaitā, kāpēc ir bāriņtiesas, kas noteiktajā kompetencē uzraudzīt mantojuma aizgādņus nesaskata problemātiku un kāpēc ir bāriņtiesas, kas mantojuma aizgādņa uzraudzībā saskata problemātiku, un kāpēc ir bāriņtiesas, kam nav viedokļa.</w:t>
      </w:r>
    </w:p>
    <w:p w14:paraId="108A4985" w14:textId="77777777" w:rsidR="00ED7F86" w:rsidRPr="00ED7F86" w:rsidRDefault="00ED7F86" w:rsidP="00ED7F86">
      <w:pPr>
        <w:rPr>
          <w:bCs/>
          <w:color w:val="000000" w:themeColor="text1"/>
        </w:rPr>
      </w:pPr>
      <w:r w:rsidRPr="00ED7F86">
        <w:rPr>
          <w:bCs/>
          <w:color w:val="000000" w:themeColor="text1"/>
        </w:rPr>
        <w:t>Proti:</w:t>
      </w:r>
    </w:p>
    <w:p w14:paraId="2433291E" w14:textId="77777777" w:rsidR="00ED7F86" w:rsidRPr="00ED7F86" w:rsidRDefault="00ED7F86" w:rsidP="00ED7F86">
      <w:pPr>
        <w:rPr>
          <w:bCs/>
          <w:color w:val="000000" w:themeColor="text1"/>
        </w:rPr>
      </w:pPr>
      <w:r w:rsidRPr="00ED7F86">
        <w:rPr>
          <w:bCs/>
          <w:color w:val="000000" w:themeColor="text1"/>
        </w:rPr>
        <w:t xml:space="preserve">1) ir bāriņtiesas, kas mantojuma aizgādņa kontrolei pieiet formāli, atsaucoties uz Civillikuma 662. panta pirmo teikumu, kas nosaka, ka aizgādņi mantojuma pārvaldībā un pārstāvēšanā rīkojas patstāvīgi un vienlaikus neņem vērā tālāk pantā iekļauto atsauci, kas paredz mantojuma aizgādnībai nepilngadīgā mantas pārvaldības režīmu (269. p un turpmākie panti). </w:t>
      </w:r>
    </w:p>
    <w:p w14:paraId="59BD2768" w14:textId="77777777" w:rsidR="00ED7F86" w:rsidRPr="00ED7F86" w:rsidRDefault="00ED7F86" w:rsidP="00ED7F86">
      <w:pPr>
        <w:rPr>
          <w:bCs/>
          <w:color w:val="000000" w:themeColor="text1"/>
        </w:rPr>
      </w:pPr>
      <w:r w:rsidRPr="00ED7F86">
        <w:rPr>
          <w:bCs/>
          <w:color w:val="000000" w:themeColor="text1"/>
        </w:rPr>
        <w:lastRenderedPageBreak/>
        <w:t xml:space="preserve">Līdz ar to šīs bāriņtiesas nekontrolē aizgādni tā, kā to šobrīd prasa Civillikums pie nepilngadīgā mantas pārvaldības. Piemēram, lai pārdotu mantojumā ietilpstošu mantu vai nekustamo īpašumu, vai slēgtu ar kreditoriem izlīgumu, mantojuma aizgādnim šobrīd nepieciešams saņemt bāriņtiesas atļauju (bāriņtiesas </w:t>
      </w:r>
      <w:proofErr w:type="spellStart"/>
      <w:r w:rsidRPr="00ED7F86">
        <w:rPr>
          <w:bCs/>
          <w:color w:val="000000" w:themeColor="text1"/>
        </w:rPr>
        <w:t>izvērtējumu</w:t>
      </w:r>
      <w:proofErr w:type="spellEnd"/>
      <w:r w:rsidRPr="00ED7F86">
        <w:rPr>
          <w:bCs/>
          <w:color w:val="000000" w:themeColor="text1"/>
        </w:rPr>
        <w:t xml:space="preserve">), tomēr ir bāriņtiesas, kas uzskata, ka šīs prasības uz mantojuma aizgādnību neattiecas un līdz ar to šāda veida uzraudzību pār mantojuma aizgādni neīsteno. Proti, bāriņtiesas nevērtē paredzēto darbību, tās ietekmi un nedod mantojuma aizgādņiem atļaujas/aizliegumus iecerētās darbības īstenošanai. Tādējādi ir bāriņtiesas, kas tikai formāli īsteno mantojuma aizgādņa uzraudzību, pretēji tam, ko šobrīd paredz Civillikums. Līdz ar ko, šīs bāriņtiesas nesaredz problemātiku mantojuma aizgādņa uzraudzībā, jo tā faktiski nenotiek. Tāpat šīs bāriņtiesas norāda, ka nav </w:t>
      </w:r>
      <w:proofErr w:type="spellStart"/>
      <w:r w:rsidRPr="00ED7F86">
        <w:rPr>
          <w:bCs/>
          <w:color w:val="000000" w:themeColor="text1"/>
        </w:rPr>
        <w:t>saskārušās</w:t>
      </w:r>
      <w:proofErr w:type="spellEnd"/>
      <w:r w:rsidRPr="00ED7F86">
        <w:rPr>
          <w:bCs/>
          <w:color w:val="000000" w:themeColor="text1"/>
        </w:rPr>
        <w:t xml:space="preserve"> ar sarežģītiem mantojuma aizgādnības gadījumiem, kas ir likumsakarīgi, ja reāla iedziļināšanās mantojuma aizgādnības procesā nenotiek;</w:t>
      </w:r>
    </w:p>
    <w:p w14:paraId="489DB3DF" w14:textId="77777777" w:rsidR="00ED7F86" w:rsidRPr="00ED7F86" w:rsidRDefault="00ED7F86" w:rsidP="00ED7F86">
      <w:pPr>
        <w:rPr>
          <w:bCs/>
          <w:color w:val="000000" w:themeColor="text1"/>
        </w:rPr>
      </w:pPr>
      <w:r w:rsidRPr="00ED7F86">
        <w:rPr>
          <w:bCs/>
          <w:color w:val="000000" w:themeColor="text1"/>
        </w:rPr>
        <w:t>2) savukārt atbilstoši aptaujai tās bāriņtiesas, kas aizgādņa uzraudzību īsteno atbilstoši Civillikuma prasībām, norāda, ka gadījumos, kad ir jāuzrauga mantojuma aizgādņa darbības tādās mantojuma lietās, kur ir komplicēti tiesiskie apstākļi, piemēram, kur mantojuma masā ietilpst gan juridiskās personas kapitāla daļas, finanšu instrumenti, vērtspapīri, gan citi aktīvi, dažādi prasījumi vai tiesības, mantojuma aizgādņa uzraudzība ir sarežģīta un apgrūtinoša.</w:t>
      </w:r>
    </w:p>
    <w:p w14:paraId="650A4BD9" w14:textId="77777777" w:rsidR="00ED7F86" w:rsidRPr="00ED7F86" w:rsidRDefault="00ED7F86" w:rsidP="00ED7F86">
      <w:pPr>
        <w:rPr>
          <w:bCs/>
          <w:color w:val="000000" w:themeColor="text1"/>
        </w:rPr>
      </w:pPr>
      <w:r w:rsidRPr="00ED7F86">
        <w:rPr>
          <w:bCs/>
          <w:color w:val="000000" w:themeColor="text1"/>
        </w:rPr>
        <w:t>Proti, šādu mantojuma masas aktīvu un ar to paredzētās rīcības uzraudzība prasa padziļinātas zināšanas jurisprudencē, ekonomikā, finanšu nozarē, līdz ar to bāriņtiesām šādos gadījumos rodas grūtības izvērtēt mantojuma aizgādņa iecerētos darījumus ar mantojuma masas sastāvā ietilpstošiem aktīviem. Visiem bāriņtiesu darbiniekiem nav padziļinātu juridisko, ekonomisko zināšanu, lai objektīvi varētu izvērtēt plānoto mantojuma aizgādņa rīcību. Līdz ar to, pat ja bāriņtiesu darbinieki vērtē mantojuma aizgādņa plānoto rīcību, piemēram, ar juridiskas personas mantu, kas ietilpst mantojuma masā, bāriņtiesu rīcībā nav tādu resursu, lai tās objektīvi varētu izvērtēt šo iecerēto rīcību un rīcības tiesiskās un ekonomiskās sekas uz mantojuma masu un, piemēram, to, vai šāds iecerētais darījums ir mantojuma masas interesēs. Tādējādi, šādu iecerēto darījumu, kuru ietekmi bāriņtiesām faktiski nav iespējams izvērtēt, atļaušana vai aizliegšana var radīt zaudējumu iestāšanās risku.</w:t>
      </w:r>
    </w:p>
    <w:p w14:paraId="570CBBDE" w14:textId="77777777" w:rsidR="00ED7F86" w:rsidRPr="00ED7F86" w:rsidRDefault="00ED7F86" w:rsidP="00ED7F86">
      <w:pPr>
        <w:rPr>
          <w:bCs/>
          <w:color w:val="000000" w:themeColor="text1"/>
        </w:rPr>
      </w:pPr>
      <w:r w:rsidRPr="00ED7F86">
        <w:rPr>
          <w:bCs/>
          <w:color w:val="000000" w:themeColor="text1"/>
        </w:rPr>
        <w:t xml:space="preserve">No minētā un aptaujas secināms, ka bāriņtiesas, kas mantojuma aizgādņa uzraudzību īsteno formāli vai praksē nav </w:t>
      </w:r>
      <w:proofErr w:type="spellStart"/>
      <w:r w:rsidRPr="00ED7F86">
        <w:rPr>
          <w:bCs/>
          <w:color w:val="000000" w:themeColor="text1"/>
        </w:rPr>
        <w:t>saskārušās</w:t>
      </w:r>
      <w:proofErr w:type="spellEnd"/>
      <w:r w:rsidRPr="00ED7F86">
        <w:rPr>
          <w:bCs/>
          <w:color w:val="000000" w:themeColor="text1"/>
        </w:rPr>
        <w:t xml:space="preserve"> ar sarežģītiem aizgādnības gadījumiem uzskata, ka mantojuma aizgādņa uzraudzība bāriņtiesām nesagādā problēmas. Tomēr, tas neatspoguļo realitāti, jo, kas svarīgāk, tās bāriņtiesas, kas uzrauga mantojuma aizgādni atbilstoši Civillikuma nosacījumiem (tāpat kā tiek uzraudzīts nepilngadīgā mantas aizgādnis) vai kas </w:t>
      </w:r>
      <w:proofErr w:type="spellStart"/>
      <w:r w:rsidRPr="00ED7F86">
        <w:rPr>
          <w:bCs/>
          <w:color w:val="000000" w:themeColor="text1"/>
        </w:rPr>
        <w:t>saskārušās</w:t>
      </w:r>
      <w:proofErr w:type="spellEnd"/>
      <w:r w:rsidRPr="00ED7F86">
        <w:rPr>
          <w:bCs/>
          <w:color w:val="000000" w:themeColor="text1"/>
        </w:rPr>
        <w:t xml:space="preserve"> ar komplicētiem mantojuma aizgādnības gadījumiem, norāda, ka mantojuma aizgādnība bāriņtiesām sagādā problēmas (iepriekšminēto iemeslu dēļ) un daudzos gadījumos nesasniedz mērķi, vai vispār nav iespējama. Turklāt, atbildot uz aptaujas rezultātiem, bāriņtiesu uzsvars likts uz to, ka mantojuma aizgādnības uzraudzības nodrošināšana patērē ievērojamu daudzumu bāriņtiesu resursus. Jānorāda, ka pie bāriņtiesu grupas, kas mantojuma aizgādnības uzraudzības īstenošanā saskata problemātiku, pārsvarā pieder lielo pilsētu un pilsētu bāriņtiesas (Rīga, Daugavpils, u.c.), kas ir loģiski, jo tur ir lielāka ekonomiskā aktivitāte. </w:t>
      </w:r>
    </w:p>
    <w:p w14:paraId="1E900D0A" w14:textId="77777777" w:rsidR="00ED7F86" w:rsidRPr="00ED7F86" w:rsidRDefault="00ED7F86" w:rsidP="00ED7F86">
      <w:pPr>
        <w:rPr>
          <w:bCs/>
          <w:color w:val="000000" w:themeColor="text1"/>
        </w:rPr>
      </w:pPr>
      <w:r w:rsidRPr="00ED7F86">
        <w:rPr>
          <w:bCs/>
          <w:color w:val="000000" w:themeColor="text1"/>
        </w:rPr>
        <w:lastRenderedPageBreak/>
        <w:t>Ievērojot minēto, Darba grupā notika plašas diskusijas par to, vai šāda mantojuma aizgādņa kontrole no bāriņtiesu puses, ņemot vērā to, ka daudzos gadījumos tā mēdz būt formāla un atsevišķos gadījumos zināšanu trūkuma dēļ to nav iespējams pilnvērtīgi īstenot, ir nepieciešama, un vai sasniedz mērķi – nodrošināt, starpposmā no mantojuma atklāšanās brīža līdz mantojuma pieņemšanai, efektīvu un operatīvu mantojuma aizgādnību.</w:t>
      </w:r>
    </w:p>
    <w:p w14:paraId="175106DC" w14:textId="77777777" w:rsidR="00ED7F86" w:rsidRPr="00ED7F86" w:rsidRDefault="00ED7F86" w:rsidP="00ED7F86">
      <w:pPr>
        <w:rPr>
          <w:bCs/>
          <w:color w:val="000000" w:themeColor="text1"/>
        </w:rPr>
      </w:pPr>
      <w:r w:rsidRPr="00ED7F86">
        <w:rPr>
          <w:bCs/>
          <w:color w:val="000000" w:themeColor="text1"/>
        </w:rPr>
        <w:t>Darba grupā diskutējot, tajā skaitā, ar Rīgas bāriņtiesas pārstāvjiem, secināts, ka lai uzlabotu mantojuma aizgādnības institūta darbību:</w:t>
      </w:r>
    </w:p>
    <w:p w14:paraId="1A80F1AD" w14:textId="77777777" w:rsidR="00ED7F86" w:rsidRPr="00ED7F86" w:rsidRDefault="00ED7F86" w:rsidP="00ED7F86">
      <w:pPr>
        <w:numPr>
          <w:ilvl w:val="0"/>
          <w:numId w:val="3"/>
        </w:numPr>
        <w:rPr>
          <w:bCs/>
          <w:color w:val="000000" w:themeColor="text1"/>
        </w:rPr>
      </w:pPr>
      <w:r w:rsidRPr="00ED7F86">
        <w:rPr>
          <w:bCs/>
          <w:color w:val="000000" w:themeColor="text1"/>
        </w:rPr>
        <w:t>jāatsakās no tiesas un bāriņtiesas pastiprinātas mantojuma aizgādņa kontroles (ar izņēmumiem par aizgādņa iecelšanu, gada pārskatu un gala norēķinu izvērtēšanu);</w:t>
      </w:r>
    </w:p>
    <w:p w14:paraId="5FC445D3" w14:textId="77777777" w:rsidR="00ED7F86" w:rsidRPr="00ED7F86" w:rsidRDefault="00ED7F86" w:rsidP="00ED7F86">
      <w:pPr>
        <w:numPr>
          <w:ilvl w:val="0"/>
          <w:numId w:val="3"/>
        </w:numPr>
        <w:rPr>
          <w:bCs/>
          <w:color w:val="000000" w:themeColor="text1"/>
        </w:rPr>
      </w:pPr>
      <w:r w:rsidRPr="00ED7F86">
        <w:rPr>
          <w:bCs/>
          <w:color w:val="000000" w:themeColor="text1"/>
        </w:rPr>
        <w:t>Civillikumā jāstiprina mantojuma aizgādņa personiska atbildība par mantojumam nodarītajiem zaudējumiem;</w:t>
      </w:r>
    </w:p>
    <w:p w14:paraId="07B7908A" w14:textId="77777777" w:rsidR="00ED7F86" w:rsidRPr="00ED7F86" w:rsidRDefault="00ED7F86" w:rsidP="00ED7F86">
      <w:pPr>
        <w:numPr>
          <w:ilvl w:val="0"/>
          <w:numId w:val="3"/>
        </w:numPr>
        <w:rPr>
          <w:bCs/>
          <w:color w:val="000000" w:themeColor="text1"/>
        </w:rPr>
      </w:pPr>
      <w:r w:rsidRPr="00ED7F86">
        <w:rPr>
          <w:bCs/>
          <w:color w:val="000000" w:themeColor="text1"/>
        </w:rPr>
        <w:t>mantojuma aizgādņa rīcības uzraudzība no bāriņtiesas jāpārnes uz mantiniekiem, kā mantojuma atstājēja saistību un tiesību pārņēmējiem.</w:t>
      </w:r>
    </w:p>
    <w:p w14:paraId="2830AC4A" w14:textId="77777777" w:rsidR="00ED7F86" w:rsidRPr="00ED7F86" w:rsidRDefault="00ED7F86" w:rsidP="00ED7F86">
      <w:pPr>
        <w:rPr>
          <w:bCs/>
          <w:color w:val="000000" w:themeColor="text1"/>
        </w:rPr>
      </w:pPr>
      <w:r w:rsidRPr="00ED7F86">
        <w:rPr>
          <w:bCs/>
          <w:color w:val="000000" w:themeColor="text1"/>
        </w:rPr>
        <w:t xml:space="preserve">Minētajām tēzēm pievienojās arī citas bāriņtiesas. </w:t>
      </w:r>
    </w:p>
    <w:p w14:paraId="6E4E6886" w14:textId="77777777" w:rsidR="00ED7F86" w:rsidRPr="00ED7F86" w:rsidRDefault="00ED7F86" w:rsidP="00ED7F86">
      <w:pPr>
        <w:rPr>
          <w:bCs/>
          <w:color w:val="000000" w:themeColor="text1"/>
        </w:rPr>
      </w:pPr>
      <w:r w:rsidRPr="00ED7F86">
        <w:rPr>
          <w:bCs/>
          <w:color w:val="000000" w:themeColor="text1"/>
        </w:rPr>
        <w:t>Tādējādi tika atbalstīts modelis, kur, kā līdz šīm, notārs uzdod bāriņtiesai iecelt mantojuma aizgādni, ar tiesībām vērtēt tā atbilstību un nepieciešamības gadījumā atcelt to no pienākumu pildīšanas, pieņemt mantojuma aizgādņa ikgadējus pārskatus un gala norēķinu. Tiek stiprinātas mantinieku tiesības celt prasību par zaudējumu nodarīšanu mantojumam, tādējādi īstenojot kontroli pār mantojuma aizgādņa darbu. Kā arī tiek noteikta mantojuma aizgādņa atbildība par zaudējumu nodarīšanu mantojumam.</w:t>
      </w:r>
    </w:p>
    <w:p w14:paraId="510CCE1F" w14:textId="77777777" w:rsidR="00ED7F86" w:rsidRPr="00ED7F86" w:rsidRDefault="00ED7F86" w:rsidP="00ED7F86">
      <w:pPr>
        <w:rPr>
          <w:bCs/>
          <w:color w:val="000000" w:themeColor="text1"/>
        </w:rPr>
      </w:pPr>
      <w:r w:rsidRPr="00ED7F86">
        <w:rPr>
          <w:bCs/>
          <w:color w:val="000000" w:themeColor="text1"/>
        </w:rPr>
        <w:t>Bāriņtiesai saglabājama kompetence mantojuma aizgādņa iecelšanā un atcelšanā, jo nepieciešams saglabāt institūciju, kas būtu atbildīga par potenciālo aizgādņa kandidātu izvērtēšanu. Turklāt bāriņtiesas ir tās pašvaldības iestādes, kas vislabāk spēj izvērtēt iespējamos aizgādņu kandidātus un to jau šobrīd praksē dara un ne tikai mantojuma lietas ietvaros. Vienlaikus šādus bāriņtiesas lēmumus var apstrīdēt administratīvajā tiesā, kas nodrošina efektīvu procesu, ja mantojumā ieinteresētās personas uzskata, ka bāriņtiesa pieņēmusi kļūdainu lēmumu.</w:t>
      </w:r>
    </w:p>
    <w:p w14:paraId="734C5566" w14:textId="77777777" w:rsidR="00ED7F86" w:rsidRPr="00ED7F86" w:rsidRDefault="00ED7F86" w:rsidP="00ED7F86">
      <w:pPr>
        <w:rPr>
          <w:bCs/>
          <w:color w:val="000000" w:themeColor="text1"/>
        </w:rPr>
      </w:pPr>
      <w:r w:rsidRPr="00ED7F86">
        <w:rPr>
          <w:bCs/>
          <w:color w:val="000000" w:themeColor="text1"/>
        </w:rPr>
        <w:t>Tāpat bāriņtiesai uzdots pieņemt aizgādņa sniegtos dokumentus un norēķinus, ar kuriem mantinieki pēc tam varēs iepazīties. Šī funkcija saglabājama bāriņtiesām, jo šādu dokumentu pieejamība var spēlēt nozīmīgu lomu, piemēram, mantojumam nodarīto zaudējumu pierādīšanā. Turklāt dokumentu glabāšana bāriņtiesā nodrošina mantiniekiem iespēju iegūt pilnu informāciju par to, kas noticis ar mantojumu tā aizgādnības laikā.</w:t>
      </w:r>
    </w:p>
    <w:p w14:paraId="52751799" w14:textId="77777777" w:rsidR="00ED7F86" w:rsidRPr="00ED7F86" w:rsidRDefault="00ED7F86" w:rsidP="00ED7F86">
      <w:pPr>
        <w:rPr>
          <w:b/>
          <w:bCs/>
          <w:color w:val="000000" w:themeColor="text1"/>
        </w:rPr>
      </w:pPr>
      <w:r w:rsidRPr="00ED7F86">
        <w:rPr>
          <w:b/>
          <w:bCs/>
          <w:color w:val="000000" w:themeColor="text1"/>
        </w:rPr>
        <w:t xml:space="preserve">Vienlaikus jānorāda, ka Likumprojekts neparedz nekādas izmaiņas attiecībā uz regulējumu, kas nosaka nepilngadīgā aizbildņa vai personu aizgādņa tiesības un pienākumus to mantas pārvaldībā vai citos aspektos. Tāpat minētajos gadījumos ar Likumprojektu netiek arī mazinātas bāriņtiesu tiesības uzraudzīt nepilngadīgo aizbildņu un personu aizgādņu rīcību. Aizgādnībai ir divi veidi – aizgādnība pār personu un aizgādnība pār mantu, Likumprojekts izdara grozījumus tikai mantojuma kā juridiskas personas aizgādnības institūtā, kas ir aizgādnība pār mantu. Tas nozīmē, ka Civillikumā iekļautais nepilngadīgo aizbildnības institūts un personu aizgādnības institūts paliek neskarts. Līdz ar ko, piemēram, </w:t>
      </w:r>
      <w:r w:rsidRPr="00ED7F86">
        <w:rPr>
          <w:b/>
          <w:bCs/>
          <w:color w:val="000000" w:themeColor="text1"/>
        </w:rPr>
        <w:lastRenderedPageBreak/>
        <w:t xml:space="preserve">nepilngadīgā aizbildnim vai personas ar ierobežotu rīcībspēju aizgādnim, ja tas iecelts arī par mantojuma aizgādni, tāpat ir jārīkojas saskaņā ar visām Civillikumā noteiktajām prasībām attiecībā uz to pārstāvēto personu mantisko un citu interešu aizsardzību un tas nav atbrīvots no bāriņtiesu uzraudzības. </w:t>
      </w:r>
    </w:p>
    <w:p w14:paraId="39FB380D" w14:textId="77777777" w:rsidR="00ED7F86" w:rsidRPr="00ED7F86" w:rsidRDefault="00ED7F86" w:rsidP="00ED7F86">
      <w:pPr>
        <w:rPr>
          <w:bCs/>
          <w:color w:val="000000" w:themeColor="text1"/>
        </w:rPr>
      </w:pPr>
    </w:p>
    <w:p w14:paraId="34D51C83" w14:textId="77777777" w:rsidR="00831FA2" w:rsidRPr="00C82B48" w:rsidRDefault="00831FA2" w:rsidP="00831FA2">
      <w:pPr>
        <w:rPr>
          <w:color w:val="000000" w:themeColor="text1"/>
        </w:rPr>
      </w:pPr>
      <w:r w:rsidRPr="00C82B48">
        <w:rPr>
          <w:b/>
          <w:color w:val="000000" w:themeColor="text1"/>
        </w:rPr>
        <w:t>Risinājuma apraksts</w:t>
      </w:r>
    </w:p>
    <w:tbl>
      <w:tblPr>
        <w:tblStyle w:val="TableGrid"/>
        <w:tblW w:w="0" w:type="auto"/>
        <w:tblLook w:val="04A0" w:firstRow="1" w:lastRow="0" w:firstColumn="1" w:lastColumn="0" w:noHBand="0" w:noVBand="1"/>
      </w:tblPr>
      <w:tblGrid>
        <w:gridCol w:w="9632"/>
      </w:tblGrid>
      <w:tr w:rsidR="00831FA2" w:rsidRPr="00C82B48" w14:paraId="7E364C9A" w14:textId="77777777" w:rsidTr="00CD023C">
        <w:tc>
          <w:tcPr>
            <w:tcW w:w="9632" w:type="dxa"/>
          </w:tcPr>
          <w:p w14:paraId="47B89FB0" w14:textId="77777777" w:rsidR="00E9419A" w:rsidRPr="00E9419A" w:rsidRDefault="00E9419A" w:rsidP="00E9419A">
            <w:pPr>
              <w:rPr>
                <w:iCs/>
                <w:color w:val="000000" w:themeColor="text1"/>
              </w:rPr>
            </w:pPr>
            <w:r w:rsidRPr="00E9419A">
              <w:rPr>
                <w:iCs/>
                <w:color w:val="000000" w:themeColor="text1"/>
              </w:rPr>
              <w:t>Ievērojot visu minēto, Likumprojekts attiecībā uz mantojuma aizgādnību paredz izdarīt sekojošus grozījumus Civillikumā (panti norādīti secīgi).</w:t>
            </w:r>
          </w:p>
          <w:p w14:paraId="10D2FB49" w14:textId="77777777" w:rsidR="00E9419A" w:rsidRPr="00E9419A" w:rsidRDefault="00E9419A" w:rsidP="00E9419A">
            <w:pPr>
              <w:rPr>
                <w:iCs/>
                <w:color w:val="000000" w:themeColor="text1"/>
              </w:rPr>
            </w:pPr>
            <w:r w:rsidRPr="00E9419A">
              <w:rPr>
                <w:b/>
                <w:bCs/>
                <w:iCs/>
                <w:color w:val="000000" w:themeColor="text1"/>
              </w:rPr>
              <w:t xml:space="preserve">1. Grozīts Civillikuma 662. pants. </w:t>
            </w:r>
            <w:r w:rsidRPr="00E9419A">
              <w:rPr>
                <w:iCs/>
                <w:color w:val="000000" w:themeColor="text1"/>
              </w:rPr>
              <w:t>Šobrīd pants nosaka, ka mantojuma aizgādnis darbojas patstāvīgi un mantojumu pārvalda ar tādu pašu rūpību un apzinību, ar kādu viņš kā labs saimnieks pārvalda savas paša lietas. Vienlaikus pantā paredzēts, ka mantojuma aizgādnībai piemērojams nepilngadīgā mantas pārvaldības režīms. Tādējādi pantā ietvertais tiesiskais regulējums nonāk zināmā pretrunā, - no vienas puses paredzēts, ka aizgādnis savās darbībās ir patstāvīgs, savukārt, no otras puses, paredzēts, ka aizgādni viņa darbībā uzrauga bāriņtiesa un tiesa. Lai panāktu, ka aizgādnis savās darbībās turpmāk darbojas patstāvīgi, ar grozījumu paredzēts svītrot pantā atsauci uz Civillikuma 269. pantu un turpmākajiem pantiem.</w:t>
            </w:r>
          </w:p>
          <w:p w14:paraId="08FEC98F" w14:textId="77777777" w:rsidR="00E9419A" w:rsidRPr="00E9419A" w:rsidRDefault="00E9419A" w:rsidP="00E9419A">
            <w:pPr>
              <w:rPr>
                <w:color w:val="000000" w:themeColor="text1"/>
              </w:rPr>
            </w:pPr>
            <w:r w:rsidRPr="00E9419A">
              <w:rPr>
                <w:iCs/>
                <w:color w:val="000000" w:themeColor="text1"/>
              </w:rPr>
              <w:t xml:space="preserve">Darba grupā secināts, ka mantojuma aizgādnis nevar darboties patstāvīgi, ja tas neatbild par zaudējumiem, ko tas ar savu darbību mantojumam nodarījis. Tādējādi Likumprojekts paredz papildināt 662. pantu ar teikumu, ka </w:t>
            </w:r>
            <w:r w:rsidRPr="00E9419A">
              <w:rPr>
                <w:color w:val="000000" w:themeColor="text1"/>
              </w:rPr>
              <w:t>aizgādnis atbild par zaudējumiem, ko viņš nodarījis mantojumam. Prasību par zaudējumu atlīdzināšanu tiesīgi ir celt mantinieki un citas mantojumā ieinteresētās personas, piemēram, kreditori, kuru interesēs ir saglabāt mantojumu. Atbildības noteikšana aizgādnim pasargās no tā, ka mantojums, pirms tas pieņemts vai atraidīts, tiek izsaimniekots vai nepienācīgi uzturēts.</w:t>
            </w:r>
          </w:p>
          <w:p w14:paraId="3187229B" w14:textId="77777777" w:rsidR="00E9419A" w:rsidRPr="00E9419A" w:rsidRDefault="00E9419A" w:rsidP="00E9419A">
            <w:pPr>
              <w:rPr>
                <w:color w:val="000000" w:themeColor="text1"/>
              </w:rPr>
            </w:pPr>
            <w:r w:rsidRPr="00E9419A">
              <w:rPr>
                <w:b/>
                <w:bCs/>
                <w:color w:val="000000" w:themeColor="text1"/>
              </w:rPr>
              <w:t>2. Civillikums papildināts ar 662.</w:t>
            </w:r>
            <w:r w:rsidRPr="00E9419A">
              <w:rPr>
                <w:b/>
                <w:bCs/>
                <w:color w:val="000000" w:themeColor="text1"/>
                <w:vertAlign w:val="superscript"/>
              </w:rPr>
              <w:t>1</w:t>
            </w:r>
            <w:r w:rsidRPr="00E9419A">
              <w:rPr>
                <w:b/>
                <w:bCs/>
                <w:color w:val="000000" w:themeColor="text1"/>
              </w:rPr>
              <w:t xml:space="preserve"> pantu. </w:t>
            </w:r>
            <w:r w:rsidRPr="00E9419A">
              <w:rPr>
                <w:color w:val="000000" w:themeColor="text1"/>
              </w:rPr>
              <w:t xml:space="preserve">Darba grupas ekspertiem diskutējot, secināts, ka nepieciešams papildināt Civillikumu ar pantu, kas piešķir mantojuma aizgādnim tiesības rīkoties ar mantojuma masā ietilpstošo mantu. Šobrīd ņemot vērā, ka aizgādnība pakļauta nepilngadīgā mantas pārvaldības režīmam, mantojuma aizgādņa tiesību apjoms noregulēts attiecīgajos Civillikuma pantos Ģimenes tiesību daļā. Ņemot vērā, ka uz mantojuma aizgādnību pēc šā Likumprojekta spēkā stāšanās vairāk neattieksies </w:t>
            </w:r>
            <w:r w:rsidRPr="00E9419A">
              <w:rPr>
                <w:iCs/>
                <w:color w:val="000000" w:themeColor="text1"/>
              </w:rPr>
              <w:t>Civillikuma 269. pants un turpmākie panti</w:t>
            </w:r>
            <w:r w:rsidRPr="00E9419A">
              <w:rPr>
                <w:color w:val="000000" w:themeColor="text1"/>
              </w:rPr>
              <w:t xml:space="preserve"> (nepilngadīgā mantas pārvaldības režīms), izstrādāts 662.</w:t>
            </w:r>
            <w:r w:rsidRPr="00E9419A">
              <w:rPr>
                <w:color w:val="000000" w:themeColor="text1"/>
                <w:vertAlign w:val="superscript"/>
              </w:rPr>
              <w:t>1</w:t>
            </w:r>
            <w:r w:rsidRPr="00E9419A">
              <w:rPr>
                <w:color w:val="000000" w:themeColor="text1"/>
              </w:rPr>
              <w:t xml:space="preserve"> pants </w:t>
            </w:r>
            <w:proofErr w:type="spellStart"/>
            <w:r w:rsidRPr="00E9419A">
              <w:rPr>
                <w:color w:val="000000" w:themeColor="text1"/>
              </w:rPr>
              <w:t>pants</w:t>
            </w:r>
            <w:proofErr w:type="spellEnd"/>
            <w:r w:rsidRPr="00E9419A">
              <w:rPr>
                <w:color w:val="000000" w:themeColor="text1"/>
              </w:rPr>
              <w:t xml:space="preserve">, kas nosaka, ka aizgādnis ir tiesīgs darboties mantojuma vārdā. </w:t>
            </w:r>
          </w:p>
          <w:p w14:paraId="28475BDE" w14:textId="77777777" w:rsidR="00E9419A" w:rsidRPr="00E9419A" w:rsidRDefault="00E9419A" w:rsidP="00E9419A">
            <w:pPr>
              <w:rPr>
                <w:color w:val="000000" w:themeColor="text1"/>
              </w:rPr>
            </w:pPr>
            <w:r w:rsidRPr="00E9419A">
              <w:rPr>
                <w:color w:val="000000" w:themeColor="text1"/>
              </w:rPr>
              <w:t xml:space="preserve">Tāpat Likumprojektā ietverts būtisks princips, ka aizgādņa rīcība saista mantiniekus, ja aizgādnis rīkojies kā krietns un rūpīgs saimnieks. Jēdziens </w:t>
            </w:r>
            <w:r w:rsidRPr="00E9419A">
              <w:rPr>
                <w:iCs/>
                <w:color w:val="000000" w:themeColor="text1"/>
              </w:rPr>
              <w:t>"</w:t>
            </w:r>
            <w:r w:rsidRPr="00E9419A">
              <w:rPr>
                <w:color w:val="000000" w:themeColor="text1"/>
              </w:rPr>
              <w:t>krietns un rūpīgs saimnieks</w:t>
            </w:r>
            <w:r w:rsidRPr="00E9419A">
              <w:rPr>
                <w:iCs/>
                <w:color w:val="000000" w:themeColor="text1"/>
              </w:rPr>
              <w:t>"</w:t>
            </w:r>
            <w:r w:rsidRPr="00E9419A">
              <w:rPr>
                <w:color w:val="000000" w:themeColor="text1"/>
              </w:rPr>
              <w:t xml:space="preserve"> ir </w:t>
            </w:r>
            <w:proofErr w:type="spellStart"/>
            <w:r w:rsidRPr="00E9419A">
              <w:rPr>
                <w:color w:val="000000" w:themeColor="text1"/>
              </w:rPr>
              <w:t>ģenerālklauzula</w:t>
            </w:r>
            <w:proofErr w:type="spellEnd"/>
            <w:r w:rsidRPr="00E9419A">
              <w:rPr>
                <w:color w:val="000000" w:themeColor="text1"/>
              </w:rPr>
              <w:t>, kas tādā pašā vai līdzīgos frāzējumos atrodama Civillikuma 1129.</w:t>
            </w:r>
            <w:r w:rsidRPr="00E9419A">
              <w:rPr>
                <w:color w:val="000000" w:themeColor="text1"/>
                <w:vertAlign w:val="superscript"/>
              </w:rPr>
              <w:t>4</w:t>
            </w:r>
            <w:r w:rsidRPr="00E9419A">
              <w:rPr>
                <w:color w:val="000000" w:themeColor="text1"/>
              </w:rPr>
              <w:t xml:space="preserve">, 1646., 2250. pantā. Likumdevējs nevar vienmēr precīzi visiem dzīves gadījumiem definēt nosacījumus, tāpēc tiek lietotas </w:t>
            </w:r>
            <w:proofErr w:type="spellStart"/>
            <w:r w:rsidRPr="00E9419A">
              <w:rPr>
                <w:color w:val="000000" w:themeColor="text1"/>
              </w:rPr>
              <w:t>ģenerālklauzulas</w:t>
            </w:r>
            <w:proofErr w:type="spellEnd"/>
            <w:r w:rsidRPr="00E9419A">
              <w:rPr>
                <w:color w:val="000000" w:themeColor="text1"/>
              </w:rPr>
              <w:t>, kuras ar satur piepilda tiesību piemērotājs.</w:t>
            </w:r>
          </w:p>
          <w:p w14:paraId="549C1908" w14:textId="77777777" w:rsidR="00E9419A" w:rsidRPr="00E9419A" w:rsidRDefault="00E9419A" w:rsidP="00E9419A">
            <w:pPr>
              <w:rPr>
                <w:color w:val="000000" w:themeColor="text1"/>
              </w:rPr>
            </w:pPr>
            <w:proofErr w:type="spellStart"/>
            <w:r w:rsidRPr="00E9419A">
              <w:rPr>
                <w:color w:val="000000" w:themeColor="text1"/>
              </w:rPr>
              <w:t>Ģenerālklauzula</w:t>
            </w:r>
            <w:proofErr w:type="spellEnd"/>
            <w:r w:rsidRPr="00E9419A">
              <w:rPr>
                <w:color w:val="000000" w:themeColor="text1"/>
              </w:rPr>
              <w:t xml:space="preserve"> </w:t>
            </w:r>
            <w:r w:rsidRPr="00E9419A">
              <w:rPr>
                <w:iCs/>
                <w:color w:val="000000" w:themeColor="text1"/>
              </w:rPr>
              <w:t>"</w:t>
            </w:r>
            <w:r w:rsidRPr="00E9419A">
              <w:rPr>
                <w:color w:val="000000" w:themeColor="text1"/>
              </w:rPr>
              <w:t>krietns un rūpīgs saimnieks</w:t>
            </w:r>
            <w:r w:rsidRPr="00E9419A">
              <w:rPr>
                <w:iCs/>
                <w:color w:val="000000" w:themeColor="text1"/>
              </w:rPr>
              <w:t>" izvēlēta arī tāpēc, ka tā jau šobrīd tiek lietota normatīvajos aktos, kas noregulē līdzīgas tiesiskās situācijās, tādējādi tiesību piemērotājam nevajadzētu būt grūtībām šo jēdzienu mantojuma aizgādnības kontekstā piepildīt ar saturu.</w:t>
            </w:r>
            <w:r w:rsidRPr="00E9419A">
              <w:rPr>
                <w:color w:val="000000" w:themeColor="text1"/>
              </w:rPr>
              <w:t xml:space="preserve"> </w:t>
            </w:r>
            <w:r w:rsidRPr="00E9419A">
              <w:rPr>
                <w:iCs/>
                <w:color w:val="000000" w:themeColor="text1"/>
              </w:rPr>
              <w:t xml:space="preserve">Proti, mantojums starpposmā no mantojuma atklāšanās līdz mantojuma pieņemšanai ir juridiskā persona, kā pārstāvību īsteno mantojuma </w:t>
            </w:r>
            <w:r w:rsidRPr="00E9419A">
              <w:rPr>
                <w:iCs/>
                <w:color w:val="000000" w:themeColor="text1"/>
              </w:rPr>
              <w:lastRenderedPageBreak/>
              <w:t xml:space="preserve">aizgādnis līdz ar to tiesiskā situācija ir līdzīga gadījumiem, kad, piemēram, valdes loceklis pārstāv sabiedrību – šādos gadījumos jau pastāv regulējums, kas satur minēto </w:t>
            </w:r>
            <w:proofErr w:type="spellStart"/>
            <w:r w:rsidRPr="00E9419A">
              <w:rPr>
                <w:iCs/>
                <w:color w:val="000000" w:themeColor="text1"/>
              </w:rPr>
              <w:t>ģenerālklauzulu</w:t>
            </w:r>
            <w:proofErr w:type="spellEnd"/>
            <w:r w:rsidRPr="00E9419A">
              <w:rPr>
                <w:iCs/>
                <w:color w:val="000000" w:themeColor="text1"/>
              </w:rPr>
              <w:t>.</w:t>
            </w:r>
          </w:p>
          <w:p w14:paraId="03792964" w14:textId="77777777" w:rsidR="00E9419A" w:rsidRPr="00E9419A" w:rsidRDefault="00E9419A" w:rsidP="00E9419A">
            <w:pPr>
              <w:rPr>
                <w:color w:val="000000" w:themeColor="text1"/>
              </w:rPr>
            </w:pPr>
            <w:r w:rsidRPr="00E9419A">
              <w:rPr>
                <w:color w:val="000000" w:themeColor="text1"/>
              </w:rPr>
              <w:t xml:space="preserve">Lai noskaidrotu </w:t>
            </w:r>
            <w:proofErr w:type="spellStart"/>
            <w:r w:rsidRPr="00E9419A">
              <w:rPr>
                <w:color w:val="000000" w:themeColor="text1"/>
              </w:rPr>
              <w:t>ģenerālkauzulas</w:t>
            </w:r>
            <w:proofErr w:type="spellEnd"/>
            <w:r w:rsidRPr="00E9419A">
              <w:rPr>
                <w:color w:val="000000" w:themeColor="text1"/>
              </w:rPr>
              <w:t xml:space="preserve"> saturu, jāņem vērā apstākļi, kādos atrodas persona, uz kuru attiecināma </w:t>
            </w:r>
            <w:proofErr w:type="spellStart"/>
            <w:r w:rsidRPr="00E9419A">
              <w:rPr>
                <w:color w:val="000000" w:themeColor="text1"/>
              </w:rPr>
              <w:t>ģenērālklauzula</w:t>
            </w:r>
            <w:proofErr w:type="spellEnd"/>
            <w:r w:rsidRPr="00E9419A">
              <w:rPr>
                <w:color w:val="000000" w:themeColor="text1"/>
              </w:rPr>
              <w:t xml:space="preserve">, normatīvie akti, kas regulē konkrēto situāciju un citi tiesību avoti, kas var palīdzēt piepildīt </w:t>
            </w:r>
            <w:proofErr w:type="spellStart"/>
            <w:r w:rsidRPr="00E9419A">
              <w:rPr>
                <w:color w:val="000000" w:themeColor="text1"/>
              </w:rPr>
              <w:t>ģenerālklauzulu</w:t>
            </w:r>
            <w:proofErr w:type="spellEnd"/>
            <w:r w:rsidRPr="00E9419A">
              <w:rPr>
                <w:color w:val="000000" w:themeColor="text1"/>
              </w:rPr>
              <w:t xml:space="preserve"> ar saturu. Līdz ar to, lai noskaidrotu, vai aizgādnis rīkojies kā krietns un rūpīgs saimnieks, aizgādņa rīcība būtu jāvērtē katra gadījuma ietvaros, ņemot vērā visus faktiskos apstākļus. Piemēram, vienā gadījumā mantojumā ietilpstoša nekustamā īpašuma atsavināšana neizdevīgos tirgus apstākļos ir vienīgais veids kā saglabāt mantojumu, jo nepaciešami līdzekļi, lai, piemēram, saglabātu zemnieku saimniecības darbību, savukārt otrā gadījumā nekustamā īpašuma pārdošana neizdevīgos tirgus apstākļos, kad tas nav nepieciešams, varētu tikt uzskatīta kā rīcība, kas nav raksturīga krietnam un rūpīgam saimniekam.</w:t>
            </w:r>
          </w:p>
          <w:p w14:paraId="5A35A0DE" w14:textId="77777777" w:rsidR="00E9419A" w:rsidRPr="00E9419A" w:rsidRDefault="00E9419A" w:rsidP="00E9419A">
            <w:pPr>
              <w:rPr>
                <w:color w:val="000000" w:themeColor="text1"/>
              </w:rPr>
            </w:pPr>
            <w:r w:rsidRPr="00E9419A">
              <w:rPr>
                <w:color w:val="000000" w:themeColor="text1"/>
              </w:rPr>
              <w:t xml:space="preserve">Jānorāda, ka jau šobrīd Civillikums lieto jēdzienu </w:t>
            </w:r>
            <w:r w:rsidRPr="00E9419A">
              <w:rPr>
                <w:iCs/>
                <w:color w:val="000000" w:themeColor="text1"/>
              </w:rPr>
              <w:t>"labs saimnieks", runājot par mantojuma aizgādnību. Proti, Civillikum 662. pantā tiek lietots šis jēdziens, tomēr Tieslietu ministrijas ieskatā minētie jēdzieni piepildāmi pēc satura un nozīmes ir līdzīgi, līdz ar to tajos ietvertajam saturam nevajadzētu būtiski atšķirties un tāpēc, lai pēc iespējas nemainītu Civillikuma spēkā esošo regulējumu attiecīgi grozījumi Civillikuma 662. pantā netiek veikti.</w:t>
            </w:r>
          </w:p>
          <w:p w14:paraId="56693FAF" w14:textId="77777777" w:rsidR="00E9419A" w:rsidRPr="00E9419A" w:rsidRDefault="00E9419A" w:rsidP="00E9419A">
            <w:pPr>
              <w:rPr>
                <w:color w:val="000000" w:themeColor="text1"/>
              </w:rPr>
            </w:pPr>
            <w:r w:rsidRPr="00E9419A">
              <w:rPr>
                <w:color w:val="000000" w:themeColor="text1"/>
              </w:rPr>
              <w:t>Visbeidzot Likumprojekts paredz papildināt minēto pantu ar jaunu teikumu, kas paredz to, ka, pārvaldot mantojumu, aizgādnim jāņem vērā mantojuma atstājēja griba, ja tāda ir zināma. Minētais regulējums ietverts ar domu, lai respektētu mirušās personas gribu un, lai to būtu iespējams īstenot. Piemēram, ja mantojuma masā ir trīs nekustami īpašumi, bet ar testamentu kā legāti novēlēti tikai divi nekustamie īpašumi no trijiem, tad, ja rodas nepieciešamība atsavināt nekustamo īpašumu mantojuma masas uzturēšanas vajadzībām, tad saprātīgi būtu atsavināt to nekustamo īpašumu, par kuru mantojuma atstājējs nav devis rīkojumu savā testamentā.</w:t>
            </w:r>
          </w:p>
          <w:p w14:paraId="1EBD1104" w14:textId="77777777" w:rsidR="00E9419A" w:rsidRPr="00E9419A" w:rsidRDefault="00E9419A" w:rsidP="00E9419A">
            <w:pPr>
              <w:rPr>
                <w:b/>
                <w:bCs/>
                <w:color w:val="000000" w:themeColor="text1"/>
              </w:rPr>
            </w:pPr>
            <w:r w:rsidRPr="00E9419A">
              <w:rPr>
                <w:b/>
                <w:bCs/>
                <w:color w:val="000000" w:themeColor="text1"/>
              </w:rPr>
              <w:t>3. Grozīts Civillikuma 665. pants.</w:t>
            </w:r>
            <w:r w:rsidRPr="00E9419A">
              <w:rPr>
                <w:color w:val="000000" w:themeColor="text1"/>
              </w:rPr>
              <w:t xml:space="preserve"> Panta būtība ar grozījumu netiek mainīta. Likumprojektā paredzēts no minētā panta izslēgt novecojušo atsauci uz Civilprocesa likuma kārtību par mantojuma saraksta sastādīšanu – kopš mantojuma lietas ved notāri, šāda kārtība vairs netiek regulēta Civilprocesa likumā, bet gan Notariāta likumā. </w:t>
            </w:r>
            <w:r w:rsidRPr="00E9419A">
              <w:rPr>
                <w:b/>
                <w:bCs/>
                <w:color w:val="000000" w:themeColor="text1"/>
              </w:rPr>
              <w:t>Tāpat no panta tiek izņemts Bāriņtiesu pienākums sastādīt mantojuma sarakstu, ņemot vērā, ka tā nav bāriņtiesām raksturīga funkcija un tai varētu nebūt visi nepieciešamie instrumenti, lai atrastu mirušā mantu un novērtētu to. Tieslietu ministrijas ieskatā šī ir zvērinātiem tiesu izpildītājiem raksturīga funkcija, tāpēc tā atstāta kā opcija gadījumiem, kad nepieciešams sastādīt mantojuma sarakstu ar profesionāļa palīdzību.</w:t>
            </w:r>
          </w:p>
          <w:p w14:paraId="56428445" w14:textId="77777777" w:rsidR="00E9419A" w:rsidRPr="00E9419A" w:rsidRDefault="00E9419A" w:rsidP="00E9419A">
            <w:pPr>
              <w:rPr>
                <w:color w:val="000000" w:themeColor="text1"/>
              </w:rPr>
            </w:pPr>
            <w:r w:rsidRPr="00E9419A">
              <w:rPr>
                <w:color w:val="000000" w:themeColor="text1"/>
              </w:rPr>
              <w:t>Visbeidzot pants tiek papildināts ar nosacījumu par to, ka, ja kāds uzsāk pārvaldīt mantojumu, nesastādot tā sarakstu, tas atceļams no aizgādnības, un atbild par visiem zaudējumiem, kas mantojumam rodas no viņa pārvaldības. Minētais regulējums nepieciešams, lai uz mantojuma aizgādnības uzsākšanas brīdi būtu zināms precīzs mantojuma masas sastāvs un tādējādi būt iespējams izvērtēt un sekot līdzi aizgādņa rīcībai ar mantojumā ietilpstošo mantu līdz tās nodošanai mantiniekiem.</w:t>
            </w:r>
          </w:p>
          <w:p w14:paraId="50D91F49" w14:textId="77777777" w:rsidR="00E9419A" w:rsidRPr="00E9419A" w:rsidRDefault="00E9419A" w:rsidP="00E9419A">
            <w:pPr>
              <w:rPr>
                <w:color w:val="000000" w:themeColor="text1"/>
              </w:rPr>
            </w:pPr>
            <w:r w:rsidRPr="00E9419A">
              <w:rPr>
                <w:b/>
                <w:bCs/>
                <w:color w:val="000000" w:themeColor="text1"/>
              </w:rPr>
              <w:lastRenderedPageBreak/>
              <w:t>4. Civillikums papildināts ar 665.</w:t>
            </w:r>
            <w:r w:rsidRPr="00E9419A">
              <w:rPr>
                <w:b/>
                <w:bCs/>
                <w:color w:val="000000" w:themeColor="text1"/>
                <w:vertAlign w:val="superscript"/>
              </w:rPr>
              <w:t>1</w:t>
            </w:r>
            <w:r w:rsidRPr="00E9419A">
              <w:rPr>
                <w:b/>
                <w:bCs/>
                <w:color w:val="000000" w:themeColor="text1"/>
              </w:rPr>
              <w:t>, 665.</w:t>
            </w:r>
            <w:r w:rsidRPr="00E9419A">
              <w:rPr>
                <w:b/>
                <w:bCs/>
                <w:color w:val="000000" w:themeColor="text1"/>
                <w:vertAlign w:val="superscript"/>
              </w:rPr>
              <w:t>2</w:t>
            </w:r>
            <w:r w:rsidRPr="00E9419A">
              <w:rPr>
                <w:b/>
                <w:bCs/>
                <w:color w:val="000000" w:themeColor="text1"/>
              </w:rPr>
              <w:t>, 665.</w:t>
            </w:r>
            <w:r w:rsidRPr="00E9419A">
              <w:rPr>
                <w:b/>
                <w:bCs/>
                <w:color w:val="000000" w:themeColor="text1"/>
                <w:vertAlign w:val="superscript"/>
              </w:rPr>
              <w:t>3</w:t>
            </w:r>
            <w:r w:rsidRPr="00E9419A">
              <w:rPr>
                <w:b/>
                <w:bCs/>
                <w:color w:val="000000" w:themeColor="text1"/>
              </w:rPr>
              <w:t xml:space="preserve"> un 665.</w:t>
            </w:r>
            <w:r w:rsidRPr="00E9419A">
              <w:rPr>
                <w:b/>
                <w:bCs/>
                <w:color w:val="000000" w:themeColor="text1"/>
                <w:vertAlign w:val="superscript"/>
              </w:rPr>
              <w:t>4</w:t>
            </w:r>
            <w:r w:rsidRPr="00E9419A">
              <w:rPr>
                <w:b/>
                <w:bCs/>
                <w:color w:val="000000" w:themeColor="text1"/>
              </w:rPr>
              <w:t xml:space="preserve"> pantu. </w:t>
            </w:r>
            <w:r w:rsidRPr="00E9419A">
              <w:rPr>
                <w:color w:val="000000" w:themeColor="text1"/>
              </w:rPr>
              <w:t>Ņemot vērā, ka aizgādnim savā darbībā šobrīd jāievēro Civillikuma noteikumi par nepilngadīgā mantas pārvaldību un Likumprojektā piedāvāts atteikties no nepilngadīgā mantas pārvaldības režīma piemērošanas mantojuma aizgādnībai, tādēļ nepieciešams pilnveidot regulējumu mantojuma aizgādnībai un papildināt Civillikumu ar norādītajiem pantiem.</w:t>
            </w:r>
          </w:p>
          <w:p w14:paraId="349213A7" w14:textId="77777777" w:rsidR="00E9419A" w:rsidRPr="00E9419A" w:rsidRDefault="00E9419A" w:rsidP="00E9419A">
            <w:pPr>
              <w:rPr>
                <w:iCs/>
                <w:color w:val="000000" w:themeColor="text1"/>
              </w:rPr>
            </w:pPr>
            <w:r w:rsidRPr="00E9419A">
              <w:rPr>
                <w:b/>
                <w:bCs/>
                <w:color w:val="000000" w:themeColor="text1"/>
              </w:rPr>
              <w:t>665.</w:t>
            </w:r>
            <w:r w:rsidRPr="00E9419A">
              <w:rPr>
                <w:b/>
                <w:bCs/>
                <w:color w:val="000000" w:themeColor="text1"/>
                <w:vertAlign w:val="superscript"/>
              </w:rPr>
              <w:t>1</w:t>
            </w:r>
            <w:r w:rsidRPr="00E9419A">
              <w:rPr>
                <w:b/>
                <w:bCs/>
                <w:color w:val="000000" w:themeColor="text1"/>
              </w:rPr>
              <w:t> pants</w:t>
            </w:r>
            <w:r w:rsidRPr="00E9419A">
              <w:rPr>
                <w:color w:val="000000" w:themeColor="text1"/>
              </w:rPr>
              <w:t xml:space="preserve"> nosaka mantojuma aizgādņa atbildību. Pants konstruēts tā, ka pierādījumu nasta gulstas uz mantojuma aizgādni, paredzot, ka mantojuma aizgādnis neatbild par mantojumam nodarītajiem zaudējumiem, ja pierāda, ka rīkojies kā krietns un rūpīgs saimnieks. Minētajā pantā ietverts līdzīgs regulējums, kāds šobrīd noteikts valdes locekļa atbildībai Komerclikuma 169. pantā. Minētajā pieeja pamatojama ar to, ka mantojuma aizgādnis līdzīgi kā kapitālsabiedrības valdes loceklis ir juridiskas personas – mantojuma masas reprezentants. Otrkārt, jānorāda, ka par juridiskās personas pārstāvja atbildību, tulkojot arī jēdzienu </w:t>
            </w:r>
            <w:r w:rsidRPr="00E9419A">
              <w:rPr>
                <w:iCs/>
                <w:color w:val="000000" w:themeColor="text1"/>
              </w:rPr>
              <w:t>"</w:t>
            </w:r>
            <w:r w:rsidRPr="00E9419A">
              <w:rPr>
                <w:color w:val="000000" w:themeColor="text1"/>
              </w:rPr>
              <w:t>krietns un rūpīgs saimnieks</w:t>
            </w:r>
            <w:r w:rsidRPr="00E9419A">
              <w:rPr>
                <w:iCs/>
                <w:color w:val="000000" w:themeColor="text1"/>
              </w:rPr>
              <w:t>", j</w:t>
            </w:r>
            <w:r w:rsidRPr="00E9419A">
              <w:rPr>
                <w:color w:val="000000" w:themeColor="text1"/>
              </w:rPr>
              <w:t xml:space="preserve">au ir izveidojusies tiesu prakse, kas skaidro, kā piepildāma konkrētā </w:t>
            </w:r>
            <w:proofErr w:type="spellStart"/>
            <w:r w:rsidRPr="00E9419A">
              <w:rPr>
                <w:color w:val="000000" w:themeColor="text1"/>
              </w:rPr>
              <w:t>ģenerālklauzula</w:t>
            </w:r>
            <w:proofErr w:type="spellEnd"/>
            <w:r w:rsidRPr="00E9419A">
              <w:rPr>
                <w:color w:val="000000" w:themeColor="text1"/>
              </w:rPr>
              <w:t xml:space="preserve">. </w:t>
            </w:r>
            <w:r w:rsidRPr="00E9419A">
              <w:rPr>
                <w:iCs/>
                <w:color w:val="000000" w:themeColor="text1"/>
              </w:rPr>
              <w:t>Piemēram, skatīt Augstākās tiesas 2014. gada 27. maija spriedumu lietā Nr. SKC-102/2014</w:t>
            </w:r>
            <w:r w:rsidRPr="00E9419A">
              <w:rPr>
                <w:iCs/>
                <w:color w:val="000000" w:themeColor="text1"/>
                <w:vertAlign w:val="superscript"/>
              </w:rPr>
              <w:footnoteReference w:id="19"/>
            </w:r>
            <w:r w:rsidRPr="00E9419A">
              <w:rPr>
                <w:iCs/>
                <w:color w:val="000000" w:themeColor="text1"/>
              </w:rPr>
              <w:t>.</w:t>
            </w:r>
          </w:p>
          <w:p w14:paraId="6308C93B" w14:textId="77777777" w:rsidR="00E9419A" w:rsidRPr="00E9419A" w:rsidRDefault="00E9419A" w:rsidP="00E9419A">
            <w:pPr>
              <w:rPr>
                <w:iCs/>
                <w:color w:val="000000" w:themeColor="text1"/>
              </w:rPr>
            </w:pPr>
            <w:r w:rsidRPr="00E9419A">
              <w:rPr>
                <w:b/>
                <w:bCs/>
                <w:iCs/>
                <w:color w:val="000000" w:themeColor="text1"/>
              </w:rPr>
              <w:t>665.</w:t>
            </w:r>
            <w:r w:rsidRPr="00E9419A">
              <w:rPr>
                <w:b/>
                <w:bCs/>
                <w:iCs/>
                <w:color w:val="000000" w:themeColor="text1"/>
                <w:vertAlign w:val="superscript"/>
              </w:rPr>
              <w:t>2</w:t>
            </w:r>
            <w:r w:rsidRPr="00E9419A">
              <w:rPr>
                <w:b/>
                <w:bCs/>
                <w:iCs/>
                <w:color w:val="000000" w:themeColor="text1"/>
              </w:rPr>
              <w:t> pants</w:t>
            </w:r>
            <w:r w:rsidRPr="00E9419A">
              <w:rPr>
                <w:iCs/>
                <w:color w:val="000000" w:themeColor="text1"/>
              </w:rPr>
              <w:t xml:space="preserve"> nosaka, ka mantojuma aizgādņa pienākums atlīdzināt mantojumam nodarītos zaudējumus nav personisks un pāriet uz aizgādņa mantiniekiem. Civillikuma 1783. pants nosaka, ka zaudējumu atlīdzības pienākums pāriet arī uz to </w:t>
            </w:r>
            <w:proofErr w:type="spellStart"/>
            <w:r w:rsidRPr="00E9419A">
              <w:rPr>
                <w:iCs/>
                <w:color w:val="000000" w:themeColor="text1"/>
              </w:rPr>
              <w:t>nodarītāja</w:t>
            </w:r>
            <w:proofErr w:type="spellEnd"/>
            <w:r w:rsidRPr="00E9419A">
              <w:rPr>
                <w:iCs/>
                <w:color w:val="000000" w:themeColor="text1"/>
              </w:rPr>
              <w:t xml:space="preserve"> mantiniekiem, ja likums nenosaka citādi. Tāpat Civillikuma 314. pants, kur ir runa par nepilngadīgā mantas aizgādni, paredz to pašu. Ievērojot minēto, 665.</w:t>
            </w:r>
            <w:r w:rsidRPr="00E9419A">
              <w:rPr>
                <w:iCs/>
                <w:color w:val="000000" w:themeColor="text1"/>
                <w:vertAlign w:val="superscript"/>
              </w:rPr>
              <w:t>2</w:t>
            </w:r>
            <w:r w:rsidRPr="00E9419A">
              <w:rPr>
                <w:iCs/>
                <w:color w:val="000000" w:themeColor="text1"/>
              </w:rPr>
              <w:t> pants salāgots ar Civillikuma nosacījumiem.</w:t>
            </w:r>
          </w:p>
          <w:p w14:paraId="631CB4EC" w14:textId="77777777" w:rsidR="00E9419A" w:rsidRPr="00E9419A" w:rsidRDefault="00E9419A" w:rsidP="00E9419A">
            <w:pPr>
              <w:rPr>
                <w:iCs/>
                <w:color w:val="000000" w:themeColor="text1"/>
              </w:rPr>
            </w:pPr>
            <w:r w:rsidRPr="00E9419A">
              <w:rPr>
                <w:b/>
                <w:bCs/>
                <w:iCs/>
                <w:color w:val="000000" w:themeColor="text1"/>
              </w:rPr>
              <w:t>665.</w:t>
            </w:r>
            <w:r w:rsidRPr="00E9419A">
              <w:rPr>
                <w:b/>
                <w:bCs/>
                <w:iCs/>
                <w:color w:val="000000" w:themeColor="text1"/>
                <w:vertAlign w:val="superscript"/>
              </w:rPr>
              <w:t>3</w:t>
            </w:r>
            <w:r w:rsidRPr="00E9419A">
              <w:rPr>
                <w:b/>
                <w:bCs/>
                <w:iCs/>
                <w:color w:val="000000" w:themeColor="text1"/>
              </w:rPr>
              <w:t> pantā</w:t>
            </w:r>
            <w:r w:rsidRPr="00E9419A">
              <w:rPr>
                <w:iCs/>
                <w:color w:val="000000" w:themeColor="text1"/>
              </w:rPr>
              <w:t xml:space="preserve"> precizēta aizgādņa, kas nodarījis zaudējumus mantojuma masai, mantinieku atbildība. Proti, iepriekšējais pants nosaka vispārējo principu, ka zaudējumu atlīdzināšanas pienākums pāriet uz mantojuma aizgādņa mantiniekiem. Savukārt 665.</w:t>
            </w:r>
            <w:r w:rsidRPr="00E9419A">
              <w:rPr>
                <w:iCs/>
                <w:color w:val="000000" w:themeColor="text1"/>
                <w:vertAlign w:val="superscript"/>
              </w:rPr>
              <w:t>3</w:t>
            </w:r>
            <w:r w:rsidRPr="00E9419A">
              <w:rPr>
                <w:iCs/>
                <w:color w:val="000000" w:themeColor="text1"/>
              </w:rPr>
              <w:t> pants paredz, ka</w:t>
            </w:r>
            <w:r w:rsidRPr="00E9419A">
              <w:rPr>
                <w:b/>
                <w:bCs/>
                <w:iCs/>
                <w:color w:val="000000" w:themeColor="text1"/>
              </w:rPr>
              <w:t xml:space="preserve"> </w:t>
            </w:r>
            <w:r w:rsidRPr="00E9419A">
              <w:rPr>
                <w:color w:val="000000" w:themeColor="text1"/>
              </w:rPr>
              <w:t>aizgādņa mantinieki atbild tikai par viņa ļaunu nolūku un rupju neuzmanību. Bet, ja atlīdzības prasība bijusi celta vēl aizgādnim dzīvam esot, viņa mantinieki atbild bez izšķirības par visu to, par ko būtu bijis jāatbild pašam mantojuma atstājējam kā aizgādnim.</w:t>
            </w:r>
            <w:r w:rsidRPr="00E9419A">
              <w:rPr>
                <w:iCs/>
                <w:color w:val="000000" w:themeColor="text1"/>
              </w:rPr>
              <w:t xml:space="preserve"> Konkrētais regulējums pārņemts no Civillikuma 315. </w:t>
            </w:r>
            <w:proofErr w:type="spellStart"/>
            <w:r w:rsidRPr="00E9419A">
              <w:rPr>
                <w:iCs/>
                <w:color w:val="000000" w:themeColor="text1"/>
              </w:rPr>
              <w:t>pnta</w:t>
            </w:r>
            <w:proofErr w:type="spellEnd"/>
            <w:r w:rsidRPr="00E9419A">
              <w:rPr>
                <w:iCs/>
                <w:color w:val="000000" w:themeColor="text1"/>
              </w:rPr>
              <w:t>, kas iekļauts pie aizbildnības regulējuma Civillikuma Ģimenes tiesību daļā. Normas ieviestas Civillikuma Mantojuma tiesību daļā, ņemot vērā, ka mantojuma aizgādnību un ar to saistītos aspektus turpmāk regulēs tikai Civillikuma mantojuma tiesību daļa. Proti, mantojuma aizgādņiem, kas turpmāk darbosies patstāvīgi, nepieciešams noteikt tiesisko ietvaru. Ņemot vērā, ka aizgādņa atbildības aspekti, kas noregulēti pie nepilngadīgā mantas pārvaldības Civillikumā, praksē nerada problemātiku, tie pārņemami Civillikuma mantojuma tiesību daļā mantojuma aizgādņa atbildības regulējumā;</w:t>
            </w:r>
          </w:p>
          <w:p w14:paraId="5F55AF6E" w14:textId="77777777" w:rsidR="00E9419A" w:rsidRPr="00E9419A" w:rsidRDefault="00E9419A" w:rsidP="00E9419A">
            <w:pPr>
              <w:rPr>
                <w:iCs/>
                <w:color w:val="000000" w:themeColor="text1"/>
              </w:rPr>
            </w:pPr>
            <w:r w:rsidRPr="00E9419A">
              <w:rPr>
                <w:b/>
                <w:bCs/>
                <w:iCs/>
                <w:color w:val="000000" w:themeColor="text1"/>
              </w:rPr>
              <w:t>665.</w:t>
            </w:r>
            <w:r w:rsidRPr="00E9419A">
              <w:rPr>
                <w:b/>
                <w:bCs/>
                <w:iCs/>
                <w:color w:val="000000" w:themeColor="text1"/>
                <w:vertAlign w:val="superscript"/>
              </w:rPr>
              <w:t>4</w:t>
            </w:r>
            <w:r w:rsidRPr="00E9419A">
              <w:rPr>
                <w:b/>
                <w:bCs/>
                <w:iCs/>
                <w:color w:val="000000" w:themeColor="text1"/>
              </w:rPr>
              <w:t> pants</w:t>
            </w:r>
            <w:r w:rsidRPr="00E9419A">
              <w:rPr>
                <w:iCs/>
                <w:color w:val="000000" w:themeColor="text1"/>
              </w:rPr>
              <w:t xml:space="preserve"> nosaka, ka mantojumā ieinteresētās personas var prasīt bāriņtiesai, lai tā atceļ mantojuma aizgādni no pienākumu pildīšanas. Darba grupā secināts, ka personām, kas ieinteresētas mantojumā, jādod iespēja prasīt mantojuma aizgādņa atcelšanu aiz svarīga iemesla. Ar ieinteresētajām personām, piemēram, saprotams mantojuma atstājēja kreditors, kas ir interesēts mantojuma saglabāšanā. Līdz ar to </w:t>
            </w:r>
            <w:r w:rsidRPr="00E9419A">
              <w:rPr>
                <w:iCs/>
                <w:color w:val="000000" w:themeColor="text1"/>
              </w:rPr>
              <w:lastRenderedPageBreak/>
              <w:t xml:space="preserve">Darba grupā secināts, ka tam būt jādod iespēja prasīt atcelt mantojuma aizgādni no funkciju pildīšanas, ja ieinteresētās personas ieskatā tam ir svarīgs iemesls (mantojuma izšķērdēšana u.tml.). </w:t>
            </w:r>
          </w:p>
          <w:p w14:paraId="7537E5CD" w14:textId="77777777" w:rsidR="00E9419A" w:rsidRPr="00E9419A" w:rsidRDefault="00E9419A" w:rsidP="00E9419A">
            <w:pPr>
              <w:rPr>
                <w:iCs/>
                <w:color w:val="000000" w:themeColor="text1"/>
              </w:rPr>
            </w:pPr>
            <w:r w:rsidRPr="00E9419A">
              <w:rPr>
                <w:iCs/>
                <w:color w:val="000000" w:themeColor="text1"/>
              </w:rPr>
              <w:t xml:space="preserve">Pantā lietots jēdziens "svarīgs iemesls". Minētais jēdziens ir </w:t>
            </w:r>
            <w:proofErr w:type="spellStart"/>
            <w:r w:rsidRPr="00E9419A">
              <w:rPr>
                <w:iCs/>
                <w:color w:val="000000" w:themeColor="text1"/>
              </w:rPr>
              <w:t>ģenerālklauzula</w:t>
            </w:r>
            <w:proofErr w:type="spellEnd"/>
            <w:r w:rsidRPr="00E9419A">
              <w:rPr>
                <w:iCs/>
                <w:color w:val="000000" w:themeColor="text1"/>
              </w:rPr>
              <w:t xml:space="preserve">. Šāda </w:t>
            </w:r>
            <w:proofErr w:type="spellStart"/>
            <w:r w:rsidRPr="00E9419A">
              <w:rPr>
                <w:iCs/>
                <w:color w:val="000000" w:themeColor="text1"/>
              </w:rPr>
              <w:t>ģenerālklauzula</w:t>
            </w:r>
            <w:proofErr w:type="spellEnd"/>
            <w:r w:rsidRPr="00E9419A">
              <w:rPr>
                <w:iCs/>
                <w:color w:val="000000" w:themeColor="text1"/>
              </w:rPr>
              <w:t xml:space="preserve"> lietota arī Darba likuma 100. panta piektajā daļā. Ja darba tiesiskajās attiecībās par svarīgu iemeslu varētu tikt uzskatīti ētikas vai tikumības apsvērumi</w:t>
            </w:r>
            <w:r w:rsidRPr="00E9419A">
              <w:rPr>
                <w:iCs/>
                <w:color w:val="000000" w:themeColor="text1"/>
                <w:vertAlign w:val="superscript"/>
              </w:rPr>
              <w:footnoteReference w:id="20"/>
            </w:r>
            <w:r w:rsidRPr="00E9419A">
              <w:rPr>
                <w:iCs/>
                <w:color w:val="000000" w:themeColor="text1"/>
              </w:rPr>
              <w:t>, tad pie mantojuma aizgādņa atbrīvošanas svarīgs iemesls visticamāk saistīts ar materiālām interesēm mantojuma saglabāšanā. Bet tas neizslēdz arī iespēju, piemēram, prasīt, lai no aizgādņa pienākumu izpildes tiek atbrīvots aizgādnis, kas neievēro tam zināmos mirušās personas norādījumus, kas doti attiecībā uz mantojuma pārvaldīšanu. Līdz ar ko, šīs jēdziens tiesību piemērotājiem ļaus to attiecināt uz dažādām faktiskām situācijām. Savukārt attiecībā uz personām, kas prasīs aizgādņa atbrīvošanu, pants prasīs pamatot svarīgo iemeslu aizgādņa atbrīvošanai no mantojuma aizgādņa pienākumu izpildes.</w:t>
            </w:r>
          </w:p>
          <w:p w14:paraId="7C77D750" w14:textId="77777777" w:rsidR="00E9419A" w:rsidRPr="00E9419A" w:rsidRDefault="00E9419A" w:rsidP="00E9419A">
            <w:pPr>
              <w:rPr>
                <w:iCs/>
                <w:color w:val="000000" w:themeColor="text1"/>
              </w:rPr>
            </w:pPr>
            <w:r w:rsidRPr="00E9419A">
              <w:rPr>
                <w:iCs/>
                <w:color w:val="000000" w:themeColor="text1"/>
              </w:rPr>
              <w:t xml:space="preserve">Tā kā bāriņtiesām tiek saglabāta funkcija iecelt un atcelt mantojuma aizgādņus, tad šādus pieteikumus no ieinteresētajām personām par mantojuma aizgādņa atcelšanu no pienākumu izpildes aiz svarīga iemesla izvērtēs bāriņtiesa. Bāriņtiesas lēmums apstrīdams </w:t>
            </w:r>
            <w:r w:rsidRPr="00E9419A">
              <w:rPr>
                <w:color w:val="000000" w:themeColor="text1"/>
              </w:rPr>
              <w:t>administratīvajā tiesā.</w:t>
            </w:r>
          </w:p>
          <w:p w14:paraId="1C8C235B" w14:textId="77777777" w:rsidR="00E9419A" w:rsidRPr="00E9419A" w:rsidRDefault="00E9419A" w:rsidP="00E9419A">
            <w:pPr>
              <w:rPr>
                <w:iCs/>
                <w:color w:val="000000" w:themeColor="text1"/>
              </w:rPr>
            </w:pPr>
            <w:r w:rsidRPr="00E9419A">
              <w:rPr>
                <w:b/>
                <w:bCs/>
                <w:iCs/>
                <w:color w:val="000000" w:themeColor="text1"/>
              </w:rPr>
              <w:t xml:space="preserve">5. Civillikuma 666.pants izteikts jaunā redakcijā. </w:t>
            </w:r>
            <w:r w:rsidRPr="00E9419A">
              <w:rPr>
                <w:iCs/>
                <w:color w:val="000000" w:themeColor="text1"/>
              </w:rPr>
              <w:t>Šobrīd pants sasaista mantojuma aizgādnības izbeigšanos ar mantojuma apliecības izsniegšanu. Darba grupā diskutējot secināts, ka tas nav pareizi, jo mantojuma masa kā juridiska persona, pastāv no brīža, kad mantojums atklājas, līdz brīdim, kad mantojums pieņemts. Līdz ar to arī mantojuma aizgādnībai ir jāizbeidzas tad, kad mantinieki pieņem mantojumu.</w:t>
            </w:r>
          </w:p>
          <w:p w14:paraId="4735274F" w14:textId="77777777" w:rsidR="00E9419A" w:rsidRPr="00E9419A" w:rsidRDefault="00E9419A" w:rsidP="00E9419A">
            <w:pPr>
              <w:rPr>
                <w:iCs/>
                <w:color w:val="000000" w:themeColor="text1"/>
              </w:rPr>
            </w:pPr>
            <w:r w:rsidRPr="00E9419A">
              <w:rPr>
                <w:iCs/>
                <w:color w:val="000000" w:themeColor="text1"/>
              </w:rPr>
              <w:t>Tieslietu ministrijas un Darba grupas ekspertu ieskatā mantojumu pieņemšanas fakta konstatēšanai svarīga ir mantinieka griba (gribas izpausme), nevis tas, vai mantinieks ir izņēmis mantojuma apliecību pie notāra. Tādējādi Tieslietu ministrijas ieskatā, ja mantojuma lieta ir bijusi uzsākta un mantinieks zvērinātam notāram ir izteicis gribu pieņemt mantojumu, bet nav aizgājis izņemt mantojuma apliecību, uzskatāms, ka mantiniekam gribas izteikums ir saistošs un mantot aicinātais mantojumu ir pieņēmis. Līdz ar to mantojums kā juridiska persona ar šo brīdi pārstāj eksistēt, kas nozīmē, ka vairs nav persona, pār kuru nodibināta aizgādnība. Mantojuma apliecības izņemšanai nav izšķiroša nozīme, lai konstatētu, vai mantojums ir pieņemts, svarīgi ir konstatēt mantinieka gribu (attieksmi) – mantojuma lietā pausta griba pieņemt mantojumu ir pietiekošs apstāklis, lai konstatētu gribu. Minēto apstiprina arī tiesu prakse</w:t>
            </w:r>
            <w:r w:rsidRPr="00E9419A">
              <w:rPr>
                <w:iCs/>
                <w:color w:val="000000" w:themeColor="text1"/>
                <w:vertAlign w:val="superscript"/>
              </w:rPr>
              <w:footnoteReference w:id="21"/>
            </w:r>
            <w:r w:rsidRPr="00E9419A">
              <w:rPr>
                <w:iCs/>
                <w:color w:val="000000" w:themeColor="text1"/>
              </w:rPr>
              <w:t xml:space="preserve">. Tādējādi jānovērš situācija, kas šobrīd praksē atsevišķos gadījumos ir tikusi konstatēta, ka reizē tomēr pastāv vairākas tiesīgās personas, kas var rīkoties ar mantojumu – gan mantinieki, gan aizgādnis. Līdz ar to aizgādnībai būtu jābeidzas, kad mantojuma lieta pie notāra ir pabeigta. Ar mantojuma lietas pabeigšanu jāsaprot brīdis, kad sludinājuma par mantojuma atklāšanos termiņš ir notecējis – tiesības izteikt gribu pieņemt mantojumu ir pagājušas un līdz ar to jaunas tiesīgās personas, kā vien tās, kas termiņā jau paudušas gribu, vairs nevar tikt uzskatītas par </w:t>
            </w:r>
            <w:r w:rsidRPr="00E9419A">
              <w:rPr>
                <w:iCs/>
                <w:color w:val="000000" w:themeColor="text1"/>
              </w:rPr>
              <w:lastRenderedPageBreak/>
              <w:t>mantiniekiem. Tādējādi šajā brīdī mantojuma atstājēja saistību un tiesību pārņēmēji ir zināmi, mantojums kā juridiska persona pārstājusi eksistēt, līdz ar ko mantojuma aizgādnība būtu izbeidzama, nesasaistot to ar apliecības izņemšanas brīdi.</w:t>
            </w:r>
          </w:p>
          <w:p w14:paraId="6EB3AE65" w14:textId="71191F0B" w:rsidR="00831FA2" w:rsidRPr="00E9419A" w:rsidRDefault="00E9419A" w:rsidP="00CD023C">
            <w:pPr>
              <w:rPr>
                <w:iCs/>
                <w:color w:val="000000" w:themeColor="text1"/>
              </w:rPr>
            </w:pPr>
            <w:r w:rsidRPr="00E9419A">
              <w:rPr>
                <w:iCs/>
                <w:color w:val="000000" w:themeColor="text1"/>
              </w:rPr>
              <w:t>Minētais sasaucas ar Likumprojektā paredzēto Civillikuma 694. panta grozījumu.</w:t>
            </w:r>
          </w:p>
        </w:tc>
      </w:tr>
    </w:tbl>
    <w:p w14:paraId="76588025" w14:textId="77777777" w:rsidR="00831FA2" w:rsidRDefault="00831FA2" w:rsidP="002476D5">
      <w:pPr>
        <w:rPr>
          <w:color w:val="000000" w:themeColor="text1"/>
        </w:rPr>
      </w:pPr>
    </w:p>
    <w:p w14:paraId="5804B7EC" w14:textId="00773745" w:rsidR="00831FA2" w:rsidRDefault="00831FA2" w:rsidP="00C129F9">
      <w:pPr>
        <w:rPr>
          <w:b/>
          <w:color w:val="000000" w:themeColor="text1"/>
        </w:rPr>
      </w:pPr>
      <w:r w:rsidRPr="00831FA2">
        <w:rPr>
          <w:b/>
          <w:color w:val="000000" w:themeColor="text1"/>
        </w:rPr>
        <w:t xml:space="preserve">Problēmas apraksts </w:t>
      </w:r>
    </w:p>
    <w:p w14:paraId="2B46E115" w14:textId="77777777" w:rsidR="00C129F9" w:rsidRPr="00C129F9" w:rsidRDefault="00C129F9" w:rsidP="00C129F9">
      <w:pPr>
        <w:jc w:val="center"/>
        <w:rPr>
          <w:b/>
          <w:bCs/>
          <w:iCs/>
          <w:color w:val="000000" w:themeColor="text1"/>
          <w:szCs w:val="28"/>
        </w:rPr>
      </w:pPr>
      <w:r w:rsidRPr="00C129F9">
        <w:rPr>
          <w:b/>
          <w:bCs/>
          <w:iCs/>
          <w:color w:val="000000" w:themeColor="text1"/>
          <w:szCs w:val="28"/>
        </w:rPr>
        <w:t>V. Iepriekšēji saņemtā pievienojums.</w:t>
      </w:r>
    </w:p>
    <w:p w14:paraId="59359FEB" w14:textId="77777777" w:rsidR="00C129F9" w:rsidRPr="00C129F9" w:rsidRDefault="00C129F9" w:rsidP="00C129F9">
      <w:pPr>
        <w:rPr>
          <w:bCs/>
          <w:iCs/>
          <w:color w:val="000000" w:themeColor="text1"/>
          <w:szCs w:val="28"/>
        </w:rPr>
      </w:pPr>
      <w:r w:rsidRPr="00C129F9">
        <w:rPr>
          <w:bCs/>
          <w:iCs/>
          <w:color w:val="000000" w:themeColor="text1"/>
          <w:szCs w:val="28"/>
        </w:rPr>
        <w:t>Iepriekšēji saņemtā pievienojuma institūts bija pazīstams jau romiešu tiesībās. Tā pamatā ir taisnīguma un vienlīdzības princips "izlīdzināties" un tas attiecas uz mantojuma atstājēja pārdzīvojušo laulāto un visiem lejupējiem. Ja kāda no minētajām personām, mantojuma atstājējam dzīvam esot, ir jau saņēmusi daļu mantojuma, un ja tā vēlas mantot, tad viņa pienākums bija vai nu pievienot mantojuma masai visu iepriekš saņemto, vai arī ieskaitīt to savā mantojuma daļā.</w:t>
      </w:r>
      <w:r w:rsidRPr="00C129F9">
        <w:rPr>
          <w:bCs/>
          <w:iCs/>
          <w:color w:val="000000" w:themeColor="text1"/>
          <w:szCs w:val="28"/>
          <w:vertAlign w:val="superscript"/>
        </w:rPr>
        <w:footnoteReference w:id="22"/>
      </w:r>
    </w:p>
    <w:p w14:paraId="7944EA89" w14:textId="77777777" w:rsidR="00C129F9" w:rsidRPr="00C129F9" w:rsidRDefault="00C129F9" w:rsidP="00C129F9">
      <w:pPr>
        <w:rPr>
          <w:bCs/>
          <w:iCs/>
          <w:color w:val="000000" w:themeColor="text1"/>
          <w:szCs w:val="28"/>
        </w:rPr>
      </w:pPr>
      <w:r w:rsidRPr="00C129F9">
        <w:rPr>
          <w:bCs/>
          <w:iCs/>
          <w:color w:val="000000" w:themeColor="text1"/>
          <w:szCs w:val="28"/>
        </w:rPr>
        <w:t xml:space="preserve">Civillikuma 757. pants nosaka, ka pārdzīvojušam laulātam un visiem lejupējiem, kas uz kaut kāda pamata grib mantot no mirušā laulātā vai no kopējā augšupējā, </w:t>
      </w:r>
      <w:r w:rsidRPr="00C129F9">
        <w:rPr>
          <w:bCs/>
          <w:iCs/>
          <w:color w:val="000000" w:themeColor="text1"/>
          <w:szCs w:val="28"/>
          <w:u w:val="single"/>
        </w:rPr>
        <w:t>viss tas, ko viņi dabūjuši no mantojuma atstājēja tam dzīvam esot</w:t>
      </w:r>
      <w:r w:rsidRPr="00C129F9">
        <w:rPr>
          <w:bCs/>
          <w:iCs/>
          <w:color w:val="000000" w:themeColor="text1"/>
          <w:szCs w:val="28"/>
        </w:rPr>
        <w:t xml:space="preserve">, pirms mantojuma masas dalīšanas jāpievieno tai vai arī jāieskaita savās mantojuma daļās. </w:t>
      </w:r>
    </w:p>
    <w:p w14:paraId="63E686C0" w14:textId="77777777" w:rsidR="00C129F9" w:rsidRPr="00C129F9" w:rsidRDefault="00C129F9" w:rsidP="00C129F9">
      <w:pPr>
        <w:rPr>
          <w:bCs/>
          <w:iCs/>
          <w:color w:val="000000" w:themeColor="text1"/>
          <w:szCs w:val="28"/>
        </w:rPr>
      </w:pPr>
      <w:r w:rsidRPr="00C129F9">
        <w:rPr>
          <w:bCs/>
          <w:iCs/>
          <w:color w:val="000000" w:themeColor="text1"/>
          <w:szCs w:val="28"/>
        </w:rPr>
        <w:t xml:space="preserve">Darba grupā diskutējot par iepriekšēji saņemtā pievienojuma institūtu, tika secināts, ka praksē šobrīd Civillikuma 757. pantā lietotie vārdi "viss tas, ko viņi dabūjuši no mantojuma atstājēja tam dzīvam esot" tiek attiecināts uz visu mantu, ko mantinieks jebkad savas dzīves laikā dabūjis no mantojuma atstājēju, tādējādi veidojot situācijas, kur mantinieki, dalot mantojumu, kā iepriekšēji saņemtā pievienojumu pārējiem mantiniekiem lūdz pievienot visu, ko tie jebkad saņēmis no mantojuma atstājēja. Piemēram, kad lejupējie (bērni) dala mantojumu, tie tiesā lūdz, lai citi mantinieki izdara pievienojumu par visu mantu, ko tas saņēmis no mirušā vecāka mūža laikā. Un Civillikums kā izņēmumu pienākumam izdarīt pievienojumu paredz tikai uz to, kas saņemts ēdienam, miteklim, apģērbam, kopšanai, audzināšanai un izglītošanai </w:t>
      </w:r>
      <w:proofErr w:type="spellStart"/>
      <w:r w:rsidRPr="00C129F9">
        <w:rPr>
          <w:bCs/>
          <w:iCs/>
          <w:color w:val="000000" w:themeColor="text1"/>
          <w:szCs w:val="28"/>
        </w:rPr>
        <w:t>obligātoriskās</w:t>
      </w:r>
      <w:proofErr w:type="spellEnd"/>
      <w:r w:rsidRPr="00C129F9">
        <w:rPr>
          <w:bCs/>
          <w:iCs/>
          <w:color w:val="000000" w:themeColor="text1"/>
          <w:szCs w:val="28"/>
        </w:rPr>
        <w:t xml:space="preserve"> skolās (un parastās dāvanas zināmos gadījumos). Turklāt ar izglītošanu </w:t>
      </w:r>
      <w:proofErr w:type="spellStart"/>
      <w:r w:rsidRPr="00C129F9">
        <w:rPr>
          <w:bCs/>
          <w:iCs/>
          <w:color w:val="000000" w:themeColor="text1"/>
          <w:szCs w:val="28"/>
        </w:rPr>
        <w:t>obligatoriskās</w:t>
      </w:r>
      <w:proofErr w:type="spellEnd"/>
      <w:r w:rsidRPr="00C129F9">
        <w:rPr>
          <w:bCs/>
          <w:iCs/>
          <w:color w:val="000000" w:themeColor="text1"/>
          <w:szCs w:val="28"/>
        </w:rPr>
        <w:t xml:space="preserve"> skolās jāsaprot pamatizglītības iegūšana, tas ir izglītošana līdz 9. klasei ieskaitot.</w:t>
      </w:r>
    </w:p>
    <w:p w14:paraId="1DCC4CB1" w14:textId="77777777" w:rsidR="00C129F9" w:rsidRPr="00C129F9" w:rsidRDefault="00C129F9" w:rsidP="00C129F9">
      <w:pPr>
        <w:rPr>
          <w:bCs/>
          <w:iCs/>
          <w:color w:val="000000" w:themeColor="text1"/>
          <w:szCs w:val="28"/>
        </w:rPr>
      </w:pPr>
      <w:r w:rsidRPr="00C129F9">
        <w:rPr>
          <w:bCs/>
          <w:iCs/>
          <w:color w:val="000000" w:themeColor="text1"/>
          <w:szCs w:val="28"/>
        </w:rPr>
        <w:t>Lai gan Civillikuma regulējums šobrīd paredz pienākumu izdarīt pievienojumu par visu saņemto, Darba grupas ekspertu vidū secināts, ka šāda pieeja iepriekšēji saņemtā pievienojuma institūtam neatbilst mūsdienu realitātei, kur aktīvu aprite ģimenes lokā ir arvien biežāka parādība, bet gan drīzāk apgrūtina mantojuma sadali mantinieku starpā. Tādējādi secināts, ka nepieciešams pilnveidot iepriekšēji saņemtā pievienojuma institūtu. Lai uzlabotu mantojuma aizgādnības institūta darbību, jāparedz, ka:</w:t>
      </w:r>
    </w:p>
    <w:p w14:paraId="41A6ED14" w14:textId="77777777" w:rsidR="00C129F9" w:rsidRPr="00C129F9" w:rsidRDefault="00C129F9" w:rsidP="00C129F9">
      <w:pPr>
        <w:numPr>
          <w:ilvl w:val="0"/>
          <w:numId w:val="3"/>
        </w:numPr>
        <w:rPr>
          <w:bCs/>
          <w:iCs/>
          <w:color w:val="000000" w:themeColor="text1"/>
          <w:szCs w:val="28"/>
        </w:rPr>
      </w:pPr>
      <w:r w:rsidRPr="00C129F9">
        <w:rPr>
          <w:bCs/>
          <w:iCs/>
          <w:color w:val="000000" w:themeColor="text1"/>
          <w:szCs w:val="28"/>
        </w:rPr>
        <w:t>Civillikuma 757. pantā nepieciešams noteikt konkrētu laika posmu, kurā saņemtais ir jāpievieno mantojumam – pēdējie 5 gadi no mantojuma atklāšanās brīža, nevis visas dzīves laikā saņemtais kā tas ir šobrīd;</w:t>
      </w:r>
    </w:p>
    <w:p w14:paraId="3BE1FCBF" w14:textId="77777777" w:rsidR="00C129F9" w:rsidRPr="00C129F9" w:rsidRDefault="00C129F9" w:rsidP="00C129F9">
      <w:pPr>
        <w:numPr>
          <w:ilvl w:val="0"/>
          <w:numId w:val="3"/>
        </w:numPr>
        <w:rPr>
          <w:bCs/>
          <w:iCs/>
          <w:color w:val="000000" w:themeColor="text1"/>
          <w:szCs w:val="28"/>
        </w:rPr>
      </w:pPr>
      <w:r w:rsidRPr="00C129F9">
        <w:rPr>
          <w:bCs/>
          <w:iCs/>
          <w:color w:val="000000" w:themeColor="text1"/>
          <w:szCs w:val="28"/>
        </w:rPr>
        <w:t xml:space="preserve">Civillikuma 757. pantā skaidrības labad jāievieto atsauce uz Civillikuma 762., 763. pantu, kur noteikti izņēmumi, kad iepriekšēji saņemtā pievienojums nav jāizdara; </w:t>
      </w:r>
    </w:p>
    <w:p w14:paraId="67A9F51D" w14:textId="77777777" w:rsidR="00C129F9" w:rsidRPr="00C129F9" w:rsidRDefault="00C129F9" w:rsidP="00C129F9">
      <w:pPr>
        <w:numPr>
          <w:ilvl w:val="0"/>
          <w:numId w:val="3"/>
        </w:numPr>
        <w:rPr>
          <w:bCs/>
          <w:iCs/>
          <w:color w:val="000000" w:themeColor="text1"/>
          <w:szCs w:val="28"/>
        </w:rPr>
      </w:pPr>
      <w:r w:rsidRPr="00C129F9">
        <w:rPr>
          <w:bCs/>
          <w:iCs/>
          <w:color w:val="000000" w:themeColor="text1"/>
          <w:szCs w:val="28"/>
        </w:rPr>
        <w:lastRenderedPageBreak/>
        <w:t>pievienošanas pienākums neattiecas uz testamentāro un līgumisko mantošanu, jo testators jau sadalījis mantojumu, līdz ar to iepriekšēji saņemtā pievienojums jāizdara tikai uz likumiskās mantošanas pamata - attiecīgi nepieciešams precizēt Civillikuma 757. pantu;</w:t>
      </w:r>
    </w:p>
    <w:p w14:paraId="7E2D4F8B" w14:textId="77777777" w:rsidR="00C129F9" w:rsidRPr="00C129F9" w:rsidRDefault="00C129F9" w:rsidP="00C129F9">
      <w:pPr>
        <w:numPr>
          <w:ilvl w:val="0"/>
          <w:numId w:val="3"/>
        </w:numPr>
        <w:rPr>
          <w:bCs/>
          <w:iCs/>
          <w:color w:val="000000" w:themeColor="text1"/>
          <w:szCs w:val="28"/>
        </w:rPr>
      </w:pPr>
      <w:r w:rsidRPr="00C129F9">
        <w:rPr>
          <w:bCs/>
          <w:iCs/>
          <w:color w:val="000000" w:themeColor="text1"/>
          <w:szCs w:val="28"/>
        </w:rPr>
        <w:t>tiesībām prasīt no apdāvinātā, lai tas izdod neatņemamās daļas, būtu jāattiecas uz darījumiem, kas noslēgti 5 gadu periodā pirms mantojuma atklāšanās, nevis uz darījumiem, kas noslēgti mantojuma atstājēja mūža garumā;</w:t>
      </w:r>
    </w:p>
    <w:p w14:paraId="2B518AEC" w14:textId="77777777" w:rsidR="00C129F9" w:rsidRPr="00C129F9" w:rsidRDefault="00C129F9" w:rsidP="00C129F9">
      <w:pPr>
        <w:numPr>
          <w:ilvl w:val="0"/>
          <w:numId w:val="3"/>
        </w:numPr>
        <w:rPr>
          <w:bCs/>
          <w:iCs/>
          <w:color w:val="000000" w:themeColor="text1"/>
          <w:szCs w:val="28"/>
        </w:rPr>
      </w:pPr>
      <w:r w:rsidRPr="00C129F9">
        <w:rPr>
          <w:bCs/>
          <w:iCs/>
          <w:color w:val="000000" w:themeColor="text1"/>
          <w:szCs w:val="28"/>
        </w:rPr>
        <w:t>mantojuma atstājējs arī dāvinājumā dzīves laikā var apdāvināto atbrīvot no pienākuma dāvinājumu ieskaitīt iepriekšēji saņemtā pievienojumā, līdz ar to attiecīgi precizējama Civillikuma 760. panta otrā daļa;</w:t>
      </w:r>
    </w:p>
    <w:p w14:paraId="724B4A49" w14:textId="77777777" w:rsidR="00C129F9" w:rsidRPr="00C129F9" w:rsidRDefault="00C129F9" w:rsidP="00C129F9">
      <w:pPr>
        <w:rPr>
          <w:bCs/>
          <w:iCs/>
          <w:color w:val="000000" w:themeColor="text1"/>
          <w:szCs w:val="28"/>
        </w:rPr>
      </w:pPr>
      <w:r w:rsidRPr="00C129F9">
        <w:rPr>
          <w:bCs/>
          <w:iCs/>
          <w:color w:val="000000" w:themeColor="text1"/>
          <w:szCs w:val="28"/>
        </w:rPr>
        <w:t>Tādējādi ar Likumprojektu paredzētie grozījumi nemaina institūta būtību, bet paredz precizēt regulējumu attiecībā uz iepriekšēji saņemtā pievienojumu, pielāgojot to mūsdienu tiesību tendencēm. Ar grozījumiem paredzēts noteikt termiņu, kādā pirms mantojuma atklāšanās saņemtais jāieskaita kā iepriekšēji saņemtais pievienojums, proti, pieci gadi pirms mantojuma atklāšanās. Tādējādi novēršot to, ka šobrīd pienākums ieskaitīt iepriekšēji saņemto ir par visas dzīves laikā iegūto no mantojuma atstājēja. Tāpat precizēts, ka iepriekšēji saņemtā pievienojums jāizdara likumiskās mantošanas gadījumā, ja vien mantojuma atstājējs nav atcēlis mantiniekus no šī pienākuma. Tāpat precizēts, ka lejupējiem, kuri sava stāvokļa dēļ paši sevi nevar apgādāt, tas ko dabūjuši no augšupējiem nav jāpievieno.</w:t>
      </w:r>
    </w:p>
    <w:p w14:paraId="78900AEF" w14:textId="77777777" w:rsidR="00C129F9" w:rsidRPr="00C129F9" w:rsidRDefault="00C129F9" w:rsidP="00C129F9">
      <w:pPr>
        <w:rPr>
          <w:bCs/>
          <w:iCs/>
          <w:color w:val="000000" w:themeColor="text1"/>
          <w:sz w:val="20"/>
        </w:rPr>
      </w:pPr>
    </w:p>
    <w:p w14:paraId="4810C78E" w14:textId="77777777" w:rsidR="00831FA2" w:rsidRPr="00C82B48" w:rsidRDefault="00831FA2" w:rsidP="00831FA2">
      <w:pPr>
        <w:rPr>
          <w:color w:val="000000" w:themeColor="text1"/>
        </w:rPr>
      </w:pPr>
      <w:r w:rsidRPr="00C82B48">
        <w:rPr>
          <w:b/>
          <w:color w:val="000000" w:themeColor="text1"/>
        </w:rPr>
        <w:t>Risinājuma apraksts</w:t>
      </w:r>
    </w:p>
    <w:tbl>
      <w:tblPr>
        <w:tblStyle w:val="TableGrid"/>
        <w:tblW w:w="0" w:type="auto"/>
        <w:tblLook w:val="04A0" w:firstRow="1" w:lastRow="0" w:firstColumn="1" w:lastColumn="0" w:noHBand="0" w:noVBand="1"/>
      </w:tblPr>
      <w:tblGrid>
        <w:gridCol w:w="9632"/>
      </w:tblGrid>
      <w:tr w:rsidR="00831FA2" w:rsidRPr="00C82B48" w14:paraId="76781AAD" w14:textId="77777777" w:rsidTr="00CD023C">
        <w:tc>
          <w:tcPr>
            <w:tcW w:w="9632" w:type="dxa"/>
          </w:tcPr>
          <w:p w14:paraId="7ACCBC71" w14:textId="77777777" w:rsidR="00036FCD" w:rsidRPr="00036FCD" w:rsidRDefault="00036FCD" w:rsidP="00036FCD">
            <w:pPr>
              <w:rPr>
                <w:iCs/>
                <w:color w:val="000000" w:themeColor="text1"/>
              </w:rPr>
            </w:pPr>
            <w:r w:rsidRPr="00036FCD">
              <w:rPr>
                <w:iCs/>
                <w:color w:val="000000" w:themeColor="text1"/>
              </w:rPr>
              <w:t>Ievērojot visu minēto, Likumprojekts attiecībā uz iepriekšēji saņemtā pievienojuma institūtu paredz izdarīt sekojošus grozījumus Civillikumā (panti norādīti secīgi).</w:t>
            </w:r>
          </w:p>
          <w:p w14:paraId="1B6633B0" w14:textId="77777777" w:rsidR="00036FCD" w:rsidRPr="00036FCD" w:rsidRDefault="00036FCD" w:rsidP="00036FCD">
            <w:pPr>
              <w:rPr>
                <w:iCs/>
                <w:color w:val="000000" w:themeColor="text1"/>
              </w:rPr>
            </w:pPr>
            <w:r w:rsidRPr="00036FCD">
              <w:rPr>
                <w:b/>
                <w:bCs/>
                <w:iCs/>
                <w:color w:val="000000" w:themeColor="text1"/>
              </w:rPr>
              <w:t xml:space="preserve">1. Grozīts Civillikuma 757. pants. </w:t>
            </w:r>
            <w:r w:rsidRPr="00036FCD">
              <w:rPr>
                <w:iCs/>
                <w:color w:val="000000" w:themeColor="text1"/>
              </w:rPr>
              <w:t xml:space="preserve">Konkrētajā pantā paredzēts: </w:t>
            </w:r>
          </w:p>
          <w:p w14:paraId="3AD9AB7F" w14:textId="77777777" w:rsidR="00036FCD" w:rsidRPr="00036FCD" w:rsidRDefault="00036FCD" w:rsidP="00036FCD">
            <w:pPr>
              <w:rPr>
                <w:iCs/>
                <w:color w:val="000000" w:themeColor="text1"/>
              </w:rPr>
            </w:pPr>
            <w:r w:rsidRPr="00036FCD">
              <w:rPr>
                <w:iCs/>
                <w:color w:val="000000" w:themeColor="text1"/>
              </w:rPr>
              <w:t xml:space="preserve">1) ka pienākums izdarīt pievienojumu turpmāk attieksies tikai uz gadījumiem, kad mantošana notiks uz likuma pamata. Tas darīts, jo gadījumos, kad mantojuma atstājējs savam nāves gadījumam ir devis rīkojumu (sastādījis testamentu) vai noslēdzis mantojuma līgumu, uzskatāms, ka viņš ar savu gribu jau ir sadalījis mantojumu un tāpēc izlīdzināšanas mehānisms, kas paredzēts Civillikuma 757. pantā nav attiecināms; </w:t>
            </w:r>
          </w:p>
          <w:p w14:paraId="4B9508B1" w14:textId="77777777" w:rsidR="00036FCD" w:rsidRPr="00036FCD" w:rsidRDefault="00036FCD" w:rsidP="00036FCD">
            <w:pPr>
              <w:rPr>
                <w:iCs/>
                <w:color w:val="000000" w:themeColor="text1"/>
              </w:rPr>
            </w:pPr>
            <w:r w:rsidRPr="00036FCD">
              <w:rPr>
                <w:iCs/>
                <w:color w:val="000000" w:themeColor="text1"/>
              </w:rPr>
              <w:t>2) ievietot pantā atsauci uz Civillikuma 762. un 763. pantu. Minētais darīts, lai skaidrības labad, norādītu uz kādu saņemto mantu no mantojuma atstājēja nav attiecināms pievienošanas pienākums;</w:t>
            </w:r>
          </w:p>
          <w:p w14:paraId="2F7B5B2C" w14:textId="77777777" w:rsidR="00036FCD" w:rsidRPr="00036FCD" w:rsidRDefault="00036FCD" w:rsidP="00036FCD">
            <w:pPr>
              <w:rPr>
                <w:iCs/>
                <w:color w:val="000000" w:themeColor="text1"/>
              </w:rPr>
            </w:pPr>
            <w:r w:rsidRPr="00036FCD">
              <w:rPr>
                <w:iCs/>
                <w:color w:val="000000" w:themeColor="text1"/>
              </w:rPr>
              <w:t>3) noteikt konkrētu laika posmu, kurā saņemtais no mantojuma atstājēja jāpievieno kā iepriekšēji saņemtais. Proti, turpmāk kā iepriekšēji saņemtais, mantojot uz likuma pamata, būs jāpievieno tikai tas, ko mantinieki saņēmuši pēdējo piecu gadu laikā no mantojuma atstājēja nāves, nevis jāpievieno viss, kas saņemts dzīves laikā, kā to šobrīd paredz Civillikums. Minētais darīts, lai pielāgotu iepriekšēji saņemtā pievienojuma institūtu mūsdienu tiesisko attiecību dinamikai un atvieglotu mantojuma dalīšanu mantinieku starpā;</w:t>
            </w:r>
          </w:p>
          <w:p w14:paraId="2A657DE7" w14:textId="77777777" w:rsidR="00036FCD" w:rsidRPr="00036FCD" w:rsidRDefault="00036FCD" w:rsidP="00036FCD">
            <w:pPr>
              <w:rPr>
                <w:iCs/>
                <w:color w:val="000000" w:themeColor="text1"/>
              </w:rPr>
            </w:pPr>
            <w:r w:rsidRPr="00036FCD">
              <w:rPr>
                <w:iCs/>
                <w:color w:val="000000" w:themeColor="text1"/>
              </w:rPr>
              <w:t xml:space="preserve">4) noteikt, ka, ja ieskaitītās mantas vērtība pārsniedz mantojamās daļas vērtību, atlikusī daļa nav jāpievieno mantojumam. Proti, ja kāds izdara pievienojumu ar agrāk iegūtu mantu no mantojuma atstājēja, kuras vērtība pārsniedz to, ko pievienojumu izdarījušais mantinieks iegūtu mantojot, atlikusī pievienotās mantas vērtība, kas </w:t>
            </w:r>
            <w:r w:rsidRPr="00036FCD">
              <w:rPr>
                <w:iCs/>
                <w:color w:val="000000" w:themeColor="text1"/>
              </w:rPr>
              <w:lastRenderedPageBreak/>
              <w:t>pārsniedz mantojamās daļas vērtību, nav jāpievieno un tā neieiet kopējā mantojuma masā un nepiedalās mantošanā. Minētais ir universāls princips</w:t>
            </w:r>
            <w:r w:rsidRPr="00036FCD">
              <w:rPr>
                <w:iCs/>
                <w:color w:val="000000" w:themeColor="text1"/>
                <w:vertAlign w:val="superscript"/>
              </w:rPr>
              <w:footnoteReference w:id="23"/>
            </w:r>
            <w:r w:rsidRPr="00036FCD">
              <w:rPr>
                <w:iCs/>
                <w:color w:val="000000" w:themeColor="text1"/>
              </w:rPr>
              <w:t>, kas skaidrības labad jānostiprina likumā.</w:t>
            </w:r>
          </w:p>
          <w:p w14:paraId="129BD55F" w14:textId="77777777" w:rsidR="00036FCD" w:rsidRPr="00036FCD" w:rsidRDefault="00036FCD" w:rsidP="00036FCD">
            <w:pPr>
              <w:rPr>
                <w:iCs/>
                <w:color w:val="000000" w:themeColor="text1"/>
              </w:rPr>
            </w:pPr>
            <w:r w:rsidRPr="00036FCD">
              <w:rPr>
                <w:b/>
                <w:bCs/>
                <w:iCs/>
                <w:color w:val="000000" w:themeColor="text1"/>
              </w:rPr>
              <w:t xml:space="preserve">2. Grozīts Civillikuma 760. pants. </w:t>
            </w:r>
            <w:r w:rsidRPr="00036FCD">
              <w:rPr>
                <w:iCs/>
                <w:color w:val="000000" w:themeColor="text1"/>
              </w:rPr>
              <w:t xml:space="preserve">Ar grozījumu paredzēts redakcionāli precizēt 760. pantu, paredzot, ka pievienojums mantiniekiem nav jāizdara tad, kad mantojuma atstājējs noteikti </w:t>
            </w:r>
            <w:r w:rsidRPr="00036FCD">
              <w:rPr>
                <w:color w:val="000000" w:themeColor="text1"/>
              </w:rPr>
              <w:t>atbrīvojis no pienākuma izdarīt</w:t>
            </w:r>
            <w:r w:rsidRPr="00036FCD">
              <w:rPr>
                <w:iCs/>
                <w:color w:val="000000" w:themeColor="text1"/>
              </w:rPr>
              <w:t xml:space="preserve"> pievienojumu. Tādējādi pants turpmāk paredzēs, ka mantojot uz likuma pamata, iepriekšēji saņemtā pievienojums izdarāms vienmēr, izņemot, ja mantojuma atstājējs atbrīvojis mantiniekus no pienākuma to darīt. Mainās tas, ka mantojuma atstājējam nav jāizliedz to darīt, bet gan jāatbrīvo mantiniekus no šī pienākuma.</w:t>
            </w:r>
          </w:p>
          <w:p w14:paraId="7F5557CD" w14:textId="77777777" w:rsidR="00036FCD" w:rsidRPr="00036FCD" w:rsidRDefault="00036FCD" w:rsidP="00036FCD">
            <w:pPr>
              <w:rPr>
                <w:iCs/>
                <w:color w:val="000000" w:themeColor="text1"/>
              </w:rPr>
            </w:pPr>
            <w:r w:rsidRPr="00036FCD">
              <w:rPr>
                <w:b/>
                <w:bCs/>
                <w:iCs/>
                <w:color w:val="000000" w:themeColor="text1"/>
              </w:rPr>
              <w:t>3. No Civillikuma izslēgts 761. pants.</w:t>
            </w:r>
            <w:r w:rsidRPr="00036FCD">
              <w:rPr>
                <w:iCs/>
                <w:color w:val="000000" w:themeColor="text1"/>
              </w:rPr>
              <w:t xml:space="preserve"> Šobrīd Civillikuma 757. un 761. pants nes vienādu juridisko slodzi un ir ar vienādu saturu. Līdz ar ko Civillikuma 761. pants izslēdzams no likuma. Proti, jau 1938. gadā Latvijas tiesību zinātniskajā literatūrā atrodams secinājums, ka </w:t>
            </w:r>
            <w:proofErr w:type="spellStart"/>
            <w:r w:rsidRPr="00036FCD">
              <w:rPr>
                <w:i/>
                <w:color w:val="000000" w:themeColor="text1"/>
              </w:rPr>
              <w:t>de</w:t>
            </w:r>
            <w:proofErr w:type="spellEnd"/>
            <w:r w:rsidRPr="00036FCD">
              <w:rPr>
                <w:i/>
                <w:color w:val="000000" w:themeColor="text1"/>
              </w:rPr>
              <w:t xml:space="preserve"> </w:t>
            </w:r>
            <w:proofErr w:type="spellStart"/>
            <w:r w:rsidRPr="00036FCD">
              <w:rPr>
                <w:i/>
                <w:color w:val="000000" w:themeColor="text1"/>
              </w:rPr>
              <w:t>lege</w:t>
            </w:r>
            <w:proofErr w:type="spellEnd"/>
            <w:r w:rsidRPr="00036FCD">
              <w:rPr>
                <w:i/>
                <w:color w:val="000000" w:themeColor="text1"/>
              </w:rPr>
              <w:t xml:space="preserve"> </w:t>
            </w:r>
            <w:proofErr w:type="spellStart"/>
            <w:r w:rsidRPr="00036FCD">
              <w:rPr>
                <w:i/>
                <w:color w:val="000000" w:themeColor="text1"/>
              </w:rPr>
              <w:t>ferenda</w:t>
            </w:r>
            <w:proofErr w:type="spellEnd"/>
            <w:r w:rsidRPr="00036FCD">
              <w:rPr>
                <w:i/>
                <w:color w:val="000000" w:themeColor="text1"/>
              </w:rPr>
              <w:t xml:space="preserve"> </w:t>
            </w:r>
            <w:r w:rsidRPr="00036FCD">
              <w:rPr>
                <w:iCs/>
                <w:color w:val="000000" w:themeColor="text1"/>
              </w:rPr>
              <w:t>(kādam būtu jābūt nākotnes likumam) būtu strīpojams</w:t>
            </w:r>
            <w:r w:rsidRPr="00036FCD">
              <w:rPr>
                <w:i/>
                <w:color w:val="000000" w:themeColor="text1"/>
              </w:rPr>
              <w:t xml:space="preserve"> </w:t>
            </w:r>
            <w:r w:rsidRPr="00036FCD">
              <w:rPr>
                <w:iCs/>
                <w:color w:val="000000" w:themeColor="text1"/>
              </w:rPr>
              <w:t>Civillikuma 761. pants. Minētais pamatots uz tiem pašiem apsvērumiem.</w:t>
            </w:r>
            <w:r w:rsidRPr="00036FCD">
              <w:rPr>
                <w:iCs/>
                <w:color w:val="000000" w:themeColor="text1"/>
                <w:vertAlign w:val="superscript"/>
              </w:rPr>
              <w:footnoteReference w:id="24"/>
            </w:r>
            <w:r w:rsidRPr="00036FCD">
              <w:rPr>
                <w:iCs/>
                <w:color w:val="000000" w:themeColor="text1"/>
              </w:rPr>
              <w:t xml:space="preserve"> Arī Darba grupā, diskutējot par minētajiem pantiem, nonākts pie secinājuma, ka Civillikuma 761. pants atkārto Civillikuma 757. pantā noteikto un ir izslēdzams no Civillikuma. Līdz ar to tas ar Likumprojektu tiek darīts.</w:t>
            </w:r>
          </w:p>
          <w:p w14:paraId="08165FD1" w14:textId="77777777" w:rsidR="00036FCD" w:rsidRPr="00036FCD" w:rsidRDefault="00036FCD" w:rsidP="00036FCD">
            <w:pPr>
              <w:rPr>
                <w:iCs/>
                <w:color w:val="000000" w:themeColor="text1"/>
              </w:rPr>
            </w:pPr>
            <w:r w:rsidRPr="00036FCD">
              <w:rPr>
                <w:b/>
                <w:bCs/>
                <w:iCs/>
                <w:color w:val="000000" w:themeColor="text1"/>
              </w:rPr>
              <w:t xml:space="preserve">4. Grozīts Civillikuma 763. pants. </w:t>
            </w:r>
            <w:r w:rsidRPr="00036FCD">
              <w:rPr>
                <w:iCs/>
                <w:color w:val="000000" w:themeColor="text1"/>
              </w:rPr>
              <w:t>Minētais pants tiek izteikts</w:t>
            </w:r>
            <w:r w:rsidRPr="00036FCD">
              <w:rPr>
                <w:b/>
                <w:bCs/>
                <w:iCs/>
                <w:color w:val="000000" w:themeColor="text1"/>
              </w:rPr>
              <w:t xml:space="preserve"> </w:t>
            </w:r>
            <w:r w:rsidRPr="00036FCD">
              <w:rPr>
                <w:iCs/>
                <w:color w:val="000000" w:themeColor="text1"/>
              </w:rPr>
              <w:t xml:space="preserve">jaunā redakcijā, paredzot, ka: </w:t>
            </w:r>
          </w:p>
          <w:p w14:paraId="5D6690A4" w14:textId="77777777" w:rsidR="00036FCD" w:rsidRPr="00036FCD" w:rsidRDefault="00036FCD" w:rsidP="00036FCD">
            <w:pPr>
              <w:rPr>
                <w:color w:val="000000" w:themeColor="text1"/>
              </w:rPr>
            </w:pPr>
            <w:r w:rsidRPr="00036FCD">
              <w:rPr>
                <w:iCs/>
                <w:color w:val="000000" w:themeColor="text1"/>
              </w:rPr>
              <w:t xml:space="preserve">1) pantā tiek ievietota atsauce uz Civillikuma 179. pantu, kurā paskaidrots, kas ir vecāku dotais uzturs bērnam, un ar to tiek aizstāti šobrīd pantā lietotie nekonkrētie jēdzieni </w:t>
            </w:r>
            <w:r w:rsidRPr="00036FCD">
              <w:rPr>
                <w:color w:val="000000" w:themeColor="text1"/>
              </w:rPr>
              <w:t>"ēdienam", "miteklim", "apģērbam", "kopšanai", "audzināšanai" ar plašāku jēdzienu "uzturam", turklāt tādu, kas skaidrots Civillikuma Ģimenes tiesību daļā un par ko tiesu praksē izveidojusies stabila izpratne. Tādējādi pants turpmāk paredzēs, ka tas, ko bērns no vecāka saņēmis uzturam Civillikuma 179.panta izpratnē, nav jāpievieno;</w:t>
            </w:r>
          </w:p>
          <w:p w14:paraId="42C7DADD" w14:textId="77777777" w:rsidR="00036FCD" w:rsidRPr="00036FCD" w:rsidRDefault="00036FCD" w:rsidP="00036FCD">
            <w:pPr>
              <w:rPr>
                <w:color w:val="000000" w:themeColor="text1"/>
              </w:rPr>
            </w:pPr>
            <w:r w:rsidRPr="00036FCD">
              <w:rPr>
                <w:color w:val="000000" w:themeColor="text1"/>
              </w:rPr>
              <w:t>2) pantā lietotie vārdi "</w:t>
            </w:r>
            <w:proofErr w:type="spellStart"/>
            <w:r w:rsidRPr="00036FCD">
              <w:rPr>
                <w:color w:val="000000" w:themeColor="text1"/>
              </w:rPr>
              <w:t>obligātoriskās</w:t>
            </w:r>
            <w:proofErr w:type="spellEnd"/>
            <w:r w:rsidRPr="00036FCD">
              <w:rPr>
                <w:color w:val="000000" w:themeColor="text1"/>
              </w:rPr>
              <w:t xml:space="preserve"> skolās" tiek aizvietoti ar vārdiem "vidējās izglītības pakāpes skolās". Darba grupā, apskatot minēto pantu, secināts, ka atbilstoši mūsdienu standartiem pareizāk būtu veicināt bērnu iespējas iegūt vismaz vidējās izglītības pakāpes izglītību, jo šobrīd pants nosaka, ka, izdarot pievienojumu, nav jāpievieno tas, ko bērns saņēmis, iegūstot valstī noteikti obligāto izglītību, kas ir deviņu klašu izglītība. Ar pantu turpmāk tiek paredzēts, ka, izdarot pievienojumu, nav jāpievieno tas, ko lejupējais saņēmis iegūstot izglītību vidējās pakāpes izglītības skolās. Vidējās izglītības pakāpē ir divu veidu programmas: vispārējās vidējās un profesionālās vidējās izglītības programmas. Minētais jēdziens tiek lietots atbilstoši Vispārējās izglītības likumā lietotajam jēdzienam;</w:t>
            </w:r>
          </w:p>
          <w:p w14:paraId="46C45EDD" w14:textId="10EAA82E" w:rsidR="00831FA2" w:rsidRPr="00036FCD" w:rsidRDefault="00036FCD" w:rsidP="00CD023C">
            <w:pPr>
              <w:rPr>
                <w:iCs/>
                <w:color w:val="000000" w:themeColor="text1"/>
              </w:rPr>
            </w:pPr>
            <w:r w:rsidRPr="00036FCD">
              <w:rPr>
                <w:iCs/>
                <w:color w:val="000000" w:themeColor="text1"/>
              </w:rPr>
              <w:t>3) visbeidzot pants turpmāk noteiks, ka lejupējiem, kuri sava stāvokļa dēļ paši sevi nevar apgādāt, tas, ko dabūjuši no augšupējiem, nav jāpievieno. Minētais iekļauts likumā ar mērķi nepasliktināt tādu personu materiālo stāvokli, kas pašas sevi nespēj apgādāt, līdz ar to tās atbrīvojamas no pienākuma izdarīt pievienojumu.</w:t>
            </w:r>
          </w:p>
        </w:tc>
      </w:tr>
    </w:tbl>
    <w:p w14:paraId="4520DD04" w14:textId="78A4493E" w:rsidR="00831FA2" w:rsidRDefault="00831FA2" w:rsidP="002476D5">
      <w:pPr>
        <w:rPr>
          <w:color w:val="000000" w:themeColor="text1"/>
        </w:rPr>
      </w:pPr>
    </w:p>
    <w:p w14:paraId="3AB868F9" w14:textId="78760E37" w:rsidR="00831FA2" w:rsidRDefault="00831FA2" w:rsidP="00661AFC">
      <w:pPr>
        <w:rPr>
          <w:b/>
          <w:color w:val="000000" w:themeColor="text1"/>
        </w:rPr>
      </w:pPr>
      <w:r w:rsidRPr="00831FA2">
        <w:rPr>
          <w:b/>
          <w:color w:val="000000" w:themeColor="text1"/>
        </w:rPr>
        <w:lastRenderedPageBreak/>
        <w:t xml:space="preserve">Problēmas apraksts </w:t>
      </w:r>
    </w:p>
    <w:p w14:paraId="708F4F62" w14:textId="77777777" w:rsidR="00661AFC" w:rsidRPr="00661AFC" w:rsidRDefault="00661AFC" w:rsidP="00661AFC">
      <w:pPr>
        <w:jc w:val="center"/>
        <w:rPr>
          <w:b/>
          <w:bCs/>
          <w:iCs/>
          <w:color w:val="000000" w:themeColor="text1"/>
        </w:rPr>
      </w:pPr>
      <w:r w:rsidRPr="00661AFC">
        <w:rPr>
          <w:b/>
          <w:bCs/>
          <w:iCs/>
          <w:color w:val="000000" w:themeColor="text1"/>
        </w:rPr>
        <w:t>VI. Mantojuma dalīšana</w:t>
      </w:r>
    </w:p>
    <w:p w14:paraId="44E55A7D" w14:textId="77777777" w:rsidR="00661AFC" w:rsidRPr="00661AFC" w:rsidRDefault="00661AFC" w:rsidP="00661AFC">
      <w:pPr>
        <w:rPr>
          <w:bCs/>
          <w:iCs/>
          <w:color w:val="000000" w:themeColor="text1"/>
        </w:rPr>
      </w:pPr>
      <w:r w:rsidRPr="00661AFC">
        <w:rPr>
          <w:bCs/>
          <w:iCs/>
          <w:color w:val="000000" w:themeColor="text1"/>
        </w:rPr>
        <w:t>Līdzmantinieki var iegūt mantojumu gan vienādās, gan dažādās daļās atkarībā no tā, vai ir bijusi likumiskā mantošana (laulāto, radinieku un adoptēto mantošana, pēc galvām, pēc ciltīm), pēc testamenta (kādas katram mantiniekam novēlētas daļas), vai mantojuma līguma.</w:t>
      </w:r>
      <w:r w:rsidRPr="00661AFC">
        <w:rPr>
          <w:bCs/>
          <w:iCs/>
          <w:color w:val="000000" w:themeColor="text1"/>
          <w:vertAlign w:val="superscript"/>
        </w:rPr>
        <w:footnoteReference w:id="25"/>
      </w:r>
      <w:r w:rsidRPr="00661AFC">
        <w:rPr>
          <w:bCs/>
          <w:iCs/>
          <w:color w:val="000000" w:themeColor="text1"/>
        </w:rPr>
        <w:t xml:space="preserve"> Saskaņā ar Civillikuma 715. pantu ja mantojums piekritis vairākām personām kopīgi, tad viņas var vai nu valdīt to nedalīti vai prasīt tā dalīšanu.</w:t>
      </w:r>
    </w:p>
    <w:p w14:paraId="2DCD38DD" w14:textId="77777777" w:rsidR="00661AFC" w:rsidRPr="00661AFC" w:rsidRDefault="00661AFC" w:rsidP="00661AFC">
      <w:pPr>
        <w:rPr>
          <w:bCs/>
          <w:iCs/>
          <w:color w:val="000000" w:themeColor="text1"/>
        </w:rPr>
      </w:pPr>
      <w:r w:rsidRPr="00661AFC">
        <w:rPr>
          <w:bCs/>
          <w:iCs/>
          <w:color w:val="000000" w:themeColor="text1"/>
        </w:rPr>
        <w:t>Darba grupā konstatēts, ka problēma ar pastāvošo regulējumu šobrīd ir tajā, ka trešajām personām, kam ir kādi pienākumi pret mantiniekiem, piemēram, kredītiestādei, kam jāizmaksā mantiniekiem mirušā uzkrātie līdzekļi, nav iespējas kā pārliecināties, vai mantojums līdzmantinieku starpā tiek valdīts nedalīti vai tomēr tas ir sadalīts. Tādējādi mirušā līdzekļu, kas atrodas kredītiestādē, izmaksāšana mantiniekiem, ja vien mantinieki neierodas vienlaicīgi, ir apgrūtinoša – kredītiestādei nav iespējas, kā pārliecināties, ka mantojuma apliecībā norādītais mantojamās daļas apmērs attiecināms arī uz kredītiestādē esošajiem mirušā līdzekļiem un mantinieki nav vienojušies citādāk.</w:t>
      </w:r>
    </w:p>
    <w:p w14:paraId="350B4CC1" w14:textId="77777777" w:rsidR="00661AFC" w:rsidRPr="00661AFC" w:rsidRDefault="00661AFC" w:rsidP="00661AFC">
      <w:pPr>
        <w:rPr>
          <w:bCs/>
          <w:iCs/>
          <w:color w:val="000000" w:themeColor="text1"/>
        </w:rPr>
      </w:pPr>
      <w:r w:rsidRPr="00661AFC">
        <w:rPr>
          <w:bCs/>
          <w:iCs/>
          <w:color w:val="000000" w:themeColor="text1"/>
        </w:rPr>
        <w:t>Tāpat praksē problēmas sagādā Civillikuma 734. panta, kas nosaka, ka skaidro naudu un citas atvietojamas lietas, kā arī naudas vai atvietojamu lietu prasījumus dala samērīgi ar katra mantinieka mantojuma daļu, piemērošana, jo tiesību piemērotāju, iestāžu un ekspertu viedokļi dalās par to, vai minētais pants paredz atvietojamu lietu dalīšanu vienmēr, vai noregulē kārtību tikai tad, kad mantojums tiek dalīts pēc līdzmantinieku iniciatīvas.</w:t>
      </w:r>
    </w:p>
    <w:p w14:paraId="0D8C531F" w14:textId="77777777" w:rsidR="00661AFC" w:rsidRPr="00661AFC" w:rsidRDefault="00661AFC" w:rsidP="00661AFC">
      <w:pPr>
        <w:rPr>
          <w:bCs/>
          <w:iCs/>
          <w:color w:val="000000" w:themeColor="text1"/>
        </w:rPr>
      </w:pPr>
      <w:r w:rsidRPr="00661AFC">
        <w:rPr>
          <w:bCs/>
          <w:iCs/>
          <w:color w:val="000000" w:themeColor="text1"/>
        </w:rPr>
        <w:t>Darba grupai diskutējot par mantojuma dalīšanu, turklāt, pieaicinot diskusijai kreditoru interešu pārstāvjus no kredītiestādēm un no Latvijas finanšu nozares asociācijas, nonākts pie secinājuma ka fundamentālas izmaiņas Civillikuma regulējumā par mantojuma dalīšanu nav nepieciešams veikt, tomēr ir atbalstāms priekšlikums, ka naudu un, iespējams, citas atvietojamas lietas dala uz mantojuma apliecības pamata atbilstoši tur noteiktajam daļas apmēram.</w:t>
      </w:r>
    </w:p>
    <w:p w14:paraId="5B5D78EB" w14:textId="77777777" w:rsidR="00661AFC" w:rsidRPr="00661AFC" w:rsidRDefault="00661AFC" w:rsidP="00661AFC">
      <w:pPr>
        <w:rPr>
          <w:bCs/>
          <w:iCs/>
          <w:color w:val="000000" w:themeColor="text1"/>
        </w:rPr>
      </w:pPr>
      <w:r w:rsidRPr="00661AFC">
        <w:rPr>
          <w:bCs/>
          <w:iCs/>
          <w:color w:val="000000" w:themeColor="text1"/>
        </w:rPr>
        <w:t xml:space="preserve">Ievērojot minēto, ar grozījumiem paredzēts, ka atvietojamas lietas turpmāk vienmēr ir dalāmas reālās daļās un mantinieki tās nevar valdīt nedalīti. Mantiniekiem paliek iespēja, pirms saņemta mantojuma apliecība, pie notāra noslēgt mantojuma sadales līgumu, bet, ja tas netiek darīts, tad mantojuma apliecība ir pamats, piemēram, kredītiestādei, izmaksāt konkrētam mantiniekam mantojuma apliecībā norādītās mantojuma daļas apmērā. Tāpat turpmāk </w:t>
      </w:r>
      <w:r w:rsidRPr="00661AFC">
        <w:rPr>
          <w:b/>
          <w:bCs/>
          <w:iCs/>
          <w:color w:val="000000" w:themeColor="text1"/>
        </w:rPr>
        <w:t>paredzēts, ka</w:t>
      </w:r>
      <w:r w:rsidRPr="00661AFC">
        <w:rPr>
          <w:bCs/>
          <w:iCs/>
          <w:color w:val="000000" w:themeColor="text1"/>
        </w:rPr>
        <w:t xml:space="preserve"> </w:t>
      </w:r>
      <w:r w:rsidRPr="00661AFC">
        <w:rPr>
          <w:b/>
          <w:bCs/>
          <w:iCs/>
          <w:color w:val="000000" w:themeColor="text1"/>
        </w:rPr>
        <w:t>mantojuma sadales rezultātā izveidojušos noapaļošanas naudas starpību sedz mantinieks, kurš pēdējais saņem savu naudas daļu, pārējā atvietojamo lietu noapaļošanas starpība paliek mantiniekiem kopīpašumā.</w:t>
      </w:r>
      <w:r w:rsidRPr="00661AFC">
        <w:rPr>
          <w:bCs/>
          <w:iCs/>
          <w:color w:val="000000" w:themeColor="text1"/>
        </w:rPr>
        <w:t xml:space="preserve"> </w:t>
      </w:r>
    </w:p>
    <w:p w14:paraId="53F50BCD" w14:textId="77777777" w:rsidR="00661AFC" w:rsidRPr="00831FA2" w:rsidRDefault="00661AFC" w:rsidP="00661AFC">
      <w:pPr>
        <w:rPr>
          <w:i/>
          <w:color w:val="000000" w:themeColor="text1"/>
          <w:sz w:val="20"/>
        </w:rPr>
      </w:pPr>
    </w:p>
    <w:p w14:paraId="4F9FF3B8" w14:textId="77777777" w:rsidR="00831FA2" w:rsidRPr="00C82B48" w:rsidRDefault="00831FA2" w:rsidP="00831FA2">
      <w:pPr>
        <w:rPr>
          <w:color w:val="000000" w:themeColor="text1"/>
        </w:rPr>
      </w:pPr>
      <w:r w:rsidRPr="00C82B48">
        <w:rPr>
          <w:b/>
          <w:color w:val="000000" w:themeColor="text1"/>
        </w:rPr>
        <w:t>Risinājuma apraksts</w:t>
      </w:r>
    </w:p>
    <w:tbl>
      <w:tblPr>
        <w:tblStyle w:val="TableGrid"/>
        <w:tblW w:w="0" w:type="auto"/>
        <w:tblLook w:val="04A0" w:firstRow="1" w:lastRow="0" w:firstColumn="1" w:lastColumn="0" w:noHBand="0" w:noVBand="1"/>
      </w:tblPr>
      <w:tblGrid>
        <w:gridCol w:w="9632"/>
      </w:tblGrid>
      <w:tr w:rsidR="00831FA2" w:rsidRPr="00C82B48" w14:paraId="6239C277" w14:textId="77777777" w:rsidTr="00CD023C">
        <w:tc>
          <w:tcPr>
            <w:tcW w:w="9632" w:type="dxa"/>
          </w:tcPr>
          <w:p w14:paraId="1E3E885C" w14:textId="77777777" w:rsidR="00661AFC" w:rsidRPr="00661AFC" w:rsidRDefault="00661AFC" w:rsidP="00661AFC">
            <w:pPr>
              <w:rPr>
                <w:iCs/>
                <w:color w:val="000000" w:themeColor="text1"/>
              </w:rPr>
            </w:pPr>
            <w:r w:rsidRPr="00661AFC">
              <w:rPr>
                <w:iCs/>
                <w:color w:val="000000" w:themeColor="text1"/>
              </w:rPr>
              <w:t>Tādējādi Likumprojekts attiecībā uz mantojuma dalīšanu paredz izdarīt sekojošus grozījumus Civillikumā (panti norādīti secīgi).</w:t>
            </w:r>
          </w:p>
          <w:p w14:paraId="6001EE56" w14:textId="77777777" w:rsidR="00661AFC" w:rsidRPr="00661AFC" w:rsidRDefault="00661AFC" w:rsidP="00661AFC">
            <w:pPr>
              <w:rPr>
                <w:color w:val="000000" w:themeColor="text1"/>
              </w:rPr>
            </w:pPr>
            <w:r w:rsidRPr="00661AFC">
              <w:rPr>
                <w:b/>
                <w:bCs/>
                <w:iCs/>
                <w:color w:val="000000" w:themeColor="text1"/>
              </w:rPr>
              <w:t xml:space="preserve">1. Grozīts Civillikuma 715. pants. </w:t>
            </w:r>
            <w:r w:rsidRPr="00661AFC">
              <w:rPr>
                <w:iCs/>
                <w:color w:val="000000" w:themeColor="text1"/>
              </w:rPr>
              <w:t xml:space="preserve">Minētais pants tiek papildināts ar piezīmi, ka </w:t>
            </w:r>
            <w:r w:rsidRPr="00661AFC">
              <w:rPr>
                <w:color w:val="000000" w:themeColor="text1"/>
              </w:rPr>
              <w:t xml:space="preserve">atvietojamas lietas nevar valdīt nedalīti, tās sadala samērīgi ar katra mantinieka mantojuma daļu vai, pirms mantojuma apliecības izņemšanas, līdzmantinieku starpā </w:t>
            </w:r>
            <w:r w:rsidRPr="00661AFC">
              <w:rPr>
                <w:color w:val="000000" w:themeColor="text1"/>
              </w:rPr>
              <w:lastRenderedPageBreak/>
              <w:t>vienojoties par mantojuma sadali. Tādējādi turpmāk mantinieki ar vien vēl varēs vienoties par mantojuma sadali, taču attiecībā uz mantojumā ietilpstošām atvietojamām lietām tas būs jāizdara līdz mantojuma apliecības izņemšanai, pretējā gadījumā mantojuma masā ietilpstošās atvietojamās lietas uz likuma pamata tiek dalītas atbilstoši mantojuma apliecībā norādītās mantojamās daļas lielumam. Proti, personas, kam ir pienākumi pret mantiniekiem, piemēram, kredītiestāde varēs paļauties uz to, ka attiecībā uz atvietojamām lietām katram mantiniekam pienākas tāda daļa, kas norādīta mantojuma apliecībā. Savukārt, ja mantinieki būs vienojušies par mantojuma sadali, tad mantojuma sadales līgums būs pievienots mantojuma apliecībai.</w:t>
            </w:r>
          </w:p>
          <w:p w14:paraId="45214CEE" w14:textId="77777777" w:rsidR="00661AFC" w:rsidRPr="00661AFC" w:rsidRDefault="00661AFC" w:rsidP="00661AFC">
            <w:pPr>
              <w:rPr>
                <w:b/>
                <w:bCs/>
                <w:color w:val="000000" w:themeColor="text1"/>
              </w:rPr>
            </w:pPr>
            <w:r w:rsidRPr="00661AFC">
              <w:rPr>
                <w:b/>
                <w:bCs/>
                <w:color w:val="000000" w:themeColor="text1"/>
              </w:rPr>
              <w:t>Vienlaikus minētais neattiecas uz finanšu instrumentiem, kas ir atvietojamas lietas, bet, kuru pārdošanas nosacījumus nosaka specifiskā tirdzniecības vieta un citi nosacījumi (normatīvie akti), kas var neparedzēt to dalīšanu (realizēšanu) pa vienam – tādā gadījumā tiem jāpaliek kopīpašumā.</w:t>
            </w:r>
          </w:p>
          <w:p w14:paraId="299131AF" w14:textId="77777777" w:rsidR="00661AFC" w:rsidRPr="00661AFC" w:rsidRDefault="00661AFC" w:rsidP="00661AFC">
            <w:pPr>
              <w:rPr>
                <w:color w:val="000000" w:themeColor="text1"/>
              </w:rPr>
            </w:pPr>
            <w:r w:rsidRPr="00661AFC">
              <w:rPr>
                <w:b/>
                <w:bCs/>
                <w:color w:val="000000" w:themeColor="text1"/>
              </w:rPr>
              <w:t>2. Grozīts Civillikuma 734. pants.</w:t>
            </w:r>
            <w:r w:rsidRPr="00661AFC">
              <w:rPr>
                <w:color w:val="000000" w:themeColor="text1"/>
              </w:rPr>
              <w:t xml:space="preserve"> Pants tiek redakcionāli precizēts, nemainot tā būtību. Proti: </w:t>
            </w:r>
          </w:p>
          <w:p w14:paraId="422BDDA4" w14:textId="77777777" w:rsidR="00661AFC" w:rsidRPr="00661AFC" w:rsidRDefault="00661AFC" w:rsidP="00661AFC">
            <w:pPr>
              <w:rPr>
                <w:color w:val="000000" w:themeColor="text1"/>
              </w:rPr>
            </w:pPr>
            <w:r w:rsidRPr="00661AFC">
              <w:rPr>
                <w:color w:val="000000" w:themeColor="text1"/>
              </w:rPr>
              <w:t xml:space="preserve">1) pantā lietotie vārdi "skaidro naudu" tiek aizvietoti ar vārdu "naudu", jo mūsdienās nauda eksistē arī elektroniskā formā; </w:t>
            </w:r>
          </w:p>
          <w:p w14:paraId="27E2B8F7" w14:textId="77777777" w:rsidR="00661AFC" w:rsidRPr="00661AFC" w:rsidRDefault="00661AFC" w:rsidP="00661AFC">
            <w:pPr>
              <w:rPr>
                <w:color w:val="000000" w:themeColor="text1"/>
              </w:rPr>
            </w:pPr>
            <w:r w:rsidRPr="00661AFC">
              <w:rPr>
                <w:color w:val="000000" w:themeColor="text1"/>
              </w:rPr>
              <w:t>2) pantā tiek pateikts, ka par atvietojamām lietām uzskatāmas arī pamatkapitāla daļas (akcijas) ar vienādu tiesību apjomu. Tas darīts, pamatojoties uz komerctiesību ekspertu un Darba grupas ekspertu viedokļiem, lai pamatkapitāla daļu īpašnieka nāves gadījumā nepamatoti neapstādinātu juridiskās personas darbību vai neapgrūtinātu tās pārvaldību, tādējādi nodrošinot tās dzīvotspēju arī pēc iepriekšējā pamatkapitāla daļu īpašnieka nāves;</w:t>
            </w:r>
          </w:p>
          <w:p w14:paraId="4655BCD3" w14:textId="3FDEB425" w:rsidR="00831FA2" w:rsidRPr="00C82B48" w:rsidRDefault="00661AFC" w:rsidP="00661AFC">
            <w:pPr>
              <w:rPr>
                <w:color w:val="000000" w:themeColor="text1"/>
              </w:rPr>
            </w:pPr>
            <w:r w:rsidRPr="00661AFC">
              <w:rPr>
                <w:color w:val="000000" w:themeColor="text1"/>
              </w:rPr>
              <w:t xml:space="preserve">3) pants precizēts, nosakot, </w:t>
            </w:r>
            <w:r w:rsidRPr="00661AFC">
              <w:rPr>
                <w:b/>
                <w:bCs/>
                <w:iCs/>
                <w:color w:val="000000" w:themeColor="text1"/>
              </w:rPr>
              <w:t>mantojuma sadales rezultātā izveidojušos noapaļošanas naudas starpību sedz mantinieks, kurš pēdējais saņem savu naudas daļu, pārējā atvietojamo lietu noapaļošanas starpība paliek mantiniekiem kopīpašumā.</w:t>
            </w:r>
          </w:p>
        </w:tc>
      </w:tr>
    </w:tbl>
    <w:p w14:paraId="519ACD07" w14:textId="5CE64AF0" w:rsidR="00831FA2" w:rsidRDefault="00831FA2" w:rsidP="002476D5">
      <w:pPr>
        <w:rPr>
          <w:color w:val="000000" w:themeColor="text1"/>
        </w:rPr>
      </w:pPr>
    </w:p>
    <w:p w14:paraId="659E0C96" w14:textId="2CFF2EC6" w:rsidR="00831FA2" w:rsidRDefault="00831FA2" w:rsidP="00661AFC">
      <w:pPr>
        <w:rPr>
          <w:b/>
          <w:color w:val="000000" w:themeColor="text1"/>
        </w:rPr>
      </w:pPr>
      <w:r w:rsidRPr="00831FA2">
        <w:rPr>
          <w:b/>
          <w:color w:val="000000" w:themeColor="text1"/>
        </w:rPr>
        <w:t>Problēmas apraksts</w:t>
      </w:r>
    </w:p>
    <w:p w14:paraId="78C05733" w14:textId="477F71B2" w:rsidR="00661AFC" w:rsidRPr="00661AFC" w:rsidRDefault="00661AFC" w:rsidP="00661AFC">
      <w:pPr>
        <w:jc w:val="center"/>
        <w:rPr>
          <w:b/>
          <w:bCs/>
          <w:color w:val="000000" w:themeColor="text1"/>
        </w:rPr>
      </w:pPr>
      <w:r w:rsidRPr="00661AFC">
        <w:rPr>
          <w:b/>
          <w:bCs/>
          <w:color w:val="000000" w:themeColor="text1"/>
        </w:rPr>
        <w:t>VII. Dažādi nepieciešamie pilnveidojumu Civillikum</w:t>
      </w:r>
      <w:r>
        <w:rPr>
          <w:b/>
          <w:bCs/>
          <w:color w:val="000000" w:themeColor="text1"/>
        </w:rPr>
        <w:t>ā.</w:t>
      </w:r>
    </w:p>
    <w:p w14:paraId="05DE298E" w14:textId="4007BB1A" w:rsidR="00661AFC" w:rsidRPr="00661AFC" w:rsidRDefault="00661AFC" w:rsidP="00661AFC">
      <w:pPr>
        <w:rPr>
          <w:bCs/>
          <w:color w:val="000000" w:themeColor="text1"/>
        </w:rPr>
      </w:pPr>
      <w:r w:rsidRPr="00661AFC">
        <w:rPr>
          <w:bCs/>
          <w:color w:val="000000" w:themeColor="text1"/>
        </w:rPr>
        <w:t>Darba grupā, diskutējot par Civillikuma Mantojuma tiesību daļas regulējumu, secināts, ka nepieciešams pilnveidot</w:t>
      </w:r>
      <w:r>
        <w:rPr>
          <w:bCs/>
          <w:color w:val="000000" w:themeColor="text1"/>
        </w:rPr>
        <w:t xml:space="preserve"> atsevišķus pantus Civillikumā</w:t>
      </w:r>
      <w:r w:rsidRPr="00661AFC">
        <w:rPr>
          <w:bCs/>
          <w:color w:val="000000" w:themeColor="text1"/>
        </w:rPr>
        <w:t>, tādējādi salāgojot regulējumu ar Likumprojektā paredzētajiem grozījumiem vai vienkārši precizējot regulējumu.</w:t>
      </w:r>
    </w:p>
    <w:p w14:paraId="36ECE0F6" w14:textId="77777777" w:rsidR="00661AFC" w:rsidRPr="00661AFC" w:rsidRDefault="00661AFC" w:rsidP="00661AFC">
      <w:pPr>
        <w:rPr>
          <w:bCs/>
          <w:color w:val="000000" w:themeColor="text1"/>
        </w:rPr>
      </w:pPr>
      <w:r w:rsidRPr="00661AFC">
        <w:rPr>
          <w:bCs/>
          <w:color w:val="000000" w:themeColor="text1"/>
        </w:rPr>
        <w:t>Ievērojot minēto, ar Likumprojektu, papildus jau aprakstītajam, paredzēts izdarīt Civillikumā sekojošus grozījumus.</w:t>
      </w:r>
    </w:p>
    <w:p w14:paraId="1E31B4E8" w14:textId="77777777" w:rsidR="00661AFC" w:rsidRPr="00831FA2" w:rsidRDefault="00661AFC" w:rsidP="00661AFC">
      <w:pPr>
        <w:rPr>
          <w:i/>
          <w:color w:val="000000" w:themeColor="text1"/>
          <w:sz w:val="20"/>
        </w:rPr>
      </w:pPr>
    </w:p>
    <w:p w14:paraId="7B55B499" w14:textId="77777777" w:rsidR="00831FA2" w:rsidRPr="00C82B48" w:rsidRDefault="00831FA2" w:rsidP="00831FA2">
      <w:pPr>
        <w:rPr>
          <w:color w:val="000000" w:themeColor="text1"/>
        </w:rPr>
      </w:pPr>
      <w:r w:rsidRPr="00C82B48">
        <w:rPr>
          <w:b/>
          <w:color w:val="000000" w:themeColor="text1"/>
        </w:rPr>
        <w:t>Risinājuma apraksts</w:t>
      </w:r>
    </w:p>
    <w:tbl>
      <w:tblPr>
        <w:tblStyle w:val="TableGrid"/>
        <w:tblW w:w="0" w:type="auto"/>
        <w:tblLook w:val="04A0" w:firstRow="1" w:lastRow="0" w:firstColumn="1" w:lastColumn="0" w:noHBand="0" w:noVBand="1"/>
      </w:tblPr>
      <w:tblGrid>
        <w:gridCol w:w="9632"/>
      </w:tblGrid>
      <w:tr w:rsidR="00831FA2" w:rsidRPr="00C82B48" w14:paraId="35635475" w14:textId="77777777" w:rsidTr="00CD023C">
        <w:tc>
          <w:tcPr>
            <w:tcW w:w="9632" w:type="dxa"/>
          </w:tcPr>
          <w:p w14:paraId="3AA44186" w14:textId="77777777" w:rsidR="00661AFC" w:rsidRPr="00661AFC" w:rsidRDefault="00661AFC" w:rsidP="00661AFC">
            <w:pPr>
              <w:rPr>
                <w:color w:val="000000" w:themeColor="text1"/>
              </w:rPr>
            </w:pPr>
            <w:r w:rsidRPr="00661AFC">
              <w:rPr>
                <w:b/>
                <w:bCs/>
                <w:color w:val="000000" w:themeColor="text1"/>
              </w:rPr>
              <w:t xml:space="preserve">1. Grozīts Civillikuma 173. pants. </w:t>
            </w:r>
            <w:r w:rsidRPr="00661AFC">
              <w:rPr>
                <w:color w:val="000000" w:themeColor="text1"/>
              </w:rPr>
              <w:t>Ņemot vērā, ka adopcijai un radniecībai ir vienādas tiesiskās sekas, paredzēts precizēt pantu tā, ka adoptētais ar adopciju iegūst adoptētāja bērna statusu mantiskajās attiecībās, nelietojot vārdus "laulībā dzimuša", kas nav precīzi, jo arī ārlaulībā dzimis bērns ir uzskatāms par vecāka bērnu un statusa ziņā neatšķiras ar bērnu, kas dzimis laulībā vai adoptēts.</w:t>
            </w:r>
          </w:p>
          <w:p w14:paraId="4A7291BD" w14:textId="77777777" w:rsidR="00661AFC" w:rsidRPr="00661AFC" w:rsidRDefault="00661AFC" w:rsidP="00661AFC">
            <w:pPr>
              <w:rPr>
                <w:color w:val="000000" w:themeColor="text1"/>
              </w:rPr>
            </w:pPr>
            <w:r w:rsidRPr="00661AFC">
              <w:rPr>
                <w:b/>
                <w:bCs/>
                <w:color w:val="000000" w:themeColor="text1"/>
              </w:rPr>
              <w:lastRenderedPageBreak/>
              <w:t xml:space="preserve">2. Grozīts Civillikuma 273. pants. </w:t>
            </w:r>
            <w:r w:rsidRPr="00661AFC">
              <w:rPr>
                <w:color w:val="000000" w:themeColor="text1"/>
              </w:rPr>
              <w:t>Ar grozījumu paredzēts pantu pielāgot paredzētajam regulējumam. Proti, ja šobrīd pants uzliek par pienākumu aizbildnim uzaicināt kreditorus, ja mantojums, kas atstāts aizbilstamajam, ir apgrūtināts parādiem, tad ar grozījumu paredzēts, ka aizbildnim ir jāuzsāk mantojuma lieta – atbilstoši Likumprojektā paredzētajam regulējumam turpmāk katra mantojuma lieta tiks izsludināta un kreditori tiks aicināti, līdz ar to panta būtība nemainās, tomēr tiek precizēta atbilstoši jaunajam regulējumam.</w:t>
            </w:r>
          </w:p>
          <w:p w14:paraId="284DD442" w14:textId="77777777" w:rsidR="00661AFC" w:rsidRPr="00661AFC" w:rsidRDefault="00661AFC" w:rsidP="00661AFC">
            <w:pPr>
              <w:rPr>
                <w:b/>
                <w:bCs/>
                <w:color w:val="000000" w:themeColor="text1"/>
              </w:rPr>
            </w:pPr>
            <w:r w:rsidRPr="00661AFC">
              <w:rPr>
                <w:b/>
                <w:bCs/>
                <w:color w:val="000000" w:themeColor="text1"/>
              </w:rPr>
              <w:t>3.Grozīts Civillikuma 295. pants. Ņemot vērā, ka mantinieki, tajā skaitā, nepilngadīgie vienmēr mantojumu pieņem ar ierobežotu atbildību, tiek noteikts, ka turpmāk bāriņtiesas atļauju nepieciešams saņemt tikai, ja nepilngadīgā aizbildnis nepilngadīgajam piekritīgo mantojumu grib atraidīt. Savukārt, ja aizbildnis nepilngadīgā vārdā mantojumu grib pieņemt, aizbildnim mantojuma pieņemšanai vairs nebūs jāsaņem bāriņtiesas atļauja.</w:t>
            </w:r>
          </w:p>
          <w:p w14:paraId="4CD49E39" w14:textId="77777777" w:rsidR="00661AFC" w:rsidRPr="00661AFC" w:rsidRDefault="00661AFC" w:rsidP="00661AFC">
            <w:pPr>
              <w:rPr>
                <w:b/>
                <w:bCs/>
                <w:color w:val="000000" w:themeColor="text1"/>
              </w:rPr>
            </w:pPr>
            <w:r w:rsidRPr="00661AFC">
              <w:rPr>
                <w:b/>
                <w:bCs/>
                <w:color w:val="000000" w:themeColor="text1"/>
              </w:rPr>
              <w:t>Norādām, ka minētie grozījumi ir izdiskutēti Darba grupā, tajā skaitā, ar bāriņtiesu pārstāvjiem. Darba grupā secināts, ka ierobežotā atbildība pret mantojuma atstājēja kreditoriem būtiski neapdraud nepilngadīgā mantinieka mantiskās intereses, jo nepilngadīgie mantinieki ar savu mantu par mantojuma atstājēja parādiem neatbildēs. Turklāt, ja nepilngadīgajam mantiniekam ir aizbildnis, tad aizbildņa pienākums arī ir gādāt par aizbilstamā mantiskajām interesēm, tajā skaitā, pieņemt atbildīgus lēmumus aizbilstamā mantiskajās interesēs. Tāpat nepilngadīgā aizbildni vēl joprojām turpinās kontrolēt bāriņtiesa – šis aspekts ar Likumprojektu netiek mainīts, kas nozīmē, ka bāriņtiesa būs lietas kursā, ja vēlāk nepilngadīgā aizbildnis vēlēsies rīkoties ar nepilngadīgā mantoto mantu.  Savukārt bāriņtiesas atļauja mantojuma atraidīšanai nepieciešama, jo potenciāli vērtīga mantojuma atraidīšana gan var aizskart nepilngadīgā mantinieka intereses. Piemēram, gadījumā, ja nepilngadīgā mantinieka aizbildnis ir arī viņa vecāks, kas, lai palielinātu savu mantojamo daļu, varētu būt ieinteresēts atraidīt mantojumu nepilngadīgā vārdā.</w:t>
            </w:r>
          </w:p>
          <w:p w14:paraId="13C6DE08" w14:textId="77777777" w:rsidR="00661AFC" w:rsidRPr="00661AFC" w:rsidRDefault="00661AFC" w:rsidP="00661AFC">
            <w:pPr>
              <w:rPr>
                <w:color w:val="000000" w:themeColor="text1"/>
              </w:rPr>
            </w:pPr>
            <w:r w:rsidRPr="00661AFC">
              <w:rPr>
                <w:b/>
                <w:bCs/>
                <w:color w:val="000000" w:themeColor="text1"/>
              </w:rPr>
              <w:t xml:space="preserve">4. Grozīts Civillikuma 396. pants. </w:t>
            </w:r>
            <w:r w:rsidRPr="00661AFC">
              <w:rPr>
                <w:color w:val="000000" w:themeColor="text1"/>
              </w:rPr>
              <w:t>Pants nosaka pārdzīvojušā laulātā priekšrocību pret citiem mirušā laulātā mantiniekiem. Ar grozījumiem tiek redakcionāli precizēta panta pirmā daļa, aizstājot vārdus "ne lejupējo, ne adoptēto" ar vārdiem "pirmās šķiras mantinieki", tādējādi nemainot panta pirmās daļas tvērumu, taču redakcionāli to precizējot.</w:t>
            </w:r>
          </w:p>
          <w:p w14:paraId="4F408CE8" w14:textId="77777777" w:rsidR="00661AFC" w:rsidRPr="00661AFC" w:rsidRDefault="00661AFC" w:rsidP="00661AFC">
            <w:pPr>
              <w:rPr>
                <w:color w:val="000000" w:themeColor="text1"/>
              </w:rPr>
            </w:pPr>
            <w:r w:rsidRPr="00661AFC">
              <w:rPr>
                <w:color w:val="000000" w:themeColor="text1"/>
              </w:rPr>
              <w:t>Tāpat ar grozījumiem paredzēts redakcionāli pielāgot panta otro daļu Augstākās tiesas plēnuma skaidrojumam, ka pārdzīvojušajam laulātajam ir priekšroka mantošanā pret ceturtās šķiras mantiniekiem</w:t>
            </w:r>
            <w:r w:rsidRPr="00661AFC">
              <w:rPr>
                <w:color w:val="000000" w:themeColor="text1"/>
                <w:vertAlign w:val="superscript"/>
              </w:rPr>
              <w:footnoteReference w:id="26"/>
            </w:r>
            <w:r w:rsidRPr="00661AFC">
              <w:rPr>
                <w:color w:val="000000" w:themeColor="text1"/>
              </w:rPr>
              <w:t>. Līdz ar to panta otrā daļa tiek precizēta, aizstājot vārdus "ne lejupējo, ne adoptēto, ne augšupējo, ne īsto brāļu vai māsu vai to bērnu, ne pusbrāļu vai pusmāsu vai to bērnu" ar vārdiem "pirmās, otrās vai trešās šķiras mantinieki". Minētie grozījumi pantā paredz, ka ja mirušajam nepaliek ne pirmās, otrā, trešās šķiras mantinieki pārdzīvojušais laulātais saņem visu mantojumu – tādējādi ceturtās šķiras mantiniekiem šādā gadījumā nav tiesību mantot.</w:t>
            </w:r>
          </w:p>
          <w:p w14:paraId="7A6A7C5D" w14:textId="77777777" w:rsidR="00661AFC" w:rsidRPr="00661AFC" w:rsidRDefault="00661AFC" w:rsidP="00661AFC">
            <w:pPr>
              <w:rPr>
                <w:color w:val="000000" w:themeColor="text1"/>
              </w:rPr>
            </w:pPr>
            <w:r w:rsidRPr="00661AFC">
              <w:rPr>
                <w:b/>
                <w:bCs/>
                <w:color w:val="000000" w:themeColor="text1"/>
              </w:rPr>
              <w:lastRenderedPageBreak/>
              <w:t xml:space="preserve">5. Grozīts Civillikuma 477. pants. </w:t>
            </w:r>
            <w:r w:rsidRPr="00661AFC">
              <w:rPr>
                <w:color w:val="000000" w:themeColor="text1"/>
              </w:rPr>
              <w:t>Darba grupa atbalstīja Pētījumā secināto, ka ir jāparedz, ka vienkārša substitūcija, nenorādot konkrētu gadījumu, aptver visus substitūcijas gadījumus, ja vien testators nav noteicis savādāk. Līdz ar to tiesiskās skaidrības nolūkā attiecīgi tiek precizēts Civillikuma 477. pants.</w:t>
            </w:r>
          </w:p>
          <w:p w14:paraId="6232050D" w14:textId="77777777" w:rsidR="00661AFC" w:rsidRPr="00661AFC" w:rsidRDefault="00661AFC" w:rsidP="00661AFC">
            <w:pPr>
              <w:rPr>
                <w:color w:val="000000" w:themeColor="text1"/>
              </w:rPr>
            </w:pPr>
            <w:r w:rsidRPr="00661AFC">
              <w:rPr>
                <w:b/>
                <w:bCs/>
                <w:color w:val="000000" w:themeColor="text1"/>
              </w:rPr>
              <w:t xml:space="preserve">6. Grozīts Civillikuma 631. pants. </w:t>
            </w:r>
            <w:r w:rsidRPr="00661AFC">
              <w:rPr>
                <w:color w:val="000000" w:themeColor="text1"/>
              </w:rPr>
              <w:t>Ar grozījumu tiek redakcionāli precizēts pants, pielāgojot to spēkā esošajam regulējumam. Proti, mantojuma aizgādņus ieceļ notārs, nevis tiesa, līdz ar to tiek veikts attiecīgs grozījums.</w:t>
            </w:r>
          </w:p>
          <w:p w14:paraId="33F8BAEF" w14:textId="77777777" w:rsidR="00661AFC" w:rsidRPr="00661AFC" w:rsidRDefault="00661AFC" w:rsidP="00661AFC">
            <w:pPr>
              <w:rPr>
                <w:color w:val="000000" w:themeColor="text1"/>
              </w:rPr>
            </w:pPr>
            <w:r w:rsidRPr="00661AFC">
              <w:rPr>
                <w:b/>
                <w:bCs/>
                <w:color w:val="000000" w:themeColor="text1"/>
              </w:rPr>
              <w:t xml:space="preserve">7. Grozīts Civillikuma 648. pants. </w:t>
            </w:r>
            <w:r w:rsidRPr="00661AFC">
              <w:rPr>
                <w:color w:val="000000" w:themeColor="text1"/>
              </w:rPr>
              <w:t xml:space="preserve">Ar grozījumu tiek svītrots panta regulējums, kas pieļauj mantiniekiem prasīt, lai par mantojuma atstājēju, kamēr tas ir dzīvs, nodibina aizgādnību. Minētais precizējums nepieciešams tāpēc, ka pantā esošais regulējums neatbilst mūsdienu izpratnei par personas tiesībām rīkoties ar savu mantu un rīcībspējas ierobežošanu. Proti, nav pieļaujama situācija, kur nākotnes mantinieks, kas var būt arī testamentārais mantinieks, piemēram, kaimiņš, var lūgt, lai pār personu (mantojuma atstājēju) nodibina aizgādnību un tādējādi ierobežo viņa tiesības brīvi rīkoties ar savu mantu. </w:t>
            </w:r>
            <w:r w:rsidRPr="00661AFC">
              <w:rPr>
                <w:b/>
                <w:bCs/>
                <w:color w:val="000000" w:themeColor="text1"/>
              </w:rPr>
              <w:t>Turklāt šobrīd Civillikuma 648. pantā iekļautais regulējums, kas ar Likumprojektu tiek izslēgts, ir pretrunā Konvencijas par personu ar invaliditāti tiesībām 12. pantam. Jānorāda, ka Saeima konkrēto konvenciju ir ratificējusi, līdz ar to regulējums ir izslēdzams no Civillikuma</w:t>
            </w:r>
            <w:r w:rsidRPr="00661AFC">
              <w:rPr>
                <w:color w:val="000000" w:themeColor="text1"/>
              </w:rPr>
              <w:t xml:space="preserve">. </w:t>
            </w:r>
            <w:r w:rsidRPr="00661AFC">
              <w:rPr>
                <w:b/>
                <w:bCs/>
                <w:color w:val="000000" w:themeColor="text1"/>
              </w:rPr>
              <w:t>Vienlaikus norādām, ka, ja persona, kas izšķērž savus līdzekļus ir arī nepilngadīgā mantinieka aizbildnis, tā rīcību ar nepilngadīgā mantu vēl joprojām uzraudzīs bāriņtiesa, kas nepieciešamības gadījumā, varēs īstenot nepieciešamās darbības nepilngadīgā mantisko interešu aizsardzībai.</w:t>
            </w:r>
          </w:p>
          <w:p w14:paraId="68283C49" w14:textId="77777777" w:rsidR="00661AFC" w:rsidRPr="00661AFC" w:rsidRDefault="00661AFC" w:rsidP="00661AFC">
            <w:pPr>
              <w:rPr>
                <w:color w:val="000000" w:themeColor="text1"/>
              </w:rPr>
            </w:pPr>
            <w:r w:rsidRPr="00661AFC">
              <w:rPr>
                <w:b/>
                <w:bCs/>
                <w:color w:val="000000" w:themeColor="text1"/>
              </w:rPr>
              <w:t xml:space="preserve">8. Grozīts Civillikuma 791. pants. </w:t>
            </w:r>
            <w:r w:rsidRPr="00661AFC">
              <w:rPr>
                <w:color w:val="000000" w:themeColor="text1"/>
              </w:rPr>
              <w:t>Ar grozījumu pants tiek redakcionāli precizēts, salāgojot Civillikuma Mantojuma tiesību daļā lietoto terminoloģiju. Turpmāk visur, kur tiek runāts par uzaicinājumu mantiniekiem, tiek runāts par sludinājumu par mantojuma atklāšanos, līdz ar to attiecīgi tiek precizēts pants.</w:t>
            </w:r>
          </w:p>
          <w:p w14:paraId="21FE572E" w14:textId="6A9DB813" w:rsidR="00831FA2" w:rsidRPr="00C82B48" w:rsidRDefault="00661AFC" w:rsidP="00661AFC">
            <w:pPr>
              <w:rPr>
                <w:color w:val="000000" w:themeColor="text1"/>
              </w:rPr>
            </w:pPr>
            <w:r w:rsidRPr="00661AFC">
              <w:rPr>
                <w:b/>
                <w:bCs/>
                <w:color w:val="000000" w:themeColor="text1"/>
              </w:rPr>
              <w:t xml:space="preserve">9. Grozīts Civillikuma 1922. pants. </w:t>
            </w:r>
            <w:r w:rsidRPr="00661AFC">
              <w:rPr>
                <w:color w:val="000000" w:themeColor="text1"/>
              </w:rPr>
              <w:t xml:space="preserve">Šobrīd pants paredz neatņemamās daļas tiesīgo tiesības gadījumā, ja dāvinājums izdarīts tādā apmērā, ka dāvinātāja neatņemamās daļas tiesīgajiem neatliek pat viņu neatņemamās daļas (422. un </w:t>
            </w:r>
            <w:proofErr w:type="spellStart"/>
            <w:r w:rsidRPr="00661AFC">
              <w:rPr>
                <w:color w:val="000000" w:themeColor="text1"/>
              </w:rPr>
              <w:t>turpm.p</w:t>
            </w:r>
            <w:proofErr w:type="spellEnd"/>
            <w:r w:rsidRPr="00661AFC">
              <w:rPr>
                <w:color w:val="000000" w:themeColor="text1"/>
              </w:rPr>
              <w:t>.), tad viņi var prasīt no apdāvinātā, lai izdod viņiem šīs daļas. Darba grupā diskutējot par minēto secināts, ka tiesībām prasīt no apdāvinātā, lai tas izdod neatņemamās daļas no dāvinātā, būtu jāattiecas uz darījumiem, kas noslēgti 5 gadu periodā pirms mantojuma atklāšanās, nevis uz darījumiem, kas noslēgti mantojuma atstājēja mūža garumā. Pantā noteikts, ka prasība rodas no mantojuma atklāšanās brīža un noilgst saskaņā ar 1895. pantu - šāda tiesība noilgst vispārējā noilguma termiņā – 10 gadi. Attiecīgi tiek precizēts minētais pants.</w:t>
            </w:r>
          </w:p>
        </w:tc>
      </w:tr>
    </w:tbl>
    <w:p w14:paraId="09D5AEC2" w14:textId="77777777" w:rsidR="00831FA2" w:rsidRPr="00C82B48" w:rsidRDefault="00831FA2" w:rsidP="002476D5">
      <w:pPr>
        <w:rPr>
          <w:color w:val="000000" w:themeColor="text1"/>
        </w:rPr>
      </w:pPr>
    </w:p>
    <w:p w14:paraId="0B4D4D95" w14:textId="77777777" w:rsidR="00E73FC1" w:rsidRDefault="00EE4212" w:rsidP="002476D5">
      <w:pPr>
        <w:rPr>
          <w:i/>
          <w:color w:val="000000" w:themeColor="text1"/>
          <w:sz w:val="20"/>
        </w:rPr>
      </w:pPr>
      <w:r w:rsidRPr="00C82B48">
        <w:rPr>
          <w:b/>
          <w:color w:val="000000" w:themeColor="text1"/>
        </w:rPr>
        <w:t>Vai ir izvērtēti alternatīvie risinājumi?</w:t>
      </w:r>
      <w:r w:rsidR="00D74081" w:rsidRPr="00C82B48">
        <w:rPr>
          <w:b/>
          <w:color w:val="000000" w:themeColor="text1"/>
        </w:rPr>
        <w:t xml:space="preserve"> </w:t>
      </w:r>
    </w:p>
    <w:tbl>
      <w:tblPr>
        <w:tblStyle w:val="TableGrid"/>
        <w:tblW w:w="0" w:type="auto"/>
        <w:tblLook w:val="04A0" w:firstRow="1" w:lastRow="0" w:firstColumn="1" w:lastColumn="0" w:noHBand="0" w:noVBand="1"/>
      </w:tblPr>
      <w:tblGrid>
        <w:gridCol w:w="704"/>
        <w:gridCol w:w="8928"/>
      </w:tblGrid>
      <w:tr w:rsidR="004B09DA" w14:paraId="0841DABE" w14:textId="77777777" w:rsidTr="004B09DA">
        <w:tc>
          <w:tcPr>
            <w:tcW w:w="704" w:type="dxa"/>
          </w:tcPr>
          <w:p w14:paraId="2FA613DD" w14:textId="77777777" w:rsidR="004B09DA" w:rsidRPr="004B09DA" w:rsidRDefault="004B09DA" w:rsidP="002476D5">
            <w:pPr>
              <w:rPr>
                <w:i/>
                <w:color w:val="000000" w:themeColor="text1"/>
                <w:sz w:val="24"/>
                <w:szCs w:val="24"/>
              </w:rPr>
            </w:pPr>
            <w:r w:rsidRPr="004B09DA">
              <w:rPr>
                <w:i/>
                <w:color w:val="000000" w:themeColor="text1"/>
                <w:sz w:val="24"/>
                <w:szCs w:val="24"/>
              </w:rPr>
              <w:t>Jā</w:t>
            </w:r>
          </w:p>
        </w:tc>
        <w:tc>
          <w:tcPr>
            <w:tcW w:w="8928" w:type="dxa"/>
          </w:tcPr>
          <w:p w14:paraId="1154CABF" w14:textId="5C9B8788" w:rsidR="004B09DA" w:rsidRDefault="00661AFC" w:rsidP="002476D5">
            <w:pPr>
              <w:rPr>
                <w:i/>
                <w:color w:val="000000" w:themeColor="text1"/>
                <w:sz w:val="24"/>
                <w:szCs w:val="24"/>
              </w:rPr>
            </w:pPr>
            <w:r>
              <w:rPr>
                <w:i/>
                <w:color w:val="000000" w:themeColor="text1"/>
                <w:sz w:val="24"/>
                <w:szCs w:val="24"/>
              </w:rPr>
              <w:t>Darba grupa izvērtējusi daudz dažādus iespējamos risinājumus konstatētajām problēmām regulējumā, ar Likumprojektu tiek piedāvāti par labākajiem atzītie risinājumi.</w:t>
            </w:r>
          </w:p>
          <w:p w14:paraId="7CF2C378" w14:textId="77777777" w:rsidR="004B09DA" w:rsidRPr="004B09DA" w:rsidRDefault="004B09DA" w:rsidP="002476D5">
            <w:pPr>
              <w:rPr>
                <w:i/>
                <w:color w:val="000000" w:themeColor="text1"/>
                <w:sz w:val="24"/>
                <w:szCs w:val="24"/>
              </w:rPr>
            </w:pPr>
          </w:p>
        </w:tc>
      </w:tr>
    </w:tbl>
    <w:p w14:paraId="062958F9" w14:textId="77777777" w:rsidR="00E73FC1" w:rsidRPr="00C82B48" w:rsidRDefault="00E73FC1" w:rsidP="002476D5">
      <w:pPr>
        <w:rPr>
          <w:color w:val="000000" w:themeColor="text1"/>
        </w:rPr>
      </w:pPr>
    </w:p>
    <w:p w14:paraId="7B46F88F" w14:textId="77777777" w:rsidR="004B09DA" w:rsidRDefault="00EE4212" w:rsidP="002476D5">
      <w:pPr>
        <w:rPr>
          <w:i/>
          <w:color w:val="000000" w:themeColor="text1"/>
          <w:sz w:val="20"/>
        </w:rPr>
      </w:pPr>
      <w:r w:rsidRPr="00C82B48">
        <w:rPr>
          <w:b/>
          <w:color w:val="000000" w:themeColor="text1"/>
        </w:rPr>
        <w:t>Vai ir izvērtēts prasību un izmaksu samērīgums pret ieguvumiem?</w:t>
      </w:r>
      <w:r w:rsidR="00D74081" w:rsidRPr="00C82B48">
        <w:rPr>
          <w:i/>
          <w:color w:val="000000" w:themeColor="text1"/>
          <w:sz w:val="20"/>
        </w:rPr>
        <w:t xml:space="preserve"> </w:t>
      </w:r>
    </w:p>
    <w:tbl>
      <w:tblPr>
        <w:tblStyle w:val="TableGrid"/>
        <w:tblW w:w="0" w:type="auto"/>
        <w:tblLook w:val="04A0" w:firstRow="1" w:lastRow="0" w:firstColumn="1" w:lastColumn="0" w:noHBand="0" w:noVBand="1"/>
      </w:tblPr>
      <w:tblGrid>
        <w:gridCol w:w="704"/>
        <w:gridCol w:w="8928"/>
      </w:tblGrid>
      <w:tr w:rsidR="00D6434F" w14:paraId="760893F9" w14:textId="77777777" w:rsidTr="00E937E9">
        <w:tc>
          <w:tcPr>
            <w:tcW w:w="704" w:type="dxa"/>
          </w:tcPr>
          <w:p w14:paraId="6CBA7750" w14:textId="2BE1FAC9" w:rsidR="00D6434F" w:rsidRPr="004B09DA" w:rsidRDefault="00661AFC" w:rsidP="00E937E9">
            <w:pPr>
              <w:rPr>
                <w:i/>
                <w:color w:val="000000" w:themeColor="text1"/>
                <w:sz w:val="24"/>
                <w:szCs w:val="24"/>
              </w:rPr>
            </w:pPr>
            <w:r>
              <w:rPr>
                <w:i/>
                <w:color w:val="000000" w:themeColor="text1"/>
                <w:sz w:val="24"/>
                <w:szCs w:val="24"/>
              </w:rPr>
              <w:t>Nē</w:t>
            </w:r>
          </w:p>
        </w:tc>
        <w:tc>
          <w:tcPr>
            <w:tcW w:w="8928" w:type="dxa"/>
          </w:tcPr>
          <w:p w14:paraId="48803185" w14:textId="7325662F" w:rsidR="00D6434F" w:rsidRDefault="00661AFC" w:rsidP="00E937E9">
            <w:pPr>
              <w:rPr>
                <w:i/>
                <w:color w:val="000000" w:themeColor="text1"/>
                <w:sz w:val="24"/>
                <w:szCs w:val="24"/>
              </w:rPr>
            </w:pPr>
            <w:r>
              <w:rPr>
                <w:i/>
                <w:color w:val="000000" w:themeColor="text1"/>
                <w:sz w:val="24"/>
                <w:szCs w:val="24"/>
              </w:rPr>
              <w:t>Likumprojekts nerada ietekmi uz budžetu.</w:t>
            </w:r>
          </w:p>
          <w:p w14:paraId="78F8A616" w14:textId="77777777" w:rsidR="00D6434F" w:rsidRPr="004B09DA" w:rsidRDefault="00D6434F" w:rsidP="00E937E9">
            <w:pPr>
              <w:rPr>
                <w:i/>
                <w:color w:val="000000" w:themeColor="text1"/>
                <w:sz w:val="24"/>
                <w:szCs w:val="24"/>
              </w:rPr>
            </w:pPr>
          </w:p>
        </w:tc>
      </w:tr>
    </w:tbl>
    <w:p w14:paraId="3A4A2D9E" w14:textId="77777777" w:rsidR="00D6434F" w:rsidRDefault="00D6434F" w:rsidP="002476D5">
      <w:pPr>
        <w:rPr>
          <w:b/>
          <w:color w:val="000000" w:themeColor="text1"/>
          <w:sz w:val="30"/>
        </w:rPr>
      </w:pPr>
    </w:p>
    <w:p w14:paraId="4AC4E5C8" w14:textId="77777777" w:rsidR="00E73FC1" w:rsidRPr="00D6434F" w:rsidRDefault="00EE4212" w:rsidP="002476D5">
      <w:pPr>
        <w:rPr>
          <w:i/>
          <w:color w:val="000000" w:themeColor="text1"/>
          <w:sz w:val="24"/>
          <w:szCs w:val="24"/>
        </w:rPr>
      </w:pPr>
      <w:r w:rsidRPr="00C82B48">
        <w:rPr>
          <w:b/>
          <w:color w:val="000000" w:themeColor="text1"/>
          <w:sz w:val="30"/>
        </w:rPr>
        <w:t xml:space="preserve">1.4. </w:t>
      </w:r>
      <w:proofErr w:type="spellStart"/>
      <w:r w:rsidRPr="00C82B48">
        <w:rPr>
          <w:b/>
          <w:color w:val="000000" w:themeColor="text1"/>
          <w:sz w:val="30"/>
        </w:rPr>
        <w:t>Izvērtējumi</w:t>
      </w:r>
      <w:proofErr w:type="spellEnd"/>
      <w:r w:rsidRPr="00C82B48">
        <w:rPr>
          <w:b/>
          <w:color w:val="000000" w:themeColor="text1"/>
          <w:sz w:val="30"/>
        </w:rPr>
        <w:t>/pētījumi, kas pamato TA nepieciešamību</w:t>
      </w:r>
      <w:r w:rsidR="00D6434F">
        <w:rPr>
          <w:b/>
          <w:color w:val="000000" w:themeColor="text1"/>
          <w:sz w:val="30"/>
        </w:rPr>
        <w:t xml:space="preserve"> </w:t>
      </w:r>
      <w:r w:rsidR="00D6434F" w:rsidRPr="00D6434F">
        <w:rPr>
          <w:i/>
          <w:color w:val="000000" w:themeColor="text1"/>
          <w:sz w:val="24"/>
          <w:szCs w:val="24"/>
        </w:rPr>
        <w:t>(</w:t>
      </w:r>
      <w:r w:rsidR="00D6434F" w:rsidRPr="00C96481">
        <w:rPr>
          <w:i/>
          <w:color w:val="000000" w:themeColor="text1"/>
          <w:sz w:val="24"/>
          <w:szCs w:val="24"/>
        </w:rPr>
        <w:t>aizpilda, ja attiecināms, var būt vairāki)</w:t>
      </w:r>
    </w:p>
    <w:p w14:paraId="7EB00C42" w14:textId="77777777" w:rsidR="00A053A3" w:rsidRPr="004B09DA" w:rsidRDefault="00A053A3" w:rsidP="002476D5">
      <w:pPr>
        <w:rPr>
          <w:b/>
          <w:color w:val="000000" w:themeColor="text1"/>
        </w:rPr>
      </w:pPr>
      <w:r w:rsidRPr="004B09DA">
        <w:rPr>
          <w:b/>
          <w:color w:val="000000" w:themeColor="text1"/>
        </w:rPr>
        <w:t>Nosaukums</w:t>
      </w:r>
    </w:p>
    <w:tbl>
      <w:tblPr>
        <w:tblStyle w:val="TableGrid"/>
        <w:tblW w:w="9634" w:type="dxa"/>
        <w:tblLook w:val="04A0" w:firstRow="1" w:lastRow="0" w:firstColumn="1" w:lastColumn="0" w:noHBand="0" w:noVBand="1"/>
      </w:tblPr>
      <w:tblGrid>
        <w:gridCol w:w="9634"/>
      </w:tblGrid>
      <w:tr w:rsidR="00C82B48" w:rsidRPr="004B09DA" w14:paraId="3D8B73DF" w14:textId="77777777" w:rsidTr="002476D5">
        <w:trPr>
          <w:trHeight w:val="342"/>
        </w:trPr>
        <w:tc>
          <w:tcPr>
            <w:tcW w:w="9634" w:type="dxa"/>
          </w:tcPr>
          <w:p w14:paraId="42D341AD" w14:textId="4CAE84EC" w:rsidR="00A053A3" w:rsidRPr="000D5C9E" w:rsidRDefault="000D5C9E" w:rsidP="002476D5">
            <w:pPr>
              <w:rPr>
                <w:bCs/>
                <w:color w:val="000000" w:themeColor="text1"/>
                <w:szCs w:val="28"/>
              </w:rPr>
            </w:pPr>
            <w:r w:rsidRPr="000D5C9E">
              <w:rPr>
                <w:bCs/>
                <w:color w:val="000000" w:themeColor="text1"/>
                <w:szCs w:val="28"/>
              </w:rPr>
              <w:t>Tieslietu ministrijas pētījum</w:t>
            </w:r>
            <w:r>
              <w:rPr>
                <w:bCs/>
                <w:color w:val="000000" w:themeColor="text1"/>
                <w:szCs w:val="28"/>
              </w:rPr>
              <w:t>s</w:t>
            </w:r>
            <w:r w:rsidRPr="000D5C9E">
              <w:rPr>
                <w:bCs/>
                <w:color w:val="000000" w:themeColor="text1"/>
                <w:szCs w:val="28"/>
              </w:rPr>
              <w:t xml:space="preserve"> "Civillikuma Mantojuma tiesību daļas tiesiskā regulējuma </w:t>
            </w:r>
            <w:proofErr w:type="spellStart"/>
            <w:r w:rsidRPr="000D5C9E">
              <w:rPr>
                <w:bCs/>
                <w:color w:val="000000" w:themeColor="text1"/>
                <w:szCs w:val="28"/>
              </w:rPr>
              <w:t>problēmjautājumi</w:t>
            </w:r>
            <w:proofErr w:type="spellEnd"/>
            <w:r w:rsidRPr="000D5C9E">
              <w:rPr>
                <w:bCs/>
                <w:color w:val="000000" w:themeColor="text1"/>
                <w:szCs w:val="28"/>
              </w:rPr>
              <w:t xml:space="preserve"> un to modernizācijas nepieciešamība" (pieejams:</w:t>
            </w:r>
            <w:hyperlink r:id="rId9" w:history="1">
              <w:r w:rsidRPr="000D5C9E">
                <w:rPr>
                  <w:rStyle w:val="Hyperlink"/>
                  <w:bCs/>
                  <w:szCs w:val="28"/>
                </w:rPr>
                <w:t>https://www.tm.gov.lv/sites/tm/files/2020-01/Documents/mantosanas-petijuma-gala-nodevums-20102017-final.pdf</w:t>
              </w:r>
            </w:hyperlink>
            <w:r w:rsidRPr="000D5C9E">
              <w:rPr>
                <w:bCs/>
                <w:color w:val="000000" w:themeColor="text1"/>
                <w:szCs w:val="28"/>
              </w:rPr>
              <w:t xml:space="preserve"> )</w:t>
            </w:r>
          </w:p>
        </w:tc>
      </w:tr>
    </w:tbl>
    <w:p w14:paraId="29E90CAD" w14:textId="77777777" w:rsidR="00A053A3" w:rsidRPr="000D5C9E" w:rsidRDefault="00A053A3" w:rsidP="002476D5">
      <w:pPr>
        <w:rPr>
          <w:b/>
          <w:color w:val="000000" w:themeColor="text1"/>
        </w:rPr>
      </w:pPr>
      <w:r w:rsidRPr="000D5C9E">
        <w:rPr>
          <w:b/>
          <w:color w:val="000000" w:themeColor="text1"/>
        </w:rPr>
        <w:t>Apraksts</w:t>
      </w:r>
    </w:p>
    <w:tbl>
      <w:tblPr>
        <w:tblStyle w:val="TableGrid"/>
        <w:tblW w:w="9634" w:type="dxa"/>
        <w:tblLook w:val="04A0" w:firstRow="1" w:lastRow="0" w:firstColumn="1" w:lastColumn="0" w:noHBand="0" w:noVBand="1"/>
      </w:tblPr>
      <w:tblGrid>
        <w:gridCol w:w="9634"/>
      </w:tblGrid>
      <w:tr w:rsidR="00C82B48" w:rsidRPr="00C82B48" w14:paraId="223B59D6" w14:textId="77777777" w:rsidTr="002476D5">
        <w:trPr>
          <w:trHeight w:val="445"/>
        </w:trPr>
        <w:tc>
          <w:tcPr>
            <w:tcW w:w="9634" w:type="dxa"/>
          </w:tcPr>
          <w:p w14:paraId="6C981A71" w14:textId="5AA1D87E" w:rsidR="00A053A3" w:rsidRPr="000D5C9E" w:rsidRDefault="000D5C9E" w:rsidP="002476D5">
            <w:pPr>
              <w:rPr>
                <w:bCs/>
                <w:color w:val="000000" w:themeColor="text1"/>
              </w:rPr>
            </w:pPr>
            <w:r w:rsidRPr="000D5C9E">
              <w:rPr>
                <w:bCs/>
                <w:color w:val="000000" w:themeColor="text1"/>
              </w:rPr>
              <w:t>Tieslietu ministrija 2017. gadā izsludināja publisko iepirkumu par pētījuma veikšanu</w:t>
            </w:r>
            <w:r>
              <w:rPr>
                <w:bCs/>
                <w:color w:val="000000" w:themeColor="text1"/>
              </w:rPr>
              <w:t xml:space="preserve"> par </w:t>
            </w:r>
            <w:r w:rsidRPr="000D5C9E">
              <w:rPr>
                <w:bCs/>
                <w:color w:val="000000" w:themeColor="text1"/>
              </w:rPr>
              <w:t xml:space="preserve"> </w:t>
            </w:r>
            <w:r w:rsidRPr="000D5C9E">
              <w:rPr>
                <w:bCs/>
                <w:color w:val="000000" w:themeColor="text1"/>
                <w:szCs w:val="28"/>
              </w:rPr>
              <w:t>Civillikuma Mantojuma tiesību daļas tiesiskā regulējuma problēmjautājumi</w:t>
            </w:r>
            <w:r>
              <w:rPr>
                <w:bCs/>
                <w:color w:val="000000" w:themeColor="text1"/>
                <w:szCs w:val="28"/>
              </w:rPr>
              <w:t>em</w:t>
            </w:r>
            <w:r w:rsidRPr="000D5C9E">
              <w:rPr>
                <w:bCs/>
                <w:color w:val="000000" w:themeColor="text1"/>
                <w:szCs w:val="28"/>
              </w:rPr>
              <w:t xml:space="preserve"> un </w:t>
            </w:r>
            <w:r w:rsidR="009F7356">
              <w:rPr>
                <w:bCs/>
                <w:color w:val="000000" w:themeColor="text1"/>
                <w:szCs w:val="28"/>
              </w:rPr>
              <w:t>Civillikuma Mantojuma tiesību daļas</w:t>
            </w:r>
            <w:r w:rsidRPr="000D5C9E">
              <w:rPr>
                <w:bCs/>
                <w:color w:val="000000" w:themeColor="text1"/>
                <w:szCs w:val="28"/>
              </w:rPr>
              <w:t xml:space="preserve"> modernizācijas nepieciešamīb</w:t>
            </w:r>
            <w:r>
              <w:rPr>
                <w:bCs/>
                <w:color w:val="000000" w:themeColor="text1"/>
                <w:szCs w:val="28"/>
              </w:rPr>
              <w:t>u.</w:t>
            </w:r>
          </w:p>
        </w:tc>
      </w:tr>
    </w:tbl>
    <w:p w14:paraId="59F23916" w14:textId="77777777" w:rsidR="00D6434F" w:rsidRDefault="00D6434F" w:rsidP="002476D5">
      <w:pPr>
        <w:rPr>
          <w:b/>
          <w:color w:val="000000" w:themeColor="text1"/>
          <w:sz w:val="30"/>
        </w:rPr>
      </w:pPr>
    </w:p>
    <w:p w14:paraId="3C84F2BC" w14:textId="77777777" w:rsidR="00E73FC1" w:rsidRPr="00C82B48" w:rsidRDefault="00EE4212" w:rsidP="002476D5">
      <w:pPr>
        <w:rPr>
          <w:color w:val="000000" w:themeColor="text1"/>
        </w:rPr>
      </w:pPr>
      <w:r w:rsidRPr="00C82B48">
        <w:rPr>
          <w:b/>
          <w:color w:val="000000" w:themeColor="text1"/>
          <w:sz w:val="30"/>
        </w:rPr>
        <w:t>1.5. Pēcpārbaudes (</w:t>
      </w:r>
      <w:proofErr w:type="spellStart"/>
      <w:r w:rsidRPr="009D45A2">
        <w:rPr>
          <w:b/>
          <w:i/>
          <w:iCs/>
          <w:color w:val="000000" w:themeColor="text1"/>
          <w:sz w:val="30"/>
        </w:rPr>
        <w:t>ex</w:t>
      </w:r>
      <w:proofErr w:type="spellEnd"/>
      <w:r w:rsidRPr="009D45A2">
        <w:rPr>
          <w:b/>
          <w:i/>
          <w:iCs/>
          <w:color w:val="000000" w:themeColor="text1"/>
          <w:sz w:val="30"/>
        </w:rPr>
        <w:t>-post</w:t>
      </w:r>
      <w:r w:rsidRPr="00C82B48">
        <w:rPr>
          <w:b/>
          <w:color w:val="000000" w:themeColor="text1"/>
          <w:sz w:val="30"/>
        </w:rPr>
        <w:t xml:space="preserve">) </w:t>
      </w:r>
      <w:proofErr w:type="spellStart"/>
      <w:r w:rsidRPr="00C82B48">
        <w:rPr>
          <w:b/>
          <w:color w:val="000000" w:themeColor="text1"/>
          <w:sz w:val="30"/>
        </w:rPr>
        <w:t>izvērtējums</w:t>
      </w:r>
      <w:proofErr w:type="spellEnd"/>
    </w:p>
    <w:p w14:paraId="5360E5CC" w14:textId="77777777" w:rsidR="00E73FC1" w:rsidRPr="00C82B48" w:rsidRDefault="00EE4212" w:rsidP="002476D5">
      <w:pPr>
        <w:rPr>
          <w:color w:val="000000" w:themeColor="text1"/>
        </w:rPr>
      </w:pPr>
      <w:r w:rsidRPr="00C82B48">
        <w:rPr>
          <w:b/>
          <w:color w:val="000000" w:themeColor="text1"/>
        </w:rPr>
        <w:t>Vai tiks veikts?</w:t>
      </w:r>
      <w:r w:rsidR="00F60283" w:rsidRPr="00C82B48">
        <w:rPr>
          <w:b/>
          <w:color w:val="000000" w:themeColor="text1"/>
        </w:rPr>
        <w:t xml:space="preserve"> </w:t>
      </w:r>
      <w:r w:rsidR="00F60283" w:rsidRPr="00C82B48">
        <w:rPr>
          <w:i/>
          <w:color w:val="000000" w:themeColor="text1"/>
          <w:sz w:val="20"/>
        </w:rPr>
        <w:t>(Jā</w:t>
      </w:r>
      <w:r w:rsidR="00D6434F">
        <w:rPr>
          <w:i/>
          <w:color w:val="000000" w:themeColor="text1"/>
          <w:sz w:val="20"/>
        </w:rPr>
        <w:t xml:space="preserve"> (jāsniedz tālākā informācija)</w:t>
      </w:r>
      <w:r w:rsidR="00F60283" w:rsidRPr="00C82B48">
        <w:rPr>
          <w:i/>
          <w:color w:val="000000" w:themeColor="text1"/>
          <w:sz w:val="20"/>
        </w:rPr>
        <w:t>/Nē)</w:t>
      </w:r>
    </w:p>
    <w:p w14:paraId="1867105F" w14:textId="4A8FB7C4" w:rsidR="00D6434F" w:rsidRDefault="000D5C9E" w:rsidP="002476D5">
      <w:pPr>
        <w:rPr>
          <w:b/>
          <w:bCs/>
          <w:color w:val="000000" w:themeColor="text1"/>
          <w:szCs w:val="28"/>
        </w:rPr>
      </w:pPr>
      <w:r>
        <w:rPr>
          <w:color w:val="000000" w:themeColor="text1"/>
        </w:rPr>
        <w:t>Nē</w:t>
      </w:r>
    </w:p>
    <w:p w14:paraId="44EBC8C1" w14:textId="77777777" w:rsidR="00F60283" w:rsidRPr="002476D5" w:rsidRDefault="00F60283" w:rsidP="002476D5">
      <w:pPr>
        <w:rPr>
          <w:i/>
          <w:color w:val="000000" w:themeColor="text1"/>
          <w:sz w:val="20"/>
        </w:rPr>
      </w:pPr>
      <w:r w:rsidRPr="00C82B48">
        <w:rPr>
          <w:b/>
          <w:bCs/>
          <w:color w:val="000000" w:themeColor="text1"/>
          <w:szCs w:val="28"/>
        </w:rPr>
        <w:t>1.6. Cita informācija</w:t>
      </w:r>
      <w:r w:rsidR="002476D5">
        <w:rPr>
          <w:b/>
          <w:bCs/>
          <w:color w:val="000000" w:themeColor="text1"/>
          <w:szCs w:val="28"/>
        </w:rPr>
        <w:t xml:space="preserve"> </w:t>
      </w:r>
      <w:r w:rsidR="002476D5" w:rsidRPr="00604B79">
        <w:rPr>
          <w:i/>
          <w:color w:val="000000" w:themeColor="text1"/>
          <w:sz w:val="20"/>
        </w:rPr>
        <w:t>(aizpilda nepieciešamības gadījum</w:t>
      </w:r>
      <w:r w:rsidR="002476D5">
        <w:rPr>
          <w:i/>
          <w:color w:val="000000" w:themeColor="text1"/>
          <w:sz w:val="20"/>
        </w:rPr>
        <w:t>ā)</w:t>
      </w:r>
    </w:p>
    <w:tbl>
      <w:tblPr>
        <w:tblStyle w:val="TableGrid"/>
        <w:tblW w:w="0" w:type="auto"/>
        <w:tblLook w:val="04A0" w:firstRow="1" w:lastRow="0" w:firstColumn="1" w:lastColumn="0" w:noHBand="0" w:noVBand="1"/>
      </w:tblPr>
      <w:tblGrid>
        <w:gridCol w:w="9632"/>
      </w:tblGrid>
      <w:tr w:rsidR="00C82B48" w:rsidRPr="00C82B48" w14:paraId="149D78BB" w14:textId="77777777" w:rsidTr="00F60283">
        <w:tc>
          <w:tcPr>
            <w:tcW w:w="9632" w:type="dxa"/>
          </w:tcPr>
          <w:p w14:paraId="24816F74" w14:textId="60627A89" w:rsidR="00F60283" w:rsidRPr="009F7356" w:rsidRDefault="009F7356" w:rsidP="002476D5">
            <w:pPr>
              <w:rPr>
                <w:color w:val="000000" w:themeColor="text1"/>
                <w:szCs w:val="28"/>
              </w:rPr>
            </w:pPr>
            <w:r w:rsidRPr="009F7356">
              <w:rPr>
                <w:iCs/>
                <w:color w:val="auto"/>
                <w:szCs w:val="28"/>
              </w:rPr>
              <w:t>Informējam, ka darbs pie mantojuma tiesību attīstīšanas pēc šī Likumprojekta un ar to saistīto likumprojekta pieņemšanas Tieslietu ministrijā turpināsies. Kā vienu no piemēriem var minēt, pēc tam, kad būs iespējams izvērtēt ar Likumprojektu pieņemto materiālo tiesību normu ietekmi uz mantošanas procesu, ja būs nepieciešams, tiks attīstīts mantojuma maksātnespējas institūts. Proti, ja izrādīsies, ka, par spīti jaunajam regulējuma, prakse tomēr rādīs, ka maksātnespējīgu mantojumu atgriešana civiltiesiskajā apgrozībā nenorit pietiekami veiksmīgi, tiks uzsākts darbs pie minētā tiesību institūta izstrādes.</w:t>
            </w:r>
          </w:p>
        </w:tc>
      </w:tr>
    </w:tbl>
    <w:p w14:paraId="782D4B43" w14:textId="77777777" w:rsidR="00F60283" w:rsidRPr="00C82B48" w:rsidRDefault="00F60283" w:rsidP="002476D5">
      <w:pPr>
        <w:rPr>
          <w:color w:val="000000" w:themeColor="text1"/>
        </w:rPr>
      </w:pPr>
    </w:p>
    <w:p w14:paraId="3B32CD1C" w14:textId="77777777" w:rsidR="00B65E05" w:rsidRDefault="00B65E05" w:rsidP="002476D5">
      <w:pPr>
        <w:rPr>
          <w:b/>
          <w:color w:val="000000" w:themeColor="text1"/>
          <w:sz w:val="32"/>
        </w:rPr>
      </w:pPr>
    </w:p>
    <w:p w14:paraId="26F37880" w14:textId="77777777" w:rsidR="00B65E05" w:rsidRDefault="00B65E05" w:rsidP="002476D5">
      <w:pPr>
        <w:rPr>
          <w:b/>
          <w:color w:val="000000" w:themeColor="text1"/>
          <w:sz w:val="32"/>
        </w:rPr>
      </w:pPr>
    </w:p>
    <w:p w14:paraId="7CAD456B" w14:textId="77777777" w:rsidR="00E73FC1" w:rsidRPr="00C82B48" w:rsidRDefault="00EE4212" w:rsidP="002476D5">
      <w:pPr>
        <w:rPr>
          <w:color w:val="000000" w:themeColor="text1"/>
        </w:rPr>
      </w:pPr>
      <w:r w:rsidRPr="00C82B48">
        <w:rPr>
          <w:b/>
          <w:color w:val="000000" w:themeColor="text1"/>
          <w:sz w:val="32"/>
        </w:rPr>
        <w:t xml:space="preserve">2. Tiesību akta projekta </w:t>
      </w:r>
      <w:r w:rsidRPr="00C96481">
        <w:rPr>
          <w:b/>
          <w:color w:val="000000" w:themeColor="text1"/>
          <w:sz w:val="32"/>
        </w:rPr>
        <w:t>ietekmējamās s</w:t>
      </w:r>
      <w:r w:rsidRPr="00C82B48">
        <w:rPr>
          <w:b/>
          <w:color w:val="000000" w:themeColor="text1"/>
          <w:sz w:val="32"/>
        </w:rPr>
        <w:t>abiedrības grupas, ietekme uz tautsaimniecības attīstību un administratīvo slogu</w:t>
      </w:r>
    </w:p>
    <w:p w14:paraId="1E4D1249" w14:textId="77777777" w:rsidR="00C82B48" w:rsidRPr="00F95F1D" w:rsidRDefault="00C82B48" w:rsidP="002476D5">
      <w:pPr>
        <w:rPr>
          <w:b/>
          <w:color w:val="000000" w:themeColor="text1"/>
          <w:sz w:val="12"/>
          <w:szCs w:val="12"/>
        </w:rPr>
      </w:pPr>
    </w:p>
    <w:p w14:paraId="0DC32A1A" w14:textId="640A296C" w:rsidR="00E73FC1" w:rsidRPr="00C82B48" w:rsidRDefault="00EE4212" w:rsidP="002476D5">
      <w:pPr>
        <w:rPr>
          <w:color w:val="000000" w:themeColor="text1"/>
        </w:rPr>
      </w:pPr>
      <w:r w:rsidRPr="00C82B48">
        <w:rPr>
          <w:b/>
          <w:color w:val="000000" w:themeColor="text1"/>
          <w:sz w:val="30"/>
        </w:rPr>
        <w:t>2.1. Sabiedrības grupas, kuras tiesiskais regulējums ietekmē vai varētu ietekmēt</w:t>
      </w:r>
    </w:p>
    <w:p w14:paraId="48990F09" w14:textId="77777777" w:rsidR="00E73FC1" w:rsidRPr="00C82B48" w:rsidRDefault="00EE4212" w:rsidP="002476D5">
      <w:pPr>
        <w:rPr>
          <w:i/>
          <w:color w:val="000000" w:themeColor="text1"/>
          <w:sz w:val="20"/>
        </w:rPr>
      </w:pPr>
      <w:r w:rsidRPr="00C82B48">
        <w:rPr>
          <w:b/>
          <w:color w:val="000000" w:themeColor="text1"/>
        </w:rPr>
        <w:t>Fiziskās personas</w:t>
      </w:r>
      <w:r w:rsidR="00F60283" w:rsidRPr="00C82B48">
        <w:rPr>
          <w:b/>
          <w:color w:val="000000" w:themeColor="text1"/>
        </w:rPr>
        <w:t xml:space="preserve"> </w:t>
      </w:r>
      <w:r w:rsidR="00F60283" w:rsidRPr="00C82B48">
        <w:rPr>
          <w:i/>
          <w:color w:val="000000" w:themeColor="text1"/>
          <w:sz w:val="20"/>
        </w:rPr>
        <w:t>(piemēram, studenti, skolēni, pirmsskolas vecuma bērni, pensionāri, diaspora, personas ar invaliditāti)</w:t>
      </w:r>
      <w:r w:rsidR="00C82B48" w:rsidRPr="00C82B48">
        <w:rPr>
          <w:i/>
          <w:color w:val="000000" w:themeColor="text1"/>
          <w:sz w:val="20"/>
        </w:rPr>
        <w:t xml:space="preserve"> </w:t>
      </w:r>
    </w:p>
    <w:tbl>
      <w:tblPr>
        <w:tblStyle w:val="TableGrid"/>
        <w:tblW w:w="0" w:type="auto"/>
        <w:tblLook w:val="04A0" w:firstRow="1" w:lastRow="0" w:firstColumn="1" w:lastColumn="0" w:noHBand="0" w:noVBand="1"/>
      </w:tblPr>
      <w:tblGrid>
        <w:gridCol w:w="9632"/>
      </w:tblGrid>
      <w:tr w:rsidR="00C82B48" w:rsidRPr="00C82B48" w14:paraId="3E6136F2" w14:textId="77777777" w:rsidTr="00F60283">
        <w:tc>
          <w:tcPr>
            <w:tcW w:w="9632" w:type="dxa"/>
          </w:tcPr>
          <w:p w14:paraId="32E2B5B2" w14:textId="06D28E60" w:rsidR="00F60283" w:rsidRPr="007837F2" w:rsidRDefault="007837F2" w:rsidP="002476D5">
            <w:pPr>
              <w:rPr>
                <w:color w:val="000000" w:themeColor="text1"/>
                <w:szCs w:val="28"/>
              </w:rPr>
            </w:pPr>
            <w:r w:rsidRPr="007837F2">
              <w:rPr>
                <w:color w:val="auto"/>
                <w:szCs w:val="28"/>
              </w:rPr>
              <w:t>Ikviena fiziska persona, kas nākotnē varētu kļūt par mantojuma atstājēju, mantinieku</w:t>
            </w:r>
            <w:r>
              <w:rPr>
                <w:color w:val="auto"/>
                <w:szCs w:val="28"/>
              </w:rPr>
              <w:t>.</w:t>
            </w:r>
          </w:p>
        </w:tc>
      </w:tr>
    </w:tbl>
    <w:p w14:paraId="3285AE1E" w14:textId="77777777" w:rsidR="00F60283" w:rsidRPr="00C82B48" w:rsidRDefault="00F60283" w:rsidP="002476D5">
      <w:pPr>
        <w:rPr>
          <w:b/>
          <w:color w:val="000000" w:themeColor="text1"/>
        </w:rPr>
      </w:pPr>
      <w:r w:rsidRPr="00C82B48">
        <w:rPr>
          <w:b/>
          <w:color w:val="000000" w:themeColor="text1"/>
        </w:rPr>
        <w:t>Ietekmes apraksts</w:t>
      </w:r>
    </w:p>
    <w:tbl>
      <w:tblPr>
        <w:tblStyle w:val="TableGrid"/>
        <w:tblW w:w="0" w:type="auto"/>
        <w:tblLook w:val="04A0" w:firstRow="1" w:lastRow="0" w:firstColumn="1" w:lastColumn="0" w:noHBand="0" w:noVBand="1"/>
      </w:tblPr>
      <w:tblGrid>
        <w:gridCol w:w="9632"/>
      </w:tblGrid>
      <w:tr w:rsidR="00C82B48" w:rsidRPr="00C82B48" w14:paraId="30622C4F" w14:textId="77777777" w:rsidTr="00F60283">
        <w:tc>
          <w:tcPr>
            <w:tcW w:w="9632" w:type="dxa"/>
          </w:tcPr>
          <w:p w14:paraId="4D758452" w14:textId="231E1749" w:rsidR="00F60283" w:rsidRPr="007837F2" w:rsidRDefault="007837F2" w:rsidP="002476D5">
            <w:pPr>
              <w:rPr>
                <w:bCs/>
                <w:color w:val="000000" w:themeColor="text1"/>
              </w:rPr>
            </w:pPr>
            <w:r w:rsidRPr="007837F2">
              <w:rPr>
                <w:bCs/>
                <w:color w:val="000000" w:themeColor="text1"/>
              </w:rPr>
              <w:t xml:space="preserve">Plānotā ietekme vērtējama kā pozitīva, ņemot vērā, ka </w:t>
            </w:r>
            <w:r>
              <w:rPr>
                <w:bCs/>
                <w:color w:val="000000" w:themeColor="text1"/>
              </w:rPr>
              <w:t>Likumprojekts risina šobrīd praksē (un anotācijā aprakstītās) problēmas mantošanas procesā.</w:t>
            </w:r>
          </w:p>
        </w:tc>
      </w:tr>
    </w:tbl>
    <w:p w14:paraId="414AA977" w14:textId="77777777" w:rsidR="00F60283" w:rsidRPr="00F95F1D" w:rsidRDefault="00F60283" w:rsidP="002476D5">
      <w:pPr>
        <w:rPr>
          <w:b/>
          <w:color w:val="000000" w:themeColor="text1"/>
          <w:sz w:val="12"/>
          <w:szCs w:val="12"/>
        </w:rPr>
      </w:pPr>
    </w:p>
    <w:p w14:paraId="6854211B" w14:textId="77777777" w:rsidR="00E73FC1" w:rsidRPr="00C82B48" w:rsidRDefault="00EE4212" w:rsidP="002476D5">
      <w:pPr>
        <w:rPr>
          <w:i/>
          <w:color w:val="000000" w:themeColor="text1"/>
          <w:sz w:val="20"/>
        </w:rPr>
      </w:pPr>
      <w:r w:rsidRPr="00C82B48">
        <w:rPr>
          <w:b/>
          <w:color w:val="000000" w:themeColor="text1"/>
        </w:rPr>
        <w:t>Juridiskās personas</w:t>
      </w:r>
      <w:r w:rsidR="00F60283" w:rsidRPr="00C82B48">
        <w:rPr>
          <w:b/>
          <w:color w:val="000000" w:themeColor="text1"/>
        </w:rPr>
        <w:t xml:space="preserve"> </w:t>
      </w:r>
      <w:r w:rsidR="00F60283" w:rsidRPr="00C82B48">
        <w:rPr>
          <w:i/>
          <w:color w:val="000000" w:themeColor="text1"/>
          <w:sz w:val="20"/>
        </w:rPr>
        <w:t xml:space="preserve">(piemēram, nevalstiskās organizācijas, </w:t>
      </w:r>
      <w:proofErr w:type="spellStart"/>
      <w:r w:rsidR="00F60283" w:rsidRPr="00C96481">
        <w:rPr>
          <w:i/>
          <w:color w:val="000000" w:themeColor="text1"/>
          <w:sz w:val="20"/>
        </w:rPr>
        <w:t>mikrouzņēmumi</w:t>
      </w:r>
      <w:proofErr w:type="spellEnd"/>
      <w:r w:rsidR="00F60283" w:rsidRPr="00C96481">
        <w:rPr>
          <w:i/>
          <w:color w:val="000000" w:themeColor="text1"/>
          <w:sz w:val="20"/>
        </w:rPr>
        <w:t xml:space="preserve">, </w:t>
      </w:r>
      <w:proofErr w:type="spellStart"/>
      <w:r w:rsidR="00F60283" w:rsidRPr="00C96481">
        <w:rPr>
          <w:i/>
          <w:color w:val="000000" w:themeColor="text1"/>
          <w:sz w:val="20"/>
        </w:rPr>
        <w:t>jaunuzņēmumi</w:t>
      </w:r>
      <w:proofErr w:type="spellEnd"/>
      <w:r w:rsidR="00F60283" w:rsidRPr="00C82B48">
        <w:rPr>
          <w:i/>
          <w:color w:val="000000" w:themeColor="text1"/>
          <w:sz w:val="20"/>
        </w:rPr>
        <w:t>,</w:t>
      </w:r>
      <w:r w:rsidR="00C82B48" w:rsidRPr="00C82B48">
        <w:rPr>
          <w:i/>
          <w:color w:val="000000" w:themeColor="text1"/>
          <w:sz w:val="20"/>
        </w:rPr>
        <w:t xml:space="preserve"> mazie uzņēmumi, vidējie uzņēmumi, lielie uzņēmumi, visi uzņēmumi)</w:t>
      </w:r>
    </w:p>
    <w:tbl>
      <w:tblPr>
        <w:tblStyle w:val="TableGrid"/>
        <w:tblW w:w="0" w:type="auto"/>
        <w:tblLook w:val="04A0" w:firstRow="1" w:lastRow="0" w:firstColumn="1" w:lastColumn="0" w:noHBand="0" w:noVBand="1"/>
      </w:tblPr>
      <w:tblGrid>
        <w:gridCol w:w="9632"/>
      </w:tblGrid>
      <w:tr w:rsidR="00C82B48" w:rsidRPr="00C82B48" w14:paraId="19F391FC" w14:textId="77777777" w:rsidTr="00F60283">
        <w:tc>
          <w:tcPr>
            <w:tcW w:w="9632" w:type="dxa"/>
          </w:tcPr>
          <w:p w14:paraId="7E86F1B4" w14:textId="6928BC33" w:rsidR="00F60283" w:rsidRPr="00C82B48" w:rsidRDefault="007837F2" w:rsidP="002476D5">
            <w:pPr>
              <w:rPr>
                <w:color w:val="000000" w:themeColor="text1"/>
              </w:rPr>
            </w:pPr>
            <w:r>
              <w:rPr>
                <w:color w:val="auto"/>
                <w:szCs w:val="28"/>
              </w:rPr>
              <w:t>I</w:t>
            </w:r>
            <w:r w:rsidRPr="007837F2">
              <w:rPr>
                <w:color w:val="auto"/>
                <w:szCs w:val="28"/>
              </w:rPr>
              <w:t xml:space="preserve">kviena fiziska un juridiska persona, tajā skaitā valsts pārvaldes iestādes, kas nākotnē varētu kļūt par mantojuma atstājēja kreditoru vai mantojumā ieinteresēto personu, </w:t>
            </w:r>
            <w:r w:rsidRPr="007837F2">
              <w:rPr>
                <w:iCs/>
                <w:color w:val="auto"/>
                <w:szCs w:val="28"/>
              </w:rPr>
              <w:t>zvērināti notāri, zvērināti tiesu izpildītāji, bāriņtiesas.</w:t>
            </w:r>
          </w:p>
        </w:tc>
      </w:tr>
    </w:tbl>
    <w:p w14:paraId="3034334F" w14:textId="77777777" w:rsidR="00F60283" w:rsidRPr="00C82B48" w:rsidRDefault="00F60283" w:rsidP="002476D5">
      <w:pPr>
        <w:rPr>
          <w:b/>
          <w:color w:val="000000" w:themeColor="text1"/>
        </w:rPr>
      </w:pPr>
      <w:r w:rsidRPr="00C82B48">
        <w:rPr>
          <w:b/>
          <w:color w:val="000000" w:themeColor="text1"/>
        </w:rPr>
        <w:lastRenderedPageBreak/>
        <w:t>Ietekmes apraksts</w:t>
      </w:r>
    </w:p>
    <w:tbl>
      <w:tblPr>
        <w:tblStyle w:val="TableGrid"/>
        <w:tblW w:w="0" w:type="auto"/>
        <w:tblLook w:val="04A0" w:firstRow="1" w:lastRow="0" w:firstColumn="1" w:lastColumn="0" w:noHBand="0" w:noVBand="1"/>
      </w:tblPr>
      <w:tblGrid>
        <w:gridCol w:w="9632"/>
      </w:tblGrid>
      <w:tr w:rsidR="00C82B48" w:rsidRPr="00C82B48" w14:paraId="0BF3A549" w14:textId="77777777" w:rsidTr="00B54B6F">
        <w:tc>
          <w:tcPr>
            <w:tcW w:w="9632" w:type="dxa"/>
          </w:tcPr>
          <w:p w14:paraId="5DA13178" w14:textId="06B1DD8B" w:rsidR="00F60283" w:rsidRPr="00C82B48" w:rsidRDefault="007837F2" w:rsidP="002476D5">
            <w:pPr>
              <w:rPr>
                <w:b/>
                <w:color w:val="000000" w:themeColor="text1"/>
              </w:rPr>
            </w:pPr>
            <w:r w:rsidRPr="007837F2">
              <w:rPr>
                <w:bCs/>
                <w:color w:val="000000" w:themeColor="text1"/>
              </w:rPr>
              <w:t xml:space="preserve">Plānotā ietekme vērtējama kā pozitīva, ņemot vērā, ka </w:t>
            </w:r>
            <w:r>
              <w:rPr>
                <w:bCs/>
                <w:color w:val="000000" w:themeColor="text1"/>
              </w:rPr>
              <w:t>Likumprojekts risina šobrīd praksē (un anotācijā aprakstītās) problēmas mantošanas procesā.</w:t>
            </w:r>
          </w:p>
        </w:tc>
      </w:tr>
    </w:tbl>
    <w:p w14:paraId="1D188916" w14:textId="7167EB7C" w:rsidR="00C82B48" w:rsidRPr="00E937E9" w:rsidRDefault="00C82B48" w:rsidP="002476D5">
      <w:pPr>
        <w:rPr>
          <w:i/>
          <w:color w:val="000000" w:themeColor="text1"/>
          <w:sz w:val="24"/>
          <w:szCs w:val="24"/>
        </w:rPr>
      </w:pPr>
      <w:r w:rsidRPr="00C82B48">
        <w:rPr>
          <w:b/>
          <w:color w:val="000000" w:themeColor="text1"/>
          <w:sz w:val="30"/>
        </w:rPr>
        <w:t>Nozares</w:t>
      </w:r>
      <w:r w:rsidR="00E937E9">
        <w:rPr>
          <w:b/>
          <w:color w:val="000000" w:themeColor="text1"/>
          <w:sz w:val="30"/>
        </w:rPr>
        <w:t xml:space="preserve"> </w:t>
      </w:r>
      <w:r w:rsidR="00E937E9" w:rsidRPr="00E937E9">
        <w:rPr>
          <w:i/>
          <w:color w:val="000000" w:themeColor="text1"/>
          <w:sz w:val="24"/>
          <w:szCs w:val="24"/>
        </w:rPr>
        <w:t>(! aizpilda, ja ietekmējamā sabiedrības grupa ir jebkāda veida uzņēmumi)</w:t>
      </w:r>
    </w:p>
    <w:tbl>
      <w:tblPr>
        <w:tblStyle w:val="TableGrid"/>
        <w:tblW w:w="0" w:type="auto"/>
        <w:tblLook w:val="04A0" w:firstRow="1" w:lastRow="0" w:firstColumn="1" w:lastColumn="0" w:noHBand="0" w:noVBand="1"/>
      </w:tblPr>
      <w:tblGrid>
        <w:gridCol w:w="5098"/>
        <w:gridCol w:w="1276"/>
        <w:gridCol w:w="3258"/>
      </w:tblGrid>
      <w:tr w:rsidR="004B09DA" w:rsidRPr="00C82B48" w14:paraId="2ED2C84A" w14:textId="77777777" w:rsidTr="00F95F1D">
        <w:tc>
          <w:tcPr>
            <w:tcW w:w="5098" w:type="dxa"/>
          </w:tcPr>
          <w:p w14:paraId="514FC0DF" w14:textId="77777777" w:rsidR="004B09DA" w:rsidRPr="002476D5" w:rsidRDefault="004B09DA" w:rsidP="002476D5">
            <w:pPr>
              <w:rPr>
                <w:b/>
                <w:color w:val="000000" w:themeColor="text1"/>
                <w:sz w:val="20"/>
              </w:rPr>
            </w:pPr>
            <w:r w:rsidRPr="002476D5">
              <w:rPr>
                <w:b/>
                <w:color w:val="000000" w:themeColor="text1"/>
                <w:sz w:val="20"/>
              </w:rPr>
              <w:t>Nosaukums</w:t>
            </w:r>
          </w:p>
        </w:tc>
        <w:tc>
          <w:tcPr>
            <w:tcW w:w="1276" w:type="dxa"/>
          </w:tcPr>
          <w:p w14:paraId="7BA70778" w14:textId="77777777" w:rsidR="004B09DA" w:rsidRPr="002476D5" w:rsidRDefault="004B09DA" w:rsidP="002476D5">
            <w:pPr>
              <w:rPr>
                <w:b/>
                <w:color w:val="000000" w:themeColor="text1"/>
                <w:sz w:val="20"/>
              </w:rPr>
            </w:pPr>
            <w:r w:rsidRPr="002476D5">
              <w:rPr>
                <w:b/>
                <w:color w:val="000000" w:themeColor="text1"/>
                <w:sz w:val="20"/>
              </w:rPr>
              <w:t>Ja skar, atzīmē ar X</w:t>
            </w:r>
          </w:p>
        </w:tc>
        <w:tc>
          <w:tcPr>
            <w:tcW w:w="3258" w:type="dxa"/>
          </w:tcPr>
          <w:p w14:paraId="51D68C57" w14:textId="77777777" w:rsidR="004B09DA" w:rsidRPr="002476D5" w:rsidRDefault="004B09DA" w:rsidP="002476D5">
            <w:pPr>
              <w:rPr>
                <w:b/>
                <w:color w:val="000000" w:themeColor="text1"/>
                <w:sz w:val="20"/>
              </w:rPr>
            </w:pPr>
            <w:r>
              <w:rPr>
                <w:b/>
                <w:color w:val="000000" w:themeColor="text1"/>
                <w:sz w:val="20"/>
              </w:rPr>
              <w:t>Ietekmes apraksts</w:t>
            </w:r>
          </w:p>
        </w:tc>
      </w:tr>
      <w:tr w:rsidR="004B09DA" w:rsidRPr="00C82B48" w14:paraId="0ACCBE50" w14:textId="77777777" w:rsidTr="00F95F1D">
        <w:tc>
          <w:tcPr>
            <w:tcW w:w="5098" w:type="dxa"/>
          </w:tcPr>
          <w:p w14:paraId="675A7AD3" w14:textId="77777777" w:rsidR="004B09DA" w:rsidRPr="002476D5" w:rsidRDefault="004B09DA" w:rsidP="002476D5">
            <w:pPr>
              <w:rPr>
                <w:i/>
                <w:color w:val="000000" w:themeColor="text1"/>
                <w:sz w:val="20"/>
              </w:rPr>
            </w:pPr>
            <w:r w:rsidRPr="002476D5">
              <w:rPr>
                <w:i/>
                <w:color w:val="000000" w:themeColor="text1"/>
                <w:sz w:val="20"/>
              </w:rPr>
              <w:t>Lauksaimniecība, mežsaimniecība un zivsaimniecība</w:t>
            </w:r>
          </w:p>
        </w:tc>
        <w:tc>
          <w:tcPr>
            <w:tcW w:w="1276" w:type="dxa"/>
          </w:tcPr>
          <w:p w14:paraId="1526D67C" w14:textId="77777777" w:rsidR="004B09DA" w:rsidRPr="002476D5" w:rsidRDefault="004B09DA" w:rsidP="002476D5">
            <w:pPr>
              <w:rPr>
                <w:i/>
                <w:color w:val="000000" w:themeColor="text1"/>
                <w:sz w:val="20"/>
              </w:rPr>
            </w:pPr>
          </w:p>
        </w:tc>
        <w:tc>
          <w:tcPr>
            <w:tcW w:w="3258" w:type="dxa"/>
          </w:tcPr>
          <w:p w14:paraId="0DFF00C2" w14:textId="77777777" w:rsidR="004B09DA" w:rsidRPr="002476D5" w:rsidRDefault="004B09DA" w:rsidP="002476D5">
            <w:pPr>
              <w:rPr>
                <w:i/>
                <w:color w:val="000000" w:themeColor="text1"/>
                <w:sz w:val="20"/>
              </w:rPr>
            </w:pPr>
          </w:p>
        </w:tc>
      </w:tr>
      <w:tr w:rsidR="004B09DA" w:rsidRPr="00C82B48" w14:paraId="49942722" w14:textId="77777777" w:rsidTr="00F95F1D">
        <w:tc>
          <w:tcPr>
            <w:tcW w:w="5098" w:type="dxa"/>
          </w:tcPr>
          <w:p w14:paraId="6BADC080" w14:textId="77777777" w:rsidR="004B09DA" w:rsidRPr="002476D5" w:rsidRDefault="004B09DA" w:rsidP="002476D5">
            <w:pPr>
              <w:rPr>
                <w:i/>
                <w:color w:val="000000" w:themeColor="text1"/>
                <w:sz w:val="20"/>
              </w:rPr>
            </w:pPr>
            <w:r w:rsidRPr="002476D5">
              <w:rPr>
                <w:i/>
                <w:color w:val="000000" w:themeColor="text1"/>
                <w:sz w:val="20"/>
              </w:rPr>
              <w:t>Ieguves rūpniecība un karjeru izstrāde</w:t>
            </w:r>
          </w:p>
        </w:tc>
        <w:tc>
          <w:tcPr>
            <w:tcW w:w="1276" w:type="dxa"/>
          </w:tcPr>
          <w:p w14:paraId="03BEEC9C" w14:textId="77777777" w:rsidR="004B09DA" w:rsidRPr="00C82B48" w:rsidRDefault="004B09DA" w:rsidP="002476D5">
            <w:pPr>
              <w:rPr>
                <w:b/>
                <w:color w:val="000000" w:themeColor="text1"/>
                <w:szCs w:val="28"/>
              </w:rPr>
            </w:pPr>
          </w:p>
        </w:tc>
        <w:tc>
          <w:tcPr>
            <w:tcW w:w="3258" w:type="dxa"/>
          </w:tcPr>
          <w:p w14:paraId="4E87C4C2" w14:textId="77777777" w:rsidR="004B09DA" w:rsidRPr="00C82B48" w:rsidRDefault="004B09DA" w:rsidP="002476D5">
            <w:pPr>
              <w:rPr>
                <w:b/>
                <w:color w:val="000000" w:themeColor="text1"/>
                <w:szCs w:val="28"/>
              </w:rPr>
            </w:pPr>
          </w:p>
        </w:tc>
      </w:tr>
      <w:tr w:rsidR="004B09DA" w:rsidRPr="00C82B48" w14:paraId="710FD667" w14:textId="77777777" w:rsidTr="00F95F1D">
        <w:tc>
          <w:tcPr>
            <w:tcW w:w="5098" w:type="dxa"/>
          </w:tcPr>
          <w:p w14:paraId="53AE2954" w14:textId="77777777" w:rsidR="004B09DA" w:rsidRPr="002476D5" w:rsidRDefault="004B09DA" w:rsidP="002476D5">
            <w:pPr>
              <w:rPr>
                <w:i/>
                <w:color w:val="000000" w:themeColor="text1"/>
                <w:sz w:val="20"/>
              </w:rPr>
            </w:pPr>
            <w:r w:rsidRPr="002476D5">
              <w:rPr>
                <w:i/>
                <w:color w:val="000000" w:themeColor="text1"/>
                <w:sz w:val="20"/>
              </w:rPr>
              <w:t>Apstrādes rūpniecība</w:t>
            </w:r>
          </w:p>
        </w:tc>
        <w:tc>
          <w:tcPr>
            <w:tcW w:w="1276" w:type="dxa"/>
          </w:tcPr>
          <w:p w14:paraId="5B745D85" w14:textId="77777777" w:rsidR="004B09DA" w:rsidRPr="00C82B48" w:rsidRDefault="004B09DA" w:rsidP="002476D5">
            <w:pPr>
              <w:rPr>
                <w:b/>
                <w:color w:val="000000" w:themeColor="text1"/>
                <w:szCs w:val="28"/>
              </w:rPr>
            </w:pPr>
          </w:p>
        </w:tc>
        <w:tc>
          <w:tcPr>
            <w:tcW w:w="3258" w:type="dxa"/>
          </w:tcPr>
          <w:p w14:paraId="1A34A7A3" w14:textId="77777777" w:rsidR="004B09DA" w:rsidRPr="00C82B48" w:rsidRDefault="004B09DA" w:rsidP="002476D5">
            <w:pPr>
              <w:rPr>
                <w:b/>
                <w:color w:val="000000" w:themeColor="text1"/>
                <w:szCs w:val="28"/>
              </w:rPr>
            </w:pPr>
          </w:p>
        </w:tc>
      </w:tr>
      <w:tr w:rsidR="0077514E" w:rsidRPr="00C82B48" w14:paraId="6590F53E" w14:textId="77777777" w:rsidTr="00F95F1D">
        <w:tc>
          <w:tcPr>
            <w:tcW w:w="5098" w:type="dxa"/>
          </w:tcPr>
          <w:p w14:paraId="346AA000" w14:textId="6C418D55" w:rsidR="0077514E" w:rsidRPr="002476D5" w:rsidRDefault="0077514E" w:rsidP="002476D5">
            <w:pPr>
              <w:rPr>
                <w:i/>
                <w:color w:val="000000" w:themeColor="text1"/>
                <w:sz w:val="20"/>
              </w:rPr>
            </w:pPr>
            <w:r>
              <w:rPr>
                <w:i/>
                <w:color w:val="000000" w:themeColor="text1"/>
                <w:sz w:val="20"/>
              </w:rPr>
              <w:t>Elektroenerģija, gāzes apgāde, siltumapgāde un gaisa kondicionēšana</w:t>
            </w:r>
          </w:p>
        </w:tc>
        <w:tc>
          <w:tcPr>
            <w:tcW w:w="1276" w:type="dxa"/>
          </w:tcPr>
          <w:p w14:paraId="7988FB8F" w14:textId="77777777" w:rsidR="0077514E" w:rsidRPr="00C82B48" w:rsidRDefault="0077514E" w:rsidP="002476D5">
            <w:pPr>
              <w:rPr>
                <w:b/>
                <w:color w:val="000000" w:themeColor="text1"/>
                <w:szCs w:val="28"/>
              </w:rPr>
            </w:pPr>
          </w:p>
        </w:tc>
        <w:tc>
          <w:tcPr>
            <w:tcW w:w="3258" w:type="dxa"/>
          </w:tcPr>
          <w:p w14:paraId="17279BCE" w14:textId="77777777" w:rsidR="0077514E" w:rsidRPr="00C82B48" w:rsidRDefault="0077514E" w:rsidP="002476D5">
            <w:pPr>
              <w:rPr>
                <w:b/>
                <w:color w:val="000000" w:themeColor="text1"/>
                <w:szCs w:val="28"/>
              </w:rPr>
            </w:pPr>
          </w:p>
        </w:tc>
      </w:tr>
      <w:tr w:rsidR="004B09DA" w:rsidRPr="00C82B48" w14:paraId="51EC88DC" w14:textId="77777777" w:rsidTr="00F95F1D">
        <w:tc>
          <w:tcPr>
            <w:tcW w:w="5098" w:type="dxa"/>
          </w:tcPr>
          <w:p w14:paraId="07A1247C" w14:textId="77777777" w:rsidR="004B09DA" w:rsidRPr="002476D5" w:rsidRDefault="004B09DA" w:rsidP="002476D5">
            <w:pPr>
              <w:rPr>
                <w:i/>
                <w:color w:val="000000" w:themeColor="text1"/>
                <w:sz w:val="20"/>
              </w:rPr>
            </w:pPr>
            <w:r w:rsidRPr="002476D5">
              <w:rPr>
                <w:i/>
                <w:color w:val="000000" w:themeColor="text1"/>
                <w:sz w:val="20"/>
              </w:rPr>
              <w:t>Ūdens apgāde; notekūdeņu, atkritumu apsaimniekošana un sanācija</w:t>
            </w:r>
          </w:p>
        </w:tc>
        <w:tc>
          <w:tcPr>
            <w:tcW w:w="1276" w:type="dxa"/>
          </w:tcPr>
          <w:p w14:paraId="4C014E49" w14:textId="77777777" w:rsidR="004B09DA" w:rsidRPr="00C82B48" w:rsidRDefault="004B09DA" w:rsidP="002476D5">
            <w:pPr>
              <w:rPr>
                <w:b/>
                <w:color w:val="000000" w:themeColor="text1"/>
                <w:szCs w:val="28"/>
              </w:rPr>
            </w:pPr>
          </w:p>
        </w:tc>
        <w:tc>
          <w:tcPr>
            <w:tcW w:w="3258" w:type="dxa"/>
          </w:tcPr>
          <w:p w14:paraId="69252AEC" w14:textId="77777777" w:rsidR="004B09DA" w:rsidRPr="00C82B48" w:rsidRDefault="004B09DA" w:rsidP="002476D5">
            <w:pPr>
              <w:rPr>
                <w:b/>
                <w:color w:val="000000" w:themeColor="text1"/>
                <w:szCs w:val="28"/>
              </w:rPr>
            </w:pPr>
          </w:p>
        </w:tc>
      </w:tr>
      <w:tr w:rsidR="004B09DA" w:rsidRPr="00C82B48" w14:paraId="335C33DB" w14:textId="77777777" w:rsidTr="00F95F1D">
        <w:tc>
          <w:tcPr>
            <w:tcW w:w="5098" w:type="dxa"/>
          </w:tcPr>
          <w:p w14:paraId="7A4B33B0" w14:textId="77777777" w:rsidR="004B09DA" w:rsidRPr="002476D5" w:rsidRDefault="004B09DA" w:rsidP="002476D5">
            <w:pPr>
              <w:rPr>
                <w:i/>
                <w:color w:val="000000" w:themeColor="text1"/>
                <w:sz w:val="20"/>
              </w:rPr>
            </w:pPr>
            <w:r w:rsidRPr="002476D5">
              <w:rPr>
                <w:i/>
                <w:color w:val="000000" w:themeColor="text1"/>
                <w:sz w:val="20"/>
              </w:rPr>
              <w:t>Būvniecība</w:t>
            </w:r>
          </w:p>
        </w:tc>
        <w:tc>
          <w:tcPr>
            <w:tcW w:w="1276" w:type="dxa"/>
          </w:tcPr>
          <w:p w14:paraId="320AE9FD" w14:textId="77777777" w:rsidR="004B09DA" w:rsidRPr="00C82B48" w:rsidRDefault="004B09DA" w:rsidP="002476D5">
            <w:pPr>
              <w:rPr>
                <w:b/>
                <w:color w:val="000000" w:themeColor="text1"/>
                <w:szCs w:val="28"/>
              </w:rPr>
            </w:pPr>
          </w:p>
        </w:tc>
        <w:tc>
          <w:tcPr>
            <w:tcW w:w="3258" w:type="dxa"/>
          </w:tcPr>
          <w:p w14:paraId="67BF5CE9" w14:textId="77777777" w:rsidR="004B09DA" w:rsidRPr="00C82B48" w:rsidRDefault="004B09DA" w:rsidP="002476D5">
            <w:pPr>
              <w:rPr>
                <w:b/>
                <w:color w:val="000000" w:themeColor="text1"/>
                <w:szCs w:val="28"/>
              </w:rPr>
            </w:pPr>
          </w:p>
        </w:tc>
      </w:tr>
      <w:tr w:rsidR="004B09DA" w:rsidRPr="00C82B48" w14:paraId="3DE56347" w14:textId="77777777" w:rsidTr="00F95F1D">
        <w:tc>
          <w:tcPr>
            <w:tcW w:w="5098" w:type="dxa"/>
          </w:tcPr>
          <w:p w14:paraId="733E30E5" w14:textId="77777777" w:rsidR="004B09DA" w:rsidRPr="002476D5" w:rsidRDefault="004B09DA" w:rsidP="002476D5">
            <w:pPr>
              <w:rPr>
                <w:i/>
                <w:color w:val="000000" w:themeColor="text1"/>
                <w:sz w:val="20"/>
              </w:rPr>
            </w:pPr>
            <w:r w:rsidRPr="002476D5">
              <w:rPr>
                <w:i/>
                <w:color w:val="000000" w:themeColor="text1"/>
                <w:sz w:val="20"/>
              </w:rPr>
              <w:t>Vairumtirdzniecība un mazumtirdzniecība; automobiļu un motociklu remonts</w:t>
            </w:r>
          </w:p>
        </w:tc>
        <w:tc>
          <w:tcPr>
            <w:tcW w:w="1276" w:type="dxa"/>
          </w:tcPr>
          <w:p w14:paraId="33E6C750" w14:textId="77777777" w:rsidR="004B09DA" w:rsidRPr="00C82B48" w:rsidRDefault="004B09DA" w:rsidP="002476D5">
            <w:pPr>
              <w:rPr>
                <w:b/>
                <w:color w:val="000000" w:themeColor="text1"/>
                <w:szCs w:val="28"/>
              </w:rPr>
            </w:pPr>
          </w:p>
        </w:tc>
        <w:tc>
          <w:tcPr>
            <w:tcW w:w="3258" w:type="dxa"/>
          </w:tcPr>
          <w:p w14:paraId="3779274C" w14:textId="77777777" w:rsidR="004B09DA" w:rsidRPr="00C82B48" w:rsidRDefault="004B09DA" w:rsidP="002476D5">
            <w:pPr>
              <w:rPr>
                <w:b/>
                <w:color w:val="000000" w:themeColor="text1"/>
                <w:szCs w:val="28"/>
              </w:rPr>
            </w:pPr>
          </w:p>
        </w:tc>
      </w:tr>
      <w:tr w:rsidR="004B09DA" w:rsidRPr="00C82B48" w14:paraId="3C2ACD20" w14:textId="77777777" w:rsidTr="00F95F1D">
        <w:tc>
          <w:tcPr>
            <w:tcW w:w="5098" w:type="dxa"/>
          </w:tcPr>
          <w:p w14:paraId="241E7E60" w14:textId="77777777" w:rsidR="004B09DA" w:rsidRPr="002476D5" w:rsidRDefault="004B09DA" w:rsidP="002476D5">
            <w:pPr>
              <w:rPr>
                <w:i/>
                <w:color w:val="000000" w:themeColor="text1"/>
                <w:sz w:val="20"/>
              </w:rPr>
            </w:pPr>
            <w:r w:rsidRPr="002476D5">
              <w:rPr>
                <w:i/>
                <w:color w:val="000000" w:themeColor="text1"/>
                <w:sz w:val="20"/>
              </w:rPr>
              <w:t>Transports un uzglabāšana</w:t>
            </w:r>
          </w:p>
        </w:tc>
        <w:tc>
          <w:tcPr>
            <w:tcW w:w="1276" w:type="dxa"/>
          </w:tcPr>
          <w:p w14:paraId="40E2EBB6" w14:textId="77777777" w:rsidR="004B09DA" w:rsidRPr="00C82B48" w:rsidRDefault="004B09DA" w:rsidP="002476D5">
            <w:pPr>
              <w:rPr>
                <w:b/>
                <w:color w:val="000000" w:themeColor="text1"/>
                <w:szCs w:val="28"/>
              </w:rPr>
            </w:pPr>
          </w:p>
        </w:tc>
        <w:tc>
          <w:tcPr>
            <w:tcW w:w="3258" w:type="dxa"/>
          </w:tcPr>
          <w:p w14:paraId="5C797FDB" w14:textId="77777777" w:rsidR="004B09DA" w:rsidRPr="00C82B48" w:rsidRDefault="004B09DA" w:rsidP="002476D5">
            <w:pPr>
              <w:rPr>
                <w:b/>
                <w:color w:val="000000" w:themeColor="text1"/>
                <w:szCs w:val="28"/>
              </w:rPr>
            </w:pPr>
          </w:p>
        </w:tc>
      </w:tr>
      <w:tr w:rsidR="004B09DA" w:rsidRPr="00C82B48" w14:paraId="17638CB3" w14:textId="77777777" w:rsidTr="00F95F1D">
        <w:tc>
          <w:tcPr>
            <w:tcW w:w="5098" w:type="dxa"/>
          </w:tcPr>
          <w:p w14:paraId="510C12ED" w14:textId="77777777" w:rsidR="004B09DA" w:rsidRPr="002476D5" w:rsidRDefault="004B09DA" w:rsidP="002476D5">
            <w:pPr>
              <w:rPr>
                <w:i/>
                <w:color w:val="000000" w:themeColor="text1"/>
                <w:sz w:val="20"/>
              </w:rPr>
            </w:pPr>
            <w:r w:rsidRPr="002476D5">
              <w:rPr>
                <w:i/>
                <w:color w:val="000000" w:themeColor="text1"/>
                <w:sz w:val="20"/>
              </w:rPr>
              <w:t>Izmitināšana un ēdināšanas pakalpojumi</w:t>
            </w:r>
          </w:p>
        </w:tc>
        <w:tc>
          <w:tcPr>
            <w:tcW w:w="1276" w:type="dxa"/>
          </w:tcPr>
          <w:p w14:paraId="573EE0D1" w14:textId="77777777" w:rsidR="004B09DA" w:rsidRPr="00C82B48" w:rsidRDefault="004B09DA" w:rsidP="002476D5">
            <w:pPr>
              <w:rPr>
                <w:b/>
                <w:color w:val="000000" w:themeColor="text1"/>
                <w:szCs w:val="28"/>
              </w:rPr>
            </w:pPr>
          </w:p>
        </w:tc>
        <w:tc>
          <w:tcPr>
            <w:tcW w:w="3258" w:type="dxa"/>
          </w:tcPr>
          <w:p w14:paraId="2243A026" w14:textId="77777777" w:rsidR="004B09DA" w:rsidRPr="00C82B48" w:rsidRDefault="004B09DA" w:rsidP="002476D5">
            <w:pPr>
              <w:rPr>
                <w:b/>
                <w:color w:val="000000" w:themeColor="text1"/>
                <w:szCs w:val="28"/>
              </w:rPr>
            </w:pPr>
          </w:p>
        </w:tc>
      </w:tr>
      <w:tr w:rsidR="004B09DA" w:rsidRPr="00C82B48" w14:paraId="60676002" w14:textId="77777777" w:rsidTr="00F95F1D">
        <w:tc>
          <w:tcPr>
            <w:tcW w:w="5098" w:type="dxa"/>
          </w:tcPr>
          <w:p w14:paraId="61198006" w14:textId="77777777" w:rsidR="004B09DA" w:rsidRPr="002476D5" w:rsidRDefault="004B09DA" w:rsidP="002476D5">
            <w:pPr>
              <w:rPr>
                <w:i/>
                <w:color w:val="000000" w:themeColor="text1"/>
                <w:sz w:val="20"/>
              </w:rPr>
            </w:pPr>
            <w:r w:rsidRPr="002476D5">
              <w:rPr>
                <w:i/>
                <w:color w:val="000000" w:themeColor="text1"/>
                <w:sz w:val="20"/>
              </w:rPr>
              <w:t>Informācijas un komunikācijas pakalpojumi</w:t>
            </w:r>
          </w:p>
        </w:tc>
        <w:tc>
          <w:tcPr>
            <w:tcW w:w="1276" w:type="dxa"/>
          </w:tcPr>
          <w:p w14:paraId="2A514D95" w14:textId="77777777" w:rsidR="004B09DA" w:rsidRPr="00C82B48" w:rsidRDefault="004B09DA" w:rsidP="002476D5">
            <w:pPr>
              <w:rPr>
                <w:b/>
                <w:color w:val="000000" w:themeColor="text1"/>
                <w:szCs w:val="28"/>
              </w:rPr>
            </w:pPr>
          </w:p>
        </w:tc>
        <w:tc>
          <w:tcPr>
            <w:tcW w:w="3258" w:type="dxa"/>
          </w:tcPr>
          <w:p w14:paraId="0C1A1A15" w14:textId="77777777" w:rsidR="004B09DA" w:rsidRPr="00C82B48" w:rsidRDefault="004B09DA" w:rsidP="002476D5">
            <w:pPr>
              <w:rPr>
                <w:b/>
                <w:color w:val="000000" w:themeColor="text1"/>
                <w:szCs w:val="28"/>
              </w:rPr>
            </w:pPr>
          </w:p>
        </w:tc>
      </w:tr>
      <w:tr w:rsidR="004B09DA" w:rsidRPr="00C82B48" w14:paraId="160B34B2" w14:textId="77777777" w:rsidTr="00F95F1D">
        <w:tc>
          <w:tcPr>
            <w:tcW w:w="5098" w:type="dxa"/>
          </w:tcPr>
          <w:p w14:paraId="78DB1865" w14:textId="77777777" w:rsidR="004B09DA" w:rsidRPr="002476D5" w:rsidRDefault="004B09DA" w:rsidP="002476D5">
            <w:pPr>
              <w:rPr>
                <w:i/>
                <w:color w:val="000000" w:themeColor="text1"/>
                <w:sz w:val="20"/>
              </w:rPr>
            </w:pPr>
            <w:r w:rsidRPr="002476D5">
              <w:rPr>
                <w:i/>
                <w:color w:val="000000" w:themeColor="text1"/>
                <w:sz w:val="20"/>
              </w:rPr>
              <w:t>Finanšu un apdrošināšanas darbības</w:t>
            </w:r>
          </w:p>
        </w:tc>
        <w:tc>
          <w:tcPr>
            <w:tcW w:w="1276" w:type="dxa"/>
          </w:tcPr>
          <w:p w14:paraId="0843DB92" w14:textId="012AF705" w:rsidR="004B09DA" w:rsidRPr="00C82B48" w:rsidRDefault="00E26218" w:rsidP="00E26218">
            <w:pPr>
              <w:jc w:val="center"/>
              <w:rPr>
                <w:b/>
                <w:color w:val="000000" w:themeColor="text1"/>
                <w:szCs w:val="28"/>
              </w:rPr>
            </w:pPr>
            <w:r>
              <w:rPr>
                <w:b/>
                <w:color w:val="000000" w:themeColor="text1"/>
                <w:szCs w:val="28"/>
              </w:rPr>
              <w:t>X</w:t>
            </w:r>
          </w:p>
        </w:tc>
        <w:tc>
          <w:tcPr>
            <w:tcW w:w="3258" w:type="dxa"/>
          </w:tcPr>
          <w:p w14:paraId="2E4B33B3" w14:textId="360B99DC" w:rsidR="004B09DA" w:rsidRPr="001570DB" w:rsidRDefault="00E26218" w:rsidP="002476D5">
            <w:pPr>
              <w:rPr>
                <w:bCs/>
                <w:color w:val="000000" w:themeColor="text1"/>
                <w:szCs w:val="28"/>
              </w:rPr>
            </w:pPr>
            <w:r w:rsidRPr="001570DB">
              <w:rPr>
                <w:bCs/>
                <w:color w:val="000000" w:themeColor="text1"/>
                <w:szCs w:val="28"/>
              </w:rPr>
              <w:t>Tiek uzlabota</w:t>
            </w:r>
            <w:r w:rsidR="001570DB" w:rsidRPr="001570DB">
              <w:rPr>
                <w:bCs/>
                <w:color w:val="000000" w:themeColor="text1"/>
                <w:szCs w:val="28"/>
              </w:rPr>
              <w:t xml:space="preserve"> mantojuma atstājēja</w:t>
            </w:r>
            <w:r w:rsidRPr="001570DB">
              <w:rPr>
                <w:bCs/>
                <w:color w:val="000000" w:themeColor="text1"/>
                <w:szCs w:val="28"/>
              </w:rPr>
              <w:t xml:space="preserve"> kreditoru situācija</w:t>
            </w:r>
            <w:r w:rsidR="001570DB" w:rsidRPr="001570DB">
              <w:rPr>
                <w:bCs/>
                <w:color w:val="000000" w:themeColor="text1"/>
                <w:szCs w:val="28"/>
              </w:rPr>
              <w:t>, ņemot vērā, ka tiek noteikts skaidrs mantinieku atbildības modelis un</w:t>
            </w:r>
            <w:r w:rsidR="001570DB">
              <w:rPr>
                <w:bCs/>
                <w:color w:val="000000" w:themeColor="text1"/>
                <w:szCs w:val="28"/>
              </w:rPr>
              <w:t xml:space="preserve"> </w:t>
            </w:r>
            <w:r w:rsidR="001570DB" w:rsidRPr="001570DB">
              <w:rPr>
                <w:bCs/>
                <w:color w:val="000000" w:themeColor="text1"/>
                <w:szCs w:val="28"/>
              </w:rPr>
              <w:t>uzlabota</w:t>
            </w:r>
            <w:r w:rsidR="001570DB">
              <w:rPr>
                <w:bCs/>
                <w:color w:val="000000" w:themeColor="text1"/>
                <w:szCs w:val="28"/>
              </w:rPr>
              <w:t xml:space="preserve"> kreditoru pretenziju pieteikšanas kārtība un</w:t>
            </w:r>
            <w:r w:rsidR="001570DB" w:rsidRPr="001570DB">
              <w:rPr>
                <w:bCs/>
                <w:color w:val="000000" w:themeColor="text1"/>
                <w:szCs w:val="28"/>
              </w:rPr>
              <w:t xml:space="preserve"> mantošanas kārtība</w:t>
            </w:r>
            <w:r w:rsidR="001570DB">
              <w:rPr>
                <w:bCs/>
                <w:color w:val="000000" w:themeColor="text1"/>
                <w:szCs w:val="28"/>
              </w:rPr>
              <w:t xml:space="preserve"> kopumā.</w:t>
            </w:r>
          </w:p>
        </w:tc>
      </w:tr>
      <w:tr w:rsidR="004B09DA" w:rsidRPr="00C82B48" w14:paraId="25013A00" w14:textId="77777777" w:rsidTr="00F95F1D">
        <w:tc>
          <w:tcPr>
            <w:tcW w:w="5098" w:type="dxa"/>
          </w:tcPr>
          <w:p w14:paraId="46F13BE6" w14:textId="77777777" w:rsidR="004B09DA" w:rsidRPr="002476D5" w:rsidRDefault="004B09DA" w:rsidP="002476D5">
            <w:pPr>
              <w:rPr>
                <w:i/>
                <w:color w:val="000000" w:themeColor="text1"/>
                <w:sz w:val="20"/>
              </w:rPr>
            </w:pPr>
            <w:r w:rsidRPr="002476D5">
              <w:rPr>
                <w:i/>
                <w:color w:val="000000" w:themeColor="text1"/>
                <w:sz w:val="20"/>
              </w:rPr>
              <w:t>Operācijas ar nekustamo īpašumu</w:t>
            </w:r>
          </w:p>
        </w:tc>
        <w:tc>
          <w:tcPr>
            <w:tcW w:w="1276" w:type="dxa"/>
          </w:tcPr>
          <w:p w14:paraId="2F93B8FA" w14:textId="713C3D65" w:rsidR="004B09DA" w:rsidRPr="00C82B48" w:rsidRDefault="00E26218" w:rsidP="00E26218">
            <w:pPr>
              <w:jc w:val="center"/>
              <w:rPr>
                <w:b/>
                <w:color w:val="000000" w:themeColor="text1"/>
                <w:szCs w:val="28"/>
              </w:rPr>
            </w:pPr>
            <w:r>
              <w:rPr>
                <w:b/>
                <w:color w:val="000000" w:themeColor="text1"/>
                <w:szCs w:val="28"/>
              </w:rPr>
              <w:t>X</w:t>
            </w:r>
          </w:p>
        </w:tc>
        <w:tc>
          <w:tcPr>
            <w:tcW w:w="3258" w:type="dxa"/>
          </w:tcPr>
          <w:p w14:paraId="512C212A" w14:textId="1DBDC93B" w:rsidR="004B09DA" w:rsidRPr="001570DB" w:rsidRDefault="001570DB" w:rsidP="002476D5">
            <w:pPr>
              <w:rPr>
                <w:bCs/>
                <w:color w:val="000000" w:themeColor="text1"/>
                <w:szCs w:val="28"/>
              </w:rPr>
            </w:pPr>
            <w:r w:rsidRPr="001570DB">
              <w:rPr>
                <w:bCs/>
                <w:color w:val="000000" w:themeColor="text1"/>
                <w:szCs w:val="28"/>
              </w:rPr>
              <w:t>Ņemot vērā, ka tiek uzlabots mantošanas process kopumā paredzams, ka mirušam piederējušie nekustamie īpašumi ātrāk atgriezīsies pilntiesīgā civiltiesiskajā apritē</w:t>
            </w:r>
            <w:r>
              <w:rPr>
                <w:bCs/>
                <w:color w:val="000000" w:themeColor="text1"/>
                <w:szCs w:val="28"/>
              </w:rPr>
              <w:t>, tiks ātrāk noskaidroti tā jaunie īpašnieki</w:t>
            </w:r>
            <w:r w:rsidR="003C304B">
              <w:rPr>
                <w:bCs/>
                <w:color w:val="000000" w:themeColor="text1"/>
                <w:szCs w:val="28"/>
              </w:rPr>
              <w:t xml:space="preserve"> – saistību un tiesību pārņēmēji.</w:t>
            </w:r>
          </w:p>
        </w:tc>
      </w:tr>
      <w:tr w:rsidR="004B09DA" w:rsidRPr="00C82B48" w14:paraId="350592D2" w14:textId="77777777" w:rsidTr="00F95F1D">
        <w:tc>
          <w:tcPr>
            <w:tcW w:w="5098" w:type="dxa"/>
          </w:tcPr>
          <w:p w14:paraId="3B1AE180" w14:textId="77777777" w:rsidR="004B09DA" w:rsidRPr="002476D5" w:rsidRDefault="004B09DA" w:rsidP="002476D5">
            <w:pPr>
              <w:rPr>
                <w:i/>
                <w:color w:val="000000" w:themeColor="text1"/>
                <w:sz w:val="20"/>
              </w:rPr>
            </w:pPr>
            <w:r w:rsidRPr="002476D5">
              <w:rPr>
                <w:i/>
                <w:color w:val="000000" w:themeColor="text1"/>
                <w:sz w:val="20"/>
              </w:rPr>
              <w:t>Profesionālie, zinātniskie un tehniskie pakalpojumi</w:t>
            </w:r>
          </w:p>
        </w:tc>
        <w:tc>
          <w:tcPr>
            <w:tcW w:w="1276" w:type="dxa"/>
          </w:tcPr>
          <w:p w14:paraId="1149BAA1" w14:textId="77777777" w:rsidR="004B09DA" w:rsidRPr="00C82B48" w:rsidRDefault="004B09DA" w:rsidP="002476D5">
            <w:pPr>
              <w:rPr>
                <w:b/>
                <w:color w:val="000000" w:themeColor="text1"/>
                <w:szCs w:val="28"/>
              </w:rPr>
            </w:pPr>
          </w:p>
        </w:tc>
        <w:tc>
          <w:tcPr>
            <w:tcW w:w="3258" w:type="dxa"/>
          </w:tcPr>
          <w:p w14:paraId="54895EC5" w14:textId="77777777" w:rsidR="004B09DA" w:rsidRPr="00C82B48" w:rsidRDefault="004B09DA" w:rsidP="002476D5">
            <w:pPr>
              <w:rPr>
                <w:b/>
                <w:color w:val="000000" w:themeColor="text1"/>
                <w:szCs w:val="28"/>
              </w:rPr>
            </w:pPr>
          </w:p>
        </w:tc>
      </w:tr>
      <w:tr w:rsidR="004B09DA" w:rsidRPr="00C82B48" w14:paraId="65F9A7A7" w14:textId="77777777" w:rsidTr="00F95F1D">
        <w:tc>
          <w:tcPr>
            <w:tcW w:w="5098" w:type="dxa"/>
          </w:tcPr>
          <w:p w14:paraId="31DE414E" w14:textId="77777777" w:rsidR="004B09DA" w:rsidRPr="002476D5" w:rsidRDefault="004B09DA" w:rsidP="002476D5">
            <w:pPr>
              <w:rPr>
                <w:i/>
                <w:color w:val="000000" w:themeColor="text1"/>
                <w:sz w:val="20"/>
              </w:rPr>
            </w:pPr>
            <w:r w:rsidRPr="002476D5">
              <w:rPr>
                <w:i/>
                <w:color w:val="000000" w:themeColor="text1"/>
                <w:sz w:val="20"/>
              </w:rPr>
              <w:t>Administratīvo un apkalpojošo dienestu darbība</w:t>
            </w:r>
          </w:p>
        </w:tc>
        <w:tc>
          <w:tcPr>
            <w:tcW w:w="1276" w:type="dxa"/>
          </w:tcPr>
          <w:p w14:paraId="367C1DF6" w14:textId="77777777" w:rsidR="004B09DA" w:rsidRPr="00C82B48" w:rsidRDefault="004B09DA" w:rsidP="002476D5">
            <w:pPr>
              <w:rPr>
                <w:b/>
                <w:color w:val="000000" w:themeColor="text1"/>
                <w:szCs w:val="28"/>
              </w:rPr>
            </w:pPr>
          </w:p>
        </w:tc>
        <w:tc>
          <w:tcPr>
            <w:tcW w:w="3258" w:type="dxa"/>
          </w:tcPr>
          <w:p w14:paraId="52962AED" w14:textId="77777777" w:rsidR="004B09DA" w:rsidRPr="00C82B48" w:rsidRDefault="004B09DA" w:rsidP="002476D5">
            <w:pPr>
              <w:rPr>
                <w:b/>
                <w:color w:val="000000" w:themeColor="text1"/>
                <w:szCs w:val="28"/>
              </w:rPr>
            </w:pPr>
          </w:p>
        </w:tc>
      </w:tr>
      <w:tr w:rsidR="004B09DA" w:rsidRPr="00C82B48" w14:paraId="713018A4" w14:textId="77777777" w:rsidTr="00F95F1D">
        <w:tc>
          <w:tcPr>
            <w:tcW w:w="5098" w:type="dxa"/>
          </w:tcPr>
          <w:p w14:paraId="35A19E8A" w14:textId="77777777" w:rsidR="004B09DA" w:rsidRPr="002476D5" w:rsidRDefault="004B09DA" w:rsidP="002476D5">
            <w:pPr>
              <w:rPr>
                <w:i/>
                <w:color w:val="000000" w:themeColor="text1"/>
                <w:sz w:val="20"/>
              </w:rPr>
            </w:pPr>
            <w:r w:rsidRPr="002476D5">
              <w:rPr>
                <w:i/>
                <w:color w:val="000000" w:themeColor="text1"/>
                <w:sz w:val="20"/>
              </w:rPr>
              <w:t>Valsts pārvalde un aizsardzība; obligātā sociālā apdrošināšana</w:t>
            </w:r>
          </w:p>
        </w:tc>
        <w:tc>
          <w:tcPr>
            <w:tcW w:w="1276" w:type="dxa"/>
          </w:tcPr>
          <w:p w14:paraId="144BEB0D" w14:textId="77777777" w:rsidR="004B09DA" w:rsidRPr="00C82B48" w:rsidRDefault="004B09DA" w:rsidP="002476D5">
            <w:pPr>
              <w:rPr>
                <w:b/>
                <w:color w:val="000000" w:themeColor="text1"/>
                <w:szCs w:val="28"/>
              </w:rPr>
            </w:pPr>
          </w:p>
        </w:tc>
        <w:tc>
          <w:tcPr>
            <w:tcW w:w="3258" w:type="dxa"/>
          </w:tcPr>
          <w:p w14:paraId="3F85202C" w14:textId="77777777" w:rsidR="004B09DA" w:rsidRPr="00C82B48" w:rsidRDefault="004B09DA" w:rsidP="002476D5">
            <w:pPr>
              <w:rPr>
                <w:b/>
                <w:color w:val="000000" w:themeColor="text1"/>
                <w:szCs w:val="28"/>
              </w:rPr>
            </w:pPr>
          </w:p>
        </w:tc>
      </w:tr>
      <w:tr w:rsidR="004B09DA" w:rsidRPr="00C82B48" w14:paraId="1511B96F" w14:textId="77777777" w:rsidTr="00F95F1D">
        <w:tc>
          <w:tcPr>
            <w:tcW w:w="5098" w:type="dxa"/>
          </w:tcPr>
          <w:p w14:paraId="5D2E318E" w14:textId="77777777" w:rsidR="004B09DA" w:rsidRPr="002476D5" w:rsidRDefault="004B09DA" w:rsidP="002476D5">
            <w:pPr>
              <w:rPr>
                <w:i/>
                <w:color w:val="000000" w:themeColor="text1"/>
                <w:sz w:val="20"/>
              </w:rPr>
            </w:pPr>
            <w:r w:rsidRPr="002476D5">
              <w:rPr>
                <w:i/>
                <w:color w:val="000000" w:themeColor="text1"/>
                <w:sz w:val="20"/>
              </w:rPr>
              <w:t>Izglītība</w:t>
            </w:r>
          </w:p>
        </w:tc>
        <w:tc>
          <w:tcPr>
            <w:tcW w:w="1276" w:type="dxa"/>
          </w:tcPr>
          <w:p w14:paraId="502FF6AB" w14:textId="77777777" w:rsidR="004B09DA" w:rsidRPr="00C82B48" w:rsidRDefault="004B09DA" w:rsidP="002476D5">
            <w:pPr>
              <w:rPr>
                <w:b/>
                <w:color w:val="000000" w:themeColor="text1"/>
                <w:szCs w:val="28"/>
              </w:rPr>
            </w:pPr>
          </w:p>
        </w:tc>
        <w:tc>
          <w:tcPr>
            <w:tcW w:w="3258" w:type="dxa"/>
          </w:tcPr>
          <w:p w14:paraId="5B16CF0B" w14:textId="77777777" w:rsidR="004B09DA" w:rsidRPr="00C82B48" w:rsidRDefault="004B09DA" w:rsidP="002476D5">
            <w:pPr>
              <w:rPr>
                <w:b/>
                <w:color w:val="000000" w:themeColor="text1"/>
                <w:szCs w:val="28"/>
              </w:rPr>
            </w:pPr>
          </w:p>
        </w:tc>
      </w:tr>
      <w:tr w:rsidR="004B09DA" w:rsidRPr="00C82B48" w14:paraId="0FC571E2" w14:textId="77777777" w:rsidTr="00F95F1D">
        <w:tc>
          <w:tcPr>
            <w:tcW w:w="5098" w:type="dxa"/>
          </w:tcPr>
          <w:p w14:paraId="64038208" w14:textId="77777777" w:rsidR="004B09DA" w:rsidRPr="002476D5" w:rsidRDefault="004B09DA" w:rsidP="002476D5">
            <w:pPr>
              <w:rPr>
                <w:i/>
                <w:color w:val="000000" w:themeColor="text1"/>
                <w:sz w:val="20"/>
              </w:rPr>
            </w:pPr>
            <w:r w:rsidRPr="002476D5">
              <w:rPr>
                <w:i/>
                <w:color w:val="000000" w:themeColor="text1"/>
                <w:sz w:val="20"/>
              </w:rPr>
              <w:t>Veselība un sociālā aprūpe</w:t>
            </w:r>
          </w:p>
        </w:tc>
        <w:tc>
          <w:tcPr>
            <w:tcW w:w="1276" w:type="dxa"/>
          </w:tcPr>
          <w:p w14:paraId="75A05B46" w14:textId="77777777" w:rsidR="004B09DA" w:rsidRPr="00C82B48" w:rsidRDefault="004B09DA" w:rsidP="002476D5">
            <w:pPr>
              <w:rPr>
                <w:b/>
                <w:color w:val="000000" w:themeColor="text1"/>
                <w:szCs w:val="28"/>
              </w:rPr>
            </w:pPr>
          </w:p>
        </w:tc>
        <w:tc>
          <w:tcPr>
            <w:tcW w:w="3258" w:type="dxa"/>
          </w:tcPr>
          <w:p w14:paraId="23DA7BA0" w14:textId="77777777" w:rsidR="004B09DA" w:rsidRPr="00C82B48" w:rsidRDefault="004B09DA" w:rsidP="002476D5">
            <w:pPr>
              <w:rPr>
                <w:b/>
                <w:color w:val="000000" w:themeColor="text1"/>
                <w:szCs w:val="28"/>
              </w:rPr>
            </w:pPr>
          </w:p>
        </w:tc>
      </w:tr>
      <w:tr w:rsidR="004B09DA" w:rsidRPr="00C82B48" w14:paraId="1365CB39" w14:textId="77777777" w:rsidTr="00F95F1D">
        <w:tc>
          <w:tcPr>
            <w:tcW w:w="5098" w:type="dxa"/>
          </w:tcPr>
          <w:p w14:paraId="24AEACE4" w14:textId="77777777" w:rsidR="004B09DA" w:rsidRPr="002476D5" w:rsidRDefault="004B09DA" w:rsidP="002476D5">
            <w:pPr>
              <w:rPr>
                <w:i/>
                <w:color w:val="000000" w:themeColor="text1"/>
                <w:sz w:val="20"/>
              </w:rPr>
            </w:pPr>
            <w:r w:rsidRPr="002476D5">
              <w:rPr>
                <w:i/>
                <w:color w:val="000000" w:themeColor="text1"/>
                <w:sz w:val="20"/>
              </w:rPr>
              <w:t>Māksla, izklaide un atpūta</w:t>
            </w:r>
          </w:p>
        </w:tc>
        <w:tc>
          <w:tcPr>
            <w:tcW w:w="1276" w:type="dxa"/>
          </w:tcPr>
          <w:p w14:paraId="5C2B6CBC" w14:textId="77777777" w:rsidR="004B09DA" w:rsidRPr="00C82B48" w:rsidRDefault="004B09DA" w:rsidP="002476D5">
            <w:pPr>
              <w:rPr>
                <w:b/>
                <w:color w:val="000000" w:themeColor="text1"/>
                <w:szCs w:val="28"/>
              </w:rPr>
            </w:pPr>
          </w:p>
        </w:tc>
        <w:tc>
          <w:tcPr>
            <w:tcW w:w="3258" w:type="dxa"/>
          </w:tcPr>
          <w:p w14:paraId="08F75433" w14:textId="77777777" w:rsidR="004B09DA" w:rsidRPr="00C82B48" w:rsidRDefault="004B09DA" w:rsidP="002476D5">
            <w:pPr>
              <w:rPr>
                <w:b/>
                <w:color w:val="000000" w:themeColor="text1"/>
                <w:szCs w:val="28"/>
              </w:rPr>
            </w:pPr>
          </w:p>
        </w:tc>
      </w:tr>
      <w:tr w:rsidR="004B09DA" w:rsidRPr="00C82B48" w14:paraId="3DE4DFDC" w14:textId="77777777" w:rsidTr="00F95F1D">
        <w:tc>
          <w:tcPr>
            <w:tcW w:w="5098" w:type="dxa"/>
          </w:tcPr>
          <w:p w14:paraId="43320101" w14:textId="77777777" w:rsidR="004B09DA" w:rsidRPr="002476D5" w:rsidRDefault="004B09DA" w:rsidP="002476D5">
            <w:pPr>
              <w:rPr>
                <w:i/>
                <w:color w:val="000000" w:themeColor="text1"/>
                <w:sz w:val="20"/>
              </w:rPr>
            </w:pPr>
            <w:r w:rsidRPr="002476D5">
              <w:rPr>
                <w:i/>
                <w:color w:val="000000" w:themeColor="text1"/>
                <w:sz w:val="20"/>
              </w:rPr>
              <w:lastRenderedPageBreak/>
              <w:t>Citi pakalpojumi</w:t>
            </w:r>
          </w:p>
        </w:tc>
        <w:tc>
          <w:tcPr>
            <w:tcW w:w="1276" w:type="dxa"/>
          </w:tcPr>
          <w:p w14:paraId="705D5F26" w14:textId="77777777" w:rsidR="004B09DA" w:rsidRPr="00C82B48" w:rsidRDefault="004B09DA" w:rsidP="002476D5">
            <w:pPr>
              <w:rPr>
                <w:b/>
                <w:color w:val="000000" w:themeColor="text1"/>
                <w:szCs w:val="28"/>
              </w:rPr>
            </w:pPr>
          </w:p>
        </w:tc>
        <w:tc>
          <w:tcPr>
            <w:tcW w:w="3258" w:type="dxa"/>
          </w:tcPr>
          <w:p w14:paraId="49182233" w14:textId="77777777" w:rsidR="004B09DA" w:rsidRPr="00C82B48" w:rsidRDefault="004B09DA" w:rsidP="002476D5">
            <w:pPr>
              <w:rPr>
                <w:b/>
                <w:color w:val="000000" w:themeColor="text1"/>
                <w:szCs w:val="28"/>
              </w:rPr>
            </w:pPr>
          </w:p>
        </w:tc>
      </w:tr>
      <w:tr w:rsidR="004B09DA" w:rsidRPr="00C82B48" w14:paraId="5CCAE657" w14:textId="77777777" w:rsidTr="00F95F1D">
        <w:tc>
          <w:tcPr>
            <w:tcW w:w="5098" w:type="dxa"/>
          </w:tcPr>
          <w:p w14:paraId="106CD2E4" w14:textId="77777777" w:rsidR="004B09DA" w:rsidRPr="002476D5" w:rsidRDefault="004B09DA" w:rsidP="002476D5">
            <w:pPr>
              <w:rPr>
                <w:i/>
                <w:color w:val="000000" w:themeColor="text1"/>
                <w:sz w:val="20"/>
              </w:rPr>
            </w:pPr>
            <w:r w:rsidRPr="002476D5">
              <w:rPr>
                <w:i/>
                <w:color w:val="000000" w:themeColor="text1"/>
                <w:sz w:val="20"/>
              </w:rPr>
              <w:t>Mājsaimniecību kā darba devēju darbība; pašpatēriņa preču ražošana un pakalpojumu sniegšana individuālajās mājsaimniecībās</w:t>
            </w:r>
          </w:p>
        </w:tc>
        <w:tc>
          <w:tcPr>
            <w:tcW w:w="1276" w:type="dxa"/>
          </w:tcPr>
          <w:p w14:paraId="39E331BF" w14:textId="77777777" w:rsidR="004B09DA" w:rsidRPr="00C82B48" w:rsidRDefault="004B09DA" w:rsidP="002476D5">
            <w:pPr>
              <w:rPr>
                <w:b/>
                <w:color w:val="000000" w:themeColor="text1"/>
                <w:szCs w:val="28"/>
              </w:rPr>
            </w:pPr>
          </w:p>
        </w:tc>
        <w:tc>
          <w:tcPr>
            <w:tcW w:w="3258" w:type="dxa"/>
          </w:tcPr>
          <w:p w14:paraId="5BF839B6" w14:textId="77777777" w:rsidR="004B09DA" w:rsidRPr="00C82B48" w:rsidRDefault="004B09DA" w:rsidP="002476D5">
            <w:pPr>
              <w:rPr>
                <w:b/>
                <w:color w:val="000000" w:themeColor="text1"/>
                <w:szCs w:val="28"/>
              </w:rPr>
            </w:pPr>
          </w:p>
        </w:tc>
      </w:tr>
      <w:tr w:rsidR="004B09DA" w:rsidRPr="00C82B48" w14:paraId="1080CB33" w14:textId="77777777" w:rsidTr="00F95F1D">
        <w:tc>
          <w:tcPr>
            <w:tcW w:w="5098" w:type="dxa"/>
          </w:tcPr>
          <w:p w14:paraId="6EF36EAB" w14:textId="77777777" w:rsidR="004B09DA" w:rsidRPr="002476D5" w:rsidRDefault="004B09DA" w:rsidP="002476D5">
            <w:pPr>
              <w:rPr>
                <w:i/>
                <w:color w:val="000000" w:themeColor="text1"/>
                <w:sz w:val="20"/>
              </w:rPr>
            </w:pPr>
            <w:proofErr w:type="spellStart"/>
            <w:r w:rsidRPr="002476D5">
              <w:rPr>
                <w:i/>
                <w:color w:val="000000" w:themeColor="text1"/>
                <w:sz w:val="20"/>
              </w:rPr>
              <w:t>Ārpusteritoriālo</w:t>
            </w:r>
            <w:proofErr w:type="spellEnd"/>
            <w:r w:rsidRPr="002476D5">
              <w:rPr>
                <w:i/>
                <w:color w:val="000000" w:themeColor="text1"/>
                <w:sz w:val="20"/>
              </w:rPr>
              <w:t xml:space="preserve"> organizāciju un institūciju darbība</w:t>
            </w:r>
          </w:p>
        </w:tc>
        <w:tc>
          <w:tcPr>
            <w:tcW w:w="1276" w:type="dxa"/>
          </w:tcPr>
          <w:p w14:paraId="0BE998E0" w14:textId="77777777" w:rsidR="004B09DA" w:rsidRPr="00C82B48" w:rsidRDefault="004B09DA" w:rsidP="002476D5">
            <w:pPr>
              <w:rPr>
                <w:b/>
                <w:color w:val="000000" w:themeColor="text1"/>
                <w:szCs w:val="28"/>
              </w:rPr>
            </w:pPr>
          </w:p>
        </w:tc>
        <w:tc>
          <w:tcPr>
            <w:tcW w:w="3258" w:type="dxa"/>
          </w:tcPr>
          <w:p w14:paraId="1B9A7B81" w14:textId="77777777" w:rsidR="004B09DA" w:rsidRPr="00C82B48" w:rsidRDefault="004B09DA" w:rsidP="002476D5">
            <w:pPr>
              <w:rPr>
                <w:b/>
                <w:color w:val="000000" w:themeColor="text1"/>
                <w:szCs w:val="28"/>
              </w:rPr>
            </w:pPr>
          </w:p>
        </w:tc>
      </w:tr>
      <w:tr w:rsidR="004B09DA" w:rsidRPr="00C82B48" w14:paraId="7E0CEE95" w14:textId="77777777" w:rsidTr="00F95F1D">
        <w:tc>
          <w:tcPr>
            <w:tcW w:w="5098" w:type="dxa"/>
          </w:tcPr>
          <w:p w14:paraId="38001402" w14:textId="77777777" w:rsidR="004B09DA" w:rsidRPr="002476D5" w:rsidRDefault="004B09DA" w:rsidP="002476D5">
            <w:pPr>
              <w:rPr>
                <w:i/>
                <w:color w:val="000000" w:themeColor="text1"/>
                <w:sz w:val="20"/>
              </w:rPr>
            </w:pPr>
            <w:r w:rsidRPr="002476D5">
              <w:rPr>
                <w:i/>
                <w:color w:val="000000" w:themeColor="text1"/>
                <w:sz w:val="20"/>
              </w:rPr>
              <w:t>Visas nozares</w:t>
            </w:r>
          </w:p>
        </w:tc>
        <w:tc>
          <w:tcPr>
            <w:tcW w:w="1276" w:type="dxa"/>
          </w:tcPr>
          <w:p w14:paraId="760C5835" w14:textId="77777777" w:rsidR="004B09DA" w:rsidRPr="00C82B48" w:rsidRDefault="004B09DA" w:rsidP="002476D5">
            <w:pPr>
              <w:rPr>
                <w:b/>
                <w:color w:val="000000" w:themeColor="text1"/>
                <w:szCs w:val="28"/>
              </w:rPr>
            </w:pPr>
          </w:p>
        </w:tc>
        <w:tc>
          <w:tcPr>
            <w:tcW w:w="3258" w:type="dxa"/>
          </w:tcPr>
          <w:p w14:paraId="52A0CE08" w14:textId="77777777" w:rsidR="004B09DA" w:rsidRPr="00C82B48" w:rsidRDefault="004B09DA" w:rsidP="002476D5">
            <w:pPr>
              <w:rPr>
                <w:b/>
                <w:color w:val="000000" w:themeColor="text1"/>
                <w:szCs w:val="28"/>
              </w:rPr>
            </w:pPr>
          </w:p>
        </w:tc>
      </w:tr>
    </w:tbl>
    <w:p w14:paraId="65628B5B" w14:textId="77777777" w:rsidR="00B65E05" w:rsidRPr="00F95F1D" w:rsidRDefault="00B65E05" w:rsidP="0077514E">
      <w:pPr>
        <w:rPr>
          <w:b/>
          <w:color w:val="000000" w:themeColor="text1"/>
          <w:sz w:val="12"/>
          <w:szCs w:val="12"/>
        </w:rPr>
      </w:pPr>
    </w:p>
    <w:p w14:paraId="4F818D69" w14:textId="4F49460C" w:rsidR="0077514E" w:rsidRPr="00C82B48" w:rsidRDefault="0077514E" w:rsidP="0077514E">
      <w:pPr>
        <w:rPr>
          <w:b/>
          <w:color w:val="000000" w:themeColor="text1"/>
        </w:rPr>
      </w:pPr>
      <w:r>
        <w:rPr>
          <w:b/>
          <w:color w:val="000000" w:themeColor="text1"/>
        </w:rPr>
        <w:t>Nozaru i</w:t>
      </w:r>
      <w:r w:rsidRPr="00C82B48">
        <w:rPr>
          <w:b/>
          <w:color w:val="000000" w:themeColor="text1"/>
        </w:rPr>
        <w:t>etekmes apraksts</w:t>
      </w:r>
    </w:p>
    <w:p w14:paraId="5129B6A0" w14:textId="1B012090" w:rsidR="00C82B48" w:rsidRPr="001570DB" w:rsidRDefault="001570DB" w:rsidP="0077514E">
      <w:pPr>
        <w:pStyle w:val="ListParagraph"/>
        <w:ind w:left="0"/>
        <w:rPr>
          <w:iCs/>
          <w:color w:val="000000" w:themeColor="text1"/>
          <w:szCs w:val="28"/>
        </w:rPr>
      </w:pPr>
      <w:r w:rsidRPr="001570DB">
        <w:rPr>
          <w:iCs/>
          <w:color w:val="000000" w:themeColor="text1"/>
          <w:szCs w:val="28"/>
        </w:rPr>
        <w:t>Nē.</w:t>
      </w:r>
    </w:p>
    <w:p w14:paraId="484FF290" w14:textId="77777777" w:rsidR="00E73FC1" w:rsidRPr="00C82B48" w:rsidRDefault="00EE4212" w:rsidP="002476D5">
      <w:pPr>
        <w:rPr>
          <w:color w:val="000000" w:themeColor="text1"/>
        </w:rPr>
      </w:pPr>
      <w:r w:rsidRPr="00C82B48">
        <w:rPr>
          <w:b/>
          <w:color w:val="000000" w:themeColor="text1"/>
          <w:sz w:val="30"/>
        </w:rPr>
        <w:t>2.2. Tiesiskā regulējuma ietekme uz tautsaimniecību</w:t>
      </w:r>
    </w:p>
    <w:p w14:paraId="3E19615E" w14:textId="1A6C4D56" w:rsidR="00E73FC1" w:rsidRDefault="00EE4212" w:rsidP="002476D5">
      <w:pPr>
        <w:rPr>
          <w:i/>
          <w:color w:val="000000" w:themeColor="text1"/>
          <w:sz w:val="20"/>
        </w:rPr>
      </w:pPr>
      <w:r w:rsidRPr="00C82B48">
        <w:rPr>
          <w:b/>
          <w:color w:val="000000" w:themeColor="text1"/>
        </w:rPr>
        <w:t>Vai projekts skar šo jomu?</w:t>
      </w:r>
    </w:p>
    <w:p w14:paraId="778FDA89" w14:textId="77777777" w:rsidR="001570DB" w:rsidRPr="001570DB" w:rsidRDefault="001570DB" w:rsidP="001570DB">
      <w:pPr>
        <w:rPr>
          <w:iCs/>
          <w:color w:val="000000" w:themeColor="text1"/>
        </w:rPr>
      </w:pPr>
      <w:r w:rsidRPr="001570DB">
        <w:rPr>
          <w:iCs/>
          <w:color w:val="000000" w:themeColor="text1"/>
        </w:rPr>
        <w:t>Regulējuma ietekmi uz tautsaimniecību nav iespējams noteikt, vienlaikus ar Likumprojektu nodrošināta mantojuma masā ietilpstošās mantas ātrāka atgriešanās civiltiesiskajā apritē, kas atstās pozitīvu ietekmi uz ekonomiskajiem procesiem.</w:t>
      </w:r>
    </w:p>
    <w:p w14:paraId="64BFBF97" w14:textId="77777777" w:rsidR="001570DB" w:rsidRPr="001570DB" w:rsidRDefault="001570DB" w:rsidP="001570DB">
      <w:pPr>
        <w:rPr>
          <w:iCs/>
          <w:color w:val="000000" w:themeColor="text1"/>
        </w:rPr>
      </w:pPr>
      <w:r w:rsidRPr="001570DB">
        <w:rPr>
          <w:iCs/>
          <w:color w:val="000000" w:themeColor="text1"/>
        </w:rPr>
        <w:t>Ar Likumprojektu administratīvais slogs kopumā netiek palielināts – sabiedrības grupām un institūcijām Likumprojekta tiesiskais regulējums nemaina tiesības un pienākumus, kā arī veicamās darbības.</w:t>
      </w:r>
    </w:p>
    <w:p w14:paraId="2B25ED95" w14:textId="77777777" w:rsidR="001570DB" w:rsidRPr="001570DB" w:rsidRDefault="001570DB" w:rsidP="001570DB">
      <w:pPr>
        <w:rPr>
          <w:iCs/>
          <w:color w:val="000000" w:themeColor="text1"/>
        </w:rPr>
      </w:pPr>
      <w:r w:rsidRPr="001570DB">
        <w:rPr>
          <w:iCs/>
          <w:color w:val="000000" w:themeColor="text1"/>
        </w:rPr>
        <w:t>Vienlaikus ar Likumprojektu ievērojami tiek samazināta bāriņtiesu iesaiste mantošanas procesā. Proti, Likumprojekts paredz, ka mantojuma aizgādnībai vairs nav piemērojams nepilngadīgā mantas pārvaldības režīms, kas nozīmē, ka bāriņtiesas vairs neuzraudzīs mantojuma aizgādņus, to darbības mantošanas procesā.</w:t>
      </w:r>
    </w:p>
    <w:p w14:paraId="69182BEB" w14:textId="77777777" w:rsidR="001570DB" w:rsidRPr="001570DB" w:rsidRDefault="001570DB" w:rsidP="001570DB">
      <w:pPr>
        <w:rPr>
          <w:iCs/>
          <w:color w:val="000000" w:themeColor="text1"/>
        </w:rPr>
      </w:pPr>
      <w:r w:rsidRPr="001570DB">
        <w:rPr>
          <w:iCs/>
          <w:color w:val="000000" w:themeColor="text1"/>
        </w:rPr>
        <w:t>Savukārt attiecībā uz zvērinātiem tiesu izpildītājiem Likumprojekts neko nemaina – arī šobrīd pēc ieinteresēto personu lūguma zvērināti tiesu izpildītāji sastāda inventāra sarakstu – turpmāk tie sastādīs mantojuma sarakstu.</w:t>
      </w:r>
    </w:p>
    <w:p w14:paraId="5F59B873" w14:textId="77777777" w:rsidR="001570DB" w:rsidRPr="001570DB" w:rsidRDefault="001570DB" w:rsidP="001570DB">
      <w:pPr>
        <w:rPr>
          <w:iCs/>
          <w:color w:val="000000" w:themeColor="text1"/>
        </w:rPr>
      </w:pPr>
      <w:r w:rsidRPr="001570DB">
        <w:rPr>
          <w:iCs/>
          <w:color w:val="000000" w:themeColor="text1"/>
        </w:rPr>
        <w:t>Tomēr ar Likumprojektu tiek palielināts administratīvais slogs zvērinātiem notāriem. Proti, zvērinātiem notāriem pieaugs veicamo pienākumu apjoms, jo atsevišķas līdz šim pēc ieinteresēto personu lūguma veicamās darbības turpmāk zvērināti notāri veiks katrā mantojuma lietā. Jānorāda, ka pēc būtības zvērinātiem notāriem jaunas amata darbības netiek noteiktas.</w:t>
      </w:r>
    </w:p>
    <w:p w14:paraId="0B735AC2" w14:textId="77777777" w:rsidR="002476D5" w:rsidRPr="00C96481" w:rsidRDefault="002476D5" w:rsidP="002476D5">
      <w:pPr>
        <w:rPr>
          <w:b/>
          <w:color w:val="000000" w:themeColor="text1"/>
          <w:sz w:val="22"/>
          <w:szCs w:val="14"/>
        </w:rPr>
      </w:pPr>
    </w:p>
    <w:p w14:paraId="636D7E2B" w14:textId="77777777" w:rsidR="00E73FC1" w:rsidRPr="00C82B48" w:rsidRDefault="00EE4212" w:rsidP="002476D5">
      <w:pPr>
        <w:rPr>
          <w:color w:val="000000" w:themeColor="text1"/>
        </w:rPr>
      </w:pPr>
      <w:r w:rsidRPr="00C82B48">
        <w:rPr>
          <w:b/>
          <w:color w:val="000000" w:themeColor="text1"/>
          <w:sz w:val="30"/>
        </w:rPr>
        <w:t>2.3. Administratīvo izmaksu monetārs novērtējums</w:t>
      </w:r>
    </w:p>
    <w:p w14:paraId="7A8E3293" w14:textId="7370BF5A" w:rsidR="00E73FC1" w:rsidRPr="00C82B48" w:rsidRDefault="00EE4212" w:rsidP="002476D5">
      <w:pPr>
        <w:rPr>
          <w:color w:val="000000" w:themeColor="text1"/>
        </w:rPr>
      </w:pPr>
      <w:r w:rsidRPr="00C82B48">
        <w:rPr>
          <w:b/>
          <w:color w:val="000000" w:themeColor="text1"/>
        </w:rPr>
        <w:t>Vai projekts</w:t>
      </w:r>
      <w:r w:rsidR="000F32CD">
        <w:rPr>
          <w:b/>
          <w:color w:val="000000" w:themeColor="text1"/>
        </w:rPr>
        <w:t xml:space="preserve"> </w:t>
      </w:r>
      <w:r w:rsidRPr="00C82B48">
        <w:rPr>
          <w:b/>
          <w:color w:val="000000" w:themeColor="text1"/>
        </w:rPr>
        <w:t>skar šo jomu?</w:t>
      </w:r>
      <w:r w:rsidR="00C82B48" w:rsidRPr="00C82B48">
        <w:rPr>
          <w:i/>
          <w:color w:val="000000" w:themeColor="text1"/>
          <w:sz w:val="20"/>
        </w:rPr>
        <w:t xml:space="preserve"> (Jā/Nē)</w:t>
      </w:r>
    </w:p>
    <w:p w14:paraId="53D4B3CE" w14:textId="1302A9FD" w:rsidR="000F32CD" w:rsidRPr="001570DB" w:rsidRDefault="001570DB" w:rsidP="002476D5">
      <w:pPr>
        <w:rPr>
          <w:iCs/>
          <w:color w:val="000000" w:themeColor="text1"/>
          <w:szCs w:val="28"/>
          <w:shd w:val="clear" w:color="auto" w:fill="FFFFFF"/>
        </w:rPr>
      </w:pPr>
      <w:r w:rsidRPr="001570DB">
        <w:rPr>
          <w:iCs/>
          <w:color w:val="000000" w:themeColor="text1"/>
          <w:szCs w:val="28"/>
          <w:shd w:val="clear" w:color="auto" w:fill="FFFFFF"/>
        </w:rPr>
        <w:t>Nē</w:t>
      </w:r>
    </w:p>
    <w:p w14:paraId="2202B82F" w14:textId="77777777" w:rsidR="00E73FC1" w:rsidRPr="00C82B48" w:rsidRDefault="00EE4212" w:rsidP="002476D5">
      <w:pPr>
        <w:rPr>
          <w:color w:val="000000" w:themeColor="text1"/>
        </w:rPr>
      </w:pPr>
      <w:r w:rsidRPr="00C82B48">
        <w:rPr>
          <w:b/>
          <w:color w:val="000000" w:themeColor="text1"/>
          <w:sz w:val="30"/>
        </w:rPr>
        <w:t>2.4. Atbilstības izmaksu monetārs novērtējums</w:t>
      </w:r>
    </w:p>
    <w:p w14:paraId="5D60AE73" w14:textId="77777777" w:rsidR="00E73FC1" w:rsidRDefault="00EE4212" w:rsidP="002476D5">
      <w:pPr>
        <w:rPr>
          <w:i/>
          <w:color w:val="000000" w:themeColor="text1"/>
          <w:sz w:val="20"/>
        </w:rPr>
      </w:pPr>
      <w:r w:rsidRPr="00C82B48">
        <w:rPr>
          <w:b/>
          <w:color w:val="000000" w:themeColor="text1"/>
        </w:rPr>
        <w:t>Vai projekts skar šo jomu?</w:t>
      </w:r>
      <w:r w:rsidR="00C82B48" w:rsidRPr="00C82B48">
        <w:rPr>
          <w:i/>
          <w:color w:val="000000" w:themeColor="text1"/>
          <w:sz w:val="20"/>
        </w:rPr>
        <w:t xml:space="preserve"> (Jā/Nē)</w:t>
      </w:r>
    </w:p>
    <w:p w14:paraId="169D20A5" w14:textId="0F79CF0B" w:rsidR="00E73FC1" w:rsidRPr="00C82B48" w:rsidRDefault="001570DB" w:rsidP="002476D5">
      <w:pPr>
        <w:rPr>
          <w:color w:val="000000" w:themeColor="text1"/>
        </w:rPr>
      </w:pPr>
      <w:r>
        <w:rPr>
          <w:color w:val="000000" w:themeColor="text1"/>
        </w:rPr>
        <w:t>Nē</w:t>
      </w:r>
    </w:p>
    <w:p w14:paraId="24FA070D" w14:textId="77777777" w:rsidR="00E73FC1" w:rsidRPr="00C82B48" w:rsidRDefault="00EE4212" w:rsidP="002476D5">
      <w:pPr>
        <w:rPr>
          <w:color w:val="000000" w:themeColor="text1"/>
        </w:rPr>
      </w:pPr>
      <w:r w:rsidRPr="00C82B48">
        <w:rPr>
          <w:b/>
          <w:color w:val="000000" w:themeColor="text1"/>
          <w:sz w:val="32"/>
        </w:rPr>
        <w:t>3. Tiesību akta projekta ietekme uz valsts budžetu un pašvaldību budžetiem</w:t>
      </w:r>
    </w:p>
    <w:p w14:paraId="2C875067" w14:textId="1E11BB9C" w:rsidR="00F95F1D" w:rsidRDefault="00EE4212" w:rsidP="002476D5">
      <w:pPr>
        <w:rPr>
          <w:color w:val="000000" w:themeColor="text1"/>
        </w:rPr>
      </w:pPr>
      <w:r w:rsidRPr="00C82B48">
        <w:rPr>
          <w:b/>
          <w:color w:val="000000" w:themeColor="text1"/>
        </w:rPr>
        <w:t>Vai projekts skar šo jomu?</w:t>
      </w:r>
      <w:r w:rsidR="00C82B48" w:rsidRPr="00C82B48">
        <w:rPr>
          <w:i/>
          <w:color w:val="000000" w:themeColor="text1"/>
          <w:sz w:val="20"/>
        </w:rPr>
        <w:t xml:space="preserve"> (Jā/Nē)</w:t>
      </w:r>
    </w:p>
    <w:p w14:paraId="2957059F" w14:textId="56E6BA1A" w:rsidR="001570DB" w:rsidRPr="001570DB" w:rsidRDefault="001570DB" w:rsidP="002476D5">
      <w:pPr>
        <w:rPr>
          <w:color w:val="000000" w:themeColor="text1"/>
        </w:rPr>
      </w:pPr>
      <w:r>
        <w:rPr>
          <w:color w:val="000000" w:themeColor="text1"/>
        </w:rPr>
        <w:t>Nē</w:t>
      </w:r>
    </w:p>
    <w:p w14:paraId="5E243BF5" w14:textId="77777777" w:rsidR="00F95F1D" w:rsidRPr="00C82B48" w:rsidRDefault="00F95F1D" w:rsidP="002476D5">
      <w:pPr>
        <w:rPr>
          <w:color w:val="000000" w:themeColor="text1"/>
        </w:rPr>
      </w:pPr>
    </w:p>
    <w:p w14:paraId="7CB7960E" w14:textId="77777777" w:rsidR="00E73FC1" w:rsidRPr="00C82B48" w:rsidRDefault="00EE4212" w:rsidP="002476D5">
      <w:pPr>
        <w:rPr>
          <w:color w:val="000000" w:themeColor="text1"/>
        </w:rPr>
      </w:pPr>
      <w:r w:rsidRPr="00C82B48">
        <w:rPr>
          <w:b/>
          <w:color w:val="000000" w:themeColor="text1"/>
          <w:sz w:val="32"/>
        </w:rPr>
        <w:t>4. Tiesību akta projekta ietekme uz spēkā esošo tiesību normu sistēmu</w:t>
      </w:r>
    </w:p>
    <w:p w14:paraId="2A048229" w14:textId="77777777" w:rsidR="00E73FC1" w:rsidRPr="00C82B48" w:rsidRDefault="00EE4212" w:rsidP="002476D5">
      <w:pPr>
        <w:rPr>
          <w:color w:val="000000" w:themeColor="text1"/>
        </w:rPr>
      </w:pPr>
      <w:r w:rsidRPr="00C82B48">
        <w:rPr>
          <w:b/>
          <w:color w:val="000000" w:themeColor="text1"/>
        </w:rPr>
        <w:t>Vai projekts skar šo jomu?</w:t>
      </w:r>
      <w:r w:rsidR="00B54B6F">
        <w:rPr>
          <w:b/>
          <w:color w:val="000000" w:themeColor="text1"/>
        </w:rPr>
        <w:t xml:space="preserve"> </w:t>
      </w:r>
      <w:r w:rsidR="00B54B6F" w:rsidRPr="00B54B6F">
        <w:rPr>
          <w:i/>
          <w:color w:val="000000" w:themeColor="text1"/>
          <w:sz w:val="20"/>
        </w:rPr>
        <w:t>(Jā/Nē)</w:t>
      </w:r>
    </w:p>
    <w:p w14:paraId="0A02281A" w14:textId="77777777" w:rsidR="000657D2" w:rsidRPr="00F95F1D" w:rsidRDefault="000657D2" w:rsidP="002476D5">
      <w:pPr>
        <w:rPr>
          <w:color w:val="000000" w:themeColor="text1"/>
          <w:sz w:val="16"/>
          <w:szCs w:val="16"/>
        </w:rPr>
      </w:pPr>
    </w:p>
    <w:p w14:paraId="0FC932AF" w14:textId="77777777" w:rsidR="00B54B6F" w:rsidRPr="00B54B6F" w:rsidRDefault="00B54B6F" w:rsidP="002476D5">
      <w:pPr>
        <w:rPr>
          <w:color w:val="000000" w:themeColor="text1"/>
        </w:rPr>
      </w:pPr>
      <w:r w:rsidRPr="00E92F51">
        <w:rPr>
          <w:b/>
          <w:bCs/>
          <w:color w:val="000000" w:themeColor="text1"/>
        </w:rPr>
        <w:t>4.1. Saistītie tiesību aktu projekti</w:t>
      </w:r>
      <w:r w:rsidR="00604B79">
        <w:rPr>
          <w:color w:val="000000" w:themeColor="text1"/>
        </w:rPr>
        <w:t xml:space="preserve"> </w:t>
      </w:r>
      <w:r w:rsidR="00604B79" w:rsidRPr="001F3F73">
        <w:rPr>
          <w:i/>
          <w:iCs/>
          <w:color w:val="000000" w:themeColor="text1"/>
          <w:sz w:val="24"/>
          <w:szCs w:val="24"/>
        </w:rPr>
        <w:t>(var būt vairāki)</w:t>
      </w:r>
    </w:p>
    <w:p w14:paraId="34AA10C2" w14:textId="77777777" w:rsidR="00B54B6F" w:rsidRPr="00B54B6F" w:rsidRDefault="00B54B6F" w:rsidP="002476D5">
      <w:pPr>
        <w:rPr>
          <w:color w:val="000000" w:themeColor="text1"/>
        </w:rPr>
      </w:pPr>
      <w:r w:rsidRPr="00B54B6F">
        <w:rPr>
          <w:color w:val="000000" w:themeColor="text1"/>
        </w:rPr>
        <w:t>4.1.1.</w:t>
      </w:r>
    </w:p>
    <w:p w14:paraId="7B51AA41" w14:textId="77777777" w:rsidR="00B54B6F" w:rsidRPr="00B54B6F" w:rsidRDefault="00B54B6F" w:rsidP="002476D5">
      <w:pPr>
        <w:rPr>
          <w:color w:val="000000" w:themeColor="text1"/>
        </w:rPr>
      </w:pPr>
      <w:r w:rsidRPr="00B54B6F">
        <w:rPr>
          <w:color w:val="000000" w:themeColor="text1"/>
        </w:rPr>
        <w:lastRenderedPageBreak/>
        <w:t>Tiesību akta nosaukums</w:t>
      </w:r>
    </w:p>
    <w:tbl>
      <w:tblPr>
        <w:tblStyle w:val="TableGrid"/>
        <w:tblW w:w="0" w:type="auto"/>
        <w:tblLook w:val="04A0" w:firstRow="1" w:lastRow="0" w:firstColumn="1" w:lastColumn="0" w:noHBand="0" w:noVBand="1"/>
      </w:tblPr>
      <w:tblGrid>
        <w:gridCol w:w="9632"/>
      </w:tblGrid>
      <w:tr w:rsidR="00604B79" w14:paraId="462E85E6" w14:textId="77777777" w:rsidTr="00604B79">
        <w:tc>
          <w:tcPr>
            <w:tcW w:w="9632" w:type="dxa"/>
          </w:tcPr>
          <w:p w14:paraId="06FD8045" w14:textId="1E5ABB77" w:rsidR="00604B79" w:rsidRDefault="003C304B" w:rsidP="002476D5">
            <w:pPr>
              <w:rPr>
                <w:color w:val="000000" w:themeColor="text1"/>
              </w:rPr>
            </w:pPr>
            <w:r>
              <w:rPr>
                <w:iCs/>
                <w:color w:val="000000" w:themeColor="text1"/>
              </w:rPr>
              <w:t>L</w:t>
            </w:r>
            <w:r w:rsidRPr="003C304B">
              <w:rPr>
                <w:iCs/>
                <w:color w:val="000000" w:themeColor="text1"/>
              </w:rPr>
              <w:t>ikumprojekt</w:t>
            </w:r>
            <w:r>
              <w:rPr>
                <w:iCs/>
                <w:color w:val="000000" w:themeColor="text1"/>
              </w:rPr>
              <w:t xml:space="preserve">s </w:t>
            </w:r>
            <w:r w:rsidRPr="003C304B">
              <w:rPr>
                <w:iCs/>
                <w:color w:val="000000" w:themeColor="text1"/>
              </w:rPr>
              <w:t>"Grozījumi Notariāta likumā"</w:t>
            </w:r>
            <w:r>
              <w:rPr>
                <w:iCs/>
                <w:color w:val="000000" w:themeColor="text1"/>
              </w:rPr>
              <w:t xml:space="preserve"> (</w:t>
            </w:r>
            <w:r w:rsidRPr="003C304B">
              <w:rPr>
                <w:iCs/>
                <w:color w:val="000000" w:themeColor="text1"/>
              </w:rPr>
              <w:t>22-TA-695</w:t>
            </w:r>
            <w:r>
              <w:rPr>
                <w:iCs/>
                <w:color w:val="000000" w:themeColor="text1"/>
              </w:rPr>
              <w:t>)</w:t>
            </w:r>
          </w:p>
        </w:tc>
      </w:tr>
    </w:tbl>
    <w:p w14:paraId="01D39031" w14:textId="77777777" w:rsidR="00B54B6F" w:rsidRPr="00B54B6F" w:rsidRDefault="00B54B6F" w:rsidP="002476D5">
      <w:pPr>
        <w:rPr>
          <w:color w:val="000000" w:themeColor="text1"/>
        </w:rPr>
      </w:pPr>
      <w:r w:rsidRPr="00B54B6F">
        <w:rPr>
          <w:color w:val="000000" w:themeColor="text1"/>
        </w:rPr>
        <w:t>Pamatojums un apraksts</w:t>
      </w:r>
    </w:p>
    <w:tbl>
      <w:tblPr>
        <w:tblStyle w:val="TableGrid"/>
        <w:tblW w:w="0" w:type="auto"/>
        <w:tblLook w:val="04A0" w:firstRow="1" w:lastRow="0" w:firstColumn="1" w:lastColumn="0" w:noHBand="0" w:noVBand="1"/>
      </w:tblPr>
      <w:tblGrid>
        <w:gridCol w:w="9632"/>
      </w:tblGrid>
      <w:tr w:rsidR="00604B79" w14:paraId="79681BBE" w14:textId="77777777" w:rsidTr="00604B79">
        <w:tc>
          <w:tcPr>
            <w:tcW w:w="9632" w:type="dxa"/>
          </w:tcPr>
          <w:p w14:paraId="2C4F4DCA" w14:textId="4F98523A" w:rsidR="00604B79" w:rsidRPr="003C304B" w:rsidRDefault="003C304B" w:rsidP="002476D5">
            <w:pPr>
              <w:rPr>
                <w:iCs/>
                <w:color w:val="000000" w:themeColor="text1"/>
              </w:rPr>
            </w:pPr>
            <w:r w:rsidRPr="003C304B">
              <w:rPr>
                <w:iCs/>
                <w:color w:val="000000" w:themeColor="text1"/>
              </w:rPr>
              <w:t xml:space="preserve">Grozījumi Notariāta likumā nepieciešami, lai īstenotu mantojuma tiesību reformu procesuālo pusi. Proti, noregulētu zvērinātu notāru turpmāko rīcību mantojuma lietās tā, lai tā sakrīt ar </w:t>
            </w:r>
            <w:proofErr w:type="spellStart"/>
            <w:r w:rsidRPr="003C304B">
              <w:rPr>
                <w:iCs/>
                <w:color w:val="000000" w:themeColor="text1"/>
              </w:rPr>
              <w:t>materiāltiesisko</w:t>
            </w:r>
            <w:proofErr w:type="spellEnd"/>
            <w:r w:rsidRPr="003C304B">
              <w:rPr>
                <w:iCs/>
                <w:color w:val="000000" w:themeColor="text1"/>
              </w:rPr>
              <w:t xml:space="preserve"> regulējumu.</w:t>
            </w:r>
          </w:p>
        </w:tc>
      </w:tr>
    </w:tbl>
    <w:p w14:paraId="29FD454E" w14:textId="2548D50D" w:rsidR="00760AF6" w:rsidRPr="00B54B6F" w:rsidRDefault="00604B79" w:rsidP="002476D5">
      <w:pPr>
        <w:rPr>
          <w:color w:val="000000" w:themeColor="text1"/>
        </w:rPr>
      </w:pPr>
      <w:r>
        <w:rPr>
          <w:color w:val="000000" w:themeColor="text1"/>
        </w:rPr>
        <w:t>Atbildīgā institūcija</w:t>
      </w:r>
      <w:r w:rsidR="00B54B6F" w:rsidRPr="00B54B6F">
        <w:rPr>
          <w:color w:val="000000" w:themeColor="text1"/>
        </w:rPr>
        <w:t xml:space="preserve"> </w:t>
      </w:r>
    </w:p>
    <w:tbl>
      <w:tblPr>
        <w:tblStyle w:val="TableGrid"/>
        <w:tblW w:w="0" w:type="auto"/>
        <w:tblLook w:val="04A0" w:firstRow="1" w:lastRow="0" w:firstColumn="1" w:lastColumn="0" w:noHBand="0" w:noVBand="1"/>
      </w:tblPr>
      <w:tblGrid>
        <w:gridCol w:w="9632"/>
      </w:tblGrid>
      <w:tr w:rsidR="00760AF6" w14:paraId="0490F2AE" w14:textId="77777777" w:rsidTr="00760AF6">
        <w:tc>
          <w:tcPr>
            <w:tcW w:w="9632" w:type="dxa"/>
          </w:tcPr>
          <w:p w14:paraId="74588FC8" w14:textId="075C8AC8" w:rsidR="00760AF6" w:rsidRDefault="003C304B" w:rsidP="002476D5">
            <w:pPr>
              <w:rPr>
                <w:color w:val="000000" w:themeColor="text1"/>
              </w:rPr>
            </w:pPr>
            <w:r>
              <w:rPr>
                <w:color w:val="000000" w:themeColor="text1"/>
              </w:rPr>
              <w:t>Tieslietu ministrija</w:t>
            </w:r>
          </w:p>
        </w:tc>
      </w:tr>
    </w:tbl>
    <w:p w14:paraId="47BABCFA" w14:textId="77777777" w:rsidR="00B54B6F" w:rsidRPr="00F95F1D" w:rsidRDefault="00B54B6F" w:rsidP="002476D5">
      <w:pPr>
        <w:rPr>
          <w:color w:val="000000" w:themeColor="text1"/>
          <w:sz w:val="16"/>
          <w:szCs w:val="16"/>
        </w:rPr>
      </w:pPr>
    </w:p>
    <w:p w14:paraId="61F08C66" w14:textId="77777777" w:rsidR="00604B79" w:rsidRPr="00B54B6F" w:rsidRDefault="00604B79" w:rsidP="002476D5">
      <w:pPr>
        <w:rPr>
          <w:color w:val="000000" w:themeColor="text1"/>
        </w:rPr>
      </w:pPr>
      <w:r>
        <w:rPr>
          <w:color w:val="000000" w:themeColor="text1"/>
        </w:rPr>
        <w:t>4.1.2</w:t>
      </w:r>
      <w:r w:rsidRPr="00B54B6F">
        <w:rPr>
          <w:color w:val="000000" w:themeColor="text1"/>
        </w:rPr>
        <w:t>.</w:t>
      </w:r>
    </w:p>
    <w:p w14:paraId="64470D21" w14:textId="77777777" w:rsidR="00604B79" w:rsidRPr="00B54B6F" w:rsidRDefault="00604B79" w:rsidP="002476D5">
      <w:pPr>
        <w:rPr>
          <w:color w:val="000000" w:themeColor="text1"/>
        </w:rPr>
      </w:pPr>
      <w:r w:rsidRPr="00B54B6F">
        <w:rPr>
          <w:color w:val="000000" w:themeColor="text1"/>
        </w:rPr>
        <w:t>Tiesību akta nosaukums</w:t>
      </w:r>
    </w:p>
    <w:tbl>
      <w:tblPr>
        <w:tblStyle w:val="TableGrid"/>
        <w:tblW w:w="0" w:type="auto"/>
        <w:tblLook w:val="04A0" w:firstRow="1" w:lastRow="0" w:firstColumn="1" w:lastColumn="0" w:noHBand="0" w:noVBand="1"/>
      </w:tblPr>
      <w:tblGrid>
        <w:gridCol w:w="9632"/>
      </w:tblGrid>
      <w:tr w:rsidR="00604B79" w14:paraId="79DF56E6" w14:textId="77777777" w:rsidTr="000657D2">
        <w:tc>
          <w:tcPr>
            <w:tcW w:w="9632" w:type="dxa"/>
          </w:tcPr>
          <w:p w14:paraId="14CF904B" w14:textId="613E824B" w:rsidR="00604B79" w:rsidRDefault="003C304B" w:rsidP="002476D5">
            <w:pPr>
              <w:rPr>
                <w:color w:val="000000" w:themeColor="text1"/>
              </w:rPr>
            </w:pPr>
            <w:r>
              <w:rPr>
                <w:color w:val="000000" w:themeColor="text1"/>
              </w:rPr>
              <w:t xml:space="preserve">Likumprojekts </w:t>
            </w:r>
            <w:r w:rsidRPr="003C304B">
              <w:rPr>
                <w:iCs/>
                <w:color w:val="000000" w:themeColor="text1"/>
              </w:rPr>
              <w:t>"Grozījumi Kredītu reģistra likumā"</w:t>
            </w:r>
            <w:r>
              <w:rPr>
                <w:iCs/>
                <w:color w:val="000000" w:themeColor="text1"/>
              </w:rPr>
              <w:t xml:space="preserve"> (</w:t>
            </w:r>
            <w:r w:rsidRPr="003C304B">
              <w:rPr>
                <w:iCs/>
                <w:color w:val="000000" w:themeColor="text1"/>
              </w:rPr>
              <w:t>22-TA-696</w:t>
            </w:r>
            <w:r>
              <w:rPr>
                <w:iCs/>
                <w:color w:val="000000" w:themeColor="text1"/>
              </w:rPr>
              <w:t>)</w:t>
            </w:r>
          </w:p>
        </w:tc>
      </w:tr>
    </w:tbl>
    <w:p w14:paraId="0815A49A" w14:textId="77777777" w:rsidR="00604B79" w:rsidRPr="00B54B6F" w:rsidRDefault="00604B79" w:rsidP="002476D5">
      <w:pPr>
        <w:rPr>
          <w:color w:val="000000" w:themeColor="text1"/>
        </w:rPr>
      </w:pPr>
      <w:r w:rsidRPr="00B54B6F">
        <w:rPr>
          <w:color w:val="000000" w:themeColor="text1"/>
        </w:rPr>
        <w:t>Pamatojums un apraksts</w:t>
      </w:r>
    </w:p>
    <w:tbl>
      <w:tblPr>
        <w:tblStyle w:val="TableGrid"/>
        <w:tblW w:w="0" w:type="auto"/>
        <w:tblLook w:val="04A0" w:firstRow="1" w:lastRow="0" w:firstColumn="1" w:lastColumn="0" w:noHBand="0" w:noVBand="1"/>
      </w:tblPr>
      <w:tblGrid>
        <w:gridCol w:w="9632"/>
      </w:tblGrid>
      <w:tr w:rsidR="00604B79" w14:paraId="76D782F8" w14:textId="77777777" w:rsidTr="000657D2">
        <w:tc>
          <w:tcPr>
            <w:tcW w:w="9632" w:type="dxa"/>
          </w:tcPr>
          <w:p w14:paraId="415862EA" w14:textId="69338CD3" w:rsidR="00604B79" w:rsidRPr="003C304B" w:rsidRDefault="003C304B" w:rsidP="002476D5">
            <w:pPr>
              <w:rPr>
                <w:iCs/>
                <w:color w:val="000000" w:themeColor="text1"/>
              </w:rPr>
            </w:pPr>
            <w:r w:rsidRPr="003C304B">
              <w:rPr>
                <w:iCs/>
                <w:color w:val="000000" w:themeColor="text1"/>
              </w:rPr>
              <w:t>Grozījumi Kredītu reģistra likumā nepieciešami, lai piešķirtu tiesības zvērinātam notāram, kurš ved mantojuma lietu, ieskatīties kredītu reģistrā, lai noskaidrotu informāciju par mantojuma atstājēja kreditoriem.</w:t>
            </w:r>
          </w:p>
        </w:tc>
      </w:tr>
    </w:tbl>
    <w:p w14:paraId="44C86DBD" w14:textId="77777777" w:rsidR="00604B79" w:rsidRPr="00B54B6F" w:rsidRDefault="00604B79" w:rsidP="002476D5">
      <w:pPr>
        <w:rPr>
          <w:color w:val="000000" w:themeColor="text1"/>
        </w:rPr>
      </w:pPr>
      <w:r>
        <w:rPr>
          <w:color w:val="000000" w:themeColor="text1"/>
        </w:rPr>
        <w:t>Atbildīgā institūcija</w:t>
      </w:r>
    </w:p>
    <w:tbl>
      <w:tblPr>
        <w:tblStyle w:val="TableGrid"/>
        <w:tblW w:w="0" w:type="auto"/>
        <w:tblLook w:val="04A0" w:firstRow="1" w:lastRow="0" w:firstColumn="1" w:lastColumn="0" w:noHBand="0" w:noVBand="1"/>
      </w:tblPr>
      <w:tblGrid>
        <w:gridCol w:w="9632"/>
      </w:tblGrid>
      <w:tr w:rsidR="00760AF6" w14:paraId="609666A3" w14:textId="77777777" w:rsidTr="00760AF6">
        <w:tc>
          <w:tcPr>
            <w:tcW w:w="9632" w:type="dxa"/>
          </w:tcPr>
          <w:p w14:paraId="5826B90F" w14:textId="6C60A592" w:rsidR="00760AF6" w:rsidRPr="003C304B" w:rsidRDefault="003C304B" w:rsidP="002476D5">
            <w:pPr>
              <w:rPr>
                <w:bCs/>
                <w:color w:val="000000" w:themeColor="text1"/>
              </w:rPr>
            </w:pPr>
            <w:r w:rsidRPr="003C304B">
              <w:rPr>
                <w:bCs/>
                <w:color w:val="000000" w:themeColor="text1"/>
              </w:rPr>
              <w:t>Tieslietu ministrija</w:t>
            </w:r>
          </w:p>
        </w:tc>
      </w:tr>
    </w:tbl>
    <w:p w14:paraId="04EC7487" w14:textId="77777777" w:rsidR="00604B79" w:rsidRPr="00F95F1D" w:rsidRDefault="00604B79" w:rsidP="002476D5">
      <w:pPr>
        <w:rPr>
          <w:b/>
          <w:color w:val="000000" w:themeColor="text1"/>
          <w:sz w:val="16"/>
          <w:szCs w:val="16"/>
        </w:rPr>
      </w:pPr>
    </w:p>
    <w:p w14:paraId="7E3F1570" w14:textId="77777777" w:rsidR="00604B79" w:rsidRPr="00604B79" w:rsidRDefault="00B54B6F" w:rsidP="002476D5">
      <w:pPr>
        <w:rPr>
          <w:i/>
          <w:color w:val="000000" w:themeColor="text1"/>
          <w:sz w:val="20"/>
        </w:rPr>
      </w:pPr>
      <w:r w:rsidRPr="00604B79">
        <w:rPr>
          <w:b/>
          <w:color w:val="000000" w:themeColor="text1"/>
        </w:rPr>
        <w:t>4.2. Cita informācija</w:t>
      </w:r>
      <w:r w:rsidR="00604B79" w:rsidRPr="00604B79">
        <w:rPr>
          <w:color w:val="000000" w:themeColor="text1"/>
        </w:rPr>
        <w:t xml:space="preserve"> </w:t>
      </w:r>
      <w:r w:rsidR="00604B79" w:rsidRPr="00604B79">
        <w:rPr>
          <w:i/>
          <w:color w:val="000000" w:themeColor="text1"/>
          <w:sz w:val="20"/>
        </w:rPr>
        <w:t>(aizpilda nepieciešamības gadījumā)</w:t>
      </w:r>
    </w:p>
    <w:tbl>
      <w:tblPr>
        <w:tblStyle w:val="TableGrid"/>
        <w:tblW w:w="0" w:type="auto"/>
        <w:tblLook w:val="04A0" w:firstRow="1" w:lastRow="0" w:firstColumn="1" w:lastColumn="0" w:noHBand="0" w:noVBand="1"/>
      </w:tblPr>
      <w:tblGrid>
        <w:gridCol w:w="9632"/>
      </w:tblGrid>
      <w:tr w:rsidR="00604B79" w14:paraId="3CFB6A1C" w14:textId="77777777" w:rsidTr="00604B79">
        <w:tc>
          <w:tcPr>
            <w:tcW w:w="9632" w:type="dxa"/>
          </w:tcPr>
          <w:p w14:paraId="2BD6186F" w14:textId="77777777" w:rsidR="003C304B" w:rsidRPr="003C304B" w:rsidRDefault="003C304B" w:rsidP="003C304B">
            <w:pPr>
              <w:rPr>
                <w:iCs/>
                <w:color w:val="000000" w:themeColor="text1"/>
              </w:rPr>
            </w:pPr>
            <w:r w:rsidRPr="003C304B">
              <w:rPr>
                <w:iCs/>
                <w:color w:val="000000" w:themeColor="text1"/>
              </w:rPr>
              <w:t>Vienlaikus ar Likumprojektā noteiktā regulējuma pieņemšanu Saeimā 2. lasījumā tiks izstrādāti un virzīti grozījumi šādos Ministru kabineta noteikumos:</w:t>
            </w:r>
          </w:p>
          <w:p w14:paraId="4F741C8F" w14:textId="77777777" w:rsidR="003C304B" w:rsidRPr="003C304B" w:rsidRDefault="003C304B" w:rsidP="003C304B">
            <w:pPr>
              <w:rPr>
                <w:iCs/>
                <w:color w:val="000000" w:themeColor="text1"/>
              </w:rPr>
            </w:pPr>
            <w:r w:rsidRPr="003C304B">
              <w:rPr>
                <w:iCs/>
                <w:color w:val="000000" w:themeColor="text1"/>
              </w:rPr>
              <w:t>1) Ministru kabineta 04.08.2008. noteikumos Nr. 618 "Noteikumi par mantojuma reģistra un mantojuma lietu vešanu". Grozījumi nepieciešami, lai konkrētajos noteikumos noregulētu mantojuma lietas vešanas procesuālos aspektus tā, lai tie sakrīt ar Likumprojekta regulējumu.</w:t>
            </w:r>
          </w:p>
          <w:p w14:paraId="347889AB" w14:textId="77777777" w:rsidR="003C304B" w:rsidRPr="003C304B" w:rsidRDefault="003C304B" w:rsidP="003C304B">
            <w:pPr>
              <w:rPr>
                <w:iCs/>
                <w:color w:val="000000" w:themeColor="text1"/>
              </w:rPr>
            </w:pPr>
            <w:r w:rsidRPr="003C304B">
              <w:rPr>
                <w:iCs/>
                <w:color w:val="000000" w:themeColor="text1"/>
              </w:rPr>
              <w:t>2) Ministru kabineta 05.11.2013. noteikumos Nr. 1248</w:t>
            </w:r>
          </w:p>
          <w:p w14:paraId="0F46384B" w14:textId="77777777" w:rsidR="003C304B" w:rsidRPr="003C304B" w:rsidRDefault="003C304B" w:rsidP="003C304B">
            <w:pPr>
              <w:rPr>
                <w:iCs/>
                <w:color w:val="000000" w:themeColor="text1"/>
              </w:rPr>
            </w:pPr>
            <w:r w:rsidRPr="003C304B">
              <w:rPr>
                <w:iCs/>
                <w:color w:val="000000" w:themeColor="text1"/>
              </w:rPr>
              <w:t>"Noteikumi par mantojuma apliecību paraugiem". Grozījumi nepieciešami, lai ieviestu to, ka turpmāk pie mantojuma apliecības kā pielikumi tiks pievienots arī mantojuma saraksts un pieteikto kreditoru pretenziju saraksts.</w:t>
            </w:r>
          </w:p>
          <w:p w14:paraId="13EA608D" w14:textId="77777777" w:rsidR="003C304B" w:rsidRPr="003C304B" w:rsidRDefault="003C304B" w:rsidP="003C304B">
            <w:pPr>
              <w:rPr>
                <w:iCs/>
                <w:color w:val="000000" w:themeColor="text1"/>
              </w:rPr>
            </w:pPr>
            <w:r w:rsidRPr="003C304B">
              <w:rPr>
                <w:iCs/>
                <w:color w:val="000000" w:themeColor="text1"/>
              </w:rPr>
              <w:t>3) Ministru kabineta 03.09.2013. noteikumos Nr. 737 "Noteikumi par zvērinātu notāru atlīdzības taksēm un to noteikšanas kārtību". Grozījumi nepieciešami, lai precizētu zvērinātu notāru atlīdzības takses pēc tam, kad stāsies spēkā Likumprojekts.</w:t>
            </w:r>
          </w:p>
          <w:p w14:paraId="2186C9C1" w14:textId="77777777" w:rsidR="003C304B" w:rsidRPr="003C304B" w:rsidRDefault="003C304B" w:rsidP="003C304B">
            <w:pPr>
              <w:rPr>
                <w:iCs/>
                <w:color w:val="000000" w:themeColor="text1"/>
              </w:rPr>
            </w:pPr>
            <w:r w:rsidRPr="003C304B">
              <w:rPr>
                <w:iCs/>
                <w:color w:val="000000" w:themeColor="text1"/>
              </w:rPr>
              <w:t>4) Ministru kabineta 19.11.2019. noteikumos Nr. 543 "Mantojuma inventāra saraksta sastādīšanas kārtība". Grozījumi nepieciešami, lai terminoloģiski salāgotu konkrētos noteikumus ar Likumprojekta regulējumu.</w:t>
            </w:r>
          </w:p>
          <w:p w14:paraId="0908CC32" w14:textId="77777777" w:rsidR="00604B79" w:rsidRDefault="003C304B" w:rsidP="003C304B">
            <w:pPr>
              <w:rPr>
                <w:iCs/>
                <w:color w:val="000000" w:themeColor="text1"/>
              </w:rPr>
            </w:pPr>
            <w:r w:rsidRPr="003C304B">
              <w:rPr>
                <w:iCs/>
                <w:color w:val="000000" w:themeColor="text1"/>
              </w:rPr>
              <w:t>Norādām, ka grozījumus Bāriņtiesu likumā, kas, citu starpā, noregulēs jautājumu par bāriņtiesu kompetenci mantojuma saraksta sastādīšanā, plānots izstrādāt pirms Likumprojekta spēkā stāšanās.</w:t>
            </w:r>
          </w:p>
          <w:p w14:paraId="552664F2" w14:textId="3CD53CD1" w:rsidR="003C304B" w:rsidRDefault="003C304B" w:rsidP="003C304B">
            <w:pPr>
              <w:rPr>
                <w:color w:val="000000" w:themeColor="text1"/>
              </w:rPr>
            </w:pPr>
            <w:r w:rsidRPr="003C304B">
              <w:rPr>
                <w:iCs/>
                <w:color w:val="000000" w:themeColor="text1"/>
              </w:rPr>
              <w:t>Likumprojekts, likumprojekts "Grozījumi Notariāta likumā" un likumprojekts "Grozījumi Kredītu reģistra likumā" Valsts sekretāru sanāksmē tiks izsludināti vienlaicīgi.</w:t>
            </w:r>
          </w:p>
        </w:tc>
      </w:tr>
    </w:tbl>
    <w:p w14:paraId="142297FB" w14:textId="77777777" w:rsidR="00604B79" w:rsidRPr="00F95F1D" w:rsidRDefault="00604B79" w:rsidP="002476D5">
      <w:pPr>
        <w:rPr>
          <w:color w:val="000000" w:themeColor="text1"/>
          <w:sz w:val="16"/>
          <w:szCs w:val="16"/>
        </w:rPr>
      </w:pPr>
    </w:p>
    <w:p w14:paraId="0E2D2991" w14:textId="29146BA8" w:rsidR="00E73FC1" w:rsidRPr="00C82B48" w:rsidRDefault="00EE4212" w:rsidP="002476D5">
      <w:pPr>
        <w:rPr>
          <w:color w:val="000000" w:themeColor="text1"/>
        </w:rPr>
      </w:pPr>
      <w:r w:rsidRPr="00C82B48">
        <w:rPr>
          <w:b/>
          <w:color w:val="000000" w:themeColor="text1"/>
          <w:sz w:val="32"/>
        </w:rPr>
        <w:lastRenderedPageBreak/>
        <w:t>5.</w:t>
      </w:r>
      <w:r w:rsidR="00534348">
        <w:rPr>
          <w:b/>
          <w:color w:val="000000" w:themeColor="text1"/>
          <w:sz w:val="32"/>
        </w:rPr>
        <w:t> </w:t>
      </w:r>
      <w:r w:rsidRPr="00C82B48">
        <w:rPr>
          <w:b/>
          <w:color w:val="000000" w:themeColor="text1"/>
          <w:sz w:val="32"/>
        </w:rPr>
        <w:t>Tiesību akta projekta atbilstība Latvijas Republikas starptautiskajām saistībām</w:t>
      </w:r>
    </w:p>
    <w:p w14:paraId="75A047AF" w14:textId="4298BEE2" w:rsidR="00E73FC1" w:rsidRDefault="00EE4212" w:rsidP="002476D5">
      <w:pPr>
        <w:rPr>
          <w:i/>
          <w:color w:val="000000" w:themeColor="text1"/>
          <w:sz w:val="20"/>
        </w:rPr>
      </w:pPr>
      <w:r w:rsidRPr="00C82B48">
        <w:rPr>
          <w:b/>
          <w:color w:val="000000" w:themeColor="text1"/>
        </w:rPr>
        <w:t>Vai projekts skar šo jomu?</w:t>
      </w:r>
      <w:r w:rsidR="00760AF6" w:rsidRPr="00760AF6">
        <w:rPr>
          <w:i/>
          <w:color w:val="000000" w:themeColor="text1"/>
          <w:sz w:val="20"/>
        </w:rPr>
        <w:t xml:space="preserve"> </w:t>
      </w:r>
      <w:r w:rsidR="00760AF6" w:rsidRPr="00B54B6F">
        <w:rPr>
          <w:i/>
          <w:color w:val="000000" w:themeColor="text1"/>
          <w:sz w:val="20"/>
        </w:rPr>
        <w:t>(Jā/Nē)</w:t>
      </w:r>
    </w:p>
    <w:p w14:paraId="78DFCD99" w14:textId="60070F52" w:rsidR="003C304B" w:rsidRPr="003C304B" w:rsidRDefault="003C304B" w:rsidP="002476D5">
      <w:pPr>
        <w:rPr>
          <w:iCs/>
          <w:color w:val="000000" w:themeColor="text1"/>
          <w:szCs w:val="28"/>
        </w:rPr>
      </w:pPr>
      <w:r w:rsidRPr="003C304B">
        <w:rPr>
          <w:iCs/>
          <w:color w:val="000000" w:themeColor="text1"/>
          <w:szCs w:val="28"/>
        </w:rPr>
        <w:t>Nē</w:t>
      </w:r>
    </w:p>
    <w:p w14:paraId="20EB04A1" w14:textId="77777777" w:rsidR="00760AF6" w:rsidRPr="00F95F1D" w:rsidRDefault="00760AF6" w:rsidP="002476D5">
      <w:pPr>
        <w:rPr>
          <w:b/>
          <w:color w:val="000000" w:themeColor="text1"/>
          <w:sz w:val="16"/>
          <w:szCs w:val="16"/>
        </w:rPr>
      </w:pPr>
    </w:p>
    <w:p w14:paraId="731D584C" w14:textId="77777777" w:rsidR="00760AF6" w:rsidRPr="00760AF6" w:rsidRDefault="00760AF6" w:rsidP="002476D5">
      <w:pPr>
        <w:rPr>
          <w:b/>
          <w:color w:val="000000" w:themeColor="text1"/>
          <w:szCs w:val="28"/>
        </w:rPr>
      </w:pPr>
      <w:r w:rsidRPr="00760AF6">
        <w:rPr>
          <w:b/>
          <w:color w:val="000000" w:themeColor="text1"/>
          <w:szCs w:val="28"/>
        </w:rPr>
        <w:t>5.1. Saistības pret Eiropas Savienību</w:t>
      </w:r>
    </w:p>
    <w:p w14:paraId="47D14436" w14:textId="77777777" w:rsidR="00E73FC1" w:rsidRPr="00760AF6" w:rsidRDefault="00760AF6" w:rsidP="002476D5">
      <w:pPr>
        <w:rPr>
          <w:b/>
          <w:i/>
          <w:color w:val="000000" w:themeColor="text1"/>
          <w:szCs w:val="28"/>
        </w:rPr>
      </w:pPr>
      <w:r w:rsidRPr="00760AF6">
        <w:rPr>
          <w:b/>
          <w:color w:val="000000" w:themeColor="text1"/>
          <w:szCs w:val="28"/>
        </w:rPr>
        <w:t xml:space="preserve">Vai ir attiecināms? </w:t>
      </w:r>
      <w:r w:rsidRPr="00760AF6">
        <w:rPr>
          <w:i/>
          <w:color w:val="000000" w:themeColor="text1"/>
          <w:sz w:val="20"/>
        </w:rPr>
        <w:t>(Jā/Nē)</w:t>
      </w:r>
    </w:p>
    <w:p w14:paraId="423294F9" w14:textId="7ABFB3E3" w:rsidR="000657D2" w:rsidRDefault="003C304B" w:rsidP="002476D5">
      <w:pPr>
        <w:rPr>
          <w:b/>
          <w:color w:val="000000" w:themeColor="text1"/>
          <w:szCs w:val="28"/>
        </w:rPr>
      </w:pPr>
      <w:r>
        <w:rPr>
          <w:b/>
          <w:color w:val="000000" w:themeColor="text1"/>
          <w:szCs w:val="28"/>
        </w:rPr>
        <w:t>Nē</w:t>
      </w:r>
    </w:p>
    <w:p w14:paraId="46CEB979" w14:textId="77777777" w:rsidR="00760AF6" w:rsidRPr="00F95F1D" w:rsidRDefault="00760AF6" w:rsidP="002476D5">
      <w:pPr>
        <w:rPr>
          <w:b/>
          <w:color w:val="000000" w:themeColor="text1"/>
          <w:sz w:val="16"/>
          <w:szCs w:val="16"/>
        </w:rPr>
      </w:pPr>
    </w:p>
    <w:p w14:paraId="03AE3A78" w14:textId="77777777" w:rsidR="00E73FC1" w:rsidRPr="00C82B48" w:rsidRDefault="00760AF6" w:rsidP="002476D5">
      <w:pPr>
        <w:rPr>
          <w:color w:val="000000" w:themeColor="text1"/>
        </w:rPr>
      </w:pPr>
      <w:r>
        <w:rPr>
          <w:b/>
          <w:color w:val="000000" w:themeColor="text1"/>
          <w:sz w:val="30"/>
        </w:rPr>
        <w:t>5.2</w:t>
      </w:r>
      <w:r w:rsidR="00EE4212" w:rsidRPr="00C82B48">
        <w:rPr>
          <w:b/>
          <w:color w:val="000000" w:themeColor="text1"/>
          <w:sz w:val="30"/>
        </w:rPr>
        <w:t>. Cita</w:t>
      </w:r>
      <w:r>
        <w:rPr>
          <w:b/>
          <w:color w:val="000000" w:themeColor="text1"/>
          <w:sz w:val="30"/>
        </w:rPr>
        <w:t>s starptautiskās saistības</w:t>
      </w:r>
    </w:p>
    <w:p w14:paraId="4E05BA1A" w14:textId="77777777" w:rsidR="00760AF6" w:rsidRDefault="00760AF6" w:rsidP="002476D5">
      <w:pPr>
        <w:rPr>
          <w:i/>
          <w:color w:val="000000" w:themeColor="text1"/>
          <w:sz w:val="20"/>
        </w:rPr>
      </w:pPr>
      <w:r w:rsidRPr="000657D2">
        <w:rPr>
          <w:b/>
          <w:color w:val="000000" w:themeColor="text1"/>
        </w:rPr>
        <w:t>Vai ir attiecināms?</w:t>
      </w:r>
      <w:r>
        <w:rPr>
          <w:color w:val="000000" w:themeColor="text1"/>
        </w:rPr>
        <w:t xml:space="preserve"> </w:t>
      </w:r>
      <w:r w:rsidRPr="00B54B6F">
        <w:rPr>
          <w:i/>
          <w:color w:val="000000" w:themeColor="text1"/>
          <w:sz w:val="20"/>
        </w:rPr>
        <w:t>(Jā/Nē)</w:t>
      </w:r>
    </w:p>
    <w:p w14:paraId="5F64C6C4" w14:textId="113CE790" w:rsidR="000657D2" w:rsidRDefault="00AB5ECC" w:rsidP="002476D5">
      <w:pPr>
        <w:rPr>
          <w:color w:val="000000" w:themeColor="text1"/>
        </w:rPr>
      </w:pPr>
      <w:r>
        <w:rPr>
          <w:b/>
          <w:color w:val="000000" w:themeColor="text1"/>
        </w:rPr>
        <w:t>Nē</w:t>
      </w:r>
    </w:p>
    <w:p w14:paraId="592A5E39" w14:textId="77777777" w:rsidR="00181317" w:rsidRDefault="00181317" w:rsidP="002476D5">
      <w:pPr>
        <w:rPr>
          <w:color w:val="000000" w:themeColor="text1"/>
        </w:rPr>
      </w:pPr>
    </w:p>
    <w:p w14:paraId="496D9B54" w14:textId="77777777" w:rsidR="00E73FC1" w:rsidRPr="00C82B48" w:rsidRDefault="00EE4212" w:rsidP="002476D5">
      <w:pPr>
        <w:rPr>
          <w:color w:val="000000" w:themeColor="text1"/>
        </w:rPr>
      </w:pPr>
      <w:r w:rsidRPr="00C82B48">
        <w:rPr>
          <w:b/>
          <w:color w:val="000000" w:themeColor="text1"/>
          <w:sz w:val="32"/>
        </w:rPr>
        <w:t>6. Projekta izstrādē iesaistītās institūcijas un sabiedrības līdzdalības process</w:t>
      </w:r>
    </w:p>
    <w:p w14:paraId="0CECD191" w14:textId="1BD505E7" w:rsidR="00E73FC1" w:rsidRPr="00C82B48" w:rsidRDefault="00EE4212" w:rsidP="002476D5">
      <w:pPr>
        <w:rPr>
          <w:color w:val="000000" w:themeColor="text1"/>
        </w:rPr>
      </w:pPr>
      <w:r w:rsidRPr="00C82B48">
        <w:rPr>
          <w:b/>
          <w:color w:val="000000" w:themeColor="text1"/>
        </w:rPr>
        <w:t>Sabiedrības līdzdalība uz šo tiesību akta projektu neattiecas</w:t>
      </w:r>
      <w:r w:rsidR="00181317">
        <w:rPr>
          <w:b/>
          <w:color w:val="000000" w:themeColor="text1"/>
        </w:rPr>
        <w:t xml:space="preserve"> </w:t>
      </w:r>
      <w:r w:rsidR="00181317" w:rsidRPr="00181317">
        <w:rPr>
          <w:i/>
          <w:color w:val="000000" w:themeColor="text1"/>
          <w:sz w:val="20"/>
        </w:rPr>
        <w:t>(Jā/Nē</w:t>
      </w:r>
      <w:r w:rsidR="00612EBA">
        <w:rPr>
          <w:i/>
          <w:color w:val="000000" w:themeColor="text1"/>
          <w:sz w:val="20"/>
        </w:rPr>
        <w:t xml:space="preserve"> (norāda pamatojumu)</w:t>
      </w:r>
      <w:r w:rsidR="00181317" w:rsidRPr="00181317">
        <w:rPr>
          <w:i/>
          <w:color w:val="000000" w:themeColor="text1"/>
          <w:sz w:val="20"/>
        </w:rPr>
        <w:t>)</w:t>
      </w:r>
    </w:p>
    <w:tbl>
      <w:tblPr>
        <w:tblStyle w:val="TableGrid"/>
        <w:tblW w:w="0" w:type="auto"/>
        <w:tblLook w:val="04A0" w:firstRow="1" w:lastRow="0" w:firstColumn="1" w:lastColumn="0" w:noHBand="0" w:noVBand="1"/>
      </w:tblPr>
      <w:tblGrid>
        <w:gridCol w:w="9632"/>
      </w:tblGrid>
      <w:tr w:rsidR="0010242F" w14:paraId="255A00A4" w14:textId="77777777" w:rsidTr="0010242F">
        <w:tc>
          <w:tcPr>
            <w:tcW w:w="9632" w:type="dxa"/>
          </w:tcPr>
          <w:p w14:paraId="29C5D3C5" w14:textId="2BAEAA23" w:rsidR="00AB5ECC" w:rsidRPr="00AB5ECC" w:rsidRDefault="00AB5ECC" w:rsidP="00AB5ECC">
            <w:pPr>
              <w:rPr>
                <w:bCs/>
                <w:iCs/>
                <w:color w:val="000000" w:themeColor="text1"/>
              </w:rPr>
            </w:pPr>
            <w:r w:rsidRPr="00AB5ECC">
              <w:rPr>
                <w:bCs/>
                <w:iCs/>
                <w:color w:val="000000" w:themeColor="text1"/>
              </w:rPr>
              <w:t>Lai informētu sabiedrību par Likumprojektu un dotu iespēju par to izteikt viedokļus, Likumprojekts 2021. gada 27. janvārī publicēts Tieslietu ministrijas tīmekļvietnē.</w:t>
            </w:r>
          </w:p>
        </w:tc>
      </w:tr>
    </w:tbl>
    <w:p w14:paraId="7BF2964C" w14:textId="77777777" w:rsidR="00F95F1D" w:rsidRDefault="00F95F1D" w:rsidP="002476D5">
      <w:pPr>
        <w:rPr>
          <w:b/>
          <w:color w:val="000000" w:themeColor="text1"/>
        </w:rPr>
      </w:pPr>
    </w:p>
    <w:p w14:paraId="7DB87DC0" w14:textId="7413B534" w:rsidR="00E73FC1" w:rsidRPr="00181317" w:rsidRDefault="00181317" w:rsidP="002476D5">
      <w:pPr>
        <w:rPr>
          <w:b/>
          <w:color w:val="000000" w:themeColor="text1"/>
        </w:rPr>
      </w:pPr>
      <w:r w:rsidRPr="00181317">
        <w:rPr>
          <w:b/>
          <w:color w:val="000000" w:themeColor="text1"/>
        </w:rPr>
        <w:t>6.1.</w:t>
      </w:r>
      <w:r w:rsidR="00D45433">
        <w:rPr>
          <w:b/>
          <w:color w:val="000000" w:themeColor="text1"/>
        </w:rPr>
        <w:t xml:space="preserve"> </w:t>
      </w:r>
      <w:r w:rsidRPr="00181317">
        <w:rPr>
          <w:b/>
          <w:color w:val="000000" w:themeColor="text1"/>
        </w:rPr>
        <w:t>Projekta izstrādē iesaistītās institūcijas</w:t>
      </w:r>
    </w:p>
    <w:p w14:paraId="29BD31A7" w14:textId="2268D8DC" w:rsidR="00181317" w:rsidRPr="00843F76" w:rsidRDefault="00181317" w:rsidP="002476D5">
      <w:pPr>
        <w:rPr>
          <w:i/>
          <w:color w:val="000000" w:themeColor="text1"/>
        </w:rPr>
      </w:pPr>
    </w:p>
    <w:tbl>
      <w:tblPr>
        <w:tblStyle w:val="TableGrid"/>
        <w:tblW w:w="0" w:type="auto"/>
        <w:tblLook w:val="04A0" w:firstRow="1" w:lastRow="0" w:firstColumn="1" w:lastColumn="0" w:noHBand="0" w:noVBand="1"/>
      </w:tblPr>
      <w:tblGrid>
        <w:gridCol w:w="9632"/>
      </w:tblGrid>
      <w:tr w:rsidR="00181317" w14:paraId="14FE5264" w14:textId="77777777" w:rsidTr="00181317">
        <w:tc>
          <w:tcPr>
            <w:tcW w:w="9632" w:type="dxa"/>
          </w:tcPr>
          <w:p w14:paraId="2B544797" w14:textId="77777777" w:rsidR="00AB5ECC" w:rsidRPr="004341E2" w:rsidRDefault="00AB5ECC" w:rsidP="00AB5ECC">
            <w:pPr>
              <w:rPr>
                <w:color w:val="000000" w:themeColor="text1"/>
              </w:rPr>
            </w:pPr>
            <w:r w:rsidRPr="004341E2">
              <w:rPr>
                <w:color w:val="000000" w:themeColor="text1"/>
              </w:rPr>
              <w:t>Likumprojekta izstrādei tikusi izveidota šī sākotnējās ietekmes novērtējuma ziņojumā (anotācijā) jau pieminētā Darba grupa, kas izveidota, pamatojoties uz tieslietu ministra 2018. gada 5. aprīļa rīkojumu Nr. 1-1/123 "Par pastāvīgās darba grupas Civillikuma mantojuma tiesību daļas grozījumu izstrādei izveidošanu".</w:t>
            </w:r>
          </w:p>
          <w:p w14:paraId="5A2693BB" w14:textId="5B4B3343" w:rsidR="00181317" w:rsidRDefault="00AB5ECC" w:rsidP="00AB5ECC">
            <w:pPr>
              <w:rPr>
                <w:color w:val="000000" w:themeColor="text1"/>
              </w:rPr>
            </w:pPr>
            <w:r w:rsidRPr="004341E2">
              <w:rPr>
                <w:color w:val="000000" w:themeColor="text1"/>
              </w:rPr>
              <w:t>Darba grupā piedalījās pārstāvji no Finanšu ministrijas, Latvijas Universitātes Juridiskās fakultātes, Latvijas Zvērinātu notāru padomes, Latvijas Zvērinātu tiesu izpildītāju padomes, Rīgas bāriņtiesas, Rīgas pilsētas Vidzemes priekšpilsētas tiesas, Latvijas Finanšu nozares asociācijas, kā arī citi tiesību eksperti, notāri un advokāti.</w:t>
            </w:r>
          </w:p>
        </w:tc>
      </w:tr>
    </w:tbl>
    <w:p w14:paraId="0FBA2E70" w14:textId="77777777" w:rsidR="00181317" w:rsidRDefault="00181317" w:rsidP="002476D5">
      <w:pPr>
        <w:rPr>
          <w:color w:val="000000" w:themeColor="text1"/>
        </w:rPr>
      </w:pPr>
    </w:p>
    <w:p w14:paraId="74944558" w14:textId="77777777" w:rsidR="00181317" w:rsidRDefault="00181317" w:rsidP="002476D5">
      <w:pPr>
        <w:rPr>
          <w:b/>
          <w:color w:val="000000" w:themeColor="text1"/>
          <w:sz w:val="30"/>
        </w:rPr>
      </w:pPr>
      <w:r w:rsidRPr="00C82B48">
        <w:rPr>
          <w:b/>
          <w:color w:val="000000" w:themeColor="text1"/>
          <w:sz w:val="30"/>
        </w:rPr>
        <w:t>6.</w:t>
      </w:r>
      <w:r>
        <w:rPr>
          <w:b/>
          <w:color w:val="000000" w:themeColor="text1"/>
          <w:sz w:val="30"/>
        </w:rPr>
        <w:t>2</w:t>
      </w:r>
      <w:r w:rsidRPr="00C82B48">
        <w:rPr>
          <w:b/>
          <w:color w:val="000000" w:themeColor="text1"/>
          <w:sz w:val="30"/>
        </w:rPr>
        <w:t xml:space="preserve">. </w:t>
      </w:r>
      <w:r>
        <w:rPr>
          <w:b/>
          <w:color w:val="000000" w:themeColor="text1"/>
          <w:sz w:val="30"/>
        </w:rPr>
        <w:t>Sabiedrības līdzdalības organizēšanas veidi</w:t>
      </w:r>
    </w:p>
    <w:p w14:paraId="773525D2" w14:textId="6DB89D8C" w:rsidR="00181317" w:rsidRPr="00181317" w:rsidRDefault="00181317" w:rsidP="002476D5">
      <w:pPr>
        <w:rPr>
          <w:i/>
          <w:color w:val="000000" w:themeColor="text1"/>
          <w:sz w:val="20"/>
        </w:rPr>
      </w:pPr>
      <w:r w:rsidRPr="00181317">
        <w:rPr>
          <w:i/>
          <w:color w:val="000000" w:themeColor="text1"/>
          <w:sz w:val="20"/>
        </w:rPr>
        <w:t>Aptauja</w:t>
      </w:r>
      <w:r w:rsidRPr="001F3F73">
        <w:rPr>
          <w:i/>
          <w:color w:val="000000" w:themeColor="text1"/>
          <w:sz w:val="20"/>
        </w:rPr>
        <w:t xml:space="preserve">, </w:t>
      </w:r>
      <w:r w:rsidR="001F3F73" w:rsidRPr="001F3F73">
        <w:rPr>
          <w:i/>
          <w:color w:val="000000" w:themeColor="text1"/>
          <w:sz w:val="20"/>
        </w:rPr>
        <w:t>darba</w:t>
      </w:r>
      <w:r w:rsidR="001F3F73" w:rsidRPr="00181317">
        <w:rPr>
          <w:i/>
          <w:color w:val="000000" w:themeColor="text1"/>
          <w:sz w:val="20"/>
        </w:rPr>
        <w:t xml:space="preserve"> </w:t>
      </w:r>
      <w:r w:rsidRPr="00181317">
        <w:rPr>
          <w:i/>
          <w:color w:val="000000" w:themeColor="text1"/>
          <w:sz w:val="20"/>
        </w:rPr>
        <w:t>grupa/</w:t>
      </w:r>
      <w:proofErr w:type="spellStart"/>
      <w:r w:rsidRPr="00181317">
        <w:rPr>
          <w:i/>
          <w:color w:val="000000" w:themeColor="text1"/>
          <w:sz w:val="20"/>
        </w:rPr>
        <w:t>domnīca</w:t>
      </w:r>
      <w:proofErr w:type="spellEnd"/>
      <w:r w:rsidRPr="00181317">
        <w:rPr>
          <w:i/>
          <w:color w:val="000000" w:themeColor="text1"/>
          <w:sz w:val="20"/>
        </w:rPr>
        <w:t xml:space="preserve">, </w:t>
      </w:r>
      <w:r w:rsidR="001F3F73" w:rsidRPr="00181317">
        <w:rPr>
          <w:i/>
          <w:color w:val="000000" w:themeColor="text1"/>
          <w:sz w:val="20"/>
        </w:rPr>
        <w:t>diskusija</w:t>
      </w:r>
      <w:r w:rsidRPr="00181317">
        <w:rPr>
          <w:i/>
          <w:color w:val="000000" w:themeColor="text1"/>
          <w:sz w:val="20"/>
        </w:rPr>
        <w:t xml:space="preserve">/apspriede, </w:t>
      </w:r>
      <w:r w:rsidR="001F3F73" w:rsidRPr="00181317">
        <w:rPr>
          <w:i/>
          <w:color w:val="000000" w:themeColor="text1"/>
          <w:sz w:val="20"/>
        </w:rPr>
        <w:t xml:space="preserve">konsultatīvā </w:t>
      </w:r>
      <w:r w:rsidRPr="00181317">
        <w:rPr>
          <w:i/>
          <w:color w:val="000000" w:themeColor="text1"/>
          <w:sz w:val="20"/>
        </w:rPr>
        <w:t>padome, publiskā apspriešana, cits</w:t>
      </w:r>
    </w:p>
    <w:tbl>
      <w:tblPr>
        <w:tblStyle w:val="TableGrid"/>
        <w:tblW w:w="0" w:type="auto"/>
        <w:tblLook w:val="04A0" w:firstRow="1" w:lastRow="0" w:firstColumn="1" w:lastColumn="0" w:noHBand="0" w:noVBand="1"/>
      </w:tblPr>
      <w:tblGrid>
        <w:gridCol w:w="9632"/>
      </w:tblGrid>
      <w:tr w:rsidR="00181317" w14:paraId="0136FA26" w14:textId="77777777" w:rsidTr="00181317">
        <w:tc>
          <w:tcPr>
            <w:tcW w:w="9632" w:type="dxa"/>
          </w:tcPr>
          <w:p w14:paraId="4CF8D602" w14:textId="5CA59AED" w:rsidR="00181317" w:rsidRDefault="00AB5ECC" w:rsidP="002476D5">
            <w:pPr>
              <w:rPr>
                <w:color w:val="000000" w:themeColor="text1"/>
              </w:rPr>
            </w:pPr>
            <w:r>
              <w:rPr>
                <w:color w:val="000000" w:themeColor="text1"/>
              </w:rPr>
              <w:t>Publiskā apspriešana</w:t>
            </w:r>
          </w:p>
        </w:tc>
      </w:tr>
    </w:tbl>
    <w:p w14:paraId="0AD85E95" w14:textId="77777777" w:rsidR="00181317" w:rsidRDefault="00181317" w:rsidP="002476D5">
      <w:pPr>
        <w:rPr>
          <w:color w:val="000000" w:themeColor="text1"/>
        </w:rPr>
      </w:pPr>
    </w:p>
    <w:p w14:paraId="29B13912" w14:textId="77777777" w:rsidR="00181317" w:rsidRDefault="00181317" w:rsidP="002476D5">
      <w:pPr>
        <w:rPr>
          <w:b/>
          <w:color w:val="000000" w:themeColor="text1"/>
          <w:sz w:val="30"/>
        </w:rPr>
      </w:pPr>
      <w:r w:rsidRPr="00C82B48">
        <w:rPr>
          <w:b/>
          <w:color w:val="000000" w:themeColor="text1"/>
          <w:sz w:val="30"/>
        </w:rPr>
        <w:t>6.</w:t>
      </w:r>
      <w:r>
        <w:rPr>
          <w:b/>
          <w:color w:val="000000" w:themeColor="text1"/>
          <w:sz w:val="30"/>
        </w:rPr>
        <w:t>3</w:t>
      </w:r>
      <w:r w:rsidRPr="00C82B48">
        <w:rPr>
          <w:b/>
          <w:color w:val="000000" w:themeColor="text1"/>
          <w:sz w:val="30"/>
        </w:rPr>
        <w:t>.</w:t>
      </w:r>
      <w:r w:rsidRPr="00181317">
        <w:rPr>
          <w:b/>
          <w:color w:val="000000" w:themeColor="text1"/>
          <w:sz w:val="30"/>
        </w:rPr>
        <w:t xml:space="preserve"> </w:t>
      </w:r>
      <w:r>
        <w:rPr>
          <w:b/>
          <w:color w:val="000000" w:themeColor="text1"/>
          <w:sz w:val="30"/>
        </w:rPr>
        <w:t>Sabiedrības līdzdalības rezultāti</w:t>
      </w:r>
    </w:p>
    <w:tbl>
      <w:tblPr>
        <w:tblStyle w:val="TableGrid"/>
        <w:tblW w:w="0" w:type="auto"/>
        <w:tblLook w:val="04A0" w:firstRow="1" w:lastRow="0" w:firstColumn="1" w:lastColumn="0" w:noHBand="0" w:noVBand="1"/>
      </w:tblPr>
      <w:tblGrid>
        <w:gridCol w:w="9632"/>
      </w:tblGrid>
      <w:tr w:rsidR="00181317" w14:paraId="565713D8" w14:textId="77777777" w:rsidTr="00181317">
        <w:tc>
          <w:tcPr>
            <w:tcW w:w="9632" w:type="dxa"/>
          </w:tcPr>
          <w:p w14:paraId="5835649E" w14:textId="77777777" w:rsidR="00AB5ECC" w:rsidRPr="00AB5ECC" w:rsidRDefault="00AB5ECC" w:rsidP="00AB5ECC">
            <w:pPr>
              <w:rPr>
                <w:bCs/>
                <w:iCs/>
                <w:color w:val="000000" w:themeColor="text1"/>
              </w:rPr>
            </w:pPr>
            <w:r w:rsidRPr="00AB5ECC">
              <w:rPr>
                <w:bCs/>
                <w:iCs/>
                <w:color w:val="000000" w:themeColor="text1"/>
              </w:rPr>
              <w:t xml:space="preserve">Likumprojekts publicēts Tieslietu ministrijas tīmekļvietnē 2021. gada 27. janvārī </w:t>
            </w:r>
            <w:hyperlink r:id="rId10" w:history="1">
              <w:r w:rsidRPr="00AB5ECC">
                <w:rPr>
                  <w:rStyle w:val="Hyperlink"/>
                  <w:bCs/>
                  <w:iCs/>
                </w:rPr>
                <w:t>https://www.tm.gov.lv/lv/pazinojums-par-lidzdalibas-iespejam-likumprojekta-grozijumi-civillikuma-izstrades-procesa-lidz-2021-gada-12-februarim</w:t>
              </w:r>
            </w:hyperlink>
            <w:r w:rsidRPr="00AB5ECC">
              <w:rPr>
                <w:bCs/>
                <w:iCs/>
                <w:color w:val="000000" w:themeColor="text1"/>
              </w:rPr>
              <w:t xml:space="preserve"> un sabiedrības pārstāvjiem atbilstoši Ministru kabineta 2009. gada 25. augusta noteikumu Nr. 970 "Sabiedrības līdzdalības kārtība attīstības plānošanas procesā" 7.4.</w:t>
            </w:r>
            <w:r w:rsidRPr="00AB5ECC">
              <w:rPr>
                <w:bCs/>
                <w:iCs/>
                <w:color w:val="000000" w:themeColor="text1"/>
                <w:vertAlign w:val="superscript"/>
              </w:rPr>
              <w:t>1</w:t>
            </w:r>
            <w:r w:rsidRPr="00AB5ECC">
              <w:rPr>
                <w:bCs/>
                <w:iCs/>
                <w:color w:val="000000" w:themeColor="text1"/>
              </w:rPr>
              <w:t> apakšpunktam bija iespēja sniegt rakstveida viedokli par Likumprojektu. Tāpat jānorāda, ka vienlaikus ar Likumprojekta publicēšanu Tieslietu ministrijas tīmekļvietnē, tika publicēta arī paskaidrojoša shēma, kurā iezīmētas izmaiņas mantošanas procesā, kas tiks ieviestas ar Likumprojektu.</w:t>
            </w:r>
          </w:p>
          <w:p w14:paraId="1361D82B" w14:textId="09CCF2C6" w:rsidR="00AB5ECC" w:rsidRDefault="00AB5ECC" w:rsidP="00AB5ECC">
            <w:pPr>
              <w:rPr>
                <w:bCs/>
                <w:iCs/>
                <w:color w:val="000000" w:themeColor="text1"/>
              </w:rPr>
            </w:pPr>
            <w:r w:rsidRPr="00AB5ECC">
              <w:rPr>
                <w:bCs/>
                <w:iCs/>
                <w:color w:val="000000" w:themeColor="text1"/>
              </w:rPr>
              <w:lastRenderedPageBreak/>
              <w:t>Likumprojekta apspriešanā piedalījās un savu viedokli rakst</w:t>
            </w:r>
            <w:r>
              <w:rPr>
                <w:bCs/>
                <w:iCs/>
                <w:color w:val="000000" w:themeColor="text1"/>
              </w:rPr>
              <w:t>iski</w:t>
            </w:r>
            <w:r w:rsidRPr="00AB5ECC">
              <w:rPr>
                <w:bCs/>
                <w:iCs/>
                <w:color w:val="000000" w:themeColor="text1"/>
              </w:rPr>
              <w:t xml:space="preserve"> pauda Rīgas domes Pašvaldības ieņēmumu pārvalde (turpmāk – Pārvalde) un Latvijas Finanšu nozares asociācija.</w:t>
            </w:r>
          </w:p>
          <w:p w14:paraId="0CD9E95D" w14:textId="77777777" w:rsidR="00AB5ECC" w:rsidRPr="00AB5ECC" w:rsidRDefault="00AB5ECC" w:rsidP="00AB5ECC">
            <w:pPr>
              <w:rPr>
                <w:bCs/>
                <w:iCs/>
                <w:color w:val="000000" w:themeColor="text1"/>
              </w:rPr>
            </w:pPr>
            <w:r w:rsidRPr="00AB5ECC">
              <w:rPr>
                <w:bCs/>
                <w:iCs/>
                <w:color w:val="000000" w:themeColor="text1"/>
              </w:rPr>
              <w:t>Sabiedrības līdzdalības dalībnieki kopumā atbalsta Likumprojekta virzību.</w:t>
            </w:r>
          </w:p>
          <w:p w14:paraId="1EDA4019" w14:textId="77777777" w:rsidR="00AB5ECC" w:rsidRPr="00AB5ECC" w:rsidRDefault="00AB5ECC" w:rsidP="00AB5ECC">
            <w:pPr>
              <w:rPr>
                <w:bCs/>
                <w:iCs/>
                <w:color w:val="000000" w:themeColor="text1"/>
              </w:rPr>
            </w:pPr>
            <w:r w:rsidRPr="00AB5ECC">
              <w:rPr>
                <w:bCs/>
                <w:iCs/>
                <w:color w:val="000000" w:themeColor="text1"/>
              </w:rPr>
              <w:t xml:space="preserve">Pārvaldes galvenie priekšlikumi skar mantojuma lietas vešanas procesa </w:t>
            </w:r>
            <w:proofErr w:type="spellStart"/>
            <w:r w:rsidRPr="00AB5ECC">
              <w:rPr>
                <w:bCs/>
                <w:iCs/>
                <w:color w:val="000000" w:themeColor="text1"/>
              </w:rPr>
              <w:t>digitalizāciju</w:t>
            </w:r>
            <w:proofErr w:type="spellEnd"/>
            <w:r w:rsidRPr="00AB5ECC">
              <w:rPr>
                <w:bCs/>
                <w:iCs/>
                <w:color w:val="000000" w:themeColor="text1"/>
              </w:rPr>
              <w:t xml:space="preserve">, kas Tieslietu ministrijas ieskatā, pēc Likumprojekta ieviešanas, varētu būt nākamais loģiskais solis, taču nav īstenojams vienlaikus ar mantojuma reformu. </w:t>
            </w:r>
          </w:p>
          <w:p w14:paraId="35D9B21C" w14:textId="77777777" w:rsidR="00AB5ECC" w:rsidRPr="00AB5ECC" w:rsidRDefault="00AB5ECC" w:rsidP="00AB5ECC">
            <w:pPr>
              <w:rPr>
                <w:bCs/>
                <w:iCs/>
                <w:color w:val="000000" w:themeColor="text1"/>
              </w:rPr>
            </w:pPr>
            <w:r w:rsidRPr="00AB5ECC">
              <w:rPr>
                <w:bCs/>
                <w:iCs/>
                <w:color w:val="000000" w:themeColor="text1"/>
              </w:rPr>
              <w:t>Atsevišķi Pārvaldes priekšlikumi ir ņemti vērā, piemēram: 1. precizēts Likumprojekta pants par kreditora tiesībām apstrīdēt mantinieku sastādītā mantojuma sarakstā norādītās mantas vērtību, norādot, ka kreditoram ir šādas tiesības, ja tas nepiekrīt mantinieka paša izdarītam mantojuma masā ietilpstošas mantas vērtējumam, kā arī Likumprojektā iekļauts, ka mantojuma saraksts, ko sastādījis zvērināts tiesu izpildītājs, ir uzskatāms par galveno mantojuma sarakstu; 2. precizētas Likumprojekta normas attiecībā uz brīdi, kad uzskatāms, ka ir izbeigusies mantojuma aizgādnība. Citi Pārvaldes priekšlikumi, kas Tieslietu ministrijas ieskatā nav ņemami vērā vai nav īstenojami kopā ar Likumprojektu, Pārvaldei skaidroti Tieslietu ministrijas atbildes vēstulē.</w:t>
            </w:r>
          </w:p>
          <w:p w14:paraId="7B92AA65" w14:textId="77777777" w:rsidR="00AB5ECC" w:rsidRPr="00AB5ECC" w:rsidRDefault="00AB5ECC" w:rsidP="00AB5ECC">
            <w:pPr>
              <w:rPr>
                <w:bCs/>
                <w:iCs/>
                <w:color w:val="000000" w:themeColor="text1"/>
              </w:rPr>
            </w:pPr>
            <w:r w:rsidRPr="00AB5ECC">
              <w:rPr>
                <w:bCs/>
                <w:iCs/>
                <w:color w:val="000000" w:themeColor="text1"/>
              </w:rPr>
              <w:t xml:space="preserve">Latvijas Finanšu nozares asociācijas izteiktie priekšlikumi daļēji skar mantojuma lietas vešanas </w:t>
            </w:r>
            <w:proofErr w:type="spellStart"/>
            <w:r w:rsidRPr="00AB5ECC">
              <w:rPr>
                <w:bCs/>
                <w:iCs/>
                <w:color w:val="000000" w:themeColor="text1"/>
              </w:rPr>
              <w:t>digitalizāciju</w:t>
            </w:r>
            <w:proofErr w:type="spellEnd"/>
            <w:r w:rsidRPr="00AB5ECC">
              <w:rPr>
                <w:bCs/>
                <w:iCs/>
                <w:color w:val="000000" w:themeColor="text1"/>
              </w:rPr>
              <w:t xml:space="preserve">, kas, kā jau minēts, varētu būt nākamais loģiskais solis pēc mantojuma reformas īstenošanas, tomēr nav īstenojami vienlaikus ar Likumprojekta virzīšanu. Ir ņemti vērā Latvijas Finanšu nozares asociācijas priekšlikumi attiecībā uz mantojuma dalīšanu, un Likumprojekts papildināts ar kārtību, kādā sadalāms atlikums, kas nedalās, piemēram, pēdējais cents kredītiestādē, kā arī precizēts Likumprojekta nosacījums par to, līdz kuram brīdim līdzmantinieki var vienoties par atvietojamu lietu dalīšanu. </w:t>
            </w:r>
          </w:p>
          <w:p w14:paraId="0EE73132" w14:textId="517DC7FE" w:rsidR="00181317" w:rsidRPr="00AB5ECC" w:rsidRDefault="00AB5ECC" w:rsidP="002476D5">
            <w:pPr>
              <w:rPr>
                <w:bCs/>
                <w:iCs/>
                <w:color w:val="000000" w:themeColor="text1"/>
              </w:rPr>
            </w:pPr>
            <w:r w:rsidRPr="00AB5ECC">
              <w:rPr>
                <w:bCs/>
                <w:iCs/>
                <w:color w:val="000000" w:themeColor="text1"/>
              </w:rPr>
              <w:t>Citi Latvijas Finanšu nozares asociācijas priekšlikumi, kas Tieslietu ministrijas ieskatā nav ņemami vērā vai nav īstenojami kopā ar Likumprojektu, Latvijas Finanšu nozares asociācijai skaidroti Tieslietu ministrijas atbildes vēstulē.</w:t>
            </w:r>
          </w:p>
        </w:tc>
      </w:tr>
    </w:tbl>
    <w:p w14:paraId="65A126A6" w14:textId="77777777" w:rsidR="00181317" w:rsidRPr="00C82B48" w:rsidRDefault="00181317" w:rsidP="002476D5">
      <w:pPr>
        <w:rPr>
          <w:color w:val="000000" w:themeColor="text1"/>
        </w:rPr>
      </w:pPr>
    </w:p>
    <w:p w14:paraId="72549EB2" w14:textId="77777777" w:rsidR="00181317" w:rsidRPr="00604B79" w:rsidRDefault="00EE4212" w:rsidP="002476D5">
      <w:pPr>
        <w:rPr>
          <w:i/>
          <w:color w:val="000000" w:themeColor="text1"/>
          <w:sz w:val="20"/>
        </w:rPr>
      </w:pPr>
      <w:r w:rsidRPr="00C82B48">
        <w:rPr>
          <w:b/>
          <w:color w:val="000000" w:themeColor="text1"/>
          <w:sz w:val="30"/>
        </w:rPr>
        <w:t>6.4. Cita informācija</w:t>
      </w:r>
      <w:r w:rsidR="00181317">
        <w:rPr>
          <w:b/>
          <w:color w:val="000000" w:themeColor="text1"/>
          <w:sz w:val="30"/>
        </w:rPr>
        <w:t xml:space="preserve"> </w:t>
      </w:r>
      <w:r w:rsidR="00181317" w:rsidRPr="00604B79">
        <w:rPr>
          <w:i/>
          <w:color w:val="000000" w:themeColor="text1"/>
          <w:sz w:val="20"/>
        </w:rPr>
        <w:t>(aizpilda nepieciešamības gadījumā)</w:t>
      </w:r>
    </w:p>
    <w:p w14:paraId="5BC64C41" w14:textId="732B245A" w:rsidR="00FC407F" w:rsidRPr="00F46BF3" w:rsidRDefault="00FC407F" w:rsidP="002476D5">
      <w:pPr>
        <w:rPr>
          <w:bCs/>
          <w:color w:val="000000" w:themeColor="text1"/>
          <w:sz w:val="30"/>
        </w:rPr>
      </w:pPr>
      <w:r w:rsidRPr="00FC407F">
        <w:rPr>
          <w:bCs/>
          <w:color w:val="000000" w:themeColor="text1"/>
          <w:sz w:val="30"/>
        </w:rPr>
        <w:t>Nē</w:t>
      </w:r>
    </w:p>
    <w:p w14:paraId="42A1FC03" w14:textId="77777777" w:rsidR="00E73FC1" w:rsidRPr="00C82B48" w:rsidRDefault="00EE4212" w:rsidP="002476D5">
      <w:pPr>
        <w:rPr>
          <w:color w:val="000000" w:themeColor="text1"/>
        </w:rPr>
      </w:pPr>
      <w:r w:rsidRPr="00C82B48">
        <w:rPr>
          <w:b/>
          <w:color w:val="000000" w:themeColor="text1"/>
          <w:sz w:val="32"/>
        </w:rPr>
        <w:t>7. Tiesību akta projekta izpildes nodrošināšana un tās ietekme uz institūcijām</w:t>
      </w:r>
    </w:p>
    <w:p w14:paraId="5B4DE61D" w14:textId="77777777" w:rsidR="00843F76" w:rsidRDefault="00EE4212" w:rsidP="002476D5">
      <w:pPr>
        <w:rPr>
          <w:i/>
          <w:color w:val="000000" w:themeColor="text1"/>
          <w:sz w:val="20"/>
        </w:rPr>
      </w:pPr>
      <w:r w:rsidRPr="00C82B48">
        <w:rPr>
          <w:b/>
          <w:color w:val="000000" w:themeColor="text1"/>
        </w:rPr>
        <w:t>Vai projekts skar šo jomu?</w:t>
      </w:r>
      <w:r w:rsidR="00843F76" w:rsidRPr="00843F76">
        <w:rPr>
          <w:color w:val="000000" w:themeColor="text1"/>
        </w:rPr>
        <w:t xml:space="preserve"> </w:t>
      </w:r>
      <w:r w:rsidR="00843F76" w:rsidRPr="009B2DEE">
        <w:rPr>
          <w:i/>
          <w:color w:val="000000" w:themeColor="text1"/>
          <w:sz w:val="20"/>
        </w:rPr>
        <w:t>(Jā/Nē)</w:t>
      </w:r>
    </w:p>
    <w:tbl>
      <w:tblPr>
        <w:tblStyle w:val="TableGrid"/>
        <w:tblW w:w="0" w:type="auto"/>
        <w:tblLook w:val="04A0" w:firstRow="1" w:lastRow="0" w:firstColumn="1" w:lastColumn="0" w:noHBand="0" w:noVBand="1"/>
      </w:tblPr>
      <w:tblGrid>
        <w:gridCol w:w="9632"/>
      </w:tblGrid>
      <w:tr w:rsidR="00B65E05" w14:paraId="5DD8D43E" w14:textId="77777777" w:rsidTr="00B65E05">
        <w:tc>
          <w:tcPr>
            <w:tcW w:w="9632" w:type="dxa"/>
          </w:tcPr>
          <w:p w14:paraId="207095F1" w14:textId="77777777" w:rsidR="00AB5ECC" w:rsidRPr="00AB5ECC" w:rsidRDefault="00AB5ECC" w:rsidP="00AB5ECC">
            <w:pPr>
              <w:rPr>
                <w:iCs/>
                <w:szCs w:val="28"/>
              </w:rPr>
            </w:pPr>
            <w:r w:rsidRPr="00AB5ECC">
              <w:rPr>
                <w:iCs/>
                <w:szCs w:val="28"/>
              </w:rPr>
              <w:t>Likumprojekta izpilde tieši neattiecas uz pārvaldes funkcijām un institucionālo struktūru, kā arī jaunu institūciju izveidi, esošu institūciju likvidāciju vai reorganizāciju, to ietekmi uz institūcijas cilvēkresursiem.</w:t>
            </w:r>
          </w:p>
          <w:p w14:paraId="5D2E8CB5" w14:textId="1A350283" w:rsidR="00B65E05" w:rsidRDefault="00AB5ECC" w:rsidP="00AB5ECC">
            <w:pPr>
              <w:rPr>
                <w:i/>
                <w:color w:val="000000" w:themeColor="text1"/>
              </w:rPr>
            </w:pPr>
            <w:r w:rsidRPr="00AB5ECC">
              <w:rPr>
                <w:iCs/>
                <w:szCs w:val="28"/>
              </w:rPr>
              <w:t>Jānorāda, ka ar Likumprojektu netiek mainīts tas, ka zvērināti notāri turpinās vest mantojuma lietas un veikt ar mantojuma lietas vešanu saistītas darbības. Vienlaikus ar Likumprojektu tiks atslogotas bāriņtiesas, kam nebūs jātērē resursi uzraugot mantojuma aizgādņus (kas šobrīd praksē lielā daļā tāpat ir formāls process).</w:t>
            </w:r>
          </w:p>
        </w:tc>
      </w:tr>
    </w:tbl>
    <w:p w14:paraId="7789DACB" w14:textId="77777777" w:rsidR="00B65E05" w:rsidRPr="00843F76" w:rsidRDefault="00B65E05" w:rsidP="002476D5">
      <w:pPr>
        <w:rPr>
          <w:i/>
          <w:color w:val="000000" w:themeColor="text1"/>
        </w:rPr>
      </w:pPr>
    </w:p>
    <w:p w14:paraId="5681DD5F" w14:textId="77777777" w:rsidR="00E73FC1" w:rsidRPr="00843F76" w:rsidRDefault="00843F76" w:rsidP="002476D5">
      <w:pPr>
        <w:rPr>
          <w:b/>
          <w:color w:val="000000" w:themeColor="text1"/>
        </w:rPr>
      </w:pPr>
      <w:r w:rsidRPr="00843F76">
        <w:rPr>
          <w:b/>
          <w:color w:val="000000" w:themeColor="text1"/>
        </w:rPr>
        <w:t>7.1. Projekta izpildē iesaistītās institūcijas</w:t>
      </w:r>
    </w:p>
    <w:tbl>
      <w:tblPr>
        <w:tblStyle w:val="TableGrid"/>
        <w:tblW w:w="0" w:type="auto"/>
        <w:tblLook w:val="04A0" w:firstRow="1" w:lastRow="0" w:firstColumn="1" w:lastColumn="0" w:noHBand="0" w:noVBand="1"/>
      </w:tblPr>
      <w:tblGrid>
        <w:gridCol w:w="9632"/>
      </w:tblGrid>
      <w:tr w:rsidR="00843F76" w14:paraId="28CD8BF0" w14:textId="77777777" w:rsidTr="00843F76">
        <w:tc>
          <w:tcPr>
            <w:tcW w:w="9632" w:type="dxa"/>
          </w:tcPr>
          <w:p w14:paraId="4F16627F" w14:textId="78C963F1" w:rsidR="00843F76" w:rsidRPr="00AB5ECC" w:rsidRDefault="00AB5ECC" w:rsidP="002476D5">
            <w:pPr>
              <w:rPr>
                <w:color w:val="000000" w:themeColor="text1"/>
                <w:szCs w:val="28"/>
              </w:rPr>
            </w:pPr>
            <w:r w:rsidRPr="00AB5ECC">
              <w:rPr>
                <w:iCs/>
                <w:szCs w:val="28"/>
              </w:rPr>
              <w:lastRenderedPageBreak/>
              <w:t>Mantojuma lietas Latvijā ved zvērināti notāri, mantojuma sarakstus var sastādīt zvērināti tiesu izpildītāji un mantojuma aizgādnībā mantojuma aizgādņus ieceļ un atceļ bāriņtiesas. Ar Likumprojektu tas netiek mainīts.</w:t>
            </w:r>
          </w:p>
        </w:tc>
      </w:tr>
    </w:tbl>
    <w:p w14:paraId="707E3BF1" w14:textId="77777777" w:rsidR="00843F76" w:rsidRDefault="00843F76" w:rsidP="002476D5">
      <w:pPr>
        <w:rPr>
          <w:b/>
          <w:color w:val="000000" w:themeColor="text1"/>
          <w:sz w:val="30"/>
        </w:rPr>
      </w:pPr>
    </w:p>
    <w:p w14:paraId="35CE90E0" w14:textId="77777777" w:rsidR="00843F76" w:rsidRPr="00C82B48" w:rsidRDefault="00843F76" w:rsidP="002476D5">
      <w:pPr>
        <w:rPr>
          <w:color w:val="000000" w:themeColor="text1"/>
        </w:rPr>
      </w:pPr>
      <w:r>
        <w:rPr>
          <w:b/>
          <w:color w:val="000000" w:themeColor="text1"/>
          <w:sz w:val="30"/>
        </w:rPr>
        <w:t>7.2.</w:t>
      </w:r>
      <w:r w:rsidRPr="00C82B48">
        <w:rPr>
          <w:b/>
          <w:color w:val="000000" w:themeColor="text1"/>
          <w:sz w:val="30"/>
        </w:rPr>
        <w:t xml:space="preserve"> Administratīvo izmaksu monetārs novērtējums</w:t>
      </w:r>
    </w:p>
    <w:p w14:paraId="5098B2D2" w14:textId="5B5DBD46" w:rsidR="00843F76" w:rsidRPr="00C82B48" w:rsidRDefault="00843F76" w:rsidP="002476D5">
      <w:pPr>
        <w:rPr>
          <w:color w:val="000000" w:themeColor="text1"/>
        </w:rPr>
      </w:pPr>
      <w:r w:rsidRPr="00C82B48">
        <w:rPr>
          <w:b/>
          <w:color w:val="000000" w:themeColor="text1"/>
        </w:rPr>
        <w:t>Vai projekts</w:t>
      </w:r>
      <w:r>
        <w:rPr>
          <w:b/>
          <w:color w:val="000000" w:themeColor="text1"/>
        </w:rPr>
        <w:t xml:space="preserve"> </w:t>
      </w:r>
      <w:r w:rsidRPr="00C82B48">
        <w:rPr>
          <w:b/>
          <w:color w:val="000000" w:themeColor="text1"/>
        </w:rPr>
        <w:t>skar šo jomu?</w:t>
      </w:r>
      <w:r w:rsidRPr="00C82B48">
        <w:rPr>
          <w:i/>
          <w:color w:val="000000" w:themeColor="text1"/>
          <w:sz w:val="20"/>
        </w:rPr>
        <w:t xml:space="preserve"> (Jā/Nē)</w:t>
      </w:r>
    </w:p>
    <w:p w14:paraId="247CEAF4" w14:textId="6C5BA372" w:rsidR="00F95F1D" w:rsidRPr="001E5468" w:rsidRDefault="00AB5ECC" w:rsidP="00AB5ECC">
      <w:pPr>
        <w:shd w:val="clear" w:color="auto" w:fill="FFFFFF"/>
        <w:rPr>
          <w:i/>
          <w:color w:val="000000" w:themeColor="text1"/>
          <w:sz w:val="20"/>
          <w:lang w:eastAsia="en-US"/>
        </w:rPr>
      </w:pPr>
      <w:r>
        <w:rPr>
          <w:color w:val="000000" w:themeColor="text1"/>
        </w:rPr>
        <w:t>Nē</w:t>
      </w:r>
    </w:p>
    <w:p w14:paraId="634D8223" w14:textId="77777777" w:rsidR="00843F76" w:rsidRPr="00C82B48" w:rsidRDefault="00843F76" w:rsidP="002476D5">
      <w:pPr>
        <w:rPr>
          <w:color w:val="000000" w:themeColor="text1"/>
        </w:rPr>
      </w:pPr>
      <w:r>
        <w:rPr>
          <w:b/>
          <w:color w:val="000000" w:themeColor="text1"/>
          <w:sz w:val="30"/>
        </w:rPr>
        <w:t>7.3.</w:t>
      </w:r>
      <w:r w:rsidRPr="00C82B48">
        <w:rPr>
          <w:b/>
          <w:color w:val="000000" w:themeColor="text1"/>
          <w:sz w:val="30"/>
        </w:rPr>
        <w:t xml:space="preserve"> Atbilstības izmaksu monetārs novērtējums</w:t>
      </w:r>
    </w:p>
    <w:p w14:paraId="2F86740C" w14:textId="77777777" w:rsidR="00843F76" w:rsidRDefault="00843F76" w:rsidP="002476D5">
      <w:pPr>
        <w:rPr>
          <w:i/>
          <w:color w:val="000000" w:themeColor="text1"/>
          <w:sz w:val="20"/>
        </w:rPr>
      </w:pPr>
      <w:r w:rsidRPr="00C82B48">
        <w:rPr>
          <w:b/>
          <w:color w:val="000000" w:themeColor="text1"/>
        </w:rPr>
        <w:t>Vai projekts skar šo jomu?</w:t>
      </w:r>
      <w:r w:rsidRPr="00C82B48">
        <w:rPr>
          <w:i/>
          <w:color w:val="000000" w:themeColor="text1"/>
          <w:sz w:val="20"/>
        </w:rPr>
        <w:t xml:space="preserve"> (Jā/Nē)</w:t>
      </w:r>
    </w:p>
    <w:p w14:paraId="16697DA6" w14:textId="63D35BBC" w:rsidR="00843F76" w:rsidRPr="00DE5E14" w:rsidRDefault="00AB5ECC" w:rsidP="002476D5">
      <w:pPr>
        <w:rPr>
          <w:i/>
          <w:color w:val="auto"/>
        </w:rPr>
      </w:pPr>
      <w:r>
        <w:rPr>
          <w:color w:val="000000" w:themeColor="text1"/>
        </w:rPr>
        <w:t>Nē</w:t>
      </w:r>
    </w:p>
    <w:p w14:paraId="05062941" w14:textId="77777777" w:rsidR="00843F76" w:rsidRDefault="00843F76" w:rsidP="002476D5">
      <w:pPr>
        <w:rPr>
          <w:b/>
          <w:bCs/>
          <w:color w:val="000000" w:themeColor="text1"/>
          <w:szCs w:val="28"/>
        </w:rPr>
      </w:pPr>
      <w:r>
        <w:rPr>
          <w:b/>
          <w:color w:val="000000" w:themeColor="text1"/>
          <w:sz w:val="30"/>
        </w:rPr>
        <w:t>7.4</w:t>
      </w:r>
      <w:r w:rsidRPr="00C82B48">
        <w:rPr>
          <w:b/>
          <w:color w:val="000000" w:themeColor="text1"/>
          <w:sz w:val="30"/>
        </w:rPr>
        <w:t xml:space="preserve">. </w:t>
      </w:r>
      <w:r w:rsidRPr="00843F76">
        <w:rPr>
          <w:b/>
          <w:bCs/>
          <w:color w:val="000000" w:themeColor="text1"/>
          <w:szCs w:val="28"/>
        </w:rPr>
        <w:t>Projekta izpildes ietekme uz pārvaldes funkcijām un institucionālo struktūru</w:t>
      </w:r>
    </w:p>
    <w:p w14:paraId="360CC19F" w14:textId="2F0164F9" w:rsidR="00E73FC1" w:rsidRDefault="00AB5ECC" w:rsidP="002476D5">
      <w:pPr>
        <w:rPr>
          <w:color w:val="000000" w:themeColor="text1"/>
        </w:rPr>
      </w:pPr>
      <w:r>
        <w:rPr>
          <w:color w:val="000000" w:themeColor="text1"/>
        </w:rPr>
        <w:t>Nē</w:t>
      </w:r>
    </w:p>
    <w:p w14:paraId="226CC4C2" w14:textId="148D66D2" w:rsidR="00843F76" w:rsidRPr="00604B79" w:rsidRDefault="00EE4212" w:rsidP="002476D5">
      <w:pPr>
        <w:rPr>
          <w:i/>
          <w:color w:val="000000" w:themeColor="text1"/>
          <w:sz w:val="20"/>
        </w:rPr>
      </w:pPr>
      <w:r w:rsidRPr="00C82B48">
        <w:rPr>
          <w:b/>
          <w:color w:val="000000" w:themeColor="text1"/>
          <w:sz w:val="30"/>
        </w:rPr>
        <w:t>7.5. Cita informācija</w:t>
      </w:r>
      <w:r w:rsidR="009D45A2">
        <w:rPr>
          <w:b/>
          <w:color w:val="000000" w:themeColor="text1"/>
          <w:sz w:val="30"/>
        </w:rPr>
        <w:t xml:space="preserve"> </w:t>
      </w:r>
      <w:r w:rsidR="00843F76" w:rsidRPr="00604B79">
        <w:rPr>
          <w:i/>
          <w:color w:val="000000" w:themeColor="text1"/>
          <w:sz w:val="20"/>
        </w:rPr>
        <w:t>(aizpilda nepieciešamības gadījumā)</w:t>
      </w:r>
    </w:p>
    <w:p w14:paraId="115ACF67" w14:textId="657C5225" w:rsidR="00DE5E14" w:rsidRDefault="00DE5E14" w:rsidP="002476D5">
      <w:pPr>
        <w:rPr>
          <w:color w:val="000000" w:themeColor="text1"/>
        </w:rPr>
      </w:pPr>
      <w:r>
        <w:rPr>
          <w:color w:val="000000" w:themeColor="text1"/>
        </w:rPr>
        <w:t>Nē</w:t>
      </w:r>
    </w:p>
    <w:p w14:paraId="6D6840E3" w14:textId="77777777" w:rsidR="00DE5E14" w:rsidRPr="00C82B48" w:rsidRDefault="00DE5E14" w:rsidP="002476D5">
      <w:pPr>
        <w:rPr>
          <w:color w:val="000000" w:themeColor="text1"/>
        </w:rPr>
      </w:pPr>
    </w:p>
    <w:p w14:paraId="6DBB62E1" w14:textId="77777777" w:rsidR="008267AB" w:rsidRPr="00C82B48" w:rsidRDefault="008267AB" w:rsidP="008267AB">
      <w:pPr>
        <w:rPr>
          <w:color w:val="000000" w:themeColor="text1"/>
        </w:rPr>
      </w:pPr>
      <w:r w:rsidRPr="00C82B48">
        <w:rPr>
          <w:b/>
          <w:color w:val="000000" w:themeColor="text1"/>
          <w:sz w:val="32"/>
        </w:rPr>
        <w:t>8. Horizontālā ietekme</w:t>
      </w:r>
    </w:p>
    <w:p w14:paraId="48CD4248" w14:textId="77777777" w:rsidR="008267AB" w:rsidRPr="00C82B48" w:rsidRDefault="008267AB" w:rsidP="008267AB">
      <w:pPr>
        <w:rPr>
          <w:color w:val="000000" w:themeColor="text1"/>
        </w:rPr>
      </w:pPr>
      <w:r w:rsidRPr="00C82B48">
        <w:rPr>
          <w:b/>
          <w:color w:val="000000" w:themeColor="text1"/>
          <w:sz w:val="30"/>
        </w:rPr>
        <w:t>8.1. Projekta tiesiskā regulējuma ietekme</w:t>
      </w:r>
    </w:p>
    <w:tbl>
      <w:tblPr>
        <w:tblStyle w:val="TableGrid"/>
        <w:tblW w:w="0" w:type="auto"/>
        <w:tblLook w:val="04A0" w:firstRow="1" w:lastRow="0" w:firstColumn="1" w:lastColumn="0" w:noHBand="0" w:noVBand="1"/>
      </w:tblPr>
      <w:tblGrid>
        <w:gridCol w:w="986"/>
        <w:gridCol w:w="3903"/>
        <w:gridCol w:w="1769"/>
        <w:gridCol w:w="2974"/>
      </w:tblGrid>
      <w:tr w:rsidR="008267AB" w:rsidRPr="00B10B66" w14:paraId="6030DC68" w14:textId="77777777" w:rsidTr="00C06B1D">
        <w:tc>
          <w:tcPr>
            <w:tcW w:w="986" w:type="dxa"/>
          </w:tcPr>
          <w:p w14:paraId="05749768" w14:textId="77777777" w:rsidR="008267AB" w:rsidRPr="002476D5" w:rsidRDefault="008267AB" w:rsidP="00C06B1D">
            <w:pPr>
              <w:rPr>
                <w:b/>
                <w:color w:val="000000" w:themeColor="text1"/>
                <w:sz w:val="24"/>
                <w:szCs w:val="24"/>
              </w:rPr>
            </w:pPr>
          </w:p>
        </w:tc>
        <w:tc>
          <w:tcPr>
            <w:tcW w:w="3903" w:type="dxa"/>
          </w:tcPr>
          <w:p w14:paraId="64E11CB0" w14:textId="77777777" w:rsidR="008267AB" w:rsidRPr="002476D5" w:rsidRDefault="008267AB" w:rsidP="00C06B1D">
            <w:pPr>
              <w:rPr>
                <w:b/>
                <w:color w:val="000000" w:themeColor="text1"/>
                <w:sz w:val="24"/>
                <w:szCs w:val="24"/>
              </w:rPr>
            </w:pPr>
            <w:r w:rsidRPr="00D00AA9">
              <w:rPr>
                <w:b/>
                <w:color w:val="000000" w:themeColor="text1"/>
                <w:sz w:val="24"/>
                <w:szCs w:val="24"/>
              </w:rPr>
              <w:t>Ietekme</w:t>
            </w:r>
          </w:p>
        </w:tc>
        <w:tc>
          <w:tcPr>
            <w:tcW w:w="1769" w:type="dxa"/>
          </w:tcPr>
          <w:p w14:paraId="2B1676B6" w14:textId="77777777" w:rsidR="008267AB" w:rsidRPr="002476D5" w:rsidRDefault="008267AB" w:rsidP="00C06B1D">
            <w:pPr>
              <w:rPr>
                <w:b/>
                <w:color w:val="000000" w:themeColor="text1"/>
                <w:sz w:val="24"/>
                <w:szCs w:val="24"/>
              </w:rPr>
            </w:pPr>
            <w:r w:rsidRPr="002476D5">
              <w:rPr>
                <w:b/>
                <w:color w:val="000000" w:themeColor="text1"/>
                <w:sz w:val="24"/>
                <w:szCs w:val="24"/>
              </w:rPr>
              <w:t xml:space="preserve">Vai projekts skar šo jomu? </w:t>
            </w:r>
          </w:p>
        </w:tc>
        <w:tc>
          <w:tcPr>
            <w:tcW w:w="2974" w:type="dxa"/>
          </w:tcPr>
          <w:p w14:paraId="17D4F7BD" w14:textId="77777777" w:rsidR="008267AB" w:rsidRPr="002476D5" w:rsidRDefault="008267AB" w:rsidP="00C06B1D">
            <w:pPr>
              <w:rPr>
                <w:b/>
                <w:color w:val="000000" w:themeColor="text1"/>
                <w:sz w:val="24"/>
                <w:szCs w:val="24"/>
              </w:rPr>
            </w:pPr>
            <w:r w:rsidRPr="002476D5">
              <w:rPr>
                <w:b/>
                <w:color w:val="000000" w:themeColor="text1"/>
                <w:sz w:val="24"/>
                <w:szCs w:val="24"/>
              </w:rPr>
              <w:t xml:space="preserve">Ja skar, </w:t>
            </w:r>
            <w:r w:rsidRPr="00B13FB9">
              <w:rPr>
                <w:b/>
                <w:color w:val="000000" w:themeColor="text1"/>
                <w:sz w:val="24"/>
                <w:szCs w:val="24"/>
              </w:rPr>
              <w:t>tad jāsniedz apraksts</w:t>
            </w:r>
          </w:p>
        </w:tc>
      </w:tr>
      <w:tr w:rsidR="008267AB" w:rsidRPr="00B10B66" w14:paraId="5285985A" w14:textId="77777777" w:rsidTr="00C06B1D">
        <w:tc>
          <w:tcPr>
            <w:tcW w:w="986" w:type="dxa"/>
          </w:tcPr>
          <w:p w14:paraId="4D847E50" w14:textId="77777777" w:rsidR="008267AB" w:rsidRPr="002476D5" w:rsidRDefault="008267AB" w:rsidP="00C06B1D">
            <w:pPr>
              <w:rPr>
                <w:color w:val="000000" w:themeColor="text1"/>
                <w:sz w:val="24"/>
                <w:szCs w:val="24"/>
              </w:rPr>
            </w:pPr>
            <w:r w:rsidRPr="002476D5">
              <w:rPr>
                <w:color w:val="000000" w:themeColor="text1"/>
                <w:sz w:val="24"/>
                <w:szCs w:val="24"/>
              </w:rPr>
              <w:t>8.1.1.</w:t>
            </w:r>
          </w:p>
        </w:tc>
        <w:tc>
          <w:tcPr>
            <w:tcW w:w="3903" w:type="dxa"/>
          </w:tcPr>
          <w:p w14:paraId="6EEE988E" w14:textId="77777777" w:rsidR="008267AB" w:rsidRPr="002476D5" w:rsidRDefault="008267AB" w:rsidP="00C06B1D">
            <w:pPr>
              <w:rPr>
                <w:color w:val="000000" w:themeColor="text1"/>
                <w:sz w:val="24"/>
                <w:szCs w:val="24"/>
              </w:rPr>
            </w:pPr>
            <w:r w:rsidRPr="002476D5">
              <w:rPr>
                <w:color w:val="000000" w:themeColor="text1"/>
                <w:sz w:val="24"/>
                <w:szCs w:val="24"/>
              </w:rPr>
              <w:t>uz publisk</w:t>
            </w:r>
            <w:r>
              <w:rPr>
                <w:color w:val="000000" w:themeColor="text1"/>
                <w:sz w:val="24"/>
                <w:szCs w:val="24"/>
              </w:rPr>
              <w:t>o</w:t>
            </w:r>
            <w:r w:rsidRPr="002476D5">
              <w:rPr>
                <w:color w:val="000000" w:themeColor="text1"/>
                <w:sz w:val="24"/>
                <w:szCs w:val="24"/>
              </w:rPr>
              <w:t xml:space="preserve"> pakalpojumu attīstību</w:t>
            </w:r>
          </w:p>
        </w:tc>
        <w:tc>
          <w:tcPr>
            <w:tcW w:w="1769" w:type="dxa"/>
          </w:tcPr>
          <w:p w14:paraId="525F6317" w14:textId="787ACB78" w:rsidR="008267AB" w:rsidRPr="002476D5" w:rsidRDefault="008267AB" w:rsidP="00C06B1D">
            <w:pPr>
              <w:rPr>
                <w:color w:val="000000" w:themeColor="text1"/>
                <w:sz w:val="24"/>
                <w:szCs w:val="24"/>
              </w:rPr>
            </w:pPr>
            <w:r w:rsidRPr="002476D5">
              <w:rPr>
                <w:color w:val="000000" w:themeColor="text1"/>
                <w:sz w:val="24"/>
                <w:szCs w:val="24"/>
              </w:rPr>
              <w:t>Jā</w:t>
            </w:r>
          </w:p>
        </w:tc>
        <w:tc>
          <w:tcPr>
            <w:tcW w:w="2974" w:type="dxa"/>
          </w:tcPr>
          <w:p w14:paraId="30694B96" w14:textId="5AE9D817" w:rsidR="008267AB" w:rsidRPr="008267AB" w:rsidRDefault="008267AB" w:rsidP="00C06B1D">
            <w:pPr>
              <w:rPr>
                <w:bCs/>
                <w:color w:val="000000" w:themeColor="text1"/>
                <w:sz w:val="24"/>
                <w:szCs w:val="24"/>
              </w:rPr>
            </w:pPr>
            <w:r w:rsidRPr="008267AB">
              <w:rPr>
                <w:bCs/>
                <w:color w:val="000000" w:themeColor="text1"/>
                <w:sz w:val="24"/>
                <w:szCs w:val="24"/>
              </w:rPr>
              <w:t>Veicina mantojumu lietu vešanas procesu</w:t>
            </w:r>
          </w:p>
        </w:tc>
      </w:tr>
      <w:tr w:rsidR="008267AB" w:rsidRPr="00B10B66" w14:paraId="06C1496E" w14:textId="77777777" w:rsidTr="00C06B1D">
        <w:tc>
          <w:tcPr>
            <w:tcW w:w="986" w:type="dxa"/>
          </w:tcPr>
          <w:p w14:paraId="6A328CE2" w14:textId="77777777" w:rsidR="008267AB" w:rsidRPr="002476D5" w:rsidRDefault="008267AB" w:rsidP="00C06B1D">
            <w:pPr>
              <w:rPr>
                <w:color w:val="000000" w:themeColor="text1"/>
                <w:sz w:val="24"/>
                <w:szCs w:val="24"/>
              </w:rPr>
            </w:pPr>
            <w:r w:rsidRPr="002476D5">
              <w:rPr>
                <w:color w:val="000000" w:themeColor="text1"/>
                <w:sz w:val="24"/>
                <w:szCs w:val="24"/>
              </w:rPr>
              <w:t>8.1.2.</w:t>
            </w:r>
          </w:p>
        </w:tc>
        <w:tc>
          <w:tcPr>
            <w:tcW w:w="3903" w:type="dxa"/>
          </w:tcPr>
          <w:p w14:paraId="3053B24A" w14:textId="77777777" w:rsidR="008267AB" w:rsidRPr="002476D5" w:rsidRDefault="008267AB" w:rsidP="00C06B1D">
            <w:pPr>
              <w:rPr>
                <w:color w:val="000000" w:themeColor="text1"/>
                <w:sz w:val="24"/>
                <w:szCs w:val="24"/>
              </w:rPr>
            </w:pPr>
            <w:r w:rsidRPr="002476D5">
              <w:rPr>
                <w:color w:val="000000" w:themeColor="text1"/>
                <w:sz w:val="24"/>
                <w:szCs w:val="24"/>
              </w:rPr>
              <w:t>uz valsts un pašvaldību informācijas un komunikācijas tehnoloģiju attīstību</w:t>
            </w:r>
          </w:p>
        </w:tc>
        <w:tc>
          <w:tcPr>
            <w:tcW w:w="1769" w:type="dxa"/>
          </w:tcPr>
          <w:p w14:paraId="15EB81D9" w14:textId="283D1120" w:rsidR="008267AB" w:rsidRPr="002476D5" w:rsidRDefault="008267AB" w:rsidP="00C06B1D">
            <w:pPr>
              <w:rPr>
                <w:b/>
                <w:color w:val="000000" w:themeColor="text1"/>
                <w:sz w:val="24"/>
                <w:szCs w:val="24"/>
              </w:rPr>
            </w:pPr>
            <w:r w:rsidRPr="002476D5">
              <w:rPr>
                <w:color w:val="000000" w:themeColor="text1"/>
                <w:sz w:val="24"/>
                <w:szCs w:val="24"/>
              </w:rPr>
              <w:t>Jā</w:t>
            </w:r>
          </w:p>
        </w:tc>
        <w:tc>
          <w:tcPr>
            <w:tcW w:w="2974" w:type="dxa"/>
          </w:tcPr>
          <w:p w14:paraId="06E127D2" w14:textId="656A19D3" w:rsidR="008267AB" w:rsidRPr="008267AB" w:rsidRDefault="008267AB" w:rsidP="00C06B1D">
            <w:pPr>
              <w:rPr>
                <w:bCs/>
                <w:color w:val="000000" w:themeColor="text1"/>
                <w:sz w:val="24"/>
                <w:szCs w:val="24"/>
              </w:rPr>
            </w:pPr>
            <w:r w:rsidRPr="008267AB">
              <w:rPr>
                <w:bCs/>
                <w:color w:val="000000" w:themeColor="text1"/>
                <w:sz w:val="24"/>
                <w:szCs w:val="24"/>
              </w:rPr>
              <w:t>Ar saistītajiem grozījumiem Kredītu reģistra likumā notāriem tiek nodrošināta elektroniska pieeja minētajam reģistram, kas atvieglos mantojuma atstājēja kreditoru noskaidrošanas procesu</w:t>
            </w:r>
          </w:p>
        </w:tc>
      </w:tr>
      <w:tr w:rsidR="008267AB" w:rsidRPr="00B10B66" w14:paraId="002EB331" w14:textId="77777777" w:rsidTr="00C06B1D">
        <w:tc>
          <w:tcPr>
            <w:tcW w:w="986" w:type="dxa"/>
          </w:tcPr>
          <w:p w14:paraId="402AC5E5" w14:textId="77777777" w:rsidR="008267AB" w:rsidRPr="002476D5" w:rsidRDefault="008267AB" w:rsidP="00C06B1D">
            <w:pPr>
              <w:rPr>
                <w:color w:val="000000" w:themeColor="text1"/>
                <w:sz w:val="24"/>
                <w:szCs w:val="24"/>
              </w:rPr>
            </w:pPr>
            <w:r w:rsidRPr="002476D5">
              <w:rPr>
                <w:color w:val="000000" w:themeColor="text1"/>
                <w:sz w:val="24"/>
                <w:szCs w:val="24"/>
              </w:rPr>
              <w:t>8.1.3.</w:t>
            </w:r>
          </w:p>
        </w:tc>
        <w:tc>
          <w:tcPr>
            <w:tcW w:w="3903" w:type="dxa"/>
          </w:tcPr>
          <w:p w14:paraId="43F6C03A" w14:textId="77777777" w:rsidR="008267AB" w:rsidRPr="002476D5" w:rsidRDefault="008267AB" w:rsidP="00C06B1D">
            <w:pPr>
              <w:rPr>
                <w:color w:val="000000" w:themeColor="text1"/>
                <w:sz w:val="24"/>
                <w:szCs w:val="24"/>
              </w:rPr>
            </w:pPr>
            <w:r w:rsidRPr="002476D5">
              <w:rPr>
                <w:color w:val="000000" w:themeColor="text1"/>
                <w:sz w:val="24"/>
                <w:szCs w:val="24"/>
              </w:rPr>
              <w:t>uz informācijas sabiedrības politikas īstenošanu</w:t>
            </w:r>
          </w:p>
        </w:tc>
        <w:tc>
          <w:tcPr>
            <w:tcW w:w="1769" w:type="dxa"/>
          </w:tcPr>
          <w:p w14:paraId="6C394955" w14:textId="5370DDE2" w:rsidR="008267AB" w:rsidRPr="002476D5" w:rsidRDefault="008267AB" w:rsidP="00C06B1D">
            <w:pPr>
              <w:rPr>
                <w:b/>
                <w:color w:val="000000" w:themeColor="text1"/>
                <w:sz w:val="24"/>
                <w:szCs w:val="24"/>
              </w:rPr>
            </w:pPr>
            <w:r w:rsidRPr="002476D5">
              <w:rPr>
                <w:color w:val="000000" w:themeColor="text1"/>
                <w:sz w:val="24"/>
                <w:szCs w:val="24"/>
              </w:rPr>
              <w:t>Nē</w:t>
            </w:r>
          </w:p>
        </w:tc>
        <w:tc>
          <w:tcPr>
            <w:tcW w:w="2974" w:type="dxa"/>
          </w:tcPr>
          <w:p w14:paraId="6CBF4108" w14:textId="77777777" w:rsidR="008267AB" w:rsidRPr="002476D5" w:rsidRDefault="008267AB" w:rsidP="00C06B1D">
            <w:pPr>
              <w:rPr>
                <w:b/>
                <w:color w:val="000000" w:themeColor="text1"/>
                <w:sz w:val="24"/>
                <w:szCs w:val="24"/>
              </w:rPr>
            </w:pPr>
          </w:p>
        </w:tc>
      </w:tr>
      <w:tr w:rsidR="008267AB" w:rsidRPr="00B10B66" w14:paraId="6E3CF4F6" w14:textId="77777777" w:rsidTr="00C06B1D">
        <w:tc>
          <w:tcPr>
            <w:tcW w:w="986" w:type="dxa"/>
          </w:tcPr>
          <w:p w14:paraId="1A9D05D7" w14:textId="77777777" w:rsidR="008267AB" w:rsidRPr="002476D5" w:rsidRDefault="008267AB" w:rsidP="00C06B1D">
            <w:pPr>
              <w:rPr>
                <w:color w:val="000000" w:themeColor="text1"/>
                <w:sz w:val="24"/>
                <w:szCs w:val="24"/>
              </w:rPr>
            </w:pPr>
            <w:r w:rsidRPr="002476D5">
              <w:rPr>
                <w:color w:val="000000" w:themeColor="text1"/>
                <w:sz w:val="24"/>
                <w:szCs w:val="24"/>
              </w:rPr>
              <w:t>8.1.4.</w:t>
            </w:r>
          </w:p>
        </w:tc>
        <w:tc>
          <w:tcPr>
            <w:tcW w:w="3903" w:type="dxa"/>
          </w:tcPr>
          <w:p w14:paraId="14F5D4F0" w14:textId="77777777" w:rsidR="008267AB" w:rsidRPr="002476D5" w:rsidRDefault="008267AB" w:rsidP="00C06B1D">
            <w:pPr>
              <w:rPr>
                <w:color w:val="000000" w:themeColor="text1"/>
                <w:sz w:val="24"/>
                <w:szCs w:val="24"/>
              </w:rPr>
            </w:pPr>
            <w:r w:rsidRPr="002476D5">
              <w:rPr>
                <w:color w:val="000000" w:themeColor="text1"/>
                <w:sz w:val="24"/>
                <w:szCs w:val="24"/>
              </w:rPr>
              <w:t xml:space="preserve">uz </w:t>
            </w:r>
            <w:r w:rsidRPr="00B13FB9">
              <w:rPr>
                <w:color w:val="000000" w:themeColor="text1"/>
                <w:sz w:val="24"/>
                <w:szCs w:val="24"/>
              </w:rPr>
              <w:t>Nacion</w:t>
            </w:r>
            <w:r w:rsidRPr="002476D5">
              <w:rPr>
                <w:color w:val="000000" w:themeColor="text1"/>
                <w:sz w:val="24"/>
                <w:szCs w:val="24"/>
              </w:rPr>
              <w:t>ālā attīstības plāna rādītājiem</w:t>
            </w:r>
          </w:p>
        </w:tc>
        <w:tc>
          <w:tcPr>
            <w:tcW w:w="1769" w:type="dxa"/>
          </w:tcPr>
          <w:p w14:paraId="35F6B623" w14:textId="0BAAF960" w:rsidR="008267AB" w:rsidRPr="002476D5" w:rsidRDefault="008267AB" w:rsidP="00C06B1D">
            <w:pPr>
              <w:rPr>
                <w:b/>
                <w:color w:val="000000" w:themeColor="text1"/>
                <w:sz w:val="24"/>
                <w:szCs w:val="24"/>
              </w:rPr>
            </w:pPr>
            <w:r w:rsidRPr="002476D5">
              <w:rPr>
                <w:color w:val="000000" w:themeColor="text1"/>
                <w:sz w:val="24"/>
                <w:szCs w:val="24"/>
              </w:rPr>
              <w:t>Nē</w:t>
            </w:r>
          </w:p>
        </w:tc>
        <w:tc>
          <w:tcPr>
            <w:tcW w:w="2974" w:type="dxa"/>
          </w:tcPr>
          <w:p w14:paraId="54B63C87" w14:textId="77777777" w:rsidR="008267AB" w:rsidRPr="002476D5" w:rsidRDefault="008267AB" w:rsidP="00C06B1D">
            <w:pPr>
              <w:rPr>
                <w:b/>
                <w:color w:val="000000" w:themeColor="text1"/>
                <w:sz w:val="24"/>
                <w:szCs w:val="24"/>
              </w:rPr>
            </w:pPr>
          </w:p>
        </w:tc>
      </w:tr>
      <w:tr w:rsidR="008267AB" w:rsidRPr="00B10B66" w14:paraId="2E268961" w14:textId="77777777" w:rsidTr="00C06B1D">
        <w:tc>
          <w:tcPr>
            <w:tcW w:w="986" w:type="dxa"/>
          </w:tcPr>
          <w:p w14:paraId="338E6D1D" w14:textId="77777777" w:rsidR="008267AB" w:rsidRPr="002476D5" w:rsidRDefault="008267AB" w:rsidP="00C06B1D">
            <w:pPr>
              <w:rPr>
                <w:color w:val="000000" w:themeColor="text1"/>
                <w:sz w:val="24"/>
                <w:szCs w:val="24"/>
              </w:rPr>
            </w:pPr>
            <w:r w:rsidRPr="002476D5">
              <w:rPr>
                <w:color w:val="000000" w:themeColor="text1"/>
                <w:sz w:val="24"/>
                <w:szCs w:val="24"/>
              </w:rPr>
              <w:t>8.1.5.</w:t>
            </w:r>
          </w:p>
        </w:tc>
        <w:tc>
          <w:tcPr>
            <w:tcW w:w="3903" w:type="dxa"/>
          </w:tcPr>
          <w:p w14:paraId="79FCD32A" w14:textId="77777777" w:rsidR="008267AB" w:rsidRPr="002476D5" w:rsidRDefault="008267AB" w:rsidP="00C06B1D">
            <w:pPr>
              <w:rPr>
                <w:color w:val="000000" w:themeColor="text1"/>
                <w:sz w:val="24"/>
                <w:szCs w:val="24"/>
              </w:rPr>
            </w:pPr>
            <w:r w:rsidRPr="002476D5">
              <w:rPr>
                <w:color w:val="000000" w:themeColor="text1"/>
                <w:sz w:val="24"/>
                <w:szCs w:val="24"/>
              </w:rPr>
              <w:t>uz teritoriju attīstību</w:t>
            </w:r>
          </w:p>
        </w:tc>
        <w:tc>
          <w:tcPr>
            <w:tcW w:w="1769" w:type="dxa"/>
          </w:tcPr>
          <w:p w14:paraId="733DE618" w14:textId="16C386D2" w:rsidR="008267AB" w:rsidRPr="002476D5" w:rsidRDefault="008267AB" w:rsidP="00C06B1D">
            <w:pPr>
              <w:rPr>
                <w:b/>
                <w:color w:val="000000" w:themeColor="text1"/>
                <w:sz w:val="24"/>
                <w:szCs w:val="24"/>
              </w:rPr>
            </w:pPr>
            <w:r w:rsidRPr="002476D5">
              <w:rPr>
                <w:color w:val="000000" w:themeColor="text1"/>
                <w:sz w:val="24"/>
                <w:szCs w:val="24"/>
              </w:rPr>
              <w:t>Nē</w:t>
            </w:r>
          </w:p>
        </w:tc>
        <w:tc>
          <w:tcPr>
            <w:tcW w:w="2974" w:type="dxa"/>
          </w:tcPr>
          <w:p w14:paraId="28B12008" w14:textId="77777777" w:rsidR="008267AB" w:rsidRPr="002476D5" w:rsidRDefault="008267AB" w:rsidP="00C06B1D">
            <w:pPr>
              <w:rPr>
                <w:b/>
                <w:color w:val="000000" w:themeColor="text1"/>
                <w:sz w:val="24"/>
                <w:szCs w:val="24"/>
              </w:rPr>
            </w:pPr>
          </w:p>
        </w:tc>
      </w:tr>
      <w:tr w:rsidR="008267AB" w:rsidRPr="00B10B66" w14:paraId="6A4CC9FD" w14:textId="77777777" w:rsidTr="00C06B1D">
        <w:tc>
          <w:tcPr>
            <w:tcW w:w="986" w:type="dxa"/>
          </w:tcPr>
          <w:p w14:paraId="17712A1A" w14:textId="77777777" w:rsidR="008267AB" w:rsidRPr="002476D5" w:rsidRDefault="008267AB" w:rsidP="00C06B1D">
            <w:pPr>
              <w:rPr>
                <w:color w:val="000000" w:themeColor="text1"/>
                <w:sz w:val="24"/>
                <w:szCs w:val="24"/>
              </w:rPr>
            </w:pPr>
            <w:r w:rsidRPr="002476D5">
              <w:rPr>
                <w:color w:val="000000" w:themeColor="text1"/>
                <w:sz w:val="24"/>
                <w:szCs w:val="24"/>
              </w:rPr>
              <w:t>8.1.6.</w:t>
            </w:r>
          </w:p>
        </w:tc>
        <w:tc>
          <w:tcPr>
            <w:tcW w:w="3903" w:type="dxa"/>
          </w:tcPr>
          <w:p w14:paraId="6B68F571" w14:textId="77777777" w:rsidR="008267AB" w:rsidRPr="002476D5" w:rsidRDefault="008267AB" w:rsidP="00C06B1D">
            <w:pPr>
              <w:rPr>
                <w:color w:val="000000" w:themeColor="text1"/>
                <w:sz w:val="24"/>
                <w:szCs w:val="24"/>
              </w:rPr>
            </w:pPr>
            <w:r w:rsidRPr="002476D5">
              <w:rPr>
                <w:color w:val="000000" w:themeColor="text1"/>
                <w:sz w:val="24"/>
                <w:szCs w:val="24"/>
              </w:rPr>
              <w:t>uz vidi</w:t>
            </w:r>
          </w:p>
        </w:tc>
        <w:tc>
          <w:tcPr>
            <w:tcW w:w="1769" w:type="dxa"/>
          </w:tcPr>
          <w:p w14:paraId="349CF3A0" w14:textId="3A7B7E1F" w:rsidR="008267AB" w:rsidRPr="002476D5" w:rsidRDefault="008267AB" w:rsidP="00C06B1D">
            <w:pPr>
              <w:rPr>
                <w:b/>
                <w:color w:val="000000" w:themeColor="text1"/>
                <w:sz w:val="24"/>
                <w:szCs w:val="24"/>
              </w:rPr>
            </w:pPr>
            <w:r w:rsidRPr="002476D5">
              <w:rPr>
                <w:color w:val="000000" w:themeColor="text1"/>
                <w:sz w:val="24"/>
                <w:szCs w:val="24"/>
              </w:rPr>
              <w:t>Nē</w:t>
            </w:r>
          </w:p>
        </w:tc>
        <w:tc>
          <w:tcPr>
            <w:tcW w:w="2974" w:type="dxa"/>
          </w:tcPr>
          <w:p w14:paraId="043B1978" w14:textId="77777777" w:rsidR="008267AB" w:rsidRPr="002476D5" w:rsidRDefault="008267AB" w:rsidP="00C06B1D">
            <w:pPr>
              <w:rPr>
                <w:b/>
                <w:color w:val="000000" w:themeColor="text1"/>
                <w:sz w:val="24"/>
                <w:szCs w:val="24"/>
              </w:rPr>
            </w:pPr>
          </w:p>
        </w:tc>
      </w:tr>
      <w:tr w:rsidR="008267AB" w:rsidRPr="00B10B66" w14:paraId="54355747" w14:textId="77777777" w:rsidTr="00C06B1D">
        <w:tc>
          <w:tcPr>
            <w:tcW w:w="986" w:type="dxa"/>
          </w:tcPr>
          <w:p w14:paraId="1EEDCDFF" w14:textId="77777777" w:rsidR="008267AB" w:rsidRPr="002476D5" w:rsidRDefault="008267AB" w:rsidP="00C06B1D">
            <w:pPr>
              <w:rPr>
                <w:color w:val="000000" w:themeColor="text1"/>
                <w:sz w:val="24"/>
                <w:szCs w:val="24"/>
              </w:rPr>
            </w:pPr>
            <w:r w:rsidRPr="002476D5">
              <w:rPr>
                <w:color w:val="000000" w:themeColor="text1"/>
                <w:sz w:val="24"/>
                <w:szCs w:val="24"/>
              </w:rPr>
              <w:t>8.1.7.</w:t>
            </w:r>
          </w:p>
        </w:tc>
        <w:tc>
          <w:tcPr>
            <w:tcW w:w="3903" w:type="dxa"/>
          </w:tcPr>
          <w:p w14:paraId="2404765F" w14:textId="77777777" w:rsidR="008267AB" w:rsidRPr="002476D5" w:rsidRDefault="008267AB" w:rsidP="00C06B1D">
            <w:pPr>
              <w:rPr>
                <w:color w:val="000000" w:themeColor="text1"/>
                <w:sz w:val="24"/>
                <w:szCs w:val="24"/>
              </w:rPr>
            </w:pPr>
            <w:r w:rsidRPr="002476D5">
              <w:rPr>
                <w:color w:val="000000" w:themeColor="text1"/>
                <w:sz w:val="24"/>
                <w:szCs w:val="24"/>
              </w:rPr>
              <w:t xml:space="preserve">uz </w:t>
            </w:r>
            <w:proofErr w:type="spellStart"/>
            <w:r w:rsidRPr="002476D5">
              <w:rPr>
                <w:color w:val="000000" w:themeColor="text1"/>
                <w:sz w:val="24"/>
                <w:szCs w:val="24"/>
              </w:rPr>
              <w:t>klimatneitralitāti</w:t>
            </w:r>
            <w:proofErr w:type="spellEnd"/>
          </w:p>
        </w:tc>
        <w:tc>
          <w:tcPr>
            <w:tcW w:w="1769" w:type="dxa"/>
          </w:tcPr>
          <w:p w14:paraId="5A3DDFF8" w14:textId="3770F708" w:rsidR="008267AB" w:rsidRPr="002476D5" w:rsidRDefault="008267AB" w:rsidP="00C06B1D">
            <w:pPr>
              <w:rPr>
                <w:b/>
                <w:color w:val="000000" w:themeColor="text1"/>
                <w:sz w:val="24"/>
                <w:szCs w:val="24"/>
              </w:rPr>
            </w:pPr>
            <w:r w:rsidRPr="002476D5">
              <w:rPr>
                <w:color w:val="000000" w:themeColor="text1"/>
                <w:sz w:val="24"/>
                <w:szCs w:val="24"/>
              </w:rPr>
              <w:t>Nē</w:t>
            </w:r>
          </w:p>
        </w:tc>
        <w:tc>
          <w:tcPr>
            <w:tcW w:w="2974" w:type="dxa"/>
          </w:tcPr>
          <w:p w14:paraId="12C6158C" w14:textId="77777777" w:rsidR="008267AB" w:rsidRPr="002476D5" w:rsidRDefault="008267AB" w:rsidP="00C06B1D">
            <w:pPr>
              <w:rPr>
                <w:b/>
                <w:color w:val="000000" w:themeColor="text1"/>
                <w:sz w:val="24"/>
                <w:szCs w:val="24"/>
              </w:rPr>
            </w:pPr>
          </w:p>
        </w:tc>
      </w:tr>
      <w:tr w:rsidR="008267AB" w:rsidRPr="00B10B66" w14:paraId="35C543B5" w14:textId="77777777" w:rsidTr="00C06B1D">
        <w:tc>
          <w:tcPr>
            <w:tcW w:w="986" w:type="dxa"/>
          </w:tcPr>
          <w:p w14:paraId="1D621A35" w14:textId="77777777" w:rsidR="008267AB" w:rsidRPr="002476D5" w:rsidRDefault="008267AB" w:rsidP="00C06B1D">
            <w:pPr>
              <w:rPr>
                <w:color w:val="000000" w:themeColor="text1"/>
                <w:sz w:val="24"/>
                <w:szCs w:val="24"/>
              </w:rPr>
            </w:pPr>
            <w:r w:rsidRPr="002476D5">
              <w:rPr>
                <w:color w:val="000000" w:themeColor="text1"/>
                <w:sz w:val="24"/>
                <w:szCs w:val="24"/>
              </w:rPr>
              <w:t>8.1.8.</w:t>
            </w:r>
          </w:p>
        </w:tc>
        <w:tc>
          <w:tcPr>
            <w:tcW w:w="3903" w:type="dxa"/>
          </w:tcPr>
          <w:p w14:paraId="57942DCE" w14:textId="77777777" w:rsidR="008267AB" w:rsidRPr="002476D5" w:rsidRDefault="008267AB" w:rsidP="00C06B1D">
            <w:pPr>
              <w:rPr>
                <w:color w:val="000000" w:themeColor="text1"/>
                <w:sz w:val="24"/>
                <w:szCs w:val="24"/>
              </w:rPr>
            </w:pPr>
            <w:r w:rsidRPr="002476D5">
              <w:rPr>
                <w:color w:val="000000" w:themeColor="text1"/>
                <w:sz w:val="24"/>
                <w:szCs w:val="24"/>
              </w:rPr>
              <w:t>uz iedzīvotāju sociālo situāciju</w:t>
            </w:r>
          </w:p>
        </w:tc>
        <w:tc>
          <w:tcPr>
            <w:tcW w:w="1769" w:type="dxa"/>
          </w:tcPr>
          <w:p w14:paraId="6AAE2DC5" w14:textId="72EAA988" w:rsidR="008267AB" w:rsidRPr="002476D5" w:rsidRDefault="008267AB" w:rsidP="00C06B1D">
            <w:pPr>
              <w:rPr>
                <w:color w:val="000000" w:themeColor="text1"/>
                <w:sz w:val="24"/>
                <w:szCs w:val="24"/>
              </w:rPr>
            </w:pPr>
            <w:r w:rsidRPr="002476D5">
              <w:rPr>
                <w:color w:val="000000" w:themeColor="text1"/>
                <w:sz w:val="24"/>
                <w:szCs w:val="24"/>
              </w:rPr>
              <w:t>Nē</w:t>
            </w:r>
          </w:p>
        </w:tc>
        <w:tc>
          <w:tcPr>
            <w:tcW w:w="2974" w:type="dxa"/>
          </w:tcPr>
          <w:p w14:paraId="371EDB06" w14:textId="77777777" w:rsidR="008267AB" w:rsidRPr="002476D5" w:rsidRDefault="008267AB" w:rsidP="00C06B1D">
            <w:pPr>
              <w:rPr>
                <w:b/>
                <w:color w:val="000000" w:themeColor="text1"/>
                <w:sz w:val="24"/>
                <w:szCs w:val="24"/>
              </w:rPr>
            </w:pPr>
          </w:p>
        </w:tc>
      </w:tr>
      <w:tr w:rsidR="008267AB" w:rsidRPr="00B10B66" w14:paraId="2DAF25B2" w14:textId="77777777" w:rsidTr="00C06B1D">
        <w:tc>
          <w:tcPr>
            <w:tcW w:w="986" w:type="dxa"/>
          </w:tcPr>
          <w:p w14:paraId="6BC33804" w14:textId="77777777" w:rsidR="008267AB" w:rsidRPr="002476D5" w:rsidRDefault="008267AB" w:rsidP="00C06B1D">
            <w:pPr>
              <w:rPr>
                <w:color w:val="000000" w:themeColor="text1"/>
                <w:sz w:val="24"/>
                <w:szCs w:val="24"/>
              </w:rPr>
            </w:pPr>
            <w:r w:rsidRPr="002476D5">
              <w:rPr>
                <w:color w:val="000000" w:themeColor="text1"/>
                <w:sz w:val="24"/>
                <w:szCs w:val="24"/>
              </w:rPr>
              <w:t>8.1.9.</w:t>
            </w:r>
          </w:p>
        </w:tc>
        <w:tc>
          <w:tcPr>
            <w:tcW w:w="3903" w:type="dxa"/>
          </w:tcPr>
          <w:p w14:paraId="3B48D34F" w14:textId="77777777" w:rsidR="008267AB" w:rsidRPr="002476D5" w:rsidRDefault="008267AB" w:rsidP="00C06B1D">
            <w:pPr>
              <w:rPr>
                <w:color w:val="000000" w:themeColor="text1"/>
                <w:sz w:val="24"/>
                <w:szCs w:val="24"/>
              </w:rPr>
            </w:pPr>
            <w:r w:rsidRPr="002476D5">
              <w:rPr>
                <w:color w:val="000000" w:themeColor="text1"/>
                <w:sz w:val="24"/>
                <w:szCs w:val="24"/>
              </w:rPr>
              <w:t>uz personu ar invaliditāti vienlīdzīgām iespējām un tiesībām</w:t>
            </w:r>
          </w:p>
        </w:tc>
        <w:tc>
          <w:tcPr>
            <w:tcW w:w="1769" w:type="dxa"/>
          </w:tcPr>
          <w:p w14:paraId="73DF603A" w14:textId="0CF853B4" w:rsidR="008267AB" w:rsidRPr="002476D5" w:rsidRDefault="008267AB" w:rsidP="00C06B1D">
            <w:pPr>
              <w:rPr>
                <w:b/>
                <w:color w:val="000000" w:themeColor="text1"/>
                <w:sz w:val="24"/>
                <w:szCs w:val="24"/>
              </w:rPr>
            </w:pPr>
            <w:r w:rsidRPr="002476D5">
              <w:rPr>
                <w:color w:val="000000" w:themeColor="text1"/>
                <w:sz w:val="24"/>
                <w:szCs w:val="24"/>
              </w:rPr>
              <w:t>Nē</w:t>
            </w:r>
          </w:p>
        </w:tc>
        <w:tc>
          <w:tcPr>
            <w:tcW w:w="2974" w:type="dxa"/>
          </w:tcPr>
          <w:p w14:paraId="5B7B8BCD" w14:textId="77777777" w:rsidR="008267AB" w:rsidRPr="002476D5" w:rsidRDefault="008267AB" w:rsidP="00C06B1D">
            <w:pPr>
              <w:rPr>
                <w:b/>
                <w:color w:val="000000" w:themeColor="text1"/>
                <w:sz w:val="24"/>
                <w:szCs w:val="24"/>
              </w:rPr>
            </w:pPr>
          </w:p>
        </w:tc>
      </w:tr>
      <w:tr w:rsidR="008267AB" w:rsidRPr="00B10B66" w14:paraId="3A2CD29F" w14:textId="77777777" w:rsidTr="00C06B1D">
        <w:tc>
          <w:tcPr>
            <w:tcW w:w="986" w:type="dxa"/>
          </w:tcPr>
          <w:p w14:paraId="3345D88F" w14:textId="77777777" w:rsidR="008267AB" w:rsidRPr="002476D5" w:rsidRDefault="008267AB" w:rsidP="00C06B1D">
            <w:pPr>
              <w:rPr>
                <w:color w:val="000000" w:themeColor="text1"/>
                <w:sz w:val="24"/>
                <w:szCs w:val="24"/>
              </w:rPr>
            </w:pPr>
            <w:r w:rsidRPr="002476D5">
              <w:rPr>
                <w:color w:val="000000" w:themeColor="text1"/>
                <w:sz w:val="24"/>
                <w:szCs w:val="24"/>
              </w:rPr>
              <w:t>8.1.10.</w:t>
            </w:r>
          </w:p>
        </w:tc>
        <w:tc>
          <w:tcPr>
            <w:tcW w:w="3903" w:type="dxa"/>
          </w:tcPr>
          <w:p w14:paraId="1991B6F3" w14:textId="77777777" w:rsidR="008267AB" w:rsidRPr="002476D5" w:rsidRDefault="008267AB" w:rsidP="00C06B1D">
            <w:pPr>
              <w:rPr>
                <w:color w:val="000000" w:themeColor="text1"/>
                <w:sz w:val="24"/>
                <w:szCs w:val="24"/>
              </w:rPr>
            </w:pPr>
            <w:r w:rsidRPr="002476D5">
              <w:rPr>
                <w:color w:val="000000" w:themeColor="text1"/>
                <w:sz w:val="24"/>
                <w:szCs w:val="24"/>
              </w:rPr>
              <w:t>uz dzimumu līdztiesību</w:t>
            </w:r>
          </w:p>
        </w:tc>
        <w:tc>
          <w:tcPr>
            <w:tcW w:w="1769" w:type="dxa"/>
          </w:tcPr>
          <w:p w14:paraId="06244952" w14:textId="1E6CE37D" w:rsidR="008267AB" w:rsidRPr="002476D5" w:rsidRDefault="008267AB" w:rsidP="00C06B1D">
            <w:pPr>
              <w:rPr>
                <w:b/>
                <w:color w:val="000000" w:themeColor="text1"/>
                <w:sz w:val="24"/>
                <w:szCs w:val="24"/>
              </w:rPr>
            </w:pPr>
            <w:r w:rsidRPr="002476D5">
              <w:rPr>
                <w:color w:val="000000" w:themeColor="text1"/>
                <w:sz w:val="24"/>
                <w:szCs w:val="24"/>
              </w:rPr>
              <w:t>Nē</w:t>
            </w:r>
          </w:p>
        </w:tc>
        <w:tc>
          <w:tcPr>
            <w:tcW w:w="2974" w:type="dxa"/>
          </w:tcPr>
          <w:p w14:paraId="391D7561" w14:textId="77777777" w:rsidR="008267AB" w:rsidRPr="002476D5" w:rsidRDefault="008267AB" w:rsidP="00C06B1D">
            <w:pPr>
              <w:rPr>
                <w:b/>
                <w:color w:val="000000" w:themeColor="text1"/>
                <w:sz w:val="24"/>
                <w:szCs w:val="24"/>
              </w:rPr>
            </w:pPr>
          </w:p>
        </w:tc>
      </w:tr>
      <w:tr w:rsidR="008267AB" w:rsidRPr="00B10B66" w14:paraId="64EEE678" w14:textId="77777777" w:rsidTr="00C06B1D">
        <w:tc>
          <w:tcPr>
            <w:tcW w:w="986" w:type="dxa"/>
          </w:tcPr>
          <w:p w14:paraId="6498E312" w14:textId="77777777" w:rsidR="008267AB" w:rsidRPr="002476D5" w:rsidRDefault="008267AB" w:rsidP="00C06B1D">
            <w:pPr>
              <w:rPr>
                <w:color w:val="000000" w:themeColor="text1"/>
                <w:sz w:val="24"/>
                <w:szCs w:val="24"/>
              </w:rPr>
            </w:pPr>
            <w:r w:rsidRPr="002476D5">
              <w:rPr>
                <w:color w:val="000000" w:themeColor="text1"/>
                <w:sz w:val="24"/>
                <w:szCs w:val="24"/>
              </w:rPr>
              <w:t>8.1.11.</w:t>
            </w:r>
          </w:p>
        </w:tc>
        <w:tc>
          <w:tcPr>
            <w:tcW w:w="3903" w:type="dxa"/>
          </w:tcPr>
          <w:p w14:paraId="584C040D" w14:textId="77777777" w:rsidR="008267AB" w:rsidRPr="002476D5" w:rsidRDefault="008267AB" w:rsidP="00C06B1D">
            <w:pPr>
              <w:rPr>
                <w:color w:val="000000" w:themeColor="text1"/>
                <w:sz w:val="24"/>
                <w:szCs w:val="24"/>
              </w:rPr>
            </w:pPr>
            <w:r w:rsidRPr="002476D5">
              <w:rPr>
                <w:color w:val="000000" w:themeColor="text1"/>
                <w:sz w:val="24"/>
                <w:szCs w:val="24"/>
              </w:rPr>
              <w:t>uz veselību</w:t>
            </w:r>
          </w:p>
        </w:tc>
        <w:tc>
          <w:tcPr>
            <w:tcW w:w="1769" w:type="dxa"/>
          </w:tcPr>
          <w:p w14:paraId="774450BE" w14:textId="0FB18AA1" w:rsidR="008267AB" w:rsidRPr="002476D5" w:rsidRDefault="008267AB" w:rsidP="00C06B1D">
            <w:pPr>
              <w:rPr>
                <w:b/>
                <w:color w:val="000000" w:themeColor="text1"/>
                <w:sz w:val="24"/>
                <w:szCs w:val="24"/>
              </w:rPr>
            </w:pPr>
            <w:r w:rsidRPr="002476D5">
              <w:rPr>
                <w:color w:val="000000" w:themeColor="text1"/>
                <w:sz w:val="24"/>
                <w:szCs w:val="24"/>
              </w:rPr>
              <w:t>Nē</w:t>
            </w:r>
          </w:p>
        </w:tc>
        <w:tc>
          <w:tcPr>
            <w:tcW w:w="2974" w:type="dxa"/>
          </w:tcPr>
          <w:p w14:paraId="12DA8A0E" w14:textId="77777777" w:rsidR="008267AB" w:rsidRPr="002476D5" w:rsidRDefault="008267AB" w:rsidP="00C06B1D">
            <w:pPr>
              <w:rPr>
                <w:b/>
                <w:color w:val="000000" w:themeColor="text1"/>
                <w:sz w:val="24"/>
                <w:szCs w:val="24"/>
              </w:rPr>
            </w:pPr>
          </w:p>
        </w:tc>
      </w:tr>
      <w:tr w:rsidR="008267AB" w:rsidRPr="00B10B66" w14:paraId="707C567E" w14:textId="77777777" w:rsidTr="00C06B1D">
        <w:tc>
          <w:tcPr>
            <w:tcW w:w="986" w:type="dxa"/>
          </w:tcPr>
          <w:p w14:paraId="3C0C69F4" w14:textId="77777777" w:rsidR="008267AB" w:rsidRPr="002476D5" w:rsidRDefault="008267AB" w:rsidP="00C06B1D">
            <w:pPr>
              <w:rPr>
                <w:color w:val="000000" w:themeColor="text1"/>
                <w:sz w:val="24"/>
                <w:szCs w:val="24"/>
              </w:rPr>
            </w:pPr>
            <w:r w:rsidRPr="002476D5">
              <w:rPr>
                <w:color w:val="000000" w:themeColor="text1"/>
                <w:sz w:val="24"/>
                <w:szCs w:val="24"/>
              </w:rPr>
              <w:t>8.1.12.</w:t>
            </w:r>
          </w:p>
        </w:tc>
        <w:tc>
          <w:tcPr>
            <w:tcW w:w="3903" w:type="dxa"/>
          </w:tcPr>
          <w:p w14:paraId="43497FBF" w14:textId="77777777" w:rsidR="008267AB" w:rsidRPr="002476D5" w:rsidRDefault="008267AB" w:rsidP="00C06B1D">
            <w:pPr>
              <w:rPr>
                <w:color w:val="000000" w:themeColor="text1"/>
                <w:sz w:val="24"/>
                <w:szCs w:val="24"/>
              </w:rPr>
            </w:pPr>
            <w:r w:rsidRPr="002476D5">
              <w:rPr>
                <w:color w:val="000000" w:themeColor="text1"/>
                <w:sz w:val="24"/>
                <w:szCs w:val="24"/>
              </w:rPr>
              <w:t>uz cilvēktiesībām, demokrātiskām vērtībām un pilsoniskās sabiedrības attīstību</w:t>
            </w:r>
          </w:p>
        </w:tc>
        <w:tc>
          <w:tcPr>
            <w:tcW w:w="1769" w:type="dxa"/>
          </w:tcPr>
          <w:p w14:paraId="75B68E83" w14:textId="3BC2A759" w:rsidR="008267AB" w:rsidRPr="002476D5" w:rsidRDefault="008267AB" w:rsidP="00C06B1D">
            <w:pPr>
              <w:rPr>
                <w:b/>
                <w:color w:val="000000" w:themeColor="text1"/>
                <w:sz w:val="24"/>
                <w:szCs w:val="24"/>
              </w:rPr>
            </w:pPr>
            <w:r w:rsidRPr="002476D5">
              <w:rPr>
                <w:color w:val="000000" w:themeColor="text1"/>
                <w:sz w:val="24"/>
                <w:szCs w:val="24"/>
              </w:rPr>
              <w:t>Nē</w:t>
            </w:r>
          </w:p>
        </w:tc>
        <w:tc>
          <w:tcPr>
            <w:tcW w:w="2974" w:type="dxa"/>
          </w:tcPr>
          <w:p w14:paraId="77862668" w14:textId="77777777" w:rsidR="008267AB" w:rsidRPr="002476D5" w:rsidRDefault="008267AB" w:rsidP="00C06B1D">
            <w:pPr>
              <w:rPr>
                <w:b/>
                <w:color w:val="000000" w:themeColor="text1"/>
                <w:sz w:val="24"/>
                <w:szCs w:val="24"/>
              </w:rPr>
            </w:pPr>
          </w:p>
        </w:tc>
      </w:tr>
      <w:tr w:rsidR="008267AB" w:rsidRPr="00B10B66" w14:paraId="5B88FB79" w14:textId="77777777" w:rsidTr="00C06B1D">
        <w:tc>
          <w:tcPr>
            <w:tcW w:w="986" w:type="dxa"/>
          </w:tcPr>
          <w:p w14:paraId="6D0F2392" w14:textId="77777777" w:rsidR="008267AB" w:rsidRPr="002476D5" w:rsidRDefault="008267AB" w:rsidP="00C06B1D">
            <w:pPr>
              <w:rPr>
                <w:color w:val="000000" w:themeColor="text1"/>
                <w:sz w:val="24"/>
                <w:szCs w:val="24"/>
              </w:rPr>
            </w:pPr>
            <w:r w:rsidRPr="002476D5">
              <w:rPr>
                <w:color w:val="000000" w:themeColor="text1"/>
                <w:sz w:val="24"/>
                <w:szCs w:val="24"/>
              </w:rPr>
              <w:t>8.1.13.</w:t>
            </w:r>
          </w:p>
        </w:tc>
        <w:tc>
          <w:tcPr>
            <w:tcW w:w="3903" w:type="dxa"/>
          </w:tcPr>
          <w:p w14:paraId="78D4855B" w14:textId="77777777" w:rsidR="008267AB" w:rsidRPr="002476D5" w:rsidRDefault="008267AB" w:rsidP="00C06B1D">
            <w:pPr>
              <w:rPr>
                <w:color w:val="000000" w:themeColor="text1"/>
                <w:sz w:val="24"/>
                <w:szCs w:val="24"/>
              </w:rPr>
            </w:pPr>
            <w:r w:rsidRPr="002476D5">
              <w:rPr>
                <w:color w:val="000000" w:themeColor="text1"/>
                <w:sz w:val="24"/>
                <w:szCs w:val="24"/>
              </w:rPr>
              <w:t>uz datu aizsardzību</w:t>
            </w:r>
          </w:p>
        </w:tc>
        <w:tc>
          <w:tcPr>
            <w:tcW w:w="1769" w:type="dxa"/>
          </w:tcPr>
          <w:p w14:paraId="0C0CF4DD" w14:textId="24909405" w:rsidR="008267AB" w:rsidRPr="002476D5" w:rsidRDefault="008267AB" w:rsidP="00C06B1D">
            <w:pPr>
              <w:rPr>
                <w:b/>
                <w:color w:val="000000" w:themeColor="text1"/>
                <w:sz w:val="24"/>
                <w:szCs w:val="24"/>
              </w:rPr>
            </w:pPr>
            <w:r w:rsidRPr="002476D5">
              <w:rPr>
                <w:color w:val="000000" w:themeColor="text1"/>
                <w:sz w:val="24"/>
                <w:szCs w:val="24"/>
              </w:rPr>
              <w:t>Nē</w:t>
            </w:r>
          </w:p>
        </w:tc>
        <w:tc>
          <w:tcPr>
            <w:tcW w:w="2974" w:type="dxa"/>
          </w:tcPr>
          <w:p w14:paraId="681A7F0D" w14:textId="77777777" w:rsidR="008267AB" w:rsidRPr="002476D5" w:rsidRDefault="008267AB" w:rsidP="00C06B1D">
            <w:pPr>
              <w:rPr>
                <w:b/>
                <w:color w:val="000000" w:themeColor="text1"/>
                <w:sz w:val="24"/>
                <w:szCs w:val="24"/>
              </w:rPr>
            </w:pPr>
          </w:p>
        </w:tc>
      </w:tr>
      <w:tr w:rsidR="008267AB" w:rsidRPr="00B10B66" w14:paraId="06730B72" w14:textId="77777777" w:rsidTr="00C06B1D">
        <w:tc>
          <w:tcPr>
            <w:tcW w:w="986" w:type="dxa"/>
          </w:tcPr>
          <w:p w14:paraId="3124446C" w14:textId="77777777" w:rsidR="008267AB" w:rsidRPr="002476D5" w:rsidRDefault="008267AB" w:rsidP="00C06B1D">
            <w:pPr>
              <w:rPr>
                <w:color w:val="000000" w:themeColor="text1"/>
                <w:sz w:val="24"/>
                <w:szCs w:val="24"/>
              </w:rPr>
            </w:pPr>
            <w:r w:rsidRPr="002476D5">
              <w:rPr>
                <w:color w:val="000000" w:themeColor="text1"/>
                <w:sz w:val="24"/>
                <w:szCs w:val="24"/>
              </w:rPr>
              <w:t>8.1.14.</w:t>
            </w:r>
          </w:p>
        </w:tc>
        <w:tc>
          <w:tcPr>
            <w:tcW w:w="3903" w:type="dxa"/>
          </w:tcPr>
          <w:p w14:paraId="5761B98D" w14:textId="77777777" w:rsidR="008267AB" w:rsidRPr="002476D5" w:rsidRDefault="008267AB" w:rsidP="00C06B1D">
            <w:pPr>
              <w:rPr>
                <w:color w:val="000000" w:themeColor="text1"/>
                <w:sz w:val="24"/>
                <w:szCs w:val="24"/>
              </w:rPr>
            </w:pPr>
            <w:r w:rsidRPr="002476D5">
              <w:rPr>
                <w:color w:val="000000" w:themeColor="text1"/>
                <w:sz w:val="24"/>
                <w:szCs w:val="24"/>
              </w:rPr>
              <w:t>uz diasporu</w:t>
            </w:r>
          </w:p>
        </w:tc>
        <w:tc>
          <w:tcPr>
            <w:tcW w:w="1769" w:type="dxa"/>
          </w:tcPr>
          <w:p w14:paraId="5B1839A7" w14:textId="1F23A4C8" w:rsidR="008267AB" w:rsidRPr="002476D5" w:rsidRDefault="008267AB" w:rsidP="00C06B1D">
            <w:pPr>
              <w:rPr>
                <w:b/>
                <w:color w:val="000000" w:themeColor="text1"/>
                <w:sz w:val="24"/>
                <w:szCs w:val="24"/>
              </w:rPr>
            </w:pPr>
            <w:r w:rsidRPr="002476D5">
              <w:rPr>
                <w:color w:val="000000" w:themeColor="text1"/>
                <w:sz w:val="24"/>
                <w:szCs w:val="24"/>
              </w:rPr>
              <w:t>Nē</w:t>
            </w:r>
          </w:p>
        </w:tc>
        <w:tc>
          <w:tcPr>
            <w:tcW w:w="2974" w:type="dxa"/>
          </w:tcPr>
          <w:p w14:paraId="4B6896EE" w14:textId="77777777" w:rsidR="008267AB" w:rsidRPr="002476D5" w:rsidRDefault="008267AB" w:rsidP="00C06B1D">
            <w:pPr>
              <w:rPr>
                <w:b/>
                <w:color w:val="000000" w:themeColor="text1"/>
                <w:sz w:val="24"/>
                <w:szCs w:val="24"/>
              </w:rPr>
            </w:pPr>
          </w:p>
        </w:tc>
      </w:tr>
      <w:tr w:rsidR="008267AB" w:rsidRPr="00B10B66" w14:paraId="699784E0" w14:textId="77777777" w:rsidTr="00C06B1D">
        <w:tc>
          <w:tcPr>
            <w:tcW w:w="986" w:type="dxa"/>
          </w:tcPr>
          <w:p w14:paraId="068AC5DF" w14:textId="77777777" w:rsidR="008267AB" w:rsidRPr="002476D5" w:rsidRDefault="008267AB" w:rsidP="00C06B1D">
            <w:pPr>
              <w:rPr>
                <w:color w:val="000000" w:themeColor="text1"/>
                <w:sz w:val="24"/>
                <w:szCs w:val="24"/>
              </w:rPr>
            </w:pPr>
            <w:r w:rsidRPr="002476D5">
              <w:rPr>
                <w:color w:val="000000" w:themeColor="text1"/>
                <w:sz w:val="24"/>
                <w:szCs w:val="24"/>
              </w:rPr>
              <w:t>8.1.15.</w:t>
            </w:r>
          </w:p>
        </w:tc>
        <w:tc>
          <w:tcPr>
            <w:tcW w:w="3903" w:type="dxa"/>
          </w:tcPr>
          <w:p w14:paraId="14D5AAFF" w14:textId="77777777" w:rsidR="008267AB" w:rsidRPr="002476D5" w:rsidRDefault="008267AB" w:rsidP="00C06B1D">
            <w:pPr>
              <w:rPr>
                <w:color w:val="000000" w:themeColor="text1"/>
                <w:sz w:val="24"/>
                <w:szCs w:val="24"/>
              </w:rPr>
            </w:pPr>
            <w:r w:rsidRPr="002476D5">
              <w:rPr>
                <w:color w:val="000000" w:themeColor="text1"/>
                <w:sz w:val="24"/>
                <w:szCs w:val="24"/>
              </w:rPr>
              <w:t>uz profesiju reglamentāciju</w:t>
            </w:r>
          </w:p>
        </w:tc>
        <w:tc>
          <w:tcPr>
            <w:tcW w:w="1769" w:type="dxa"/>
          </w:tcPr>
          <w:p w14:paraId="640DA7D7" w14:textId="52C84F86" w:rsidR="008267AB" w:rsidRPr="002476D5" w:rsidRDefault="008267AB" w:rsidP="00C06B1D">
            <w:pPr>
              <w:rPr>
                <w:color w:val="000000" w:themeColor="text1"/>
                <w:sz w:val="24"/>
                <w:szCs w:val="24"/>
              </w:rPr>
            </w:pPr>
            <w:r w:rsidRPr="002476D5">
              <w:rPr>
                <w:color w:val="000000" w:themeColor="text1"/>
                <w:sz w:val="24"/>
                <w:szCs w:val="24"/>
              </w:rPr>
              <w:t>Nē</w:t>
            </w:r>
          </w:p>
        </w:tc>
        <w:tc>
          <w:tcPr>
            <w:tcW w:w="2974" w:type="dxa"/>
          </w:tcPr>
          <w:p w14:paraId="7AECCD93" w14:textId="77777777" w:rsidR="008267AB" w:rsidRPr="002476D5" w:rsidRDefault="008267AB" w:rsidP="00C06B1D">
            <w:pPr>
              <w:rPr>
                <w:b/>
                <w:color w:val="000000" w:themeColor="text1"/>
                <w:sz w:val="24"/>
                <w:szCs w:val="24"/>
              </w:rPr>
            </w:pPr>
          </w:p>
        </w:tc>
      </w:tr>
    </w:tbl>
    <w:p w14:paraId="74D1649B" w14:textId="77777777" w:rsidR="008267AB" w:rsidRDefault="008267AB" w:rsidP="008267AB">
      <w:pPr>
        <w:rPr>
          <w:b/>
          <w:color w:val="000000" w:themeColor="text1"/>
          <w:sz w:val="30"/>
        </w:rPr>
      </w:pPr>
    </w:p>
    <w:p w14:paraId="200D8958" w14:textId="77777777" w:rsidR="008267AB" w:rsidRPr="00604B79" w:rsidRDefault="008267AB" w:rsidP="008267AB">
      <w:pPr>
        <w:rPr>
          <w:i/>
          <w:color w:val="000000" w:themeColor="text1"/>
          <w:sz w:val="20"/>
        </w:rPr>
      </w:pPr>
      <w:r>
        <w:rPr>
          <w:b/>
          <w:color w:val="000000" w:themeColor="text1"/>
          <w:sz w:val="30"/>
        </w:rPr>
        <w:lastRenderedPageBreak/>
        <w:t>8.2.</w:t>
      </w:r>
      <w:r w:rsidRPr="00C82B48">
        <w:rPr>
          <w:b/>
          <w:color w:val="000000" w:themeColor="text1"/>
          <w:sz w:val="30"/>
        </w:rPr>
        <w:t xml:space="preserve"> Cita informācija</w:t>
      </w:r>
      <w:r>
        <w:rPr>
          <w:b/>
          <w:color w:val="000000" w:themeColor="text1"/>
          <w:sz w:val="30"/>
        </w:rPr>
        <w:t xml:space="preserve"> </w:t>
      </w:r>
      <w:r w:rsidRPr="00604B79">
        <w:rPr>
          <w:i/>
          <w:color w:val="000000" w:themeColor="text1"/>
          <w:sz w:val="20"/>
        </w:rPr>
        <w:t>(aizpilda nepieciešamības gadījumā)</w:t>
      </w:r>
    </w:p>
    <w:p w14:paraId="34963990" w14:textId="0271CBCE" w:rsidR="00AB5ECC" w:rsidRDefault="008267AB" w:rsidP="00AB5ECC">
      <w:pPr>
        <w:rPr>
          <w:iCs/>
          <w:color w:val="000000" w:themeColor="text1"/>
          <w:szCs w:val="28"/>
        </w:rPr>
      </w:pPr>
      <w:r>
        <w:rPr>
          <w:iCs/>
          <w:color w:val="000000" w:themeColor="text1"/>
          <w:szCs w:val="28"/>
        </w:rPr>
        <w:t>Nē</w:t>
      </w:r>
    </w:p>
    <w:p w14:paraId="62A451AF" w14:textId="54DE9B17" w:rsidR="008267AB" w:rsidRDefault="008267AB" w:rsidP="00AB5ECC">
      <w:pPr>
        <w:rPr>
          <w:iCs/>
          <w:color w:val="000000" w:themeColor="text1"/>
          <w:szCs w:val="28"/>
        </w:rPr>
      </w:pPr>
    </w:p>
    <w:p w14:paraId="7AF09D24" w14:textId="77777777" w:rsidR="008267AB" w:rsidRPr="006D47B5" w:rsidRDefault="008267AB" w:rsidP="00AB5ECC">
      <w:pPr>
        <w:rPr>
          <w:iCs/>
          <w:color w:val="000000" w:themeColor="text1"/>
          <w:szCs w:val="28"/>
        </w:rPr>
      </w:pPr>
    </w:p>
    <w:p w14:paraId="0B2C054C" w14:textId="2519A744" w:rsidR="00AB5ECC" w:rsidRPr="006D47B5" w:rsidRDefault="001E5468" w:rsidP="001E5468">
      <w:pPr>
        <w:tabs>
          <w:tab w:val="left" w:pos="709"/>
          <w:tab w:val="left" w:pos="6237"/>
        </w:tabs>
        <w:rPr>
          <w:szCs w:val="28"/>
        </w:rPr>
      </w:pPr>
      <w:r>
        <w:rPr>
          <w:iCs/>
          <w:szCs w:val="28"/>
        </w:rPr>
        <w:tab/>
      </w:r>
      <w:r w:rsidRPr="001E5468">
        <w:rPr>
          <w:iCs/>
          <w:szCs w:val="28"/>
        </w:rPr>
        <w:t xml:space="preserve">Tieslietu ministre </w:t>
      </w:r>
      <w:r>
        <w:rPr>
          <w:iCs/>
          <w:szCs w:val="28"/>
        </w:rPr>
        <w:tab/>
      </w:r>
      <w:r w:rsidRPr="001E5468">
        <w:rPr>
          <w:iCs/>
          <w:szCs w:val="28"/>
        </w:rPr>
        <w:t xml:space="preserve"> I. Lībiņa-Egnere</w:t>
      </w:r>
    </w:p>
    <w:p w14:paraId="32D3DF9F" w14:textId="77777777" w:rsidR="00AB5ECC" w:rsidRDefault="00AB5ECC" w:rsidP="00AB5ECC">
      <w:pPr>
        <w:tabs>
          <w:tab w:val="left" w:pos="6237"/>
        </w:tabs>
        <w:rPr>
          <w:szCs w:val="28"/>
        </w:rPr>
      </w:pPr>
    </w:p>
    <w:p w14:paraId="4A43475B" w14:textId="77777777" w:rsidR="001E5468" w:rsidRPr="006D47B5" w:rsidRDefault="001E5468" w:rsidP="00AB5ECC">
      <w:pPr>
        <w:tabs>
          <w:tab w:val="left" w:pos="6237"/>
        </w:tabs>
        <w:rPr>
          <w:szCs w:val="28"/>
        </w:rPr>
      </w:pPr>
    </w:p>
    <w:p w14:paraId="05369448" w14:textId="77777777" w:rsidR="00AB5ECC" w:rsidRPr="00AB5ECC" w:rsidRDefault="00AB5ECC" w:rsidP="00AB5ECC">
      <w:pPr>
        <w:tabs>
          <w:tab w:val="left" w:pos="6237"/>
        </w:tabs>
        <w:rPr>
          <w:sz w:val="24"/>
          <w:szCs w:val="24"/>
        </w:rPr>
      </w:pPr>
      <w:r w:rsidRPr="00AB5ECC">
        <w:rPr>
          <w:sz w:val="24"/>
          <w:szCs w:val="24"/>
        </w:rPr>
        <w:t>Bērziņš 67036934</w:t>
      </w:r>
    </w:p>
    <w:p w14:paraId="19E34681" w14:textId="77777777" w:rsidR="00AB5ECC" w:rsidRPr="00AB5ECC" w:rsidRDefault="00AB5ECC" w:rsidP="00AB5ECC">
      <w:pPr>
        <w:tabs>
          <w:tab w:val="left" w:pos="6237"/>
        </w:tabs>
        <w:rPr>
          <w:sz w:val="24"/>
          <w:szCs w:val="24"/>
        </w:rPr>
      </w:pPr>
      <w:r w:rsidRPr="00AB5ECC">
        <w:rPr>
          <w:sz w:val="24"/>
          <w:szCs w:val="24"/>
        </w:rPr>
        <w:t>janis.berzins@tm.gov.lv</w:t>
      </w:r>
    </w:p>
    <w:p w14:paraId="55E10554" w14:textId="77777777" w:rsidR="00AB5ECC" w:rsidRPr="00C82B48" w:rsidRDefault="00AB5ECC" w:rsidP="002476D5">
      <w:pPr>
        <w:rPr>
          <w:color w:val="000000" w:themeColor="text1"/>
        </w:rPr>
      </w:pPr>
    </w:p>
    <w:sectPr w:rsidR="00AB5ECC" w:rsidRPr="00C82B48">
      <w:headerReference w:type="default" r:id="rId11"/>
      <w:footerReference w:type="default" r:id="rId12"/>
      <w:headerReference w:type="first" r:id="rId13"/>
      <w:footerReference w:type="first" r:id="rId14"/>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31323" w14:textId="77777777" w:rsidR="008A046F" w:rsidRDefault="008A046F">
      <w:r>
        <w:separator/>
      </w:r>
    </w:p>
  </w:endnote>
  <w:endnote w:type="continuationSeparator" w:id="0">
    <w:p w14:paraId="5D1B90E1" w14:textId="77777777" w:rsidR="008A046F" w:rsidRDefault="008A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D4488" w14:textId="77777777" w:rsidR="00E937E9" w:rsidRDefault="00E937E9">
    <w:pPr>
      <w:jc w:val="right"/>
    </w:pPr>
    <w:r>
      <w:rPr>
        <w:sz w:val="24"/>
        <w:szCs w:val="24"/>
      </w:rPr>
      <w:fldChar w:fldCharType="begin"/>
    </w:r>
    <w:r>
      <w:rPr>
        <w:sz w:val="24"/>
        <w:szCs w:val="24"/>
      </w:rPr>
      <w:instrText>PAGE</w:instrText>
    </w:r>
    <w:r>
      <w:rPr>
        <w:sz w:val="24"/>
        <w:szCs w:val="24"/>
      </w:rPr>
      <w:fldChar w:fldCharType="separate"/>
    </w:r>
    <w:r w:rsidR="00F95F1D">
      <w:rPr>
        <w:noProof/>
        <w:sz w:val="24"/>
        <w:szCs w:val="24"/>
      </w:rPr>
      <w:t>10</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8C7B" w14:textId="77777777" w:rsidR="00E937E9" w:rsidRDefault="00E937E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1E63D" w14:textId="77777777" w:rsidR="008A046F" w:rsidRDefault="008A046F">
      <w:r>
        <w:separator/>
      </w:r>
    </w:p>
  </w:footnote>
  <w:footnote w:type="continuationSeparator" w:id="0">
    <w:p w14:paraId="645A7084" w14:textId="77777777" w:rsidR="008A046F" w:rsidRDefault="008A046F">
      <w:r>
        <w:continuationSeparator/>
      </w:r>
    </w:p>
  </w:footnote>
  <w:footnote w:id="1">
    <w:p w14:paraId="2E2A7D82" w14:textId="77777777" w:rsidR="007E0A60" w:rsidRPr="00C5396A" w:rsidRDefault="007E0A60" w:rsidP="007E0A60">
      <w:pPr>
        <w:pStyle w:val="FootnoteText"/>
        <w:rPr>
          <w:rFonts w:ascii="Times New Roman" w:hAnsi="Times New Roman" w:cs="Times New Roman"/>
        </w:rPr>
      </w:pPr>
      <w:r w:rsidRPr="00C5396A">
        <w:rPr>
          <w:rStyle w:val="FootnoteReference"/>
          <w:rFonts w:ascii="Times New Roman" w:hAnsi="Times New Roman" w:cs="Times New Roman"/>
        </w:rPr>
        <w:footnoteRef/>
      </w:r>
      <w:r w:rsidRPr="00C5396A">
        <w:rPr>
          <w:rFonts w:ascii="Times New Roman" w:hAnsi="Times New Roman" w:cs="Times New Roman"/>
        </w:rPr>
        <w:t xml:space="preserve"> Pētījuma 6.</w:t>
      </w:r>
      <w:r>
        <w:rPr>
          <w:rFonts w:ascii="Times New Roman" w:hAnsi="Times New Roman" w:cs="Times New Roman"/>
        </w:rPr>
        <w:t> </w:t>
      </w:r>
      <w:proofErr w:type="spellStart"/>
      <w:r w:rsidRPr="00C5396A">
        <w:rPr>
          <w:rFonts w:ascii="Times New Roman" w:hAnsi="Times New Roman" w:cs="Times New Roman"/>
        </w:rPr>
        <w:t>lp</w:t>
      </w:r>
      <w:proofErr w:type="spellEnd"/>
      <w:r w:rsidRPr="00C5396A">
        <w:rPr>
          <w:rFonts w:ascii="Times New Roman" w:hAnsi="Times New Roman" w:cs="Times New Roman"/>
        </w:rPr>
        <w:t>.</w:t>
      </w:r>
    </w:p>
  </w:footnote>
  <w:footnote w:id="2">
    <w:p w14:paraId="43A610DF" w14:textId="77777777" w:rsidR="00C733BF" w:rsidRPr="00F31375" w:rsidRDefault="00C733BF" w:rsidP="00C733BF">
      <w:pPr>
        <w:pStyle w:val="FootnoteText"/>
        <w:rPr>
          <w:rFonts w:ascii="Times New Roman" w:hAnsi="Times New Roman" w:cs="Times New Roman"/>
        </w:rPr>
      </w:pPr>
      <w:r w:rsidRPr="00F31375">
        <w:rPr>
          <w:rStyle w:val="FootnoteReference"/>
          <w:rFonts w:ascii="Times New Roman" w:hAnsi="Times New Roman" w:cs="Times New Roman"/>
        </w:rPr>
        <w:footnoteRef/>
      </w:r>
      <w:r w:rsidRPr="00F31375">
        <w:rPr>
          <w:rFonts w:ascii="Times New Roman" w:hAnsi="Times New Roman" w:cs="Times New Roman"/>
        </w:rPr>
        <w:t xml:space="preserve"> Pieejams: </w:t>
      </w:r>
      <w:hyperlink r:id="rId1" w:history="1">
        <w:r w:rsidRPr="00F31375">
          <w:rPr>
            <w:rStyle w:val="Hyperlink"/>
            <w:rFonts w:ascii="Times New Roman" w:hAnsi="Times New Roman" w:cs="Times New Roman"/>
          </w:rPr>
          <w:t>http://www.at.gov.lv/downloadlawfile/5862</w:t>
        </w:r>
      </w:hyperlink>
      <w:r w:rsidRPr="00F31375">
        <w:rPr>
          <w:rFonts w:ascii="Times New Roman" w:hAnsi="Times New Roman" w:cs="Times New Roman"/>
        </w:rPr>
        <w:t xml:space="preserve"> </w:t>
      </w:r>
    </w:p>
  </w:footnote>
  <w:footnote w:id="3">
    <w:p w14:paraId="54E22077" w14:textId="77777777" w:rsidR="00C733BF" w:rsidRPr="00307A00" w:rsidRDefault="00C733BF" w:rsidP="00C733BF">
      <w:pPr>
        <w:pStyle w:val="FootnoteText"/>
        <w:rPr>
          <w:rFonts w:ascii="Times New Roman" w:hAnsi="Times New Roman" w:cs="Times New Roman"/>
        </w:rPr>
      </w:pPr>
      <w:r w:rsidRPr="00307A00">
        <w:rPr>
          <w:rStyle w:val="FootnoteReference"/>
          <w:rFonts w:ascii="Times New Roman" w:hAnsi="Times New Roman" w:cs="Times New Roman"/>
        </w:rPr>
        <w:footnoteRef/>
      </w:r>
      <w:r w:rsidRPr="00307A00">
        <w:rPr>
          <w:rFonts w:ascii="Times New Roman" w:hAnsi="Times New Roman" w:cs="Times New Roman"/>
        </w:rPr>
        <w:t xml:space="preserve"> Pieejams: </w:t>
      </w:r>
      <w:hyperlink r:id="rId2" w:history="1">
        <w:r w:rsidRPr="00307A00">
          <w:rPr>
            <w:rStyle w:val="Hyperlink"/>
            <w:rFonts w:ascii="Times New Roman" w:hAnsi="Times New Roman" w:cs="Times New Roman"/>
          </w:rPr>
          <w:t>http://www.at.gov.lv/downloadlawfile/6162</w:t>
        </w:r>
      </w:hyperlink>
      <w:r w:rsidRPr="00307A00">
        <w:rPr>
          <w:rFonts w:ascii="Times New Roman" w:hAnsi="Times New Roman" w:cs="Times New Roman"/>
        </w:rPr>
        <w:t xml:space="preserve"> </w:t>
      </w:r>
    </w:p>
  </w:footnote>
  <w:footnote w:id="4">
    <w:p w14:paraId="0F54A4A3" w14:textId="77777777" w:rsidR="0076024F" w:rsidRPr="00E07AC6" w:rsidRDefault="0076024F" w:rsidP="0076024F">
      <w:pPr>
        <w:pStyle w:val="FootnoteText"/>
        <w:rPr>
          <w:rFonts w:ascii="Times New Roman" w:hAnsi="Times New Roman" w:cs="Times New Roman"/>
        </w:rPr>
      </w:pPr>
      <w:r w:rsidRPr="00E07AC6">
        <w:rPr>
          <w:rStyle w:val="FootnoteReference"/>
          <w:rFonts w:ascii="Times New Roman" w:hAnsi="Times New Roman" w:cs="Times New Roman"/>
        </w:rPr>
        <w:footnoteRef/>
      </w:r>
      <w:r w:rsidRPr="00E07AC6">
        <w:rPr>
          <w:rFonts w:ascii="Times New Roman" w:hAnsi="Times New Roman" w:cs="Times New Roman"/>
        </w:rPr>
        <w:t xml:space="preserve"> </w:t>
      </w:r>
      <w:hyperlink r:id="rId3" w:history="1">
        <w:r w:rsidRPr="00E07AC6">
          <w:rPr>
            <w:rStyle w:val="Hyperlink"/>
            <w:rFonts w:ascii="Times New Roman" w:hAnsi="Times New Roman" w:cs="Times New Roman"/>
          </w:rPr>
          <w:t>http://titania.saeima.lv/LIVS11/SaeimaLIVS11.nsf/webSasaiste?OpenView&amp;restricttocategory=147/Lp11</w:t>
        </w:r>
      </w:hyperlink>
      <w:r w:rsidRPr="00E07AC6">
        <w:rPr>
          <w:rFonts w:ascii="Times New Roman" w:hAnsi="Times New Roman" w:cs="Times New Roman"/>
        </w:rPr>
        <w:t xml:space="preserve"> </w:t>
      </w:r>
    </w:p>
  </w:footnote>
  <w:footnote w:id="5">
    <w:p w14:paraId="3D3CCB65" w14:textId="77777777" w:rsidR="0076024F" w:rsidRPr="00FF23C0" w:rsidRDefault="0076024F" w:rsidP="0076024F">
      <w:pPr>
        <w:pStyle w:val="FootnoteText"/>
        <w:rPr>
          <w:rFonts w:ascii="Times New Roman" w:hAnsi="Times New Roman" w:cs="Times New Roman"/>
        </w:rPr>
      </w:pPr>
      <w:r w:rsidRPr="00E07AC6">
        <w:rPr>
          <w:rStyle w:val="FootnoteReference"/>
          <w:rFonts w:ascii="Times New Roman" w:hAnsi="Times New Roman" w:cs="Times New Roman"/>
        </w:rPr>
        <w:footnoteRef/>
      </w:r>
      <w:r w:rsidRPr="00E07AC6">
        <w:rPr>
          <w:rFonts w:ascii="Times New Roman" w:hAnsi="Times New Roman" w:cs="Times New Roman"/>
        </w:rPr>
        <w:t xml:space="preserve"> </w:t>
      </w:r>
      <w:r w:rsidRPr="00FF23C0">
        <w:rPr>
          <w:rFonts w:ascii="Times New Roman" w:hAnsi="Times New Roman" w:cs="Times New Roman"/>
        </w:rPr>
        <w:t>Pētījuma 70.</w:t>
      </w:r>
      <w:r>
        <w:rPr>
          <w:rFonts w:ascii="Times New Roman" w:hAnsi="Times New Roman" w:cs="Times New Roman"/>
        </w:rPr>
        <w:t> </w:t>
      </w:r>
      <w:proofErr w:type="spellStart"/>
      <w:r w:rsidRPr="00FF23C0">
        <w:rPr>
          <w:rFonts w:ascii="Times New Roman" w:hAnsi="Times New Roman" w:cs="Times New Roman"/>
        </w:rPr>
        <w:t>lp</w:t>
      </w:r>
      <w:proofErr w:type="spellEnd"/>
      <w:r w:rsidRPr="00FF23C0">
        <w:rPr>
          <w:rFonts w:ascii="Times New Roman" w:hAnsi="Times New Roman" w:cs="Times New Roman"/>
        </w:rPr>
        <w:t>.</w:t>
      </w:r>
    </w:p>
  </w:footnote>
  <w:footnote w:id="6">
    <w:p w14:paraId="6053B4C9" w14:textId="77777777" w:rsidR="0076024F" w:rsidRPr="00FF23C0" w:rsidRDefault="0076024F" w:rsidP="0076024F">
      <w:pPr>
        <w:pStyle w:val="FootnoteText"/>
        <w:jc w:val="both"/>
        <w:rPr>
          <w:rFonts w:ascii="Times New Roman" w:hAnsi="Times New Roman" w:cs="Times New Roman"/>
        </w:rPr>
      </w:pPr>
      <w:r w:rsidRPr="00FF23C0">
        <w:rPr>
          <w:rStyle w:val="FootnoteReference"/>
          <w:rFonts w:ascii="Times New Roman" w:hAnsi="Times New Roman" w:cs="Times New Roman"/>
        </w:rPr>
        <w:footnoteRef/>
      </w:r>
      <w:r>
        <w:t xml:space="preserve"> </w:t>
      </w:r>
      <w:r>
        <w:rPr>
          <w:rFonts w:ascii="Times New Roman" w:hAnsi="Times New Roman" w:cs="Times New Roman"/>
        </w:rPr>
        <w:t xml:space="preserve">Latvijas Republikas Augstākās tiesas Civillietu departamenta 2017. gada 23. novembra </w:t>
      </w:r>
      <w:r w:rsidRPr="00AC4802">
        <w:rPr>
          <w:rFonts w:ascii="Times New Roman" w:hAnsi="Times New Roman" w:cs="Times New Roman"/>
        </w:rPr>
        <w:t>spriedums</w:t>
      </w:r>
      <w:r>
        <w:rPr>
          <w:rFonts w:ascii="Times New Roman" w:hAnsi="Times New Roman" w:cs="Times New Roman"/>
        </w:rPr>
        <w:t xml:space="preserve"> l</w:t>
      </w:r>
      <w:r w:rsidRPr="00AC4802">
        <w:rPr>
          <w:rFonts w:ascii="Times New Roman" w:hAnsi="Times New Roman" w:cs="Times New Roman"/>
        </w:rPr>
        <w:t>iet</w:t>
      </w:r>
      <w:r>
        <w:rPr>
          <w:rFonts w:ascii="Times New Roman" w:hAnsi="Times New Roman" w:cs="Times New Roman"/>
        </w:rPr>
        <w:t xml:space="preserve">ā </w:t>
      </w:r>
      <w:r w:rsidRPr="00AC4802">
        <w:rPr>
          <w:rFonts w:ascii="Times New Roman" w:hAnsi="Times New Roman" w:cs="Times New Roman"/>
        </w:rPr>
        <w:t>Nr.</w:t>
      </w:r>
      <w:r>
        <w:rPr>
          <w:rFonts w:ascii="Times New Roman" w:hAnsi="Times New Roman" w:cs="Times New Roman"/>
        </w:rPr>
        <w:t> </w:t>
      </w:r>
      <w:r w:rsidRPr="00AC4802">
        <w:rPr>
          <w:rFonts w:ascii="Times New Roman" w:hAnsi="Times New Roman" w:cs="Times New Roman"/>
        </w:rPr>
        <w:t>C31512811, SKC-381/2017</w:t>
      </w:r>
      <w:r>
        <w:rPr>
          <w:rFonts w:ascii="Times New Roman" w:hAnsi="Times New Roman" w:cs="Times New Roman"/>
        </w:rPr>
        <w:t xml:space="preserve">. Pieejams: </w:t>
      </w:r>
      <w:hyperlink r:id="rId4" w:history="1">
        <w:r w:rsidRPr="00FE3CE0">
          <w:rPr>
            <w:rStyle w:val="Hyperlink"/>
            <w:rFonts w:ascii="Times New Roman" w:hAnsi="Times New Roman" w:cs="Times New Roman"/>
          </w:rPr>
          <w:t>http://www.at.gov.lv/downloadlawfile/5392</w:t>
        </w:r>
      </w:hyperlink>
      <w:r>
        <w:rPr>
          <w:rFonts w:ascii="Times New Roman" w:hAnsi="Times New Roman" w:cs="Times New Roman"/>
        </w:rPr>
        <w:t xml:space="preserve"> </w:t>
      </w:r>
    </w:p>
  </w:footnote>
  <w:footnote w:id="7">
    <w:p w14:paraId="41785913" w14:textId="77777777" w:rsidR="00BB402A" w:rsidRPr="00CD2C89" w:rsidRDefault="00BB402A" w:rsidP="00BB402A">
      <w:pPr>
        <w:pStyle w:val="FootnoteText"/>
        <w:rPr>
          <w:rFonts w:ascii="Times New Roman" w:hAnsi="Times New Roman" w:cs="Times New Roman"/>
        </w:rPr>
      </w:pPr>
      <w:r w:rsidRPr="00CD2C89">
        <w:rPr>
          <w:rStyle w:val="FootnoteReference"/>
          <w:rFonts w:ascii="Times New Roman" w:hAnsi="Times New Roman" w:cs="Times New Roman"/>
        </w:rPr>
        <w:footnoteRef/>
      </w:r>
      <w:r w:rsidRPr="00CD2C89">
        <w:rPr>
          <w:rFonts w:ascii="Times New Roman" w:hAnsi="Times New Roman" w:cs="Times New Roman"/>
        </w:rPr>
        <w:t xml:space="preserve"> Sk.</w:t>
      </w:r>
      <w:r>
        <w:rPr>
          <w:rFonts w:ascii="Times New Roman" w:hAnsi="Times New Roman" w:cs="Times New Roman"/>
        </w:rPr>
        <w:t xml:space="preserve"> </w:t>
      </w:r>
      <w:proofErr w:type="spellStart"/>
      <w:r w:rsidRPr="00CD2C89">
        <w:rPr>
          <w:rFonts w:ascii="Times New Roman" w:hAnsi="Times New Roman" w:cs="Times New Roman"/>
        </w:rPr>
        <w:t>R.Krauze</w:t>
      </w:r>
      <w:proofErr w:type="spellEnd"/>
      <w:r w:rsidRPr="00CD2C89">
        <w:rPr>
          <w:rFonts w:ascii="Times New Roman" w:hAnsi="Times New Roman" w:cs="Times New Roman"/>
        </w:rPr>
        <w:t xml:space="preserve">, </w:t>
      </w:r>
      <w:proofErr w:type="spellStart"/>
      <w:r w:rsidRPr="00CD2C89">
        <w:rPr>
          <w:rFonts w:ascii="Times New Roman" w:hAnsi="Times New Roman" w:cs="Times New Roman"/>
        </w:rPr>
        <w:t>Z.Gencs</w:t>
      </w:r>
      <w:proofErr w:type="spellEnd"/>
      <w:r w:rsidRPr="00CD2C89">
        <w:rPr>
          <w:rFonts w:ascii="Times New Roman" w:hAnsi="Times New Roman" w:cs="Times New Roman"/>
        </w:rPr>
        <w:t>. Civillikuma komentāri: Mantojuma tiesības. Rīga, Mans Īpašums, 1997, 271.</w:t>
      </w:r>
      <w:r>
        <w:rPr>
          <w:rFonts w:ascii="Times New Roman" w:hAnsi="Times New Roman" w:cs="Times New Roman"/>
        </w:rPr>
        <w:t> </w:t>
      </w:r>
      <w:proofErr w:type="spellStart"/>
      <w:r w:rsidRPr="00CD2C89">
        <w:rPr>
          <w:rFonts w:ascii="Times New Roman" w:hAnsi="Times New Roman" w:cs="Times New Roman"/>
        </w:rPr>
        <w:t>lp</w:t>
      </w:r>
      <w:proofErr w:type="spellEnd"/>
      <w:r w:rsidRPr="00CD2C89">
        <w:rPr>
          <w:rFonts w:ascii="Times New Roman" w:hAnsi="Times New Roman" w:cs="Times New Roman"/>
        </w:rPr>
        <w:t>.</w:t>
      </w:r>
    </w:p>
  </w:footnote>
  <w:footnote w:id="8">
    <w:p w14:paraId="40FDF310" w14:textId="77777777" w:rsidR="00BB402A" w:rsidRPr="00C65FDE" w:rsidRDefault="00BB402A" w:rsidP="00BB402A">
      <w:pPr>
        <w:pStyle w:val="FootnoteText"/>
        <w:jc w:val="both"/>
        <w:rPr>
          <w:rFonts w:ascii="Times New Roman" w:hAnsi="Times New Roman" w:cs="Times New Roman"/>
        </w:rPr>
      </w:pPr>
      <w:r w:rsidRPr="00C65FDE">
        <w:rPr>
          <w:rStyle w:val="FootnoteReference"/>
          <w:rFonts w:ascii="Times New Roman" w:hAnsi="Times New Roman" w:cs="Times New Roman"/>
        </w:rPr>
        <w:footnoteRef/>
      </w:r>
      <w:r w:rsidRPr="00C65FDE">
        <w:rPr>
          <w:rFonts w:ascii="Times New Roman" w:hAnsi="Times New Roman" w:cs="Times New Roman"/>
        </w:rPr>
        <w:t xml:space="preserve"> </w:t>
      </w:r>
      <w:r>
        <w:rPr>
          <w:rFonts w:ascii="Times New Roman" w:hAnsi="Times New Roman" w:cs="Times New Roman"/>
        </w:rPr>
        <w:t xml:space="preserve">Piemēram, </w:t>
      </w:r>
      <w:r w:rsidRPr="00C65FDE">
        <w:rPr>
          <w:rFonts w:ascii="Times New Roman" w:hAnsi="Times New Roman" w:cs="Times New Roman"/>
        </w:rPr>
        <w:t>Lietuva, Igaunija, Vācija, Šveice, Francija, Polija, Beļģija, Malta</w:t>
      </w:r>
      <w:r>
        <w:rPr>
          <w:rFonts w:ascii="Times New Roman" w:hAnsi="Times New Roman" w:cs="Times New Roman"/>
        </w:rPr>
        <w:t xml:space="preserve"> (dati iegūti izmantojot </w:t>
      </w:r>
      <w:proofErr w:type="spellStart"/>
      <w:r w:rsidRPr="006C33C8">
        <w:rPr>
          <w:rFonts w:ascii="Times New Roman" w:hAnsi="Times New Roman" w:cs="Times New Roman"/>
          <w:i/>
          <w:iCs/>
        </w:rPr>
        <w:t>Legicoop</w:t>
      </w:r>
      <w:proofErr w:type="spellEnd"/>
      <w:r>
        <w:rPr>
          <w:rFonts w:ascii="Times New Roman" w:hAnsi="Times New Roman" w:cs="Times New Roman"/>
        </w:rPr>
        <w:t xml:space="preserve"> tīklu).</w:t>
      </w:r>
    </w:p>
  </w:footnote>
  <w:footnote w:id="9">
    <w:p w14:paraId="69627963" w14:textId="77777777" w:rsidR="00BB402A" w:rsidRPr="008C53B5" w:rsidRDefault="00BB402A" w:rsidP="00BB402A">
      <w:pPr>
        <w:pStyle w:val="FootnoteText"/>
        <w:rPr>
          <w:rFonts w:ascii="Times New Roman" w:hAnsi="Times New Roman" w:cs="Times New Roman"/>
        </w:rPr>
      </w:pPr>
      <w:r w:rsidRPr="008C53B5">
        <w:rPr>
          <w:rStyle w:val="FootnoteReference"/>
          <w:rFonts w:ascii="Times New Roman" w:hAnsi="Times New Roman" w:cs="Times New Roman"/>
        </w:rPr>
        <w:footnoteRef/>
      </w:r>
      <w:r w:rsidRPr="008C53B5">
        <w:rPr>
          <w:rFonts w:ascii="Times New Roman" w:hAnsi="Times New Roman" w:cs="Times New Roman"/>
        </w:rPr>
        <w:t xml:space="preserve"> </w:t>
      </w:r>
      <w:hyperlink r:id="rId5" w:history="1">
        <w:r w:rsidRPr="008C53B5">
          <w:rPr>
            <w:rStyle w:val="Hyperlink"/>
            <w:rFonts w:ascii="Times New Roman" w:hAnsi="Times New Roman" w:cs="Times New Roman"/>
          </w:rPr>
          <w:t>https://stat.gov.lv/lv/statistikas-temas/iedzivotaji/mirstiba/2688-miruso-skaits</w:t>
        </w:r>
      </w:hyperlink>
      <w:r w:rsidRPr="008C53B5">
        <w:rPr>
          <w:rFonts w:ascii="Times New Roman" w:hAnsi="Times New Roman" w:cs="Times New Roman"/>
        </w:rPr>
        <w:t xml:space="preserve"> </w:t>
      </w:r>
    </w:p>
  </w:footnote>
  <w:footnote w:id="10">
    <w:p w14:paraId="01D7BD3C" w14:textId="77777777" w:rsidR="00BB402A" w:rsidRPr="004D6811" w:rsidRDefault="00BB402A" w:rsidP="00BB402A">
      <w:pPr>
        <w:pStyle w:val="FootnoteText"/>
        <w:jc w:val="both"/>
        <w:rPr>
          <w:rFonts w:ascii="Times New Roman" w:hAnsi="Times New Roman" w:cs="Times New Roman"/>
        </w:rPr>
      </w:pPr>
      <w:r w:rsidRPr="004D6811">
        <w:rPr>
          <w:rStyle w:val="FootnoteReference"/>
          <w:rFonts w:ascii="Times New Roman" w:hAnsi="Times New Roman" w:cs="Times New Roman"/>
        </w:rPr>
        <w:footnoteRef/>
      </w:r>
      <w:r w:rsidRPr="004D6811">
        <w:rPr>
          <w:rFonts w:ascii="Times New Roman" w:hAnsi="Times New Roman" w:cs="Times New Roman"/>
        </w:rPr>
        <w:t xml:space="preserve"> </w:t>
      </w:r>
      <w:proofErr w:type="spellStart"/>
      <w:r w:rsidRPr="004D6811">
        <w:rPr>
          <w:rFonts w:ascii="Times New Roman" w:hAnsi="Times New Roman" w:cs="Times New Roman"/>
        </w:rPr>
        <w:t>Mariusz</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Zalucki</w:t>
      </w:r>
      <w:proofErr w:type="spellEnd"/>
      <w:r w:rsidRPr="004D6811">
        <w:rPr>
          <w:rFonts w:ascii="Times New Roman" w:hAnsi="Times New Roman" w:cs="Times New Roman"/>
        </w:rPr>
        <w:t>, '</w:t>
      </w:r>
      <w:proofErr w:type="spellStart"/>
      <w:r w:rsidRPr="004D6811">
        <w:rPr>
          <w:rFonts w:ascii="Times New Roman" w:hAnsi="Times New Roman" w:cs="Times New Roman"/>
        </w:rPr>
        <w:t>New</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Rules</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on</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Liability</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for</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Inheritance</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Debts</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in</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Poland</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Road</w:t>
      </w:r>
      <w:proofErr w:type="spellEnd"/>
      <w:r w:rsidRPr="004D6811">
        <w:rPr>
          <w:rFonts w:ascii="Times New Roman" w:hAnsi="Times New Roman" w:cs="Times New Roman"/>
        </w:rPr>
        <w:t xml:space="preserve"> to a </w:t>
      </w:r>
      <w:proofErr w:type="spellStart"/>
      <w:r w:rsidRPr="004D6811">
        <w:rPr>
          <w:rFonts w:ascii="Times New Roman" w:hAnsi="Times New Roman" w:cs="Times New Roman"/>
        </w:rPr>
        <w:t>Single</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European</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Law</w:t>
      </w:r>
      <w:proofErr w:type="spellEnd"/>
      <w:r w:rsidRPr="004D6811">
        <w:rPr>
          <w:rFonts w:ascii="Times New Roman" w:hAnsi="Times New Roman" w:cs="Times New Roman"/>
        </w:rPr>
        <w:t xml:space="preserve">?', (2016), 24, </w:t>
      </w:r>
      <w:proofErr w:type="spellStart"/>
      <w:r w:rsidRPr="004D6811">
        <w:rPr>
          <w:rFonts w:ascii="Times New Roman" w:hAnsi="Times New Roman" w:cs="Times New Roman"/>
        </w:rPr>
        <w:t>European</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Review</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of</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Private</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Law</w:t>
      </w:r>
      <w:proofErr w:type="spellEnd"/>
      <w:r w:rsidRPr="004D6811">
        <w:rPr>
          <w:rFonts w:ascii="Times New Roman" w:hAnsi="Times New Roman" w:cs="Times New Roman"/>
        </w:rPr>
        <w:t xml:space="preserve">, </w:t>
      </w:r>
      <w:proofErr w:type="spellStart"/>
      <w:r w:rsidRPr="004D6811">
        <w:rPr>
          <w:rFonts w:ascii="Times New Roman" w:hAnsi="Times New Roman" w:cs="Times New Roman"/>
        </w:rPr>
        <w:t>Issue</w:t>
      </w:r>
      <w:proofErr w:type="spellEnd"/>
      <w:r w:rsidRPr="004D6811">
        <w:rPr>
          <w:rFonts w:ascii="Times New Roman" w:hAnsi="Times New Roman" w:cs="Times New Roman"/>
        </w:rPr>
        <w:t xml:space="preserve"> 2, </w:t>
      </w:r>
      <w:proofErr w:type="spellStart"/>
      <w:r w:rsidRPr="004D6811">
        <w:rPr>
          <w:rFonts w:ascii="Times New Roman" w:hAnsi="Times New Roman" w:cs="Times New Roman"/>
        </w:rPr>
        <w:t>pp</w:t>
      </w:r>
      <w:proofErr w:type="spellEnd"/>
      <w:r w:rsidRPr="004D6811">
        <w:rPr>
          <w:rFonts w:ascii="Times New Roman" w:hAnsi="Times New Roman" w:cs="Times New Roman"/>
        </w:rPr>
        <w:t xml:space="preserve">. 189-202, </w:t>
      </w:r>
      <w:hyperlink r:id="rId6" w:history="1">
        <w:r w:rsidRPr="00380839">
          <w:rPr>
            <w:rStyle w:val="Hyperlink"/>
            <w:rFonts w:ascii="Times New Roman" w:hAnsi="Times New Roman" w:cs="Times New Roman"/>
          </w:rPr>
          <w:t>https://kluwerlawonline.com/journalarticle/European+Review+of+Private+Law/24.2/ERPL2016013</w:t>
        </w:r>
      </w:hyperlink>
      <w:r>
        <w:rPr>
          <w:rFonts w:ascii="Times New Roman" w:hAnsi="Times New Roman" w:cs="Times New Roman"/>
        </w:rPr>
        <w:t xml:space="preserve"> </w:t>
      </w:r>
    </w:p>
  </w:footnote>
  <w:footnote w:id="11">
    <w:p w14:paraId="4C835A59" w14:textId="77777777" w:rsidR="00BB402A" w:rsidRPr="00C437E3" w:rsidRDefault="00BB402A" w:rsidP="00BB402A">
      <w:pPr>
        <w:pStyle w:val="FootnoteText"/>
        <w:jc w:val="both"/>
        <w:rPr>
          <w:rFonts w:ascii="Times New Roman" w:hAnsi="Times New Roman" w:cs="Times New Roman"/>
        </w:rPr>
      </w:pPr>
      <w:r w:rsidRPr="00C437E3">
        <w:rPr>
          <w:rStyle w:val="FootnoteReference"/>
          <w:rFonts w:ascii="Times New Roman" w:hAnsi="Times New Roman" w:cs="Times New Roman"/>
        </w:rPr>
        <w:footnoteRef/>
      </w:r>
      <w:r w:rsidRPr="00C437E3">
        <w:rPr>
          <w:rFonts w:ascii="Times New Roman" w:hAnsi="Times New Roman" w:cs="Times New Roman"/>
        </w:rPr>
        <w:t xml:space="preserve"> Ministru kabineta 2008.</w:t>
      </w:r>
      <w:r>
        <w:rPr>
          <w:rFonts w:ascii="Times New Roman" w:hAnsi="Times New Roman" w:cs="Times New Roman"/>
        </w:rPr>
        <w:t> </w:t>
      </w:r>
      <w:r w:rsidRPr="00C437E3">
        <w:rPr>
          <w:rFonts w:ascii="Times New Roman" w:hAnsi="Times New Roman" w:cs="Times New Roman"/>
        </w:rPr>
        <w:t>gada 4.</w:t>
      </w:r>
      <w:r>
        <w:rPr>
          <w:rFonts w:ascii="Times New Roman" w:hAnsi="Times New Roman" w:cs="Times New Roman"/>
        </w:rPr>
        <w:t> </w:t>
      </w:r>
      <w:r w:rsidRPr="00C437E3">
        <w:rPr>
          <w:rFonts w:ascii="Times New Roman" w:hAnsi="Times New Roman" w:cs="Times New Roman"/>
        </w:rPr>
        <w:t>augusta noteikumi Nr.</w:t>
      </w:r>
      <w:r>
        <w:rPr>
          <w:rFonts w:ascii="Times New Roman" w:hAnsi="Times New Roman" w:cs="Times New Roman"/>
        </w:rPr>
        <w:t> </w:t>
      </w:r>
      <w:r w:rsidRPr="00C437E3">
        <w:rPr>
          <w:rFonts w:ascii="Times New Roman" w:hAnsi="Times New Roman" w:cs="Times New Roman"/>
        </w:rPr>
        <w:t xml:space="preserve">618 </w:t>
      </w:r>
      <w:r w:rsidRPr="00C437E3">
        <w:rPr>
          <w:rFonts w:ascii="Times New Roman" w:hAnsi="Times New Roman" w:cs="Times New Roman"/>
          <w:iCs/>
        </w:rPr>
        <w:t>"</w:t>
      </w:r>
      <w:r w:rsidRPr="00C437E3">
        <w:rPr>
          <w:rFonts w:ascii="Times New Roman" w:hAnsi="Times New Roman" w:cs="Times New Roman"/>
        </w:rPr>
        <w:t>Noteikumi par mantojuma reģistra un mantojuma lietu vešanu</w:t>
      </w:r>
      <w:r w:rsidRPr="00C437E3">
        <w:rPr>
          <w:rFonts w:ascii="Times New Roman" w:hAnsi="Times New Roman" w:cs="Times New Roman"/>
          <w:iCs/>
        </w:rPr>
        <w:t>"</w:t>
      </w:r>
      <w:r>
        <w:rPr>
          <w:rFonts w:ascii="Times New Roman" w:hAnsi="Times New Roman" w:cs="Times New Roman"/>
          <w:iCs/>
        </w:rPr>
        <w:t xml:space="preserve"> </w:t>
      </w:r>
    </w:p>
  </w:footnote>
  <w:footnote w:id="12">
    <w:p w14:paraId="5F64A5B6" w14:textId="77777777" w:rsidR="00BB402A" w:rsidRPr="003A4DAD" w:rsidRDefault="00BB402A" w:rsidP="00BB402A">
      <w:pPr>
        <w:pStyle w:val="FootnoteText"/>
        <w:rPr>
          <w:rFonts w:ascii="Times New Roman" w:hAnsi="Times New Roman" w:cs="Times New Roman"/>
        </w:rPr>
      </w:pPr>
      <w:r w:rsidRPr="003A4DAD">
        <w:rPr>
          <w:rStyle w:val="FootnoteReference"/>
          <w:rFonts w:ascii="Times New Roman" w:hAnsi="Times New Roman" w:cs="Times New Roman"/>
        </w:rPr>
        <w:footnoteRef/>
      </w:r>
      <w:r w:rsidRPr="003A4DAD">
        <w:rPr>
          <w:rFonts w:ascii="Times New Roman" w:hAnsi="Times New Roman" w:cs="Times New Roman"/>
        </w:rPr>
        <w:t xml:space="preserve"> Sk. </w:t>
      </w:r>
      <w:proofErr w:type="spellStart"/>
      <w:r w:rsidRPr="003A4DAD">
        <w:rPr>
          <w:rFonts w:ascii="Times New Roman" w:hAnsi="Times New Roman" w:cs="Times New Roman"/>
        </w:rPr>
        <w:t>R.Krauze</w:t>
      </w:r>
      <w:proofErr w:type="spellEnd"/>
      <w:r w:rsidRPr="003A4DAD">
        <w:rPr>
          <w:rFonts w:ascii="Times New Roman" w:hAnsi="Times New Roman" w:cs="Times New Roman"/>
        </w:rPr>
        <w:t xml:space="preserve">, </w:t>
      </w:r>
      <w:proofErr w:type="spellStart"/>
      <w:r w:rsidRPr="003A4DAD">
        <w:rPr>
          <w:rFonts w:ascii="Times New Roman" w:hAnsi="Times New Roman" w:cs="Times New Roman"/>
        </w:rPr>
        <w:t>Z.Gencs</w:t>
      </w:r>
      <w:proofErr w:type="spellEnd"/>
      <w:r w:rsidRPr="003A4DAD">
        <w:rPr>
          <w:rFonts w:ascii="Times New Roman" w:hAnsi="Times New Roman" w:cs="Times New Roman"/>
        </w:rPr>
        <w:t>. Civillikuma komentāri: Mantojuma tiesības. Rīga, Mans Īpašums, 1997, 147. </w:t>
      </w:r>
      <w:proofErr w:type="spellStart"/>
      <w:r w:rsidRPr="003A4DAD">
        <w:rPr>
          <w:rFonts w:ascii="Times New Roman" w:hAnsi="Times New Roman" w:cs="Times New Roman"/>
        </w:rPr>
        <w:t>lp</w:t>
      </w:r>
      <w:proofErr w:type="spellEnd"/>
      <w:r w:rsidRPr="003A4DAD">
        <w:rPr>
          <w:rFonts w:ascii="Times New Roman" w:hAnsi="Times New Roman" w:cs="Times New Roman"/>
        </w:rPr>
        <w:t>.</w:t>
      </w:r>
    </w:p>
  </w:footnote>
  <w:footnote w:id="13">
    <w:p w14:paraId="33362A6F" w14:textId="77777777" w:rsidR="00BB402A" w:rsidRDefault="00BB402A" w:rsidP="00BB402A">
      <w:pPr>
        <w:pStyle w:val="FootnoteText"/>
      </w:pPr>
      <w:r w:rsidRPr="003A4DAD">
        <w:rPr>
          <w:rStyle w:val="FootnoteReference"/>
          <w:rFonts w:ascii="Times New Roman" w:hAnsi="Times New Roman" w:cs="Times New Roman"/>
        </w:rPr>
        <w:footnoteRef/>
      </w:r>
      <w:r w:rsidRPr="003A4DAD">
        <w:rPr>
          <w:rFonts w:ascii="Times New Roman" w:hAnsi="Times New Roman" w:cs="Times New Roman"/>
        </w:rPr>
        <w:t xml:space="preserve"> Sk. Ministru kabineta 04.08.2008. noteikum</w:t>
      </w:r>
      <w:r>
        <w:rPr>
          <w:rFonts w:ascii="Times New Roman" w:hAnsi="Times New Roman" w:cs="Times New Roman"/>
        </w:rPr>
        <w:t>u</w:t>
      </w:r>
      <w:r w:rsidRPr="003A4DAD">
        <w:rPr>
          <w:rFonts w:ascii="Times New Roman" w:hAnsi="Times New Roman" w:cs="Times New Roman"/>
        </w:rPr>
        <w:t xml:space="preserve"> Nr. 618 "Noteikumi par mantojuma reģistra un mantojuma lietu vešanu"</w:t>
      </w:r>
      <w:r>
        <w:rPr>
          <w:rFonts w:ascii="Times New Roman" w:hAnsi="Times New Roman" w:cs="Times New Roman"/>
        </w:rPr>
        <w:t xml:space="preserve"> 30. punktu.</w:t>
      </w:r>
    </w:p>
  </w:footnote>
  <w:footnote w:id="14">
    <w:p w14:paraId="4006ACB5" w14:textId="77777777" w:rsidR="00BB402A" w:rsidRPr="00C437E3" w:rsidRDefault="00BB402A" w:rsidP="00BB402A">
      <w:pPr>
        <w:pStyle w:val="FootnoteText"/>
        <w:rPr>
          <w:rFonts w:ascii="Times New Roman" w:hAnsi="Times New Roman" w:cs="Times New Roman"/>
        </w:rPr>
      </w:pPr>
      <w:r w:rsidRPr="00C437E3">
        <w:rPr>
          <w:rStyle w:val="FootnoteReference"/>
          <w:rFonts w:ascii="Times New Roman" w:hAnsi="Times New Roman" w:cs="Times New Roman"/>
        </w:rPr>
        <w:footnoteRef/>
      </w:r>
      <w:r w:rsidRPr="00C437E3">
        <w:rPr>
          <w:rFonts w:ascii="Times New Roman" w:hAnsi="Times New Roman" w:cs="Times New Roman"/>
        </w:rPr>
        <w:t xml:space="preserve"> Ministru kabineta 2008.</w:t>
      </w:r>
      <w:r>
        <w:rPr>
          <w:rFonts w:ascii="Times New Roman" w:hAnsi="Times New Roman" w:cs="Times New Roman"/>
        </w:rPr>
        <w:t> </w:t>
      </w:r>
      <w:r w:rsidRPr="00C437E3">
        <w:rPr>
          <w:rFonts w:ascii="Times New Roman" w:hAnsi="Times New Roman" w:cs="Times New Roman"/>
        </w:rPr>
        <w:t>gada 4.</w:t>
      </w:r>
      <w:r>
        <w:rPr>
          <w:rFonts w:ascii="Times New Roman" w:hAnsi="Times New Roman" w:cs="Times New Roman"/>
        </w:rPr>
        <w:t> </w:t>
      </w:r>
      <w:r w:rsidRPr="00C437E3">
        <w:rPr>
          <w:rFonts w:ascii="Times New Roman" w:hAnsi="Times New Roman" w:cs="Times New Roman"/>
        </w:rPr>
        <w:t>augusta noteikumi Nr.</w:t>
      </w:r>
      <w:r>
        <w:rPr>
          <w:rFonts w:ascii="Times New Roman" w:hAnsi="Times New Roman" w:cs="Times New Roman"/>
        </w:rPr>
        <w:t> </w:t>
      </w:r>
      <w:r w:rsidRPr="00C437E3">
        <w:rPr>
          <w:rFonts w:ascii="Times New Roman" w:hAnsi="Times New Roman" w:cs="Times New Roman"/>
        </w:rPr>
        <w:t xml:space="preserve">618 </w:t>
      </w:r>
      <w:r w:rsidRPr="00C437E3">
        <w:rPr>
          <w:rFonts w:ascii="Times New Roman" w:hAnsi="Times New Roman" w:cs="Times New Roman"/>
          <w:iCs/>
        </w:rPr>
        <w:t>"</w:t>
      </w:r>
      <w:r w:rsidRPr="00C437E3">
        <w:rPr>
          <w:rFonts w:ascii="Times New Roman" w:hAnsi="Times New Roman" w:cs="Times New Roman"/>
        </w:rPr>
        <w:t>Noteikumi par mantojuma reģistra un mantojuma lietu vešanu</w:t>
      </w:r>
      <w:r w:rsidRPr="00C437E3">
        <w:rPr>
          <w:rFonts w:ascii="Times New Roman" w:hAnsi="Times New Roman" w:cs="Times New Roman"/>
          <w:iCs/>
        </w:rPr>
        <w:t>"</w:t>
      </w:r>
    </w:p>
  </w:footnote>
  <w:footnote w:id="15">
    <w:p w14:paraId="5B1C6110" w14:textId="77777777" w:rsidR="00BB402A" w:rsidRPr="00CC72F1" w:rsidRDefault="00BB402A" w:rsidP="00BB402A">
      <w:pPr>
        <w:pStyle w:val="FootnoteText"/>
        <w:jc w:val="both"/>
        <w:rPr>
          <w:rFonts w:ascii="Times New Roman" w:hAnsi="Times New Roman" w:cs="Times New Roman"/>
        </w:rPr>
      </w:pPr>
      <w:r w:rsidRPr="00CC72F1">
        <w:rPr>
          <w:rStyle w:val="FootnoteReference"/>
          <w:rFonts w:ascii="Times New Roman" w:hAnsi="Times New Roman" w:cs="Times New Roman"/>
        </w:rPr>
        <w:footnoteRef/>
      </w:r>
      <w:r w:rsidRPr="00CC72F1">
        <w:rPr>
          <w:rFonts w:ascii="Times New Roman" w:hAnsi="Times New Roman" w:cs="Times New Roman"/>
        </w:rPr>
        <w:t xml:space="preserve"> </w:t>
      </w:r>
      <w:proofErr w:type="spellStart"/>
      <w:r w:rsidRPr="00CC72F1">
        <w:rPr>
          <w:rFonts w:ascii="Times New Roman" w:hAnsi="Times New Roman" w:cs="Times New Roman"/>
        </w:rPr>
        <w:t>K.Torgāns</w:t>
      </w:r>
      <w:proofErr w:type="spellEnd"/>
      <w:r w:rsidRPr="00CC72F1">
        <w:rPr>
          <w:rFonts w:ascii="Times New Roman" w:hAnsi="Times New Roman" w:cs="Times New Roman"/>
        </w:rPr>
        <w:t>. Saistību tiesības. Otrais papildinātais izdevums. Rīga: Tiesu namu aģentūra, 2018, 83.</w:t>
      </w:r>
      <w:r>
        <w:rPr>
          <w:rFonts w:ascii="Times New Roman" w:hAnsi="Times New Roman" w:cs="Times New Roman"/>
        </w:rPr>
        <w:t> </w:t>
      </w:r>
      <w:proofErr w:type="spellStart"/>
      <w:r w:rsidRPr="00CC72F1">
        <w:rPr>
          <w:rFonts w:ascii="Times New Roman" w:hAnsi="Times New Roman" w:cs="Times New Roman"/>
        </w:rPr>
        <w:t>lp</w:t>
      </w:r>
      <w:proofErr w:type="spellEnd"/>
      <w:r w:rsidRPr="00CC72F1">
        <w:rPr>
          <w:rFonts w:ascii="Times New Roman" w:hAnsi="Times New Roman" w:cs="Times New Roman"/>
        </w:rPr>
        <w:t>.</w:t>
      </w:r>
    </w:p>
  </w:footnote>
  <w:footnote w:id="16">
    <w:p w14:paraId="4025AD5B" w14:textId="3FD8DE1B" w:rsidR="0069592C" w:rsidRDefault="0069592C">
      <w:pPr>
        <w:pStyle w:val="FootnoteText"/>
      </w:pPr>
      <w:r>
        <w:rPr>
          <w:rStyle w:val="FootnoteReference"/>
        </w:rPr>
        <w:footnoteRef/>
      </w:r>
      <w:r>
        <w:t xml:space="preserve"> </w:t>
      </w:r>
      <w:r w:rsidRPr="0069592C">
        <w:t>Kalniņš E. Īpašums. Jurista Vārds, 15.02.2022., Nr. 7 (1221), 66.-67.lpp.</w:t>
      </w:r>
    </w:p>
  </w:footnote>
  <w:footnote w:id="17">
    <w:p w14:paraId="711737FF" w14:textId="77777777" w:rsidR="00ED7F86" w:rsidRPr="003C2893" w:rsidRDefault="00ED7F86" w:rsidP="00ED7F86">
      <w:pPr>
        <w:pStyle w:val="FootnoteText"/>
        <w:jc w:val="both"/>
        <w:rPr>
          <w:rFonts w:ascii="Times New Roman" w:hAnsi="Times New Roman" w:cs="Times New Roman"/>
        </w:rPr>
      </w:pPr>
      <w:r w:rsidRPr="003C2893">
        <w:rPr>
          <w:rStyle w:val="FootnoteReference"/>
          <w:rFonts w:ascii="Times New Roman" w:hAnsi="Times New Roman" w:cs="Times New Roman"/>
        </w:rPr>
        <w:footnoteRef/>
      </w:r>
      <w:r w:rsidRPr="003C2893">
        <w:rPr>
          <w:rFonts w:ascii="Times New Roman" w:hAnsi="Times New Roman" w:cs="Times New Roman"/>
        </w:rPr>
        <w:t xml:space="preserve"> Sk.</w:t>
      </w:r>
      <w:r>
        <w:rPr>
          <w:rFonts w:ascii="Times New Roman" w:hAnsi="Times New Roman" w:cs="Times New Roman"/>
        </w:rPr>
        <w:t xml:space="preserve"> </w:t>
      </w:r>
      <w:proofErr w:type="spellStart"/>
      <w:r w:rsidRPr="003C2893">
        <w:rPr>
          <w:rFonts w:ascii="Times New Roman" w:hAnsi="Times New Roman" w:cs="Times New Roman"/>
        </w:rPr>
        <w:t>R.Krauze</w:t>
      </w:r>
      <w:proofErr w:type="spellEnd"/>
      <w:r w:rsidRPr="003C2893">
        <w:rPr>
          <w:rFonts w:ascii="Times New Roman" w:hAnsi="Times New Roman" w:cs="Times New Roman"/>
        </w:rPr>
        <w:t xml:space="preserve">, </w:t>
      </w:r>
      <w:proofErr w:type="spellStart"/>
      <w:r w:rsidRPr="003C2893">
        <w:rPr>
          <w:rFonts w:ascii="Times New Roman" w:hAnsi="Times New Roman" w:cs="Times New Roman"/>
        </w:rPr>
        <w:t>Z.Gencs</w:t>
      </w:r>
      <w:proofErr w:type="spellEnd"/>
      <w:r w:rsidRPr="003C2893">
        <w:rPr>
          <w:rFonts w:ascii="Times New Roman" w:hAnsi="Times New Roman" w:cs="Times New Roman"/>
        </w:rPr>
        <w:t>. Civillikuma komentāri: Mantojuma tiesības. Rīga, Mans Īpašums, 1997, 205., 206.</w:t>
      </w:r>
      <w:r>
        <w:rPr>
          <w:rFonts w:ascii="Times New Roman" w:hAnsi="Times New Roman" w:cs="Times New Roman"/>
        </w:rPr>
        <w:t> </w:t>
      </w:r>
      <w:proofErr w:type="spellStart"/>
      <w:r w:rsidRPr="003C2893">
        <w:rPr>
          <w:rFonts w:ascii="Times New Roman" w:hAnsi="Times New Roman" w:cs="Times New Roman"/>
        </w:rPr>
        <w:t>lp</w:t>
      </w:r>
      <w:proofErr w:type="spellEnd"/>
      <w:r w:rsidRPr="003C2893">
        <w:rPr>
          <w:rFonts w:ascii="Times New Roman" w:hAnsi="Times New Roman" w:cs="Times New Roman"/>
        </w:rPr>
        <w:t>.</w:t>
      </w:r>
    </w:p>
  </w:footnote>
  <w:footnote w:id="18">
    <w:p w14:paraId="22CC35AA" w14:textId="77777777" w:rsidR="00ED7F86" w:rsidRPr="00E07AC6" w:rsidRDefault="00ED7F86" w:rsidP="00ED7F86">
      <w:pPr>
        <w:pStyle w:val="FootnoteText"/>
        <w:jc w:val="both"/>
        <w:rPr>
          <w:rFonts w:ascii="Times New Roman" w:hAnsi="Times New Roman" w:cs="Times New Roman"/>
          <w:iCs/>
        </w:rPr>
      </w:pPr>
      <w:r w:rsidRPr="003C2893">
        <w:rPr>
          <w:rStyle w:val="FootnoteReference"/>
          <w:rFonts w:ascii="Times New Roman" w:hAnsi="Times New Roman" w:cs="Times New Roman"/>
        </w:rPr>
        <w:footnoteRef/>
      </w:r>
      <w:r w:rsidRPr="003C2893">
        <w:rPr>
          <w:rFonts w:ascii="Times New Roman" w:hAnsi="Times New Roman" w:cs="Times New Roman"/>
          <w:iCs/>
        </w:rPr>
        <w:t> </w:t>
      </w:r>
      <w:hyperlink r:id="rId7" w:anchor="b" w:history="1">
        <w:r w:rsidRPr="003C2893">
          <w:rPr>
            <w:rStyle w:val="Hyperlink"/>
            <w:rFonts w:ascii="Times New Roman" w:hAnsi="Times New Roman" w:cs="Times New Roman"/>
          </w:rPr>
          <w:t>http://titania.saeima.lv/LIVS11/SaeimaLIVS11.nsf/0/6B344BFA6FFFD050C2257A92002B83D1?OpenDocument#b</w:t>
        </w:r>
      </w:hyperlink>
      <w:r w:rsidRPr="00E07AC6">
        <w:rPr>
          <w:rFonts w:ascii="Times New Roman" w:hAnsi="Times New Roman" w:cs="Times New Roman"/>
        </w:rPr>
        <w:t xml:space="preserve"> </w:t>
      </w:r>
    </w:p>
  </w:footnote>
  <w:footnote w:id="19">
    <w:p w14:paraId="5E4F9CD4" w14:textId="77777777" w:rsidR="00E9419A" w:rsidRPr="00A37970" w:rsidRDefault="00E9419A" w:rsidP="00E9419A">
      <w:pPr>
        <w:pStyle w:val="FootnoteText"/>
        <w:rPr>
          <w:rFonts w:ascii="Times New Roman" w:hAnsi="Times New Roman" w:cs="Times New Roman"/>
        </w:rPr>
      </w:pPr>
      <w:r w:rsidRPr="00A37970">
        <w:rPr>
          <w:rStyle w:val="FootnoteReference"/>
          <w:rFonts w:ascii="Times New Roman" w:hAnsi="Times New Roman" w:cs="Times New Roman"/>
        </w:rPr>
        <w:footnoteRef/>
      </w:r>
      <w:r w:rsidRPr="00A37970">
        <w:rPr>
          <w:rFonts w:ascii="Times New Roman" w:hAnsi="Times New Roman" w:cs="Times New Roman"/>
        </w:rPr>
        <w:t xml:space="preserve"> </w:t>
      </w:r>
      <w:hyperlink r:id="rId8" w:history="1">
        <w:r w:rsidRPr="00A37970">
          <w:rPr>
            <w:rStyle w:val="Hyperlink"/>
            <w:rFonts w:ascii="Times New Roman" w:hAnsi="Times New Roman" w:cs="Times New Roman"/>
          </w:rPr>
          <w:t>http://at.gov.lv/downloadlawfile/2970</w:t>
        </w:r>
      </w:hyperlink>
      <w:r w:rsidRPr="00A37970">
        <w:rPr>
          <w:rFonts w:ascii="Times New Roman" w:hAnsi="Times New Roman" w:cs="Times New Roman"/>
        </w:rPr>
        <w:t xml:space="preserve"> </w:t>
      </w:r>
    </w:p>
  </w:footnote>
  <w:footnote w:id="20">
    <w:p w14:paraId="2F404D07" w14:textId="77777777" w:rsidR="00E9419A" w:rsidRPr="00DC2A25" w:rsidRDefault="00E9419A" w:rsidP="00E9419A">
      <w:pPr>
        <w:pStyle w:val="FootnoteText"/>
        <w:rPr>
          <w:rFonts w:ascii="Times New Roman" w:hAnsi="Times New Roman" w:cs="Times New Roman"/>
        </w:rPr>
      </w:pPr>
      <w:r w:rsidRPr="00DC2A25">
        <w:rPr>
          <w:rStyle w:val="FootnoteReference"/>
          <w:rFonts w:ascii="Times New Roman" w:hAnsi="Times New Roman" w:cs="Times New Roman"/>
        </w:rPr>
        <w:footnoteRef/>
      </w:r>
      <w:r w:rsidRPr="00DC2A25">
        <w:rPr>
          <w:rFonts w:ascii="Times New Roman" w:hAnsi="Times New Roman" w:cs="Times New Roman"/>
        </w:rPr>
        <w:t xml:space="preserve"> </w:t>
      </w:r>
      <w:hyperlink r:id="rId9" w:history="1">
        <w:r w:rsidRPr="00DC2A25">
          <w:rPr>
            <w:rStyle w:val="Hyperlink"/>
            <w:rFonts w:ascii="Times New Roman" w:hAnsi="Times New Roman" w:cs="Times New Roman"/>
          </w:rPr>
          <w:t>https://lvportals.lv/e-konsultacijas/9858-par-tikumibas-un-taisnpratibas-apsverumiem-darbinieka-uzteikuma-2016</w:t>
        </w:r>
      </w:hyperlink>
      <w:r w:rsidRPr="00DC2A25">
        <w:rPr>
          <w:rFonts w:ascii="Times New Roman" w:hAnsi="Times New Roman" w:cs="Times New Roman"/>
        </w:rPr>
        <w:t xml:space="preserve"> </w:t>
      </w:r>
    </w:p>
  </w:footnote>
  <w:footnote w:id="21">
    <w:p w14:paraId="50D7E17B" w14:textId="77777777" w:rsidR="00E9419A" w:rsidRPr="00405279" w:rsidRDefault="00E9419A" w:rsidP="00E9419A">
      <w:pPr>
        <w:pStyle w:val="FootnoteText"/>
        <w:jc w:val="both"/>
        <w:rPr>
          <w:rFonts w:ascii="Times New Roman" w:hAnsi="Times New Roman" w:cs="Times New Roman"/>
        </w:rPr>
      </w:pPr>
      <w:r w:rsidRPr="00405279">
        <w:rPr>
          <w:rStyle w:val="FootnoteReference"/>
          <w:rFonts w:ascii="Times New Roman" w:hAnsi="Times New Roman" w:cs="Times New Roman"/>
        </w:rPr>
        <w:footnoteRef/>
      </w:r>
      <w:r w:rsidRPr="00405279">
        <w:rPr>
          <w:rFonts w:ascii="Times New Roman" w:hAnsi="Times New Roman" w:cs="Times New Roman"/>
        </w:rPr>
        <w:t xml:space="preserve"> </w:t>
      </w:r>
      <w:hyperlink r:id="rId10" w:history="1">
        <w:r w:rsidRPr="00405279">
          <w:rPr>
            <w:rStyle w:val="Hyperlink"/>
            <w:rFonts w:ascii="Times New Roman" w:hAnsi="Times New Roman" w:cs="Times New Roman"/>
          </w:rPr>
          <w:t>https://www.tiesas.lv/nolemumi/pdf/147594.pdf</w:t>
        </w:r>
      </w:hyperlink>
      <w:r w:rsidRPr="00405279">
        <w:rPr>
          <w:rFonts w:ascii="Times New Roman" w:hAnsi="Times New Roman" w:cs="Times New Roman"/>
        </w:rPr>
        <w:t xml:space="preserve"> </w:t>
      </w:r>
    </w:p>
  </w:footnote>
  <w:footnote w:id="22">
    <w:p w14:paraId="4D6DC875" w14:textId="77777777" w:rsidR="00C129F9" w:rsidRDefault="00C129F9" w:rsidP="00C129F9">
      <w:pPr>
        <w:pStyle w:val="FootnoteText"/>
        <w:jc w:val="both"/>
      </w:pPr>
      <w:r w:rsidRPr="00405279">
        <w:rPr>
          <w:rStyle w:val="FootnoteReference"/>
          <w:rFonts w:ascii="Times New Roman" w:hAnsi="Times New Roman" w:cs="Times New Roman"/>
        </w:rPr>
        <w:footnoteRef/>
      </w:r>
      <w:r w:rsidRPr="00405279">
        <w:rPr>
          <w:rFonts w:ascii="Times New Roman" w:hAnsi="Times New Roman" w:cs="Times New Roman"/>
        </w:rPr>
        <w:t xml:space="preserve"> Sk.</w:t>
      </w:r>
      <w:r w:rsidRPr="00030758">
        <w:rPr>
          <w:rFonts w:ascii="Times New Roman" w:hAnsi="Times New Roman" w:cs="Times New Roman"/>
        </w:rPr>
        <w:t xml:space="preserve"> </w:t>
      </w:r>
      <w:proofErr w:type="spellStart"/>
      <w:r w:rsidRPr="00405279">
        <w:rPr>
          <w:rFonts w:ascii="Times New Roman" w:hAnsi="Times New Roman" w:cs="Times New Roman"/>
        </w:rPr>
        <w:t>Z.Gencs</w:t>
      </w:r>
      <w:proofErr w:type="spellEnd"/>
      <w:r w:rsidRPr="00405279">
        <w:rPr>
          <w:rFonts w:ascii="Times New Roman" w:hAnsi="Times New Roman" w:cs="Times New Roman"/>
        </w:rPr>
        <w:t xml:space="preserve">. </w:t>
      </w:r>
      <w:r>
        <w:rPr>
          <w:rFonts w:ascii="Times New Roman" w:hAnsi="Times New Roman" w:cs="Times New Roman"/>
        </w:rPr>
        <w:t>Mantošana. Zinātniski praktisks komentārs.</w:t>
      </w:r>
      <w:r w:rsidRPr="00405279">
        <w:rPr>
          <w:rFonts w:ascii="Times New Roman" w:hAnsi="Times New Roman" w:cs="Times New Roman"/>
        </w:rPr>
        <w:t xml:space="preserve"> Rīga, </w:t>
      </w:r>
      <w:r>
        <w:rPr>
          <w:rFonts w:ascii="Times New Roman" w:hAnsi="Times New Roman" w:cs="Times New Roman"/>
        </w:rPr>
        <w:t>Tiesu namu aģentūra</w:t>
      </w:r>
      <w:r w:rsidRPr="00405279">
        <w:rPr>
          <w:rFonts w:ascii="Times New Roman" w:hAnsi="Times New Roman" w:cs="Times New Roman"/>
        </w:rPr>
        <w:t xml:space="preserve">, </w:t>
      </w:r>
      <w:r>
        <w:rPr>
          <w:rFonts w:ascii="Times New Roman" w:hAnsi="Times New Roman" w:cs="Times New Roman"/>
        </w:rPr>
        <w:t>2002</w:t>
      </w:r>
      <w:r w:rsidRPr="00405279">
        <w:rPr>
          <w:rFonts w:ascii="Times New Roman" w:hAnsi="Times New Roman" w:cs="Times New Roman"/>
        </w:rPr>
        <w:t xml:space="preserve">, </w:t>
      </w:r>
      <w:r>
        <w:rPr>
          <w:rFonts w:ascii="Times New Roman" w:hAnsi="Times New Roman" w:cs="Times New Roman"/>
        </w:rPr>
        <w:t>407</w:t>
      </w:r>
      <w:r w:rsidRPr="00405279">
        <w:rPr>
          <w:rFonts w:ascii="Times New Roman" w:hAnsi="Times New Roman" w:cs="Times New Roman"/>
        </w:rPr>
        <w:t>.</w:t>
      </w:r>
      <w:r>
        <w:rPr>
          <w:rFonts w:ascii="Times New Roman" w:hAnsi="Times New Roman" w:cs="Times New Roman"/>
        </w:rPr>
        <w:t> </w:t>
      </w:r>
      <w:proofErr w:type="spellStart"/>
      <w:r w:rsidRPr="00405279">
        <w:rPr>
          <w:rFonts w:ascii="Times New Roman" w:hAnsi="Times New Roman" w:cs="Times New Roman"/>
        </w:rPr>
        <w:t>lp</w:t>
      </w:r>
      <w:proofErr w:type="spellEnd"/>
      <w:r w:rsidRPr="00405279">
        <w:rPr>
          <w:rFonts w:ascii="Times New Roman" w:hAnsi="Times New Roman" w:cs="Times New Roman"/>
        </w:rPr>
        <w:t>.</w:t>
      </w:r>
    </w:p>
  </w:footnote>
  <w:footnote w:id="23">
    <w:p w14:paraId="6F6DD3EA" w14:textId="77777777" w:rsidR="00036FCD" w:rsidRPr="000E4C7B" w:rsidRDefault="00036FCD" w:rsidP="00036FCD">
      <w:pPr>
        <w:pStyle w:val="FootnoteText"/>
        <w:rPr>
          <w:rFonts w:ascii="Times New Roman" w:hAnsi="Times New Roman" w:cs="Times New Roman"/>
        </w:rPr>
      </w:pPr>
      <w:r w:rsidRPr="000E4C7B">
        <w:rPr>
          <w:rStyle w:val="FootnoteReference"/>
          <w:rFonts w:ascii="Times New Roman" w:hAnsi="Times New Roman" w:cs="Times New Roman"/>
        </w:rPr>
        <w:footnoteRef/>
      </w:r>
      <w:r w:rsidRPr="000E4C7B">
        <w:rPr>
          <w:rFonts w:ascii="Times New Roman" w:hAnsi="Times New Roman" w:cs="Times New Roman"/>
        </w:rPr>
        <w:t xml:space="preserve"> Piemēram, Vācijā un Itālijā šis princips arī ir nostiprināts likumā.</w:t>
      </w:r>
      <w:r>
        <w:rPr>
          <w:rFonts w:ascii="Times New Roman" w:hAnsi="Times New Roman" w:cs="Times New Roman"/>
        </w:rPr>
        <w:t xml:space="preserve"> </w:t>
      </w:r>
    </w:p>
  </w:footnote>
  <w:footnote w:id="24">
    <w:p w14:paraId="6367A660" w14:textId="77777777" w:rsidR="00036FCD" w:rsidRPr="00135D94" w:rsidRDefault="00036FCD" w:rsidP="00036FCD">
      <w:pPr>
        <w:pStyle w:val="FootnoteText"/>
        <w:rPr>
          <w:rFonts w:ascii="Times New Roman" w:hAnsi="Times New Roman" w:cs="Times New Roman"/>
        </w:rPr>
      </w:pPr>
      <w:r w:rsidRPr="00135D94">
        <w:rPr>
          <w:rStyle w:val="FootnoteReference"/>
          <w:rFonts w:ascii="Times New Roman" w:hAnsi="Times New Roman" w:cs="Times New Roman"/>
        </w:rPr>
        <w:footnoteRef/>
      </w:r>
      <w:r w:rsidRPr="00135D94">
        <w:rPr>
          <w:rFonts w:ascii="Times New Roman" w:hAnsi="Times New Roman" w:cs="Times New Roman"/>
        </w:rPr>
        <w:t xml:space="preserve"> Sk. </w:t>
      </w:r>
      <w:proofErr w:type="spellStart"/>
      <w:r w:rsidRPr="00135D94">
        <w:rPr>
          <w:rFonts w:ascii="Times New Roman" w:hAnsi="Times New Roman" w:cs="Times New Roman"/>
        </w:rPr>
        <w:t>K.Dāle</w:t>
      </w:r>
      <w:proofErr w:type="spellEnd"/>
      <w:r w:rsidRPr="00135D94">
        <w:rPr>
          <w:rFonts w:ascii="Times New Roman" w:hAnsi="Times New Roman" w:cs="Times New Roman"/>
        </w:rPr>
        <w:t xml:space="preserve">. Referāts "Iepriekšēji saņemtā pievienojums". Rīgā, Grāmatspiestuve </w:t>
      </w:r>
      <w:r w:rsidRPr="00135D94">
        <w:rPr>
          <w:rFonts w:ascii="Times New Roman" w:eastAsia="Times New Roman" w:hAnsi="Times New Roman" w:cs="Times New Roman"/>
          <w:iCs/>
          <w:lang w:eastAsia="lv-LV"/>
        </w:rPr>
        <w:t>"</w:t>
      </w:r>
      <w:r w:rsidRPr="00135D94">
        <w:rPr>
          <w:rFonts w:ascii="Times New Roman" w:hAnsi="Times New Roman" w:cs="Times New Roman"/>
        </w:rPr>
        <w:t>Rota</w:t>
      </w:r>
      <w:r w:rsidRPr="00135D94">
        <w:rPr>
          <w:rFonts w:ascii="Times New Roman" w:eastAsia="Times New Roman" w:hAnsi="Times New Roman" w:cs="Times New Roman"/>
          <w:iCs/>
          <w:lang w:eastAsia="lv-LV"/>
        </w:rPr>
        <w:t xml:space="preserve">", </w:t>
      </w:r>
      <w:r w:rsidRPr="00135D94">
        <w:rPr>
          <w:rFonts w:ascii="Times New Roman" w:hAnsi="Times New Roman" w:cs="Times New Roman"/>
        </w:rPr>
        <w:t>1938.</w:t>
      </w:r>
    </w:p>
  </w:footnote>
  <w:footnote w:id="25">
    <w:p w14:paraId="2BF4B31A" w14:textId="77777777" w:rsidR="00661AFC" w:rsidRDefault="00661AFC" w:rsidP="00661AFC">
      <w:pPr>
        <w:pStyle w:val="FootnoteText"/>
      </w:pPr>
      <w:r>
        <w:rPr>
          <w:rStyle w:val="FootnoteReference"/>
        </w:rPr>
        <w:footnoteRef/>
      </w:r>
      <w:r>
        <w:t xml:space="preserve"> </w:t>
      </w:r>
      <w:r w:rsidRPr="00405279">
        <w:rPr>
          <w:rFonts w:ascii="Times New Roman" w:hAnsi="Times New Roman" w:cs="Times New Roman"/>
        </w:rPr>
        <w:t xml:space="preserve">Sk. </w:t>
      </w:r>
      <w:proofErr w:type="spellStart"/>
      <w:r w:rsidRPr="00405279">
        <w:rPr>
          <w:rFonts w:ascii="Times New Roman" w:hAnsi="Times New Roman" w:cs="Times New Roman"/>
        </w:rPr>
        <w:t>Z.Gencs</w:t>
      </w:r>
      <w:proofErr w:type="spellEnd"/>
      <w:r w:rsidRPr="00405279">
        <w:rPr>
          <w:rFonts w:ascii="Times New Roman" w:hAnsi="Times New Roman" w:cs="Times New Roman"/>
        </w:rPr>
        <w:t xml:space="preserve">. </w:t>
      </w:r>
      <w:r>
        <w:rPr>
          <w:rFonts w:ascii="Times New Roman" w:hAnsi="Times New Roman" w:cs="Times New Roman"/>
        </w:rPr>
        <w:t>Mantošana. Zinātniski praktisks komentārs.</w:t>
      </w:r>
      <w:r w:rsidRPr="00405279">
        <w:rPr>
          <w:rFonts w:ascii="Times New Roman" w:hAnsi="Times New Roman" w:cs="Times New Roman"/>
        </w:rPr>
        <w:t xml:space="preserve"> Rīga, </w:t>
      </w:r>
      <w:r>
        <w:rPr>
          <w:rFonts w:ascii="Times New Roman" w:hAnsi="Times New Roman" w:cs="Times New Roman"/>
        </w:rPr>
        <w:t>Tiesu namu aģentūra</w:t>
      </w:r>
      <w:r w:rsidRPr="00405279">
        <w:rPr>
          <w:rFonts w:ascii="Times New Roman" w:hAnsi="Times New Roman" w:cs="Times New Roman"/>
        </w:rPr>
        <w:t xml:space="preserve">, </w:t>
      </w:r>
      <w:r>
        <w:rPr>
          <w:rFonts w:ascii="Times New Roman" w:hAnsi="Times New Roman" w:cs="Times New Roman"/>
        </w:rPr>
        <w:t>2002</w:t>
      </w:r>
      <w:r w:rsidRPr="00405279">
        <w:rPr>
          <w:rFonts w:ascii="Times New Roman" w:hAnsi="Times New Roman" w:cs="Times New Roman"/>
        </w:rPr>
        <w:t xml:space="preserve">, </w:t>
      </w:r>
      <w:r>
        <w:rPr>
          <w:rFonts w:ascii="Times New Roman" w:hAnsi="Times New Roman" w:cs="Times New Roman"/>
        </w:rPr>
        <w:t>354</w:t>
      </w:r>
      <w:r w:rsidRPr="00405279">
        <w:rPr>
          <w:rFonts w:ascii="Times New Roman" w:hAnsi="Times New Roman" w:cs="Times New Roman"/>
        </w:rPr>
        <w:t>.</w:t>
      </w:r>
      <w:r>
        <w:rPr>
          <w:rFonts w:ascii="Times New Roman" w:hAnsi="Times New Roman" w:cs="Times New Roman"/>
        </w:rPr>
        <w:t> </w:t>
      </w:r>
      <w:proofErr w:type="spellStart"/>
      <w:r w:rsidRPr="00405279">
        <w:rPr>
          <w:rFonts w:ascii="Times New Roman" w:hAnsi="Times New Roman" w:cs="Times New Roman"/>
        </w:rPr>
        <w:t>lp</w:t>
      </w:r>
      <w:proofErr w:type="spellEnd"/>
      <w:r w:rsidRPr="00405279">
        <w:rPr>
          <w:rFonts w:ascii="Times New Roman" w:hAnsi="Times New Roman" w:cs="Times New Roman"/>
        </w:rPr>
        <w:t>.</w:t>
      </w:r>
    </w:p>
  </w:footnote>
  <w:footnote w:id="26">
    <w:p w14:paraId="3FAB9EE6" w14:textId="77777777" w:rsidR="00661AFC" w:rsidRDefault="00661AFC" w:rsidP="00661AFC">
      <w:pPr>
        <w:pStyle w:val="FootnoteText"/>
      </w:pPr>
      <w:r>
        <w:rPr>
          <w:rStyle w:val="FootnoteReference"/>
        </w:rPr>
        <w:footnoteRef/>
      </w:r>
      <w:r>
        <w:t xml:space="preserve"> </w:t>
      </w:r>
      <w:r w:rsidRPr="00405279">
        <w:rPr>
          <w:rFonts w:ascii="Times New Roman" w:hAnsi="Times New Roman" w:cs="Times New Roman"/>
        </w:rPr>
        <w:t xml:space="preserve">Sk. </w:t>
      </w:r>
      <w:proofErr w:type="spellStart"/>
      <w:r w:rsidRPr="00405279">
        <w:rPr>
          <w:rFonts w:ascii="Times New Roman" w:hAnsi="Times New Roman" w:cs="Times New Roman"/>
        </w:rPr>
        <w:t>Z.Gencs</w:t>
      </w:r>
      <w:proofErr w:type="spellEnd"/>
      <w:r w:rsidRPr="00405279">
        <w:rPr>
          <w:rFonts w:ascii="Times New Roman" w:hAnsi="Times New Roman" w:cs="Times New Roman"/>
        </w:rPr>
        <w:t xml:space="preserve">. </w:t>
      </w:r>
      <w:r>
        <w:rPr>
          <w:rFonts w:ascii="Times New Roman" w:hAnsi="Times New Roman" w:cs="Times New Roman"/>
        </w:rPr>
        <w:t>Mantošana. Zinātniski praktisks komentārs.</w:t>
      </w:r>
      <w:r w:rsidRPr="00405279">
        <w:rPr>
          <w:rFonts w:ascii="Times New Roman" w:hAnsi="Times New Roman" w:cs="Times New Roman"/>
        </w:rPr>
        <w:t xml:space="preserve"> Rīga, </w:t>
      </w:r>
      <w:r>
        <w:rPr>
          <w:rFonts w:ascii="Times New Roman" w:hAnsi="Times New Roman" w:cs="Times New Roman"/>
        </w:rPr>
        <w:t>Tiesu namu aģentūra</w:t>
      </w:r>
      <w:r w:rsidRPr="00405279">
        <w:rPr>
          <w:rFonts w:ascii="Times New Roman" w:hAnsi="Times New Roman" w:cs="Times New Roman"/>
        </w:rPr>
        <w:t xml:space="preserve">, </w:t>
      </w:r>
      <w:r>
        <w:rPr>
          <w:rFonts w:ascii="Times New Roman" w:hAnsi="Times New Roman" w:cs="Times New Roman"/>
        </w:rPr>
        <w:t>2002</w:t>
      </w:r>
      <w:r w:rsidRPr="00405279">
        <w:rPr>
          <w:rFonts w:ascii="Times New Roman" w:hAnsi="Times New Roman" w:cs="Times New Roman"/>
        </w:rPr>
        <w:t xml:space="preserve">, </w:t>
      </w:r>
      <w:r>
        <w:rPr>
          <w:rFonts w:ascii="Times New Roman" w:hAnsi="Times New Roman" w:cs="Times New Roman"/>
        </w:rPr>
        <w:t>95</w:t>
      </w:r>
      <w:r w:rsidRPr="00405279">
        <w:rPr>
          <w:rFonts w:ascii="Times New Roman" w:hAnsi="Times New Roman" w:cs="Times New Roman"/>
        </w:rPr>
        <w:t>.</w:t>
      </w:r>
      <w:r>
        <w:rPr>
          <w:rFonts w:ascii="Times New Roman" w:hAnsi="Times New Roman" w:cs="Times New Roman"/>
        </w:rPr>
        <w:t> </w:t>
      </w:r>
      <w:proofErr w:type="spellStart"/>
      <w:r w:rsidRPr="00405279">
        <w:rPr>
          <w:rFonts w:ascii="Times New Roman" w:hAnsi="Times New Roman" w:cs="Times New Roman"/>
        </w:rPr>
        <w:t>lp</w:t>
      </w:r>
      <w:proofErr w:type="spellEnd"/>
      <w:r w:rsidRPr="00405279">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3E19" w14:textId="77777777" w:rsidR="00E937E9" w:rsidRDefault="00E937E9" w:rsidP="00C82B48">
    <w:pPr>
      <w:pStyle w:val="Header"/>
      <w:spacing w:after="0"/>
      <w:contextualSpacing w:val="0"/>
      <w:rPr>
        <w:i/>
        <w:color w:val="auto"/>
        <w:sz w:val="20"/>
        <w:shd w:val="clear" w:color="auto" w:fill="FFFFFF"/>
      </w:rPr>
    </w:pPr>
    <w:r w:rsidRPr="00C82B48">
      <w:rPr>
        <w:i/>
        <w:color w:val="auto"/>
        <w:sz w:val="20"/>
      </w:rPr>
      <w:t xml:space="preserve">Anotācijas veidlapa atbilstoši </w:t>
    </w:r>
    <w:r w:rsidRPr="00C82B48">
      <w:rPr>
        <w:i/>
        <w:color w:val="auto"/>
        <w:sz w:val="20"/>
        <w:shd w:val="clear" w:color="auto" w:fill="FFFFFF"/>
      </w:rPr>
      <w:t xml:space="preserve">MK 2021. gada 7. septembra noteikumiem Nr. 617 </w:t>
    </w:r>
  </w:p>
  <w:p w14:paraId="45E8200C" w14:textId="77777777" w:rsidR="00E937E9" w:rsidRPr="00C82B48" w:rsidRDefault="00E937E9" w:rsidP="00C82B48">
    <w:pPr>
      <w:pStyle w:val="Header"/>
      <w:spacing w:after="0"/>
      <w:contextualSpacing w:val="0"/>
      <w:rPr>
        <w:i/>
        <w:color w:val="auto"/>
        <w:sz w:val="20"/>
      </w:rPr>
    </w:pPr>
    <w:r w:rsidRPr="00C82B48">
      <w:rPr>
        <w:i/>
        <w:color w:val="auto"/>
        <w:sz w:val="20"/>
        <w:shd w:val="clear" w:color="auto" w:fill="FFFFFF"/>
      </w:rPr>
      <w:t>"Tiesību akta projekta sākotnējās ietekmes izvērtēšanas kārtība"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31FE7" w14:textId="77777777" w:rsidR="00E937E9" w:rsidRPr="00C82B48" w:rsidRDefault="00E937E9" w:rsidP="00C82B48">
    <w:pPr>
      <w:pStyle w:val="Header"/>
      <w:spacing w:after="0"/>
      <w:contextualSpacing w:val="0"/>
      <w:rPr>
        <w:i/>
        <w:color w:val="000000" w:themeColor="text1"/>
        <w:sz w:val="20"/>
        <w:shd w:val="clear" w:color="auto" w:fill="FFFFFF"/>
      </w:rPr>
    </w:pPr>
    <w:r w:rsidRPr="00C82B48">
      <w:rPr>
        <w:i/>
        <w:color w:val="000000" w:themeColor="text1"/>
        <w:sz w:val="20"/>
      </w:rPr>
      <w:t xml:space="preserve">Anotācijas veidlapa atbilstoši </w:t>
    </w:r>
    <w:r w:rsidRPr="00C82B48">
      <w:rPr>
        <w:i/>
        <w:color w:val="000000" w:themeColor="text1"/>
        <w:sz w:val="20"/>
        <w:shd w:val="clear" w:color="auto" w:fill="FFFFFF"/>
      </w:rPr>
      <w:t xml:space="preserve">MK 2021. gada 7. septembra noteikumiem Nr. 617 </w:t>
    </w:r>
  </w:p>
  <w:p w14:paraId="3A5BD116" w14:textId="77777777" w:rsidR="00E937E9" w:rsidRPr="00C82B48" w:rsidRDefault="00E937E9" w:rsidP="00C82B48">
    <w:pPr>
      <w:pStyle w:val="Header"/>
      <w:spacing w:after="0"/>
      <w:contextualSpacing w:val="0"/>
      <w:rPr>
        <w:i/>
        <w:color w:val="000000" w:themeColor="text1"/>
        <w:sz w:val="20"/>
      </w:rPr>
    </w:pPr>
    <w:r w:rsidRPr="00C82B48">
      <w:rPr>
        <w:i/>
        <w:color w:val="000000" w:themeColor="text1"/>
        <w:sz w:val="20"/>
        <w:shd w:val="clear" w:color="auto" w:fill="FFFFFF"/>
      </w:rPr>
      <w:t>"Tiesību akta projekta sākotnējās ietekmes izvērtēšanas kārtība"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22A08"/>
    <w:multiLevelType w:val="hybridMultilevel"/>
    <w:tmpl w:val="D7B62396"/>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FA7F7E"/>
    <w:multiLevelType w:val="hybridMultilevel"/>
    <w:tmpl w:val="6C5C86F8"/>
    <w:lvl w:ilvl="0" w:tplc="FFFFFFFF">
      <w:start w:val="1"/>
      <w:numFmt w:val="decimal"/>
      <w:lvlText w:val="%1)"/>
      <w:lvlJc w:val="left"/>
      <w:pPr>
        <w:ind w:left="720" w:hanging="360"/>
      </w:pPr>
      <w:rPr>
        <w:rFonts w:hint="default"/>
        <w:b/>
        <w:i w:val="0"/>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8F5095"/>
    <w:multiLevelType w:val="hybridMultilevel"/>
    <w:tmpl w:val="35A6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0E748A"/>
    <w:multiLevelType w:val="hybridMultilevel"/>
    <w:tmpl w:val="B99C070C"/>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413418C"/>
    <w:multiLevelType w:val="hybridMultilevel"/>
    <w:tmpl w:val="6C5C86F8"/>
    <w:lvl w:ilvl="0" w:tplc="19620322">
      <w:start w:val="1"/>
      <w:numFmt w:val="decimal"/>
      <w:lvlText w:val="%1)"/>
      <w:lvlJc w:val="lef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307374">
    <w:abstractNumId w:val="4"/>
  </w:num>
  <w:num w:numId="2" w16cid:durableId="1544512345">
    <w:abstractNumId w:val="2"/>
  </w:num>
  <w:num w:numId="3" w16cid:durableId="171340877">
    <w:abstractNumId w:val="0"/>
  </w:num>
  <w:num w:numId="4" w16cid:durableId="2099012813">
    <w:abstractNumId w:val="3"/>
  </w:num>
  <w:num w:numId="5" w16cid:durableId="1464498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FC1"/>
    <w:rsid w:val="00020B7C"/>
    <w:rsid w:val="00032EE6"/>
    <w:rsid w:val="00036FCD"/>
    <w:rsid w:val="000657D2"/>
    <w:rsid w:val="000D5C9E"/>
    <w:rsid w:val="000F32CD"/>
    <w:rsid w:val="0010242F"/>
    <w:rsid w:val="001570DB"/>
    <w:rsid w:val="00181317"/>
    <w:rsid w:val="001D4012"/>
    <w:rsid w:val="001E5468"/>
    <w:rsid w:val="001F3F73"/>
    <w:rsid w:val="002476D5"/>
    <w:rsid w:val="002E0154"/>
    <w:rsid w:val="002F2D88"/>
    <w:rsid w:val="00353C55"/>
    <w:rsid w:val="0039798D"/>
    <w:rsid w:val="003C304B"/>
    <w:rsid w:val="003E62C1"/>
    <w:rsid w:val="00462126"/>
    <w:rsid w:val="004B09DA"/>
    <w:rsid w:val="00534348"/>
    <w:rsid w:val="005B0F81"/>
    <w:rsid w:val="00603BE3"/>
    <w:rsid w:val="00604B79"/>
    <w:rsid w:val="00612EBA"/>
    <w:rsid w:val="00652FF5"/>
    <w:rsid w:val="006545FB"/>
    <w:rsid w:val="00661AFC"/>
    <w:rsid w:val="0069592C"/>
    <w:rsid w:val="0070021A"/>
    <w:rsid w:val="0076024F"/>
    <w:rsid w:val="00760AF6"/>
    <w:rsid w:val="0077514E"/>
    <w:rsid w:val="007837F2"/>
    <w:rsid w:val="007E06CE"/>
    <w:rsid w:val="007E0A60"/>
    <w:rsid w:val="00805F26"/>
    <w:rsid w:val="00807360"/>
    <w:rsid w:val="008267AB"/>
    <w:rsid w:val="00831FA2"/>
    <w:rsid w:val="00843F76"/>
    <w:rsid w:val="00871E49"/>
    <w:rsid w:val="008A046F"/>
    <w:rsid w:val="0090182A"/>
    <w:rsid w:val="00961F7B"/>
    <w:rsid w:val="009B2DEE"/>
    <w:rsid w:val="009D2D01"/>
    <w:rsid w:val="009D45A2"/>
    <w:rsid w:val="009E2ED7"/>
    <w:rsid w:val="009F7356"/>
    <w:rsid w:val="00A053A3"/>
    <w:rsid w:val="00A125BA"/>
    <w:rsid w:val="00AB5ECC"/>
    <w:rsid w:val="00AD0925"/>
    <w:rsid w:val="00AD19A3"/>
    <w:rsid w:val="00B10B66"/>
    <w:rsid w:val="00B13FB9"/>
    <w:rsid w:val="00B35019"/>
    <w:rsid w:val="00B54B6F"/>
    <w:rsid w:val="00B65E05"/>
    <w:rsid w:val="00BB402A"/>
    <w:rsid w:val="00BB67C5"/>
    <w:rsid w:val="00C129F9"/>
    <w:rsid w:val="00C2070E"/>
    <w:rsid w:val="00C36A59"/>
    <w:rsid w:val="00C733BF"/>
    <w:rsid w:val="00C82B48"/>
    <w:rsid w:val="00C96481"/>
    <w:rsid w:val="00CA552B"/>
    <w:rsid w:val="00CC2B1B"/>
    <w:rsid w:val="00CE236F"/>
    <w:rsid w:val="00D00AA9"/>
    <w:rsid w:val="00D44C63"/>
    <w:rsid w:val="00D45433"/>
    <w:rsid w:val="00D6434F"/>
    <w:rsid w:val="00D74081"/>
    <w:rsid w:val="00D80AB6"/>
    <w:rsid w:val="00D81CA4"/>
    <w:rsid w:val="00DE5E14"/>
    <w:rsid w:val="00E26218"/>
    <w:rsid w:val="00E73FC1"/>
    <w:rsid w:val="00E74F24"/>
    <w:rsid w:val="00E86405"/>
    <w:rsid w:val="00E92F51"/>
    <w:rsid w:val="00E937E9"/>
    <w:rsid w:val="00E9419A"/>
    <w:rsid w:val="00ED7F86"/>
    <w:rsid w:val="00EE4212"/>
    <w:rsid w:val="00F46BF3"/>
    <w:rsid w:val="00F5134D"/>
    <w:rsid w:val="00F60283"/>
    <w:rsid w:val="00F95F1D"/>
    <w:rsid w:val="00FC3761"/>
    <w:rsid w:val="00FC407F"/>
    <w:rsid w:val="00FD1053"/>
    <w:rsid w:val="00FE7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395DF"/>
  <w15:docId w15:val="{90531E00-BC1A-4311-98AB-8DD0E298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D74081"/>
    <w:pPr>
      <w:tabs>
        <w:tab w:val="center" w:pos="4844"/>
        <w:tab w:val="right" w:pos="9689"/>
      </w:tabs>
    </w:pPr>
  </w:style>
  <w:style w:type="character" w:customStyle="1" w:styleId="FooterChar">
    <w:name w:val="Footer Char"/>
    <w:basedOn w:val="DefaultParagraphFont"/>
    <w:link w:val="Footer"/>
    <w:uiPriority w:val="99"/>
    <w:rsid w:val="00D74081"/>
  </w:style>
  <w:style w:type="table" w:styleId="TableGrid">
    <w:name w:val="Table Grid"/>
    <w:basedOn w:val="TableNormal"/>
    <w:uiPriority w:val="39"/>
    <w:rsid w:val="00D74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081"/>
    <w:pPr>
      <w:ind w:left="720"/>
      <w:contextualSpacing/>
    </w:pPr>
  </w:style>
  <w:style w:type="paragraph" w:customStyle="1" w:styleId="tv213">
    <w:name w:val="tv213"/>
    <w:basedOn w:val="Normal"/>
    <w:rsid w:val="00032EE6"/>
    <w:pPr>
      <w:spacing w:before="100" w:beforeAutospacing="1" w:after="100" w:afterAutospacing="1"/>
      <w:jc w:val="left"/>
    </w:pPr>
    <w:rPr>
      <w:color w:val="auto"/>
      <w:sz w:val="24"/>
      <w:szCs w:val="24"/>
      <w:lang w:val="en-US" w:eastAsia="en-US"/>
    </w:rPr>
  </w:style>
  <w:style w:type="paragraph" w:styleId="NormalWeb">
    <w:name w:val="Normal (Web)"/>
    <w:basedOn w:val="Normal"/>
    <w:uiPriority w:val="99"/>
    <w:semiHidden/>
    <w:unhideWhenUsed/>
    <w:rsid w:val="00B54B6F"/>
    <w:pPr>
      <w:spacing w:before="100" w:beforeAutospacing="1" w:after="100" w:afterAutospacing="1"/>
      <w:jc w:val="left"/>
    </w:pPr>
    <w:rPr>
      <w:color w:val="auto"/>
      <w:sz w:val="24"/>
      <w:szCs w:val="24"/>
      <w:lang w:val="en-US" w:eastAsia="en-US"/>
    </w:rPr>
  </w:style>
  <w:style w:type="character" w:customStyle="1" w:styleId="gridcell--sm--11">
    <w:name w:val="grid__cell--sm--11"/>
    <w:basedOn w:val="DefaultParagraphFont"/>
    <w:rsid w:val="000657D2"/>
  </w:style>
  <w:style w:type="character" w:customStyle="1" w:styleId="flextablevalue">
    <w:name w:val="flextable__value"/>
    <w:basedOn w:val="DefaultParagraphFont"/>
    <w:rsid w:val="000657D2"/>
  </w:style>
  <w:style w:type="character" w:styleId="CommentReference">
    <w:name w:val="annotation reference"/>
    <w:basedOn w:val="DefaultParagraphFont"/>
    <w:uiPriority w:val="99"/>
    <w:semiHidden/>
    <w:unhideWhenUsed/>
    <w:rsid w:val="00E74F24"/>
    <w:rPr>
      <w:sz w:val="16"/>
      <w:szCs w:val="16"/>
    </w:rPr>
  </w:style>
  <w:style w:type="paragraph" w:styleId="CommentText">
    <w:name w:val="annotation text"/>
    <w:basedOn w:val="Normal"/>
    <w:link w:val="CommentTextChar"/>
    <w:uiPriority w:val="99"/>
    <w:semiHidden/>
    <w:unhideWhenUsed/>
    <w:rsid w:val="00E74F24"/>
    <w:rPr>
      <w:sz w:val="20"/>
    </w:rPr>
  </w:style>
  <w:style w:type="character" w:customStyle="1" w:styleId="CommentTextChar">
    <w:name w:val="Comment Text Char"/>
    <w:basedOn w:val="DefaultParagraphFont"/>
    <w:link w:val="CommentText"/>
    <w:uiPriority w:val="99"/>
    <w:semiHidden/>
    <w:rsid w:val="00E74F24"/>
    <w:rPr>
      <w:sz w:val="20"/>
    </w:rPr>
  </w:style>
  <w:style w:type="paragraph" w:styleId="CommentSubject">
    <w:name w:val="annotation subject"/>
    <w:basedOn w:val="CommentText"/>
    <w:next w:val="CommentText"/>
    <w:link w:val="CommentSubjectChar"/>
    <w:uiPriority w:val="99"/>
    <w:semiHidden/>
    <w:unhideWhenUsed/>
    <w:rsid w:val="00E74F24"/>
    <w:rPr>
      <w:b/>
      <w:bCs/>
    </w:rPr>
  </w:style>
  <w:style w:type="character" w:customStyle="1" w:styleId="CommentSubjectChar">
    <w:name w:val="Comment Subject Char"/>
    <w:basedOn w:val="CommentTextChar"/>
    <w:link w:val="CommentSubject"/>
    <w:uiPriority w:val="99"/>
    <w:semiHidden/>
    <w:rsid w:val="00E74F24"/>
    <w:rPr>
      <w:b/>
      <w:bCs/>
      <w:sz w:val="20"/>
    </w:rPr>
  </w:style>
  <w:style w:type="paragraph" w:styleId="BalloonText">
    <w:name w:val="Balloon Text"/>
    <w:basedOn w:val="Normal"/>
    <w:link w:val="BalloonTextChar"/>
    <w:uiPriority w:val="99"/>
    <w:semiHidden/>
    <w:unhideWhenUsed/>
    <w:rsid w:val="001024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42F"/>
    <w:rPr>
      <w:rFonts w:ascii="Segoe UI" w:hAnsi="Segoe UI" w:cs="Segoe UI"/>
      <w:sz w:val="18"/>
      <w:szCs w:val="18"/>
    </w:rPr>
  </w:style>
  <w:style w:type="character" w:styleId="Hyperlink">
    <w:name w:val="Hyperlink"/>
    <w:basedOn w:val="DefaultParagraphFont"/>
    <w:uiPriority w:val="99"/>
    <w:unhideWhenUsed/>
    <w:rsid w:val="0039798D"/>
    <w:rPr>
      <w:color w:val="0563C1" w:themeColor="hyperlink"/>
      <w:u w:val="single"/>
    </w:rPr>
  </w:style>
  <w:style w:type="character" w:styleId="UnresolvedMention">
    <w:name w:val="Unresolved Mention"/>
    <w:basedOn w:val="DefaultParagraphFont"/>
    <w:uiPriority w:val="99"/>
    <w:semiHidden/>
    <w:unhideWhenUsed/>
    <w:rsid w:val="0039798D"/>
    <w:rPr>
      <w:color w:val="605E5C"/>
      <w:shd w:val="clear" w:color="auto" w:fill="E1DFDD"/>
    </w:rPr>
  </w:style>
  <w:style w:type="paragraph" w:styleId="FootnoteText">
    <w:name w:val="footnote text"/>
    <w:basedOn w:val="Normal"/>
    <w:link w:val="FootnoteTextChar"/>
    <w:uiPriority w:val="99"/>
    <w:semiHidden/>
    <w:unhideWhenUsed/>
    <w:rsid w:val="007E0A60"/>
    <w:pPr>
      <w:jc w:val="left"/>
    </w:pPr>
    <w:rPr>
      <w:rFonts w:asciiTheme="minorHAnsi" w:eastAsiaTheme="minorHAnsi" w:hAnsiTheme="minorHAnsi" w:cstheme="minorBidi"/>
      <w:color w:val="auto"/>
      <w:sz w:val="20"/>
      <w:lang w:eastAsia="en-US"/>
    </w:rPr>
  </w:style>
  <w:style w:type="character" w:customStyle="1" w:styleId="FootnoteTextChar">
    <w:name w:val="Footnote Text Char"/>
    <w:basedOn w:val="DefaultParagraphFont"/>
    <w:link w:val="FootnoteText"/>
    <w:uiPriority w:val="99"/>
    <w:semiHidden/>
    <w:rsid w:val="007E0A60"/>
    <w:rPr>
      <w:rFonts w:asciiTheme="minorHAnsi" w:eastAsiaTheme="minorHAnsi" w:hAnsiTheme="minorHAnsi" w:cstheme="minorBidi"/>
      <w:color w:val="auto"/>
      <w:sz w:val="20"/>
      <w:lang w:eastAsia="en-US"/>
    </w:rPr>
  </w:style>
  <w:style w:type="character" w:styleId="FootnoteReference">
    <w:name w:val="footnote reference"/>
    <w:basedOn w:val="DefaultParagraphFont"/>
    <w:uiPriority w:val="99"/>
    <w:semiHidden/>
    <w:unhideWhenUsed/>
    <w:rsid w:val="007E0A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20486">
      <w:bodyDiv w:val="1"/>
      <w:marLeft w:val="0"/>
      <w:marRight w:val="0"/>
      <w:marTop w:val="0"/>
      <w:marBottom w:val="0"/>
      <w:divBdr>
        <w:top w:val="none" w:sz="0" w:space="0" w:color="auto"/>
        <w:left w:val="none" w:sz="0" w:space="0" w:color="auto"/>
        <w:bottom w:val="none" w:sz="0" w:space="0" w:color="auto"/>
        <w:right w:val="none" w:sz="0" w:space="0" w:color="auto"/>
      </w:divBdr>
      <w:divsChild>
        <w:div w:id="1668828427">
          <w:marLeft w:val="0"/>
          <w:marRight w:val="0"/>
          <w:marTop w:val="0"/>
          <w:marBottom w:val="0"/>
          <w:divBdr>
            <w:top w:val="none" w:sz="0" w:space="0" w:color="auto"/>
            <w:left w:val="none" w:sz="0" w:space="0" w:color="auto"/>
            <w:bottom w:val="none" w:sz="0" w:space="0" w:color="auto"/>
            <w:right w:val="none" w:sz="0" w:space="0" w:color="auto"/>
          </w:divBdr>
          <w:divsChild>
            <w:div w:id="391393732">
              <w:marLeft w:val="0"/>
              <w:marRight w:val="0"/>
              <w:marTop w:val="0"/>
              <w:marBottom w:val="0"/>
              <w:divBdr>
                <w:top w:val="none" w:sz="0" w:space="0" w:color="auto"/>
                <w:left w:val="none" w:sz="0" w:space="0" w:color="auto"/>
                <w:bottom w:val="none" w:sz="0" w:space="0" w:color="auto"/>
                <w:right w:val="none" w:sz="0" w:space="0" w:color="auto"/>
              </w:divBdr>
            </w:div>
            <w:div w:id="2086760071">
              <w:marLeft w:val="0"/>
              <w:marRight w:val="0"/>
              <w:marTop w:val="0"/>
              <w:marBottom w:val="0"/>
              <w:divBdr>
                <w:top w:val="none" w:sz="0" w:space="0" w:color="auto"/>
                <w:left w:val="none" w:sz="0" w:space="0" w:color="auto"/>
                <w:bottom w:val="none" w:sz="0" w:space="0" w:color="auto"/>
                <w:right w:val="none" w:sz="0" w:space="0" w:color="auto"/>
              </w:divBdr>
              <w:divsChild>
                <w:div w:id="427501867">
                  <w:marLeft w:val="0"/>
                  <w:marRight w:val="0"/>
                  <w:marTop w:val="0"/>
                  <w:marBottom w:val="0"/>
                  <w:divBdr>
                    <w:top w:val="none" w:sz="0" w:space="0" w:color="auto"/>
                    <w:left w:val="none" w:sz="0" w:space="0" w:color="auto"/>
                    <w:bottom w:val="none" w:sz="0" w:space="0" w:color="auto"/>
                    <w:right w:val="none" w:sz="0" w:space="0" w:color="auto"/>
                  </w:divBdr>
                  <w:divsChild>
                    <w:div w:id="994333359">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912620860">
          <w:marLeft w:val="0"/>
          <w:marRight w:val="0"/>
          <w:marTop w:val="0"/>
          <w:marBottom w:val="0"/>
          <w:divBdr>
            <w:top w:val="none" w:sz="0" w:space="0" w:color="auto"/>
            <w:left w:val="none" w:sz="0" w:space="0" w:color="auto"/>
            <w:bottom w:val="none" w:sz="0" w:space="0" w:color="auto"/>
            <w:right w:val="none" w:sz="0" w:space="0" w:color="auto"/>
          </w:divBdr>
        </w:div>
      </w:divsChild>
    </w:div>
    <w:div w:id="759067225">
      <w:bodyDiv w:val="1"/>
      <w:marLeft w:val="0"/>
      <w:marRight w:val="0"/>
      <w:marTop w:val="0"/>
      <w:marBottom w:val="0"/>
      <w:divBdr>
        <w:top w:val="none" w:sz="0" w:space="0" w:color="auto"/>
        <w:left w:val="none" w:sz="0" w:space="0" w:color="auto"/>
        <w:bottom w:val="none" w:sz="0" w:space="0" w:color="auto"/>
        <w:right w:val="none" w:sz="0" w:space="0" w:color="auto"/>
      </w:divBdr>
    </w:div>
    <w:div w:id="1314407539">
      <w:bodyDiv w:val="1"/>
      <w:marLeft w:val="0"/>
      <w:marRight w:val="0"/>
      <w:marTop w:val="0"/>
      <w:marBottom w:val="0"/>
      <w:divBdr>
        <w:top w:val="none" w:sz="0" w:space="0" w:color="auto"/>
        <w:left w:val="none" w:sz="0" w:space="0" w:color="auto"/>
        <w:bottom w:val="none" w:sz="0" w:space="0" w:color="auto"/>
        <w:right w:val="none" w:sz="0" w:space="0" w:color="auto"/>
      </w:divBdr>
      <w:divsChild>
        <w:div w:id="1323119108">
          <w:marLeft w:val="0"/>
          <w:marRight w:val="0"/>
          <w:marTop w:val="0"/>
          <w:marBottom w:val="0"/>
          <w:divBdr>
            <w:top w:val="none" w:sz="0" w:space="0" w:color="auto"/>
            <w:left w:val="none" w:sz="0" w:space="0" w:color="auto"/>
            <w:bottom w:val="none" w:sz="0" w:space="0" w:color="auto"/>
            <w:right w:val="none" w:sz="0" w:space="0" w:color="auto"/>
          </w:divBdr>
          <w:divsChild>
            <w:div w:id="2094548233">
              <w:marLeft w:val="0"/>
              <w:marRight w:val="0"/>
              <w:marTop w:val="0"/>
              <w:marBottom w:val="0"/>
              <w:divBdr>
                <w:top w:val="none" w:sz="0" w:space="0" w:color="auto"/>
                <w:left w:val="none" w:sz="0" w:space="0" w:color="auto"/>
                <w:bottom w:val="none" w:sz="0" w:space="0" w:color="auto"/>
                <w:right w:val="none" w:sz="0" w:space="0" w:color="auto"/>
              </w:divBdr>
            </w:div>
            <w:div w:id="385229688">
              <w:marLeft w:val="0"/>
              <w:marRight w:val="0"/>
              <w:marTop w:val="0"/>
              <w:marBottom w:val="0"/>
              <w:divBdr>
                <w:top w:val="none" w:sz="0" w:space="0" w:color="auto"/>
                <w:left w:val="none" w:sz="0" w:space="0" w:color="auto"/>
                <w:bottom w:val="none" w:sz="0" w:space="0" w:color="auto"/>
                <w:right w:val="none" w:sz="0" w:space="0" w:color="auto"/>
              </w:divBdr>
              <w:divsChild>
                <w:div w:id="1712344093">
                  <w:marLeft w:val="0"/>
                  <w:marRight w:val="0"/>
                  <w:marTop w:val="0"/>
                  <w:marBottom w:val="0"/>
                  <w:divBdr>
                    <w:top w:val="none" w:sz="0" w:space="0" w:color="auto"/>
                    <w:left w:val="none" w:sz="0" w:space="0" w:color="auto"/>
                    <w:bottom w:val="none" w:sz="0" w:space="0" w:color="auto"/>
                    <w:right w:val="none" w:sz="0" w:space="0" w:color="auto"/>
                  </w:divBdr>
                  <w:divsChild>
                    <w:div w:id="226771785">
                      <w:marLeft w:val="0"/>
                      <w:marRight w:val="0"/>
                      <w:marTop w:val="0"/>
                      <w:marBottom w:val="0"/>
                      <w:divBdr>
                        <w:top w:val="none" w:sz="0" w:space="0" w:color="auto"/>
                        <w:left w:val="none" w:sz="0" w:space="0" w:color="auto"/>
                        <w:bottom w:val="none" w:sz="0" w:space="0" w:color="auto"/>
                        <w:right w:val="none" w:sz="0" w:space="0" w:color="auto"/>
                      </w:divBdr>
                      <w:divsChild>
                        <w:div w:id="1323653852">
                          <w:marLeft w:val="0"/>
                          <w:marRight w:val="0"/>
                          <w:marTop w:val="0"/>
                          <w:marBottom w:val="0"/>
                          <w:divBdr>
                            <w:top w:val="none" w:sz="0" w:space="0" w:color="auto"/>
                            <w:left w:val="none" w:sz="0" w:space="0" w:color="auto"/>
                            <w:bottom w:val="none" w:sz="0" w:space="0" w:color="auto"/>
                            <w:right w:val="none" w:sz="0" w:space="0" w:color="auto"/>
                          </w:divBdr>
                          <w:divsChild>
                            <w:div w:id="121270956">
                              <w:marLeft w:val="0"/>
                              <w:marRight w:val="0"/>
                              <w:marTop w:val="0"/>
                              <w:marBottom w:val="0"/>
                              <w:divBdr>
                                <w:top w:val="none" w:sz="0" w:space="0" w:color="auto"/>
                                <w:left w:val="none" w:sz="0" w:space="0" w:color="auto"/>
                                <w:bottom w:val="single" w:sz="6" w:space="0" w:color="D8D8D8"/>
                                <w:right w:val="none" w:sz="0" w:space="0" w:color="auto"/>
                              </w:divBdr>
                            </w:div>
                          </w:divsChild>
                        </w:div>
                        <w:div w:id="412316836">
                          <w:marLeft w:val="0"/>
                          <w:marRight w:val="0"/>
                          <w:marTop w:val="0"/>
                          <w:marBottom w:val="0"/>
                          <w:divBdr>
                            <w:top w:val="none" w:sz="0" w:space="0" w:color="auto"/>
                            <w:left w:val="none" w:sz="0" w:space="0" w:color="auto"/>
                            <w:bottom w:val="none" w:sz="0" w:space="0" w:color="auto"/>
                            <w:right w:val="none" w:sz="0" w:space="0" w:color="auto"/>
                          </w:divBdr>
                          <w:divsChild>
                            <w:div w:id="1577664526">
                              <w:marLeft w:val="0"/>
                              <w:marRight w:val="0"/>
                              <w:marTop w:val="0"/>
                              <w:marBottom w:val="0"/>
                              <w:divBdr>
                                <w:top w:val="none" w:sz="0" w:space="0" w:color="auto"/>
                                <w:left w:val="none" w:sz="0" w:space="0" w:color="auto"/>
                                <w:bottom w:val="none" w:sz="0" w:space="0" w:color="auto"/>
                                <w:right w:val="none" w:sz="0" w:space="0" w:color="auto"/>
                              </w:divBdr>
                              <w:divsChild>
                                <w:div w:id="1092582533">
                                  <w:marLeft w:val="0"/>
                                  <w:marRight w:val="0"/>
                                  <w:marTop w:val="0"/>
                                  <w:marBottom w:val="0"/>
                                  <w:divBdr>
                                    <w:top w:val="none" w:sz="0" w:space="0" w:color="auto"/>
                                    <w:left w:val="none" w:sz="0" w:space="0" w:color="auto"/>
                                    <w:bottom w:val="single" w:sz="6" w:space="0" w:color="D8D8D8"/>
                                    <w:right w:val="none" w:sz="0" w:space="0" w:color="auto"/>
                                  </w:divBdr>
                                </w:div>
                                <w:div w:id="947394353">
                                  <w:marLeft w:val="0"/>
                                  <w:marRight w:val="0"/>
                                  <w:marTop w:val="0"/>
                                  <w:marBottom w:val="0"/>
                                  <w:divBdr>
                                    <w:top w:val="none" w:sz="0" w:space="0" w:color="auto"/>
                                    <w:left w:val="none" w:sz="0" w:space="0" w:color="auto"/>
                                    <w:bottom w:val="single" w:sz="6" w:space="0" w:color="D8D8D8"/>
                                    <w:right w:val="none" w:sz="0" w:space="0" w:color="auto"/>
                                  </w:divBdr>
                                </w:div>
                                <w:div w:id="1061753474">
                                  <w:marLeft w:val="0"/>
                                  <w:marRight w:val="0"/>
                                  <w:marTop w:val="0"/>
                                  <w:marBottom w:val="0"/>
                                  <w:divBdr>
                                    <w:top w:val="none" w:sz="0" w:space="0" w:color="auto"/>
                                    <w:left w:val="none" w:sz="0" w:space="0" w:color="auto"/>
                                    <w:bottom w:val="single" w:sz="6" w:space="0" w:color="D8D8D8"/>
                                    <w:right w:val="none" w:sz="0" w:space="0" w:color="auto"/>
                                  </w:divBdr>
                                </w:div>
                                <w:div w:id="128060456">
                                  <w:marLeft w:val="0"/>
                                  <w:marRight w:val="0"/>
                                  <w:marTop w:val="0"/>
                                  <w:marBottom w:val="0"/>
                                  <w:divBdr>
                                    <w:top w:val="none" w:sz="0" w:space="0" w:color="auto"/>
                                    <w:left w:val="none" w:sz="0" w:space="0" w:color="auto"/>
                                    <w:bottom w:val="single" w:sz="6" w:space="0" w:color="D8D8D8"/>
                                    <w:right w:val="none" w:sz="0" w:space="0" w:color="auto"/>
                                  </w:divBdr>
                                </w:div>
                              </w:divsChild>
                            </w:div>
                            <w:div w:id="1254509374">
                              <w:marLeft w:val="0"/>
                              <w:marRight w:val="0"/>
                              <w:marTop w:val="0"/>
                              <w:marBottom w:val="0"/>
                              <w:divBdr>
                                <w:top w:val="none" w:sz="0" w:space="0" w:color="auto"/>
                                <w:left w:val="none" w:sz="0" w:space="0" w:color="auto"/>
                                <w:bottom w:val="none" w:sz="0" w:space="0" w:color="auto"/>
                                <w:right w:val="none" w:sz="0" w:space="0" w:color="auto"/>
                              </w:divBdr>
                              <w:divsChild>
                                <w:div w:id="1845395149">
                                  <w:marLeft w:val="0"/>
                                  <w:marRight w:val="0"/>
                                  <w:marTop w:val="0"/>
                                  <w:marBottom w:val="0"/>
                                  <w:divBdr>
                                    <w:top w:val="none" w:sz="0" w:space="0" w:color="auto"/>
                                    <w:left w:val="none" w:sz="0" w:space="0" w:color="auto"/>
                                    <w:bottom w:val="single" w:sz="6" w:space="0" w:color="D8D8D8"/>
                                    <w:right w:val="none" w:sz="0" w:space="0" w:color="auto"/>
                                  </w:divBdr>
                                </w:div>
                                <w:div w:id="651905165">
                                  <w:marLeft w:val="0"/>
                                  <w:marRight w:val="0"/>
                                  <w:marTop w:val="0"/>
                                  <w:marBottom w:val="0"/>
                                  <w:divBdr>
                                    <w:top w:val="none" w:sz="0" w:space="0" w:color="auto"/>
                                    <w:left w:val="none" w:sz="0" w:space="0" w:color="auto"/>
                                    <w:bottom w:val="single" w:sz="6" w:space="0" w:color="D8D8D8"/>
                                    <w:right w:val="none" w:sz="0" w:space="0" w:color="auto"/>
                                  </w:divBdr>
                                </w:div>
                                <w:div w:id="1787701217">
                                  <w:marLeft w:val="0"/>
                                  <w:marRight w:val="0"/>
                                  <w:marTop w:val="0"/>
                                  <w:marBottom w:val="0"/>
                                  <w:divBdr>
                                    <w:top w:val="none" w:sz="0" w:space="0" w:color="auto"/>
                                    <w:left w:val="none" w:sz="0" w:space="0" w:color="auto"/>
                                    <w:bottom w:val="single" w:sz="6" w:space="0" w:color="D8D8D8"/>
                                    <w:right w:val="none" w:sz="0" w:space="0" w:color="auto"/>
                                  </w:divBdr>
                                </w:div>
                                <w:div w:id="478500502">
                                  <w:marLeft w:val="0"/>
                                  <w:marRight w:val="0"/>
                                  <w:marTop w:val="0"/>
                                  <w:marBottom w:val="0"/>
                                  <w:divBdr>
                                    <w:top w:val="none" w:sz="0" w:space="0" w:color="auto"/>
                                    <w:left w:val="none" w:sz="0" w:space="0" w:color="auto"/>
                                    <w:bottom w:val="single" w:sz="6" w:space="0" w:color="D8D8D8"/>
                                    <w:right w:val="none" w:sz="0" w:space="0" w:color="auto"/>
                                  </w:divBdr>
                                  <w:divsChild>
                                    <w:div w:id="166763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1715">
                              <w:marLeft w:val="0"/>
                              <w:marRight w:val="0"/>
                              <w:marTop w:val="0"/>
                              <w:marBottom w:val="0"/>
                              <w:divBdr>
                                <w:top w:val="none" w:sz="0" w:space="0" w:color="auto"/>
                                <w:left w:val="none" w:sz="0" w:space="0" w:color="auto"/>
                                <w:bottom w:val="none" w:sz="0" w:space="0" w:color="auto"/>
                                <w:right w:val="none" w:sz="0" w:space="0" w:color="auto"/>
                              </w:divBdr>
                              <w:divsChild>
                                <w:div w:id="270355026">
                                  <w:marLeft w:val="0"/>
                                  <w:marRight w:val="0"/>
                                  <w:marTop w:val="0"/>
                                  <w:marBottom w:val="0"/>
                                  <w:divBdr>
                                    <w:top w:val="none" w:sz="0" w:space="0" w:color="auto"/>
                                    <w:left w:val="none" w:sz="0" w:space="0" w:color="auto"/>
                                    <w:bottom w:val="none" w:sz="0" w:space="0" w:color="auto"/>
                                    <w:right w:val="none" w:sz="0" w:space="0" w:color="auto"/>
                                  </w:divBdr>
                                  <w:divsChild>
                                    <w:div w:id="55129486">
                                      <w:marLeft w:val="0"/>
                                      <w:marRight w:val="0"/>
                                      <w:marTop w:val="0"/>
                                      <w:marBottom w:val="0"/>
                                      <w:divBdr>
                                        <w:top w:val="none" w:sz="0" w:space="0" w:color="auto"/>
                                        <w:left w:val="none" w:sz="0" w:space="0" w:color="auto"/>
                                        <w:bottom w:val="single" w:sz="6" w:space="0" w:color="D8D8D8"/>
                                        <w:right w:val="none" w:sz="0" w:space="0" w:color="auto"/>
                                      </w:divBdr>
                                      <w:divsChild>
                                        <w:div w:id="74976407">
                                          <w:marLeft w:val="0"/>
                                          <w:marRight w:val="0"/>
                                          <w:marTop w:val="0"/>
                                          <w:marBottom w:val="0"/>
                                          <w:divBdr>
                                            <w:top w:val="none" w:sz="0" w:space="0" w:color="auto"/>
                                            <w:left w:val="none" w:sz="0" w:space="0" w:color="auto"/>
                                            <w:bottom w:val="none" w:sz="0" w:space="0" w:color="auto"/>
                                            <w:right w:val="none" w:sz="0" w:space="0" w:color="auto"/>
                                          </w:divBdr>
                                          <w:divsChild>
                                            <w:div w:id="402028906">
                                              <w:marLeft w:val="0"/>
                                              <w:marRight w:val="0"/>
                                              <w:marTop w:val="0"/>
                                              <w:marBottom w:val="0"/>
                                              <w:divBdr>
                                                <w:top w:val="none" w:sz="0" w:space="0" w:color="auto"/>
                                                <w:left w:val="none" w:sz="0" w:space="0" w:color="auto"/>
                                                <w:bottom w:val="none" w:sz="0" w:space="0" w:color="auto"/>
                                                <w:right w:val="none" w:sz="0" w:space="0" w:color="auto"/>
                                              </w:divBdr>
                                              <w:divsChild>
                                                <w:div w:id="810442022">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044061277">
                                      <w:marLeft w:val="0"/>
                                      <w:marRight w:val="0"/>
                                      <w:marTop w:val="0"/>
                                      <w:marBottom w:val="0"/>
                                      <w:divBdr>
                                        <w:top w:val="none" w:sz="0" w:space="0" w:color="auto"/>
                                        <w:left w:val="none" w:sz="0" w:space="0" w:color="auto"/>
                                        <w:bottom w:val="single" w:sz="6" w:space="0" w:color="D8D8D8"/>
                                        <w:right w:val="none" w:sz="0" w:space="0" w:color="auto"/>
                                      </w:divBdr>
                                      <w:divsChild>
                                        <w:div w:id="1933706342">
                                          <w:marLeft w:val="0"/>
                                          <w:marRight w:val="0"/>
                                          <w:marTop w:val="0"/>
                                          <w:marBottom w:val="0"/>
                                          <w:divBdr>
                                            <w:top w:val="none" w:sz="0" w:space="0" w:color="auto"/>
                                            <w:left w:val="none" w:sz="0" w:space="0" w:color="auto"/>
                                            <w:bottom w:val="none" w:sz="0" w:space="0" w:color="auto"/>
                                            <w:right w:val="none" w:sz="0" w:space="0" w:color="auto"/>
                                          </w:divBdr>
                                          <w:divsChild>
                                            <w:div w:id="834689634">
                                              <w:marLeft w:val="0"/>
                                              <w:marRight w:val="0"/>
                                              <w:marTop w:val="0"/>
                                              <w:marBottom w:val="0"/>
                                              <w:divBdr>
                                                <w:top w:val="none" w:sz="0" w:space="0" w:color="auto"/>
                                                <w:left w:val="none" w:sz="0" w:space="0" w:color="auto"/>
                                                <w:bottom w:val="none" w:sz="0" w:space="0" w:color="auto"/>
                                                <w:right w:val="none" w:sz="0" w:space="0" w:color="auto"/>
                                              </w:divBdr>
                                              <w:divsChild>
                                                <w:div w:id="863635855">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157838043">
                                      <w:marLeft w:val="0"/>
                                      <w:marRight w:val="0"/>
                                      <w:marTop w:val="0"/>
                                      <w:marBottom w:val="0"/>
                                      <w:divBdr>
                                        <w:top w:val="none" w:sz="0" w:space="0" w:color="auto"/>
                                        <w:left w:val="none" w:sz="0" w:space="0" w:color="auto"/>
                                        <w:bottom w:val="single" w:sz="6" w:space="0" w:color="D8D8D8"/>
                                        <w:right w:val="none" w:sz="0" w:space="0" w:color="auto"/>
                                      </w:divBdr>
                                      <w:divsChild>
                                        <w:div w:id="117843435">
                                          <w:marLeft w:val="0"/>
                                          <w:marRight w:val="0"/>
                                          <w:marTop w:val="0"/>
                                          <w:marBottom w:val="0"/>
                                          <w:divBdr>
                                            <w:top w:val="none" w:sz="0" w:space="0" w:color="auto"/>
                                            <w:left w:val="none" w:sz="0" w:space="0" w:color="auto"/>
                                            <w:bottom w:val="none" w:sz="0" w:space="0" w:color="auto"/>
                                            <w:right w:val="none" w:sz="0" w:space="0" w:color="auto"/>
                                          </w:divBdr>
                                          <w:divsChild>
                                            <w:div w:id="9145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747289">
                                      <w:marLeft w:val="0"/>
                                      <w:marRight w:val="0"/>
                                      <w:marTop w:val="0"/>
                                      <w:marBottom w:val="0"/>
                                      <w:divBdr>
                                        <w:top w:val="none" w:sz="0" w:space="0" w:color="auto"/>
                                        <w:left w:val="none" w:sz="0" w:space="0" w:color="auto"/>
                                        <w:bottom w:val="single" w:sz="6" w:space="0" w:color="D8D8D8"/>
                                        <w:right w:val="none" w:sz="0" w:space="0" w:color="auto"/>
                                      </w:divBdr>
                                      <w:divsChild>
                                        <w:div w:id="715662193">
                                          <w:marLeft w:val="0"/>
                                          <w:marRight w:val="0"/>
                                          <w:marTop w:val="0"/>
                                          <w:marBottom w:val="0"/>
                                          <w:divBdr>
                                            <w:top w:val="none" w:sz="0" w:space="0" w:color="auto"/>
                                            <w:left w:val="none" w:sz="0" w:space="0" w:color="auto"/>
                                            <w:bottom w:val="none" w:sz="0" w:space="0" w:color="auto"/>
                                            <w:right w:val="none" w:sz="0" w:space="0" w:color="auto"/>
                                          </w:divBdr>
                                          <w:divsChild>
                                            <w:div w:id="1454906121">
                                              <w:marLeft w:val="0"/>
                                              <w:marRight w:val="0"/>
                                              <w:marTop w:val="0"/>
                                              <w:marBottom w:val="0"/>
                                              <w:divBdr>
                                                <w:top w:val="none" w:sz="0" w:space="0" w:color="auto"/>
                                                <w:left w:val="none" w:sz="0" w:space="0" w:color="auto"/>
                                                <w:bottom w:val="none" w:sz="0" w:space="0" w:color="auto"/>
                                                <w:right w:val="none" w:sz="0" w:space="0" w:color="auto"/>
                                              </w:divBdr>
                                              <w:divsChild>
                                                <w:div w:id="1171067814">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sChild>
                            </w:div>
                          </w:divsChild>
                        </w:div>
                        <w:div w:id="1521310565">
                          <w:marLeft w:val="0"/>
                          <w:marRight w:val="0"/>
                          <w:marTop w:val="0"/>
                          <w:marBottom w:val="0"/>
                          <w:divBdr>
                            <w:top w:val="none" w:sz="0" w:space="0" w:color="auto"/>
                            <w:left w:val="none" w:sz="0" w:space="0" w:color="auto"/>
                            <w:bottom w:val="none" w:sz="0" w:space="0" w:color="auto"/>
                            <w:right w:val="none" w:sz="0" w:space="0" w:color="auto"/>
                          </w:divBdr>
                          <w:divsChild>
                            <w:div w:id="1715083709">
                              <w:marLeft w:val="0"/>
                              <w:marRight w:val="0"/>
                              <w:marTop w:val="0"/>
                              <w:marBottom w:val="0"/>
                              <w:divBdr>
                                <w:top w:val="none" w:sz="0" w:space="0" w:color="auto"/>
                                <w:left w:val="none" w:sz="0" w:space="0" w:color="auto"/>
                                <w:bottom w:val="single" w:sz="6" w:space="0" w:color="D8D8D8"/>
                                <w:right w:val="none" w:sz="0" w:space="0" w:color="auto"/>
                              </w:divBdr>
                            </w:div>
                            <w:div w:id="1440297653">
                              <w:marLeft w:val="0"/>
                              <w:marRight w:val="0"/>
                              <w:marTop w:val="0"/>
                              <w:marBottom w:val="0"/>
                              <w:divBdr>
                                <w:top w:val="none" w:sz="0" w:space="0" w:color="auto"/>
                                <w:left w:val="none" w:sz="0" w:space="0" w:color="auto"/>
                                <w:bottom w:val="single" w:sz="6" w:space="0" w:color="D8D8D8"/>
                                <w:right w:val="none" w:sz="0" w:space="0" w:color="auto"/>
                              </w:divBdr>
                              <w:divsChild>
                                <w:div w:id="1797721328">
                                  <w:marLeft w:val="0"/>
                                  <w:marRight w:val="0"/>
                                  <w:marTop w:val="0"/>
                                  <w:marBottom w:val="0"/>
                                  <w:divBdr>
                                    <w:top w:val="none" w:sz="0" w:space="0" w:color="auto"/>
                                    <w:left w:val="none" w:sz="0" w:space="0" w:color="auto"/>
                                    <w:bottom w:val="none" w:sz="0" w:space="0" w:color="auto"/>
                                    <w:right w:val="none" w:sz="0" w:space="0" w:color="auto"/>
                                  </w:divBdr>
                                  <w:divsChild>
                                    <w:div w:id="262805882">
                                      <w:marLeft w:val="0"/>
                                      <w:marRight w:val="0"/>
                                      <w:marTop w:val="0"/>
                                      <w:marBottom w:val="0"/>
                                      <w:divBdr>
                                        <w:top w:val="none" w:sz="0" w:space="0" w:color="auto"/>
                                        <w:left w:val="none" w:sz="0" w:space="0" w:color="auto"/>
                                        <w:bottom w:val="none" w:sz="0" w:space="0" w:color="auto"/>
                                        <w:right w:val="none" w:sz="0" w:space="0" w:color="auto"/>
                                      </w:divBdr>
                                      <w:divsChild>
                                        <w:div w:id="82650252">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 w:id="1490975564">
                          <w:marLeft w:val="0"/>
                          <w:marRight w:val="0"/>
                          <w:marTop w:val="0"/>
                          <w:marBottom w:val="0"/>
                          <w:divBdr>
                            <w:top w:val="none" w:sz="0" w:space="0" w:color="auto"/>
                            <w:left w:val="none" w:sz="0" w:space="0" w:color="auto"/>
                            <w:bottom w:val="none" w:sz="0" w:space="0" w:color="auto"/>
                            <w:right w:val="none" w:sz="0" w:space="0" w:color="auto"/>
                          </w:divBdr>
                          <w:divsChild>
                            <w:div w:id="1681086355">
                              <w:marLeft w:val="0"/>
                              <w:marRight w:val="0"/>
                              <w:marTop w:val="0"/>
                              <w:marBottom w:val="0"/>
                              <w:divBdr>
                                <w:top w:val="none" w:sz="0" w:space="0" w:color="auto"/>
                                <w:left w:val="none" w:sz="0" w:space="0" w:color="auto"/>
                                <w:bottom w:val="single" w:sz="6" w:space="0" w:color="D8D8D8"/>
                                <w:right w:val="none" w:sz="0" w:space="0" w:color="auto"/>
                              </w:divBdr>
                            </w:div>
                            <w:div w:id="678312756">
                              <w:marLeft w:val="0"/>
                              <w:marRight w:val="0"/>
                              <w:marTop w:val="0"/>
                              <w:marBottom w:val="0"/>
                              <w:divBdr>
                                <w:top w:val="none" w:sz="0" w:space="0" w:color="auto"/>
                                <w:left w:val="none" w:sz="0" w:space="0" w:color="auto"/>
                                <w:bottom w:val="single" w:sz="6" w:space="0" w:color="D8D8D8"/>
                                <w:right w:val="none" w:sz="0" w:space="0" w:color="auto"/>
                              </w:divBdr>
                              <w:divsChild>
                                <w:div w:id="1946839809">
                                  <w:marLeft w:val="0"/>
                                  <w:marRight w:val="0"/>
                                  <w:marTop w:val="0"/>
                                  <w:marBottom w:val="0"/>
                                  <w:divBdr>
                                    <w:top w:val="none" w:sz="0" w:space="0" w:color="auto"/>
                                    <w:left w:val="none" w:sz="0" w:space="0" w:color="auto"/>
                                    <w:bottom w:val="none" w:sz="0" w:space="0" w:color="auto"/>
                                    <w:right w:val="none" w:sz="0" w:space="0" w:color="auto"/>
                                  </w:divBdr>
                                  <w:divsChild>
                                    <w:div w:id="814298385">
                                      <w:marLeft w:val="0"/>
                                      <w:marRight w:val="0"/>
                                      <w:marTop w:val="0"/>
                                      <w:marBottom w:val="0"/>
                                      <w:divBdr>
                                        <w:top w:val="none" w:sz="0" w:space="0" w:color="auto"/>
                                        <w:left w:val="none" w:sz="0" w:space="0" w:color="auto"/>
                                        <w:bottom w:val="none" w:sz="0" w:space="0" w:color="auto"/>
                                        <w:right w:val="none" w:sz="0" w:space="0" w:color="auto"/>
                                      </w:divBdr>
                                      <w:divsChild>
                                        <w:div w:id="839082602">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 w:id="659115441">
                          <w:marLeft w:val="0"/>
                          <w:marRight w:val="0"/>
                          <w:marTop w:val="0"/>
                          <w:marBottom w:val="0"/>
                          <w:divBdr>
                            <w:top w:val="none" w:sz="0" w:space="0" w:color="auto"/>
                            <w:left w:val="none" w:sz="0" w:space="0" w:color="auto"/>
                            <w:bottom w:val="none" w:sz="0" w:space="0" w:color="auto"/>
                            <w:right w:val="none" w:sz="0" w:space="0" w:color="auto"/>
                          </w:divBdr>
                          <w:divsChild>
                            <w:div w:id="773063693">
                              <w:marLeft w:val="0"/>
                              <w:marRight w:val="0"/>
                              <w:marTop w:val="0"/>
                              <w:marBottom w:val="0"/>
                              <w:divBdr>
                                <w:top w:val="none" w:sz="0" w:space="0" w:color="auto"/>
                                <w:left w:val="none" w:sz="0" w:space="0" w:color="auto"/>
                                <w:bottom w:val="single" w:sz="6" w:space="0" w:color="D8D8D8"/>
                                <w:right w:val="none" w:sz="0" w:space="0" w:color="auto"/>
                              </w:divBdr>
                            </w:div>
                            <w:div w:id="1263223810">
                              <w:marLeft w:val="0"/>
                              <w:marRight w:val="0"/>
                              <w:marTop w:val="0"/>
                              <w:marBottom w:val="0"/>
                              <w:divBdr>
                                <w:top w:val="none" w:sz="0" w:space="0" w:color="auto"/>
                                <w:left w:val="none" w:sz="0" w:space="0" w:color="auto"/>
                                <w:bottom w:val="single" w:sz="6" w:space="0" w:color="D8D8D8"/>
                                <w:right w:val="none" w:sz="0" w:space="0" w:color="auto"/>
                              </w:divBdr>
                              <w:divsChild>
                                <w:div w:id="453183047">
                                  <w:marLeft w:val="0"/>
                                  <w:marRight w:val="0"/>
                                  <w:marTop w:val="0"/>
                                  <w:marBottom w:val="0"/>
                                  <w:divBdr>
                                    <w:top w:val="none" w:sz="0" w:space="0" w:color="auto"/>
                                    <w:left w:val="none" w:sz="0" w:space="0" w:color="auto"/>
                                    <w:bottom w:val="none" w:sz="0" w:space="0" w:color="auto"/>
                                    <w:right w:val="none" w:sz="0" w:space="0" w:color="auto"/>
                                  </w:divBdr>
                                  <w:divsChild>
                                    <w:div w:id="143007290">
                                      <w:marLeft w:val="0"/>
                                      <w:marRight w:val="0"/>
                                      <w:marTop w:val="0"/>
                                      <w:marBottom w:val="0"/>
                                      <w:divBdr>
                                        <w:top w:val="none" w:sz="0" w:space="0" w:color="auto"/>
                                        <w:left w:val="none" w:sz="0" w:space="0" w:color="auto"/>
                                        <w:bottom w:val="none" w:sz="0" w:space="0" w:color="auto"/>
                                        <w:right w:val="none" w:sz="0" w:space="0" w:color="auto"/>
                                      </w:divBdr>
                                      <w:divsChild>
                                        <w:div w:id="16153345">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sChild>
                    </w:div>
                  </w:divsChild>
                </w:div>
              </w:divsChild>
            </w:div>
          </w:divsChild>
        </w:div>
        <w:div w:id="24332625">
          <w:marLeft w:val="0"/>
          <w:marRight w:val="0"/>
          <w:marTop w:val="0"/>
          <w:marBottom w:val="0"/>
          <w:divBdr>
            <w:top w:val="none" w:sz="0" w:space="0" w:color="auto"/>
            <w:left w:val="none" w:sz="0" w:space="0" w:color="auto"/>
            <w:bottom w:val="none" w:sz="0" w:space="0" w:color="auto"/>
            <w:right w:val="none" w:sz="0" w:space="0" w:color="auto"/>
          </w:divBdr>
          <w:divsChild>
            <w:div w:id="1210341224">
              <w:marLeft w:val="0"/>
              <w:marRight w:val="0"/>
              <w:marTop w:val="0"/>
              <w:marBottom w:val="0"/>
              <w:divBdr>
                <w:top w:val="none" w:sz="0" w:space="0" w:color="auto"/>
                <w:left w:val="none" w:sz="0" w:space="0" w:color="auto"/>
                <w:bottom w:val="none" w:sz="0" w:space="0" w:color="auto"/>
                <w:right w:val="none" w:sz="0" w:space="0" w:color="auto"/>
              </w:divBdr>
            </w:div>
            <w:div w:id="1262448211">
              <w:marLeft w:val="0"/>
              <w:marRight w:val="0"/>
              <w:marTop w:val="0"/>
              <w:marBottom w:val="0"/>
              <w:divBdr>
                <w:top w:val="none" w:sz="0" w:space="0" w:color="auto"/>
                <w:left w:val="none" w:sz="0" w:space="0" w:color="auto"/>
                <w:bottom w:val="none" w:sz="0" w:space="0" w:color="auto"/>
                <w:right w:val="none" w:sz="0" w:space="0" w:color="auto"/>
              </w:divBdr>
              <w:divsChild>
                <w:div w:id="1539316213">
                  <w:marLeft w:val="0"/>
                  <w:marRight w:val="0"/>
                  <w:marTop w:val="0"/>
                  <w:marBottom w:val="0"/>
                  <w:divBdr>
                    <w:top w:val="none" w:sz="0" w:space="0" w:color="auto"/>
                    <w:left w:val="none" w:sz="0" w:space="0" w:color="auto"/>
                    <w:bottom w:val="none" w:sz="0" w:space="0" w:color="auto"/>
                    <w:right w:val="none" w:sz="0" w:space="0" w:color="auto"/>
                  </w:divBdr>
                  <w:divsChild>
                    <w:div w:id="457652931">
                      <w:marLeft w:val="0"/>
                      <w:marRight w:val="0"/>
                      <w:marTop w:val="0"/>
                      <w:marBottom w:val="0"/>
                      <w:divBdr>
                        <w:top w:val="none" w:sz="0" w:space="0" w:color="auto"/>
                        <w:left w:val="none" w:sz="0" w:space="0" w:color="auto"/>
                        <w:bottom w:val="none" w:sz="0" w:space="0" w:color="auto"/>
                        <w:right w:val="none" w:sz="0" w:space="0" w:color="auto"/>
                      </w:divBdr>
                      <w:divsChild>
                        <w:div w:id="777873893">
                          <w:marLeft w:val="0"/>
                          <w:marRight w:val="0"/>
                          <w:marTop w:val="0"/>
                          <w:marBottom w:val="0"/>
                          <w:divBdr>
                            <w:top w:val="none" w:sz="0" w:space="0" w:color="auto"/>
                            <w:left w:val="none" w:sz="0" w:space="0" w:color="auto"/>
                            <w:bottom w:val="none" w:sz="0" w:space="0" w:color="auto"/>
                            <w:right w:val="none" w:sz="0" w:space="0" w:color="auto"/>
                          </w:divBdr>
                          <w:divsChild>
                            <w:div w:id="1551528349">
                              <w:marLeft w:val="0"/>
                              <w:marRight w:val="0"/>
                              <w:marTop w:val="0"/>
                              <w:marBottom w:val="0"/>
                              <w:divBdr>
                                <w:top w:val="none" w:sz="0" w:space="0" w:color="auto"/>
                                <w:left w:val="none" w:sz="0" w:space="0" w:color="auto"/>
                                <w:bottom w:val="single" w:sz="6" w:space="0" w:color="D8D8D8"/>
                                <w:right w:val="none" w:sz="0" w:space="0" w:color="auto"/>
                              </w:divBdr>
                            </w:div>
                          </w:divsChild>
                        </w:div>
                        <w:div w:id="146746899">
                          <w:marLeft w:val="0"/>
                          <w:marRight w:val="0"/>
                          <w:marTop w:val="0"/>
                          <w:marBottom w:val="0"/>
                          <w:divBdr>
                            <w:top w:val="none" w:sz="0" w:space="0" w:color="auto"/>
                            <w:left w:val="none" w:sz="0" w:space="0" w:color="auto"/>
                            <w:bottom w:val="none" w:sz="0" w:space="0" w:color="auto"/>
                            <w:right w:val="none" w:sz="0" w:space="0" w:color="auto"/>
                          </w:divBdr>
                          <w:divsChild>
                            <w:div w:id="778184485">
                              <w:marLeft w:val="0"/>
                              <w:marRight w:val="0"/>
                              <w:marTop w:val="0"/>
                              <w:marBottom w:val="0"/>
                              <w:divBdr>
                                <w:top w:val="none" w:sz="0" w:space="0" w:color="auto"/>
                                <w:left w:val="none" w:sz="0" w:space="0" w:color="auto"/>
                                <w:bottom w:val="none" w:sz="0" w:space="0" w:color="auto"/>
                                <w:right w:val="none" w:sz="0" w:space="0" w:color="auto"/>
                              </w:divBdr>
                              <w:divsChild>
                                <w:div w:id="418210770">
                                  <w:marLeft w:val="0"/>
                                  <w:marRight w:val="0"/>
                                  <w:marTop w:val="0"/>
                                  <w:marBottom w:val="0"/>
                                  <w:divBdr>
                                    <w:top w:val="none" w:sz="0" w:space="0" w:color="auto"/>
                                    <w:left w:val="none" w:sz="0" w:space="0" w:color="auto"/>
                                    <w:bottom w:val="single" w:sz="6" w:space="0" w:color="D8D8D8"/>
                                    <w:right w:val="none" w:sz="0" w:space="0" w:color="auto"/>
                                  </w:divBdr>
                                </w:div>
                                <w:div w:id="582035205">
                                  <w:marLeft w:val="0"/>
                                  <w:marRight w:val="0"/>
                                  <w:marTop w:val="0"/>
                                  <w:marBottom w:val="0"/>
                                  <w:divBdr>
                                    <w:top w:val="none" w:sz="0" w:space="0" w:color="auto"/>
                                    <w:left w:val="none" w:sz="0" w:space="0" w:color="auto"/>
                                    <w:bottom w:val="single" w:sz="6" w:space="0" w:color="D8D8D8"/>
                                    <w:right w:val="none" w:sz="0" w:space="0" w:color="auto"/>
                                  </w:divBdr>
                                </w:div>
                                <w:div w:id="206768773">
                                  <w:marLeft w:val="0"/>
                                  <w:marRight w:val="0"/>
                                  <w:marTop w:val="0"/>
                                  <w:marBottom w:val="0"/>
                                  <w:divBdr>
                                    <w:top w:val="none" w:sz="0" w:space="0" w:color="auto"/>
                                    <w:left w:val="none" w:sz="0" w:space="0" w:color="auto"/>
                                    <w:bottom w:val="single" w:sz="6" w:space="0" w:color="D8D8D8"/>
                                    <w:right w:val="none" w:sz="0" w:space="0" w:color="auto"/>
                                  </w:divBdr>
                                </w:div>
                              </w:divsChild>
                            </w:div>
                            <w:div w:id="2055619184">
                              <w:marLeft w:val="0"/>
                              <w:marRight w:val="0"/>
                              <w:marTop w:val="0"/>
                              <w:marBottom w:val="0"/>
                              <w:divBdr>
                                <w:top w:val="none" w:sz="0" w:space="0" w:color="auto"/>
                                <w:left w:val="none" w:sz="0" w:space="0" w:color="auto"/>
                                <w:bottom w:val="none" w:sz="0" w:space="0" w:color="auto"/>
                                <w:right w:val="none" w:sz="0" w:space="0" w:color="auto"/>
                              </w:divBdr>
                              <w:divsChild>
                                <w:div w:id="1552304173">
                                  <w:marLeft w:val="0"/>
                                  <w:marRight w:val="0"/>
                                  <w:marTop w:val="0"/>
                                  <w:marBottom w:val="0"/>
                                  <w:divBdr>
                                    <w:top w:val="none" w:sz="0" w:space="0" w:color="auto"/>
                                    <w:left w:val="none" w:sz="0" w:space="0" w:color="auto"/>
                                    <w:bottom w:val="single" w:sz="6" w:space="0" w:color="D8D8D8"/>
                                    <w:right w:val="none" w:sz="0" w:space="0" w:color="auto"/>
                                  </w:divBdr>
                                </w:div>
                                <w:div w:id="41104619">
                                  <w:marLeft w:val="0"/>
                                  <w:marRight w:val="0"/>
                                  <w:marTop w:val="0"/>
                                  <w:marBottom w:val="0"/>
                                  <w:divBdr>
                                    <w:top w:val="none" w:sz="0" w:space="0" w:color="auto"/>
                                    <w:left w:val="none" w:sz="0" w:space="0" w:color="auto"/>
                                    <w:bottom w:val="single" w:sz="6" w:space="0" w:color="D8D8D8"/>
                                    <w:right w:val="none" w:sz="0" w:space="0" w:color="auto"/>
                                  </w:divBdr>
                                </w:div>
                                <w:div w:id="781920776">
                                  <w:marLeft w:val="0"/>
                                  <w:marRight w:val="0"/>
                                  <w:marTop w:val="0"/>
                                  <w:marBottom w:val="0"/>
                                  <w:divBdr>
                                    <w:top w:val="none" w:sz="0" w:space="0" w:color="auto"/>
                                    <w:left w:val="none" w:sz="0" w:space="0" w:color="auto"/>
                                    <w:bottom w:val="single" w:sz="6" w:space="0" w:color="D8D8D8"/>
                                    <w:right w:val="none" w:sz="0" w:space="0" w:color="auto"/>
                                  </w:divBdr>
                                  <w:divsChild>
                                    <w:div w:id="9589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970">
                              <w:marLeft w:val="0"/>
                              <w:marRight w:val="0"/>
                              <w:marTop w:val="0"/>
                              <w:marBottom w:val="0"/>
                              <w:divBdr>
                                <w:top w:val="none" w:sz="0" w:space="0" w:color="auto"/>
                                <w:left w:val="none" w:sz="0" w:space="0" w:color="auto"/>
                                <w:bottom w:val="none" w:sz="0" w:space="0" w:color="auto"/>
                                <w:right w:val="none" w:sz="0" w:space="0" w:color="auto"/>
                              </w:divBdr>
                              <w:divsChild>
                                <w:div w:id="926575077">
                                  <w:marLeft w:val="0"/>
                                  <w:marRight w:val="0"/>
                                  <w:marTop w:val="0"/>
                                  <w:marBottom w:val="0"/>
                                  <w:divBdr>
                                    <w:top w:val="none" w:sz="0" w:space="0" w:color="auto"/>
                                    <w:left w:val="none" w:sz="0" w:space="0" w:color="auto"/>
                                    <w:bottom w:val="none" w:sz="0" w:space="0" w:color="auto"/>
                                    <w:right w:val="none" w:sz="0" w:space="0" w:color="auto"/>
                                  </w:divBdr>
                                  <w:divsChild>
                                    <w:div w:id="1453667148">
                                      <w:marLeft w:val="0"/>
                                      <w:marRight w:val="0"/>
                                      <w:marTop w:val="0"/>
                                      <w:marBottom w:val="0"/>
                                      <w:divBdr>
                                        <w:top w:val="none" w:sz="0" w:space="0" w:color="auto"/>
                                        <w:left w:val="none" w:sz="0" w:space="0" w:color="auto"/>
                                        <w:bottom w:val="single" w:sz="6" w:space="0" w:color="D8D8D8"/>
                                        <w:right w:val="none" w:sz="0" w:space="0" w:color="auto"/>
                                      </w:divBdr>
                                      <w:divsChild>
                                        <w:div w:id="2007319799">
                                          <w:marLeft w:val="0"/>
                                          <w:marRight w:val="0"/>
                                          <w:marTop w:val="0"/>
                                          <w:marBottom w:val="0"/>
                                          <w:divBdr>
                                            <w:top w:val="none" w:sz="0" w:space="0" w:color="auto"/>
                                            <w:left w:val="none" w:sz="0" w:space="0" w:color="auto"/>
                                            <w:bottom w:val="none" w:sz="0" w:space="0" w:color="auto"/>
                                            <w:right w:val="none" w:sz="0" w:space="0" w:color="auto"/>
                                          </w:divBdr>
                                          <w:divsChild>
                                            <w:div w:id="1321622080">
                                              <w:marLeft w:val="0"/>
                                              <w:marRight w:val="0"/>
                                              <w:marTop w:val="0"/>
                                              <w:marBottom w:val="0"/>
                                              <w:divBdr>
                                                <w:top w:val="none" w:sz="0" w:space="0" w:color="auto"/>
                                                <w:left w:val="none" w:sz="0" w:space="0" w:color="auto"/>
                                                <w:bottom w:val="none" w:sz="0" w:space="0" w:color="auto"/>
                                                <w:right w:val="none" w:sz="0" w:space="0" w:color="auto"/>
                                              </w:divBdr>
                                              <w:divsChild>
                                                <w:div w:id="1564869597">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441073591">
                                      <w:marLeft w:val="0"/>
                                      <w:marRight w:val="0"/>
                                      <w:marTop w:val="0"/>
                                      <w:marBottom w:val="0"/>
                                      <w:divBdr>
                                        <w:top w:val="none" w:sz="0" w:space="0" w:color="auto"/>
                                        <w:left w:val="none" w:sz="0" w:space="0" w:color="auto"/>
                                        <w:bottom w:val="single" w:sz="6" w:space="0" w:color="D8D8D8"/>
                                        <w:right w:val="none" w:sz="0" w:space="0" w:color="auto"/>
                                      </w:divBdr>
                                      <w:divsChild>
                                        <w:div w:id="112484247">
                                          <w:marLeft w:val="0"/>
                                          <w:marRight w:val="0"/>
                                          <w:marTop w:val="0"/>
                                          <w:marBottom w:val="0"/>
                                          <w:divBdr>
                                            <w:top w:val="none" w:sz="0" w:space="0" w:color="auto"/>
                                            <w:left w:val="none" w:sz="0" w:space="0" w:color="auto"/>
                                            <w:bottom w:val="none" w:sz="0" w:space="0" w:color="auto"/>
                                            <w:right w:val="none" w:sz="0" w:space="0" w:color="auto"/>
                                          </w:divBdr>
                                          <w:divsChild>
                                            <w:div w:id="1115710775">
                                              <w:marLeft w:val="0"/>
                                              <w:marRight w:val="0"/>
                                              <w:marTop w:val="0"/>
                                              <w:marBottom w:val="0"/>
                                              <w:divBdr>
                                                <w:top w:val="none" w:sz="0" w:space="0" w:color="auto"/>
                                                <w:left w:val="none" w:sz="0" w:space="0" w:color="auto"/>
                                                <w:bottom w:val="none" w:sz="0" w:space="0" w:color="auto"/>
                                                <w:right w:val="none" w:sz="0" w:space="0" w:color="auto"/>
                                              </w:divBdr>
                                              <w:divsChild>
                                                <w:div w:id="2017223945">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897357991">
                                      <w:marLeft w:val="0"/>
                                      <w:marRight w:val="0"/>
                                      <w:marTop w:val="0"/>
                                      <w:marBottom w:val="0"/>
                                      <w:divBdr>
                                        <w:top w:val="none" w:sz="0" w:space="0" w:color="auto"/>
                                        <w:left w:val="none" w:sz="0" w:space="0" w:color="auto"/>
                                        <w:bottom w:val="single" w:sz="6" w:space="0" w:color="D8D8D8"/>
                                        <w:right w:val="none" w:sz="0" w:space="0" w:color="auto"/>
                                      </w:divBdr>
                                      <w:divsChild>
                                        <w:div w:id="159859599">
                                          <w:marLeft w:val="0"/>
                                          <w:marRight w:val="0"/>
                                          <w:marTop w:val="0"/>
                                          <w:marBottom w:val="0"/>
                                          <w:divBdr>
                                            <w:top w:val="none" w:sz="0" w:space="0" w:color="auto"/>
                                            <w:left w:val="none" w:sz="0" w:space="0" w:color="auto"/>
                                            <w:bottom w:val="none" w:sz="0" w:space="0" w:color="auto"/>
                                            <w:right w:val="none" w:sz="0" w:space="0" w:color="auto"/>
                                          </w:divBdr>
                                          <w:divsChild>
                                            <w:div w:id="122586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960">
                          <w:marLeft w:val="0"/>
                          <w:marRight w:val="0"/>
                          <w:marTop w:val="0"/>
                          <w:marBottom w:val="0"/>
                          <w:divBdr>
                            <w:top w:val="none" w:sz="0" w:space="0" w:color="auto"/>
                            <w:left w:val="none" w:sz="0" w:space="0" w:color="auto"/>
                            <w:bottom w:val="none" w:sz="0" w:space="0" w:color="auto"/>
                            <w:right w:val="none" w:sz="0" w:space="0" w:color="auto"/>
                          </w:divBdr>
                          <w:divsChild>
                            <w:div w:id="307901036">
                              <w:marLeft w:val="0"/>
                              <w:marRight w:val="0"/>
                              <w:marTop w:val="0"/>
                              <w:marBottom w:val="0"/>
                              <w:divBdr>
                                <w:top w:val="none" w:sz="0" w:space="0" w:color="auto"/>
                                <w:left w:val="none" w:sz="0" w:space="0" w:color="auto"/>
                                <w:bottom w:val="single" w:sz="6" w:space="0" w:color="D8D8D8"/>
                                <w:right w:val="none" w:sz="0" w:space="0" w:color="auto"/>
                              </w:divBdr>
                            </w:div>
                            <w:div w:id="1528565633">
                              <w:marLeft w:val="0"/>
                              <w:marRight w:val="0"/>
                              <w:marTop w:val="0"/>
                              <w:marBottom w:val="0"/>
                              <w:divBdr>
                                <w:top w:val="none" w:sz="0" w:space="0" w:color="auto"/>
                                <w:left w:val="none" w:sz="0" w:space="0" w:color="auto"/>
                                <w:bottom w:val="single" w:sz="6" w:space="0" w:color="D8D8D8"/>
                                <w:right w:val="none" w:sz="0" w:space="0" w:color="auto"/>
                              </w:divBdr>
                              <w:divsChild>
                                <w:div w:id="1750928220">
                                  <w:marLeft w:val="0"/>
                                  <w:marRight w:val="0"/>
                                  <w:marTop w:val="0"/>
                                  <w:marBottom w:val="0"/>
                                  <w:divBdr>
                                    <w:top w:val="none" w:sz="0" w:space="0" w:color="auto"/>
                                    <w:left w:val="none" w:sz="0" w:space="0" w:color="auto"/>
                                    <w:bottom w:val="none" w:sz="0" w:space="0" w:color="auto"/>
                                    <w:right w:val="none" w:sz="0" w:space="0" w:color="auto"/>
                                  </w:divBdr>
                                  <w:divsChild>
                                    <w:div w:id="445585462">
                                      <w:marLeft w:val="0"/>
                                      <w:marRight w:val="0"/>
                                      <w:marTop w:val="0"/>
                                      <w:marBottom w:val="0"/>
                                      <w:divBdr>
                                        <w:top w:val="none" w:sz="0" w:space="0" w:color="auto"/>
                                        <w:left w:val="none" w:sz="0" w:space="0" w:color="auto"/>
                                        <w:bottom w:val="none" w:sz="0" w:space="0" w:color="auto"/>
                                        <w:right w:val="none" w:sz="0" w:space="0" w:color="auto"/>
                                      </w:divBdr>
                                      <w:divsChild>
                                        <w:div w:id="1597789891">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 w:id="1564751202">
                          <w:marLeft w:val="0"/>
                          <w:marRight w:val="0"/>
                          <w:marTop w:val="0"/>
                          <w:marBottom w:val="0"/>
                          <w:divBdr>
                            <w:top w:val="none" w:sz="0" w:space="0" w:color="auto"/>
                            <w:left w:val="none" w:sz="0" w:space="0" w:color="auto"/>
                            <w:bottom w:val="none" w:sz="0" w:space="0" w:color="auto"/>
                            <w:right w:val="none" w:sz="0" w:space="0" w:color="auto"/>
                          </w:divBdr>
                          <w:divsChild>
                            <w:div w:id="506601547">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sChild>
            </w:div>
          </w:divsChild>
        </w:div>
      </w:divsChild>
    </w:div>
    <w:div w:id="1414359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m.gov.lv/sites/tm/files/2020-01/Documents/mantosanas-petijuma-gala-nodevums-20102017-final.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m.gov.lv/lv/pazinojums-par-lidzdalibas-iespejam-likumprojekta-grozijumi-civillikuma-izstrades-procesa-lidz-2021-gada-12-februarim" TargetMode="External"/><Relationship Id="rId4" Type="http://schemas.openxmlformats.org/officeDocument/2006/relationships/settings" Target="settings.xml"/><Relationship Id="rId9" Type="http://schemas.openxmlformats.org/officeDocument/2006/relationships/hyperlink" Target="https://www.tm.gov.lv/sites/tm/files/2020-01/Documents/mantosanas-petijuma-gala-nodevums-20102017-final.pdf"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at.gov.lv/downloadlawfile/2970" TargetMode="External"/><Relationship Id="rId3" Type="http://schemas.openxmlformats.org/officeDocument/2006/relationships/hyperlink" Target="http://titania.saeima.lv/LIVS11/SaeimaLIVS11.nsf/webSasaiste?OpenView&amp;restricttocategory=147/Lp11" TargetMode="External"/><Relationship Id="rId7" Type="http://schemas.openxmlformats.org/officeDocument/2006/relationships/hyperlink" Target="http://titania.saeima.lv/LIVS11/SaeimaLIVS11.nsf/0/6B344BFA6FFFD050C2257A92002B83D1?OpenDocument" TargetMode="External"/><Relationship Id="rId2" Type="http://schemas.openxmlformats.org/officeDocument/2006/relationships/hyperlink" Target="http://www.at.gov.lv/downloadlawfile/6162" TargetMode="External"/><Relationship Id="rId1" Type="http://schemas.openxmlformats.org/officeDocument/2006/relationships/hyperlink" Target="http://www.at.gov.lv/downloadlawfile/5862" TargetMode="External"/><Relationship Id="rId6" Type="http://schemas.openxmlformats.org/officeDocument/2006/relationships/hyperlink" Target="https://kluwerlawonline.com/journalarticle/European+Review+of+Private+Law/24.2/ERPL2016013" TargetMode="External"/><Relationship Id="rId5" Type="http://schemas.openxmlformats.org/officeDocument/2006/relationships/hyperlink" Target="https://stat.gov.lv/lv/statistikas-temas/iedzivotaji/mirstiba/2688-miruso-skaits" TargetMode="External"/><Relationship Id="rId10" Type="http://schemas.openxmlformats.org/officeDocument/2006/relationships/hyperlink" Target="https://www.tiesas.lv/nolemumi/pdf/147594.pdf" TargetMode="External"/><Relationship Id="rId4" Type="http://schemas.openxmlformats.org/officeDocument/2006/relationships/hyperlink" Target="http://www.at.gov.lv/downloadlawfile/5392" TargetMode="External"/><Relationship Id="rId9" Type="http://schemas.openxmlformats.org/officeDocument/2006/relationships/hyperlink" Target="https://lvportals.lv/e-konsultacijas/9858-par-tikumibas-un-taisnpratibas-apsverumiem-darbinieka-uzteikuma-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717F3-C9F5-4BD9-9613-6DB4AE046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48</Pages>
  <Words>89194</Words>
  <Characters>50841</Characters>
  <Application>Microsoft Office Word</Application>
  <DocSecurity>0</DocSecurity>
  <Lines>423</Lines>
  <Paragraphs>279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anotācija_(ex_ante)_21-TA-1112.docx</vt:lpstr>
      <vt:lpstr>anotācija_(ex_ante)_21-TA-1112.docx</vt:lpstr>
    </vt:vector>
  </TitlesOfParts>
  <Company/>
  <LinksUpToDate>false</LinksUpToDate>
  <CharactersWithSpaces>139756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anotācija_(ex_ante)_21-TA-1112.docx</dc:title>
  <dc:creator>Vesma Voitkevica</dc:creator>
  <cp:lastModifiedBy>Gvido</cp:lastModifiedBy>
  <cp:revision>35</cp:revision>
  <dcterms:created xsi:type="dcterms:W3CDTF">2023-01-13T06:34:00Z</dcterms:created>
  <dcterms:modified xsi:type="dcterms:W3CDTF">2023-08-14T05:53:00Z</dcterms:modified>
</cp:coreProperties>
</file>