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F39979" w14:textId="66C5894E" w:rsidR="00B24523" w:rsidRPr="001E6FC4" w:rsidRDefault="00B24523" w:rsidP="006C2E99">
      <w:pPr>
        <w:spacing w:after="0" w:line="240" w:lineRule="auto"/>
        <w:jc w:val="center"/>
        <w:rPr>
          <w:rFonts w:ascii="Times New Roman" w:eastAsia="Times New Roman" w:hAnsi="Times New Roman" w:cs="Times New Roman"/>
          <w:sz w:val="24"/>
          <w:szCs w:val="24"/>
        </w:rPr>
      </w:pPr>
      <w:r w:rsidRPr="001E6FC4">
        <w:rPr>
          <w:rFonts w:ascii="Times New Roman" w:eastAsia="Times New Roman" w:hAnsi="Times New Roman" w:cs="Times New Roman"/>
          <w:sz w:val="24"/>
          <w:szCs w:val="24"/>
        </w:rPr>
        <w:t>Rīgā</w:t>
      </w:r>
    </w:p>
    <w:p w14:paraId="43315385" w14:textId="77777777" w:rsidR="00185F05" w:rsidRPr="001E6FC4" w:rsidRDefault="00185F05" w:rsidP="006C2E99">
      <w:pPr>
        <w:spacing w:after="0" w:line="240" w:lineRule="auto"/>
        <w:jc w:val="center"/>
        <w:rPr>
          <w:rFonts w:ascii="Times New Roman" w:eastAsia="Times New Roman" w:hAnsi="Times New Roman" w:cs="Times New Roman"/>
          <w:sz w:val="24"/>
          <w:szCs w:val="24"/>
        </w:rPr>
      </w:pPr>
    </w:p>
    <w:tbl>
      <w:tblPr>
        <w:tblW w:w="9464" w:type="dxa"/>
        <w:tblLayout w:type="fixed"/>
        <w:tblLook w:val="0000" w:firstRow="0" w:lastRow="0" w:firstColumn="0" w:lastColumn="0" w:noHBand="0" w:noVBand="0"/>
      </w:tblPr>
      <w:tblGrid>
        <w:gridCol w:w="4928"/>
        <w:gridCol w:w="4536"/>
      </w:tblGrid>
      <w:tr w:rsidR="00A2605F" w:rsidRPr="001E6FC4" w14:paraId="08F3997E" w14:textId="77777777" w:rsidTr="00D07E80">
        <w:trPr>
          <w:cantSplit/>
          <w:trHeight w:val="971"/>
        </w:trPr>
        <w:tc>
          <w:tcPr>
            <w:tcW w:w="4928" w:type="dxa"/>
          </w:tcPr>
          <w:p w14:paraId="08F3997A" w14:textId="6EA7AF29" w:rsidR="00D07E80" w:rsidRPr="001E6FC4" w:rsidRDefault="002B030D" w:rsidP="006C2E99">
            <w:pPr>
              <w:spacing w:after="0" w:line="240" w:lineRule="auto"/>
              <w:jc w:val="both"/>
              <w:rPr>
                <w:rFonts w:ascii="Times New Roman" w:eastAsia="Times New Roman" w:hAnsi="Times New Roman" w:cs="Times New Roman"/>
                <w:sz w:val="24"/>
                <w:szCs w:val="24"/>
              </w:rPr>
            </w:pPr>
            <w:sdt>
              <w:sdtPr>
                <w:rPr>
                  <w:rFonts w:ascii="Times New Roman" w:eastAsia="Times New Roman" w:hAnsi="Times New Roman" w:cs="Times New Roman"/>
                  <w:sz w:val="24"/>
                  <w:szCs w:val="24"/>
                </w:rPr>
                <w:alias w:val="Reģistrēšanas datums"/>
                <w:tag w:val="DokRegDatums"/>
                <w:id w:val="-134111700"/>
                <w:placeholder>
                  <w:docPart w:val="A834D5A16F4C44F29DA4359B433FD429"/>
                </w:placeholder>
                <w:dataBinding w:prefixMappings="xmlns:ns0='http://schemas.microsoft.com/office/2006/metadata/properties' xmlns:ns1='http://www.w3.org/2001/XMLSchema-instance' xmlns:ns2='http://schemas.microsoft.com/office/infopath/2007/PartnerControls' xmlns:ns3='80613d6c-201e-4be1-b27a-7e1bf41d8677' xmlns:ns4='f123fc61-7915-4898-8636-52bfc24319d4' " w:xpath="/ns0:properties[1]/documentManagement[1]/ns4:DokRegDatums[1]" w:storeItemID="{2DFF2E7C-4C4B-44D9-AB99-D3D6EA390431}"/>
                <w:date w:fullDate="2021-09-13T16:09:00Z">
                  <w:dateFormat w:val="dd.MM.yyyy"/>
                  <w:lid w:val="lv-LV"/>
                  <w:storeMappedDataAs w:val="dateTime"/>
                  <w:calendar w:val="gregorian"/>
                </w:date>
              </w:sdtPr>
              <w:sdtEndPr/>
              <w:sdtContent>
                <w:r w:rsidR="00FF6658" w:rsidRPr="001E6FC4">
                  <w:rPr>
                    <w:rFonts w:ascii="Times New Roman" w:eastAsia="Times New Roman" w:hAnsi="Times New Roman" w:cs="Times New Roman"/>
                    <w:sz w:val="24"/>
                    <w:szCs w:val="24"/>
                  </w:rPr>
                  <w:t>13.09.2021</w:t>
                </w:r>
              </w:sdtContent>
            </w:sdt>
            <w:r w:rsidR="00D07E80" w:rsidRPr="001E6FC4">
              <w:rPr>
                <w:rFonts w:ascii="Times New Roman" w:eastAsia="Times New Roman" w:hAnsi="Times New Roman" w:cs="Times New Roman"/>
                <w:sz w:val="24"/>
                <w:szCs w:val="24"/>
              </w:rPr>
              <w:t xml:space="preserve"> Nr. </w:t>
            </w:r>
            <w:sdt>
              <w:sdtPr>
                <w:rPr>
                  <w:rFonts w:ascii="Times New Roman" w:eastAsia="Times New Roman" w:hAnsi="Times New Roman" w:cs="Times New Roman"/>
                  <w:sz w:val="24"/>
                  <w:szCs w:val="24"/>
                </w:rPr>
                <w:alias w:val="LTAB numurs"/>
                <w:tag w:val="DokNumurs"/>
                <w:id w:val="-502584971"/>
                <w:placeholder>
                  <w:docPart w:val="4E0FEC1A292F419C82C8398F35ED4E1E"/>
                </w:placeholder>
                <w:dataBinding w:prefixMappings="xmlns:ns0='http://schemas.microsoft.com/office/2006/metadata/properties' xmlns:ns1='http://www.w3.org/2001/XMLSchema-instance' xmlns:ns2='http://schemas.microsoft.com/office/infopath/2007/PartnerControls' xmlns:ns3='80613d6c-201e-4be1-b27a-7e1bf41d8677' xmlns:ns4='f123fc61-7915-4898-8636-52bfc24319d4' " w:xpath="/ns0:properties[1]/documentManagement[1]/ns4:DokNumurs[1]" w:storeItemID="{2DFF2E7C-4C4B-44D9-AB99-D3D6EA390431}"/>
                <w:text/>
              </w:sdtPr>
              <w:sdtEndPr/>
              <w:sdtContent>
                <w:r w:rsidR="00FF6658" w:rsidRPr="001E6FC4">
                  <w:rPr>
                    <w:rFonts w:ascii="Times New Roman" w:eastAsia="Times New Roman" w:hAnsi="Times New Roman" w:cs="Times New Roman"/>
                    <w:sz w:val="24"/>
                    <w:szCs w:val="24"/>
                  </w:rPr>
                  <w:t>07/02-16/93</w:t>
                </w:r>
              </w:sdtContent>
            </w:sdt>
          </w:p>
          <w:p w14:paraId="08F3997C" w14:textId="3F64CE7D" w:rsidR="00D07E80" w:rsidRPr="001E6FC4" w:rsidRDefault="00D07E80" w:rsidP="006C2E99">
            <w:pPr>
              <w:spacing w:after="0" w:line="240" w:lineRule="auto"/>
              <w:jc w:val="both"/>
              <w:rPr>
                <w:rFonts w:ascii="Times New Roman" w:eastAsia="Times New Roman" w:hAnsi="Times New Roman" w:cs="Times New Roman"/>
                <w:sz w:val="24"/>
                <w:szCs w:val="24"/>
              </w:rPr>
            </w:pPr>
          </w:p>
        </w:tc>
        <w:tc>
          <w:tcPr>
            <w:tcW w:w="4536" w:type="dxa"/>
          </w:tcPr>
          <w:p w14:paraId="6315DEDA" w14:textId="77777777" w:rsidR="000B0676" w:rsidRPr="001E6FC4" w:rsidRDefault="000B0676" w:rsidP="006C2E99">
            <w:pPr>
              <w:spacing w:after="0" w:line="240" w:lineRule="auto"/>
              <w:jc w:val="right"/>
              <w:rPr>
                <w:rFonts w:ascii="Times New Roman" w:eastAsia="Times New Roman" w:hAnsi="Times New Roman" w:cs="Times New Roman"/>
                <w:b/>
                <w:bCs/>
                <w:sz w:val="24"/>
                <w:szCs w:val="24"/>
              </w:rPr>
            </w:pPr>
            <w:r w:rsidRPr="001E6FC4">
              <w:rPr>
                <w:rFonts w:ascii="Times New Roman" w:eastAsia="Times New Roman" w:hAnsi="Times New Roman" w:cs="Times New Roman"/>
                <w:b/>
                <w:bCs/>
                <w:sz w:val="24"/>
                <w:szCs w:val="24"/>
              </w:rPr>
              <w:t>Finanšu ministrijai</w:t>
            </w:r>
          </w:p>
          <w:p w14:paraId="5913499B" w14:textId="2EE22483" w:rsidR="000B0676" w:rsidRPr="001E6FC4" w:rsidRDefault="002B030D" w:rsidP="006C2E99">
            <w:pPr>
              <w:spacing w:after="0" w:line="240" w:lineRule="auto"/>
              <w:jc w:val="right"/>
              <w:rPr>
                <w:rFonts w:ascii="Times New Roman" w:hAnsi="Times New Roman" w:cs="Times New Roman"/>
                <w:sz w:val="24"/>
                <w:szCs w:val="24"/>
              </w:rPr>
            </w:pPr>
            <w:hyperlink r:id="rId11" w:history="1">
              <w:r w:rsidR="000B0676" w:rsidRPr="001E6FC4">
                <w:rPr>
                  <w:rStyle w:val="Hyperlink"/>
                  <w:rFonts w:ascii="Times New Roman" w:hAnsi="Times New Roman" w:cs="Times New Roman"/>
                  <w:color w:val="auto"/>
                  <w:sz w:val="24"/>
                  <w:szCs w:val="24"/>
                </w:rPr>
                <w:t>pasts@fm.gov.lv</w:t>
              </w:r>
            </w:hyperlink>
            <w:r w:rsidR="006C2E99" w:rsidRPr="001E6FC4">
              <w:rPr>
                <w:rStyle w:val="Hyperlink"/>
                <w:rFonts w:ascii="Times New Roman" w:hAnsi="Times New Roman" w:cs="Times New Roman"/>
                <w:color w:val="auto"/>
                <w:sz w:val="24"/>
                <w:szCs w:val="24"/>
              </w:rPr>
              <w:t xml:space="preserve"> </w:t>
            </w:r>
            <w:r w:rsidR="000B0676" w:rsidRPr="001E6FC4">
              <w:rPr>
                <w:rFonts w:ascii="Times New Roman" w:hAnsi="Times New Roman" w:cs="Times New Roman"/>
                <w:sz w:val="24"/>
                <w:szCs w:val="24"/>
              </w:rPr>
              <w:t xml:space="preserve"> </w:t>
            </w:r>
          </w:p>
          <w:p w14:paraId="41919E6F" w14:textId="59F92002" w:rsidR="00A2605F" w:rsidRPr="001E6FC4" w:rsidRDefault="002B030D" w:rsidP="006C2E99">
            <w:pPr>
              <w:spacing w:after="0" w:line="240" w:lineRule="auto"/>
              <w:jc w:val="right"/>
              <w:rPr>
                <w:rFonts w:ascii="Times New Roman" w:hAnsi="Times New Roman" w:cs="Times New Roman"/>
                <w:sz w:val="24"/>
                <w:szCs w:val="24"/>
              </w:rPr>
            </w:pPr>
            <w:hyperlink r:id="rId12" w:history="1">
              <w:r w:rsidR="006C2E99" w:rsidRPr="001E6FC4">
                <w:rPr>
                  <w:rStyle w:val="Hyperlink"/>
                  <w:rFonts w:ascii="Times New Roman" w:hAnsi="Times New Roman" w:cs="Times New Roman"/>
                  <w:color w:val="auto"/>
                  <w:sz w:val="24"/>
                  <w:szCs w:val="24"/>
                </w:rPr>
                <w:t>Līga.Klavina@fm.gov.lv</w:t>
              </w:r>
            </w:hyperlink>
            <w:r w:rsidR="006C2E99" w:rsidRPr="001E6FC4">
              <w:rPr>
                <w:rFonts w:ascii="Times New Roman" w:hAnsi="Times New Roman" w:cs="Times New Roman"/>
                <w:sz w:val="24"/>
                <w:szCs w:val="24"/>
              </w:rPr>
              <w:t xml:space="preserve"> </w:t>
            </w:r>
          </w:p>
          <w:p w14:paraId="4345FCB2" w14:textId="5710FC34" w:rsidR="00A2605F" w:rsidRPr="001E6FC4" w:rsidRDefault="002B030D" w:rsidP="006C2E99">
            <w:pPr>
              <w:spacing w:after="0" w:line="240" w:lineRule="auto"/>
              <w:jc w:val="right"/>
              <w:rPr>
                <w:rFonts w:ascii="Times New Roman" w:hAnsi="Times New Roman" w:cs="Times New Roman"/>
                <w:sz w:val="24"/>
                <w:szCs w:val="24"/>
              </w:rPr>
            </w:pPr>
            <w:hyperlink r:id="rId13" w:history="1">
              <w:r w:rsidR="006C2E99" w:rsidRPr="001E6FC4">
                <w:rPr>
                  <w:rStyle w:val="Hyperlink"/>
                  <w:rFonts w:ascii="Times New Roman" w:hAnsi="Times New Roman" w:cs="Times New Roman"/>
                  <w:color w:val="auto"/>
                  <w:sz w:val="24"/>
                  <w:szCs w:val="24"/>
                </w:rPr>
                <w:t>Aija.Zitcere@fm.gov.lv</w:t>
              </w:r>
            </w:hyperlink>
            <w:r w:rsidR="006C2E99" w:rsidRPr="001E6FC4">
              <w:rPr>
                <w:rFonts w:ascii="Times New Roman" w:hAnsi="Times New Roman" w:cs="Times New Roman"/>
                <w:sz w:val="24"/>
                <w:szCs w:val="24"/>
              </w:rPr>
              <w:t xml:space="preserve"> </w:t>
            </w:r>
            <w:r w:rsidR="00A2605F" w:rsidRPr="001E6FC4">
              <w:rPr>
                <w:rFonts w:ascii="Times New Roman" w:hAnsi="Times New Roman" w:cs="Times New Roman"/>
                <w:sz w:val="24"/>
                <w:szCs w:val="24"/>
              </w:rPr>
              <w:t xml:space="preserve"> </w:t>
            </w:r>
          </w:p>
          <w:p w14:paraId="53FB952D" w14:textId="41A8323A" w:rsidR="000B0676" w:rsidRPr="001E6FC4" w:rsidRDefault="002B030D" w:rsidP="006C2E99">
            <w:pPr>
              <w:spacing w:after="0" w:line="240" w:lineRule="auto"/>
              <w:jc w:val="right"/>
              <w:rPr>
                <w:rFonts w:ascii="Times New Roman" w:hAnsi="Times New Roman" w:cs="Times New Roman"/>
                <w:sz w:val="24"/>
                <w:szCs w:val="24"/>
              </w:rPr>
            </w:pPr>
            <w:hyperlink r:id="rId14" w:history="1">
              <w:r w:rsidR="00A2605F" w:rsidRPr="001E6FC4">
                <w:rPr>
                  <w:rStyle w:val="Hyperlink"/>
                  <w:rFonts w:ascii="Times New Roman" w:hAnsi="Times New Roman" w:cs="Times New Roman"/>
                  <w:color w:val="auto"/>
                  <w:sz w:val="24"/>
                  <w:szCs w:val="24"/>
                </w:rPr>
                <w:t>Egita.Skibele@fm.gov.lv</w:t>
              </w:r>
            </w:hyperlink>
            <w:r w:rsidR="006C2E99" w:rsidRPr="001E6FC4">
              <w:rPr>
                <w:rFonts w:ascii="Times New Roman" w:hAnsi="Times New Roman" w:cs="Times New Roman"/>
                <w:sz w:val="24"/>
                <w:szCs w:val="24"/>
              </w:rPr>
              <w:t xml:space="preserve"> </w:t>
            </w:r>
          </w:p>
          <w:p w14:paraId="017A6DEF" w14:textId="6C9BC504" w:rsidR="0026216F" w:rsidRPr="001E6FC4" w:rsidRDefault="002B030D" w:rsidP="006C2E99">
            <w:pPr>
              <w:spacing w:after="0" w:line="240" w:lineRule="auto"/>
              <w:jc w:val="right"/>
              <w:rPr>
                <w:rFonts w:ascii="Times New Roman" w:eastAsia="Times New Roman" w:hAnsi="Times New Roman" w:cs="Times New Roman"/>
                <w:sz w:val="24"/>
                <w:szCs w:val="24"/>
              </w:rPr>
            </w:pPr>
            <w:hyperlink r:id="rId15" w:history="1">
              <w:r w:rsidR="000B0676" w:rsidRPr="001E6FC4">
                <w:rPr>
                  <w:rStyle w:val="Hyperlink"/>
                  <w:rFonts w:ascii="Times New Roman" w:eastAsia="Times New Roman" w:hAnsi="Times New Roman" w:cs="Times New Roman"/>
                  <w:color w:val="auto"/>
                  <w:sz w:val="24"/>
                  <w:szCs w:val="24"/>
                </w:rPr>
                <w:t>Inese.Albova@fm.gov.lv</w:t>
              </w:r>
            </w:hyperlink>
            <w:r w:rsidR="006C2E99" w:rsidRPr="001E6FC4">
              <w:rPr>
                <w:rStyle w:val="Hyperlink"/>
                <w:rFonts w:ascii="Times New Roman" w:eastAsia="Times New Roman" w:hAnsi="Times New Roman" w:cs="Times New Roman"/>
                <w:color w:val="auto"/>
                <w:sz w:val="24"/>
                <w:szCs w:val="24"/>
              </w:rPr>
              <w:t xml:space="preserve"> </w:t>
            </w:r>
          </w:p>
          <w:p w14:paraId="0E58FF9B" w14:textId="77777777" w:rsidR="0026216F" w:rsidRPr="001E6FC4" w:rsidRDefault="0026216F" w:rsidP="006C2E99">
            <w:pPr>
              <w:spacing w:after="0" w:line="240" w:lineRule="auto"/>
              <w:jc w:val="right"/>
              <w:rPr>
                <w:rFonts w:ascii="Times New Roman" w:eastAsia="Times New Roman" w:hAnsi="Times New Roman" w:cs="Times New Roman"/>
                <w:sz w:val="24"/>
                <w:szCs w:val="24"/>
              </w:rPr>
            </w:pPr>
          </w:p>
          <w:p w14:paraId="4E4A4615" w14:textId="35D39E09" w:rsidR="00D07E80" w:rsidRPr="001E6FC4" w:rsidRDefault="00D07E80" w:rsidP="006C2E99">
            <w:pPr>
              <w:spacing w:after="0" w:line="240" w:lineRule="auto"/>
              <w:jc w:val="right"/>
              <w:rPr>
                <w:rFonts w:ascii="Times New Roman" w:eastAsia="Times New Roman" w:hAnsi="Times New Roman" w:cs="Times New Roman"/>
                <w:b/>
                <w:sz w:val="24"/>
                <w:szCs w:val="24"/>
              </w:rPr>
            </w:pPr>
          </w:p>
        </w:tc>
      </w:tr>
    </w:tbl>
    <w:p w14:paraId="25FCDCE2" w14:textId="4085D6BC" w:rsidR="000B0676" w:rsidRPr="001E6FC4" w:rsidRDefault="000B0676" w:rsidP="006C2E99">
      <w:pPr>
        <w:spacing w:after="0" w:line="240" w:lineRule="auto"/>
        <w:rPr>
          <w:rFonts w:ascii="Times New Roman" w:hAnsi="Times New Roman" w:cs="Times New Roman"/>
          <w:b/>
          <w:bCs/>
          <w:i/>
          <w:iCs/>
          <w:sz w:val="24"/>
          <w:szCs w:val="24"/>
        </w:rPr>
      </w:pPr>
      <w:r w:rsidRPr="001E6FC4">
        <w:rPr>
          <w:rFonts w:ascii="Times New Roman" w:hAnsi="Times New Roman" w:cs="Times New Roman"/>
          <w:b/>
          <w:bCs/>
          <w:i/>
          <w:iCs/>
          <w:color w:val="000000"/>
          <w:sz w:val="24"/>
          <w:szCs w:val="24"/>
        </w:rPr>
        <w:t>Par informatīvā ziņojuma projektu “Par Sauszemes transportlīdzekļu īpašnieku civiltiesiskās atbildības obligātās apdrošināšanas likuma 14.pantā noteiktā tiesiskā regulējuma izvērtējumu”</w:t>
      </w:r>
    </w:p>
    <w:p w14:paraId="1F22C4EC" w14:textId="77777777" w:rsidR="006C2E99" w:rsidRPr="001E6FC4" w:rsidRDefault="006C2E99" w:rsidP="006C2E99">
      <w:pPr>
        <w:pStyle w:val="xxxmsonormal"/>
        <w:shd w:val="clear" w:color="auto" w:fill="FFFFFF"/>
        <w:rPr>
          <w:rFonts w:ascii="Times New Roman" w:hAnsi="Times New Roman" w:cs="Times New Roman"/>
          <w:color w:val="000000"/>
          <w:sz w:val="24"/>
          <w:szCs w:val="24"/>
        </w:rPr>
      </w:pPr>
    </w:p>
    <w:p w14:paraId="1278F473" w14:textId="77EF0649" w:rsidR="000B0676" w:rsidRDefault="000B0676" w:rsidP="006C2E99">
      <w:pPr>
        <w:pStyle w:val="xxxmsonormal"/>
        <w:shd w:val="clear" w:color="auto" w:fill="FFFFFF"/>
        <w:rPr>
          <w:rFonts w:ascii="Times New Roman" w:hAnsi="Times New Roman" w:cs="Times New Roman"/>
          <w:color w:val="000000"/>
          <w:sz w:val="24"/>
          <w:szCs w:val="24"/>
        </w:rPr>
      </w:pPr>
      <w:r w:rsidRPr="001E6FC4">
        <w:rPr>
          <w:rFonts w:ascii="Times New Roman" w:hAnsi="Times New Roman" w:cs="Times New Roman"/>
          <w:color w:val="000000"/>
          <w:sz w:val="24"/>
          <w:szCs w:val="24"/>
        </w:rPr>
        <w:t>Labdien!</w:t>
      </w:r>
    </w:p>
    <w:p w14:paraId="27D1167B" w14:textId="77777777" w:rsidR="009B0AB4" w:rsidRPr="001E6FC4" w:rsidRDefault="009B0AB4" w:rsidP="006C2E99">
      <w:pPr>
        <w:pStyle w:val="xxxmsonormal"/>
        <w:shd w:val="clear" w:color="auto" w:fill="FFFFFF"/>
        <w:rPr>
          <w:rFonts w:ascii="Times New Roman" w:hAnsi="Times New Roman" w:cs="Times New Roman"/>
          <w:color w:val="000000"/>
          <w:sz w:val="24"/>
          <w:szCs w:val="24"/>
        </w:rPr>
      </w:pPr>
    </w:p>
    <w:p w14:paraId="21FEFF78" w14:textId="748BD89F" w:rsidR="00A2605F" w:rsidRPr="001E6FC4" w:rsidRDefault="000B0676" w:rsidP="0012219B">
      <w:pPr>
        <w:pStyle w:val="xxxmsonormal"/>
        <w:shd w:val="clear" w:color="auto" w:fill="FFFFFF"/>
        <w:ind w:firstLine="720"/>
        <w:jc w:val="both"/>
        <w:rPr>
          <w:rFonts w:ascii="Times New Roman" w:hAnsi="Times New Roman" w:cs="Times New Roman"/>
          <w:color w:val="000000"/>
          <w:sz w:val="24"/>
          <w:szCs w:val="24"/>
        </w:rPr>
      </w:pPr>
      <w:r w:rsidRPr="001E6FC4">
        <w:rPr>
          <w:rFonts w:ascii="Times New Roman" w:hAnsi="Times New Roman" w:cs="Times New Roman"/>
          <w:color w:val="000000"/>
          <w:sz w:val="24"/>
          <w:szCs w:val="24"/>
        </w:rPr>
        <w:t xml:space="preserve">Atbildot uz Finanšu ministrijas </w:t>
      </w:r>
      <w:r w:rsidR="00FA1EE1" w:rsidRPr="001E6FC4">
        <w:rPr>
          <w:rFonts w:ascii="Times New Roman" w:hAnsi="Times New Roman" w:cs="Times New Roman"/>
          <w:color w:val="000000"/>
          <w:sz w:val="24"/>
          <w:szCs w:val="24"/>
        </w:rPr>
        <w:t>09</w:t>
      </w:r>
      <w:r w:rsidRPr="001E6FC4">
        <w:rPr>
          <w:rFonts w:ascii="Times New Roman" w:hAnsi="Times New Roman" w:cs="Times New Roman"/>
          <w:color w:val="000000"/>
          <w:sz w:val="24"/>
          <w:szCs w:val="24"/>
        </w:rPr>
        <w:t>.0</w:t>
      </w:r>
      <w:r w:rsidR="00A2605F" w:rsidRPr="001E6FC4">
        <w:rPr>
          <w:rFonts w:ascii="Times New Roman" w:hAnsi="Times New Roman" w:cs="Times New Roman"/>
          <w:color w:val="000000"/>
          <w:sz w:val="24"/>
          <w:szCs w:val="24"/>
        </w:rPr>
        <w:t>9</w:t>
      </w:r>
      <w:r w:rsidRPr="001E6FC4">
        <w:rPr>
          <w:rFonts w:ascii="Times New Roman" w:hAnsi="Times New Roman" w:cs="Times New Roman"/>
          <w:color w:val="000000"/>
          <w:sz w:val="24"/>
          <w:szCs w:val="24"/>
        </w:rPr>
        <w:t xml:space="preserve">.2021. e-pasta vēstuli </w:t>
      </w:r>
      <w:r w:rsidR="00A2605F" w:rsidRPr="001E6FC4">
        <w:rPr>
          <w:rFonts w:ascii="Times New Roman" w:hAnsi="Times New Roman" w:cs="Times New Roman"/>
          <w:color w:val="000000"/>
          <w:sz w:val="24"/>
          <w:szCs w:val="24"/>
        </w:rPr>
        <w:t xml:space="preserve">saistībā ar </w:t>
      </w:r>
      <w:r w:rsidR="00A2605F" w:rsidRPr="001E6FC4">
        <w:rPr>
          <w:rFonts w:ascii="Times New Roman" w:hAnsi="Times New Roman" w:cs="Times New Roman"/>
          <w:color w:val="000000"/>
          <w:sz w:val="24"/>
          <w:szCs w:val="24"/>
          <w:shd w:val="clear" w:color="auto" w:fill="FFFFFF"/>
          <w:lang w:eastAsia="en-GB"/>
        </w:rPr>
        <w:t xml:space="preserve">2021.gada 9.septembrī </w:t>
      </w:r>
      <w:r w:rsidR="00A2605F" w:rsidRPr="001E6FC4">
        <w:rPr>
          <w:rFonts w:ascii="Times New Roman" w:hAnsi="Times New Roman" w:cs="Times New Roman"/>
          <w:color w:val="000000"/>
          <w:sz w:val="24"/>
          <w:szCs w:val="24"/>
          <w:bdr w:val="none" w:sz="0" w:space="0" w:color="auto" w:frame="1"/>
          <w:shd w:val="clear" w:color="auto" w:fill="FFFFFF"/>
          <w:lang w:eastAsia="en-GB"/>
        </w:rPr>
        <w:t>Valsts sekretāru</w:t>
      </w:r>
      <w:r w:rsidR="00A2605F" w:rsidRPr="001E6FC4">
        <w:rPr>
          <w:rFonts w:ascii="Times New Roman" w:hAnsi="Times New Roman" w:cs="Times New Roman"/>
          <w:color w:val="000000"/>
          <w:sz w:val="24"/>
          <w:szCs w:val="24"/>
          <w:shd w:val="clear" w:color="auto" w:fill="FFFFFF"/>
          <w:lang w:eastAsia="en-GB"/>
        </w:rPr>
        <w:t xml:space="preserve"> sanāksmē nolemto par  </w:t>
      </w:r>
      <w:r w:rsidRPr="001E6FC4">
        <w:rPr>
          <w:rFonts w:ascii="Times New Roman" w:hAnsi="Times New Roman" w:cs="Times New Roman"/>
          <w:color w:val="000000"/>
          <w:sz w:val="24"/>
          <w:szCs w:val="24"/>
        </w:rPr>
        <w:t>informatīvā ziņojuma projektu “Par Sauszemes transportlīdzekļu īpašnieku civiltiesiskās atbildības obligātās apdrošināšanas likuma 14.pantā noteiktā tiesiskā regulējuma izvērtējumu”</w:t>
      </w:r>
      <w:r w:rsidR="00E64FE2" w:rsidRPr="001E6FC4">
        <w:rPr>
          <w:rFonts w:ascii="Times New Roman" w:hAnsi="Times New Roman" w:cs="Times New Roman"/>
          <w:color w:val="000000"/>
          <w:sz w:val="24"/>
          <w:szCs w:val="24"/>
        </w:rPr>
        <w:t xml:space="preserve"> (turpmāk – informatīvā ziņojuma projekts)</w:t>
      </w:r>
      <w:r w:rsidR="00A2605F" w:rsidRPr="001E6FC4">
        <w:rPr>
          <w:rFonts w:ascii="Times New Roman" w:hAnsi="Times New Roman" w:cs="Times New Roman"/>
          <w:color w:val="000000"/>
          <w:sz w:val="24"/>
          <w:szCs w:val="24"/>
        </w:rPr>
        <w:t xml:space="preserve"> (</w:t>
      </w:r>
      <w:r w:rsidR="00A2605F" w:rsidRPr="001E6FC4">
        <w:rPr>
          <w:rFonts w:ascii="Times New Roman" w:hAnsi="Times New Roman" w:cs="Times New Roman"/>
          <w:i/>
          <w:iCs/>
          <w:color w:val="2A2A2A"/>
          <w:sz w:val="24"/>
          <w:szCs w:val="24"/>
        </w:rPr>
        <w:t>Ņemot vērā, ka sanāksmes laikā netika panākta vienošanās par biedrības "Latvijas Transportlīdzekļu apdrošinātāju birojs" iebildumiem, Finanšu ministrijai aktualizēt finansiālās ietekmes izvērtējumu un attiecīgi precizēt informatīvajā ziņojumā minēto nozares viedokli, un precizēto informatīvo ziņojumu un Ministru kabineta sēdes protokollēmuma projektu iesniegt izskatīšanai Ministru kabineta sēdē</w:t>
      </w:r>
      <w:r w:rsidR="00A2605F" w:rsidRPr="001E6FC4">
        <w:rPr>
          <w:rFonts w:ascii="Times New Roman" w:hAnsi="Times New Roman" w:cs="Times New Roman"/>
          <w:color w:val="000000"/>
          <w:sz w:val="24"/>
          <w:szCs w:val="24"/>
        </w:rPr>
        <w:t>)</w:t>
      </w:r>
      <w:r w:rsidRPr="001E6FC4">
        <w:rPr>
          <w:rFonts w:ascii="Times New Roman" w:hAnsi="Times New Roman" w:cs="Times New Roman"/>
          <w:color w:val="000000"/>
          <w:sz w:val="24"/>
          <w:szCs w:val="24"/>
        </w:rPr>
        <w:t xml:space="preserve">, </w:t>
      </w:r>
      <w:r w:rsidR="002E79FD" w:rsidRPr="001E6FC4">
        <w:rPr>
          <w:rFonts w:ascii="Times New Roman" w:hAnsi="Times New Roman" w:cs="Times New Roman"/>
          <w:color w:val="000000"/>
          <w:sz w:val="24"/>
          <w:szCs w:val="24"/>
        </w:rPr>
        <w:t>biedrība “Latvijas Transportlīdzekļu apdrošinātāju birojs” (turpmāk – LTAB)</w:t>
      </w:r>
      <w:r w:rsidR="005B23B3" w:rsidRPr="001E6FC4">
        <w:rPr>
          <w:rFonts w:ascii="Times New Roman" w:hAnsi="Times New Roman" w:cs="Times New Roman"/>
          <w:color w:val="000000"/>
          <w:sz w:val="24"/>
          <w:szCs w:val="24"/>
        </w:rPr>
        <w:t xml:space="preserve">, </w:t>
      </w:r>
      <w:r w:rsidR="005B23B3" w:rsidRPr="001E6FC4">
        <w:rPr>
          <w:rFonts w:ascii="Times New Roman" w:hAnsi="Times New Roman" w:cs="Times New Roman"/>
          <w:sz w:val="24"/>
          <w:szCs w:val="24"/>
        </w:rPr>
        <w:t xml:space="preserve">kas saskaņā ar </w:t>
      </w:r>
      <w:r w:rsidR="005B23B3" w:rsidRPr="001E6FC4">
        <w:rPr>
          <w:rFonts w:ascii="Times New Roman" w:hAnsi="Times New Roman" w:cs="Times New Roman"/>
          <w:sz w:val="24"/>
          <w:szCs w:val="24"/>
          <w:shd w:val="clear" w:color="auto" w:fill="FFFFFF"/>
        </w:rPr>
        <w:t>Sauszemes transportlīdzekļu īpašnieku civiltiesiskās atbildības obligātās apdrošināšanas (turpmāk – OCTA) likuma 43.panta pirmo daļu ir atbildīga par OCTA sistēmas sekmīgu darbību valstī atbilstoši savam darbības mērķim un uzdevumiem un kurai ar likumu ir noteiktas tiesības sniegt priekšlikumus jautājumos, kas saistīti ar OCTA,</w:t>
      </w:r>
      <w:r w:rsidR="005345EE" w:rsidRPr="001E6FC4">
        <w:rPr>
          <w:rFonts w:ascii="Times New Roman" w:hAnsi="Times New Roman" w:cs="Times New Roman"/>
          <w:color w:val="000000"/>
          <w:sz w:val="24"/>
          <w:szCs w:val="24"/>
        </w:rPr>
        <w:t xml:space="preserve"> informē par turpmāk minēto.</w:t>
      </w:r>
    </w:p>
    <w:p w14:paraId="05A07741" w14:textId="62F7A9CB" w:rsidR="006C2E99" w:rsidRPr="001E6FC4" w:rsidRDefault="0012219B" w:rsidP="0012219B">
      <w:pPr>
        <w:spacing w:after="0" w:line="240" w:lineRule="auto"/>
        <w:ind w:firstLine="720"/>
        <w:jc w:val="both"/>
        <w:rPr>
          <w:rFonts w:ascii="Times New Roman" w:eastAsia="Times New Roman" w:hAnsi="Times New Roman" w:cs="Times New Roman"/>
          <w:color w:val="000000" w:themeColor="text1"/>
          <w:sz w:val="24"/>
          <w:szCs w:val="24"/>
          <w:lang w:eastAsia="en-GB"/>
        </w:rPr>
      </w:pPr>
      <w:r w:rsidRPr="001E6FC4">
        <w:rPr>
          <w:rFonts w:ascii="Times New Roman" w:hAnsi="Times New Roman" w:cs="Times New Roman"/>
          <w:b/>
          <w:bCs/>
          <w:sz w:val="24"/>
          <w:szCs w:val="24"/>
        </w:rPr>
        <w:t>Informatīvā ziņojuma projekts nesasniedz ar OCTA likuma pārejas noteikumu 24.punktu Ministru kabinetam dotā uzdevuma izpildi</w:t>
      </w:r>
      <w:r w:rsidRPr="001E6FC4">
        <w:rPr>
          <w:rFonts w:ascii="Times New Roman" w:hAnsi="Times New Roman" w:cs="Times New Roman"/>
          <w:sz w:val="24"/>
          <w:szCs w:val="24"/>
        </w:rPr>
        <w:t xml:space="preserve">, t.i., informatīvā ziņojuma projekts nesniedz izvērtējumu par OCTA likuma 14.pantā noteiktā apdrošināšanas prēmijas maksājuma samazinājuma iespējamo pakāpenisku atcelšanu un turpmāko risinājumu. </w:t>
      </w:r>
      <w:bookmarkStart w:id="0" w:name="_Hlk82432485"/>
      <w:r w:rsidR="005345EE" w:rsidRPr="001E6FC4">
        <w:rPr>
          <w:rFonts w:ascii="Times New Roman" w:hAnsi="Times New Roman" w:cs="Times New Roman"/>
          <w:sz w:val="24"/>
          <w:szCs w:val="24"/>
        </w:rPr>
        <w:t>OCTA likuma 14.pantā noteikt</w:t>
      </w:r>
      <w:r w:rsidR="006E747C" w:rsidRPr="001E6FC4">
        <w:rPr>
          <w:rFonts w:ascii="Times New Roman" w:hAnsi="Times New Roman" w:cs="Times New Roman"/>
          <w:sz w:val="24"/>
          <w:szCs w:val="24"/>
        </w:rPr>
        <w:t>ā</w:t>
      </w:r>
      <w:r w:rsidR="005345EE" w:rsidRPr="001E6FC4">
        <w:rPr>
          <w:rFonts w:ascii="Times New Roman" w:hAnsi="Times New Roman" w:cs="Times New Roman"/>
          <w:sz w:val="24"/>
          <w:szCs w:val="24"/>
        </w:rPr>
        <w:t xml:space="preserve"> tiesisk</w:t>
      </w:r>
      <w:r w:rsidR="006E747C" w:rsidRPr="001E6FC4">
        <w:rPr>
          <w:rFonts w:ascii="Times New Roman" w:hAnsi="Times New Roman" w:cs="Times New Roman"/>
          <w:sz w:val="24"/>
          <w:szCs w:val="24"/>
        </w:rPr>
        <w:t>ā</w:t>
      </w:r>
      <w:r w:rsidR="005345EE" w:rsidRPr="001E6FC4">
        <w:rPr>
          <w:rFonts w:ascii="Times New Roman" w:hAnsi="Times New Roman" w:cs="Times New Roman"/>
          <w:sz w:val="24"/>
          <w:szCs w:val="24"/>
        </w:rPr>
        <w:t xml:space="preserve"> regulējum</w:t>
      </w:r>
      <w:r w:rsidR="006E747C" w:rsidRPr="001E6FC4">
        <w:rPr>
          <w:rFonts w:ascii="Times New Roman" w:hAnsi="Times New Roman" w:cs="Times New Roman"/>
          <w:sz w:val="24"/>
          <w:szCs w:val="24"/>
        </w:rPr>
        <w:t xml:space="preserve">a izvērtējums </w:t>
      </w:r>
      <w:r w:rsidR="005345EE" w:rsidRPr="001E6FC4">
        <w:rPr>
          <w:rFonts w:ascii="Times New Roman" w:hAnsi="Times New Roman" w:cs="Times New Roman"/>
          <w:sz w:val="24"/>
          <w:szCs w:val="24"/>
        </w:rPr>
        <w:t>attiecībā uz apdrošināšanas prēmijas maksājuma samazinājumu un iespējamo šā maksājuma samazinājuma pakāpenisku atcelšanu un turpmāko risinājumu nav atkarīgs no OCTA likuma grozījumu, kas stājās spēkā 2021.gadā (12.01.2021. un 01.07.2021.), finansiālās ietekmes izvērtējuma uz Garantijas fondu un tā apmēru.</w:t>
      </w:r>
      <w:r w:rsidR="006E747C" w:rsidRPr="001E6FC4">
        <w:rPr>
          <w:rFonts w:ascii="Times New Roman" w:hAnsi="Times New Roman" w:cs="Times New Roman"/>
          <w:sz w:val="24"/>
          <w:szCs w:val="24"/>
        </w:rPr>
        <w:t xml:space="preserve"> </w:t>
      </w:r>
      <w:bookmarkEnd w:id="0"/>
      <w:r w:rsidR="006E747C" w:rsidRPr="001E6FC4">
        <w:rPr>
          <w:rFonts w:ascii="Times New Roman" w:hAnsi="Times New Roman" w:cs="Times New Roman"/>
          <w:sz w:val="24"/>
          <w:szCs w:val="24"/>
        </w:rPr>
        <w:t xml:space="preserve">OCTA likuma 14.pantā noteiktā  tiesiskā regulējuma </w:t>
      </w:r>
      <w:r w:rsidR="006E747C" w:rsidRPr="001E6FC4">
        <w:rPr>
          <w:rFonts w:ascii="Times New Roman" w:hAnsi="Times New Roman" w:cs="Times New Roman"/>
          <w:b/>
          <w:bCs/>
          <w:sz w:val="24"/>
          <w:szCs w:val="24"/>
        </w:rPr>
        <w:t>izvērtējums jāveic, skatoties Garantijas fonda izveides mērķi un spēkā esošā regulējuma pirmsšķietamo atbilstību LR Satversmei, kā arī Latvijai saistošajām starptautiskajām prasībām</w:t>
      </w:r>
      <w:r w:rsidR="006E747C" w:rsidRPr="001E6FC4">
        <w:rPr>
          <w:rFonts w:ascii="Times New Roman" w:hAnsi="Times New Roman" w:cs="Times New Roman"/>
          <w:sz w:val="24"/>
          <w:szCs w:val="24"/>
        </w:rPr>
        <w:t>.</w:t>
      </w:r>
      <w:r w:rsidR="006C2E99" w:rsidRPr="001E6FC4">
        <w:rPr>
          <w:rFonts w:ascii="Times New Roman" w:hAnsi="Times New Roman" w:cs="Times New Roman"/>
          <w:sz w:val="24"/>
          <w:szCs w:val="24"/>
        </w:rPr>
        <w:t xml:space="preserve"> </w:t>
      </w:r>
      <w:r w:rsidR="006C2E99" w:rsidRPr="001E6FC4">
        <w:rPr>
          <w:rFonts w:ascii="Times New Roman" w:hAnsi="Times New Roman" w:cs="Times New Roman"/>
          <w:color w:val="000000"/>
          <w:sz w:val="24"/>
          <w:szCs w:val="24"/>
        </w:rPr>
        <w:t>Informatīvā ziņojuma projekta</w:t>
      </w:r>
      <w:r w:rsidR="006C2E99" w:rsidRPr="001E6FC4">
        <w:rPr>
          <w:rFonts w:ascii="Times New Roman" w:eastAsia="Times New Roman" w:hAnsi="Times New Roman" w:cs="Times New Roman"/>
          <w:color w:val="000000" w:themeColor="text1"/>
          <w:sz w:val="24"/>
          <w:szCs w:val="24"/>
          <w:lang w:eastAsia="en-GB"/>
        </w:rPr>
        <w:t xml:space="preserve"> 6. nodaļa “Apsvērumi </w:t>
      </w:r>
      <w:r w:rsidR="006C2E99" w:rsidRPr="001E6FC4">
        <w:rPr>
          <w:rFonts w:ascii="Times New Roman" w:eastAsia="Times New Roman" w:hAnsi="Times New Roman" w:cs="Times New Roman"/>
          <w:color w:val="000000" w:themeColor="text1"/>
          <w:sz w:val="24"/>
          <w:szCs w:val="24"/>
          <w:lang w:eastAsia="en-GB"/>
        </w:rPr>
        <w:lastRenderedPageBreak/>
        <w:t xml:space="preserve">par OCTA likuma 14. panta otrās, trešās un ceturtās daļas regulējuma konstitucionalitāti” sniedz nelielu, bet ne pilnīgu konstitucionalitātes izvērtējumu. </w:t>
      </w:r>
    </w:p>
    <w:p w14:paraId="24C0FCF0" w14:textId="22672E31" w:rsidR="006C2E99" w:rsidRPr="001E6FC4" w:rsidRDefault="006E747C" w:rsidP="006C2E99">
      <w:pPr>
        <w:pStyle w:val="xxxmsonormal"/>
        <w:shd w:val="clear" w:color="auto" w:fill="FFFFFF"/>
        <w:ind w:firstLine="720"/>
        <w:jc w:val="both"/>
        <w:rPr>
          <w:rFonts w:ascii="Times New Roman" w:hAnsi="Times New Roman" w:cs="Times New Roman"/>
          <w:sz w:val="24"/>
          <w:szCs w:val="24"/>
        </w:rPr>
      </w:pPr>
      <w:r w:rsidRPr="001E6FC4">
        <w:rPr>
          <w:rFonts w:ascii="Times New Roman" w:hAnsi="Times New Roman" w:cs="Times New Roman"/>
          <w:sz w:val="24"/>
          <w:szCs w:val="24"/>
        </w:rPr>
        <w:t xml:space="preserve"> Garantijas fonds tika izveidots pilnīgi citiem mērķiem (OCTA likuma 51.panta pirmā un otrā daļa) atbilstoši Latvijas starptautiskajām saistībām – apdrošināšanas atlīdzību izmaksām ceļu satiksmes negadījumā cietušajām personām, šo personu interešu aizsardzībai.  </w:t>
      </w:r>
      <w:r w:rsidR="005345EE" w:rsidRPr="001E6FC4">
        <w:rPr>
          <w:rFonts w:ascii="Times New Roman" w:hAnsi="Times New Roman" w:cs="Times New Roman"/>
          <w:sz w:val="24"/>
          <w:szCs w:val="24"/>
        </w:rPr>
        <w:t>Garantijas fonda izmantošana OCTA prēmijas samazinājuma (atlaižu) finansēšanai ir</w:t>
      </w:r>
      <w:r w:rsidR="00786449" w:rsidRPr="001E6FC4">
        <w:rPr>
          <w:rFonts w:ascii="Times New Roman" w:hAnsi="Times New Roman" w:cs="Times New Roman"/>
          <w:sz w:val="24"/>
          <w:szCs w:val="24"/>
        </w:rPr>
        <w:t xml:space="preserve"> vēsturiska palieka (Latvija ir vienīgā valsts  Eiropā, parējās valstīs šis jautājums </w:t>
      </w:r>
      <w:r w:rsidR="00B659F6" w:rsidRPr="001E6FC4">
        <w:rPr>
          <w:rFonts w:ascii="Times New Roman" w:hAnsi="Times New Roman" w:cs="Times New Roman"/>
          <w:sz w:val="24"/>
          <w:szCs w:val="24"/>
        </w:rPr>
        <w:t xml:space="preserve">jau sen </w:t>
      </w:r>
      <w:r w:rsidR="00786449" w:rsidRPr="001E6FC4">
        <w:rPr>
          <w:rFonts w:ascii="Times New Roman" w:hAnsi="Times New Roman" w:cs="Times New Roman"/>
          <w:sz w:val="24"/>
          <w:szCs w:val="24"/>
        </w:rPr>
        <w:t xml:space="preserve">sakārtots) un </w:t>
      </w:r>
      <w:r w:rsidR="005345EE" w:rsidRPr="001E6FC4">
        <w:rPr>
          <w:rFonts w:ascii="Times New Roman" w:hAnsi="Times New Roman" w:cs="Times New Roman"/>
          <w:sz w:val="24"/>
          <w:szCs w:val="24"/>
        </w:rPr>
        <w:t xml:space="preserve"> pretēja Garantijas fonda mērķim, turklāt, kā norādīts pašā informatīvā ziņojuma tekstā: “</w:t>
      </w:r>
      <w:r w:rsidR="005345EE" w:rsidRPr="001E6FC4">
        <w:rPr>
          <w:rFonts w:ascii="Times New Roman" w:hAnsi="Times New Roman" w:cs="Times New Roman"/>
          <w:i/>
          <w:sz w:val="24"/>
          <w:szCs w:val="24"/>
        </w:rPr>
        <w:t>pieņemot lēmumu par tālāko rīcību ar OCTA likuma 14.pantā noteikto regulējumu, būtu jāvērtē arī ietekme uz visu sauszemes transportlīdzekļu īpašnieku interesēm</w:t>
      </w:r>
      <w:r w:rsidR="005345EE" w:rsidRPr="001E6FC4">
        <w:rPr>
          <w:rFonts w:ascii="Times New Roman" w:hAnsi="Times New Roman" w:cs="Times New Roman"/>
          <w:iCs/>
          <w:sz w:val="24"/>
          <w:szCs w:val="24"/>
        </w:rPr>
        <w:t>.”</w:t>
      </w:r>
      <w:r w:rsidR="00786449" w:rsidRPr="001E6FC4">
        <w:rPr>
          <w:rFonts w:ascii="Times New Roman" w:hAnsi="Times New Roman" w:cs="Times New Roman"/>
          <w:iCs/>
          <w:sz w:val="24"/>
          <w:szCs w:val="24"/>
        </w:rPr>
        <w:t xml:space="preserve">, bet šis aspekts </w:t>
      </w:r>
      <w:r w:rsidR="005345EE" w:rsidRPr="001E6FC4">
        <w:rPr>
          <w:rFonts w:ascii="Times New Roman" w:hAnsi="Times New Roman" w:cs="Times New Roman"/>
          <w:sz w:val="24"/>
          <w:szCs w:val="24"/>
        </w:rPr>
        <w:t xml:space="preserve"> </w:t>
      </w:r>
      <w:r w:rsidR="00786449" w:rsidRPr="001E6FC4">
        <w:rPr>
          <w:rFonts w:ascii="Times New Roman" w:hAnsi="Times New Roman" w:cs="Times New Roman"/>
          <w:sz w:val="24"/>
          <w:szCs w:val="24"/>
        </w:rPr>
        <w:t>informatīvā ziņojuma projektā netiek detalizētāk analizēts.</w:t>
      </w:r>
    </w:p>
    <w:p w14:paraId="10665673" w14:textId="4E905A53" w:rsidR="006C2E99" w:rsidRPr="001E6FC4" w:rsidRDefault="006C2E99" w:rsidP="006C2E99">
      <w:pPr>
        <w:spacing w:after="0" w:line="240" w:lineRule="auto"/>
        <w:ind w:firstLine="720"/>
        <w:jc w:val="both"/>
        <w:rPr>
          <w:rFonts w:ascii="Times New Roman" w:hAnsi="Times New Roman" w:cs="Times New Roman"/>
          <w:sz w:val="24"/>
          <w:szCs w:val="24"/>
        </w:rPr>
      </w:pPr>
      <w:r w:rsidRPr="001E6FC4">
        <w:rPr>
          <w:rFonts w:ascii="Times New Roman" w:hAnsi="Times New Roman" w:cs="Times New Roman"/>
          <w:b/>
          <w:bCs/>
          <w:sz w:val="24"/>
          <w:szCs w:val="24"/>
        </w:rPr>
        <w:t>LTAB aicina kā risinājumu virzīt scenāriju, kas paredz grozījumus OCTA likumā, kas noteiktu OCTA likuma 14.panta otrajā un trešajā daļā noteiktā apdrošināšanas prēmijas samazinājuma pakāpenisku atcelšanu līdz 2025.gada 1.janvārim</w:t>
      </w:r>
      <w:r w:rsidRPr="001E6FC4">
        <w:rPr>
          <w:rFonts w:ascii="Times New Roman" w:hAnsi="Times New Roman" w:cs="Times New Roman"/>
          <w:sz w:val="24"/>
          <w:szCs w:val="24"/>
        </w:rPr>
        <w:t xml:space="preserve">, proti, laika periodā no 2023.gada 1.jūlija līdz 2024.gada 31.decembrim prēmijas samazinājumu noteikt attiecīgi 20 un 15 procentu apmērā un atcelt to 2025.gada 1.janvārī. </w:t>
      </w:r>
      <w:r w:rsidR="00B659F6" w:rsidRPr="001E6FC4">
        <w:rPr>
          <w:rFonts w:ascii="Times New Roman" w:hAnsi="Times New Roman" w:cs="Times New Roman"/>
          <w:sz w:val="24"/>
          <w:szCs w:val="24"/>
        </w:rPr>
        <w:t xml:space="preserve">Šī scenārija </w:t>
      </w:r>
      <w:r w:rsidRPr="001E6FC4">
        <w:rPr>
          <w:rFonts w:ascii="Times New Roman" w:hAnsi="Times New Roman" w:cs="Times New Roman"/>
          <w:sz w:val="24"/>
          <w:szCs w:val="24"/>
        </w:rPr>
        <w:t xml:space="preserve"> īstenošanas gadījumā tiktu rasts sabalansēts risinājums, nodrošinot pakāpenisku atteikšanos no novecojoša un </w:t>
      </w:r>
      <w:r w:rsidR="00786449" w:rsidRPr="001E6FC4">
        <w:rPr>
          <w:rFonts w:ascii="Times New Roman" w:hAnsi="Times New Roman" w:cs="Times New Roman"/>
          <w:sz w:val="24"/>
          <w:szCs w:val="24"/>
        </w:rPr>
        <w:t xml:space="preserve">LR </w:t>
      </w:r>
      <w:r w:rsidRPr="001E6FC4">
        <w:rPr>
          <w:rFonts w:ascii="Times New Roman" w:hAnsi="Times New Roman" w:cs="Times New Roman"/>
          <w:sz w:val="24"/>
          <w:szCs w:val="24"/>
        </w:rPr>
        <w:t xml:space="preserve">Satversmei neatbilstoša regulējuma, vienlaikus paredzot pārejas periodu, lai rastu risinājumu  mazāk aizsargātu sabiedrības grupu interešu nodrošināšanai un aizsardzībai. </w:t>
      </w:r>
    </w:p>
    <w:p w14:paraId="3DA8D0FD" w14:textId="77777777" w:rsidR="006C2E99" w:rsidRPr="001E6FC4" w:rsidRDefault="006C2E99" w:rsidP="006C2E99">
      <w:pPr>
        <w:pStyle w:val="xxxmsonormal"/>
        <w:shd w:val="clear" w:color="auto" w:fill="FFFFFF"/>
        <w:ind w:firstLine="720"/>
        <w:jc w:val="both"/>
        <w:rPr>
          <w:rFonts w:ascii="Times New Roman" w:hAnsi="Times New Roman" w:cs="Times New Roman"/>
          <w:sz w:val="24"/>
          <w:szCs w:val="24"/>
        </w:rPr>
      </w:pPr>
    </w:p>
    <w:p w14:paraId="2E192275" w14:textId="04786F2E" w:rsidR="005345EE" w:rsidRPr="001E6FC4" w:rsidRDefault="006E747C" w:rsidP="006C2E99">
      <w:pPr>
        <w:pStyle w:val="xxxmsonormal"/>
        <w:shd w:val="clear" w:color="auto" w:fill="FFFFFF"/>
        <w:ind w:firstLine="720"/>
        <w:jc w:val="both"/>
        <w:rPr>
          <w:rFonts w:ascii="Times New Roman" w:hAnsi="Times New Roman" w:cs="Times New Roman"/>
          <w:sz w:val="24"/>
          <w:szCs w:val="24"/>
        </w:rPr>
      </w:pPr>
      <w:r w:rsidRPr="001E6FC4">
        <w:rPr>
          <w:rFonts w:ascii="Times New Roman" w:hAnsi="Times New Roman" w:cs="Times New Roman"/>
          <w:sz w:val="24"/>
          <w:szCs w:val="24"/>
        </w:rPr>
        <w:t>LTAB izvērtējums - Garantijas fonda izveides mērķis un spēkā esošā regulējuma pirmsšķietamā atbilstība LR Satversmei pievienots šīs vēstules 1.pielikumā</w:t>
      </w:r>
      <w:r w:rsidR="006C2E99" w:rsidRPr="001E6FC4">
        <w:rPr>
          <w:rFonts w:ascii="Times New Roman" w:hAnsi="Times New Roman" w:cs="Times New Roman"/>
          <w:sz w:val="24"/>
          <w:szCs w:val="24"/>
        </w:rPr>
        <w:t>, un LTAB izvērtējums - LTAB piedāvātie risinājumi – rīcības modeļi turpmākajai rīcībai pievienot</w:t>
      </w:r>
      <w:r w:rsidR="009B7755" w:rsidRPr="001E6FC4">
        <w:rPr>
          <w:rFonts w:ascii="Times New Roman" w:hAnsi="Times New Roman" w:cs="Times New Roman"/>
          <w:sz w:val="24"/>
          <w:szCs w:val="24"/>
        </w:rPr>
        <w:t>s</w:t>
      </w:r>
      <w:r w:rsidR="006C2E99" w:rsidRPr="001E6FC4">
        <w:rPr>
          <w:rFonts w:ascii="Times New Roman" w:hAnsi="Times New Roman" w:cs="Times New Roman"/>
          <w:sz w:val="24"/>
          <w:szCs w:val="24"/>
        </w:rPr>
        <w:t xml:space="preserve"> šīs vēstules 2.pielikumā, kas vienlaikus arī ietver priekšlikumus grozījumiem OCTA likumā. </w:t>
      </w:r>
      <w:r w:rsidR="006C2E99" w:rsidRPr="001E6FC4">
        <w:rPr>
          <w:rFonts w:ascii="Times New Roman" w:hAnsi="Times New Roman" w:cs="Times New Roman"/>
          <w:b/>
          <w:bCs/>
          <w:sz w:val="24"/>
          <w:szCs w:val="24"/>
        </w:rPr>
        <w:t>Lūdzam Finanšu ministriju papildināt informatīvo ziņojumu ar OCTA nozares viedokli</w:t>
      </w:r>
      <w:r w:rsidR="009B7755" w:rsidRPr="001E6FC4">
        <w:rPr>
          <w:rFonts w:ascii="Times New Roman" w:hAnsi="Times New Roman" w:cs="Times New Roman"/>
          <w:b/>
          <w:bCs/>
          <w:sz w:val="24"/>
          <w:szCs w:val="24"/>
        </w:rPr>
        <w:t xml:space="preserve"> - </w:t>
      </w:r>
      <w:r w:rsidR="006C2E99" w:rsidRPr="001E6FC4">
        <w:rPr>
          <w:rFonts w:ascii="Times New Roman" w:hAnsi="Times New Roman" w:cs="Times New Roman"/>
          <w:b/>
          <w:bCs/>
          <w:sz w:val="24"/>
          <w:szCs w:val="24"/>
        </w:rPr>
        <w:t xml:space="preserve"> LTAB viedokli</w:t>
      </w:r>
      <w:r w:rsidR="0084356D" w:rsidRPr="001E6FC4">
        <w:rPr>
          <w:rFonts w:ascii="Times New Roman" w:hAnsi="Times New Roman" w:cs="Times New Roman"/>
          <w:b/>
          <w:bCs/>
          <w:sz w:val="24"/>
          <w:szCs w:val="24"/>
        </w:rPr>
        <w:t xml:space="preserve"> (šīs vēstules 1. un 2.pielikums)</w:t>
      </w:r>
      <w:r w:rsidR="009B7755" w:rsidRPr="001E6FC4">
        <w:rPr>
          <w:rFonts w:ascii="Times New Roman" w:hAnsi="Times New Roman" w:cs="Times New Roman"/>
          <w:b/>
          <w:bCs/>
          <w:sz w:val="24"/>
          <w:szCs w:val="24"/>
        </w:rPr>
        <w:t>, to</w:t>
      </w:r>
      <w:r w:rsidR="006C2E99" w:rsidRPr="001E6FC4">
        <w:rPr>
          <w:rFonts w:ascii="Times New Roman" w:hAnsi="Times New Roman" w:cs="Times New Roman"/>
          <w:b/>
          <w:bCs/>
          <w:sz w:val="24"/>
          <w:szCs w:val="24"/>
        </w:rPr>
        <w:t xml:space="preserve"> pievienojot kā 3.pielikumu </w:t>
      </w:r>
      <w:r w:rsidR="009B7755" w:rsidRPr="001E6FC4">
        <w:rPr>
          <w:rFonts w:ascii="Times New Roman" w:hAnsi="Times New Roman" w:cs="Times New Roman"/>
          <w:b/>
          <w:bCs/>
          <w:sz w:val="24"/>
          <w:szCs w:val="24"/>
        </w:rPr>
        <w:t>i</w:t>
      </w:r>
      <w:r w:rsidR="006C2E99" w:rsidRPr="001E6FC4">
        <w:rPr>
          <w:rFonts w:ascii="Times New Roman" w:hAnsi="Times New Roman" w:cs="Times New Roman"/>
          <w:b/>
          <w:bCs/>
          <w:sz w:val="24"/>
          <w:szCs w:val="24"/>
        </w:rPr>
        <w:t>nformatīv</w:t>
      </w:r>
      <w:r w:rsidR="009B7755" w:rsidRPr="001E6FC4">
        <w:rPr>
          <w:rFonts w:ascii="Times New Roman" w:hAnsi="Times New Roman" w:cs="Times New Roman"/>
          <w:b/>
          <w:bCs/>
          <w:sz w:val="24"/>
          <w:szCs w:val="24"/>
        </w:rPr>
        <w:t>ā</w:t>
      </w:r>
      <w:r w:rsidR="006C2E99" w:rsidRPr="001E6FC4">
        <w:rPr>
          <w:rFonts w:ascii="Times New Roman" w:hAnsi="Times New Roman" w:cs="Times New Roman"/>
          <w:b/>
          <w:bCs/>
          <w:sz w:val="24"/>
          <w:szCs w:val="24"/>
        </w:rPr>
        <w:t xml:space="preserve"> ziņojuma</w:t>
      </w:r>
      <w:r w:rsidR="009B7755" w:rsidRPr="001E6FC4">
        <w:rPr>
          <w:rFonts w:ascii="Times New Roman" w:hAnsi="Times New Roman" w:cs="Times New Roman"/>
          <w:b/>
          <w:bCs/>
          <w:sz w:val="24"/>
          <w:szCs w:val="24"/>
        </w:rPr>
        <w:t xml:space="preserve"> projektam</w:t>
      </w:r>
      <w:r w:rsidR="006C2E99" w:rsidRPr="001E6FC4">
        <w:rPr>
          <w:rFonts w:ascii="Times New Roman" w:hAnsi="Times New Roman" w:cs="Times New Roman"/>
          <w:b/>
          <w:bCs/>
          <w:sz w:val="24"/>
          <w:szCs w:val="24"/>
        </w:rPr>
        <w:t>.</w:t>
      </w:r>
    </w:p>
    <w:p w14:paraId="154BA99D" w14:textId="77777777" w:rsidR="005345EE" w:rsidRPr="001E6FC4" w:rsidRDefault="005345EE" w:rsidP="006C2E99">
      <w:pPr>
        <w:spacing w:after="0" w:line="240" w:lineRule="auto"/>
        <w:ind w:firstLine="720"/>
        <w:jc w:val="both"/>
        <w:rPr>
          <w:rFonts w:ascii="Times New Roman" w:hAnsi="Times New Roman" w:cs="Times New Roman"/>
          <w:sz w:val="24"/>
          <w:szCs w:val="24"/>
        </w:rPr>
      </w:pPr>
    </w:p>
    <w:p w14:paraId="12B6ADFA" w14:textId="1074D796" w:rsidR="005345EE" w:rsidRPr="001E6FC4" w:rsidRDefault="005345EE" w:rsidP="006C2E99">
      <w:pPr>
        <w:spacing w:after="0" w:line="240" w:lineRule="auto"/>
        <w:ind w:firstLine="720"/>
        <w:jc w:val="both"/>
        <w:rPr>
          <w:rFonts w:ascii="Times New Roman" w:hAnsi="Times New Roman" w:cs="Times New Roman"/>
          <w:sz w:val="24"/>
          <w:szCs w:val="24"/>
        </w:rPr>
      </w:pPr>
      <w:r w:rsidRPr="001E6FC4">
        <w:rPr>
          <w:rFonts w:ascii="Times New Roman" w:hAnsi="Times New Roman" w:cs="Times New Roman"/>
          <w:color w:val="000000"/>
          <w:sz w:val="24"/>
          <w:szCs w:val="24"/>
        </w:rPr>
        <w:t xml:space="preserve"> </w:t>
      </w:r>
      <w:r w:rsidR="009B7755" w:rsidRPr="001E6FC4">
        <w:rPr>
          <w:rFonts w:ascii="Times New Roman" w:hAnsi="Times New Roman" w:cs="Times New Roman"/>
          <w:color w:val="000000"/>
          <w:sz w:val="24"/>
          <w:szCs w:val="24"/>
        </w:rPr>
        <w:t>V</w:t>
      </w:r>
      <w:r w:rsidR="009B7755" w:rsidRPr="001E6FC4">
        <w:rPr>
          <w:rFonts w:ascii="Times New Roman" w:hAnsi="Times New Roman" w:cs="Times New Roman"/>
          <w:sz w:val="24"/>
          <w:szCs w:val="24"/>
        </w:rPr>
        <w:t xml:space="preserve">ēstules 3.pielikumā pievienots informatīvā ziņojuma projekts ar LTAB piedāvātajām izmaiņām “track changes” veidā.  </w:t>
      </w:r>
    </w:p>
    <w:p w14:paraId="6DAA3C1C" w14:textId="262EFD44" w:rsidR="00E64FE2" w:rsidRPr="001E6FC4" w:rsidRDefault="00E64FE2" w:rsidP="006C2E99">
      <w:pPr>
        <w:pStyle w:val="ListParagraph"/>
        <w:shd w:val="clear" w:color="auto" w:fill="FFFFFF"/>
        <w:spacing w:after="0" w:line="240" w:lineRule="auto"/>
        <w:ind w:left="1080"/>
        <w:jc w:val="both"/>
        <w:rPr>
          <w:rFonts w:ascii="Times New Roman" w:hAnsi="Times New Roman" w:cs="Times New Roman"/>
          <w:color w:val="000000"/>
          <w:sz w:val="24"/>
          <w:szCs w:val="24"/>
        </w:rPr>
      </w:pPr>
    </w:p>
    <w:p w14:paraId="4BE41CF9" w14:textId="621F112E" w:rsidR="000B0676" w:rsidRPr="001E6FC4" w:rsidRDefault="00E41F11" w:rsidP="006C2E99">
      <w:pPr>
        <w:spacing w:after="0" w:line="240" w:lineRule="auto"/>
        <w:rPr>
          <w:rFonts w:ascii="Times New Roman" w:hAnsi="Times New Roman" w:cs="Times New Roman"/>
          <w:sz w:val="24"/>
          <w:szCs w:val="24"/>
        </w:rPr>
      </w:pPr>
      <w:r w:rsidRPr="001E6FC4">
        <w:rPr>
          <w:rFonts w:ascii="Times New Roman" w:hAnsi="Times New Roman" w:cs="Times New Roman"/>
          <w:sz w:val="24"/>
          <w:szCs w:val="24"/>
        </w:rPr>
        <w:t>Pielikumā:</w:t>
      </w:r>
    </w:p>
    <w:p w14:paraId="512ECD88" w14:textId="2155057F" w:rsidR="00E840D6" w:rsidRPr="001E6FC4" w:rsidRDefault="00A2605F" w:rsidP="006C2E99">
      <w:pPr>
        <w:spacing w:after="0" w:line="240" w:lineRule="auto"/>
        <w:rPr>
          <w:rFonts w:ascii="Times New Roman" w:hAnsi="Times New Roman" w:cs="Times New Roman"/>
          <w:sz w:val="24"/>
          <w:szCs w:val="24"/>
        </w:rPr>
      </w:pPr>
      <w:r w:rsidRPr="001E6FC4">
        <w:rPr>
          <w:rFonts w:ascii="Times New Roman" w:hAnsi="Times New Roman" w:cs="Times New Roman"/>
          <w:sz w:val="24"/>
          <w:szCs w:val="24"/>
        </w:rPr>
        <w:t>1</w:t>
      </w:r>
      <w:r w:rsidR="00241ABD" w:rsidRPr="001E6FC4">
        <w:rPr>
          <w:rFonts w:ascii="Times New Roman" w:hAnsi="Times New Roman" w:cs="Times New Roman"/>
          <w:sz w:val="24"/>
          <w:szCs w:val="24"/>
        </w:rPr>
        <w:t xml:space="preserve">. </w:t>
      </w:r>
      <w:r w:rsidR="00D47922" w:rsidRPr="001E6FC4">
        <w:rPr>
          <w:rFonts w:ascii="Times New Roman" w:hAnsi="Times New Roman" w:cs="Times New Roman"/>
          <w:sz w:val="24"/>
          <w:szCs w:val="24"/>
        </w:rPr>
        <w:t xml:space="preserve"> </w:t>
      </w:r>
      <w:r w:rsidR="0026216F" w:rsidRPr="001E6FC4">
        <w:rPr>
          <w:rFonts w:ascii="Times New Roman" w:hAnsi="Times New Roman" w:cs="Times New Roman"/>
          <w:sz w:val="24"/>
          <w:szCs w:val="24"/>
        </w:rPr>
        <w:t>Garantijas fonda izveides mērķis un s</w:t>
      </w:r>
      <w:r w:rsidR="00E840D6" w:rsidRPr="001E6FC4">
        <w:rPr>
          <w:rFonts w:ascii="Times New Roman" w:hAnsi="Times New Roman" w:cs="Times New Roman"/>
          <w:sz w:val="24"/>
          <w:szCs w:val="24"/>
        </w:rPr>
        <w:t>pēkā esošā regulējuma pirmsšķietamā atbilstība</w:t>
      </w:r>
      <w:r w:rsidR="00F77C03" w:rsidRPr="001E6FC4">
        <w:rPr>
          <w:rFonts w:ascii="Times New Roman" w:hAnsi="Times New Roman" w:cs="Times New Roman"/>
          <w:sz w:val="24"/>
          <w:szCs w:val="24"/>
        </w:rPr>
        <w:t xml:space="preserve"> LR</w:t>
      </w:r>
      <w:r w:rsidR="00E840D6" w:rsidRPr="001E6FC4">
        <w:rPr>
          <w:rFonts w:ascii="Times New Roman" w:hAnsi="Times New Roman" w:cs="Times New Roman"/>
          <w:sz w:val="24"/>
          <w:szCs w:val="24"/>
        </w:rPr>
        <w:t xml:space="preserve"> Satversmei</w:t>
      </w:r>
      <w:r w:rsidR="00D47922" w:rsidRPr="001E6FC4">
        <w:rPr>
          <w:rFonts w:ascii="Times New Roman" w:hAnsi="Times New Roman" w:cs="Times New Roman"/>
          <w:sz w:val="24"/>
          <w:szCs w:val="24"/>
        </w:rPr>
        <w:t>.</w:t>
      </w:r>
    </w:p>
    <w:p w14:paraId="6CC1643E" w14:textId="41726B7A" w:rsidR="006C2E99" w:rsidRPr="001E6FC4" w:rsidRDefault="006C2E99" w:rsidP="006C2E99">
      <w:pPr>
        <w:spacing w:after="0" w:line="240" w:lineRule="auto"/>
        <w:rPr>
          <w:rFonts w:ascii="Times New Roman" w:hAnsi="Times New Roman" w:cs="Times New Roman"/>
          <w:sz w:val="24"/>
          <w:szCs w:val="24"/>
        </w:rPr>
      </w:pPr>
      <w:r w:rsidRPr="001E6FC4">
        <w:rPr>
          <w:rFonts w:ascii="Times New Roman" w:hAnsi="Times New Roman" w:cs="Times New Roman"/>
          <w:sz w:val="24"/>
          <w:szCs w:val="24"/>
        </w:rPr>
        <w:t>2. LTAB piedāvātie risinājumi – rīcības modeļi turpmākajai rīcībai.</w:t>
      </w:r>
    </w:p>
    <w:p w14:paraId="5D9205A7" w14:textId="507B3713" w:rsidR="006C2E99" w:rsidRPr="001E6FC4" w:rsidRDefault="006C2E99" w:rsidP="006C2E99">
      <w:pPr>
        <w:spacing w:after="0" w:line="240" w:lineRule="auto"/>
        <w:rPr>
          <w:rFonts w:ascii="Times New Roman" w:hAnsi="Times New Roman" w:cs="Times New Roman"/>
          <w:sz w:val="24"/>
          <w:szCs w:val="24"/>
        </w:rPr>
      </w:pPr>
      <w:r w:rsidRPr="001E6FC4">
        <w:rPr>
          <w:rFonts w:ascii="Times New Roman" w:hAnsi="Times New Roman" w:cs="Times New Roman"/>
          <w:sz w:val="24"/>
          <w:szCs w:val="24"/>
        </w:rPr>
        <w:t xml:space="preserve">3. Informatīvā ziņojuma projekts ar izmaiņām “TC” veidā. </w:t>
      </w:r>
    </w:p>
    <w:p w14:paraId="28F74A88" w14:textId="77777777" w:rsidR="00813C0A" w:rsidRPr="001E6FC4" w:rsidRDefault="00813C0A" w:rsidP="006C2E99">
      <w:pPr>
        <w:tabs>
          <w:tab w:val="left" w:pos="720"/>
          <w:tab w:val="center" w:pos="4320"/>
          <w:tab w:val="right" w:pos="8640"/>
        </w:tabs>
        <w:spacing w:after="0" w:line="240" w:lineRule="auto"/>
        <w:jc w:val="both"/>
        <w:rPr>
          <w:rFonts w:ascii="Times New Roman" w:hAnsi="Times New Roman" w:cs="Times New Roman"/>
          <w:sz w:val="24"/>
          <w:szCs w:val="24"/>
        </w:rPr>
      </w:pPr>
    </w:p>
    <w:p w14:paraId="7C04103F" w14:textId="77777777" w:rsidR="000B0676" w:rsidRPr="001E6FC4" w:rsidRDefault="000B0676" w:rsidP="006C2E99">
      <w:pPr>
        <w:tabs>
          <w:tab w:val="left" w:pos="720"/>
          <w:tab w:val="center" w:pos="4320"/>
          <w:tab w:val="right" w:pos="8640"/>
        </w:tabs>
        <w:spacing w:after="0" w:line="240" w:lineRule="auto"/>
        <w:jc w:val="both"/>
        <w:rPr>
          <w:rFonts w:ascii="Times New Roman" w:hAnsi="Times New Roman" w:cs="Times New Roman"/>
          <w:sz w:val="24"/>
          <w:szCs w:val="24"/>
        </w:rPr>
      </w:pPr>
      <w:r w:rsidRPr="001E6FC4">
        <w:rPr>
          <w:rFonts w:ascii="Times New Roman" w:hAnsi="Times New Roman" w:cs="Times New Roman"/>
          <w:sz w:val="24"/>
          <w:szCs w:val="24"/>
        </w:rPr>
        <w:t xml:space="preserve">Ar cieņu, </w:t>
      </w:r>
    </w:p>
    <w:p w14:paraId="42F04788" w14:textId="77777777" w:rsidR="000B0676" w:rsidRPr="001E6FC4" w:rsidRDefault="000B0676" w:rsidP="006C2E99">
      <w:pPr>
        <w:tabs>
          <w:tab w:val="left" w:pos="720"/>
          <w:tab w:val="center" w:pos="4320"/>
          <w:tab w:val="right" w:pos="8640"/>
        </w:tabs>
        <w:spacing w:after="0" w:line="240" w:lineRule="auto"/>
        <w:jc w:val="both"/>
        <w:rPr>
          <w:rFonts w:ascii="Times New Roman" w:hAnsi="Times New Roman" w:cs="Times New Roman"/>
          <w:sz w:val="24"/>
          <w:szCs w:val="24"/>
        </w:rPr>
      </w:pPr>
    </w:p>
    <w:p w14:paraId="16F515FC" w14:textId="77777777" w:rsidR="000B0676" w:rsidRPr="001E6FC4" w:rsidRDefault="000B0676" w:rsidP="006C2E99">
      <w:pPr>
        <w:tabs>
          <w:tab w:val="left" w:pos="720"/>
          <w:tab w:val="center" w:pos="4320"/>
          <w:tab w:val="right" w:pos="8640"/>
        </w:tabs>
        <w:spacing w:after="0" w:line="240" w:lineRule="auto"/>
        <w:jc w:val="both"/>
        <w:rPr>
          <w:rFonts w:ascii="Times New Roman" w:hAnsi="Times New Roman" w:cs="Times New Roman"/>
          <w:sz w:val="24"/>
          <w:szCs w:val="24"/>
        </w:rPr>
      </w:pPr>
      <w:r w:rsidRPr="001E6FC4">
        <w:rPr>
          <w:rFonts w:ascii="Times New Roman" w:hAnsi="Times New Roman" w:cs="Times New Roman"/>
          <w:sz w:val="24"/>
          <w:szCs w:val="24"/>
        </w:rPr>
        <w:t>LTAB valdes priekšsēdētājs</w:t>
      </w:r>
    </w:p>
    <w:p w14:paraId="53591566" w14:textId="77777777" w:rsidR="000B0676" w:rsidRPr="001E6FC4" w:rsidRDefault="000B0676" w:rsidP="006C2E99">
      <w:pPr>
        <w:spacing w:after="0" w:line="240" w:lineRule="auto"/>
        <w:rPr>
          <w:rFonts w:ascii="Times New Roman" w:hAnsi="Times New Roman" w:cs="Times New Roman"/>
          <w:sz w:val="24"/>
          <w:szCs w:val="24"/>
        </w:rPr>
      </w:pPr>
      <w:r w:rsidRPr="001E6FC4">
        <w:rPr>
          <w:rFonts w:ascii="Times New Roman" w:hAnsi="Times New Roman" w:cs="Times New Roman"/>
          <w:sz w:val="24"/>
          <w:szCs w:val="24"/>
        </w:rPr>
        <w:t>J. Abāšins</w:t>
      </w:r>
    </w:p>
    <w:p w14:paraId="1B96D461" w14:textId="77777777" w:rsidR="000B0676" w:rsidRPr="001E6FC4" w:rsidRDefault="000B0676" w:rsidP="006C2E99">
      <w:pPr>
        <w:pStyle w:val="NoSpacing"/>
      </w:pPr>
    </w:p>
    <w:p w14:paraId="74F310A0" w14:textId="4FBEE0D6" w:rsidR="00E36DA4" w:rsidRPr="008B597C" w:rsidRDefault="002476FD" w:rsidP="00E36DA4">
      <w:pPr>
        <w:pStyle w:val="NoSpacing"/>
        <w:rPr>
          <w:sz w:val="20"/>
          <w:szCs w:val="20"/>
        </w:rPr>
      </w:pPr>
      <w:r w:rsidRPr="008B597C">
        <w:rPr>
          <w:sz w:val="20"/>
          <w:szCs w:val="20"/>
        </w:rPr>
        <w:t>I.Gailīte 67114314</w:t>
      </w:r>
    </w:p>
    <w:p w14:paraId="68C45E03" w14:textId="77777777" w:rsidR="001434B2" w:rsidRDefault="001434B2" w:rsidP="00E36DA4">
      <w:pPr>
        <w:pStyle w:val="NoSpacing"/>
      </w:pPr>
    </w:p>
    <w:p w14:paraId="69232A82" w14:textId="434CD0CD" w:rsidR="00281889" w:rsidRPr="001E6FC4" w:rsidRDefault="000B0676" w:rsidP="00E36DA4">
      <w:pPr>
        <w:pStyle w:val="NoSpacing"/>
      </w:pPr>
      <w:r w:rsidRPr="001E6FC4">
        <w:t>DOKUMENTS IR PARAKSTĪTS AR DROŠU ELEKTRONISKO PARAKSTU UN SATUR LAIKA ZĪMOGU</w:t>
      </w:r>
    </w:p>
    <w:p w14:paraId="66B55C68" w14:textId="77777777" w:rsidR="00A9010C" w:rsidRPr="001E6FC4" w:rsidRDefault="00A9010C" w:rsidP="00A9010C">
      <w:pPr>
        <w:pStyle w:val="ListParagraph"/>
        <w:ind w:left="1440"/>
        <w:jc w:val="right"/>
        <w:rPr>
          <w:rFonts w:ascii="Times New Roman" w:hAnsi="Times New Roman" w:cs="Times New Roman"/>
          <w:sz w:val="24"/>
          <w:szCs w:val="24"/>
        </w:rPr>
      </w:pPr>
      <w:r w:rsidRPr="001E6FC4">
        <w:rPr>
          <w:rFonts w:ascii="Times New Roman" w:hAnsi="Times New Roman" w:cs="Times New Roman"/>
          <w:sz w:val="24"/>
          <w:szCs w:val="24"/>
        </w:rPr>
        <w:lastRenderedPageBreak/>
        <w:t>1.</w:t>
      </w:r>
      <w:r w:rsidR="00281889" w:rsidRPr="001E6FC4">
        <w:rPr>
          <w:rFonts w:ascii="Times New Roman" w:hAnsi="Times New Roman" w:cs="Times New Roman"/>
          <w:sz w:val="24"/>
          <w:szCs w:val="24"/>
        </w:rPr>
        <w:t xml:space="preserve">pielikums </w:t>
      </w:r>
    </w:p>
    <w:p w14:paraId="23AAA5AE" w14:textId="76C7B69B" w:rsidR="00A9010C" w:rsidRPr="001E6FC4" w:rsidRDefault="00281889" w:rsidP="00A9010C">
      <w:pPr>
        <w:pStyle w:val="ListParagraph"/>
        <w:ind w:left="1440"/>
        <w:jc w:val="right"/>
        <w:rPr>
          <w:rFonts w:ascii="Times New Roman" w:hAnsi="Times New Roman" w:cs="Times New Roman"/>
          <w:sz w:val="24"/>
          <w:szCs w:val="24"/>
        </w:rPr>
      </w:pPr>
      <w:r w:rsidRPr="001E6FC4">
        <w:rPr>
          <w:rFonts w:ascii="Times New Roman" w:hAnsi="Times New Roman" w:cs="Times New Roman"/>
          <w:color w:val="000000"/>
          <w:sz w:val="24"/>
          <w:szCs w:val="24"/>
        </w:rPr>
        <w:t xml:space="preserve">biedrības “Latvijas Transportlīdzekļu apdrošinātāju birojs” </w:t>
      </w:r>
    </w:p>
    <w:p w14:paraId="3D12F1AD" w14:textId="56A6E49C" w:rsidR="00281889" w:rsidRPr="001E6FC4" w:rsidRDefault="00281889" w:rsidP="00A9010C">
      <w:pPr>
        <w:pStyle w:val="ListParagraph"/>
        <w:ind w:left="1440"/>
        <w:jc w:val="right"/>
        <w:rPr>
          <w:rFonts w:ascii="Times New Roman" w:hAnsi="Times New Roman" w:cs="Times New Roman"/>
          <w:color w:val="000000"/>
          <w:sz w:val="24"/>
          <w:szCs w:val="24"/>
        </w:rPr>
      </w:pPr>
      <w:r w:rsidRPr="001E6FC4">
        <w:rPr>
          <w:rFonts w:ascii="Times New Roman" w:hAnsi="Times New Roman" w:cs="Times New Roman"/>
          <w:color w:val="000000"/>
          <w:sz w:val="24"/>
          <w:szCs w:val="24"/>
        </w:rPr>
        <w:t>13.09.2021. vēstulei</w:t>
      </w:r>
    </w:p>
    <w:p w14:paraId="5B9D24EA" w14:textId="77777777" w:rsidR="00A9010C" w:rsidRPr="001E6FC4" w:rsidRDefault="00A9010C" w:rsidP="00A9010C">
      <w:pPr>
        <w:pStyle w:val="ListParagraph"/>
        <w:ind w:left="1440"/>
        <w:jc w:val="right"/>
        <w:rPr>
          <w:rFonts w:ascii="Times New Roman" w:hAnsi="Times New Roman" w:cs="Times New Roman"/>
          <w:sz w:val="24"/>
          <w:szCs w:val="24"/>
        </w:rPr>
      </w:pPr>
    </w:p>
    <w:p w14:paraId="1ACE5B55" w14:textId="77777777" w:rsidR="00281889" w:rsidRPr="001E6FC4" w:rsidRDefault="00281889" w:rsidP="00281889">
      <w:pPr>
        <w:spacing w:after="0" w:line="240" w:lineRule="auto"/>
        <w:jc w:val="center"/>
        <w:rPr>
          <w:rFonts w:ascii="Times New Roman" w:hAnsi="Times New Roman" w:cs="Times New Roman"/>
          <w:b/>
          <w:sz w:val="24"/>
          <w:szCs w:val="24"/>
        </w:rPr>
      </w:pPr>
      <w:r w:rsidRPr="001E6FC4">
        <w:rPr>
          <w:rFonts w:ascii="Times New Roman" w:hAnsi="Times New Roman" w:cs="Times New Roman"/>
          <w:b/>
          <w:sz w:val="24"/>
          <w:szCs w:val="24"/>
        </w:rPr>
        <w:t>Garantijas fonda izveides mērķis un spēkā esošā regulējuma pirmsšķietamā atbilstība LR Satversmei</w:t>
      </w:r>
    </w:p>
    <w:p w14:paraId="79928B6A" w14:textId="77777777" w:rsidR="00281889" w:rsidRPr="001E6FC4" w:rsidRDefault="00281889" w:rsidP="00281889">
      <w:pPr>
        <w:spacing w:after="0" w:line="240" w:lineRule="auto"/>
        <w:jc w:val="center"/>
        <w:rPr>
          <w:rFonts w:ascii="Times New Roman" w:hAnsi="Times New Roman" w:cs="Times New Roman"/>
          <w:b/>
          <w:sz w:val="24"/>
          <w:szCs w:val="24"/>
        </w:rPr>
      </w:pPr>
    </w:p>
    <w:p w14:paraId="05FB62EA" w14:textId="77777777" w:rsidR="00281889" w:rsidRPr="001E6FC4" w:rsidRDefault="00281889" w:rsidP="00281889">
      <w:pPr>
        <w:spacing w:after="0" w:line="240" w:lineRule="auto"/>
        <w:jc w:val="center"/>
        <w:rPr>
          <w:rFonts w:ascii="Times New Roman" w:hAnsi="Times New Roman" w:cs="Times New Roman"/>
          <w:b/>
          <w:sz w:val="24"/>
          <w:szCs w:val="24"/>
        </w:rPr>
      </w:pPr>
      <w:r w:rsidRPr="001E6FC4">
        <w:rPr>
          <w:rFonts w:ascii="Times New Roman" w:hAnsi="Times New Roman" w:cs="Times New Roman"/>
          <w:b/>
          <w:sz w:val="24"/>
          <w:szCs w:val="24"/>
        </w:rPr>
        <w:t>I Garantijas fonda izveides mērķis</w:t>
      </w:r>
    </w:p>
    <w:p w14:paraId="180E52CC" w14:textId="77777777" w:rsidR="00281889" w:rsidRPr="001E6FC4" w:rsidRDefault="00281889" w:rsidP="00281889">
      <w:pPr>
        <w:spacing w:after="0" w:line="240" w:lineRule="auto"/>
        <w:jc w:val="center"/>
        <w:rPr>
          <w:rFonts w:ascii="Times New Roman" w:hAnsi="Times New Roman" w:cs="Times New Roman"/>
          <w:b/>
          <w:sz w:val="24"/>
          <w:szCs w:val="24"/>
        </w:rPr>
      </w:pPr>
    </w:p>
    <w:p w14:paraId="788B20E4" w14:textId="77777777" w:rsidR="00281889" w:rsidRPr="001E6FC4" w:rsidRDefault="00281889" w:rsidP="00281889">
      <w:pPr>
        <w:pStyle w:val="Bodytext21"/>
        <w:shd w:val="clear" w:color="auto" w:fill="auto"/>
        <w:spacing w:line="240" w:lineRule="auto"/>
        <w:ind w:firstLine="601"/>
        <w:rPr>
          <w:rFonts w:ascii="Times New Roman" w:hAnsi="Times New Roman" w:cs="Times New Roman"/>
          <w:sz w:val="24"/>
          <w:szCs w:val="24"/>
          <w:shd w:val="clear" w:color="auto" w:fill="FFFFFF"/>
        </w:rPr>
      </w:pPr>
      <w:r w:rsidRPr="001E6FC4">
        <w:rPr>
          <w:rFonts w:ascii="Times New Roman" w:hAnsi="Times New Roman" w:cs="Times New Roman"/>
          <w:sz w:val="24"/>
          <w:szCs w:val="24"/>
          <w:shd w:val="clear" w:color="auto" w:fill="FFFFFF"/>
        </w:rPr>
        <w:t xml:space="preserve">No spēkā esošā tiesiskā </w:t>
      </w:r>
      <w:r w:rsidRPr="001E6FC4">
        <w:rPr>
          <w:rFonts w:ascii="Times New Roman" w:hAnsi="Times New Roman" w:cs="Times New Roman"/>
          <w:sz w:val="24"/>
          <w:szCs w:val="24"/>
        </w:rPr>
        <w:t xml:space="preserve">Sauszemes transportlīdzekļu īpašnieku civiltiesiskās atbildības obligātās apdrošināšanas (turpmāk – </w:t>
      </w:r>
      <w:r w:rsidRPr="001E6FC4">
        <w:rPr>
          <w:rFonts w:ascii="Times New Roman" w:hAnsi="Times New Roman" w:cs="Times New Roman"/>
          <w:sz w:val="24"/>
          <w:szCs w:val="24"/>
          <w:shd w:val="clear" w:color="auto" w:fill="FFFFFF"/>
        </w:rPr>
        <w:t xml:space="preserve">OCTA) regulējuma izriet, ka valsts ar likumu ir piešķīrusi </w:t>
      </w:r>
      <w:r w:rsidRPr="001E6FC4">
        <w:rPr>
          <w:rFonts w:ascii="Times New Roman" w:hAnsi="Times New Roman" w:cs="Times New Roman"/>
          <w:sz w:val="24"/>
          <w:szCs w:val="24"/>
        </w:rPr>
        <w:t xml:space="preserve">apdrošināšanas prēmijas maksājuma samazinājumus (turpmāk – atlaides) noteiktam personu lokam, uzliekot par pienākumu  </w:t>
      </w:r>
      <w:r w:rsidRPr="001E6FC4">
        <w:rPr>
          <w:rFonts w:ascii="Times New Roman" w:hAnsi="Times New Roman" w:cs="Times New Roman"/>
          <w:sz w:val="24"/>
          <w:szCs w:val="24"/>
          <w:shd w:val="clear" w:color="auto" w:fill="FFFFFF"/>
        </w:rPr>
        <w:t xml:space="preserve">komersantam paredzēt atlaides (līdz pat 40 procentiem no pakalpojuma cenas) noteiktām personu grupām, vienlaikus likumā paredzot, ka šī piešķirtā atlaide vēlāk tiek kompensēta no Garantijas fonda, kura ieņēmumus veido iemaksas  (atskaitījumi no OCTA apdrošināšanas prēmijām) no privāto tiesību subjektiem – no šiem pašiem komersantiem – apdrošināšanas sabiedrībām, kas sniedz OCTA pakalpojumus un piedāvā OCTA polises. </w:t>
      </w:r>
    </w:p>
    <w:p w14:paraId="0C79C14B" w14:textId="77777777" w:rsidR="00281889" w:rsidRPr="001E6FC4" w:rsidRDefault="00281889" w:rsidP="00281889">
      <w:pPr>
        <w:pStyle w:val="tv213"/>
        <w:shd w:val="clear" w:color="auto" w:fill="FFFFFF"/>
        <w:spacing w:before="0" w:beforeAutospacing="0" w:after="0" w:afterAutospacing="0"/>
        <w:ind w:firstLine="600"/>
        <w:jc w:val="both"/>
        <w:rPr>
          <w:shd w:val="clear" w:color="auto" w:fill="FFFFFF"/>
        </w:rPr>
      </w:pPr>
      <w:r w:rsidRPr="001E6FC4">
        <w:rPr>
          <w:shd w:val="clear" w:color="auto" w:fill="FFFFFF"/>
        </w:rPr>
        <w:t xml:space="preserve">No vienas puses, OCTA likuma 14.panta otrās un trešās daļas mērķis (sniegt atbalstu noteiktam personu lokam, piešķirot atlaides) varētu būtu saprotams, bet, no otras puses, šis atbalsta mehānisms, kas jau ilgstoši tiek īstenots praksē Latvijā, pēc savas būtības ir neatbilstošs, jo OCTA likums nav tas likums, kur būtu jāparedz šāda veida atbalsta mehānismi. Tā ir </w:t>
      </w:r>
      <w:r w:rsidRPr="001E6FC4">
        <w:rPr>
          <w:b/>
          <w:bCs/>
          <w:shd w:val="clear" w:color="auto" w:fill="FFFFFF"/>
        </w:rPr>
        <w:t>vēsturiski mantota</w:t>
      </w:r>
      <w:r w:rsidRPr="001E6FC4">
        <w:rPr>
          <w:shd w:val="clear" w:color="auto" w:fill="FFFFFF"/>
        </w:rPr>
        <w:t xml:space="preserve"> no laika, kad vēl Latvijas valsts nebija iestājusies Eiropas Savienībā (turpmāk – ES) un kad valsts regulēja gan apdrošināšanas prēmijas apmērus, gan piešķīra atlaides</w:t>
      </w:r>
      <w:r w:rsidRPr="001E6FC4">
        <w:rPr>
          <w:rStyle w:val="FootnoteReference"/>
          <w:shd w:val="clear" w:color="auto" w:fill="FFFFFF"/>
        </w:rPr>
        <w:footnoteReference w:id="1"/>
      </w:r>
      <w:r w:rsidRPr="001E6FC4">
        <w:rPr>
          <w:shd w:val="clear" w:color="auto" w:fill="FFFFFF"/>
        </w:rPr>
        <w:t xml:space="preserve">. Iestājoties ES, apdrošināšanas prēmijas apmēru regulēšanas politika ir nodota apdrošinātāju ziņā brīvas konkurences tirgū atbilstoši ES </w:t>
      </w:r>
      <w:r w:rsidRPr="001E6FC4">
        <w:t xml:space="preserve">direktīvas 2009/138/EK (Maksātspēja II) </w:t>
      </w:r>
      <w:r w:rsidRPr="001E6FC4">
        <w:rPr>
          <w:shd w:val="clear" w:color="auto" w:fill="FFFFFF"/>
        </w:rPr>
        <w:t>prasībām</w:t>
      </w:r>
      <w:r w:rsidRPr="001E6FC4">
        <w:rPr>
          <w:rStyle w:val="FootnoteReference"/>
          <w:shd w:val="clear" w:color="auto" w:fill="FFFFFF"/>
        </w:rPr>
        <w:footnoteReference w:id="2"/>
      </w:r>
      <w:r w:rsidRPr="001E6FC4">
        <w:rPr>
          <w:shd w:val="clear" w:color="auto" w:fill="FFFFFF"/>
        </w:rPr>
        <w:t xml:space="preserve">, no kurām izriet prasība, ka valsts nevar regulēt apdrošināšanas prēmijas apmēru lielumus. Arī Eiropas Savienības Tiesa (turpmāk – EST) ir atzinusi, ka valsts nevar noteikt apdrošināšanas prēmijas apmērus. </w:t>
      </w:r>
      <w:r w:rsidRPr="001E6FC4">
        <w:rPr>
          <w:b/>
          <w:bCs/>
          <w:shd w:val="clear" w:color="auto" w:fill="FFFFFF"/>
        </w:rPr>
        <w:t>Ar likumu nosakot apdrošināšanas prēmijas atlaižu piešķiršanas nosacījumus, valsts zināmā mērā iejaucas privāto tiesību jomā un  izkropļo tirgus politiku apdrošināšanas prēmijas noteikšanā</w:t>
      </w:r>
      <w:r w:rsidRPr="001E6FC4">
        <w:rPr>
          <w:shd w:val="clear" w:color="auto" w:fill="FFFFFF"/>
        </w:rPr>
        <w:t>.</w:t>
      </w:r>
      <w:r w:rsidRPr="001E6FC4">
        <w:rPr>
          <w:rStyle w:val="FootnoteReference"/>
          <w:shd w:val="clear" w:color="auto" w:fill="FFFFFF"/>
        </w:rPr>
        <w:footnoteReference w:id="3"/>
      </w:r>
      <w:r w:rsidRPr="001E6FC4">
        <w:rPr>
          <w:shd w:val="clear" w:color="auto" w:fill="FFFFFF"/>
        </w:rPr>
        <w:t xml:space="preserve"> Lai gan </w:t>
      </w:r>
      <w:r w:rsidRPr="001E6FC4">
        <w:t>likumdevējam ir pienākums pēc zināma termiņa vēlreiz apsvērt, vai attiecīgais tiesiskais regulējums joprojām ir efektīvs, piemērots un nepieciešams un vai tas nebūtu kādā veidā pilnveidojams,</w:t>
      </w:r>
      <w:r w:rsidRPr="001E6FC4">
        <w:rPr>
          <w:rStyle w:val="FootnoteReference"/>
        </w:rPr>
        <w:footnoteReference w:id="4"/>
      </w:r>
      <w:r w:rsidRPr="001E6FC4">
        <w:t xml:space="preserve"> attiecīgo tiesību normu atbilstība notikušajām objektīvajām izmaiņām līdz šim nav pietiekami izvērtēta. </w:t>
      </w:r>
    </w:p>
    <w:p w14:paraId="35F91477" w14:textId="77777777" w:rsidR="00281889" w:rsidRPr="001E6FC4" w:rsidRDefault="00281889" w:rsidP="00281889">
      <w:pPr>
        <w:pStyle w:val="Bodytext21"/>
        <w:shd w:val="clear" w:color="auto" w:fill="auto"/>
        <w:spacing w:line="240" w:lineRule="auto"/>
        <w:ind w:firstLine="601"/>
        <w:rPr>
          <w:rFonts w:ascii="Times New Roman" w:hAnsi="Times New Roman" w:cs="Times New Roman"/>
          <w:sz w:val="24"/>
          <w:szCs w:val="24"/>
        </w:rPr>
      </w:pPr>
      <w:r w:rsidRPr="001E6FC4">
        <w:rPr>
          <w:rFonts w:ascii="Times New Roman" w:hAnsi="Times New Roman" w:cs="Times New Roman"/>
          <w:sz w:val="24"/>
          <w:szCs w:val="24"/>
          <w:shd w:val="clear" w:color="auto" w:fill="FFFFFF"/>
        </w:rPr>
        <w:lastRenderedPageBreak/>
        <w:t>OCTA polises esamība ir obligāts priekšnoteikums, lai personas ar transportlīdzekli piedalītos ceļu satiksmē, un to paredz Ceļu satiksmes likums</w:t>
      </w:r>
      <w:r w:rsidRPr="001E6FC4">
        <w:rPr>
          <w:rStyle w:val="FootnoteReference"/>
          <w:rFonts w:ascii="Times New Roman" w:hAnsi="Times New Roman" w:cs="Times New Roman"/>
          <w:sz w:val="24"/>
          <w:szCs w:val="24"/>
          <w:shd w:val="clear" w:color="auto" w:fill="FFFFFF"/>
        </w:rPr>
        <w:footnoteReference w:id="5"/>
      </w:r>
      <w:r w:rsidRPr="001E6FC4">
        <w:rPr>
          <w:rFonts w:ascii="Times New Roman" w:hAnsi="Times New Roman" w:cs="Times New Roman"/>
          <w:sz w:val="24"/>
          <w:szCs w:val="24"/>
          <w:shd w:val="clear" w:color="auto" w:fill="FFFFFF"/>
        </w:rPr>
        <w:t>, tomēr OCTA polises iegāde ir privāttiesisks darījums, kura sniegšanas kārtību īpaši reglamentē sabiedrības interesēs</w:t>
      </w:r>
      <w:r w:rsidRPr="001E6FC4">
        <w:rPr>
          <w:rStyle w:val="FootnoteReference"/>
          <w:rFonts w:ascii="Times New Roman" w:hAnsi="Times New Roman" w:cs="Times New Roman"/>
          <w:sz w:val="24"/>
          <w:szCs w:val="24"/>
          <w:shd w:val="clear" w:color="auto" w:fill="FFFFFF"/>
        </w:rPr>
        <w:footnoteReference w:id="6"/>
      </w:r>
      <w:r w:rsidRPr="001E6FC4">
        <w:rPr>
          <w:rFonts w:ascii="Times New Roman" w:hAnsi="Times New Roman" w:cs="Times New Roman"/>
          <w:sz w:val="24"/>
          <w:szCs w:val="24"/>
          <w:shd w:val="clear" w:color="auto" w:fill="FFFFFF"/>
        </w:rPr>
        <w:t xml:space="preserve">. </w:t>
      </w:r>
      <w:r w:rsidRPr="001E6FC4">
        <w:rPr>
          <w:rFonts w:ascii="Times New Roman" w:hAnsi="Times New Roman" w:cs="Times New Roman"/>
          <w:sz w:val="24"/>
          <w:szCs w:val="24"/>
        </w:rPr>
        <w:t xml:space="preserve">Satversmes tiesa ir atzinusi, ka </w:t>
      </w:r>
      <w:r w:rsidRPr="001E6FC4">
        <w:rPr>
          <w:rStyle w:val="highlight"/>
          <w:rFonts w:ascii="Times New Roman" w:hAnsi="Times New Roman" w:cs="Times New Roman"/>
          <w:sz w:val="24"/>
          <w:szCs w:val="24"/>
        </w:rPr>
        <w:t>OCTA</w:t>
      </w:r>
      <w:r w:rsidRPr="001E6FC4">
        <w:rPr>
          <w:rFonts w:ascii="Times New Roman" w:hAnsi="Times New Roman" w:cs="Times New Roman"/>
          <w:sz w:val="24"/>
          <w:szCs w:val="24"/>
        </w:rPr>
        <w:t xml:space="preserve"> ir īpašs apdrošināšanas veids, kas atbilstoši ES normatīvo aktu prasībām kalpo ceļu satiksmes negadījumos cietušo sauszemes transportlīdzekļu īpašnieku mantisko interešu aizsardzībai. </w:t>
      </w:r>
      <w:r w:rsidRPr="001E6FC4">
        <w:rPr>
          <w:rStyle w:val="highlight"/>
          <w:rFonts w:ascii="Times New Roman" w:hAnsi="Times New Roman" w:cs="Times New Roman"/>
          <w:sz w:val="24"/>
          <w:szCs w:val="24"/>
        </w:rPr>
        <w:t>OCTA</w:t>
      </w:r>
      <w:r w:rsidRPr="001E6FC4">
        <w:rPr>
          <w:rFonts w:ascii="Times New Roman" w:hAnsi="Times New Roman" w:cs="Times New Roman"/>
          <w:sz w:val="24"/>
          <w:szCs w:val="24"/>
        </w:rPr>
        <w:t xml:space="preserve"> sistēma kalpo mērķim aizsargāt cietušo trešo personu intereses, liekot nodrošināties pret neparedzamām sekām, kādas var rasties pēc ceļu satiksmes negadījuma.</w:t>
      </w:r>
      <w:r w:rsidRPr="001E6FC4">
        <w:rPr>
          <w:rStyle w:val="FootnoteReference"/>
          <w:rFonts w:ascii="Times New Roman" w:hAnsi="Times New Roman" w:cs="Times New Roman"/>
          <w:sz w:val="24"/>
          <w:szCs w:val="24"/>
        </w:rPr>
        <w:footnoteReference w:id="7"/>
      </w:r>
      <w:r w:rsidRPr="001E6FC4">
        <w:rPr>
          <w:rFonts w:ascii="Times New Roman" w:hAnsi="Times New Roman" w:cs="Times New Roman"/>
          <w:sz w:val="24"/>
          <w:szCs w:val="24"/>
        </w:rPr>
        <w:t xml:space="preserve"> OCTA cenu nosaka apdrošināmie riski, nevis personas sociālais statuss.</w:t>
      </w:r>
    </w:p>
    <w:p w14:paraId="2F92F83E" w14:textId="77777777" w:rsidR="00281889" w:rsidRPr="001E6FC4" w:rsidRDefault="00281889" w:rsidP="00281889">
      <w:pPr>
        <w:pStyle w:val="Bodytext21"/>
        <w:shd w:val="clear" w:color="auto" w:fill="auto"/>
        <w:spacing w:line="240" w:lineRule="auto"/>
        <w:ind w:firstLine="601"/>
        <w:rPr>
          <w:rFonts w:ascii="Times New Roman" w:hAnsi="Times New Roman" w:cs="Times New Roman"/>
          <w:b/>
          <w:bCs/>
          <w:sz w:val="24"/>
          <w:szCs w:val="24"/>
          <w:lang w:eastAsia="lv-LV"/>
        </w:rPr>
      </w:pPr>
      <w:r w:rsidRPr="001E6FC4">
        <w:rPr>
          <w:rFonts w:ascii="Times New Roman" w:hAnsi="Times New Roman" w:cs="Times New Roman"/>
          <w:b/>
          <w:bCs/>
          <w:sz w:val="24"/>
          <w:szCs w:val="24"/>
          <w:lang w:eastAsia="lv-LV"/>
        </w:rPr>
        <w:t>Atlaižu piešķiršanas kārtība</w:t>
      </w:r>
      <w:r w:rsidRPr="001E6FC4">
        <w:rPr>
          <w:rFonts w:ascii="Times New Roman" w:hAnsi="Times New Roman" w:cs="Times New Roman"/>
          <w:sz w:val="24"/>
          <w:szCs w:val="24"/>
          <w:lang w:eastAsia="lv-LV"/>
        </w:rPr>
        <w:t xml:space="preserve">, kas noteikta ar OCTA likumu un kuru piemēro apdrošinātāji, pēc tam pierasot atlaižu kompensēšanu no Garantijas fonda saskaņā ar OCTA likuma 14.panta ceturto daļu un 51.panta trešās daļas 2.punktu, </w:t>
      </w:r>
      <w:r w:rsidRPr="001E6FC4">
        <w:rPr>
          <w:rFonts w:ascii="Times New Roman" w:hAnsi="Times New Roman" w:cs="Times New Roman"/>
          <w:b/>
          <w:bCs/>
          <w:sz w:val="24"/>
          <w:szCs w:val="24"/>
          <w:lang w:eastAsia="lv-LV"/>
        </w:rPr>
        <w:t>ir nesamērīga un neatbilstoša brīvas konkurences tirgus apstākļiem</w:t>
      </w:r>
      <w:r w:rsidRPr="001E6FC4">
        <w:rPr>
          <w:rFonts w:ascii="Times New Roman" w:hAnsi="Times New Roman" w:cs="Times New Roman"/>
          <w:sz w:val="24"/>
          <w:szCs w:val="24"/>
          <w:lang w:eastAsia="lv-LV"/>
        </w:rPr>
        <w:t xml:space="preserve">, jo Garantijas fonda līdzekļus veido pašu apdrošinātāju veiktie atskaitījumi no OCTA apdrošināšanas prēmijām. </w:t>
      </w:r>
      <w:r w:rsidRPr="001E6FC4">
        <w:rPr>
          <w:rFonts w:ascii="Times New Roman" w:hAnsi="Times New Roman" w:cs="Times New Roman"/>
          <w:b/>
          <w:bCs/>
          <w:sz w:val="24"/>
          <w:szCs w:val="24"/>
          <w:lang w:eastAsia="lv-LV"/>
        </w:rPr>
        <w:t xml:space="preserve">Šāds regulējums  rada nesamērīgu slogu privātajam sektoram arī attiecībā uz šo atlaižu administrēšanu. </w:t>
      </w:r>
    </w:p>
    <w:p w14:paraId="344A224A" w14:textId="77777777" w:rsidR="00281889" w:rsidRPr="001E6FC4" w:rsidRDefault="00281889" w:rsidP="00281889">
      <w:pPr>
        <w:pStyle w:val="Bodytext21"/>
        <w:shd w:val="clear" w:color="auto" w:fill="auto"/>
        <w:spacing w:line="240" w:lineRule="auto"/>
        <w:ind w:firstLine="601"/>
        <w:rPr>
          <w:rFonts w:ascii="Times New Roman" w:hAnsi="Times New Roman" w:cs="Times New Roman"/>
          <w:sz w:val="24"/>
          <w:szCs w:val="24"/>
        </w:rPr>
      </w:pPr>
      <w:r w:rsidRPr="001E6FC4">
        <w:rPr>
          <w:rFonts w:ascii="Times New Roman" w:hAnsi="Times New Roman" w:cs="Times New Roman"/>
          <w:sz w:val="24"/>
          <w:szCs w:val="24"/>
          <w:lang w:eastAsia="lv-LV"/>
        </w:rPr>
        <w:t xml:space="preserve">OCTA polise nav nodoklim pielīdzināts maksājums, un tādēļ arī valsts rīcības brīvība šajā gadījumā nav vērtējama tāpat kā nodokļu politikā. </w:t>
      </w:r>
      <w:r w:rsidRPr="001E6FC4">
        <w:rPr>
          <w:rFonts w:ascii="Times New Roman" w:hAnsi="Times New Roman" w:cs="Times New Roman"/>
          <w:sz w:val="24"/>
          <w:szCs w:val="24"/>
        </w:rPr>
        <w:t>Atbilstoši LR Satversmes tiesas secinātajam ikviens nodoklis ir solidārs maksājums, kas papildina valsts budžetu ar līdzekļiem, no kuriem tiek finansēti visai sabiedrībai nozīmīgi pasākumi, proti, tas ir veids, kādā personas uzņemas kopīgu atbildību par sabiedrības vajadzību apmierināšanu un Latvijas valsts uzturēšanu.</w:t>
      </w:r>
      <w:r w:rsidRPr="001E6FC4">
        <w:rPr>
          <w:rStyle w:val="FootnoteReference"/>
          <w:rFonts w:ascii="Times New Roman" w:hAnsi="Times New Roman" w:cs="Times New Roman"/>
          <w:sz w:val="24"/>
          <w:szCs w:val="24"/>
        </w:rPr>
        <w:footnoteReference w:id="8"/>
      </w:r>
      <w:r w:rsidRPr="001E6FC4">
        <w:rPr>
          <w:rFonts w:ascii="Times New Roman" w:hAnsi="Times New Roman" w:cs="Times New Roman"/>
          <w:sz w:val="24"/>
          <w:szCs w:val="24"/>
        </w:rPr>
        <w:t xml:space="preserve"> Kā minēts jau iepriekš, tad Garantijas fonda līdzekļus, kas nav valsts budžeta līdzekļi, tos veido pašu apdrošinātāju veiktie atskaitījumi no OCTA apdrošināšanas prēmijām konkrētam mērķim – aizsargāt cietušo trešo personu intereses. OCTA un nodokļu mērķi un darbība ir pilnīgi atšķirīgi, lai arī tie abi noteiktos gadījumos ir obligāti maksājumi. Līdz ar to </w:t>
      </w:r>
      <w:r w:rsidRPr="001E6FC4">
        <w:rPr>
          <w:rFonts w:ascii="Times New Roman" w:hAnsi="Times New Roman" w:cs="Times New Roman"/>
          <w:b/>
          <w:bCs/>
          <w:sz w:val="24"/>
          <w:szCs w:val="24"/>
          <w:shd w:val="clear" w:color="auto" w:fill="FFFFFF"/>
        </w:rPr>
        <w:t>OCTA likuma 14.panta otrā un trešā daļa paredz apdrošināšanas sabiedrību tiesību uz īpašumu ierobežojumu, jo nosaka konkrētu pienākumu vienai privātpersonai par labu citai personai uz vienas no privātpersonas rēķina.</w:t>
      </w:r>
      <w:r w:rsidRPr="001E6FC4">
        <w:rPr>
          <w:rFonts w:ascii="Times New Roman" w:hAnsi="Times New Roman" w:cs="Times New Roman"/>
          <w:sz w:val="24"/>
          <w:szCs w:val="24"/>
          <w:shd w:val="clear" w:color="auto" w:fill="FFFFFF"/>
        </w:rPr>
        <w:t xml:space="preserve"> OCTA likuma 14.panta otrā un trešā daļa ir jāvērtē nevis kā nodokļu politikas instruments, bet gan kā valsts noteikts mantisks ierobežojums vienai privātpersonai par labu otrai privātpersonai.</w:t>
      </w:r>
    </w:p>
    <w:p w14:paraId="1B123A77" w14:textId="77777777" w:rsidR="00281889" w:rsidRPr="001E6FC4" w:rsidRDefault="00281889" w:rsidP="00281889">
      <w:pPr>
        <w:spacing w:after="0" w:line="240" w:lineRule="auto"/>
        <w:ind w:firstLine="600"/>
        <w:jc w:val="both"/>
        <w:rPr>
          <w:rFonts w:ascii="Times New Roman" w:hAnsi="Times New Roman" w:cs="Times New Roman"/>
          <w:bCs/>
          <w:sz w:val="24"/>
          <w:szCs w:val="24"/>
        </w:rPr>
      </w:pPr>
    </w:p>
    <w:p w14:paraId="2559A8F2" w14:textId="77777777" w:rsidR="00281889" w:rsidRPr="001E6FC4" w:rsidRDefault="00281889" w:rsidP="00281889">
      <w:pPr>
        <w:spacing w:after="0" w:line="240" w:lineRule="auto"/>
        <w:ind w:firstLine="600"/>
        <w:jc w:val="both"/>
        <w:rPr>
          <w:rFonts w:ascii="Times New Roman" w:eastAsia="Calibri" w:hAnsi="Times New Roman" w:cs="Times New Roman"/>
          <w:bCs/>
          <w:sz w:val="24"/>
          <w:szCs w:val="24"/>
          <w:shd w:val="clear" w:color="auto" w:fill="FFFFFF"/>
        </w:rPr>
      </w:pPr>
      <w:r w:rsidRPr="001E6FC4">
        <w:rPr>
          <w:rFonts w:ascii="Times New Roman" w:hAnsi="Times New Roman" w:cs="Times New Roman"/>
          <w:bCs/>
          <w:sz w:val="24"/>
          <w:szCs w:val="24"/>
        </w:rPr>
        <w:t xml:space="preserve">OCTA likuma 51.pantā ir noteikts, ka </w:t>
      </w:r>
      <w:r w:rsidRPr="001E6FC4">
        <w:rPr>
          <w:rFonts w:ascii="Times New Roman" w:eastAsia="Calibri" w:hAnsi="Times New Roman" w:cs="Times New Roman"/>
          <w:sz w:val="24"/>
          <w:szCs w:val="24"/>
          <w:shd w:val="clear" w:color="auto" w:fill="FFFFFF"/>
        </w:rPr>
        <w:t>apdrošinātāji izveido un LTAB administrē G</w:t>
      </w:r>
      <w:r w:rsidRPr="001E6FC4">
        <w:rPr>
          <w:rFonts w:ascii="Times New Roman" w:hAnsi="Times New Roman" w:cs="Times New Roman"/>
          <w:bCs/>
          <w:sz w:val="24"/>
          <w:szCs w:val="24"/>
          <w:shd w:val="clear" w:color="auto" w:fill="FFFFFF"/>
        </w:rPr>
        <w:t>arantijas fondu</w:t>
      </w:r>
      <w:r w:rsidRPr="001E6FC4">
        <w:rPr>
          <w:rFonts w:ascii="Times New Roman" w:eastAsia="Calibri" w:hAnsi="Times New Roman" w:cs="Times New Roman"/>
          <w:bCs/>
          <w:sz w:val="24"/>
          <w:szCs w:val="24"/>
          <w:shd w:val="clear" w:color="auto" w:fill="FFFFFF"/>
        </w:rPr>
        <w:t>.</w:t>
      </w:r>
    </w:p>
    <w:p w14:paraId="7BB30ADA" w14:textId="77777777" w:rsidR="00281889" w:rsidRPr="001E6FC4" w:rsidRDefault="00281889" w:rsidP="00281889">
      <w:pPr>
        <w:spacing w:after="0" w:line="240" w:lineRule="auto"/>
        <w:ind w:firstLine="600"/>
        <w:jc w:val="both"/>
        <w:rPr>
          <w:rFonts w:ascii="Times New Roman" w:hAnsi="Times New Roman" w:cs="Times New Roman"/>
          <w:sz w:val="24"/>
          <w:szCs w:val="24"/>
        </w:rPr>
      </w:pPr>
      <w:r w:rsidRPr="001E6FC4">
        <w:rPr>
          <w:rFonts w:ascii="Times New Roman" w:hAnsi="Times New Roman" w:cs="Times New Roman"/>
          <w:b/>
          <w:bCs/>
          <w:sz w:val="24"/>
          <w:szCs w:val="24"/>
        </w:rPr>
        <w:t>Garantijas fonda mērķis ir veikt atlīdzības izmaksas ceļu satiksmes negadījumā cietušajām personām</w:t>
      </w:r>
      <w:r w:rsidRPr="001E6FC4">
        <w:rPr>
          <w:rFonts w:ascii="Times New Roman" w:hAnsi="Times New Roman" w:cs="Times New Roman"/>
          <w:sz w:val="24"/>
          <w:szCs w:val="24"/>
        </w:rPr>
        <w:t xml:space="preserve">, ja zaudējumus nodarījis neapdrošināts vai nenoskaidrots transportlīdzeklis, iestājusies apdrošinātāja maksātnespēja, kā arī veikt izmaksas cietušajiem citos OCTA likumā paredzētajos gadījumos, t.sk., ja ceļu satiksmes negadījums noticis ārpus Latvijas Republikas (OCTA likuma 51.panta pirmā, otrā, ceturtā un piektā daļa). Minētais regulējums ir vērsts uz ceļu satiksmes negadījumā cietušo personu interešu aizsardzību (apdrošināšanas atlīdzības izmaksu) atbilstoši OCTA likuma mērķim, t.i., ir  aizsargāt ceļu satiksmes negadījumos </w:t>
      </w:r>
      <w:r w:rsidRPr="001E6FC4">
        <w:rPr>
          <w:rFonts w:ascii="Times New Roman" w:hAnsi="Times New Roman" w:cs="Times New Roman"/>
          <w:sz w:val="24"/>
          <w:szCs w:val="24"/>
        </w:rPr>
        <w:lastRenderedPageBreak/>
        <w:t>cietušo trešo personu intereses un reglamentēt tiesiskās attiecības starp transportlīdzekļu īpašniekiem, tiesīgajiem lietotājiem un apdrošinātājiem sakarā ar transportlīdzekļu īpašnieku un tiesīgo lietotāju civiltiesiskās atbildības obligāto apdrošināšanu (OCTA likuma 2.pants).</w:t>
      </w:r>
    </w:p>
    <w:p w14:paraId="1EB43D37" w14:textId="77777777" w:rsidR="00281889" w:rsidRPr="001E6FC4" w:rsidRDefault="00281889" w:rsidP="00281889">
      <w:pPr>
        <w:spacing w:after="0" w:line="240" w:lineRule="auto"/>
        <w:ind w:firstLine="600"/>
        <w:jc w:val="both"/>
        <w:rPr>
          <w:rFonts w:ascii="Times New Roman" w:eastAsia="Calibri" w:hAnsi="Times New Roman" w:cs="Times New Roman"/>
          <w:bCs/>
          <w:sz w:val="24"/>
          <w:szCs w:val="24"/>
          <w:shd w:val="clear" w:color="auto" w:fill="FFFFFF"/>
        </w:rPr>
      </w:pPr>
      <w:r w:rsidRPr="001E6FC4">
        <w:rPr>
          <w:rFonts w:ascii="Times New Roman" w:eastAsia="Calibri" w:hAnsi="Times New Roman" w:cs="Times New Roman"/>
          <w:bCs/>
          <w:sz w:val="24"/>
          <w:szCs w:val="24"/>
          <w:shd w:val="clear" w:color="auto" w:fill="FFFFFF"/>
        </w:rPr>
        <w:t xml:space="preserve">OCTA likumā šāds regulējums ieviests, implementējot OCTA direktīvu, kas konsolidētas ar direktīvu 2009/103/EK, prasības, kas šobrīd konsolidētās ar </w:t>
      </w:r>
      <w:r w:rsidRPr="001E6FC4">
        <w:rPr>
          <w:rFonts w:ascii="Times New Roman" w:hAnsi="Times New Roman" w:cs="Times New Roman"/>
          <w:sz w:val="24"/>
          <w:szCs w:val="24"/>
          <w:shd w:val="clear" w:color="auto" w:fill="FFFFFF"/>
        </w:rPr>
        <w:t>Eiropas Parlamenta un Padomes 2009.gada 16.septembra direktīvu 2009/103/EK par civiltiesiskās atbildības apdrošināšanu saistībā ar mehānisko transportlīdzekļu izmantošanu un kontroli saistībā ar pienākumu apdrošināt šādu atbildību</w:t>
      </w:r>
      <w:r w:rsidRPr="001E6FC4">
        <w:rPr>
          <w:rFonts w:ascii="Times New Roman" w:eastAsia="Calibri" w:hAnsi="Times New Roman" w:cs="Times New Roman"/>
          <w:bCs/>
          <w:sz w:val="24"/>
          <w:szCs w:val="24"/>
          <w:shd w:val="clear" w:color="auto" w:fill="FFFFFF"/>
        </w:rPr>
        <w:t xml:space="preserve"> (turpmāk – OCTA direktīva). </w:t>
      </w:r>
    </w:p>
    <w:p w14:paraId="039D2FBD" w14:textId="77777777" w:rsidR="00281889" w:rsidRPr="001E6FC4" w:rsidRDefault="00281889" w:rsidP="00281889">
      <w:pPr>
        <w:spacing w:after="0" w:line="240" w:lineRule="auto"/>
        <w:ind w:firstLine="600"/>
        <w:jc w:val="both"/>
        <w:rPr>
          <w:rFonts w:ascii="Times New Roman" w:hAnsi="Times New Roman" w:cs="Times New Roman"/>
          <w:sz w:val="24"/>
          <w:szCs w:val="24"/>
        </w:rPr>
      </w:pPr>
      <w:r w:rsidRPr="001E6FC4">
        <w:rPr>
          <w:rFonts w:ascii="Times New Roman" w:eastAsia="Calibri" w:hAnsi="Times New Roman" w:cs="Times New Roman"/>
          <w:bCs/>
          <w:sz w:val="24"/>
          <w:szCs w:val="24"/>
          <w:shd w:val="clear" w:color="auto" w:fill="FFFFFF"/>
        </w:rPr>
        <w:t>OCTA direktīvas 10.pantā ir noteikts, ka k</w:t>
      </w:r>
      <w:r w:rsidRPr="001E6FC4">
        <w:rPr>
          <w:rFonts w:ascii="Times New Roman" w:hAnsi="Times New Roman" w:cs="Times New Roman"/>
          <w:bCs/>
          <w:sz w:val="24"/>
          <w:szCs w:val="24"/>
          <w:shd w:val="clear" w:color="auto" w:fill="FFFFFF"/>
        </w:rPr>
        <w:t xml:space="preserve">atra dalībvalsts izveido vai pilnvaro iestādi, kas sniegtu kompensāciju vismaz obligātās apdrošināšanas līmenī par kaitējumu īpašumam vai miesas bojājumiem negadījumos, kurus izraisījuši neidentificēti transportlīdzekļi vai transportlīdzekļi, kam nav nokārtota OCTA apdrošināšana. </w:t>
      </w:r>
      <w:r w:rsidRPr="001E6FC4">
        <w:rPr>
          <w:rFonts w:ascii="Times New Roman" w:eastAsia="Calibri" w:hAnsi="Times New Roman" w:cs="Times New Roman"/>
          <w:bCs/>
          <w:sz w:val="24"/>
          <w:szCs w:val="24"/>
          <w:shd w:val="clear" w:color="auto" w:fill="FFFFFF"/>
        </w:rPr>
        <w:t>OCTA direktīvas 24.pantā ir noteikts, ka k</w:t>
      </w:r>
      <w:r w:rsidRPr="001E6FC4">
        <w:rPr>
          <w:rFonts w:ascii="Times New Roman" w:hAnsi="Times New Roman" w:cs="Times New Roman"/>
          <w:bCs/>
          <w:sz w:val="24"/>
          <w:szCs w:val="24"/>
          <w:shd w:val="clear" w:color="auto" w:fill="FFFFFF"/>
        </w:rPr>
        <w:t>atra dalībvalsts izveido vai apstiprina kompensācijas iestādi, kas atbild par kompensācijas nodrošināšanu cietušajām personām, kuras cietušas negadījumā dalībvalstī, kas nav tās dzīvesvieta. Gan no OCTA direktīvas, gan no EST judikatūras, interpretējot OCTA direktīvas normas, nepārprotami izriet, ka OCTA direktīvu mērķis ir nodrošināt</w:t>
      </w:r>
      <w:r w:rsidRPr="001E6FC4">
        <w:rPr>
          <w:rFonts w:ascii="Times New Roman" w:hAnsi="Times New Roman" w:cs="Times New Roman"/>
          <w:b/>
          <w:sz w:val="24"/>
          <w:szCs w:val="24"/>
          <w:shd w:val="clear" w:color="auto" w:fill="FFFFFF"/>
        </w:rPr>
        <w:t xml:space="preserve"> </w:t>
      </w:r>
      <w:r w:rsidRPr="001E6FC4">
        <w:rPr>
          <w:rFonts w:ascii="Times New Roman" w:eastAsia="Times New Roman" w:hAnsi="Times New Roman" w:cs="Times New Roman"/>
          <w:bCs/>
          <w:sz w:val="24"/>
          <w:szCs w:val="24"/>
        </w:rPr>
        <w:t>augstu aizsardzības līmeni cietušajiem mehānisko transportlīdzekļu izraisītos negadījumos</w:t>
      </w:r>
      <w:r w:rsidRPr="001E6FC4">
        <w:rPr>
          <w:rFonts w:ascii="Times New Roman" w:hAnsi="Times New Roman" w:cs="Times New Roman"/>
          <w:bCs/>
          <w:sz w:val="24"/>
          <w:szCs w:val="24"/>
          <w:shd w:val="clear" w:color="auto" w:fill="FFFFFF"/>
        </w:rPr>
        <w:t xml:space="preserve">, un nekas nedrīkst kavēt šī mērķa īstenošanu un atņemt direktīvām to lietderīgo iedarbību. </w:t>
      </w:r>
      <w:r w:rsidRPr="001E6FC4">
        <w:rPr>
          <w:rFonts w:ascii="Times New Roman" w:hAnsi="Times New Roman" w:cs="Times New Roman"/>
          <w:b/>
          <w:sz w:val="24"/>
          <w:szCs w:val="24"/>
          <w:shd w:val="clear" w:color="auto" w:fill="FFFFFF"/>
        </w:rPr>
        <w:t>Spēkā esošās</w:t>
      </w:r>
      <w:r w:rsidRPr="001E6FC4">
        <w:rPr>
          <w:rFonts w:ascii="Times New Roman" w:hAnsi="Times New Roman" w:cs="Times New Roman"/>
          <w:bCs/>
          <w:sz w:val="24"/>
          <w:szCs w:val="24"/>
          <w:shd w:val="clear" w:color="auto" w:fill="FFFFFF"/>
        </w:rPr>
        <w:t xml:space="preserve"> </w:t>
      </w:r>
      <w:r w:rsidRPr="001E6FC4">
        <w:rPr>
          <w:rFonts w:ascii="Times New Roman" w:hAnsi="Times New Roman" w:cs="Times New Roman"/>
          <w:b/>
          <w:sz w:val="24"/>
          <w:szCs w:val="24"/>
          <w:shd w:val="clear" w:color="auto" w:fill="FFFFFF"/>
        </w:rPr>
        <w:t>OCTA likuma 14. panta otrās, trešās, ceturtās daļas un 51.panta trešās daļas 2.punkta redakcijas, kas vērstas uz atlaides piešķiršanu un tās kompensēšanu no Garantijas fonda, ir pretrunā OCTA direktīvas prasībām un EST atziņām un mazina ar OCTA direktīvu izvirzīto mērķu sasniegšanu</w:t>
      </w:r>
      <w:r w:rsidRPr="001E6FC4">
        <w:rPr>
          <w:rFonts w:ascii="Times New Roman" w:hAnsi="Times New Roman" w:cs="Times New Roman"/>
          <w:sz w:val="24"/>
          <w:szCs w:val="24"/>
        </w:rPr>
        <w:t>.</w:t>
      </w:r>
    </w:p>
    <w:p w14:paraId="403D2773" w14:textId="77777777" w:rsidR="00281889" w:rsidRPr="001E6FC4" w:rsidRDefault="00281889" w:rsidP="00281889">
      <w:pPr>
        <w:pStyle w:val="Bodytext21"/>
        <w:shd w:val="clear" w:color="auto" w:fill="auto"/>
        <w:spacing w:line="240" w:lineRule="auto"/>
        <w:ind w:firstLine="601"/>
        <w:rPr>
          <w:rFonts w:ascii="Times New Roman" w:hAnsi="Times New Roman" w:cs="Times New Roman"/>
          <w:sz w:val="24"/>
          <w:szCs w:val="24"/>
        </w:rPr>
      </w:pPr>
      <w:r w:rsidRPr="001E6FC4">
        <w:rPr>
          <w:rFonts w:ascii="Times New Roman" w:hAnsi="Times New Roman" w:cs="Times New Roman"/>
          <w:b/>
          <w:bCs/>
          <w:sz w:val="24"/>
          <w:szCs w:val="24"/>
        </w:rPr>
        <w:t>Arī Satversmes tiesa ir atzīmējusi, ka Garantijas fonda līdzekļi ir izmantojami atbilstoši to mērķiem – “Garantijas fonda izveidošanas mērķis ir aizsargāt ceļu satiksmes negadījumos cietušo mantiskās intereses</w:t>
      </w:r>
      <w:r w:rsidRPr="001E6FC4">
        <w:rPr>
          <w:rFonts w:ascii="Times New Roman" w:hAnsi="Times New Roman" w:cs="Times New Roman"/>
          <w:sz w:val="24"/>
          <w:szCs w:val="24"/>
        </w:rPr>
        <w:t>.”</w:t>
      </w:r>
      <w:r w:rsidRPr="001E6FC4">
        <w:rPr>
          <w:rStyle w:val="FootnoteReference"/>
          <w:rFonts w:ascii="Times New Roman" w:hAnsi="Times New Roman" w:cs="Times New Roman"/>
          <w:sz w:val="24"/>
          <w:szCs w:val="24"/>
        </w:rPr>
        <w:footnoteReference w:id="9"/>
      </w:r>
      <w:r w:rsidRPr="001E6FC4">
        <w:rPr>
          <w:rFonts w:ascii="Times New Roman" w:hAnsi="Times New Roman" w:cs="Times New Roman"/>
          <w:sz w:val="24"/>
          <w:szCs w:val="24"/>
        </w:rPr>
        <w:t xml:space="preserve"> Šī fonda līdzekļu izmantošana sociāliem mērķiem nozīmē citu personu, kas iemaksā šos līdzekļus vai pretendēs uz izmaksām, tiesību ierobežošanu ārpus definētā mērķa. </w:t>
      </w:r>
    </w:p>
    <w:p w14:paraId="051F2CB0" w14:textId="77777777" w:rsidR="00281889" w:rsidRPr="001E6FC4" w:rsidRDefault="00281889" w:rsidP="00281889">
      <w:pPr>
        <w:spacing w:after="0" w:line="240" w:lineRule="auto"/>
        <w:jc w:val="both"/>
        <w:rPr>
          <w:rFonts w:ascii="Times New Roman" w:hAnsi="Times New Roman" w:cs="Times New Roman"/>
          <w:b/>
          <w:sz w:val="24"/>
          <w:szCs w:val="24"/>
        </w:rPr>
      </w:pPr>
    </w:p>
    <w:p w14:paraId="18022179" w14:textId="77777777" w:rsidR="00281889" w:rsidRPr="001E6FC4" w:rsidRDefault="00281889" w:rsidP="00281889">
      <w:pPr>
        <w:spacing w:after="0" w:line="240" w:lineRule="auto"/>
        <w:ind w:firstLine="600"/>
        <w:jc w:val="both"/>
        <w:rPr>
          <w:rFonts w:ascii="Times New Roman" w:hAnsi="Times New Roman" w:cs="Times New Roman"/>
          <w:b/>
          <w:bCs/>
          <w:sz w:val="24"/>
          <w:szCs w:val="24"/>
        </w:rPr>
      </w:pPr>
      <w:r w:rsidRPr="001E6FC4">
        <w:rPr>
          <w:rFonts w:ascii="Times New Roman" w:hAnsi="Times New Roman" w:cs="Times New Roman"/>
          <w:b/>
          <w:bCs/>
          <w:sz w:val="24"/>
          <w:szCs w:val="24"/>
        </w:rPr>
        <w:t xml:space="preserve">Vēsturiski ir izveidojies, ka apdrošinātāju piešķirtās atlaides tiek kompensētas no Garantijas fonda </w:t>
      </w:r>
      <w:r w:rsidRPr="001E6FC4">
        <w:rPr>
          <w:rFonts w:ascii="Times New Roman" w:hAnsi="Times New Roman" w:cs="Times New Roman"/>
          <w:sz w:val="24"/>
          <w:szCs w:val="24"/>
        </w:rPr>
        <w:t>(OCTA likuma 14.panta ceturtā daļa un 51.panta trešās daļas 2.punkts).</w:t>
      </w:r>
      <w:r w:rsidRPr="001E6FC4">
        <w:rPr>
          <w:rFonts w:ascii="Times New Roman" w:hAnsi="Times New Roman" w:cs="Times New Roman"/>
          <w:b/>
          <w:bCs/>
          <w:sz w:val="24"/>
          <w:szCs w:val="24"/>
        </w:rPr>
        <w:t xml:space="preserve"> </w:t>
      </w:r>
      <w:r w:rsidRPr="001E6FC4">
        <w:rPr>
          <w:rFonts w:ascii="Times New Roman" w:hAnsi="Times New Roman" w:cs="Times New Roman"/>
          <w:sz w:val="24"/>
          <w:szCs w:val="24"/>
        </w:rPr>
        <w:t>Līdz 01.05.2004. valsts ar likumu</w:t>
      </w:r>
      <w:r w:rsidRPr="001E6FC4">
        <w:rPr>
          <w:rStyle w:val="FootnoteReference"/>
          <w:rFonts w:ascii="Times New Roman" w:hAnsi="Times New Roman" w:cs="Times New Roman"/>
          <w:sz w:val="24"/>
          <w:szCs w:val="24"/>
        </w:rPr>
        <w:footnoteReference w:id="10"/>
      </w:r>
      <w:r w:rsidRPr="001E6FC4">
        <w:rPr>
          <w:rFonts w:ascii="Times New Roman" w:hAnsi="Times New Roman" w:cs="Times New Roman"/>
          <w:sz w:val="24"/>
          <w:szCs w:val="24"/>
        </w:rPr>
        <w:t xml:space="preserve"> un tam pakārtotajiem Ministru kabineta noteikumiem</w:t>
      </w:r>
      <w:r w:rsidRPr="001E6FC4">
        <w:rPr>
          <w:rStyle w:val="FootnoteReference"/>
          <w:rFonts w:ascii="Times New Roman" w:hAnsi="Times New Roman" w:cs="Times New Roman"/>
          <w:sz w:val="24"/>
          <w:szCs w:val="24"/>
        </w:rPr>
        <w:footnoteReference w:id="11"/>
      </w:r>
      <w:r w:rsidRPr="001E6FC4">
        <w:rPr>
          <w:rFonts w:ascii="Times New Roman" w:hAnsi="Times New Roman" w:cs="Times New Roman"/>
          <w:sz w:val="24"/>
          <w:szCs w:val="24"/>
        </w:rPr>
        <w:t xml:space="preserve"> regulēja gan OCTA prēmijas, gan piešķīra atlaides, bet, </w:t>
      </w:r>
      <w:r w:rsidRPr="001E6FC4">
        <w:rPr>
          <w:rFonts w:ascii="Times New Roman" w:hAnsi="Times New Roman" w:cs="Times New Roman"/>
          <w:b/>
          <w:bCs/>
          <w:sz w:val="24"/>
          <w:szCs w:val="24"/>
        </w:rPr>
        <w:t xml:space="preserve">iestājoties ES, atbilstoši ES prasībām valsts prēmijas vairs nedrīkstēja regulēt, tas bija jāatstāj apdrošinātāju ziņā, tomēr atlaižu piešķiršanas kārtība un kompensēšana no Garantijas fonda tika saglabāta. </w:t>
      </w:r>
      <w:r w:rsidRPr="001E6FC4">
        <w:rPr>
          <w:rFonts w:ascii="Times New Roman" w:hAnsi="Times New Roman" w:cs="Times New Roman"/>
          <w:sz w:val="24"/>
          <w:szCs w:val="24"/>
        </w:rPr>
        <w:t>Savulaik šādu atlaižu politiku Latvija pārņēma no Igaunijas, bet tagad Latvija ir palikusi vienīgā valsts Eiropā, kur saglabājusies šāds arhaisks, OCTA direktīvai neatbilstošs regulējums.</w:t>
      </w:r>
      <w:r w:rsidRPr="001E6FC4">
        <w:rPr>
          <w:rFonts w:ascii="Times New Roman" w:hAnsi="Times New Roman" w:cs="Times New Roman"/>
          <w:b/>
          <w:bCs/>
          <w:sz w:val="24"/>
          <w:szCs w:val="24"/>
        </w:rPr>
        <w:t xml:space="preserve"> </w:t>
      </w:r>
    </w:p>
    <w:p w14:paraId="24CAE804" w14:textId="77777777" w:rsidR="00281889" w:rsidRPr="001E6FC4" w:rsidRDefault="00281889" w:rsidP="00281889">
      <w:pPr>
        <w:spacing w:after="0" w:line="240" w:lineRule="auto"/>
        <w:ind w:firstLine="600"/>
        <w:jc w:val="both"/>
        <w:rPr>
          <w:rFonts w:ascii="Times New Roman" w:hAnsi="Times New Roman" w:cs="Times New Roman"/>
          <w:b/>
          <w:bCs/>
          <w:sz w:val="24"/>
          <w:szCs w:val="24"/>
        </w:rPr>
      </w:pPr>
    </w:p>
    <w:p w14:paraId="173398C1" w14:textId="77777777" w:rsidR="00281889" w:rsidRPr="001E6FC4" w:rsidRDefault="00281889" w:rsidP="00281889">
      <w:pPr>
        <w:spacing w:after="0" w:line="240" w:lineRule="auto"/>
        <w:ind w:firstLine="600"/>
        <w:jc w:val="both"/>
        <w:rPr>
          <w:rFonts w:ascii="Times New Roman" w:hAnsi="Times New Roman" w:cs="Times New Roman"/>
          <w:b/>
          <w:bCs/>
          <w:sz w:val="24"/>
          <w:szCs w:val="24"/>
        </w:rPr>
      </w:pPr>
      <w:r w:rsidRPr="001E6FC4">
        <w:rPr>
          <w:rFonts w:ascii="Times New Roman" w:hAnsi="Times New Roman" w:cs="Times New Roman"/>
          <w:b/>
          <w:bCs/>
          <w:sz w:val="24"/>
          <w:szCs w:val="24"/>
        </w:rPr>
        <w:lastRenderedPageBreak/>
        <w:t xml:space="preserve">Garantijas fonda līdzekļus veido </w:t>
      </w:r>
      <w:r w:rsidRPr="001E6FC4">
        <w:rPr>
          <w:rFonts w:ascii="Times New Roman" w:hAnsi="Times New Roman" w:cs="Times New Roman"/>
          <w:sz w:val="24"/>
          <w:szCs w:val="24"/>
        </w:rPr>
        <w:t>(OCTA likuma 51.panta sestā daļa)</w:t>
      </w:r>
      <w:r w:rsidRPr="001E6FC4">
        <w:rPr>
          <w:rFonts w:ascii="Times New Roman" w:hAnsi="Times New Roman" w:cs="Times New Roman"/>
          <w:b/>
          <w:bCs/>
          <w:sz w:val="24"/>
          <w:szCs w:val="24"/>
        </w:rPr>
        <w:t xml:space="preserve">: </w:t>
      </w:r>
      <w:r w:rsidRPr="001E6FC4">
        <w:rPr>
          <w:rFonts w:ascii="Times New Roman" w:hAnsi="Times New Roman" w:cs="Times New Roman"/>
          <w:sz w:val="24"/>
          <w:szCs w:val="24"/>
        </w:rPr>
        <w:t>pamatā</w:t>
      </w:r>
      <w:r w:rsidRPr="001E6FC4">
        <w:rPr>
          <w:rFonts w:ascii="Times New Roman" w:hAnsi="Times New Roman" w:cs="Times New Roman"/>
          <w:b/>
          <w:bCs/>
          <w:sz w:val="24"/>
          <w:szCs w:val="24"/>
        </w:rPr>
        <w:t xml:space="preserve">  1) apdrošinātāju atskaitījumi no OCTA prēmijām, </w:t>
      </w:r>
      <w:r w:rsidRPr="001E6FC4">
        <w:rPr>
          <w:rFonts w:ascii="Times New Roman" w:hAnsi="Times New Roman" w:cs="Times New Roman"/>
          <w:sz w:val="24"/>
          <w:szCs w:val="24"/>
        </w:rPr>
        <w:t xml:space="preserve">t.i., visi apdrošinājuma ņēmēji (t.sk. personas ar invaliditāti un lauksaimnieki,  pensionāri, medmāsas, skolotāji, ugunsdzēsēji u.c.), slēdzot OCTA līgumus, sedz šīs atlaides, 2) </w:t>
      </w:r>
      <w:r w:rsidRPr="001E6FC4">
        <w:rPr>
          <w:rFonts w:ascii="Times New Roman" w:hAnsi="Times New Roman" w:cs="Times New Roman"/>
          <w:b/>
          <w:bCs/>
          <w:sz w:val="24"/>
          <w:szCs w:val="24"/>
        </w:rPr>
        <w:t xml:space="preserve">regresa kārtībā atgūtās summas un ieņēmumi no Garantijas fonda līdzekļu ieguldīšanas </w:t>
      </w:r>
      <w:r w:rsidRPr="001E6FC4">
        <w:rPr>
          <w:rFonts w:ascii="Times New Roman" w:hAnsi="Times New Roman" w:cs="Times New Roman"/>
          <w:sz w:val="24"/>
          <w:szCs w:val="24"/>
        </w:rPr>
        <w:t>(ņemot vērā ekonomisko situāciju valstī un Eiropā, šie ieņēmumi turpina samazināties). Faktiski tas nozīmē, ka</w:t>
      </w:r>
      <w:r w:rsidRPr="001E6FC4">
        <w:rPr>
          <w:rFonts w:ascii="Times New Roman" w:hAnsi="Times New Roman" w:cs="Times New Roman"/>
          <w:b/>
          <w:bCs/>
          <w:sz w:val="24"/>
          <w:szCs w:val="24"/>
        </w:rPr>
        <w:t xml:space="preserve"> paši apdrošinājuma ņēmēji tiek nostādīti nevienlīdzīgā situācijā, vieniem piešķirot atlaides, bet citiem - nē.</w:t>
      </w:r>
    </w:p>
    <w:p w14:paraId="3177D98A" w14:textId="77777777" w:rsidR="00281889" w:rsidRPr="001E6FC4" w:rsidRDefault="00281889" w:rsidP="00281889">
      <w:pPr>
        <w:spacing w:after="0" w:line="240" w:lineRule="auto"/>
        <w:ind w:firstLine="600"/>
        <w:jc w:val="both"/>
        <w:rPr>
          <w:rFonts w:ascii="Times New Roman" w:hAnsi="Times New Roman" w:cs="Times New Roman"/>
          <w:b/>
          <w:bCs/>
          <w:sz w:val="24"/>
          <w:szCs w:val="24"/>
        </w:rPr>
      </w:pPr>
    </w:p>
    <w:p w14:paraId="5DE14A2A" w14:textId="77777777" w:rsidR="00281889" w:rsidRPr="001E6FC4" w:rsidRDefault="00281889" w:rsidP="00281889">
      <w:pPr>
        <w:spacing w:after="0" w:line="240" w:lineRule="auto"/>
        <w:ind w:firstLine="600"/>
        <w:jc w:val="both"/>
        <w:rPr>
          <w:rFonts w:ascii="Times New Roman" w:hAnsi="Times New Roman" w:cs="Times New Roman"/>
          <w:color w:val="4F81BD" w:themeColor="accent1"/>
          <w:sz w:val="24"/>
          <w:szCs w:val="24"/>
        </w:rPr>
      </w:pPr>
      <w:bookmarkStart w:id="1" w:name="_Hlk63861229"/>
      <w:bookmarkStart w:id="2" w:name="_Hlk63865481"/>
      <w:r w:rsidRPr="001E6FC4">
        <w:rPr>
          <w:rFonts w:ascii="Times New Roman" w:hAnsi="Times New Roman" w:cs="Times New Roman"/>
          <w:b/>
          <w:bCs/>
          <w:sz w:val="24"/>
          <w:szCs w:val="24"/>
        </w:rPr>
        <w:t>Garantijas fonds zināmā mērā pat pārmaksā, kompensējot apdrošinātājiem piešķirtās atlaides</w:t>
      </w:r>
      <w:r w:rsidRPr="001E6FC4">
        <w:rPr>
          <w:rFonts w:ascii="Times New Roman" w:hAnsi="Times New Roman" w:cs="Times New Roman"/>
          <w:sz w:val="24"/>
          <w:szCs w:val="24"/>
        </w:rPr>
        <w:t xml:space="preserve">, </w:t>
      </w:r>
      <w:r w:rsidRPr="001E6FC4">
        <w:rPr>
          <w:rFonts w:ascii="Times New Roman" w:hAnsi="Times New Roman" w:cs="Times New Roman"/>
          <w:b/>
          <w:bCs/>
          <w:sz w:val="24"/>
          <w:szCs w:val="24"/>
        </w:rPr>
        <w:t>un pašus atlaižu saņēmējus nostāda nevienlīdzīgā situācijā</w:t>
      </w:r>
      <w:r w:rsidRPr="001E6FC4">
        <w:rPr>
          <w:rFonts w:ascii="Times New Roman" w:hAnsi="Times New Roman" w:cs="Times New Roman"/>
          <w:sz w:val="24"/>
          <w:szCs w:val="24"/>
        </w:rPr>
        <w:t xml:space="preserve">. Katram apdrošinājuma ņēmējam (klientam) tiek individuāli noteikta apdrošināšanas prēmija (maksājums), ņemot vērā transportlīdzekļa tehniskos datus, apdrošināšanas vēsturi u.c. kritērijus (OCTA likuma 13.pants). Piemēram,  ja apdrošinājuma ņēmējs ir izraisījis ceļu satiksmes negadījumu, apdrošināšanas prēmija, visticamāk, paaugstināsies. </w:t>
      </w:r>
      <w:r w:rsidRPr="001E6FC4">
        <w:rPr>
          <w:rFonts w:ascii="Times New Roman" w:hAnsi="Times New Roman" w:cs="Times New Roman"/>
          <w:b/>
          <w:bCs/>
          <w:sz w:val="24"/>
          <w:szCs w:val="24"/>
          <w:u w:val="single"/>
        </w:rPr>
        <w:t>Jo sliktāka apdrošinājuma ņēmēja apdrošināšanas vēsture, jo lielāka apdrošināšanas prēmija, jo lielāka arī kompensējamā atlaide no Garantijas fonda, un tas savā būtībā ir nepareizi.</w:t>
      </w:r>
      <w:r w:rsidRPr="001E6FC4">
        <w:rPr>
          <w:rFonts w:ascii="Times New Roman" w:hAnsi="Times New Roman" w:cs="Times New Roman"/>
          <w:sz w:val="24"/>
          <w:szCs w:val="24"/>
        </w:rPr>
        <w:t xml:space="preserve">  Šī absurdā situācija atspoguļota tālāk aprakstītajā piemērā. Proti, </w:t>
      </w:r>
      <w:r w:rsidRPr="001E6FC4">
        <w:rPr>
          <w:rFonts w:ascii="Times New Roman" w:hAnsi="Times New Roman" w:cs="Times New Roman"/>
          <w:i/>
          <w:iCs/>
          <w:color w:val="4F81BD" w:themeColor="accent1"/>
          <w:sz w:val="24"/>
          <w:szCs w:val="24"/>
        </w:rPr>
        <w:t>pieņemot, ka apdrošināšanas līgumu slēdz 2 personas ar vienādu apdrošināšanas stāžu uz vienādiem vieglajiem transportlīdzekļiem (t.sk. marku), personai A ar labu apdrošināšanas vēsturi apdrošināšanas prēmijas sastāda 60 EUR, no kuras 24 EUR kā kompensācija (atlaide 40% apmērā) tiek segta no Garantijas fonda, savukārt personai B ar sliktu apdrošināšanas vēsturi apdrošināšanas prēmija ir 260 EUR, no kuras 104 EUR tiek segti kompensācijās  (atlaide 40% apmērā)  no Garantijas fonda.</w:t>
      </w:r>
      <w:r w:rsidRPr="001E6FC4">
        <w:rPr>
          <w:rFonts w:ascii="Times New Roman" w:hAnsi="Times New Roman" w:cs="Times New Roman"/>
          <w:color w:val="4F81BD" w:themeColor="accent1"/>
          <w:sz w:val="24"/>
          <w:szCs w:val="24"/>
        </w:rPr>
        <w:t xml:space="preserve"> Tātad persona, kura ir bīstamāka satiksmē, var saņemt lielāku atlaidi (aprakstītajā piemērā – par 80 EUR  lielāku atlaidi) </w:t>
      </w:r>
      <w:r w:rsidRPr="001E6FC4">
        <w:rPr>
          <w:rFonts w:ascii="Times New Roman" w:eastAsia="Times New Roman" w:hAnsi="Times New Roman" w:cs="Times New Roman"/>
          <w:color w:val="4F81BD" w:themeColor="accent1"/>
          <w:sz w:val="24"/>
          <w:szCs w:val="24"/>
        </w:rPr>
        <w:t>nekā persona, kuras braukšanas stils ir drošāks satiksmei.</w:t>
      </w:r>
      <w:r w:rsidRPr="001E6FC4">
        <w:rPr>
          <w:rFonts w:ascii="Times New Roman" w:hAnsi="Times New Roman" w:cs="Times New Roman"/>
          <w:color w:val="4F81BD" w:themeColor="accent1"/>
          <w:sz w:val="24"/>
          <w:szCs w:val="24"/>
        </w:rPr>
        <w:t xml:space="preserve"> </w:t>
      </w:r>
      <w:bookmarkEnd w:id="1"/>
    </w:p>
    <w:bookmarkEnd w:id="2"/>
    <w:p w14:paraId="26E70E97" w14:textId="77777777" w:rsidR="00281889" w:rsidRPr="001E6FC4" w:rsidRDefault="00281889" w:rsidP="00281889">
      <w:pPr>
        <w:spacing w:after="0" w:line="240" w:lineRule="auto"/>
        <w:ind w:firstLine="600"/>
        <w:jc w:val="both"/>
        <w:rPr>
          <w:rFonts w:ascii="Times New Roman" w:hAnsi="Times New Roman" w:cs="Times New Roman"/>
          <w:sz w:val="24"/>
          <w:szCs w:val="24"/>
        </w:rPr>
      </w:pPr>
      <w:r w:rsidRPr="001E6FC4">
        <w:rPr>
          <w:rFonts w:ascii="Times New Roman" w:hAnsi="Times New Roman" w:cs="Times New Roman"/>
          <w:sz w:val="24"/>
          <w:szCs w:val="24"/>
        </w:rPr>
        <w:t xml:space="preserve">Ja ir vēlme šāda veida atbalstu turpināt, būtu jāapsver, piemēram,  konstantas summas piešķiršana OCTA iegādei, lai novērstu sociālo nevienlīdzību gan to personu, kam pienākas atlaides, gan pārējo apdrošinājuma ņēmēju starpā, bet, kā jau iepriekš minēts, OCTA likums tomēr nebūs īstais likums, kur risināt valsts sociālā atbalsta pasākuma programmas. </w:t>
      </w:r>
    </w:p>
    <w:p w14:paraId="09278ED3" w14:textId="77777777" w:rsidR="00281889" w:rsidRPr="001E6FC4" w:rsidRDefault="00281889" w:rsidP="00281889">
      <w:pPr>
        <w:rPr>
          <w:rFonts w:ascii="Times New Roman" w:hAnsi="Times New Roman" w:cs="Times New Roman"/>
          <w:sz w:val="24"/>
          <w:szCs w:val="24"/>
        </w:rPr>
      </w:pPr>
    </w:p>
    <w:p w14:paraId="4D9EF192" w14:textId="77777777" w:rsidR="00281889" w:rsidRPr="001E6FC4" w:rsidRDefault="00281889" w:rsidP="00281889">
      <w:pPr>
        <w:spacing w:after="0" w:line="240" w:lineRule="auto"/>
        <w:jc w:val="center"/>
        <w:rPr>
          <w:rFonts w:ascii="Times New Roman" w:hAnsi="Times New Roman" w:cs="Times New Roman"/>
          <w:b/>
          <w:sz w:val="24"/>
          <w:szCs w:val="24"/>
        </w:rPr>
      </w:pPr>
      <w:r w:rsidRPr="001E6FC4">
        <w:rPr>
          <w:rFonts w:ascii="Times New Roman" w:hAnsi="Times New Roman" w:cs="Times New Roman"/>
          <w:b/>
          <w:sz w:val="24"/>
          <w:szCs w:val="24"/>
        </w:rPr>
        <w:t>II Spēkā esošā regulējuma pirmsšķietamā atbilstība LR Satversmei</w:t>
      </w:r>
    </w:p>
    <w:p w14:paraId="65A63B5D" w14:textId="77777777" w:rsidR="00281889" w:rsidRPr="001E6FC4" w:rsidRDefault="00281889" w:rsidP="00281889">
      <w:pPr>
        <w:pStyle w:val="Bodytext21"/>
        <w:shd w:val="clear" w:color="auto" w:fill="auto"/>
        <w:spacing w:line="240" w:lineRule="auto"/>
        <w:ind w:firstLine="709"/>
        <w:rPr>
          <w:rFonts w:ascii="Times New Roman" w:hAnsi="Times New Roman" w:cs="Times New Roman"/>
          <w:sz w:val="24"/>
          <w:szCs w:val="24"/>
          <w:shd w:val="clear" w:color="auto" w:fill="FFFFFF"/>
        </w:rPr>
      </w:pPr>
    </w:p>
    <w:p w14:paraId="35404A02" w14:textId="77777777" w:rsidR="00281889" w:rsidRPr="001E6FC4" w:rsidRDefault="00281889" w:rsidP="00281889">
      <w:pPr>
        <w:pStyle w:val="Bodytext21"/>
        <w:shd w:val="clear" w:color="auto" w:fill="auto"/>
        <w:spacing w:line="240" w:lineRule="auto"/>
        <w:ind w:firstLine="709"/>
        <w:rPr>
          <w:rFonts w:ascii="Times New Roman" w:hAnsi="Times New Roman" w:cs="Times New Roman"/>
          <w:sz w:val="24"/>
          <w:szCs w:val="24"/>
          <w:shd w:val="clear" w:color="auto" w:fill="FFFFFF"/>
        </w:rPr>
      </w:pPr>
      <w:r w:rsidRPr="001E6FC4">
        <w:rPr>
          <w:rFonts w:ascii="Times New Roman" w:hAnsi="Times New Roman" w:cs="Times New Roman"/>
          <w:sz w:val="24"/>
          <w:szCs w:val="24"/>
          <w:shd w:val="clear" w:color="auto" w:fill="FFFFFF"/>
        </w:rPr>
        <w:t>OCTA likuma 14.panta otrā, 2.</w:t>
      </w:r>
      <w:r w:rsidRPr="001E6FC4">
        <w:rPr>
          <w:rFonts w:ascii="Times New Roman" w:hAnsi="Times New Roman" w:cs="Times New Roman"/>
          <w:sz w:val="24"/>
          <w:szCs w:val="24"/>
          <w:shd w:val="clear" w:color="auto" w:fill="FFFFFF"/>
          <w:vertAlign w:val="superscript"/>
        </w:rPr>
        <w:t>1</w:t>
      </w:r>
      <w:r w:rsidRPr="001E6FC4">
        <w:rPr>
          <w:rFonts w:ascii="Times New Roman" w:hAnsi="Times New Roman" w:cs="Times New Roman"/>
          <w:sz w:val="24"/>
          <w:szCs w:val="24"/>
          <w:shd w:val="clear" w:color="auto" w:fill="FFFFFF"/>
        </w:rPr>
        <w:t>, trešā un ceturtā daļa, tās skatot kopā ar OCTA likuma 51.panta trešās daļas 2.punktu, paredz:</w:t>
      </w:r>
    </w:p>
    <w:p w14:paraId="7E6405CA" w14:textId="77777777" w:rsidR="00281889" w:rsidRPr="001E6FC4" w:rsidRDefault="00281889" w:rsidP="00281889">
      <w:pPr>
        <w:pStyle w:val="Bodytext21"/>
        <w:numPr>
          <w:ilvl w:val="0"/>
          <w:numId w:val="10"/>
        </w:numPr>
        <w:shd w:val="clear" w:color="auto" w:fill="auto"/>
        <w:tabs>
          <w:tab w:val="left" w:pos="993"/>
        </w:tabs>
        <w:spacing w:line="240" w:lineRule="auto"/>
        <w:ind w:left="0" w:firstLine="709"/>
        <w:rPr>
          <w:rFonts w:ascii="Times New Roman" w:hAnsi="Times New Roman" w:cs="Times New Roman"/>
          <w:sz w:val="24"/>
          <w:szCs w:val="24"/>
          <w:shd w:val="clear" w:color="auto" w:fill="FFFFFF"/>
        </w:rPr>
      </w:pPr>
      <w:r w:rsidRPr="001E6FC4">
        <w:rPr>
          <w:rFonts w:ascii="Times New Roman" w:hAnsi="Times New Roman" w:cs="Times New Roman"/>
          <w:sz w:val="24"/>
          <w:szCs w:val="24"/>
          <w:shd w:val="clear" w:color="auto" w:fill="FFFFFF"/>
        </w:rPr>
        <w:t>apdrošināšanas sabiedrības un LTAB kā Garantijas fonda administrētāja iespējamo Satversmes 105.panta pirmajā teikumā noteikto tiesību uz īpašumu ierobežojumu saistībā ar to, ka apdrošinātājiem ar likumu noteikts pienākums piešķirt atlaides noteiktam personu lokam, bet LTAB ir uzlikts pienākums tās kompensēt no Garantijas fonda;</w:t>
      </w:r>
    </w:p>
    <w:p w14:paraId="5E3F1922" w14:textId="77777777" w:rsidR="00281889" w:rsidRPr="001E6FC4" w:rsidRDefault="00281889" w:rsidP="00281889">
      <w:pPr>
        <w:pStyle w:val="Bodytext21"/>
        <w:numPr>
          <w:ilvl w:val="0"/>
          <w:numId w:val="10"/>
        </w:numPr>
        <w:shd w:val="clear" w:color="auto" w:fill="auto"/>
        <w:tabs>
          <w:tab w:val="left" w:pos="993"/>
        </w:tabs>
        <w:spacing w:line="240" w:lineRule="auto"/>
        <w:ind w:left="0" w:firstLine="709"/>
        <w:rPr>
          <w:rFonts w:ascii="Times New Roman" w:hAnsi="Times New Roman" w:cs="Times New Roman"/>
          <w:sz w:val="24"/>
          <w:szCs w:val="24"/>
          <w:shd w:val="clear" w:color="auto" w:fill="FFFFFF"/>
        </w:rPr>
      </w:pPr>
      <w:r w:rsidRPr="001E6FC4">
        <w:rPr>
          <w:rFonts w:ascii="Times New Roman" w:hAnsi="Times New Roman" w:cs="Times New Roman"/>
          <w:sz w:val="24"/>
          <w:szCs w:val="24"/>
          <w:shd w:val="clear" w:color="auto" w:fill="FFFFFF"/>
        </w:rPr>
        <w:t>citu apdrošinājuma ņēmēju, no kuru apdrošināšanas prēmijām, apdrošināšanas sabiedrības veic atskaitījumus Garantijas fondā, iespējamo Satversmes 105.panta pirmajā teikumā noteikto tiesību uz īpašumu ierobežojumu;</w:t>
      </w:r>
    </w:p>
    <w:p w14:paraId="35B405D8" w14:textId="77777777" w:rsidR="00281889" w:rsidRPr="001E6FC4" w:rsidRDefault="00281889" w:rsidP="00281889">
      <w:pPr>
        <w:pStyle w:val="Bodytext21"/>
        <w:numPr>
          <w:ilvl w:val="0"/>
          <w:numId w:val="10"/>
        </w:numPr>
        <w:shd w:val="clear" w:color="auto" w:fill="auto"/>
        <w:tabs>
          <w:tab w:val="left" w:pos="993"/>
        </w:tabs>
        <w:spacing w:line="240" w:lineRule="auto"/>
        <w:ind w:left="0" w:firstLine="709"/>
        <w:rPr>
          <w:rFonts w:ascii="Times New Roman" w:hAnsi="Times New Roman" w:cs="Times New Roman"/>
          <w:sz w:val="24"/>
          <w:szCs w:val="24"/>
          <w:shd w:val="clear" w:color="auto" w:fill="FFFFFF"/>
        </w:rPr>
      </w:pPr>
      <w:r w:rsidRPr="001E6FC4">
        <w:rPr>
          <w:rFonts w:ascii="Times New Roman" w:hAnsi="Times New Roman" w:cs="Times New Roman"/>
          <w:sz w:val="24"/>
          <w:szCs w:val="24"/>
          <w:shd w:val="clear" w:color="auto" w:fill="FFFFFF"/>
        </w:rPr>
        <w:t>pašu apdrošinājuma ņēmēju, kuriem tiek piešķirtas OCTA likuma 14.panta otrajā un trešajā daļā minētās atlaides, iespējamo Satversmes 91.pantā noteikto tiesību ierobežojumu saistībā ar to, ka lielāka atlaide pienākas tiem apdrošinājuma ņēmējiem, kuriem ir sliktāka apdrošināšanas vēsture, jo tiek noteikta lielāka apdrošināšanas prēmija un attiecīgi arī veidojas lielāka atlaide;</w:t>
      </w:r>
    </w:p>
    <w:p w14:paraId="5650F6CD" w14:textId="77777777" w:rsidR="00281889" w:rsidRPr="001E6FC4" w:rsidRDefault="00281889" w:rsidP="00281889">
      <w:pPr>
        <w:pStyle w:val="Bodytext21"/>
        <w:shd w:val="clear" w:color="auto" w:fill="auto"/>
        <w:tabs>
          <w:tab w:val="left" w:pos="709"/>
        </w:tabs>
        <w:spacing w:line="240" w:lineRule="auto"/>
        <w:ind w:firstLine="709"/>
        <w:rPr>
          <w:rFonts w:ascii="Times New Roman" w:hAnsi="Times New Roman" w:cs="Times New Roman"/>
          <w:sz w:val="24"/>
          <w:szCs w:val="24"/>
          <w:shd w:val="clear" w:color="auto" w:fill="FFFFFF"/>
        </w:rPr>
      </w:pPr>
      <w:r w:rsidRPr="001E6FC4">
        <w:rPr>
          <w:rFonts w:ascii="Times New Roman" w:hAnsi="Times New Roman" w:cs="Times New Roman"/>
          <w:sz w:val="24"/>
          <w:szCs w:val="24"/>
          <w:shd w:val="clear" w:color="auto" w:fill="FFFFFF"/>
        </w:rPr>
        <w:lastRenderedPageBreak/>
        <w:t xml:space="preserve">Līdz ar to ir jāveic pirmsšķietamais izvērtējums un atbilstība Satversmei, identificējot iespējamos riskus. To, vai iepriekš minētās tiesību normas atbilst vai neatbilst Satversmei, pilnībā var izvērtēt tikai un vienīgi Latvijas Republikas Satversmes tiesa. Tomēr tas neatbrīvo institūcijas no pienākuma pašām veikt pirmsšķietamu visu risku izvērtējumu.  </w:t>
      </w:r>
    </w:p>
    <w:p w14:paraId="7B18ED50" w14:textId="77777777" w:rsidR="00281889" w:rsidRPr="001E6FC4" w:rsidRDefault="00281889" w:rsidP="00281889">
      <w:pPr>
        <w:pStyle w:val="Bodytext21"/>
        <w:shd w:val="clear" w:color="auto" w:fill="auto"/>
        <w:spacing w:line="240" w:lineRule="auto"/>
        <w:ind w:firstLine="601"/>
        <w:rPr>
          <w:rFonts w:ascii="Times New Roman" w:hAnsi="Times New Roman" w:cs="Times New Roman"/>
          <w:b/>
          <w:bCs/>
          <w:sz w:val="24"/>
          <w:szCs w:val="24"/>
        </w:rPr>
      </w:pPr>
    </w:p>
    <w:p w14:paraId="065503E9" w14:textId="77777777" w:rsidR="00281889" w:rsidRPr="001E6FC4" w:rsidRDefault="00281889" w:rsidP="00281889">
      <w:pPr>
        <w:pStyle w:val="Bodytext21"/>
        <w:shd w:val="clear" w:color="auto" w:fill="auto"/>
        <w:spacing w:line="240" w:lineRule="auto"/>
        <w:ind w:firstLine="601"/>
        <w:rPr>
          <w:rFonts w:ascii="Times New Roman" w:hAnsi="Times New Roman" w:cs="Times New Roman"/>
          <w:sz w:val="24"/>
          <w:szCs w:val="24"/>
          <w:shd w:val="clear" w:color="auto" w:fill="FFFFFF"/>
        </w:rPr>
      </w:pPr>
      <w:r w:rsidRPr="001E6FC4">
        <w:rPr>
          <w:rFonts w:ascii="Times New Roman" w:hAnsi="Times New Roman" w:cs="Times New Roman"/>
          <w:b/>
          <w:bCs/>
          <w:sz w:val="24"/>
          <w:szCs w:val="24"/>
        </w:rPr>
        <w:t>Satversmes 91.pants paredz</w:t>
      </w:r>
      <w:r w:rsidRPr="001E6FC4">
        <w:rPr>
          <w:rFonts w:ascii="Times New Roman" w:hAnsi="Times New Roman" w:cs="Times New Roman"/>
          <w:sz w:val="24"/>
          <w:szCs w:val="24"/>
        </w:rPr>
        <w:t>, ka “</w:t>
      </w:r>
      <w:r w:rsidRPr="001E6FC4">
        <w:rPr>
          <w:rFonts w:ascii="Times New Roman" w:hAnsi="Times New Roman" w:cs="Times New Roman"/>
          <w:sz w:val="24"/>
          <w:szCs w:val="24"/>
          <w:shd w:val="clear" w:color="auto" w:fill="FFFFFF"/>
        </w:rPr>
        <w:t>Visi cilvēki Latvijā ir vienlīdzīgi likuma un tiesas priekšā. Cilvēka tiesības tiek īstenotas bez jebkādas diskriminācijas.”</w:t>
      </w:r>
    </w:p>
    <w:p w14:paraId="0683C037" w14:textId="77777777" w:rsidR="00281889" w:rsidRPr="001E6FC4" w:rsidRDefault="00281889" w:rsidP="00281889">
      <w:pPr>
        <w:pStyle w:val="Bodytext21"/>
        <w:shd w:val="clear" w:color="auto" w:fill="auto"/>
        <w:spacing w:line="240" w:lineRule="auto"/>
        <w:ind w:firstLine="601"/>
        <w:rPr>
          <w:rFonts w:ascii="Times New Roman" w:hAnsi="Times New Roman" w:cs="Times New Roman"/>
          <w:sz w:val="24"/>
          <w:szCs w:val="24"/>
        </w:rPr>
      </w:pPr>
      <w:r w:rsidRPr="001E6FC4">
        <w:rPr>
          <w:rFonts w:ascii="Times New Roman" w:hAnsi="Times New Roman" w:cs="Times New Roman"/>
          <w:sz w:val="24"/>
          <w:szCs w:val="24"/>
        </w:rPr>
        <w:t>Tajā ir ietverts tiesiskās vienlīdzības princips, kas garantē vienotas tiesiskās kārtības pastāvēšanu. Tā uzdevums ir nodrošināt, lai tiktu īstenota tāda tiesiskas valsts prasība kā likuma aptveroša ietekme uz visām personām un lai likums tiktu piemērots bez jebkādām privilēģijām.</w:t>
      </w:r>
      <w:r w:rsidRPr="001E6FC4">
        <w:rPr>
          <w:rStyle w:val="FootnoteReference"/>
          <w:rFonts w:ascii="Times New Roman" w:hAnsi="Times New Roman" w:cs="Times New Roman"/>
          <w:sz w:val="24"/>
          <w:szCs w:val="24"/>
        </w:rPr>
        <w:footnoteReference w:id="12"/>
      </w:r>
      <w:r w:rsidRPr="001E6FC4">
        <w:rPr>
          <w:rFonts w:ascii="Times New Roman" w:hAnsi="Times New Roman" w:cs="Times New Roman"/>
          <w:sz w:val="24"/>
          <w:szCs w:val="24"/>
        </w:rPr>
        <w:t xml:space="preserve"> </w:t>
      </w:r>
    </w:p>
    <w:p w14:paraId="0771A4CC" w14:textId="77777777" w:rsidR="00281889" w:rsidRPr="001E6FC4" w:rsidRDefault="00281889" w:rsidP="00281889">
      <w:pPr>
        <w:pStyle w:val="Bodytext21"/>
        <w:shd w:val="clear" w:color="auto" w:fill="auto"/>
        <w:spacing w:line="240" w:lineRule="auto"/>
        <w:ind w:firstLine="601"/>
        <w:rPr>
          <w:rFonts w:ascii="Times New Roman" w:hAnsi="Times New Roman" w:cs="Times New Roman"/>
          <w:sz w:val="24"/>
          <w:szCs w:val="24"/>
        </w:rPr>
      </w:pPr>
      <w:r w:rsidRPr="001E6FC4">
        <w:rPr>
          <w:rFonts w:ascii="Times New Roman" w:hAnsi="Times New Roman" w:cs="Times New Roman"/>
          <w:sz w:val="24"/>
          <w:szCs w:val="24"/>
        </w:rPr>
        <w:t>Likumā nav iespējams noregulēt katras personas konkrēto situāciju, tomēr likumam būtu jānodrošina pietiekami diferencēta attieksme, lai tā norma atšķirīgā tiesiskā un faktiskā situācijā neizraisītu neatbilstību Satversmes 91. panta pirmajā teikumā ietvertajam tiesiskās vienlīdzības principam.</w:t>
      </w:r>
      <w:r w:rsidRPr="001E6FC4">
        <w:rPr>
          <w:rStyle w:val="FootnoteReference"/>
          <w:rFonts w:ascii="Times New Roman" w:hAnsi="Times New Roman" w:cs="Times New Roman"/>
          <w:sz w:val="24"/>
          <w:szCs w:val="24"/>
        </w:rPr>
        <w:footnoteReference w:id="13"/>
      </w:r>
      <w:r w:rsidRPr="001E6FC4">
        <w:rPr>
          <w:rFonts w:ascii="Times New Roman" w:hAnsi="Times New Roman" w:cs="Times New Roman"/>
          <w:sz w:val="24"/>
          <w:szCs w:val="24"/>
        </w:rPr>
        <w:t xml:space="preserve"> </w:t>
      </w:r>
    </w:p>
    <w:p w14:paraId="2DCBDD09" w14:textId="77777777" w:rsidR="00281889" w:rsidRPr="001E6FC4" w:rsidRDefault="00281889" w:rsidP="00281889">
      <w:pPr>
        <w:pStyle w:val="Bodytext21"/>
        <w:shd w:val="clear" w:color="auto" w:fill="auto"/>
        <w:spacing w:line="240" w:lineRule="auto"/>
        <w:ind w:firstLine="601"/>
        <w:rPr>
          <w:rFonts w:ascii="Times New Roman" w:hAnsi="Times New Roman" w:cs="Times New Roman"/>
          <w:sz w:val="24"/>
          <w:szCs w:val="24"/>
        </w:rPr>
      </w:pPr>
      <w:r w:rsidRPr="001E6FC4">
        <w:rPr>
          <w:rFonts w:ascii="Times New Roman" w:hAnsi="Times New Roman" w:cs="Times New Roman"/>
          <w:sz w:val="24"/>
          <w:szCs w:val="24"/>
        </w:rPr>
        <w:t>Tiesiskās vienlīdzības princips liedz valsts institūcijām izdot tādas normas, kas bez saprātīga pamata pieļauj atšķirīgu attieksmi pret personām, kuras atrodas vienādos un pēc noteiktiem kritērijiem salīdzināmos apstākļos.</w:t>
      </w:r>
      <w:r w:rsidRPr="001E6FC4">
        <w:rPr>
          <w:rStyle w:val="FootnoteReference"/>
          <w:rFonts w:ascii="Times New Roman" w:hAnsi="Times New Roman" w:cs="Times New Roman"/>
          <w:sz w:val="24"/>
          <w:szCs w:val="24"/>
        </w:rPr>
        <w:footnoteReference w:id="14"/>
      </w:r>
      <w:r w:rsidRPr="001E6FC4">
        <w:rPr>
          <w:rFonts w:ascii="Times New Roman" w:hAnsi="Times New Roman" w:cs="Times New Roman"/>
          <w:sz w:val="24"/>
          <w:szCs w:val="24"/>
        </w:rPr>
        <w:t xml:space="preserve"> Tikai tad, ja tiek konstatēts, ka pastāv objektīvs un saprātīgs pamats, tiesiskās vienlīdzības princips pieļauj atšķirīgu attieksmi pret personām, kas atrodas vienādos apstākļos, vai vienādu attieksmi pret personām, kas atrodas atšķirīgos apstākļos.</w:t>
      </w:r>
      <w:r w:rsidRPr="001E6FC4">
        <w:rPr>
          <w:rStyle w:val="FootnoteReference"/>
          <w:rFonts w:ascii="Times New Roman" w:hAnsi="Times New Roman" w:cs="Times New Roman"/>
          <w:sz w:val="24"/>
          <w:szCs w:val="24"/>
        </w:rPr>
        <w:footnoteReference w:id="15"/>
      </w:r>
      <w:r w:rsidRPr="001E6FC4">
        <w:rPr>
          <w:rFonts w:ascii="Times New Roman" w:hAnsi="Times New Roman" w:cs="Times New Roman"/>
          <w:sz w:val="24"/>
          <w:szCs w:val="24"/>
        </w:rPr>
        <w:t xml:space="preserve"> Atbilstoši OCTA likumam visas personas, kas iegādājas polisi, ir vienādos apstākļos, tomēr šā likuma 14.panta otrā un trešā daļa paredz atšķirīgu attieksmi pret tām. Lai izvērtētu, vai šādai atšķirīgai attieksmei ir leģitīms mērķis un ievērots samērīguma princips, jāņem vērā turpmāk minētais. Pirmkārt, minētajām tiesību normām, iespējams, ir leģitīms mērķis vismaz daļā par personām ar invaliditāti, un šis mērķis varētu būt sabiedrības labklājības nodrošināšana. Ar OCTA likuma 14.panta otrajā daļā paredzēto līdzekli – atlaidi – šo mērķi kopumā var sasniegt, tomēr jāvērtē, vai nepastāv saudzējošāki risinājumi un atlaižu piešķiršanas pienākuma uzlikšana nerada nesamērīgu slogu apdrošinātājam, salīdzinot ar sabiedrības ieguvumu.</w:t>
      </w:r>
      <w:r w:rsidRPr="001E6FC4">
        <w:rPr>
          <w:rStyle w:val="FootnoteReference"/>
          <w:rFonts w:ascii="Times New Roman" w:hAnsi="Times New Roman" w:cs="Times New Roman"/>
          <w:sz w:val="24"/>
          <w:szCs w:val="24"/>
        </w:rPr>
        <w:footnoteReference w:id="16"/>
      </w:r>
      <w:r w:rsidRPr="001E6FC4">
        <w:rPr>
          <w:rFonts w:ascii="Times New Roman" w:hAnsi="Times New Roman" w:cs="Times New Roman"/>
          <w:sz w:val="24"/>
          <w:szCs w:val="24"/>
        </w:rPr>
        <w:t xml:space="preserve"> </w:t>
      </w:r>
    </w:p>
    <w:p w14:paraId="00EB5B38" w14:textId="77777777" w:rsidR="00281889" w:rsidRPr="001E6FC4" w:rsidRDefault="00281889" w:rsidP="00281889">
      <w:pPr>
        <w:pStyle w:val="Bodytext21"/>
        <w:shd w:val="clear" w:color="auto" w:fill="auto"/>
        <w:spacing w:line="240" w:lineRule="auto"/>
        <w:ind w:firstLine="601"/>
        <w:rPr>
          <w:rFonts w:ascii="Times New Roman" w:hAnsi="Times New Roman" w:cs="Times New Roman"/>
          <w:sz w:val="24"/>
          <w:szCs w:val="24"/>
        </w:rPr>
      </w:pPr>
      <w:r w:rsidRPr="001E6FC4">
        <w:rPr>
          <w:rFonts w:ascii="Times New Roman" w:hAnsi="Times New Roman" w:cs="Times New Roman"/>
          <w:sz w:val="24"/>
          <w:szCs w:val="24"/>
        </w:rPr>
        <w:t>Ja analizē iepriekš pieminētās OCTA likuma normas, vērtējot to iespējamo atbilstību attiecīgajiem samērīguma principa pārbaudes testa elementiem, var nonākt pie šādiem secinājumiem:</w:t>
      </w:r>
    </w:p>
    <w:p w14:paraId="6017289E" w14:textId="77777777" w:rsidR="00281889" w:rsidRPr="001E6FC4" w:rsidRDefault="00281889" w:rsidP="00281889">
      <w:pPr>
        <w:pStyle w:val="Bodytext21"/>
        <w:numPr>
          <w:ilvl w:val="0"/>
          <w:numId w:val="11"/>
        </w:numPr>
        <w:shd w:val="clear" w:color="auto" w:fill="auto"/>
        <w:spacing w:line="240" w:lineRule="auto"/>
        <w:rPr>
          <w:rFonts w:ascii="Times New Roman" w:hAnsi="Times New Roman" w:cs="Times New Roman"/>
          <w:sz w:val="24"/>
          <w:szCs w:val="24"/>
          <w:shd w:val="clear" w:color="auto" w:fill="FFFFFF"/>
        </w:rPr>
      </w:pPr>
      <w:r w:rsidRPr="001E6FC4">
        <w:rPr>
          <w:rFonts w:ascii="Times New Roman" w:hAnsi="Times New Roman" w:cs="Times New Roman"/>
          <w:b/>
          <w:bCs/>
          <w:sz w:val="24"/>
          <w:szCs w:val="24"/>
        </w:rPr>
        <w:t>privilēģijas (atlaides) tiek piešķirtas nevis visiem uzņēmumiem, bet tikai lauksaimniekiem</w:t>
      </w:r>
      <w:r w:rsidRPr="001E6FC4">
        <w:rPr>
          <w:rFonts w:ascii="Times New Roman" w:hAnsi="Times New Roman" w:cs="Times New Roman"/>
          <w:sz w:val="24"/>
          <w:szCs w:val="24"/>
        </w:rPr>
        <w:t xml:space="preserve">, nenodrošinot vienotu tiesisko kārtību starp lielajiem un mazajiem lauksaimniekiem, no vienas puses,  pretstatā citiem uzņēmējiem un pašnodarbinātajām personām, no otras puses. </w:t>
      </w:r>
      <w:r w:rsidRPr="001E6FC4">
        <w:rPr>
          <w:rFonts w:ascii="Times New Roman" w:hAnsi="Times New Roman" w:cs="Times New Roman"/>
          <w:sz w:val="24"/>
          <w:szCs w:val="24"/>
          <w:u w:val="single"/>
        </w:rPr>
        <w:t>Nav saprotams, piemēram, ar ko lielie zemnieki būtu vairāk atbalstāmi par citās nozarēs strādājošajiem maziem un vidējiem uzņēmumiem, vai pašnodarbinātajiem</w:t>
      </w:r>
      <w:r w:rsidRPr="001E6FC4">
        <w:rPr>
          <w:rFonts w:ascii="Times New Roman" w:hAnsi="Times New Roman" w:cs="Times New Roman"/>
          <w:sz w:val="24"/>
          <w:szCs w:val="24"/>
        </w:rPr>
        <w:t>;</w:t>
      </w:r>
    </w:p>
    <w:p w14:paraId="737E14DB" w14:textId="77777777" w:rsidR="00281889" w:rsidRPr="001E6FC4" w:rsidRDefault="00281889" w:rsidP="00281889">
      <w:pPr>
        <w:pStyle w:val="Bodytext21"/>
        <w:numPr>
          <w:ilvl w:val="0"/>
          <w:numId w:val="11"/>
        </w:numPr>
        <w:shd w:val="clear" w:color="auto" w:fill="auto"/>
        <w:spacing w:line="240" w:lineRule="auto"/>
        <w:rPr>
          <w:rFonts w:ascii="Times New Roman" w:hAnsi="Times New Roman" w:cs="Times New Roman"/>
          <w:sz w:val="24"/>
          <w:szCs w:val="24"/>
          <w:shd w:val="clear" w:color="auto" w:fill="FFFFFF"/>
        </w:rPr>
      </w:pPr>
      <w:r w:rsidRPr="001E6FC4">
        <w:rPr>
          <w:rFonts w:ascii="Times New Roman" w:hAnsi="Times New Roman" w:cs="Times New Roman"/>
          <w:b/>
          <w:bCs/>
          <w:sz w:val="24"/>
          <w:szCs w:val="24"/>
        </w:rPr>
        <w:t xml:space="preserve">grūti atrast objektīvus un sapratīgus argumentus tam, kas pamatotu to, kāpēc tiek pieļauta atšķirīga attieksme un paši apdrošinājuma ņēmēji tiek nostādīti </w:t>
      </w:r>
      <w:r w:rsidRPr="001E6FC4">
        <w:rPr>
          <w:rFonts w:ascii="Times New Roman" w:hAnsi="Times New Roman" w:cs="Times New Roman"/>
          <w:b/>
          <w:bCs/>
          <w:sz w:val="24"/>
          <w:szCs w:val="24"/>
        </w:rPr>
        <w:lastRenderedPageBreak/>
        <w:t>nevienlīdzīgā situācijā</w:t>
      </w:r>
      <w:r w:rsidRPr="001E6FC4">
        <w:rPr>
          <w:rFonts w:ascii="Times New Roman" w:hAnsi="Times New Roman" w:cs="Times New Roman"/>
          <w:sz w:val="24"/>
          <w:szCs w:val="24"/>
        </w:rPr>
        <w:t xml:space="preserve"> – gan attiecībā uz tiem, kam piešķir atlaidi (lielāka atlaide tam, kuram sliktāka braukšanas vēsture</w:t>
      </w:r>
      <w:r w:rsidRPr="001E6FC4">
        <w:rPr>
          <w:rStyle w:val="FootnoteReference"/>
          <w:rFonts w:ascii="Times New Roman" w:hAnsi="Times New Roman" w:cs="Times New Roman"/>
          <w:sz w:val="24"/>
          <w:szCs w:val="24"/>
        </w:rPr>
        <w:footnoteReference w:id="17"/>
      </w:r>
      <w:r w:rsidRPr="001E6FC4">
        <w:rPr>
          <w:rFonts w:ascii="Times New Roman" w:hAnsi="Times New Roman" w:cs="Times New Roman"/>
          <w:sz w:val="24"/>
          <w:szCs w:val="24"/>
        </w:rPr>
        <w:t>), gan attiecībā uz to, ka šīs atlaides tiek segtas no citu apdrošinājumu ņēmēju saņemtajām apdrošināšanas prēmijām;</w:t>
      </w:r>
    </w:p>
    <w:p w14:paraId="46F30A99" w14:textId="77777777" w:rsidR="00281889" w:rsidRPr="001E6FC4" w:rsidRDefault="00281889" w:rsidP="00281889">
      <w:pPr>
        <w:pStyle w:val="Bodytext21"/>
        <w:numPr>
          <w:ilvl w:val="0"/>
          <w:numId w:val="11"/>
        </w:numPr>
        <w:shd w:val="clear" w:color="auto" w:fill="auto"/>
        <w:spacing w:line="240" w:lineRule="auto"/>
        <w:rPr>
          <w:rFonts w:ascii="Times New Roman" w:hAnsi="Times New Roman" w:cs="Times New Roman"/>
          <w:sz w:val="24"/>
          <w:szCs w:val="24"/>
          <w:shd w:val="clear" w:color="auto" w:fill="FFFFFF"/>
        </w:rPr>
      </w:pPr>
      <w:r w:rsidRPr="001E6FC4">
        <w:rPr>
          <w:rFonts w:ascii="Times New Roman" w:hAnsi="Times New Roman" w:cs="Times New Roman"/>
          <w:b/>
          <w:bCs/>
          <w:sz w:val="24"/>
          <w:szCs w:val="24"/>
        </w:rPr>
        <w:t>tiek uzlikts liels administratīvais un finansiālais slogs tikai vienam komercdarbības veidam – OCTA nozarei.</w:t>
      </w:r>
      <w:r w:rsidRPr="001E6FC4">
        <w:rPr>
          <w:rFonts w:ascii="Times New Roman" w:hAnsi="Times New Roman" w:cs="Times New Roman"/>
          <w:sz w:val="24"/>
          <w:szCs w:val="24"/>
        </w:rPr>
        <w:t xml:space="preserve"> Grūti atrast citu piemēru Latvijas tiesību sistēmā, kur vēl kādam komercdarbības veidam ar likumu būtu noteikts, ka jāpiešķir būtiskas atlaides daļai personu vai saimnieciskās darbības veicēju.</w:t>
      </w:r>
    </w:p>
    <w:p w14:paraId="74EA5EEE" w14:textId="77777777" w:rsidR="00281889" w:rsidRPr="001E6FC4" w:rsidRDefault="00281889" w:rsidP="00281889">
      <w:pPr>
        <w:pStyle w:val="Bodytext21"/>
        <w:shd w:val="clear" w:color="auto" w:fill="auto"/>
        <w:spacing w:line="240" w:lineRule="auto"/>
        <w:ind w:firstLine="601"/>
        <w:rPr>
          <w:rFonts w:ascii="Times New Roman" w:hAnsi="Times New Roman" w:cs="Times New Roman"/>
          <w:sz w:val="24"/>
          <w:szCs w:val="24"/>
          <w:shd w:val="clear" w:color="auto" w:fill="FFFFFF"/>
        </w:rPr>
      </w:pPr>
    </w:p>
    <w:p w14:paraId="5E48B803" w14:textId="77777777" w:rsidR="00281889" w:rsidRPr="001E6FC4" w:rsidRDefault="00281889" w:rsidP="00281889">
      <w:pPr>
        <w:spacing w:after="0" w:line="240" w:lineRule="auto"/>
        <w:ind w:firstLine="601"/>
        <w:jc w:val="both"/>
        <w:rPr>
          <w:rFonts w:ascii="Times New Roman" w:hAnsi="Times New Roman" w:cs="Times New Roman"/>
          <w:sz w:val="24"/>
          <w:szCs w:val="24"/>
        </w:rPr>
      </w:pPr>
      <w:r w:rsidRPr="001E6FC4">
        <w:rPr>
          <w:rFonts w:ascii="Times New Roman" w:hAnsi="Times New Roman" w:cs="Times New Roman"/>
          <w:b/>
          <w:bCs/>
          <w:sz w:val="24"/>
          <w:szCs w:val="24"/>
        </w:rPr>
        <w:t>Satversmes 105.pants paredz</w:t>
      </w:r>
      <w:r w:rsidRPr="001E6FC4">
        <w:rPr>
          <w:rFonts w:ascii="Times New Roman" w:hAnsi="Times New Roman" w:cs="Times New Roman"/>
          <w:sz w:val="24"/>
          <w:szCs w:val="24"/>
        </w:rPr>
        <w:t>, ka “Ikvienam ir tiesības uz īpašumu. Īpašumu nedrīkst izmantot pretēji sabiedrības interesēm. Īpašuma tiesības var ierobežot vienīgi saskaņā ar likumu. Īpašuma piespiedu atsavināšana sabiedrības vajadzībām pieļaujama tikai izņēmuma gadījumos uz atsevišķa likuma pamata pret taisnīgu atlīdzību.” Satversmes 105.pants paredz visaptverošu mantiska rakstura tiesību garantiju un neaprobežojas vienīgi ar īpašuma tiesībām. Ar "tiesībām uz īpašumu" saprotamas visas mantiska rakstura tiesības, kuras tiesīgā persona var izlietot par labu sev un ar kurām tā var rīkoties pēc savas gribas.</w:t>
      </w:r>
      <w:r w:rsidRPr="001E6FC4">
        <w:rPr>
          <w:rStyle w:val="FootnoteReference"/>
          <w:rFonts w:ascii="Times New Roman" w:hAnsi="Times New Roman" w:cs="Times New Roman"/>
          <w:sz w:val="24"/>
          <w:szCs w:val="24"/>
        </w:rPr>
        <w:footnoteReference w:id="18"/>
      </w:r>
      <w:r w:rsidRPr="001E6FC4">
        <w:rPr>
          <w:rFonts w:ascii="Times New Roman" w:hAnsi="Times New Roman" w:cs="Times New Roman"/>
          <w:sz w:val="24"/>
          <w:szCs w:val="24"/>
        </w:rPr>
        <w:t xml:space="preserve"> Personas ekonomiskās intereses, kas saistītas ar komercdarbības veikšanu, arī ietilpst Satversmes 105.panta pirmā teikuma tvērumā.</w:t>
      </w:r>
      <w:r w:rsidRPr="001E6FC4">
        <w:rPr>
          <w:rStyle w:val="FootnoteReference"/>
          <w:rFonts w:ascii="Times New Roman" w:hAnsi="Times New Roman" w:cs="Times New Roman"/>
          <w:sz w:val="24"/>
          <w:szCs w:val="24"/>
        </w:rPr>
        <w:footnoteReference w:id="19"/>
      </w:r>
      <w:r w:rsidRPr="001E6FC4">
        <w:rPr>
          <w:rFonts w:ascii="Times New Roman" w:hAnsi="Times New Roman" w:cs="Times New Roman"/>
          <w:sz w:val="24"/>
          <w:szCs w:val="24"/>
        </w:rPr>
        <w:t xml:space="preserve"> </w:t>
      </w:r>
    </w:p>
    <w:p w14:paraId="26C82621" w14:textId="77777777" w:rsidR="00281889" w:rsidRPr="001E6FC4" w:rsidRDefault="00281889" w:rsidP="00281889">
      <w:pPr>
        <w:spacing w:after="0" w:line="240" w:lineRule="auto"/>
        <w:ind w:firstLine="709"/>
        <w:jc w:val="both"/>
        <w:rPr>
          <w:rFonts w:ascii="Times New Roman" w:hAnsi="Times New Roman" w:cs="Times New Roman"/>
          <w:sz w:val="24"/>
          <w:szCs w:val="24"/>
        </w:rPr>
      </w:pPr>
    </w:p>
    <w:p w14:paraId="676B8E10" w14:textId="77777777" w:rsidR="00281889" w:rsidRPr="001E6FC4" w:rsidRDefault="00281889" w:rsidP="00281889">
      <w:pPr>
        <w:spacing w:after="0" w:line="240" w:lineRule="auto"/>
        <w:ind w:firstLine="709"/>
        <w:jc w:val="both"/>
        <w:rPr>
          <w:rFonts w:ascii="Times New Roman" w:hAnsi="Times New Roman" w:cs="Times New Roman"/>
          <w:sz w:val="24"/>
          <w:szCs w:val="24"/>
        </w:rPr>
      </w:pPr>
      <w:r w:rsidRPr="001E6FC4">
        <w:rPr>
          <w:rFonts w:ascii="Times New Roman" w:hAnsi="Times New Roman" w:cs="Times New Roman"/>
          <w:sz w:val="24"/>
          <w:szCs w:val="24"/>
        </w:rPr>
        <w:t>Ja analizē iepriekš pieminētās OCTA likuma normas, vērtējot to iespējamo atbilstību Satversmes 105.pantam, secināms, ka OCTA nozarē strādājošo apdrošināšanas sabiedrību, kā arī LTAB kā Garantijas fonda administrētāja ekonomiskās intereses tiek ierobežotas brīdī, kad tiek piešķirtas atlaides OCTA likumā noteiktajam personu lokam un kad tās tiek kompensētas no Garantijas fonda. Ir arī ierobežotas ci</w:t>
      </w:r>
      <w:r w:rsidRPr="001E6FC4">
        <w:rPr>
          <w:rFonts w:ascii="Times New Roman" w:hAnsi="Times New Roman" w:cs="Times New Roman"/>
          <w:sz w:val="24"/>
          <w:szCs w:val="24"/>
          <w:shd w:val="clear" w:color="auto" w:fill="FFFFFF"/>
        </w:rPr>
        <w:t>tu apdrošinājuma ņēmēju, no kuru apdrošināšanas prēmijām, apdrošināšanas sabiedrības veic atskaitījumus Garantijas fondā</w:t>
      </w:r>
      <w:r w:rsidRPr="001E6FC4">
        <w:rPr>
          <w:rFonts w:ascii="Times New Roman" w:hAnsi="Times New Roman" w:cs="Times New Roman"/>
          <w:sz w:val="24"/>
          <w:szCs w:val="24"/>
        </w:rPr>
        <w:t xml:space="preserve"> brīdī, kad apdrošināšanas sabiedrība līguma noslēgšanas brīdī aprēķina OCTA prēmiju</w:t>
      </w:r>
      <w:r w:rsidRPr="001E6FC4">
        <w:rPr>
          <w:rStyle w:val="FootnoteReference"/>
          <w:rFonts w:ascii="Times New Roman" w:hAnsi="Times New Roman" w:cs="Times New Roman"/>
          <w:sz w:val="24"/>
          <w:szCs w:val="24"/>
        </w:rPr>
        <w:footnoteReference w:id="20"/>
      </w:r>
      <w:r w:rsidRPr="001E6FC4">
        <w:rPr>
          <w:rFonts w:ascii="Times New Roman" w:hAnsi="Times New Roman" w:cs="Times New Roman"/>
          <w:sz w:val="24"/>
          <w:szCs w:val="24"/>
        </w:rPr>
        <w:t>.</w:t>
      </w:r>
    </w:p>
    <w:p w14:paraId="2435DFFE" w14:textId="77777777" w:rsidR="00281889" w:rsidRPr="001E6FC4" w:rsidRDefault="00281889" w:rsidP="00281889">
      <w:pPr>
        <w:spacing w:after="0" w:line="240" w:lineRule="auto"/>
        <w:ind w:firstLine="709"/>
        <w:jc w:val="both"/>
        <w:rPr>
          <w:rFonts w:ascii="Times New Roman" w:hAnsi="Times New Roman" w:cs="Times New Roman"/>
          <w:sz w:val="24"/>
          <w:szCs w:val="24"/>
        </w:rPr>
      </w:pPr>
      <w:r w:rsidRPr="001E6FC4">
        <w:rPr>
          <w:rFonts w:ascii="Times New Roman" w:hAnsi="Times New Roman" w:cs="Times New Roman"/>
          <w:sz w:val="24"/>
          <w:szCs w:val="24"/>
        </w:rPr>
        <w:t xml:space="preserve">Kā atzinusi Satversmes tiesa, nozīmīga loma </w:t>
      </w:r>
      <w:r w:rsidRPr="001E6FC4">
        <w:rPr>
          <w:rStyle w:val="highlight"/>
          <w:rFonts w:ascii="Times New Roman" w:hAnsi="Times New Roman" w:cs="Times New Roman"/>
          <w:sz w:val="24"/>
          <w:szCs w:val="24"/>
        </w:rPr>
        <w:t>OCTA</w:t>
      </w:r>
      <w:r w:rsidRPr="001E6FC4">
        <w:rPr>
          <w:rFonts w:ascii="Times New Roman" w:hAnsi="Times New Roman" w:cs="Times New Roman"/>
          <w:sz w:val="24"/>
          <w:szCs w:val="24"/>
        </w:rPr>
        <w:t xml:space="preserve"> sistēmas efektīvas darbības nodrošināšanā ir apdrošinātājam, kuram ir tiesības veikt transportlīdzekļa īpašnieka vai tiesīgā lietotāja civiltiesiskās atbildības apdrošināšanu, un tādēļ likumdevējam ir jāizvēlas tādi līdzekļi, kas iespējami mazāk ierobežotu apdrošinātā tiesības un intereses, turklāt neuzliekot nesamērīgi lielu slogu apdrošinātājam.</w:t>
      </w:r>
    </w:p>
    <w:p w14:paraId="41DEE77E" w14:textId="77777777" w:rsidR="00281889" w:rsidRPr="001E6FC4" w:rsidRDefault="00281889" w:rsidP="00281889">
      <w:pPr>
        <w:pStyle w:val="Bodytext21"/>
        <w:shd w:val="clear" w:color="auto" w:fill="auto"/>
        <w:spacing w:line="240" w:lineRule="auto"/>
        <w:ind w:firstLine="709"/>
        <w:rPr>
          <w:rFonts w:ascii="Times New Roman" w:hAnsi="Times New Roman" w:cs="Times New Roman"/>
          <w:sz w:val="24"/>
          <w:szCs w:val="24"/>
          <w:shd w:val="clear" w:color="auto" w:fill="FFFFFF"/>
        </w:rPr>
      </w:pPr>
      <w:r w:rsidRPr="001E6FC4">
        <w:rPr>
          <w:rFonts w:ascii="Times New Roman" w:hAnsi="Times New Roman" w:cs="Times New Roman"/>
          <w:sz w:val="24"/>
          <w:szCs w:val="24"/>
        </w:rPr>
        <w:t>Arī taisnīguma princips prasa panākt iespējami taisnīgāku līdzsvaru starp dažādu sabiedrības locekļu pretrunīgajām interesēm.</w:t>
      </w:r>
      <w:r w:rsidRPr="001E6FC4">
        <w:rPr>
          <w:rStyle w:val="FootnoteReference"/>
          <w:rFonts w:ascii="Times New Roman" w:hAnsi="Times New Roman" w:cs="Times New Roman"/>
          <w:sz w:val="24"/>
          <w:szCs w:val="24"/>
        </w:rPr>
        <w:footnoteReference w:id="21"/>
      </w:r>
      <w:r w:rsidRPr="001E6FC4">
        <w:rPr>
          <w:rFonts w:ascii="Times New Roman" w:hAnsi="Times New Roman" w:cs="Times New Roman"/>
          <w:sz w:val="24"/>
          <w:szCs w:val="24"/>
        </w:rPr>
        <w:t xml:space="preserve"> Privātpersonai attiecībā pret citu privātpersonu sociālajā jomā nevar uzlikt tādus pašus pienākumus kā valstij attiecībā ar privātpersonu, un šo pieeju Satversmes tiesa īpaši akcentēja gadījumos, kad saduras divu personu grupu intereses, no kurām vienai par labu noteikts mantisks pienākums pret otru (piemēram, nodrošināt mājokli vai saņemt mazāk naudas par nomu – lietās, kurās izstrādāti principi valsts sociālo funkciju pārnešanas </w:t>
      </w:r>
      <w:r w:rsidRPr="001E6FC4">
        <w:rPr>
          <w:rFonts w:ascii="Times New Roman" w:hAnsi="Times New Roman" w:cs="Times New Roman"/>
          <w:sz w:val="24"/>
          <w:szCs w:val="24"/>
        </w:rPr>
        <w:lastRenderedPageBreak/>
        <w:t>pieļaujamībai uz privātpersonu).</w:t>
      </w:r>
      <w:r w:rsidRPr="001E6FC4">
        <w:rPr>
          <w:rStyle w:val="FootnoteReference"/>
          <w:rFonts w:ascii="Times New Roman" w:hAnsi="Times New Roman" w:cs="Times New Roman"/>
          <w:sz w:val="24"/>
          <w:szCs w:val="24"/>
        </w:rPr>
        <w:footnoteReference w:id="22"/>
      </w:r>
      <w:r w:rsidRPr="001E6FC4">
        <w:rPr>
          <w:rFonts w:ascii="Times New Roman" w:hAnsi="Times New Roman" w:cs="Times New Roman"/>
          <w:sz w:val="24"/>
          <w:szCs w:val="24"/>
        </w:rPr>
        <w:t xml:space="preserve"> </w:t>
      </w:r>
    </w:p>
    <w:p w14:paraId="1F63ACE9" w14:textId="77777777" w:rsidR="00281889" w:rsidRPr="001E6FC4" w:rsidRDefault="00281889" w:rsidP="00281889">
      <w:pPr>
        <w:pStyle w:val="Bodytext21"/>
        <w:spacing w:line="240" w:lineRule="auto"/>
        <w:ind w:firstLine="720"/>
        <w:rPr>
          <w:rFonts w:ascii="Times New Roman" w:hAnsi="Times New Roman" w:cs="Times New Roman"/>
          <w:sz w:val="24"/>
          <w:szCs w:val="24"/>
          <w:shd w:val="clear" w:color="auto" w:fill="FFFFFF"/>
        </w:rPr>
      </w:pPr>
      <w:r w:rsidRPr="001E6FC4">
        <w:rPr>
          <w:rFonts w:ascii="Times New Roman" w:hAnsi="Times New Roman" w:cs="Times New Roman"/>
          <w:sz w:val="24"/>
          <w:szCs w:val="24"/>
          <w:shd w:val="clear" w:color="auto" w:fill="FFFFFF"/>
        </w:rPr>
        <w:t xml:space="preserve">OCTA likuma 14.panta otrā un trešā daļa pašas par sevi neizriet no OCTA mērķiem, bet gan saistītas ar valsts noteiktu sociālo funkciju. Šis uzdevums ir valsts atbildība, un tās nav samērīgi finansēt un nodrošināt citām privātpersonām, tostarp no Garantijas fonda līdzekļiem, kuru uzkrāšanai un izlietošanai ir pavisam cits mērķis. </w:t>
      </w:r>
      <w:r w:rsidRPr="001E6FC4">
        <w:rPr>
          <w:rFonts w:ascii="Times New Roman" w:hAnsi="Times New Roman" w:cs="Times New Roman"/>
          <w:sz w:val="24"/>
          <w:szCs w:val="24"/>
        </w:rPr>
        <w:t xml:space="preserve">Turklāt ne visas grupas, kas minētas </w:t>
      </w:r>
      <w:r w:rsidRPr="001E6FC4">
        <w:rPr>
          <w:rFonts w:ascii="Times New Roman" w:hAnsi="Times New Roman" w:cs="Times New Roman"/>
          <w:sz w:val="24"/>
          <w:szCs w:val="24"/>
          <w:shd w:val="clear" w:color="auto" w:fill="FFFFFF"/>
        </w:rPr>
        <w:t xml:space="preserve">OCTA likuma 14.panta otrajā vai trešajā daļā, ir sociāli atbalstāmas. Tie var būt arī komersanti ar miljoniem lielu gada apgrozījumu. Turklāt, jo sliktāka bijusi apdrošināmā rīcība ceļu satiksmē, jo polise ir dārgāka un atlaide – lielāka. Šāda pieeja izjauc to līdzsvaru, ko likumdevējam prasa nodrošināt taisnīguma princips. </w:t>
      </w:r>
    </w:p>
    <w:p w14:paraId="4DED1BD8" w14:textId="77777777" w:rsidR="00281889" w:rsidRPr="001E6FC4" w:rsidRDefault="00281889" w:rsidP="00281889">
      <w:pPr>
        <w:pStyle w:val="Bodytext21"/>
        <w:spacing w:line="240" w:lineRule="auto"/>
        <w:ind w:firstLine="720"/>
        <w:rPr>
          <w:rFonts w:ascii="Times New Roman" w:hAnsi="Times New Roman" w:cs="Times New Roman"/>
          <w:sz w:val="24"/>
          <w:szCs w:val="24"/>
          <w:shd w:val="clear" w:color="auto" w:fill="FFFFFF"/>
        </w:rPr>
      </w:pPr>
      <w:r w:rsidRPr="001E6FC4">
        <w:rPr>
          <w:rFonts w:ascii="Times New Roman" w:hAnsi="Times New Roman" w:cs="Times New Roman"/>
          <w:sz w:val="24"/>
          <w:szCs w:val="24"/>
          <w:shd w:val="clear" w:color="auto" w:fill="FFFFFF"/>
        </w:rPr>
        <w:t xml:space="preserve">Līdz ar to valstij pastāv alternatīvi līdzekļi, tostarp izmantojot nodokļu politiku un sociālo palīdzību, lai mērķēti sasniegtu grupas, kurām nepieciešams atbalsts, tostarp, OCTA iegādei vai šo līdzekļu pilnīgai vai daļējai kompensēšanai. Turklāt apdrošinātājiem </w:t>
      </w:r>
      <w:r w:rsidRPr="001E6FC4">
        <w:rPr>
          <w:rFonts w:ascii="Times New Roman" w:hAnsi="Times New Roman" w:cs="Times New Roman"/>
          <w:sz w:val="24"/>
          <w:szCs w:val="24"/>
        </w:rPr>
        <w:t xml:space="preserve">tiek uzlikts liels administratīvais un finansiālais slogs, lai gan leģitīmo mērķi var sasniegt ar indivīda tiesības mazāk ierobežojošiem līdzekļiem, piemēram, sniedzot atbalstu caur valsts budžetu, nevis no vienas privātpersonu grupas līdzekļiem citām privātpersonām. Šāda valsts iejaukšanās, turklāt nav atbilstoša  OCTA direktīvai (ja atlaides tiek kompensētas no Garantijas fonda), </w:t>
      </w:r>
      <w:r w:rsidRPr="001E6FC4">
        <w:rPr>
          <w:rFonts w:ascii="Times New Roman" w:hAnsi="Times New Roman" w:cs="Times New Roman"/>
          <w:sz w:val="24"/>
          <w:szCs w:val="24"/>
          <w:shd w:val="clear" w:color="auto" w:fill="FFFFFF"/>
        </w:rPr>
        <w:t xml:space="preserve">ES </w:t>
      </w:r>
      <w:r w:rsidRPr="001E6FC4">
        <w:rPr>
          <w:rFonts w:ascii="Times New Roman" w:hAnsi="Times New Roman" w:cs="Times New Roman"/>
          <w:sz w:val="24"/>
          <w:szCs w:val="24"/>
        </w:rPr>
        <w:t xml:space="preserve">direktīvai 2009/138/EK (Maksātspēja II) </w:t>
      </w:r>
      <w:r w:rsidRPr="001E6FC4">
        <w:rPr>
          <w:rFonts w:ascii="Times New Roman" w:hAnsi="Times New Roman" w:cs="Times New Roman"/>
          <w:sz w:val="24"/>
          <w:szCs w:val="24"/>
          <w:shd w:val="clear" w:color="auto" w:fill="FFFFFF"/>
        </w:rPr>
        <w:t xml:space="preserve">(ja apdrošināšanas sabiedrībām ir uzlikts pienākums piešķirt atlaides, jo netieši valsts iejaucas apdrošināšanas prēmijas apmēra noteikšanas politikā) un </w:t>
      </w:r>
      <w:r w:rsidRPr="001E6FC4">
        <w:rPr>
          <w:rFonts w:ascii="Times New Roman" w:hAnsi="Times New Roman" w:cs="Times New Roman"/>
          <w:sz w:val="24"/>
          <w:szCs w:val="24"/>
        </w:rPr>
        <w:t>EST judikatūrai par to, ka valsts nevar iejaukties apdrošināšanas prēmijas apmēra noteikšanas politikā, turklāt no ierobežojuma labumu gūst nevis visa sabiedrība kopumā, bet  tiek izceltas tikai divas atsevišķas sabiedrības grupas, nenodrošinot Satversmes 91.pantā garantētās tiesības uz vienlīdzību.</w:t>
      </w:r>
    </w:p>
    <w:p w14:paraId="1C5205F6" w14:textId="77777777" w:rsidR="00281889" w:rsidRPr="001E6FC4" w:rsidRDefault="00281889" w:rsidP="00281889">
      <w:pPr>
        <w:rPr>
          <w:rFonts w:ascii="Times New Roman" w:hAnsi="Times New Roman" w:cs="Times New Roman"/>
          <w:sz w:val="24"/>
          <w:szCs w:val="24"/>
        </w:rPr>
      </w:pPr>
    </w:p>
    <w:p w14:paraId="701A57C9" w14:textId="43C7471C" w:rsidR="00281889" w:rsidRPr="001E6FC4" w:rsidRDefault="00281889" w:rsidP="00E33B40">
      <w:pPr>
        <w:spacing w:after="0"/>
        <w:jc w:val="right"/>
        <w:rPr>
          <w:rFonts w:ascii="Times New Roman" w:hAnsi="Times New Roman" w:cs="Times New Roman"/>
          <w:sz w:val="24"/>
          <w:szCs w:val="24"/>
        </w:rPr>
      </w:pPr>
      <w:r w:rsidRPr="001E6FC4">
        <w:rPr>
          <w:rFonts w:ascii="Times New Roman" w:hAnsi="Times New Roman" w:cs="Times New Roman"/>
          <w:sz w:val="24"/>
          <w:szCs w:val="24"/>
        </w:rPr>
        <w:br w:type="page"/>
      </w:r>
      <w:r w:rsidRPr="001E6FC4">
        <w:rPr>
          <w:rFonts w:ascii="Times New Roman" w:hAnsi="Times New Roman" w:cs="Times New Roman"/>
          <w:sz w:val="24"/>
          <w:szCs w:val="24"/>
        </w:rPr>
        <w:lastRenderedPageBreak/>
        <w:t xml:space="preserve">2.pielikums </w:t>
      </w:r>
    </w:p>
    <w:p w14:paraId="3FFDF18F" w14:textId="77777777" w:rsidR="00281889" w:rsidRPr="001E6FC4" w:rsidRDefault="00281889" w:rsidP="00E33B40">
      <w:pPr>
        <w:spacing w:after="0"/>
        <w:ind w:left="357"/>
        <w:jc w:val="right"/>
        <w:rPr>
          <w:rFonts w:ascii="Times New Roman" w:hAnsi="Times New Roman" w:cs="Times New Roman"/>
          <w:color w:val="000000"/>
          <w:sz w:val="24"/>
          <w:szCs w:val="24"/>
        </w:rPr>
      </w:pPr>
      <w:r w:rsidRPr="001E6FC4">
        <w:rPr>
          <w:rFonts w:ascii="Times New Roman" w:hAnsi="Times New Roman" w:cs="Times New Roman"/>
          <w:color w:val="000000"/>
          <w:sz w:val="24"/>
          <w:szCs w:val="24"/>
        </w:rPr>
        <w:t xml:space="preserve">biedrības “Latvijas Transportlīdzekļu apdrošinātāju birojs” </w:t>
      </w:r>
    </w:p>
    <w:p w14:paraId="0390765B" w14:textId="5BDB881A" w:rsidR="00281889" w:rsidRPr="001E6FC4" w:rsidRDefault="00281889" w:rsidP="00E33B40">
      <w:pPr>
        <w:spacing w:after="0"/>
        <w:ind w:left="357"/>
        <w:jc w:val="right"/>
        <w:rPr>
          <w:rFonts w:ascii="Times New Roman" w:hAnsi="Times New Roman" w:cs="Times New Roman"/>
          <w:sz w:val="24"/>
          <w:szCs w:val="24"/>
        </w:rPr>
      </w:pPr>
      <w:r w:rsidRPr="001E6FC4">
        <w:rPr>
          <w:rFonts w:ascii="Times New Roman" w:hAnsi="Times New Roman" w:cs="Times New Roman"/>
          <w:color w:val="000000"/>
          <w:sz w:val="24"/>
          <w:szCs w:val="24"/>
        </w:rPr>
        <w:t>13.09.2021. vēstulei</w:t>
      </w:r>
    </w:p>
    <w:p w14:paraId="10013167" w14:textId="77777777" w:rsidR="00281889" w:rsidRPr="001E6FC4" w:rsidRDefault="00281889" w:rsidP="00281889">
      <w:pPr>
        <w:spacing w:after="0"/>
        <w:ind w:left="357"/>
        <w:jc w:val="right"/>
        <w:rPr>
          <w:rFonts w:ascii="Times New Roman" w:hAnsi="Times New Roman" w:cs="Times New Roman"/>
          <w:b/>
          <w:bCs/>
          <w:sz w:val="24"/>
          <w:szCs w:val="24"/>
        </w:rPr>
      </w:pPr>
    </w:p>
    <w:p w14:paraId="72717C2B" w14:textId="60ADB89E" w:rsidR="00281889" w:rsidRPr="001E6FC4" w:rsidRDefault="00281889" w:rsidP="00281889">
      <w:pPr>
        <w:jc w:val="center"/>
        <w:rPr>
          <w:rFonts w:ascii="Times New Roman" w:hAnsi="Times New Roman" w:cs="Times New Roman"/>
          <w:b/>
          <w:bCs/>
          <w:sz w:val="24"/>
          <w:szCs w:val="24"/>
        </w:rPr>
      </w:pPr>
      <w:r w:rsidRPr="001E6FC4">
        <w:rPr>
          <w:rFonts w:ascii="Times New Roman" w:hAnsi="Times New Roman" w:cs="Times New Roman"/>
          <w:b/>
          <w:bCs/>
          <w:sz w:val="24"/>
          <w:szCs w:val="24"/>
        </w:rPr>
        <w:t xml:space="preserve">Piedāvātie risinājumi – rīcības modeļi turpmākajai rīcībai </w:t>
      </w:r>
    </w:p>
    <w:p w14:paraId="06B57C67" w14:textId="77777777" w:rsidR="00281889" w:rsidRPr="001E6FC4" w:rsidRDefault="00281889" w:rsidP="00281889">
      <w:pPr>
        <w:spacing w:after="0" w:line="240" w:lineRule="auto"/>
        <w:ind w:firstLine="720"/>
        <w:jc w:val="both"/>
        <w:rPr>
          <w:rFonts w:ascii="Times New Roman" w:eastAsia="Calibri" w:hAnsi="Times New Roman" w:cs="Times New Roman"/>
          <w:sz w:val="24"/>
          <w:szCs w:val="24"/>
          <w:shd w:val="clear" w:color="auto" w:fill="FFFFFF"/>
        </w:rPr>
      </w:pPr>
      <w:r w:rsidRPr="001E6FC4">
        <w:rPr>
          <w:rFonts w:ascii="Times New Roman" w:eastAsia="Calibri" w:hAnsi="Times New Roman" w:cs="Times New Roman"/>
          <w:b/>
          <w:bCs/>
          <w:sz w:val="24"/>
          <w:szCs w:val="24"/>
          <w:shd w:val="clear" w:color="auto" w:fill="FFFFFF"/>
        </w:rPr>
        <w:t xml:space="preserve">1.rīcības modelis </w:t>
      </w:r>
      <w:r w:rsidRPr="001E6FC4">
        <w:rPr>
          <w:rFonts w:ascii="Times New Roman" w:eastAsia="Calibri" w:hAnsi="Times New Roman" w:cs="Times New Roman"/>
          <w:sz w:val="24"/>
          <w:szCs w:val="24"/>
          <w:shd w:val="clear" w:color="auto" w:fill="FFFFFF"/>
        </w:rPr>
        <w:t>– paliek spēkā atlaides personām ar invaliditāti un lauksaimniekiem, un tās tiek kompensētas no Garantijas fonda kā līdz šim (skat. 1.grafiku).</w:t>
      </w:r>
    </w:p>
    <w:p w14:paraId="7B723BC7" w14:textId="77777777" w:rsidR="00281889" w:rsidRPr="001E6FC4" w:rsidRDefault="00281889" w:rsidP="00281889">
      <w:pPr>
        <w:spacing w:after="0" w:line="240" w:lineRule="auto"/>
        <w:ind w:firstLine="720"/>
        <w:jc w:val="both"/>
        <w:rPr>
          <w:rFonts w:ascii="Times New Roman" w:eastAsia="Calibri" w:hAnsi="Times New Roman" w:cs="Times New Roman"/>
          <w:sz w:val="24"/>
          <w:szCs w:val="24"/>
          <w:shd w:val="clear" w:color="auto" w:fill="FFFFFF"/>
        </w:rPr>
      </w:pPr>
    </w:p>
    <w:p w14:paraId="686C429E" w14:textId="77777777" w:rsidR="00281889" w:rsidRPr="001E6FC4" w:rsidRDefault="00281889" w:rsidP="00281889">
      <w:pPr>
        <w:spacing w:after="0" w:line="240" w:lineRule="auto"/>
        <w:ind w:firstLine="720"/>
        <w:jc w:val="both"/>
        <w:rPr>
          <w:rFonts w:ascii="Times New Roman" w:eastAsia="Calibri" w:hAnsi="Times New Roman" w:cs="Times New Roman"/>
          <w:sz w:val="24"/>
          <w:szCs w:val="24"/>
          <w:shd w:val="clear" w:color="auto" w:fill="FFFFFF"/>
        </w:rPr>
      </w:pPr>
    </w:p>
    <w:p w14:paraId="1C449505" w14:textId="77777777" w:rsidR="00281889" w:rsidRPr="001E6FC4" w:rsidRDefault="00281889" w:rsidP="00281889">
      <w:pPr>
        <w:spacing w:after="0" w:line="240" w:lineRule="auto"/>
        <w:ind w:firstLine="720"/>
        <w:jc w:val="both"/>
        <w:rPr>
          <w:rFonts w:ascii="Times New Roman" w:eastAsia="Calibri" w:hAnsi="Times New Roman" w:cs="Times New Roman"/>
          <w:sz w:val="24"/>
          <w:szCs w:val="24"/>
          <w:shd w:val="clear" w:color="auto" w:fill="FFFFFF"/>
        </w:rPr>
      </w:pPr>
      <w:r w:rsidRPr="001E6FC4">
        <w:rPr>
          <w:rFonts w:ascii="Times New Roman" w:eastAsia="Calibri" w:hAnsi="Times New Roman" w:cs="Times New Roman"/>
          <w:sz w:val="24"/>
          <w:szCs w:val="24"/>
          <w:shd w:val="clear" w:color="auto" w:fill="FFFFFF"/>
        </w:rPr>
        <w:t xml:space="preserve"> 1.grafiks</w:t>
      </w:r>
    </w:p>
    <w:p w14:paraId="0E15B0B1" w14:textId="77777777" w:rsidR="00281889" w:rsidRPr="001E6FC4" w:rsidRDefault="00281889" w:rsidP="00281889">
      <w:pPr>
        <w:spacing w:after="0" w:line="240" w:lineRule="auto"/>
        <w:ind w:firstLine="720"/>
        <w:jc w:val="both"/>
        <w:rPr>
          <w:rFonts w:ascii="Times New Roman" w:eastAsia="Calibri" w:hAnsi="Times New Roman" w:cs="Times New Roman"/>
          <w:sz w:val="24"/>
          <w:szCs w:val="24"/>
          <w:shd w:val="clear" w:color="auto" w:fill="FFFFFF"/>
        </w:rPr>
      </w:pPr>
    </w:p>
    <w:p w14:paraId="712841E7" w14:textId="77777777" w:rsidR="00281889" w:rsidRPr="001E6FC4" w:rsidRDefault="00281889" w:rsidP="00281889">
      <w:pPr>
        <w:spacing w:after="0" w:line="240" w:lineRule="auto"/>
        <w:ind w:firstLine="720"/>
        <w:jc w:val="both"/>
        <w:rPr>
          <w:rFonts w:ascii="Times New Roman" w:eastAsia="Calibri" w:hAnsi="Times New Roman" w:cs="Times New Roman"/>
          <w:sz w:val="24"/>
          <w:szCs w:val="24"/>
          <w:shd w:val="clear" w:color="auto" w:fill="FFFFFF"/>
        </w:rPr>
      </w:pPr>
      <w:r w:rsidRPr="001E6FC4">
        <w:rPr>
          <w:rFonts w:ascii="Times New Roman" w:eastAsia="Calibri" w:hAnsi="Times New Roman" w:cs="Times New Roman"/>
          <w:noProof/>
          <w:sz w:val="24"/>
          <w:szCs w:val="24"/>
          <w:shd w:val="clear" w:color="auto" w:fill="FFFFFF"/>
        </w:rPr>
        <w:drawing>
          <wp:anchor distT="0" distB="0" distL="114300" distR="114300" simplePos="0" relativeHeight="251659264" behindDoc="1" locked="0" layoutInCell="1" allowOverlap="1" wp14:anchorId="6120DAA3" wp14:editId="44708378">
            <wp:simplePos x="0" y="0"/>
            <wp:positionH relativeFrom="column">
              <wp:posOffset>-4445</wp:posOffset>
            </wp:positionH>
            <wp:positionV relativeFrom="paragraph">
              <wp:posOffset>-1270</wp:posOffset>
            </wp:positionV>
            <wp:extent cx="6845167" cy="2870200"/>
            <wp:effectExtent l="0" t="0" r="0" b="6350"/>
            <wp:wrapTight wrapText="bothSides">
              <wp:wrapPolygon edited="0">
                <wp:start x="0" y="0"/>
                <wp:lineTo x="0" y="21504"/>
                <wp:lineTo x="21522" y="21504"/>
                <wp:lineTo x="21522" y="0"/>
                <wp:lineTo x="0" y="0"/>
              </wp:wrapPolygon>
            </wp:wrapTight>
            <wp:docPr id="4" name="Picture 4" descr="Chart, waterfall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waterfall chart&#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6845167" cy="2870200"/>
                    </a:xfrm>
                    <a:prstGeom prst="rect">
                      <a:avLst/>
                    </a:prstGeom>
                  </pic:spPr>
                </pic:pic>
              </a:graphicData>
            </a:graphic>
            <wp14:sizeRelH relativeFrom="page">
              <wp14:pctWidth>0</wp14:pctWidth>
            </wp14:sizeRelH>
            <wp14:sizeRelV relativeFrom="page">
              <wp14:pctHeight>0</wp14:pctHeight>
            </wp14:sizeRelV>
          </wp:anchor>
        </w:drawing>
      </w:r>
    </w:p>
    <w:p w14:paraId="30751F53" w14:textId="77777777" w:rsidR="00281889" w:rsidRPr="001E6FC4" w:rsidRDefault="00281889" w:rsidP="00281889">
      <w:pPr>
        <w:spacing w:after="120" w:line="240" w:lineRule="auto"/>
        <w:ind w:firstLine="720"/>
        <w:jc w:val="both"/>
        <w:rPr>
          <w:rFonts w:ascii="Times New Roman" w:eastAsia="Calibri" w:hAnsi="Times New Roman" w:cs="Times New Roman"/>
          <w:b/>
          <w:bCs/>
          <w:sz w:val="24"/>
          <w:szCs w:val="24"/>
          <w:shd w:val="clear" w:color="auto" w:fill="FFFFFF"/>
        </w:rPr>
      </w:pPr>
      <w:r w:rsidRPr="001E6FC4">
        <w:rPr>
          <w:rFonts w:ascii="Times New Roman" w:eastAsia="Calibri" w:hAnsi="Times New Roman" w:cs="Times New Roman"/>
          <w:b/>
          <w:bCs/>
          <w:sz w:val="24"/>
          <w:szCs w:val="24"/>
          <w:shd w:val="clear" w:color="auto" w:fill="FFFFFF"/>
        </w:rPr>
        <w:t>Tiesiskās sekas:</w:t>
      </w:r>
    </w:p>
    <w:p w14:paraId="183F75EB" w14:textId="77777777" w:rsidR="00281889" w:rsidRPr="001E6FC4" w:rsidRDefault="00281889" w:rsidP="00281889">
      <w:pPr>
        <w:numPr>
          <w:ilvl w:val="0"/>
          <w:numId w:val="3"/>
        </w:numPr>
        <w:spacing w:after="120" w:line="240" w:lineRule="auto"/>
        <w:jc w:val="both"/>
        <w:rPr>
          <w:rFonts w:ascii="Times New Roman" w:eastAsia="Calibri" w:hAnsi="Times New Roman" w:cs="Times New Roman"/>
          <w:sz w:val="24"/>
          <w:szCs w:val="24"/>
          <w:shd w:val="clear" w:color="auto" w:fill="FFFFFF"/>
        </w:rPr>
      </w:pPr>
      <w:r w:rsidRPr="001E6FC4">
        <w:rPr>
          <w:rFonts w:ascii="Times New Roman" w:eastAsia="Calibri" w:hAnsi="Times New Roman" w:cs="Times New Roman"/>
          <w:sz w:val="24"/>
          <w:szCs w:val="24"/>
          <w:shd w:val="clear" w:color="auto" w:fill="FFFFFF"/>
        </w:rPr>
        <w:t>neatbilstība Garantijas fonda izveides mērķim un OCTA direktīvai 2009/103/EK, direktīvai 2009/138/EK (Maksātspēja II) un iespējama neatbilstība Latvijas Republikas  Satversmes  (turpmāk – Satversme) 91. un 105.pantam;</w:t>
      </w:r>
    </w:p>
    <w:p w14:paraId="559B65C7" w14:textId="77777777" w:rsidR="00281889" w:rsidRPr="001E6FC4" w:rsidRDefault="00281889" w:rsidP="00281889">
      <w:pPr>
        <w:numPr>
          <w:ilvl w:val="0"/>
          <w:numId w:val="3"/>
        </w:numPr>
        <w:spacing w:after="120" w:line="240" w:lineRule="auto"/>
        <w:jc w:val="both"/>
        <w:rPr>
          <w:rFonts w:ascii="Times New Roman" w:eastAsia="Calibri" w:hAnsi="Times New Roman" w:cs="Times New Roman"/>
          <w:sz w:val="24"/>
          <w:szCs w:val="24"/>
          <w:shd w:val="clear" w:color="auto" w:fill="FFFFFF"/>
        </w:rPr>
      </w:pPr>
      <w:r w:rsidRPr="001E6FC4">
        <w:rPr>
          <w:rFonts w:ascii="Times New Roman" w:eastAsia="Calibri" w:hAnsi="Times New Roman" w:cs="Times New Roman"/>
          <w:sz w:val="24"/>
          <w:szCs w:val="24"/>
          <w:shd w:val="clear" w:color="auto" w:fill="FFFFFF"/>
        </w:rPr>
        <w:t>Garantijas fonda finansiālā stabilitāte nepārtraukti pakļauta riskam (samazinājumam), apdrošināšanas sabiedrībām praktiski nepārtraukti būs jāveic atskaitījumi divkāršā apmērā (4 gadu laikā atskaitījumu apmērs jau sasniegs 9 milj. EUR);</w:t>
      </w:r>
    </w:p>
    <w:p w14:paraId="459C5FFB" w14:textId="77777777" w:rsidR="00281889" w:rsidRPr="001E6FC4" w:rsidRDefault="00281889" w:rsidP="00281889">
      <w:pPr>
        <w:pStyle w:val="ListParagraph"/>
        <w:numPr>
          <w:ilvl w:val="0"/>
          <w:numId w:val="3"/>
        </w:numPr>
        <w:tabs>
          <w:tab w:val="left" w:pos="1276"/>
        </w:tabs>
        <w:spacing w:after="120" w:line="240" w:lineRule="auto"/>
        <w:ind w:left="1077" w:hanging="357"/>
        <w:contextualSpacing w:val="0"/>
        <w:jc w:val="both"/>
        <w:rPr>
          <w:rFonts w:ascii="Times New Roman" w:eastAsia="Calibri" w:hAnsi="Times New Roman" w:cs="Times New Roman"/>
          <w:bCs/>
          <w:sz w:val="24"/>
          <w:szCs w:val="24"/>
          <w:shd w:val="clear" w:color="auto" w:fill="FFFFFF"/>
        </w:rPr>
      </w:pPr>
      <w:r w:rsidRPr="001E6FC4">
        <w:rPr>
          <w:rFonts w:ascii="Times New Roman" w:eastAsia="Times New Roman" w:hAnsi="Times New Roman" w:cs="Times New Roman"/>
          <w:bCs/>
          <w:sz w:val="24"/>
          <w:szCs w:val="24"/>
        </w:rPr>
        <w:t xml:space="preserve">netiks novērsta līdz šim absurdā situācija, kad ar līdzšinējo atlaides mehānismu tiek vairāk atbalstīti sliktākie autovadītāji, kuriem ir sliktāka </w:t>
      </w:r>
      <w:r w:rsidRPr="001E6FC4">
        <w:rPr>
          <w:rFonts w:ascii="Times New Roman" w:eastAsia="Times New Roman" w:hAnsi="Times New Roman" w:cs="Times New Roman"/>
          <w:bCs/>
          <w:i/>
          <w:iCs/>
          <w:sz w:val="24"/>
          <w:szCs w:val="24"/>
        </w:rPr>
        <w:t>Bonus-Malus</w:t>
      </w:r>
      <w:r w:rsidRPr="001E6FC4">
        <w:rPr>
          <w:rFonts w:ascii="Times New Roman" w:eastAsia="Times New Roman" w:hAnsi="Times New Roman" w:cs="Times New Roman"/>
          <w:bCs/>
          <w:sz w:val="24"/>
          <w:szCs w:val="24"/>
        </w:rPr>
        <w:t xml:space="preserve"> klase (</w:t>
      </w:r>
      <w:r w:rsidRPr="001E6FC4">
        <w:rPr>
          <w:rFonts w:ascii="Times New Roman" w:hAnsi="Times New Roman" w:cs="Times New Roman"/>
          <w:bCs/>
          <w:sz w:val="24"/>
          <w:szCs w:val="24"/>
        </w:rPr>
        <w:t>jo sliktāka apdrošinājuma ņēmēja apdrošināšanas vēsture, jo lielāka apdrošināšanas prēmija, jo lielāka arī kompensējamā atlaide  no Garantijas fonda</w:t>
      </w:r>
      <w:r w:rsidRPr="001E6FC4">
        <w:rPr>
          <w:rFonts w:ascii="Times New Roman" w:eastAsia="Times New Roman" w:hAnsi="Times New Roman" w:cs="Times New Roman"/>
          <w:bCs/>
          <w:sz w:val="24"/>
          <w:szCs w:val="24"/>
        </w:rPr>
        <w:t>);</w:t>
      </w:r>
    </w:p>
    <w:p w14:paraId="1B1AEE1D" w14:textId="77777777" w:rsidR="00281889" w:rsidRPr="001E6FC4" w:rsidRDefault="00281889" w:rsidP="00281889">
      <w:pPr>
        <w:pStyle w:val="ListParagraph"/>
        <w:numPr>
          <w:ilvl w:val="0"/>
          <w:numId w:val="3"/>
        </w:numPr>
        <w:tabs>
          <w:tab w:val="left" w:pos="1276"/>
        </w:tabs>
        <w:spacing w:after="120" w:line="240" w:lineRule="auto"/>
        <w:ind w:left="1077" w:hanging="357"/>
        <w:contextualSpacing w:val="0"/>
        <w:jc w:val="both"/>
        <w:rPr>
          <w:rFonts w:ascii="Times New Roman" w:eastAsia="Calibri" w:hAnsi="Times New Roman" w:cs="Times New Roman"/>
          <w:bCs/>
          <w:sz w:val="24"/>
          <w:szCs w:val="24"/>
          <w:shd w:val="clear" w:color="auto" w:fill="FFFFFF"/>
        </w:rPr>
      </w:pPr>
      <w:r w:rsidRPr="001E6FC4">
        <w:rPr>
          <w:rFonts w:ascii="Times New Roman" w:eastAsia="Times New Roman" w:hAnsi="Times New Roman" w:cs="Times New Roman"/>
          <w:bCs/>
          <w:sz w:val="24"/>
          <w:szCs w:val="24"/>
        </w:rPr>
        <w:t xml:space="preserve">netiks mazināta sociālā nevienlīdzība pašu personu, kurām pienākas atlaides, un pārējo apdrošinājumu ņēmēju vidū, jo no visu apdrošinājumu ņēmēju apdrošināšanas </w:t>
      </w:r>
      <w:r w:rsidRPr="001E6FC4">
        <w:rPr>
          <w:rFonts w:ascii="Times New Roman" w:eastAsia="Times New Roman" w:hAnsi="Times New Roman" w:cs="Times New Roman"/>
          <w:bCs/>
          <w:sz w:val="24"/>
          <w:szCs w:val="24"/>
        </w:rPr>
        <w:lastRenderedPageBreak/>
        <w:t>prēmijām tiek veikti atskaitījumi Garantijas fondā, lai rastu finansiālo nodrošinājumu atlaižu kompensēšanai no Garantijas fonda;</w:t>
      </w:r>
    </w:p>
    <w:p w14:paraId="732D7E69" w14:textId="77777777" w:rsidR="00281889" w:rsidRPr="001E6FC4" w:rsidRDefault="00281889" w:rsidP="00281889">
      <w:pPr>
        <w:pStyle w:val="ListParagraph"/>
        <w:numPr>
          <w:ilvl w:val="0"/>
          <w:numId w:val="3"/>
        </w:numPr>
        <w:tabs>
          <w:tab w:val="left" w:pos="1276"/>
        </w:tabs>
        <w:spacing w:after="120" w:line="240" w:lineRule="auto"/>
        <w:ind w:left="1077" w:hanging="357"/>
        <w:contextualSpacing w:val="0"/>
        <w:jc w:val="both"/>
        <w:rPr>
          <w:rFonts w:ascii="Times New Roman" w:eastAsia="Calibri" w:hAnsi="Times New Roman" w:cs="Times New Roman"/>
          <w:sz w:val="24"/>
          <w:szCs w:val="24"/>
          <w:shd w:val="clear" w:color="auto" w:fill="FFFFFF"/>
        </w:rPr>
      </w:pPr>
      <w:r w:rsidRPr="001E6FC4">
        <w:rPr>
          <w:rFonts w:ascii="Times New Roman" w:eastAsia="Times New Roman" w:hAnsi="Times New Roman" w:cs="Times New Roman"/>
          <w:bCs/>
          <w:sz w:val="24"/>
          <w:szCs w:val="24"/>
        </w:rPr>
        <w:t xml:space="preserve">netiks nodrošināta tiesiskā vienlīdzība un novērsta </w:t>
      </w:r>
      <w:r w:rsidRPr="001E6FC4">
        <w:rPr>
          <w:rFonts w:ascii="Times New Roman" w:hAnsi="Times New Roman" w:cs="Times New Roman"/>
          <w:sz w:val="24"/>
          <w:szCs w:val="24"/>
        </w:rPr>
        <w:t>privileģētā attieksme pret atsevišķu saimnieciskās darbības veicēju grupu.</w:t>
      </w:r>
    </w:p>
    <w:p w14:paraId="335784F8" w14:textId="77777777" w:rsidR="00281889" w:rsidRPr="001E6FC4" w:rsidRDefault="00281889" w:rsidP="00281889">
      <w:pPr>
        <w:pStyle w:val="ListParagraph"/>
        <w:tabs>
          <w:tab w:val="left" w:pos="1276"/>
        </w:tabs>
        <w:spacing w:after="120" w:line="240" w:lineRule="auto"/>
        <w:ind w:left="1440"/>
        <w:jc w:val="both"/>
        <w:rPr>
          <w:rFonts w:ascii="Times New Roman" w:eastAsia="Calibri" w:hAnsi="Times New Roman" w:cs="Times New Roman"/>
          <w:sz w:val="24"/>
          <w:szCs w:val="24"/>
          <w:shd w:val="clear" w:color="auto" w:fill="FFFFFF"/>
        </w:rPr>
      </w:pPr>
    </w:p>
    <w:p w14:paraId="3F94FDA1" w14:textId="77777777" w:rsidR="00281889" w:rsidRPr="001E6FC4" w:rsidRDefault="00281889" w:rsidP="00281889">
      <w:pPr>
        <w:spacing w:after="0" w:line="240" w:lineRule="auto"/>
        <w:ind w:firstLine="720"/>
        <w:jc w:val="both"/>
        <w:rPr>
          <w:rFonts w:ascii="Times New Roman" w:eastAsia="Calibri" w:hAnsi="Times New Roman" w:cs="Times New Roman"/>
          <w:sz w:val="24"/>
          <w:szCs w:val="24"/>
          <w:shd w:val="clear" w:color="auto" w:fill="FFFFFF"/>
        </w:rPr>
      </w:pPr>
      <w:r w:rsidRPr="001E6FC4">
        <w:rPr>
          <w:rFonts w:ascii="Times New Roman" w:eastAsia="Calibri" w:hAnsi="Times New Roman" w:cs="Times New Roman"/>
          <w:b/>
          <w:bCs/>
          <w:sz w:val="24"/>
          <w:szCs w:val="24"/>
          <w:shd w:val="clear" w:color="auto" w:fill="FFFFFF"/>
        </w:rPr>
        <w:t xml:space="preserve">2. rīcības modelis - </w:t>
      </w:r>
      <w:r w:rsidRPr="001E6FC4">
        <w:rPr>
          <w:rFonts w:ascii="Times New Roman" w:eastAsia="Calibri" w:hAnsi="Times New Roman" w:cs="Times New Roman"/>
          <w:sz w:val="24"/>
          <w:szCs w:val="24"/>
          <w:shd w:val="clear" w:color="auto" w:fill="FFFFFF"/>
        </w:rPr>
        <w:t>atlaides personām ar invaliditāti un lauksaimniekiem tiek samazinātas uz pusi (attiecīgi 20% un 15%), un tās tiek kompensētas no Garantijas fonda (skat. 2.grafiku).</w:t>
      </w:r>
    </w:p>
    <w:p w14:paraId="51D2D3AB" w14:textId="77777777" w:rsidR="00281889" w:rsidRPr="001E6FC4" w:rsidRDefault="00281889" w:rsidP="00281889">
      <w:pPr>
        <w:spacing w:after="0" w:line="240" w:lineRule="auto"/>
        <w:ind w:firstLine="720"/>
        <w:jc w:val="both"/>
        <w:rPr>
          <w:rFonts w:ascii="Times New Roman" w:eastAsia="Calibri" w:hAnsi="Times New Roman" w:cs="Times New Roman"/>
          <w:sz w:val="24"/>
          <w:szCs w:val="24"/>
          <w:shd w:val="clear" w:color="auto" w:fill="FFFFFF"/>
        </w:rPr>
      </w:pPr>
    </w:p>
    <w:p w14:paraId="200F1A38" w14:textId="77777777" w:rsidR="00281889" w:rsidRPr="001E6FC4" w:rsidRDefault="00281889" w:rsidP="00281889">
      <w:pPr>
        <w:spacing w:after="0" w:line="240" w:lineRule="auto"/>
        <w:ind w:firstLine="720"/>
        <w:jc w:val="both"/>
        <w:rPr>
          <w:rFonts w:ascii="Times New Roman" w:eastAsia="Calibri" w:hAnsi="Times New Roman" w:cs="Times New Roman"/>
          <w:sz w:val="24"/>
          <w:szCs w:val="24"/>
          <w:shd w:val="clear" w:color="auto" w:fill="FFFFFF"/>
        </w:rPr>
      </w:pPr>
    </w:p>
    <w:p w14:paraId="7E6D9AAD" w14:textId="77777777" w:rsidR="00281889" w:rsidRPr="001E6FC4" w:rsidRDefault="00281889" w:rsidP="00281889">
      <w:pPr>
        <w:spacing w:after="0" w:line="240" w:lineRule="auto"/>
        <w:ind w:firstLine="720"/>
        <w:jc w:val="both"/>
        <w:rPr>
          <w:rFonts w:ascii="Times New Roman" w:eastAsia="Calibri" w:hAnsi="Times New Roman" w:cs="Times New Roman"/>
          <w:sz w:val="24"/>
          <w:szCs w:val="24"/>
          <w:shd w:val="clear" w:color="auto" w:fill="FFFFFF"/>
        </w:rPr>
      </w:pPr>
      <w:r w:rsidRPr="001E6FC4">
        <w:rPr>
          <w:rFonts w:ascii="Times New Roman" w:eastAsia="Calibri" w:hAnsi="Times New Roman" w:cs="Times New Roman"/>
          <w:sz w:val="24"/>
          <w:szCs w:val="24"/>
          <w:shd w:val="clear" w:color="auto" w:fill="FFFFFF"/>
        </w:rPr>
        <w:t>2.grafiks</w:t>
      </w:r>
    </w:p>
    <w:p w14:paraId="4DD3D1DD" w14:textId="77777777" w:rsidR="00281889" w:rsidRPr="001E6FC4" w:rsidRDefault="00281889" w:rsidP="00281889">
      <w:pPr>
        <w:spacing w:after="0" w:line="240" w:lineRule="auto"/>
        <w:ind w:firstLine="720"/>
        <w:jc w:val="both"/>
        <w:rPr>
          <w:rFonts w:ascii="Times New Roman" w:eastAsia="Calibri" w:hAnsi="Times New Roman" w:cs="Times New Roman"/>
          <w:sz w:val="24"/>
          <w:szCs w:val="24"/>
          <w:shd w:val="clear" w:color="auto" w:fill="FFFFFF"/>
        </w:rPr>
      </w:pPr>
      <w:r w:rsidRPr="001E6FC4">
        <w:rPr>
          <w:rFonts w:ascii="Times New Roman" w:eastAsia="Calibri" w:hAnsi="Times New Roman" w:cs="Times New Roman"/>
          <w:noProof/>
          <w:sz w:val="24"/>
          <w:szCs w:val="24"/>
          <w:shd w:val="clear" w:color="auto" w:fill="FFFFFF"/>
        </w:rPr>
        <w:drawing>
          <wp:anchor distT="0" distB="0" distL="114300" distR="114300" simplePos="0" relativeHeight="251661312" behindDoc="1" locked="0" layoutInCell="1" allowOverlap="1" wp14:anchorId="2B706DC8" wp14:editId="13306DAC">
            <wp:simplePos x="0" y="0"/>
            <wp:positionH relativeFrom="column">
              <wp:posOffset>86360</wp:posOffset>
            </wp:positionH>
            <wp:positionV relativeFrom="paragraph">
              <wp:posOffset>178435</wp:posOffset>
            </wp:positionV>
            <wp:extent cx="6309360" cy="2933700"/>
            <wp:effectExtent l="0" t="0" r="0" b="0"/>
            <wp:wrapTight wrapText="bothSides">
              <wp:wrapPolygon edited="0">
                <wp:start x="0" y="0"/>
                <wp:lineTo x="0" y="21460"/>
                <wp:lineTo x="21522" y="21460"/>
                <wp:lineTo x="21522" y="0"/>
                <wp:lineTo x="0" y="0"/>
              </wp:wrapPolygon>
            </wp:wrapTight>
            <wp:docPr id="10" name="Picture 10" descr="Chart, waterfall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hart, waterfall chart&#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6309360" cy="2933700"/>
                    </a:xfrm>
                    <a:prstGeom prst="rect">
                      <a:avLst/>
                    </a:prstGeom>
                  </pic:spPr>
                </pic:pic>
              </a:graphicData>
            </a:graphic>
            <wp14:sizeRelH relativeFrom="page">
              <wp14:pctWidth>0</wp14:pctWidth>
            </wp14:sizeRelH>
            <wp14:sizeRelV relativeFrom="page">
              <wp14:pctHeight>0</wp14:pctHeight>
            </wp14:sizeRelV>
          </wp:anchor>
        </w:drawing>
      </w:r>
    </w:p>
    <w:p w14:paraId="5226DE3B" w14:textId="77777777" w:rsidR="00281889" w:rsidRPr="001E6FC4" w:rsidRDefault="00281889" w:rsidP="00281889">
      <w:pPr>
        <w:spacing w:after="0" w:line="240" w:lineRule="auto"/>
        <w:ind w:firstLine="720"/>
        <w:jc w:val="both"/>
        <w:rPr>
          <w:rFonts w:ascii="Times New Roman" w:eastAsia="Calibri" w:hAnsi="Times New Roman" w:cs="Times New Roman"/>
          <w:sz w:val="24"/>
          <w:szCs w:val="24"/>
          <w:shd w:val="clear" w:color="auto" w:fill="FFFFFF"/>
        </w:rPr>
      </w:pPr>
    </w:p>
    <w:p w14:paraId="38285A32" w14:textId="77777777" w:rsidR="00281889" w:rsidRPr="001E6FC4" w:rsidRDefault="00281889" w:rsidP="00281889">
      <w:pPr>
        <w:spacing w:after="120" w:line="240" w:lineRule="auto"/>
        <w:ind w:firstLine="720"/>
        <w:jc w:val="both"/>
        <w:rPr>
          <w:rFonts w:ascii="Times New Roman" w:eastAsia="Calibri" w:hAnsi="Times New Roman" w:cs="Times New Roman"/>
          <w:sz w:val="24"/>
          <w:szCs w:val="24"/>
          <w:shd w:val="clear" w:color="auto" w:fill="FFFFFF"/>
        </w:rPr>
      </w:pPr>
    </w:p>
    <w:p w14:paraId="7F19050E" w14:textId="77777777" w:rsidR="00281889" w:rsidRPr="001E6FC4" w:rsidRDefault="00281889" w:rsidP="00281889">
      <w:pPr>
        <w:spacing w:after="120" w:line="240" w:lineRule="auto"/>
        <w:ind w:firstLine="720"/>
        <w:jc w:val="both"/>
        <w:rPr>
          <w:rFonts w:ascii="Times New Roman" w:eastAsia="Calibri" w:hAnsi="Times New Roman" w:cs="Times New Roman"/>
          <w:b/>
          <w:bCs/>
          <w:sz w:val="24"/>
          <w:szCs w:val="24"/>
          <w:shd w:val="clear" w:color="auto" w:fill="FFFFFF"/>
        </w:rPr>
      </w:pPr>
      <w:r w:rsidRPr="001E6FC4">
        <w:rPr>
          <w:rFonts w:ascii="Times New Roman" w:eastAsia="Calibri" w:hAnsi="Times New Roman" w:cs="Times New Roman"/>
          <w:b/>
          <w:bCs/>
          <w:sz w:val="24"/>
          <w:szCs w:val="24"/>
          <w:shd w:val="clear" w:color="auto" w:fill="FFFFFF"/>
        </w:rPr>
        <w:t>Tiesiskās sekas:</w:t>
      </w:r>
    </w:p>
    <w:p w14:paraId="7DE3E291" w14:textId="77777777" w:rsidR="00281889" w:rsidRPr="001E6FC4" w:rsidRDefault="00281889" w:rsidP="00281889">
      <w:pPr>
        <w:numPr>
          <w:ilvl w:val="0"/>
          <w:numId w:val="4"/>
        </w:numPr>
        <w:tabs>
          <w:tab w:val="clear" w:pos="720"/>
          <w:tab w:val="num" w:pos="1080"/>
        </w:tabs>
        <w:spacing w:after="120" w:line="240" w:lineRule="auto"/>
        <w:ind w:left="1080"/>
        <w:jc w:val="both"/>
        <w:rPr>
          <w:rFonts w:ascii="Times New Roman" w:eastAsia="Calibri" w:hAnsi="Times New Roman" w:cs="Times New Roman"/>
          <w:sz w:val="24"/>
          <w:szCs w:val="24"/>
          <w:shd w:val="clear" w:color="auto" w:fill="FFFFFF"/>
        </w:rPr>
      </w:pPr>
      <w:r w:rsidRPr="001E6FC4">
        <w:rPr>
          <w:rFonts w:ascii="Times New Roman" w:eastAsia="Calibri" w:hAnsi="Times New Roman" w:cs="Times New Roman"/>
          <w:sz w:val="24"/>
          <w:szCs w:val="24"/>
          <w:shd w:val="clear" w:color="auto" w:fill="FFFFFF"/>
        </w:rPr>
        <w:t>neatbilstība Garantijas fonda izveides mērķim un OCTA direktīvai 2009/103/EK, direktīvai 2009/138/EK (Maksātspēja II) un iespējama neatbilstība Satversmes 91. un 105.pantam saglabājas;</w:t>
      </w:r>
    </w:p>
    <w:p w14:paraId="2A77D7E0" w14:textId="77777777" w:rsidR="00281889" w:rsidRPr="001E6FC4" w:rsidRDefault="00281889" w:rsidP="00281889">
      <w:pPr>
        <w:numPr>
          <w:ilvl w:val="0"/>
          <w:numId w:val="4"/>
        </w:numPr>
        <w:tabs>
          <w:tab w:val="clear" w:pos="720"/>
          <w:tab w:val="num" w:pos="1080"/>
        </w:tabs>
        <w:spacing w:after="120" w:line="240" w:lineRule="auto"/>
        <w:ind w:left="1080"/>
        <w:jc w:val="both"/>
        <w:rPr>
          <w:rFonts w:ascii="Times New Roman" w:eastAsia="Calibri" w:hAnsi="Times New Roman" w:cs="Times New Roman"/>
          <w:sz w:val="24"/>
          <w:szCs w:val="24"/>
          <w:shd w:val="clear" w:color="auto" w:fill="FFFFFF"/>
        </w:rPr>
      </w:pPr>
      <w:r w:rsidRPr="001E6FC4">
        <w:rPr>
          <w:rFonts w:ascii="Times New Roman" w:eastAsia="Calibri" w:hAnsi="Times New Roman" w:cs="Times New Roman"/>
          <w:sz w:val="24"/>
          <w:szCs w:val="24"/>
          <w:shd w:val="clear" w:color="auto" w:fill="FFFFFF"/>
        </w:rPr>
        <w:t>Garantijas fonda finansiālā stabilitāte ik pa laikam pakļauta riskam (samazinājumam, bet ne tik lielam kā 1.rīcības modeļa gadījumā), apdrošināšanas sabiedrībām ik pa laikam būs jāveic atskaitījumi divkāršā apmērā (4 gadu laikā atskaitījumu apmērs sasniegs 7 milj. EUR);</w:t>
      </w:r>
    </w:p>
    <w:p w14:paraId="52A18850" w14:textId="77777777" w:rsidR="00281889" w:rsidRPr="001E6FC4" w:rsidRDefault="00281889" w:rsidP="00281889">
      <w:pPr>
        <w:pStyle w:val="ListParagraph"/>
        <w:numPr>
          <w:ilvl w:val="0"/>
          <w:numId w:val="4"/>
        </w:numPr>
        <w:tabs>
          <w:tab w:val="clear" w:pos="720"/>
          <w:tab w:val="num" w:pos="1080"/>
          <w:tab w:val="left" w:pos="1276"/>
        </w:tabs>
        <w:spacing w:after="120" w:line="240" w:lineRule="auto"/>
        <w:ind w:left="1077" w:hanging="357"/>
        <w:contextualSpacing w:val="0"/>
        <w:jc w:val="both"/>
        <w:rPr>
          <w:rFonts w:ascii="Times New Roman" w:eastAsia="Calibri" w:hAnsi="Times New Roman" w:cs="Times New Roman"/>
          <w:bCs/>
          <w:sz w:val="24"/>
          <w:szCs w:val="24"/>
          <w:shd w:val="clear" w:color="auto" w:fill="FFFFFF"/>
        </w:rPr>
      </w:pPr>
      <w:r w:rsidRPr="001E6FC4">
        <w:rPr>
          <w:rFonts w:ascii="Times New Roman" w:eastAsia="Times New Roman" w:hAnsi="Times New Roman" w:cs="Times New Roman"/>
          <w:bCs/>
          <w:sz w:val="24"/>
          <w:szCs w:val="24"/>
        </w:rPr>
        <w:t xml:space="preserve">netiks novērsta līdz šim absurdā situācija, kad ar līdzšinējo atlaides mehānismu tiek vairāk atbalstīti sliktākie autovadītāji, kuriem ir sliktāka </w:t>
      </w:r>
      <w:r w:rsidRPr="001E6FC4">
        <w:rPr>
          <w:rFonts w:ascii="Times New Roman" w:eastAsia="Times New Roman" w:hAnsi="Times New Roman" w:cs="Times New Roman"/>
          <w:bCs/>
          <w:i/>
          <w:iCs/>
          <w:sz w:val="24"/>
          <w:szCs w:val="24"/>
        </w:rPr>
        <w:t>Bonus-Malus</w:t>
      </w:r>
      <w:r w:rsidRPr="001E6FC4">
        <w:rPr>
          <w:rFonts w:ascii="Times New Roman" w:eastAsia="Times New Roman" w:hAnsi="Times New Roman" w:cs="Times New Roman"/>
          <w:bCs/>
          <w:sz w:val="24"/>
          <w:szCs w:val="24"/>
        </w:rPr>
        <w:t xml:space="preserve"> klase (</w:t>
      </w:r>
      <w:r w:rsidRPr="001E6FC4">
        <w:rPr>
          <w:rFonts w:ascii="Times New Roman" w:hAnsi="Times New Roman" w:cs="Times New Roman"/>
          <w:bCs/>
          <w:sz w:val="24"/>
          <w:szCs w:val="24"/>
        </w:rPr>
        <w:t>jo sliktāka apdrošinājuma ņēmēja apdrošināšanas vēsture, jo lielāka apdrošināšanas prēmija, jo lielāka arī kompensējamā atlaide no Garantijas fonda</w:t>
      </w:r>
      <w:r w:rsidRPr="001E6FC4">
        <w:rPr>
          <w:rFonts w:ascii="Times New Roman" w:eastAsia="Times New Roman" w:hAnsi="Times New Roman" w:cs="Times New Roman"/>
          <w:bCs/>
          <w:sz w:val="24"/>
          <w:szCs w:val="24"/>
        </w:rPr>
        <w:t>);</w:t>
      </w:r>
    </w:p>
    <w:p w14:paraId="19F73A09" w14:textId="77777777" w:rsidR="00281889" w:rsidRPr="001E6FC4" w:rsidRDefault="00281889" w:rsidP="00281889">
      <w:pPr>
        <w:pStyle w:val="ListParagraph"/>
        <w:numPr>
          <w:ilvl w:val="0"/>
          <w:numId w:val="4"/>
        </w:numPr>
        <w:tabs>
          <w:tab w:val="clear" w:pos="720"/>
          <w:tab w:val="num" w:pos="1080"/>
          <w:tab w:val="left" w:pos="1276"/>
        </w:tabs>
        <w:spacing w:after="120" w:line="240" w:lineRule="auto"/>
        <w:ind w:left="1077" w:hanging="357"/>
        <w:contextualSpacing w:val="0"/>
        <w:jc w:val="both"/>
        <w:rPr>
          <w:rFonts w:ascii="Times New Roman" w:eastAsia="Calibri" w:hAnsi="Times New Roman" w:cs="Times New Roman"/>
          <w:bCs/>
          <w:sz w:val="24"/>
          <w:szCs w:val="24"/>
          <w:shd w:val="clear" w:color="auto" w:fill="FFFFFF"/>
        </w:rPr>
      </w:pPr>
      <w:r w:rsidRPr="001E6FC4">
        <w:rPr>
          <w:rFonts w:ascii="Times New Roman" w:eastAsia="Times New Roman" w:hAnsi="Times New Roman" w:cs="Times New Roman"/>
          <w:bCs/>
          <w:sz w:val="24"/>
          <w:szCs w:val="24"/>
        </w:rPr>
        <w:lastRenderedPageBreak/>
        <w:t>netiks mazināta sociālā nevienlīdzība pašu personu, kurām pienākas atlaides, un pārējo apdrošinājumu ņēmēju vidū, jo no visu apdrošinājumu ņēmēju apdrošināšanas prēmijām tiek veikti atskaitījumi Garantijas fondā, lai rastu finansiālo nodrošinājumu atlaižu kompensēšanai no Garantijas fonda;</w:t>
      </w:r>
    </w:p>
    <w:p w14:paraId="3C7A1DFF" w14:textId="77777777" w:rsidR="00281889" w:rsidRPr="001E6FC4" w:rsidRDefault="00281889" w:rsidP="00281889">
      <w:pPr>
        <w:pStyle w:val="ListParagraph"/>
        <w:numPr>
          <w:ilvl w:val="0"/>
          <w:numId w:val="4"/>
        </w:numPr>
        <w:tabs>
          <w:tab w:val="clear" w:pos="720"/>
          <w:tab w:val="num" w:pos="1080"/>
          <w:tab w:val="left" w:pos="1276"/>
        </w:tabs>
        <w:spacing w:after="120" w:line="240" w:lineRule="auto"/>
        <w:ind w:left="1077" w:hanging="357"/>
        <w:contextualSpacing w:val="0"/>
        <w:jc w:val="both"/>
        <w:rPr>
          <w:rFonts w:ascii="Times New Roman" w:eastAsia="Calibri" w:hAnsi="Times New Roman" w:cs="Times New Roman"/>
          <w:sz w:val="24"/>
          <w:szCs w:val="24"/>
          <w:shd w:val="clear" w:color="auto" w:fill="FFFFFF"/>
        </w:rPr>
      </w:pPr>
      <w:r w:rsidRPr="001E6FC4">
        <w:rPr>
          <w:rFonts w:ascii="Times New Roman" w:eastAsia="Times New Roman" w:hAnsi="Times New Roman" w:cs="Times New Roman"/>
          <w:bCs/>
          <w:sz w:val="24"/>
          <w:szCs w:val="24"/>
        </w:rPr>
        <w:t xml:space="preserve">netiks nodrošināta tiesiskā vienlīdzība un novērsta </w:t>
      </w:r>
      <w:r w:rsidRPr="001E6FC4">
        <w:rPr>
          <w:rFonts w:ascii="Times New Roman" w:hAnsi="Times New Roman" w:cs="Times New Roman"/>
          <w:sz w:val="24"/>
          <w:szCs w:val="24"/>
        </w:rPr>
        <w:t>privileģētā attieksme pret atsevišķu saimnieciskās darbības veicēju grupu</w:t>
      </w:r>
      <w:r w:rsidRPr="001E6FC4">
        <w:rPr>
          <w:rFonts w:ascii="Times New Roman" w:hAnsi="Times New Roman" w:cs="Times New Roman"/>
          <w:sz w:val="24"/>
          <w:szCs w:val="24"/>
          <w:shd w:val="clear" w:color="auto" w:fill="FFFFFF"/>
        </w:rPr>
        <w:t>.</w:t>
      </w:r>
    </w:p>
    <w:p w14:paraId="33DD985A" w14:textId="77777777" w:rsidR="00281889" w:rsidRPr="001E6FC4" w:rsidRDefault="00281889" w:rsidP="00281889">
      <w:pPr>
        <w:spacing w:after="0" w:line="240" w:lineRule="auto"/>
        <w:ind w:firstLine="720"/>
        <w:jc w:val="both"/>
        <w:rPr>
          <w:rFonts w:ascii="Times New Roman" w:eastAsia="Calibri" w:hAnsi="Times New Roman" w:cs="Times New Roman"/>
          <w:b/>
          <w:bCs/>
          <w:sz w:val="24"/>
          <w:szCs w:val="24"/>
          <w:shd w:val="clear" w:color="auto" w:fill="FFFFFF"/>
        </w:rPr>
      </w:pPr>
    </w:p>
    <w:p w14:paraId="572A90EE" w14:textId="77777777" w:rsidR="00281889" w:rsidRPr="001E6FC4" w:rsidRDefault="00281889" w:rsidP="00281889">
      <w:pPr>
        <w:spacing w:after="0" w:line="240" w:lineRule="auto"/>
        <w:ind w:firstLine="720"/>
        <w:jc w:val="both"/>
        <w:rPr>
          <w:rFonts w:ascii="Times New Roman" w:eastAsia="Calibri" w:hAnsi="Times New Roman" w:cs="Times New Roman"/>
          <w:sz w:val="24"/>
          <w:szCs w:val="24"/>
          <w:shd w:val="clear" w:color="auto" w:fill="FFFFFF"/>
        </w:rPr>
      </w:pPr>
      <w:r w:rsidRPr="001E6FC4">
        <w:rPr>
          <w:rFonts w:ascii="Times New Roman" w:eastAsia="Calibri" w:hAnsi="Times New Roman" w:cs="Times New Roman"/>
          <w:b/>
          <w:bCs/>
          <w:sz w:val="24"/>
          <w:szCs w:val="24"/>
          <w:shd w:val="clear" w:color="auto" w:fill="FFFFFF"/>
        </w:rPr>
        <w:t xml:space="preserve">3. rīcības modelis - </w:t>
      </w:r>
      <w:r w:rsidRPr="001E6FC4">
        <w:rPr>
          <w:rFonts w:ascii="Times New Roman" w:eastAsia="Calibri" w:hAnsi="Times New Roman" w:cs="Times New Roman"/>
          <w:sz w:val="24"/>
          <w:szCs w:val="24"/>
          <w:shd w:val="clear" w:color="auto" w:fill="FFFFFF"/>
        </w:rPr>
        <w:t>atlaides personām ar invaliditāti un lauksaimniekiem pakāpeniski tiek samazinātas 3 gadu pārejas periodā, līdz tiek atceltas vispār 2025. gadā (skat. 3.grafiku)</w:t>
      </w:r>
    </w:p>
    <w:p w14:paraId="1706EB4E" w14:textId="77777777" w:rsidR="00281889" w:rsidRPr="001E6FC4" w:rsidRDefault="00281889" w:rsidP="00281889">
      <w:pPr>
        <w:spacing w:after="0" w:line="240" w:lineRule="auto"/>
        <w:ind w:firstLine="720"/>
        <w:jc w:val="both"/>
        <w:rPr>
          <w:rFonts w:ascii="Times New Roman" w:eastAsia="Calibri" w:hAnsi="Times New Roman" w:cs="Times New Roman"/>
          <w:sz w:val="24"/>
          <w:szCs w:val="24"/>
          <w:shd w:val="clear" w:color="auto" w:fill="FFFFFF"/>
        </w:rPr>
      </w:pPr>
    </w:p>
    <w:p w14:paraId="7F7DD7F0" w14:textId="77777777" w:rsidR="00281889" w:rsidRPr="001E6FC4" w:rsidRDefault="00281889" w:rsidP="00281889">
      <w:pPr>
        <w:spacing w:after="0" w:line="240" w:lineRule="auto"/>
        <w:ind w:firstLine="720"/>
        <w:jc w:val="both"/>
        <w:rPr>
          <w:rFonts w:ascii="Times New Roman" w:eastAsia="Calibri" w:hAnsi="Times New Roman" w:cs="Times New Roman"/>
          <w:sz w:val="24"/>
          <w:szCs w:val="24"/>
          <w:shd w:val="clear" w:color="auto" w:fill="FFFFFF"/>
        </w:rPr>
      </w:pPr>
      <w:r w:rsidRPr="001E6FC4">
        <w:rPr>
          <w:rFonts w:ascii="Times New Roman" w:eastAsia="Calibri" w:hAnsi="Times New Roman" w:cs="Times New Roman"/>
          <w:sz w:val="24"/>
          <w:szCs w:val="24"/>
          <w:shd w:val="clear" w:color="auto" w:fill="FFFFFF"/>
        </w:rPr>
        <w:t xml:space="preserve"> </w:t>
      </w:r>
    </w:p>
    <w:p w14:paraId="19D212C4" w14:textId="77777777" w:rsidR="00281889" w:rsidRPr="001E6FC4" w:rsidRDefault="00281889" w:rsidP="00281889">
      <w:pPr>
        <w:spacing w:after="0" w:line="240" w:lineRule="auto"/>
        <w:ind w:firstLine="720"/>
        <w:jc w:val="both"/>
        <w:rPr>
          <w:rFonts w:ascii="Times New Roman" w:eastAsia="Calibri" w:hAnsi="Times New Roman" w:cs="Times New Roman"/>
          <w:sz w:val="24"/>
          <w:szCs w:val="24"/>
          <w:shd w:val="clear" w:color="auto" w:fill="FFFFFF"/>
        </w:rPr>
      </w:pPr>
      <w:r w:rsidRPr="001E6FC4">
        <w:rPr>
          <w:rFonts w:ascii="Times New Roman" w:eastAsia="Calibri" w:hAnsi="Times New Roman" w:cs="Times New Roman"/>
          <w:noProof/>
          <w:sz w:val="24"/>
          <w:szCs w:val="24"/>
          <w:shd w:val="clear" w:color="auto" w:fill="FFFFFF"/>
        </w:rPr>
        <w:drawing>
          <wp:anchor distT="0" distB="0" distL="114300" distR="114300" simplePos="0" relativeHeight="251660288" behindDoc="1" locked="0" layoutInCell="1" allowOverlap="1" wp14:anchorId="43EC150F" wp14:editId="52F0B56B">
            <wp:simplePos x="0" y="0"/>
            <wp:positionH relativeFrom="column">
              <wp:posOffset>47625</wp:posOffset>
            </wp:positionH>
            <wp:positionV relativeFrom="paragraph">
              <wp:posOffset>274955</wp:posOffset>
            </wp:positionV>
            <wp:extent cx="6347460" cy="3429000"/>
            <wp:effectExtent l="0" t="0" r="0" b="0"/>
            <wp:wrapTight wrapText="bothSides">
              <wp:wrapPolygon edited="0">
                <wp:start x="0" y="0"/>
                <wp:lineTo x="0" y="21480"/>
                <wp:lineTo x="21522" y="21480"/>
                <wp:lineTo x="21522" y="0"/>
                <wp:lineTo x="0" y="0"/>
              </wp:wrapPolygon>
            </wp:wrapTight>
            <wp:docPr id="9" name="Picture 9"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hart, bar chart&#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6347460" cy="3429000"/>
                    </a:xfrm>
                    <a:prstGeom prst="rect">
                      <a:avLst/>
                    </a:prstGeom>
                  </pic:spPr>
                </pic:pic>
              </a:graphicData>
            </a:graphic>
            <wp14:sizeRelH relativeFrom="page">
              <wp14:pctWidth>0</wp14:pctWidth>
            </wp14:sizeRelH>
            <wp14:sizeRelV relativeFrom="page">
              <wp14:pctHeight>0</wp14:pctHeight>
            </wp14:sizeRelV>
          </wp:anchor>
        </w:drawing>
      </w:r>
      <w:r w:rsidRPr="001E6FC4">
        <w:rPr>
          <w:rFonts w:ascii="Times New Roman" w:eastAsia="Calibri" w:hAnsi="Times New Roman" w:cs="Times New Roman"/>
          <w:sz w:val="24"/>
          <w:szCs w:val="24"/>
          <w:shd w:val="clear" w:color="auto" w:fill="FFFFFF"/>
        </w:rPr>
        <w:t>3.grafiks</w:t>
      </w:r>
    </w:p>
    <w:p w14:paraId="2B26B75B" w14:textId="77777777" w:rsidR="00281889" w:rsidRPr="001E6FC4" w:rsidRDefault="00281889" w:rsidP="00281889">
      <w:pPr>
        <w:spacing w:after="0" w:line="240" w:lineRule="auto"/>
        <w:ind w:firstLine="720"/>
        <w:jc w:val="both"/>
        <w:rPr>
          <w:rFonts w:ascii="Times New Roman" w:eastAsia="Calibri" w:hAnsi="Times New Roman" w:cs="Times New Roman"/>
          <w:sz w:val="24"/>
          <w:szCs w:val="24"/>
          <w:shd w:val="clear" w:color="auto" w:fill="FFFFFF"/>
        </w:rPr>
      </w:pPr>
    </w:p>
    <w:p w14:paraId="0754E2D9" w14:textId="77777777" w:rsidR="00281889" w:rsidRPr="001E6FC4" w:rsidRDefault="00281889" w:rsidP="00281889">
      <w:pPr>
        <w:spacing w:after="120" w:line="240" w:lineRule="auto"/>
        <w:ind w:firstLine="720"/>
        <w:jc w:val="both"/>
        <w:rPr>
          <w:rFonts w:ascii="Times New Roman" w:eastAsia="Calibri" w:hAnsi="Times New Roman" w:cs="Times New Roman"/>
          <w:b/>
          <w:bCs/>
          <w:sz w:val="24"/>
          <w:szCs w:val="24"/>
          <w:shd w:val="clear" w:color="auto" w:fill="FFFFFF"/>
        </w:rPr>
      </w:pPr>
      <w:r w:rsidRPr="001E6FC4">
        <w:rPr>
          <w:rFonts w:ascii="Times New Roman" w:eastAsia="Calibri" w:hAnsi="Times New Roman" w:cs="Times New Roman"/>
          <w:b/>
          <w:bCs/>
          <w:sz w:val="24"/>
          <w:szCs w:val="24"/>
          <w:shd w:val="clear" w:color="auto" w:fill="FFFFFF"/>
        </w:rPr>
        <w:t>Tiesiskās sekas:</w:t>
      </w:r>
    </w:p>
    <w:p w14:paraId="5E8F4891" w14:textId="77777777" w:rsidR="00281889" w:rsidRPr="001E6FC4" w:rsidRDefault="00281889" w:rsidP="00281889">
      <w:pPr>
        <w:numPr>
          <w:ilvl w:val="0"/>
          <w:numId w:val="5"/>
        </w:numPr>
        <w:spacing w:after="120" w:line="240" w:lineRule="auto"/>
        <w:jc w:val="both"/>
        <w:rPr>
          <w:rFonts w:ascii="Times New Roman" w:eastAsia="Calibri" w:hAnsi="Times New Roman" w:cs="Times New Roman"/>
          <w:sz w:val="24"/>
          <w:szCs w:val="24"/>
          <w:shd w:val="clear" w:color="auto" w:fill="FFFFFF"/>
        </w:rPr>
      </w:pPr>
      <w:r w:rsidRPr="001E6FC4">
        <w:rPr>
          <w:rFonts w:ascii="Times New Roman" w:eastAsia="Calibri" w:hAnsi="Times New Roman" w:cs="Times New Roman"/>
          <w:sz w:val="24"/>
          <w:szCs w:val="24"/>
          <w:shd w:val="clear" w:color="auto" w:fill="FFFFFF"/>
        </w:rPr>
        <w:t>atbilstība Garantijas fonda izveides mērķim un OCTA direktīvai 2009/103/EK, direktīvai 2009/138/EK (Maksātspēja II) un Satversmes 91. un 105.pantam;</w:t>
      </w:r>
    </w:p>
    <w:p w14:paraId="39DFC32F" w14:textId="77777777" w:rsidR="00281889" w:rsidRPr="001E6FC4" w:rsidRDefault="00281889" w:rsidP="00281889">
      <w:pPr>
        <w:numPr>
          <w:ilvl w:val="0"/>
          <w:numId w:val="5"/>
        </w:numPr>
        <w:spacing w:after="120" w:line="240" w:lineRule="auto"/>
        <w:ind w:left="1077" w:hanging="357"/>
        <w:jc w:val="both"/>
        <w:rPr>
          <w:rFonts w:ascii="Times New Roman" w:eastAsia="Calibri" w:hAnsi="Times New Roman" w:cs="Times New Roman"/>
          <w:sz w:val="24"/>
          <w:szCs w:val="24"/>
          <w:shd w:val="clear" w:color="auto" w:fill="FFFFFF"/>
        </w:rPr>
      </w:pPr>
      <w:r w:rsidRPr="001E6FC4">
        <w:rPr>
          <w:rFonts w:ascii="Times New Roman" w:eastAsia="Calibri" w:hAnsi="Times New Roman" w:cs="Times New Roman"/>
          <w:sz w:val="24"/>
          <w:szCs w:val="24"/>
          <w:shd w:val="clear" w:color="auto" w:fill="FFFFFF"/>
        </w:rPr>
        <w:t>tiek nodrošināta Garantijas fonda finansiālā stabilitāte un pieaugums, apdrošināšanas sabiedrībām pirmos divus gadus vēl tikai jāveic atskaitījumi divkāršā apmērā (4 gadu laikā  atskaitījumu apmērs sasniegs 5-6 milj. EUR);</w:t>
      </w:r>
    </w:p>
    <w:p w14:paraId="584FBA1D" w14:textId="77777777" w:rsidR="00281889" w:rsidRPr="001E6FC4" w:rsidRDefault="00281889" w:rsidP="00281889">
      <w:pPr>
        <w:pStyle w:val="ListParagraph"/>
        <w:numPr>
          <w:ilvl w:val="0"/>
          <w:numId w:val="5"/>
        </w:numPr>
        <w:tabs>
          <w:tab w:val="left" w:pos="1276"/>
        </w:tabs>
        <w:spacing w:after="120" w:line="240" w:lineRule="auto"/>
        <w:ind w:left="1077" w:hanging="357"/>
        <w:contextualSpacing w:val="0"/>
        <w:jc w:val="both"/>
        <w:rPr>
          <w:rFonts w:ascii="Times New Roman" w:eastAsia="Calibri" w:hAnsi="Times New Roman" w:cs="Times New Roman"/>
          <w:bCs/>
          <w:sz w:val="24"/>
          <w:szCs w:val="24"/>
          <w:shd w:val="clear" w:color="auto" w:fill="FFFFFF"/>
        </w:rPr>
      </w:pPr>
      <w:r w:rsidRPr="001E6FC4">
        <w:rPr>
          <w:rFonts w:ascii="Times New Roman" w:eastAsia="Times New Roman" w:hAnsi="Times New Roman" w:cs="Times New Roman"/>
          <w:bCs/>
          <w:sz w:val="24"/>
          <w:szCs w:val="24"/>
        </w:rPr>
        <w:t xml:space="preserve">tiek novērsta līdz šim absurdā situācija, kad ar līdzšinējo atlaides mehānismu tika vairāk atbalstīti sliktākie autovadītāji, kuriem ir sliktāka </w:t>
      </w:r>
      <w:r w:rsidRPr="001E6FC4">
        <w:rPr>
          <w:rFonts w:ascii="Times New Roman" w:eastAsia="Times New Roman" w:hAnsi="Times New Roman" w:cs="Times New Roman"/>
          <w:bCs/>
          <w:i/>
          <w:iCs/>
          <w:sz w:val="24"/>
          <w:szCs w:val="24"/>
        </w:rPr>
        <w:t>Bonus-Malus</w:t>
      </w:r>
      <w:r w:rsidRPr="001E6FC4">
        <w:rPr>
          <w:rFonts w:ascii="Times New Roman" w:eastAsia="Times New Roman" w:hAnsi="Times New Roman" w:cs="Times New Roman"/>
          <w:bCs/>
          <w:sz w:val="24"/>
          <w:szCs w:val="24"/>
        </w:rPr>
        <w:t xml:space="preserve"> klase (</w:t>
      </w:r>
      <w:r w:rsidRPr="001E6FC4">
        <w:rPr>
          <w:rFonts w:ascii="Times New Roman" w:hAnsi="Times New Roman" w:cs="Times New Roman"/>
          <w:bCs/>
          <w:sz w:val="24"/>
          <w:szCs w:val="24"/>
        </w:rPr>
        <w:t>jo sliktāka apdrošinājuma ņēmēja apdrošināšanas vēsture, jo lielāka apdrošināšanas prēmija, jo lielāka arī bija kompensējamā atlaide no Garantijas fonda</w:t>
      </w:r>
      <w:r w:rsidRPr="001E6FC4">
        <w:rPr>
          <w:rFonts w:ascii="Times New Roman" w:eastAsia="Times New Roman" w:hAnsi="Times New Roman" w:cs="Times New Roman"/>
          <w:bCs/>
          <w:sz w:val="24"/>
          <w:szCs w:val="24"/>
        </w:rPr>
        <w:t>);</w:t>
      </w:r>
    </w:p>
    <w:p w14:paraId="05A3D4CA" w14:textId="77777777" w:rsidR="00281889" w:rsidRPr="001E6FC4" w:rsidRDefault="00281889" w:rsidP="00281889">
      <w:pPr>
        <w:pStyle w:val="ListParagraph"/>
        <w:numPr>
          <w:ilvl w:val="0"/>
          <w:numId w:val="5"/>
        </w:numPr>
        <w:tabs>
          <w:tab w:val="left" w:pos="1276"/>
        </w:tabs>
        <w:spacing w:after="120" w:line="240" w:lineRule="auto"/>
        <w:ind w:left="1077" w:hanging="357"/>
        <w:contextualSpacing w:val="0"/>
        <w:jc w:val="both"/>
        <w:rPr>
          <w:rFonts w:ascii="Times New Roman" w:eastAsia="Calibri" w:hAnsi="Times New Roman" w:cs="Times New Roman"/>
          <w:bCs/>
          <w:sz w:val="24"/>
          <w:szCs w:val="24"/>
          <w:shd w:val="clear" w:color="auto" w:fill="FFFFFF"/>
        </w:rPr>
      </w:pPr>
      <w:r w:rsidRPr="001E6FC4">
        <w:rPr>
          <w:rFonts w:ascii="Times New Roman" w:eastAsia="Times New Roman" w:hAnsi="Times New Roman" w:cs="Times New Roman"/>
          <w:bCs/>
          <w:sz w:val="24"/>
          <w:szCs w:val="24"/>
        </w:rPr>
        <w:lastRenderedPageBreak/>
        <w:t>tiek novērsta sociālā nevienlīdzība apdrošinājuma ņēmēju vidū;</w:t>
      </w:r>
    </w:p>
    <w:p w14:paraId="7926EC39" w14:textId="77777777" w:rsidR="00281889" w:rsidRPr="001E6FC4" w:rsidRDefault="00281889" w:rsidP="00281889">
      <w:pPr>
        <w:pStyle w:val="ListParagraph"/>
        <w:numPr>
          <w:ilvl w:val="0"/>
          <w:numId w:val="5"/>
        </w:numPr>
        <w:tabs>
          <w:tab w:val="left" w:pos="1276"/>
        </w:tabs>
        <w:spacing w:after="120" w:line="240" w:lineRule="auto"/>
        <w:ind w:left="1077" w:hanging="357"/>
        <w:contextualSpacing w:val="0"/>
        <w:jc w:val="both"/>
        <w:rPr>
          <w:rFonts w:ascii="Times New Roman" w:eastAsia="Calibri" w:hAnsi="Times New Roman" w:cs="Times New Roman"/>
          <w:sz w:val="24"/>
          <w:szCs w:val="24"/>
          <w:shd w:val="clear" w:color="auto" w:fill="FFFFFF"/>
        </w:rPr>
      </w:pPr>
      <w:r w:rsidRPr="001E6FC4">
        <w:rPr>
          <w:rFonts w:ascii="Times New Roman" w:eastAsia="Times New Roman" w:hAnsi="Times New Roman" w:cs="Times New Roman"/>
          <w:bCs/>
          <w:sz w:val="24"/>
          <w:szCs w:val="24"/>
        </w:rPr>
        <w:t xml:space="preserve">tiek nodrošināta tiesiskā vienlīdzība un novērsta </w:t>
      </w:r>
      <w:r w:rsidRPr="001E6FC4">
        <w:rPr>
          <w:rFonts w:ascii="Times New Roman" w:hAnsi="Times New Roman" w:cs="Times New Roman"/>
          <w:sz w:val="24"/>
          <w:szCs w:val="24"/>
        </w:rPr>
        <w:t>privileģētā attieksme pret atsevišķu saimnieciskās darbības veicēju grupu</w:t>
      </w:r>
      <w:r w:rsidRPr="001E6FC4">
        <w:rPr>
          <w:rFonts w:ascii="Times New Roman" w:hAnsi="Times New Roman" w:cs="Times New Roman"/>
          <w:sz w:val="24"/>
          <w:szCs w:val="24"/>
          <w:shd w:val="clear" w:color="auto" w:fill="FFFFFF"/>
        </w:rPr>
        <w:t>.</w:t>
      </w:r>
    </w:p>
    <w:p w14:paraId="6541324D" w14:textId="77777777" w:rsidR="00281889" w:rsidRPr="001E6FC4" w:rsidRDefault="00281889" w:rsidP="00281889">
      <w:pPr>
        <w:rPr>
          <w:rFonts w:ascii="Times New Roman" w:hAnsi="Times New Roman" w:cs="Times New Roman"/>
          <w:sz w:val="24"/>
          <w:szCs w:val="24"/>
        </w:rPr>
      </w:pPr>
    </w:p>
    <w:p w14:paraId="1133ADE2" w14:textId="77777777" w:rsidR="00281889" w:rsidRPr="001E6FC4" w:rsidRDefault="00281889" w:rsidP="00281889">
      <w:pPr>
        <w:tabs>
          <w:tab w:val="left" w:pos="851"/>
          <w:tab w:val="left" w:pos="1276"/>
        </w:tabs>
        <w:spacing w:after="0" w:line="240" w:lineRule="auto"/>
        <w:ind w:firstLine="567"/>
        <w:jc w:val="both"/>
        <w:rPr>
          <w:rFonts w:ascii="Times New Roman" w:hAnsi="Times New Roman" w:cs="Times New Roman"/>
          <w:sz w:val="24"/>
          <w:szCs w:val="24"/>
        </w:rPr>
      </w:pPr>
      <w:r w:rsidRPr="001E6FC4">
        <w:rPr>
          <w:rFonts w:ascii="Times New Roman" w:hAnsi="Times New Roman" w:cs="Times New Roman"/>
          <w:sz w:val="24"/>
          <w:szCs w:val="24"/>
        </w:rPr>
        <w:t xml:space="preserve">OCTA likuma 14.pantā noteiktā tiesiskā regulējuma izvērtējums attiecībā uz apdrošināšanas prēmijas maksājuma samazinājumu un iespējamo šā maksājuma samazinājuma pakāpenisku atcelšanu un turpmāko risinājumu nav atkarīgs no OCTA likuma grozījumu, kas stājās spēkā 2021.gadā (12.01.2021. un 01.07.2021.), finansiālās ietekmes izvērtējuma uz Garantijas fondu un tā apmēru. </w:t>
      </w:r>
    </w:p>
    <w:p w14:paraId="06A27EE3" w14:textId="77777777" w:rsidR="00281889" w:rsidRPr="001E6FC4" w:rsidRDefault="00281889" w:rsidP="00281889">
      <w:pPr>
        <w:tabs>
          <w:tab w:val="left" w:pos="851"/>
          <w:tab w:val="left" w:pos="1276"/>
        </w:tabs>
        <w:spacing w:after="0" w:line="240" w:lineRule="auto"/>
        <w:ind w:firstLine="567"/>
        <w:jc w:val="both"/>
        <w:rPr>
          <w:rFonts w:ascii="Times New Roman" w:eastAsia="Calibri" w:hAnsi="Times New Roman" w:cs="Times New Roman"/>
          <w:bCs/>
          <w:sz w:val="24"/>
          <w:szCs w:val="24"/>
          <w:shd w:val="clear" w:color="auto" w:fill="FFFFFF"/>
        </w:rPr>
      </w:pPr>
      <w:r w:rsidRPr="001E6FC4">
        <w:rPr>
          <w:rFonts w:ascii="Times New Roman" w:eastAsia="Calibri" w:hAnsi="Times New Roman" w:cs="Times New Roman"/>
          <w:bCs/>
          <w:sz w:val="24"/>
          <w:szCs w:val="24"/>
          <w:shd w:val="clear" w:color="auto" w:fill="FFFFFF"/>
        </w:rPr>
        <w:t xml:space="preserve">Ņemot vērā OCTA direktīvā </w:t>
      </w:r>
      <w:r w:rsidRPr="001E6FC4">
        <w:rPr>
          <w:rFonts w:ascii="Times New Roman" w:eastAsia="Calibri" w:hAnsi="Times New Roman" w:cs="Times New Roman"/>
          <w:sz w:val="24"/>
          <w:szCs w:val="24"/>
          <w:shd w:val="clear" w:color="auto" w:fill="FFFFFF"/>
        </w:rPr>
        <w:t>2009/103/EK</w:t>
      </w:r>
      <w:r w:rsidRPr="001E6FC4">
        <w:rPr>
          <w:rFonts w:ascii="Times New Roman" w:eastAsia="Calibri" w:hAnsi="Times New Roman" w:cs="Times New Roman"/>
          <w:bCs/>
          <w:sz w:val="24"/>
          <w:szCs w:val="24"/>
          <w:shd w:val="clear" w:color="auto" w:fill="FFFFFF"/>
        </w:rPr>
        <w:t xml:space="preserve"> minēto, proti, to, kādam mērķim Garantijas fonds ir izveidots un lai arī nākotnē Garantijas fonds spētu nodrošināt ar OCTA direktīvu noteikto – n</w:t>
      </w:r>
      <w:r w:rsidRPr="001E6FC4">
        <w:rPr>
          <w:rFonts w:ascii="Times New Roman" w:hAnsi="Times New Roman" w:cs="Times New Roman"/>
          <w:bCs/>
          <w:sz w:val="24"/>
          <w:szCs w:val="24"/>
          <w:shd w:val="clear" w:color="auto" w:fill="FFFFFF"/>
        </w:rPr>
        <w:t>odrošināt</w:t>
      </w:r>
      <w:r w:rsidRPr="001E6FC4">
        <w:rPr>
          <w:rFonts w:ascii="Times New Roman" w:hAnsi="Times New Roman" w:cs="Times New Roman"/>
          <w:b/>
          <w:sz w:val="24"/>
          <w:szCs w:val="24"/>
          <w:shd w:val="clear" w:color="auto" w:fill="FFFFFF"/>
        </w:rPr>
        <w:t xml:space="preserve"> </w:t>
      </w:r>
      <w:r w:rsidRPr="001E6FC4">
        <w:rPr>
          <w:rFonts w:ascii="Times New Roman" w:eastAsia="Times New Roman" w:hAnsi="Times New Roman" w:cs="Times New Roman"/>
          <w:bCs/>
          <w:sz w:val="24"/>
          <w:szCs w:val="24"/>
        </w:rPr>
        <w:t>augstu aizsardzības līmeni cietušajiem mehānisko transportlīdzekļu izraisītos negadījumos –, un</w:t>
      </w:r>
    </w:p>
    <w:p w14:paraId="22EA7E64" w14:textId="77777777" w:rsidR="00281889" w:rsidRPr="001E6FC4" w:rsidRDefault="00281889" w:rsidP="00281889">
      <w:pPr>
        <w:pStyle w:val="ListParagraph"/>
        <w:numPr>
          <w:ilvl w:val="0"/>
          <w:numId w:val="8"/>
        </w:numPr>
        <w:tabs>
          <w:tab w:val="left" w:pos="1276"/>
        </w:tabs>
        <w:spacing w:after="0" w:line="240" w:lineRule="auto"/>
        <w:jc w:val="both"/>
        <w:rPr>
          <w:rFonts w:ascii="Times New Roman" w:eastAsia="Calibri" w:hAnsi="Times New Roman" w:cs="Times New Roman"/>
          <w:bCs/>
          <w:sz w:val="24"/>
          <w:szCs w:val="24"/>
          <w:shd w:val="clear" w:color="auto" w:fill="FFFFFF"/>
        </w:rPr>
      </w:pPr>
      <w:r w:rsidRPr="001E6FC4">
        <w:rPr>
          <w:rFonts w:ascii="Times New Roman" w:eastAsia="Times New Roman" w:hAnsi="Times New Roman" w:cs="Times New Roman"/>
          <w:bCs/>
          <w:sz w:val="24"/>
          <w:szCs w:val="24"/>
        </w:rPr>
        <w:t>lai nodrošinātu atbilstību:</w:t>
      </w:r>
    </w:p>
    <w:p w14:paraId="18FF9773" w14:textId="77777777" w:rsidR="00281889" w:rsidRPr="001E6FC4" w:rsidRDefault="00281889" w:rsidP="00281889">
      <w:pPr>
        <w:pStyle w:val="ListParagraph"/>
        <w:numPr>
          <w:ilvl w:val="1"/>
          <w:numId w:val="8"/>
        </w:numPr>
        <w:tabs>
          <w:tab w:val="left" w:pos="1276"/>
        </w:tabs>
        <w:spacing w:after="0" w:line="240" w:lineRule="auto"/>
        <w:jc w:val="both"/>
        <w:rPr>
          <w:rFonts w:ascii="Times New Roman" w:eastAsia="Calibri" w:hAnsi="Times New Roman" w:cs="Times New Roman"/>
          <w:bCs/>
          <w:sz w:val="24"/>
          <w:szCs w:val="24"/>
          <w:shd w:val="clear" w:color="auto" w:fill="FFFFFF"/>
        </w:rPr>
      </w:pPr>
      <w:r w:rsidRPr="001E6FC4">
        <w:rPr>
          <w:rFonts w:ascii="Times New Roman" w:hAnsi="Times New Roman" w:cs="Times New Roman"/>
          <w:sz w:val="24"/>
          <w:szCs w:val="24"/>
        </w:rPr>
        <w:t>ar Sauszemes transportlīdzekļu īpašnieku civiltiesiskās atbildības obligātās apdrošināšanas likumu (OCTA likums) izvirzītajam mērķim un obligātās civiltiesiskās atbildības apdrošināšanas būtībai segt zaudējumus ceļu satiksmes negadījumā cietušajām trešajām personām, ja zaudējumus nodarījis transportlīdzeklis, kas pakļauts OCTA apdrošināšanai saskaņā ar OCTA direktīvu,</w:t>
      </w:r>
    </w:p>
    <w:p w14:paraId="2061D771" w14:textId="77777777" w:rsidR="00281889" w:rsidRPr="001E6FC4" w:rsidRDefault="00281889" w:rsidP="00281889">
      <w:pPr>
        <w:pStyle w:val="ListParagraph"/>
        <w:numPr>
          <w:ilvl w:val="1"/>
          <w:numId w:val="8"/>
        </w:numPr>
        <w:tabs>
          <w:tab w:val="left" w:pos="1276"/>
        </w:tabs>
        <w:spacing w:after="0" w:line="240" w:lineRule="auto"/>
        <w:jc w:val="both"/>
        <w:rPr>
          <w:rFonts w:ascii="Times New Roman" w:eastAsia="Calibri" w:hAnsi="Times New Roman" w:cs="Times New Roman"/>
          <w:bCs/>
          <w:sz w:val="24"/>
          <w:szCs w:val="24"/>
          <w:shd w:val="clear" w:color="auto" w:fill="FFFFFF"/>
        </w:rPr>
      </w:pPr>
      <w:r w:rsidRPr="001E6FC4">
        <w:rPr>
          <w:rFonts w:ascii="Times New Roman" w:hAnsi="Times New Roman" w:cs="Times New Roman"/>
          <w:sz w:val="24"/>
          <w:szCs w:val="24"/>
        </w:rPr>
        <w:t xml:space="preserve">direktīvai 2009/138/EK (Maksātspēja II) </w:t>
      </w:r>
      <w:r w:rsidRPr="001E6FC4">
        <w:rPr>
          <w:rFonts w:ascii="Times New Roman" w:hAnsi="Times New Roman" w:cs="Times New Roman"/>
          <w:sz w:val="24"/>
          <w:szCs w:val="24"/>
          <w:shd w:val="clear" w:color="auto" w:fill="FFFFFF"/>
        </w:rPr>
        <w:t xml:space="preserve">(ja apdrošināšanas sabiedrībām ir uzlikts pienākums piešķirt atlaides, tad netieši valsts iejaucas apdrošināšanas prēmijas apmēra noteikšanas politikā) un </w:t>
      </w:r>
      <w:r w:rsidRPr="001E6FC4">
        <w:rPr>
          <w:rFonts w:ascii="Times New Roman" w:hAnsi="Times New Roman" w:cs="Times New Roman"/>
          <w:sz w:val="24"/>
          <w:szCs w:val="24"/>
        </w:rPr>
        <w:t>Eiropas Savienības Tiesas judikatūrai par to, ka valsts nevar iejaukties apdrošināšanas prēmijas apmēra noteikšanas politikā</w:t>
      </w:r>
      <w:r w:rsidRPr="001E6FC4">
        <w:rPr>
          <w:rStyle w:val="FootnoteReference"/>
          <w:rFonts w:ascii="Times New Roman" w:hAnsi="Times New Roman" w:cs="Times New Roman"/>
          <w:sz w:val="24"/>
          <w:szCs w:val="24"/>
        </w:rPr>
        <w:footnoteReference w:id="23"/>
      </w:r>
      <w:r w:rsidRPr="001E6FC4">
        <w:rPr>
          <w:rFonts w:ascii="Times New Roman" w:hAnsi="Times New Roman" w:cs="Times New Roman"/>
          <w:sz w:val="24"/>
          <w:szCs w:val="24"/>
        </w:rPr>
        <w:t>;</w:t>
      </w:r>
    </w:p>
    <w:p w14:paraId="6492DA86" w14:textId="77777777" w:rsidR="00281889" w:rsidRPr="001E6FC4" w:rsidRDefault="00281889" w:rsidP="00281889">
      <w:pPr>
        <w:pStyle w:val="ListParagraph"/>
        <w:numPr>
          <w:ilvl w:val="0"/>
          <w:numId w:val="8"/>
        </w:numPr>
        <w:tabs>
          <w:tab w:val="left" w:pos="1276"/>
        </w:tabs>
        <w:spacing w:after="0" w:line="240" w:lineRule="auto"/>
        <w:jc w:val="both"/>
        <w:rPr>
          <w:rFonts w:ascii="Times New Roman" w:eastAsia="Calibri" w:hAnsi="Times New Roman" w:cs="Times New Roman"/>
          <w:bCs/>
          <w:sz w:val="24"/>
          <w:szCs w:val="24"/>
          <w:shd w:val="clear" w:color="auto" w:fill="FFFFFF"/>
        </w:rPr>
      </w:pPr>
      <w:r w:rsidRPr="001E6FC4">
        <w:rPr>
          <w:rFonts w:ascii="Times New Roman" w:eastAsia="Times New Roman" w:hAnsi="Times New Roman" w:cs="Times New Roman"/>
          <w:bCs/>
          <w:sz w:val="24"/>
          <w:szCs w:val="24"/>
        </w:rPr>
        <w:t>lai novērstu iespējamo neatbilstību Satversmes 91. un 105.pantā nostiprinātajām pamattiesībām (tiktu ievērots vienlīdzības princips un netiktu ierobežotas tiesības uz īpašumu);</w:t>
      </w:r>
    </w:p>
    <w:p w14:paraId="70D623AA" w14:textId="77777777" w:rsidR="00281889" w:rsidRPr="001E6FC4" w:rsidRDefault="00281889" w:rsidP="00281889">
      <w:pPr>
        <w:pStyle w:val="ListParagraph"/>
        <w:numPr>
          <w:ilvl w:val="0"/>
          <w:numId w:val="8"/>
        </w:numPr>
        <w:tabs>
          <w:tab w:val="left" w:pos="1276"/>
        </w:tabs>
        <w:spacing w:after="0" w:line="240" w:lineRule="auto"/>
        <w:ind w:left="0" w:firstLine="851"/>
        <w:jc w:val="both"/>
        <w:rPr>
          <w:rFonts w:ascii="Times New Roman" w:eastAsia="Calibri" w:hAnsi="Times New Roman" w:cs="Times New Roman"/>
          <w:bCs/>
          <w:sz w:val="24"/>
          <w:szCs w:val="24"/>
          <w:shd w:val="clear" w:color="auto" w:fill="FFFFFF"/>
        </w:rPr>
      </w:pPr>
      <w:r w:rsidRPr="001E6FC4">
        <w:rPr>
          <w:rFonts w:ascii="Times New Roman" w:eastAsia="Times New Roman" w:hAnsi="Times New Roman" w:cs="Times New Roman"/>
          <w:bCs/>
          <w:sz w:val="24"/>
          <w:szCs w:val="24"/>
        </w:rPr>
        <w:t xml:space="preserve">lai novērstu līdz šim absurdo situāciju, kad ar līdzšinējo atlaides mehānismu tiek vairāk atbalstīti sliktākie autovadītāji, kuriem ir sliktāka </w:t>
      </w:r>
      <w:r w:rsidRPr="001E6FC4">
        <w:rPr>
          <w:rFonts w:ascii="Times New Roman" w:eastAsia="Times New Roman" w:hAnsi="Times New Roman" w:cs="Times New Roman"/>
          <w:bCs/>
          <w:i/>
          <w:iCs/>
          <w:sz w:val="24"/>
          <w:szCs w:val="24"/>
        </w:rPr>
        <w:t>Bonus-Malus</w:t>
      </w:r>
      <w:r w:rsidRPr="001E6FC4">
        <w:rPr>
          <w:rFonts w:ascii="Times New Roman" w:eastAsia="Times New Roman" w:hAnsi="Times New Roman" w:cs="Times New Roman"/>
          <w:bCs/>
          <w:sz w:val="24"/>
          <w:szCs w:val="24"/>
        </w:rPr>
        <w:t xml:space="preserve"> klase (</w:t>
      </w:r>
      <w:r w:rsidRPr="001E6FC4">
        <w:rPr>
          <w:rFonts w:ascii="Times New Roman" w:hAnsi="Times New Roman" w:cs="Times New Roman"/>
          <w:bCs/>
          <w:sz w:val="24"/>
          <w:szCs w:val="24"/>
        </w:rPr>
        <w:t>jo sliktāka apdrošinājuma ņēmēja apdrošināšanas vēsture, jo lielāka apdrošināšanas prēmija, jo lielāka arī kompensējamā atlaide no Garantijas fonda</w:t>
      </w:r>
      <w:r w:rsidRPr="001E6FC4">
        <w:rPr>
          <w:rFonts w:ascii="Times New Roman" w:eastAsia="Times New Roman" w:hAnsi="Times New Roman" w:cs="Times New Roman"/>
          <w:bCs/>
          <w:sz w:val="24"/>
          <w:szCs w:val="24"/>
        </w:rPr>
        <w:t>),</w:t>
      </w:r>
    </w:p>
    <w:p w14:paraId="62231A8E" w14:textId="77777777" w:rsidR="00281889" w:rsidRPr="001E6FC4" w:rsidRDefault="00281889" w:rsidP="00281889">
      <w:pPr>
        <w:pStyle w:val="ListParagraph"/>
        <w:numPr>
          <w:ilvl w:val="0"/>
          <w:numId w:val="8"/>
        </w:numPr>
        <w:tabs>
          <w:tab w:val="left" w:pos="1276"/>
        </w:tabs>
        <w:spacing w:after="0" w:line="240" w:lineRule="auto"/>
        <w:ind w:left="0" w:firstLine="851"/>
        <w:jc w:val="both"/>
        <w:rPr>
          <w:rFonts w:ascii="Times New Roman" w:eastAsia="Calibri" w:hAnsi="Times New Roman" w:cs="Times New Roman"/>
          <w:bCs/>
          <w:sz w:val="24"/>
          <w:szCs w:val="24"/>
          <w:shd w:val="clear" w:color="auto" w:fill="FFFFFF"/>
        </w:rPr>
      </w:pPr>
      <w:r w:rsidRPr="001E6FC4">
        <w:rPr>
          <w:rFonts w:ascii="Times New Roman" w:eastAsia="Times New Roman" w:hAnsi="Times New Roman" w:cs="Times New Roman"/>
          <w:bCs/>
          <w:sz w:val="24"/>
          <w:szCs w:val="24"/>
        </w:rPr>
        <w:t>lai novērstu sociālo nevienlīdzību pašu personu, kurām pienākas atlaides, un pārējo apdrošinājumu ņēmēju vidū;</w:t>
      </w:r>
    </w:p>
    <w:p w14:paraId="77BEA5B4" w14:textId="77777777" w:rsidR="00281889" w:rsidRPr="001E6FC4" w:rsidRDefault="00281889" w:rsidP="00281889">
      <w:pPr>
        <w:pStyle w:val="ListParagraph"/>
        <w:numPr>
          <w:ilvl w:val="0"/>
          <w:numId w:val="8"/>
        </w:numPr>
        <w:tabs>
          <w:tab w:val="left" w:pos="1276"/>
        </w:tabs>
        <w:spacing w:after="0" w:line="240" w:lineRule="auto"/>
        <w:ind w:left="0" w:firstLine="851"/>
        <w:jc w:val="both"/>
        <w:rPr>
          <w:rFonts w:ascii="Times New Roman" w:eastAsia="Calibri" w:hAnsi="Times New Roman" w:cs="Times New Roman"/>
          <w:bCs/>
          <w:sz w:val="24"/>
          <w:szCs w:val="24"/>
          <w:shd w:val="clear" w:color="auto" w:fill="FFFFFF"/>
        </w:rPr>
      </w:pPr>
      <w:r w:rsidRPr="001E6FC4">
        <w:rPr>
          <w:rFonts w:ascii="Times New Roman" w:eastAsia="Times New Roman" w:hAnsi="Times New Roman" w:cs="Times New Roman"/>
          <w:bCs/>
          <w:sz w:val="24"/>
          <w:szCs w:val="24"/>
        </w:rPr>
        <w:t xml:space="preserve">lai tiktu ievērots vienlīdzības princips un novērsta priviliģētā attieksme pret </w:t>
      </w:r>
      <w:r w:rsidRPr="001E6FC4">
        <w:rPr>
          <w:rFonts w:ascii="Times New Roman" w:hAnsi="Times New Roman" w:cs="Times New Roman"/>
          <w:sz w:val="24"/>
          <w:szCs w:val="24"/>
        </w:rPr>
        <w:t>atsevišķu saimnieciskās darbības veicēju grupu</w:t>
      </w:r>
      <w:r w:rsidRPr="001E6FC4">
        <w:rPr>
          <w:rFonts w:ascii="Times New Roman" w:eastAsia="Times New Roman" w:hAnsi="Times New Roman" w:cs="Times New Roman"/>
          <w:bCs/>
          <w:sz w:val="24"/>
          <w:szCs w:val="24"/>
        </w:rPr>
        <w:t>.</w:t>
      </w:r>
    </w:p>
    <w:p w14:paraId="67E7EEB6" w14:textId="77777777" w:rsidR="00281889" w:rsidRPr="001E6FC4" w:rsidRDefault="00281889" w:rsidP="00281889">
      <w:pPr>
        <w:pStyle w:val="ListParagraph"/>
        <w:tabs>
          <w:tab w:val="left" w:pos="1276"/>
        </w:tabs>
        <w:spacing w:after="0" w:line="240" w:lineRule="auto"/>
        <w:ind w:left="851"/>
        <w:jc w:val="both"/>
        <w:rPr>
          <w:rFonts w:ascii="Times New Roman" w:eastAsia="Calibri" w:hAnsi="Times New Roman" w:cs="Times New Roman"/>
          <w:bCs/>
          <w:sz w:val="24"/>
          <w:szCs w:val="24"/>
          <w:shd w:val="clear" w:color="auto" w:fill="FFFFFF"/>
        </w:rPr>
      </w:pPr>
    </w:p>
    <w:p w14:paraId="47BDB3ED" w14:textId="77777777" w:rsidR="00281889" w:rsidRPr="001E6FC4" w:rsidRDefault="00281889" w:rsidP="00281889">
      <w:pPr>
        <w:pStyle w:val="ListParagraph"/>
        <w:tabs>
          <w:tab w:val="left" w:pos="1276"/>
        </w:tabs>
        <w:spacing w:after="0" w:line="240" w:lineRule="auto"/>
        <w:ind w:left="0" w:firstLine="851"/>
        <w:jc w:val="both"/>
        <w:rPr>
          <w:rFonts w:ascii="Times New Roman" w:eastAsia="Times New Roman" w:hAnsi="Times New Roman" w:cs="Times New Roman"/>
          <w:b/>
          <w:sz w:val="24"/>
          <w:szCs w:val="24"/>
        </w:rPr>
      </w:pPr>
      <w:r w:rsidRPr="001E6FC4">
        <w:rPr>
          <w:rFonts w:ascii="Times New Roman" w:eastAsia="Times New Roman" w:hAnsi="Times New Roman" w:cs="Times New Roman"/>
          <w:b/>
          <w:sz w:val="24"/>
          <w:szCs w:val="24"/>
        </w:rPr>
        <w:t>LTAB ierosina tālāk virzīt 3. rīcības modeli, vienlaikus veicot šādus grozījumus OCTA likumā:</w:t>
      </w:r>
    </w:p>
    <w:p w14:paraId="53AC75F2" w14:textId="77777777" w:rsidR="00281889" w:rsidRPr="001E6FC4" w:rsidRDefault="00281889" w:rsidP="00281889">
      <w:pPr>
        <w:pStyle w:val="ListParagraph"/>
        <w:numPr>
          <w:ilvl w:val="0"/>
          <w:numId w:val="7"/>
        </w:numPr>
        <w:tabs>
          <w:tab w:val="left" w:pos="993"/>
        </w:tabs>
        <w:spacing w:after="0" w:line="240" w:lineRule="auto"/>
        <w:ind w:left="0" w:firstLine="709"/>
        <w:jc w:val="both"/>
        <w:rPr>
          <w:rFonts w:ascii="Times New Roman" w:hAnsi="Times New Roman" w:cs="Times New Roman"/>
          <w:bCs/>
          <w:sz w:val="24"/>
          <w:szCs w:val="24"/>
        </w:rPr>
      </w:pPr>
      <w:r w:rsidRPr="001E6FC4">
        <w:rPr>
          <w:rFonts w:ascii="Times New Roman" w:eastAsia="Calibri" w:hAnsi="Times New Roman" w:cs="Times New Roman"/>
          <w:bCs/>
          <w:sz w:val="24"/>
          <w:szCs w:val="24"/>
          <w:shd w:val="clear" w:color="auto" w:fill="FFFFFF"/>
        </w:rPr>
        <w:t xml:space="preserve">izslēgt 14.pantā </w:t>
      </w:r>
      <w:r w:rsidRPr="001E6FC4">
        <w:rPr>
          <w:rFonts w:ascii="Times New Roman" w:hAnsi="Times New Roman" w:cs="Times New Roman"/>
          <w:bCs/>
          <w:sz w:val="24"/>
          <w:szCs w:val="24"/>
        </w:rPr>
        <w:t>otro, 2.</w:t>
      </w:r>
      <w:r w:rsidRPr="001E6FC4">
        <w:rPr>
          <w:rFonts w:ascii="Times New Roman" w:hAnsi="Times New Roman" w:cs="Times New Roman"/>
          <w:bCs/>
          <w:sz w:val="24"/>
          <w:szCs w:val="24"/>
          <w:vertAlign w:val="superscript"/>
        </w:rPr>
        <w:t>1</w:t>
      </w:r>
      <w:r w:rsidRPr="001E6FC4">
        <w:rPr>
          <w:rFonts w:ascii="Times New Roman" w:hAnsi="Times New Roman" w:cs="Times New Roman"/>
          <w:bCs/>
          <w:sz w:val="24"/>
          <w:szCs w:val="24"/>
        </w:rPr>
        <w:t xml:space="preserve">, trešo un ceturto daļu, </w:t>
      </w:r>
    </w:p>
    <w:p w14:paraId="1A359F81" w14:textId="77777777" w:rsidR="00281889" w:rsidRPr="001E6FC4" w:rsidRDefault="00281889" w:rsidP="00281889">
      <w:pPr>
        <w:pStyle w:val="ListParagraph"/>
        <w:numPr>
          <w:ilvl w:val="0"/>
          <w:numId w:val="7"/>
        </w:numPr>
        <w:tabs>
          <w:tab w:val="left" w:pos="993"/>
        </w:tabs>
        <w:spacing w:after="0" w:line="240" w:lineRule="auto"/>
        <w:ind w:left="0" w:firstLine="709"/>
        <w:jc w:val="both"/>
        <w:rPr>
          <w:rFonts w:ascii="Times New Roman" w:eastAsia="Calibri" w:hAnsi="Times New Roman" w:cs="Times New Roman"/>
          <w:bCs/>
          <w:sz w:val="24"/>
          <w:szCs w:val="24"/>
          <w:shd w:val="clear" w:color="auto" w:fill="FFFFFF"/>
        </w:rPr>
      </w:pPr>
      <w:r w:rsidRPr="001E6FC4">
        <w:rPr>
          <w:rFonts w:ascii="Times New Roman" w:eastAsia="Calibri" w:hAnsi="Times New Roman" w:cs="Times New Roman"/>
          <w:bCs/>
          <w:sz w:val="24"/>
          <w:szCs w:val="24"/>
          <w:shd w:val="clear" w:color="auto" w:fill="FFFFFF"/>
        </w:rPr>
        <w:t xml:space="preserve">izslēgt </w:t>
      </w:r>
      <w:r w:rsidRPr="001E6FC4">
        <w:rPr>
          <w:rFonts w:ascii="Times New Roman" w:hAnsi="Times New Roman" w:cs="Times New Roman"/>
          <w:bCs/>
          <w:sz w:val="24"/>
          <w:szCs w:val="24"/>
        </w:rPr>
        <w:t>51.panta trešās daļas 2.punktu,</w:t>
      </w:r>
    </w:p>
    <w:p w14:paraId="1634E27F" w14:textId="77777777" w:rsidR="00281889" w:rsidRPr="001E6FC4" w:rsidRDefault="00281889" w:rsidP="00281889">
      <w:pPr>
        <w:pStyle w:val="ListParagraph"/>
        <w:numPr>
          <w:ilvl w:val="0"/>
          <w:numId w:val="7"/>
        </w:numPr>
        <w:tabs>
          <w:tab w:val="left" w:pos="993"/>
        </w:tabs>
        <w:spacing w:after="0" w:line="240" w:lineRule="auto"/>
        <w:ind w:left="0" w:firstLine="709"/>
        <w:jc w:val="both"/>
        <w:rPr>
          <w:rFonts w:ascii="Times New Roman" w:eastAsia="Calibri" w:hAnsi="Times New Roman" w:cs="Times New Roman"/>
          <w:bCs/>
          <w:sz w:val="24"/>
          <w:szCs w:val="24"/>
          <w:shd w:val="clear" w:color="auto" w:fill="FFFFFF"/>
        </w:rPr>
      </w:pPr>
      <w:r w:rsidRPr="001E6FC4">
        <w:rPr>
          <w:rFonts w:ascii="Times New Roman" w:hAnsi="Times New Roman" w:cs="Times New Roman"/>
          <w:bCs/>
          <w:sz w:val="24"/>
          <w:szCs w:val="24"/>
        </w:rPr>
        <w:lastRenderedPageBreak/>
        <w:t xml:space="preserve">izslēgt 57.panta otrās daļas pēdējo teikumu, </w:t>
      </w:r>
    </w:p>
    <w:p w14:paraId="05E1D252" w14:textId="77777777" w:rsidR="00281889" w:rsidRPr="001E6FC4" w:rsidRDefault="00281889" w:rsidP="00281889">
      <w:pPr>
        <w:pStyle w:val="ListParagraph"/>
        <w:numPr>
          <w:ilvl w:val="0"/>
          <w:numId w:val="7"/>
        </w:numPr>
        <w:tabs>
          <w:tab w:val="left" w:pos="993"/>
        </w:tabs>
        <w:spacing w:after="0" w:line="240" w:lineRule="auto"/>
        <w:ind w:left="0" w:firstLine="709"/>
        <w:jc w:val="both"/>
        <w:rPr>
          <w:rFonts w:ascii="Times New Roman" w:hAnsi="Times New Roman" w:cs="Times New Roman"/>
          <w:bCs/>
          <w:sz w:val="24"/>
          <w:szCs w:val="24"/>
        </w:rPr>
      </w:pPr>
      <w:r w:rsidRPr="001E6FC4">
        <w:rPr>
          <w:rFonts w:ascii="Times New Roman" w:hAnsi="Times New Roman" w:cs="Times New Roman"/>
          <w:bCs/>
          <w:sz w:val="24"/>
          <w:szCs w:val="24"/>
          <w:shd w:val="clear" w:color="auto" w:fill="FFFFFF"/>
        </w:rPr>
        <w:t xml:space="preserve">Papildināt pārejas noteikumus ar 25.punktu šādā redakcijā: </w:t>
      </w:r>
    </w:p>
    <w:p w14:paraId="434E3F66" w14:textId="77777777" w:rsidR="00281889" w:rsidRPr="001E6FC4" w:rsidRDefault="00281889" w:rsidP="00281889">
      <w:pPr>
        <w:pStyle w:val="ListParagraph"/>
        <w:tabs>
          <w:tab w:val="left" w:pos="993"/>
        </w:tabs>
        <w:ind w:left="0" w:firstLine="709"/>
        <w:jc w:val="both"/>
        <w:rPr>
          <w:rFonts w:ascii="Times New Roman" w:hAnsi="Times New Roman" w:cs="Times New Roman"/>
          <w:bCs/>
          <w:sz w:val="24"/>
          <w:szCs w:val="24"/>
        </w:rPr>
      </w:pPr>
      <w:r w:rsidRPr="001E6FC4">
        <w:rPr>
          <w:rFonts w:ascii="Times New Roman" w:hAnsi="Times New Roman" w:cs="Times New Roman"/>
          <w:bCs/>
          <w:sz w:val="24"/>
          <w:szCs w:val="24"/>
          <w:shd w:val="clear" w:color="auto" w:fill="FFFFFF"/>
        </w:rPr>
        <w:t>“25. Grozījumi attiecībā uz šā likuma </w:t>
      </w:r>
      <w:hyperlink r:id="rId19" w:anchor="p8" w:history="1"/>
      <w:r w:rsidRPr="001E6FC4">
        <w:rPr>
          <w:rFonts w:ascii="Times New Roman" w:hAnsi="Times New Roman" w:cs="Times New Roman"/>
          <w:bCs/>
          <w:sz w:val="24"/>
          <w:szCs w:val="24"/>
        </w:rPr>
        <w:t xml:space="preserve"> 14. panta otrās, 2.</w:t>
      </w:r>
      <w:r w:rsidRPr="001E6FC4">
        <w:rPr>
          <w:rFonts w:ascii="Times New Roman" w:hAnsi="Times New Roman" w:cs="Times New Roman"/>
          <w:bCs/>
          <w:sz w:val="24"/>
          <w:szCs w:val="24"/>
          <w:vertAlign w:val="superscript"/>
        </w:rPr>
        <w:t>1</w:t>
      </w:r>
      <w:r w:rsidRPr="001E6FC4">
        <w:rPr>
          <w:rFonts w:ascii="Times New Roman" w:hAnsi="Times New Roman" w:cs="Times New Roman"/>
          <w:bCs/>
          <w:sz w:val="24"/>
          <w:szCs w:val="24"/>
        </w:rPr>
        <w:t>, trešās un ceturtās daļas, 51. panta trešās daļas 2.punktu un 57.panta otrās daļas pēdējā teikuma izslēgšanu stājas</w:t>
      </w:r>
      <w:r w:rsidRPr="001E6FC4">
        <w:rPr>
          <w:rFonts w:ascii="Times New Roman" w:hAnsi="Times New Roman" w:cs="Times New Roman"/>
          <w:bCs/>
          <w:sz w:val="24"/>
          <w:szCs w:val="24"/>
          <w:shd w:val="clear" w:color="auto" w:fill="FFFFFF"/>
        </w:rPr>
        <w:t xml:space="preserve"> spēkā 2025.gada 1.janvārī. No 2023. gada 1. jūlija līdz 2024. gada 31. decembrim:</w:t>
      </w:r>
    </w:p>
    <w:p w14:paraId="2BE2FAF5" w14:textId="77777777" w:rsidR="00281889" w:rsidRPr="001E6FC4" w:rsidRDefault="00281889" w:rsidP="00281889">
      <w:pPr>
        <w:pStyle w:val="ListParagraph"/>
        <w:numPr>
          <w:ilvl w:val="0"/>
          <w:numId w:val="6"/>
        </w:numPr>
        <w:tabs>
          <w:tab w:val="left" w:pos="993"/>
        </w:tabs>
        <w:spacing w:after="0" w:line="240" w:lineRule="auto"/>
        <w:ind w:left="0" w:firstLine="709"/>
        <w:jc w:val="both"/>
        <w:rPr>
          <w:rFonts w:ascii="Times New Roman" w:hAnsi="Times New Roman" w:cs="Times New Roman"/>
          <w:bCs/>
          <w:sz w:val="24"/>
          <w:szCs w:val="24"/>
        </w:rPr>
      </w:pPr>
      <w:r w:rsidRPr="001E6FC4">
        <w:rPr>
          <w:rFonts w:ascii="Times New Roman" w:hAnsi="Times New Roman" w:cs="Times New Roman"/>
          <w:bCs/>
          <w:sz w:val="24"/>
          <w:szCs w:val="24"/>
        </w:rPr>
        <w:t>šā likuma 14. panta otrajā daļā minētajam transportlīdzekļa īpašniekam apdrošinātāja noteiktās apdrošināšanas prēmijas maksājums tiek samazināts par 20 procentiem,</w:t>
      </w:r>
    </w:p>
    <w:p w14:paraId="3DC246BF" w14:textId="77777777" w:rsidR="00281889" w:rsidRPr="001E6FC4" w:rsidRDefault="00281889" w:rsidP="00281889">
      <w:pPr>
        <w:pStyle w:val="ListParagraph"/>
        <w:numPr>
          <w:ilvl w:val="0"/>
          <w:numId w:val="6"/>
        </w:numPr>
        <w:tabs>
          <w:tab w:val="left" w:pos="993"/>
        </w:tabs>
        <w:spacing w:after="0" w:line="240" w:lineRule="auto"/>
        <w:ind w:left="0" w:firstLine="709"/>
        <w:jc w:val="both"/>
        <w:rPr>
          <w:rFonts w:ascii="Times New Roman" w:hAnsi="Times New Roman" w:cs="Times New Roman"/>
          <w:sz w:val="24"/>
          <w:szCs w:val="24"/>
        </w:rPr>
      </w:pPr>
      <w:r w:rsidRPr="001E6FC4">
        <w:rPr>
          <w:rFonts w:ascii="Times New Roman" w:hAnsi="Times New Roman" w:cs="Times New Roman"/>
          <w:bCs/>
          <w:sz w:val="24"/>
          <w:szCs w:val="24"/>
        </w:rPr>
        <w:t>šā likuma 14.panta trešajā daļā minētajam transportlīdzekļa īpašniekam apdrošinātāja noteiktās apdrošināšanas prēmijas maksājums tiek samazināts par 15 procentiem.”</w:t>
      </w:r>
    </w:p>
    <w:p w14:paraId="056CF7ED" w14:textId="481CA0BC" w:rsidR="00281889" w:rsidRPr="001E6FC4" w:rsidRDefault="00281889" w:rsidP="006C2E99">
      <w:pPr>
        <w:spacing w:after="0" w:line="240" w:lineRule="auto"/>
        <w:rPr>
          <w:rFonts w:ascii="Times New Roman" w:hAnsi="Times New Roman" w:cs="Times New Roman"/>
          <w:sz w:val="24"/>
          <w:szCs w:val="24"/>
        </w:rPr>
      </w:pPr>
    </w:p>
    <w:p w14:paraId="0D4F22FE" w14:textId="2FFE2F49" w:rsidR="00A9010C" w:rsidRPr="001E6FC4" w:rsidRDefault="00A9010C" w:rsidP="006C2E99">
      <w:pPr>
        <w:spacing w:after="0" w:line="240" w:lineRule="auto"/>
        <w:rPr>
          <w:rFonts w:ascii="Times New Roman" w:hAnsi="Times New Roman" w:cs="Times New Roman"/>
          <w:sz w:val="24"/>
          <w:szCs w:val="24"/>
        </w:rPr>
      </w:pPr>
    </w:p>
    <w:p w14:paraId="4568C229" w14:textId="341EE353" w:rsidR="00A9010C" w:rsidRDefault="00A9010C" w:rsidP="006C2E99">
      <w:pPr>
        <w:spacing w:after="0" w:line="240" w:lineRule="auto"/>
        <w:rPr>
          <w:rFonts w:ascii="Times New Roman" w:hAnsi="Times New Roman" w:cs="Times New Roman"/>
          <w:sz w:val="24"/>
          <w:szCs w:val="24"/>
        </w:rPr>
      </w:pPr>
    </w:p>
    <w:p w14:paraId="2003C078" w14:textId="4AFB82DA" w:rsidR="004F18A2" w:rsidRDefault="004F18A2" w:rsidP="006C2E99">
      <w:pPr>
        <w:spacing w:after="0" w:line="240" w:lineRule="auto"/>
        <w:rPr>
          <w:rFonts w:ascii="Times New Roman" w:hAnsi="Times New Roman" w:cs="Times New Roman"/>
          <w:sz w:val="24"/>
          <w:szCs w:val="24"/>
        </w:rPr>
      </w:pPr>
    </w:p>
    <w:p w14:paraId="2DD7B512" w14:textId="474A3F24" w:rsidR="004F18A2" w:rsidRDefault="004F18A2" w:rsidP="006C2E99">
      <w:pPr>
        <w:spacing w:after="0" w:line="240" w:lineRule="auto"/>
        <w:rPr>
          <w:rFonts w:ascii="Times New Roman" w:hAnsi="Times New Roman" w:cs="Times New Roman"/>
          <w:sz w:val="24"/>
          <w:szCs w:val="24"/>
        </w:rPr>
      </w:pPr>
    </w:p>
    <w:p w14:paraId="06652C7C" w14:textId="726853CE" w:rsidR="004F18A2" w:rsidRDefault="004F18A2" w:rsidP="006C2E99">
      <w:pPr>
        <w:spacing w:after="0" w:line="240" w:lineRule="auto"/>
        <w:rPr>
          <w:rFonts w:ascii="Times New Roman" w:hAnsi="Times New Roman" w:cs="Times New Roman"/>
          <w:sz w:val="24"/>
          <w:szCs w:val="24"/>
        </w:rPr>
      </w:pPr>
    </w:p>
    <w:p w14:paraId="2763FFF9" w14:textId="425FA9EE" w:rsidR="004F18A2" w:rsidRDefault="004F18A2" w:rsidP="006C2E99">
      <w:pPr>
        <w:spacing w:after="0" w:line="240" w:lineRule="auto"/>
        <w:rPr>
          <w:rFonts w:ascii="Times New Roman" w:hAnsi="Times New Roman" w:cs="Times New Roman"/>
          <w:sz w:val="24"/>
          <w:szCs w:val="24"/>
        </w:rPr>
      </w:pPr>
    </w:p>
    <w:p w14:paraId="6B06EB52" w14:textId="77777777" w:rsidR="004F18A2" w:rsidRDefault="004F18A2" w:rsidP="006C2E99">
      <w:pPr>
        <w:spacing w:after="0" w:line="240" w:lineRule="auto"/>
        <w:rPr>
          <w:rFonts w:ascii="Times New Roman" w:hAnsi="Times New Roman" w:cs="Times New Roman"/>
          <w:sz w:val="24"/>
          <w:szCs w:val="24"/>
        </w:rPr>
      </w:pPr>
    </w:p>
    <w:p w14:paraId="3A0301D5" w14:textId="206A255E" w:rsidR="00E04644" w:rsidRDefault="00E04644" w:rsidP="006C2E99">
      <w:pPr>
        <w:spacing w:after="0" w:line="240" w:lineRule="auto"/>
        <w:rPr>
          <w:rFonts w:ascii="Times New Roman" w:hAnsi="Times New Roman" w:cs="Times New Roman"/>
          <w:sz w:val="24"/>
          <w:szCs w:val="24"/>
        </w:rPr>
      </w:pPr>
    </w:p>
    <w:p w14:paraId="0E36A05F" w14:textId="77777777" w:rsidR="004F18A2" w:rsidRPr="00613CBB" w:rsidRDefault="004F18A2" w:rsidP="004F18A2">
      <w:pPr>
        <w:jc w:val="both"/>
        <w:rPr>
          <w:rFonts w:ascii="Times New Roman" w:hAnsi="Times New Roman"/>
          <w:color w:val="000000"/>
          <w:sz w:val="24"/>
          <w:szCs w:val="24"/>
        </w:rPr>
      </w:pPr>
      <w:r w:rsidRPr="00613CBB">
        <w:rPr>
          <w:rFonts w:ascii="Times New Roman" w:hAnsi="Times New Roman"/>
          <w:color w:val="000000"/>
          <w:sz w:val="24"/>
          <w:szCs w:val="24"/>
        </w:rPr>
        <w:t xml:space="preserve">Finanšu ministrs  </w:t>
      </w:r>
      <w:r w:rsidRPr="00613CBB">
        <w:rPr>
          <w:rFonts w:ascii="Times New Roman" w:hAnsi="Times New Roman"/>
          <w:color w:val="000000"/>
          <w:sz w:val="24"/>
          <w:szCs w:val="24"/>
        </w:rPr>
        <w:tab/>
      </w:r>
      <w:r w:rsidRPr="00613CBB">
        <w:rPr>
          <w:rFonts w:ascii="Times New Roman" w:hAnsi="Times New Roman"/>
          <w:color w:val="000000"/>
          <w:sz w:val="24"/>
          <w:szCs w:val="24"/>
        </w:rPr>
        <w:tab/>
      </w:r>
      <w:r w:rsidRPr="00613CBB">
        <w:rPr>
          <w:rFonts w:ascii="Times New Roman" w:hAnsi="Times New Roman"/>
          <w:color w:val="000000"/>
          <w:sz w:val="24"/>
          <w:szCs w:val="24"/>
        </w:rPr>
        <w:tab/>
      </w:r>
      <w:r w:rsidRPr="00613CBB">
        <w:rPr>
          <w:rFonts w:ascii="Times New Roman" w:hAnsi="Times New Roman"/>
          <w:color w:val="000000"/>
          <w:sz w:val="24"/>
          <w:szCs w:val="24"/>
        </w:rPr>
        <w:tab/>
      </w:r>
      <w:r w:rsidRPr="00613CBB">
        <w:rPr>
          <w:rFonts w:ascii="Times New Roman" w:hAnsi="Times New Roman"/>
          <w:color w:val="000000"/>
          <w:sz w:val="24"/>
          <w:szCs w:val="24"/>
        </w:rPr>
        <w:tab/>
      </w:r>
      <w:r w:rsidRPr="00613CBB">
        <w:rPr>
          <w:rFonts w:ascii="Times New Roman" w:hAnsi="Times New Roman"/>
          <w:color w:val="000000"/>
          <w:sz w:val="24"/>
          <w:szCs w:val="24"/>
        </w:rPr>
        <w:tab/>
      </w:r>
      <w:r w:rsidRPr="00613CBB">
        <w:rPr>
          <w:rFonts w:ascii="Times New Roman" w:hAnsi="Times New Roman"/>
          <w:color w:val="000000"/>
          <w:sz w:val="24"/>
          <w:szCs w:val="24"/>
        </w:rPr>
        <w:tab/>
      </w:r>
      <w:r w:rsidRPr="00613CBB">
        <w:rPr>
          <w:rFonts w:ascii="Times New Roman" w:hAnsi="Times New Roman"/>
          <w:color w:val="000000"/>
          <w:sz w:val="24"/>
          <w:szCs w:val="24"/>
        </w:rPr>
        <w:tab/>
        <w:t>J.Reirs</w:t>
      </w:r>
    </w:p>
    <w:p w14:paraId="23284A96" w14:textId="5BC22240" w:rsidR="00E04644" w:rsidRDefault="00E04644" w:rsidP="006C2E99">
      <w:pPr>
        <w:spacing w:after="0" w:line="240" w:lineRule="auto"/>
        <w:rPr>
          <w:rFonts w:ascii="Times New Roman" w:hAnsi="Times New Roman" w:cs="Times New Roman"/>
          <w:sz w:val="24"/>
          <w:szCs w:val="24"/>
        </w:rPr>
      </w:pPr>
    </w:p>
    <w:p w14:paraId="41A8CF36" w14:textId="04221BEB" w:rsidR="00E04644" w:rsidRDefault="00E04644" w:rsidP="006C2E99">
      <w:pPr>
        <w:spacing w:after="0" w:line="240" w:lineRule="auto"/>
        <w:rPr>
          <w:rFonts w:ascii="Times New Roman" w:hAnsi="Times New Roman" w:cs="Times New Roman"/>
          <w:sz w:val="24"/>
          <w:szCs w:val="24"/>
        </w:rPr>
      </w:pPr>
    </w:p>
    <w:p w14:paraId="2B95BCEC" w14:textId="77777777" w:rsidR="00E04644" w:rsidRPr="001E6FC4" w:rsidRDefault="00E04644" w:rsidP="006C2E99">
      <w:pPr>
        <w:spacing w:after="0" w:line="240" w:lineRule="auto"/>
        <w:rPr>
          <w:rFonts w:ascii="Times New Roman" w:hAnsi="Times New Roman" w:cs="Times New Roman"/>
          <w:sz w:val="24"/>
          <w:szCs w:val="24"/>
        </w:rPr>
      </w:pPr>
    </w:p>
    <w:sectPr w:rsidR="00E04644" w:rsidRPr="001E6FC4" w:rsidSect="00E36DA4">
      <w:headerReference w:type="even" r:id="rId20"/>
      <w:headerReference w:type="default" r:id="rId21"/>
      <w:footerReference w:type="even" r:id="rId22"/>
      <w:footerReference w:type="default" r:id="rId23"/>
      <w:headerReference w:type="first" r:id="rId24"/>
      <w:footerReference w:type="first" r:id="rId25"/>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69EB53" w14:textId="77777777" w:rsidR="002B030D" w:rsidRDefault="002B030D" w:rsidP="00C62AF7">
      <w:pPr>
        <w:spacing w:after="0" w:line="240" w:lineRule="auto"/>
      </w:pPr>
      <w:r>
        <w:separator/>
      </w:r>
    </w:p>
  </w:endnote>
  <w:endnote w:type="continuationSeparator" w:id="0">
    <w:p w14:paraId="27C48243" w14:textId="77777777" w:rsidR="002B030D" w:rsidRDefault="002B030D" w:rsidP="00C62A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BA"/>
    <w:family w:val="swiss"/>
    <w:pitch w:val="variable"/>
    <w:sig w:usb0="E4002EFF" w:usb1="C000247B" w:usb2="00000009" w:usb3="00000000" w:csb0="000001FF" w:csb1="00000000"/>
  </w:font>
  <w:font w:name="Gotham Pro LT">
    <w:altName w:val="Calibri"/>
    <w:panose1 w:val="020B0604020202020204"/>
    <w:charset w:val="BA"/>
    <w:family w:val="auto"/>
    <w:pitch w:val="variable"/>
    <w:sig w:usb0="80000AAF" w:usb1="5000204A" w:usb2="00000000" w:usb3="00000000" w:csb0="000000B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BA"/>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BE3E3" w14:textId="77777777" w:rsidR="00CA1C2E" w:rsidRDefault="00CA1C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39986" w14:textId="77777777" w:rsidR="00C62AF7" w:rsidRDefault="00DF7698" w:rsidP="00C62AF7">
    <w:pPr>
      <w:pStyle w:val="Footer"/>
      <w:jc w:val="center"/>
    </w:pPr>
    <w:r>
      <w:rPr>
        <w:rFonts w:ascii="Times New Roman" w:hAnsi="Times New Roman" w:cs="Times New Roman"/>
        <w:noProof/>
        <w:sz w:val="24"/>
        <w:szCs w:val="24"/>
        <w:lang w:eastAsia="lv-LV"/>
      </w:rPr>
      <mc:AlternateContent>
        <mc:Choice Requires="wps">
          <w:drawing>
            <wp:anchor distT="36576" distB="36576" distL="36576" distR="36576" simplePos="0" relativeHeight="251659264" behindDoc="0" locked="0" layoutInCell="1" allowOverlap="1" wp14:anchorId="08F3998B" wp14:editId="08F3998C">
              <wp:simplePos x="0" y="0"/>
              <wp:positionH relativeFrom="column">
                <wp:posOffset>-723900</wp:posOffset>
              </wp:positionH>
              <wp:positionV relativeFrom="paragraph">
                <wp:posOffset>115570</wp:posOffset>
              </wp:positionV>
              <wp:extent cx="7626985" cy="401955"/>
              <wp:effectExtent l="0" t="0" r="4445" b="63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6985" cy="40195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8F3998F" w14:textId="77777777" w:rsidR="00DF7698" w:rsidRPr="00E3276D" w:rsidRDefault="00DF7698" w:rsidP="00DF7698">
                          <w:pPr>
                            <w:widowControl w:val="0"/>
                            <w:spacing w:after="0"/>
                            <w:jc w:val="center"/>
                            <w:rPr>
                              <w:rFonts w:ascii="Gotham Pro LT" w:hAnsi="Gotham Pro LT" w:cs="Gotham Pro LT"/>
                              <w:color w:val="3B3838"/>
                              <w:sz w:val="18"/>
                              <w:szCs w:val="18"/>
                              <w:lang w:val="en-US"/>
                            </w:rPr>
                          </w:pPr>
                          <w:r w:rsidRPr="00E3276D">
                            <w:rPr>
                              <w:rFonts w:ascii="Gotham Pro LT" w:hAnsi="Gotham Pro LT" w:cs="Gotham Pro LT"/>
                              <w:color w:val="3B3838"/>
                              <w:sz w:val="18"/>
                              <w:szCs w:val="18"/>
                              <w:lang w:val="en-US"/>
                            </w:rPr>
                            <w:t>Biedrība “Latvijas Transportlīdzekļu apdrošinātāju birojs”, Reģ. Nr. 40008084453</w:t>
                          </w:r>
                        </w:p>
                        <w:p w14:paraId="08F39990" w14:textId="77777777" w:rsidR="00DF7698" w:rsidRPr="00E3276D" w:rsidRDefault="00DF7698" w:rsidP="00DF7698">
                          <w:pPr>
                            <w:widowControl w:val="0"/>
                            <w:spacing w:after="0"/>
                            <w:jc w:val="center"/>
                            <w:rPr>
                              <w:rFonts w:ascii="Gotham Pro LT" w:hAnsi="Gotham Pro LT" w:cs="Gotham Pro LT"/>
                              <w:color w:val="3B3838"/>
                              <w:sz w:val="18"/>
                              <w:szCs w:val="18"/>
                              <w:lang w:val="en-US"/>
                            </w:rPr>
                          </w:pPr>
                          <w:r w:rsidRPr="00E3276D">
                            <w:rPr>
                              <w:rFonts w:ascii="Gotham Pro LT" w:hAnsi="Gotham Pro LT" w:cs="Gotham Pro LT"/>
                              <w:color w:val="3B3838"/>
                              <w:sz w:val="18"/>
                              <w:szCs w:val="18"/>
                              <w:lang w:val="en-US"/>
                            </w:rPr>
                            <w:t xml:space="preserve">Toma iela 4, Rīga, LV-1003, Latvija Tālr.67114300, e-pasts: </w:t>
                          </w:r>
                          <w:hyperlink r:id="rId1" w:history="1">
                            <w:r w:rsidRPr="00E3276D">
                              <w:rPr>
                                <w:rStyle w:val="Hyperlink"/>
                                <w:rFonts w:ascii="Gotham Pro LT" w:hAnsi="Gotham Pro LT" w:cs="Gotham Pro LT"/>
                                <w:color w:val="3B3838"/>
                                <w:sz w:val="18"/>
                                <w:szCs w:val="18"/>
                                <w:lang w:val="en-US"/>
                              </w:rPr>
                              <w:t>ltab@ltab.lv</w:t>
                            </w:r>
                          </w:hyperlink>
                          <w:r w:rsidRPr="00E3276D">
                            <w:rPr>
                              <w:rFonts w:ascii="Gotham Pro LT" w:hAnsi="Gotham Pro LT" w:cs="Gotham Pro LT"/>
                              <w:color w:val="3B3838"/>
                              <w:sz w:val="18"/>
                              <w:szCs w:val="18"/>
                              <w:lang w:val="en-US"/>
                            </w:rPr>
                            <w:t xml:space="preserve">; </w:t>
                          </w:r>
                          <w:hyperlink r:id="rId2" w:history="1">
                            <w:r w:rsidRPr="00E3276D">
                              <w:rPr>
                                <w:rStyle w:val="Hyperlink"/>
                                <w:rFonts w:ascii="Gotham Pro LT" w:hAnsi="Gotham Pro LT" w:cs="Gotham Pro LT"/>
                                <w:color w:val="3B3838"/>
                                <w:sz w:val="18"/>
                                <w:szCs w:val="18"/>
                                <w:lang w:val="en-US"/>
                              </w:rPr>
                              <w:t>www.ltab.lv</w:t>
                            </w:r>
                          </w:hyperlink>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F3998B" id="_x0000_t202" coordsize="21600,21600" o:spt="202" path="m,l,21600r21600,l21600,xe">
              <v:stroke joinstyle="miter"/>
              <v:path gradientshapeok="t" o:connecttype="rect"/>
            </v:shapetype>
            <v:shape id="Text Box 2" o:spid="_x0000_s1026" type="#_x0000_t202" style="position:absolute;left:0;text-align:left;margin-left:-57pt;margin-top:9.1pt;width:600.55pt;height:31.65pt;z-index:25165926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" filled="f" fillcolor="#5b9bd5" stroked="f" strokecolor="black [0]" strokeweight="2pt">
              <v:textbox inset="2.88pt,2.88pt,2.88pt,2.88pt">
                <w:txbxContent>
                  <w:p w14:paraId="08F3998F" w14:textId="77777777" w:rsidR="00DF7698" w:rsidRPr="00E3276D" w:rsidRDefault="00DF7698" w:rsidP="00DF7698">
                    <w:pPr>
                      <w:widowControl w:val="0"/>
                      <w:spacing w:after="0"/>
                      <w:jc w:val="center"/>
                      <w:rPr>
                        <w:rFonts w:ascii="Gotham Pro LT" w:hAnsi="Gotham Pro LT" w:cs="Gotham Pro LT"/>
                        <w:color w:val="3B3838"/>
                        <w:sz w:val="18"/>
                        <w:szCs w:val="18"/>
                        <w:lang w:val="en-US"/>
                      </w:rPr>
                    </w:pPr>
                    <w:proofErr w:type="spellStart"/>
                    <w:r w:rsidRPr="00E3276D">
                      <w:rPr>
                        <w:rFonts w:ascii="Gotham Pro LT" w:hAnsi="Gotham Pro LT" w:cs="Gotham Pro LT"/>
                        <w:color w:val="3B3838"/>
                        <w:sz w:val="18"/>
                        <w:szCs w:val="18"/>
                        <w:lang w:val="en-US"/>
                      </w:rPr>
                      <w:t>Biedrība</w:t>
                    </w:r>
                    <w:proofErr w:type="spellEnd"/>
                    <w:r w:rsidRPr="00E3276D">
                      <w:rPr>
                        <w:rFonts w:ascii="Gotham Pro LT" w:hAnsi="Gotham Pro LT" w:cs="Gotham Pro LT"/>
                        <w:color w:val="3B3838"/>
                        <w:sz w:val="18"/>
                        <w:szCs w:val="18"/>
                        <w:lang w:val="en-US"/>
                      </w:rPr>
                      <w:t xml:space="preserve"> “</w:t>
                    </w:r>
                    <w:proofErr w:type="spellStart"/>
                    <w:r w:rsidRPr="00E3276D">
                      <w:rPr>
                        <w:rFonts w:ascii="Gotham Pro LT" w:hAnsi="Gotham Pro LT" w:cs="Gotham Pro LT"/>
                        <w:color w:val="3B3838"/>
                        <w:sz w:val="18"/>
                        <w:szCs w:val="18"/>
                        <w:lang w:val="en-US"/>
                      </w:rPr>
                      <w:t>Latvijas</w:t>
                    </w:r>
                    <w:proofErr w:type="spellEnd"/>
                    <w:r w:rsidRPr="00E3276D">
                      <w:rPr>
                        <w:rFonts w:ascii="Gotham Pro LT" w:hAnsi="Gotham Pro LT" w:cs="Gotham Pro LT"/>
                        <w:color w:val="3B3838"/>
                        <w:sz w:val="18"/>
                        <w:szCs w:val="18"/>
                        <w:lang w:val="en-US"/>
                      </w:rPr>
                      <w:t xml:space="preserve"> </w:t>
                    </w:r>
                    <w:proofErr w:type="spellStart"/>
                    <w:r w:rsidRPr="00E3276D">
                      <w:rPr>
                        <w:rFonts w:ascii="Gotham Pro LT" w:hAnsi="Gotham Pro LT" w:cs="Gotham Pro LT"/>
                        <w:color w:val="3B3838"/>
                        <w:sz w:val="18"/>
                        <w:szCs w:val="18"/>
                        <w:lang w:val="en-US"/>
                      </w:rPr>
                      <w:t>Transportlīdzekļu</w:t>
                    </w:r>
                    <w:proofErr w:type="spellEnd"/>
                    <w:r w:rsidRPr="00E3276D">
                      <w:rPr>
                        <w:rFonts w:ascii="Gotham Pro LT" w:hAnsi="Gotham Pro LT" w:cs="Gotham Pro LT"/>
                        <w:color w:val="3B3838"/>
                        <w:sz w:val="18"/>
                        <w:szCs w:val="18"/>
                        <w:lang w:val="en-US"/>
                      </w:rPr>
                      <w:t xml:space="preserve"> </w:t>
                    </w:r>
                    <w:proofErr w:type="spellStart"/>
                    <w:r w:rsidRPr="00E3276D">
                      <w:rPr>
                        <w:rFonts w:ascii="Gotham Pro LT" w:hAnsi="Gotham Pro LT" w:cs="Gotham Pro LT"/>
                        <w:color w:val="3B3838"/>
                        <w:sz w:val="18"/>
                        <w:szCs w:val="18"/>
                        <w:lang w:val="en-US"/>
                      </w:rPr>
                      <w:t>apdrošinātāju</w:t>
                    </w:r>
                    <w:proofErr w:type="spellEnd"/>
                    <w:r w:rsidRPr="00E3276D">
                      <w:rPr>
                        <w:rFonts w:ascii="Gotham Pro LT" w:hAnsi="Gotham Pro LT" w:cs="Gotham Pro LT"/>
                        <w:color w:val="3B3838"/>
                        <w:sz w:val="18"/>
                        <w:szCs w:val="18"/>
                        <w:lang w:val="en-US"/>
                      </w:rPr>
                      <w:t xml:space="preserve"> </w:t>
                    </w:r>
                    <w:proofErr w:type="spellStart"/>
                    <w:r w:rsidRPr="00E3276D">
                      <w:rPr>
                        <w:rFonts w:ascii="Gotham Pro LT" w:hAnsi="Gotham Pro LT" w:cs="Gotham Pro LT"/>
                        <w:color w:val="3B3838"/>
                        <w:sz w:val="18"/>
                        <w:szCs w:val="18"/>
                        <w:lang w:val="en-US"/>
                      </w:rPr>
                      <w:t>birojs</w:t>
                    </w:r>
                    <w:proofErr w:type="spellEnd"/>
                    <w:r w:rsidRPr="00E3276D">
                      <w:rPr>
                        <w:rFonts w:ascii="Gotham Pro LT" w:hAnsi="Gotham Pro LT" w:cs="Gotham Pro LT"/>
                        <w:color w:val="3B3838"/>
                        <w:sz w:val="18"/>
                        <w:szCs w:val="18"/>
                        <w:lang w:val="en-US"/>
                      </w:rPr>
                      <w:t xml:space="preserve">”, </w:t>
                    </w:r>
                    <w:proofErr w:type="spellStart"/>
                    <w:r w:rsidRPr="00E3276D">
                      <w:rPr>
                        <w:rFonts w:ascii="Gotham Pro LT" w:hAnsi="Gotham Pro LT" w:cs="Gotham Pro LT"/>
                        <w:color w:val="3B3838"/>
                        <w:sz w:val="18"/>
                        <w:szCs w:val="18"/>
                        <w:lang w:val="en-US"/>
                      </w:rPr>
                      <w:t>Reģ</w:t>
                    </w:r>
                    <w:proofErr w:type="spellEnd"/>
                    <w:r w:rsidRPr="00E3276D">
                      <w:rPr>
                        <w:rFonts w:ascii="Gotham Pro LT" w:hAnsi="Gotham Pro LT" w:cs="Gotham Pro LT"/>
                        <w:color w:val="3B3838"/>
                        <w:sz w:val="18"/>
                        <w:szCs w:val="18"/>
                        <w:lang w:val="en-US"/>
                      </w:rPr>
                      <w:t>. Nr. 40008084453</w:t>
                    </w:r>
                  </w:p>
                  <w:p w14:paraId="08F39990" w14:textId="77777777" w:rsidR="00DF7698" w:rsidRPr="00E3276D" w:rsidRDefault="00DF7698" w:rsidP="00DF7698">
                    <w:pPr>
                      <w:widowControl w:val="0"/>
                      <w:spacing w:after="0"/>
                      <w:jc w:val="center"/>
                      <w:rPr>
                        <w:rFonts w:ascii="Gotham Pro LT" w:hAnsi="Gotham Pro LT" w:cs="Gotham Pro LT"/>
                        <w:color w:val="3B3838"/>
                        <w:sz w:val="18"/>
                        <w:szCs w:val="18"/>
                        <w:lang w:val="en-US"/>
                      </w:rPr>
                    </w:pPr>
                    <w:r w:rsidRPr="00E3276D">
                      <w:rPr>
                        <w:rFonts w:ascii="Gotham Pro LT" w:hAnsi="Gotham Pro LT" w:cs="Gotham Pro LT"/>
                        <w:color w:val="3B3838"/>
                        <w:sz w:val="18"/>
                        <w:szCs w:val="18"/>
                        <w:lang w:val="en-US"/>
                      </w:rPr>
                      <w:t xml:space="preserve">Toma </w:t>
                    </w:r>
                    <w:proofErr w:type="spellStart"/>
                    <w:r w:rsidRPr="00E3276D">
                      <w:rPr>
                        <w:rFonts w:ascii="Gotham Pro LT" w:hAnsi="Gotham Pro LT" w:cs="Gotham Pro LT"/>
                        <w:color w:val="3B3838"/>
                        <w:sz w:val="18"/>
                        <w:szCs w:val="18"/>
                        <w:lang w:val="en-US"/>
                      </w:rPr>
                      <w:t>iela</w:t>
                    </w:r>
                    <w:proofErr w:type="spellEnd"/>
                    <w:r w:rsidRPr="00E3276D">
                      <w:rPr>
                        <w:rFonts w:ascii="Gotham Pro LT" w:hAnsi="Gotham Pro LT" w:cs="Gotham Pro LT"/>
                        <w:color w:val="3B3838"/>
                        <w:sz w:val="18"/>
                        <w:szCs w:val="18"/>
                        <w:lang w:val="en-US"/>
                      </w:rPr>
                      <w:t xml:space="preserve"> 4, </w:t>
                    </w:r>
                    <w:proofErr w:type="spellStart"/>
                    <w:r w:rsidRPr="00E3276D">
                      <w:rPr>
                        <w:rFonts w:ascii="Gotham Pro LT" w:hAnsi="Gotham Pro LT" w:cs="Gotham Pro LT"/>
                        <w:color w:val="3B3838"/>
                        <w:sz w:val="18"/>
                        <w:szCs w:val="18"/>
                        <w:lang w:val="en-US"/>
                      </w:rPr>
                      <w:t>Rīga</w:t>
                    </w:r>
                    <w:proofErr w:type="spellEnd"/>
                    <w:r w:rsidRPr="00E3276D">
                      <w:rPr>
                        <w:rFonts w:ascii="Gotham Pro LT" w:hAnsi="Gotham Pro LT" w:cs="Gotham Pro LT"/>
                        <w:color w:val="3B3838"/>
                        <w:sz w:val="18"/>
                        <w:szCs w:val="18"/>
                        <w:lang w:val="en-US"/>
                      </w:rPr>
                      <w:t xml:space="preserve">, LV-1003, </w:t>
                    </w:r>
                    <w:proofErr w:type="spellStart"/>
                    <w:r w:rsidRPr="00E3276D">
                      <w:rPr>
                        <w:rFonts w:ascii="Gotham Pro LT" w:hAnsi="Gotham Pro LT" w:cs="Gotham Pro LT"/>
                        <w:color w:val="3B3838"/>
                        <w:sz w:val="18"/>
                        <w:szCs w:val="18"/>
                        <w:lang w:val="en-US"/>
                      </w:rPr>
                      <w:t>Latvija</w:t>
                    </w:r>
                    <w:proofErr w:type="spellEnd"/>
                    <w:r w:rsidRPr="00E3276D">
                      <w:rPr>
                        <w:rFonts w:ascii="Gotham Pro LT" w:hAnsi="Gotham Pro LT" w:cs="Gotham Pro LT"/>
                        <w:color w:val="3B3838"/>
                        <w:sz w:val="18"/>
                        <w:szCs w:val="18"/>
                        <w:lang w:val="en-US"/>
                      </w:rPr>
                      <w:t xml:space="preserve"> Tālr.67114300, e-pasts: </w:t>
                    </w:r>
                    <w:hyperlink r:id="rId3" w:history="1">
                      <w:r w:rsidRPr="00E3276D">
                        <w:rPr>
                          <w:rStyle w:val="Hyperlink"/>
                          <w:rFonts w:ascii="Gotham Pro LT" w:hAnsi="Gotham Pro LT" w:cs="Gotham Pro LT"/>
                          <w:color w:val="3B3838"/>
                          <w:sz w:val="18"/>
                          <w:szCs w:val="18"/>
                          <w:lang w:val="en-US"/>
                        </w:rPr>
                        <w:t>ltab@ltab.lv</w:t>
                      </w:r>
                    </w:hyperlink>
                    <w:r w:rsidRPr="00E3276D">
                      <w:rPr>
                        <w:rFonts w:ascii="Gotham Pro LT" w:hAnsi="Gotham Pro LT" w:cs="Gotham Pro LT"/>
                        <w:color w:val="3B3838"/>
                        <w:sz w:val="18"/>
                        <w:szCs w:val="18"/>
                        <w:lang w:val="en-US"/>
                      </w:rPr>
                      <w:t xml:space="preserve">; </w:t>
                    </w:r>
                    <w:hyperlink r:id="rId4" w:history="1">
                      <w:r w:rsidRPr="00E3276D">
                        <w:rPr>
                          <w:rStyle w:val="Hyperlink"/>
                          <w:rFonts w:ascii="Gotham Pro LT" w:hAnsi="Gotham Pro LT" w:cs="Gotham Pro LT"/>
                          <w:color w:val="3B3838"/>
                          <w:sz w:val="18"/>
                          <w:szCs w:val="18"/>
                          <w:lang w:val="en-US"/>
                        </w:rPr>
                        <w:t>www.ltab.lv</w:t>
                      </w:r>
                    </w:hyperlink>
                  </w:p>
                </w:txbxContent>
              </v:textbox>
            </v:shape>
          </w:pict>
        </mc:Fallback>
      </mc:AlternateContent>
    </w:r>
    <w:r w:rsidR="00C62AF7">
      <w:rPr>
        <w:noProof/>
        <w:lang w:eastAsia="lv-LV"/>
      </w:rPr>
      <mc:AlternateContent>
        <mc:Choice Requires="wps">
          <w:drawing>
            <wp:anchor distT="0" distB="0" distL="114300" distR="114300" simplePos="0" relativeHeight="251657216" behindDoc="0" locked="0" layoutInCell="1" allowOverlap="1" wp14:anchorId="08F3998D" wp14:editId="08F3998E">
              <wp:simplePos x="0" y="0"/>
              <wp:positionH relativeFrom="column">
                <wp:posOffset>-304454</wp:posOffset>
              </wp:positionH>
              <wp:positionV relativeFrom="paragraph">
                <wp:posOffset>57612</wp:posOffset>
              </wp:positionV>
              <wp:extent cx="6716684" cy="8313"/>
              <wp:effectExtent l="0" t="0" r="27305" b="29845"/>
              <wp:wrapNone/>
              <wp:docPr id="1" name="Straight Connector 1"/>
              <wp:cNvGraphicFramePr/>
              <a:graphic xmlns:a="http://schemas.openxmlformats.org/drawingml/2006/main">
                <a:graphicData uri="http://schemas.microsoft.com/office/word/2010/wordprocessingShape">
                  <wps:wsp>
                    <wps:cNvCnPr/>
                    <wps:spPr>
                      <a:xfrm>
                        <a:off x="0" y="0"/>
                        <a:ext cx="6716684" cy="8313"/>
                      </a:xfrm>
                      <a:prstGeom prst="line">
                        <a:avLst/>
                      </a:prstGeom>
                      <a:ln w="19050">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777005A" id="Straight Connector 1"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23.95pt,4.55pt" to="504.9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" strokecolor="#a5a5a5 [2092]" strokeweight="1.5pt"/>
          </w:pict>
        </mc:Fallback>
      </mc:AlternateContent>
    </w:r>
  </w:p>
  <w:p w14:paraId="0FED128F" w14:textId="630A7C40" w:rsidR="00E86F65" w:rsidRDefault="00E86F65">
    <w:pPr>
      <w:pStyle w:val="Footer"/>
    </w:pPr>
  </w:p>
  <w:p w14:paraId="244D8F99" w14:textId="4E8AAD15" w:rsidR="001E1462" w:rsidRDefault="001E1462">
    <w:pPr>
      <w:pStyle w:val="Footer"/>
    </w:pPr>
  </w:p>
  <w:p w14:paraId="391EE9ED" w14:textId="77777777" w:rsidR="001E1462" w:rsidRDefault="001E1462">
    <w:pPr>
      <w:pStyle w:val="Footer"/>
    </w:pPr>
  </w:p>
  <w:p w14:paraId="0F074DDC" w14:textId="3DF72971" w:rsidR="00E86F65" w:rsidRPr="00E86F65" w:rsidRDefault="00E86F65">
    <w:pPr>
      <w:pStyle w:val="Footer"/>
      <w:rPr>
        <w:rFonts w:ascii="Times New Roman" w:hAnsi="Times New Roman" w:cs="Times New Roman"/>
        <w:sz w:val="20"/>
        <w:szCs w:val="20"/>
      </w:rPr>
    </w:pPr>
    <w:r w:rsidRPr="00E86F65">
      <w:rPr>
        <w:rFonts w:ascii="Times New Roman" w:hAnsi="Times New Roman" w:cs="Times New Roman"/>
        <w:sz w:val="20"/>
        <w:szCs w:val="20"/>
      </w:rPr>
      <w:fldChar w:fldCharType="begin"/>
    </w:r>
    <w:r w:rsidRPr="00E86F65">
      <w:rPr>
        <w:rFonts w:ascii="Times New Roman" w:hAnsi="Times New Roman" w:cs="Times New Roman"/>
        <w:sz w:val="20"/>
        <w:szCs w:val="20"/>
      </w:rPr>
      <w:instrText xml:space="preserve"> FILENAME  \* MERGEFORMAT </w:instrText>
    </w:r>
    <w:r w:rsidRPr="00E86F65">
      <w:rPr>
        <w:rFonts w:ascii="Times New Roman" w:hAnsi="Times New Roman" w:cs="Times New Roman"/>
        <w:sz w:val="20"/>
        <w:szCs w:val="20"/>
      </w:rPr>
      <w:fldChar w:fldCharType="separate"/>
    </w:r>
    <w:r w:rsidR="00CA1C2E">
      <w:rPr>
        <w:rFonts w:ascii="Times New Roman" w:hAnsi="Times New Roman" w:cs="Times New Roman"/>
        <w:noProof/>
        <w:sz w:val="20"/>
        <w:szCs w:val="20"/>
      </w:rPr>
      <w:t>FMzinp3_160921_OCTApremija.docx</w:t>
    </w:r>
    <w:r w:rsidRPr="00E86F65">
      <w:rPr>
        <w:rFonts w:ascii="Times New Roman" w:hAnsi="Times New Roman" w:cs="Times New Roman"/>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F2A1F6" w14:textId="1BB000C8" w:rsidR="00E86F65" w:rsidRPr="00E36DA4" w:rsidRDefault="00E86F65">
    <w:pPr>
      <w:pStyle w:val="Footer"/>
      <w:rPr>
        <w:rFonts w:ascii="Times New Roman" w:hAnsi="Times New Roman" w:cs="Times New Roman"/>
        <w:sz w:val="20"/>
        <w:szCs w:val="20"/>
      </w:rPr>
    </w:pPr>
    <w:r w:rsidRPr="00E36DA4">
      <w:rPr>
        <w:rFonts w:ascii="Times New Roman" w:hAnsi="Times New Roman" w:cs="Times New Roman"/>
        <w:sz w:val="20"/>
        <w:szCs w:val="20"/>
      </w:rPr>
      <w:fldChar w:fldCharType="begin"/>
    </w:r>
    <w:r w:rsidRPr="00E36DA4">
      <w:rPr>
        <w:rFonts w:ascii="Times New Roman" w:hAnsi="Times New Roman" w:cs="Times New Roman"/>
        <w:sz w:val="20"/>
        <w:szCs w:val="20"/>
      </w:rPr>
      <w:instrText xml:space="preserve"> FILENAME  \* MERGEFORMAT </w:instrText>
    </w:r>
    <w:r w:rsidRPr="00E36DA4">
      <w:rPr>
        <w:rFonts w:ascii="Times New Roman" w:hAnsi="Times New Roman" w:cs="Times New Roman"/>
        <w:sz w:val="20"/>
        <w:szCs w:val="20"/>
      </w:rPr>
      <w:fldChar w:fldCharType="separate"/>
    </w:r>
    <w:r w:rsidR="00CA1C2E">
      <w:rPr>
        <w:rFonts w:ascii="Times New Roman" w:hAnsi="Times New Roman" w:cs="Times New Roman"/>
        <w:noProof/>
        <w:sz w:val="20"/>
        <w:szCs w:val="20"/>
      </w:rPr>
      <w:t>FMzinp3_160921_OCTApremija.docx</w:t>
    </w:r>
    <w:r w:rsidRPr="00E36DA4">
      <w:rPr>
        <w:rFonts w:ascii="Times New Roman" w:hAnsi="Times New Roman" w:cs="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C323BF" w14:textId="77777777" w:rsidR="002B030D" w:rsidRDefault="002B030D" w:rsidP="00C62AF7">
      <w:pPr>
        <w:spacing w:after="0" w:line="240" w:lineRule="auto"/>
      </w:pPr>
      <w:r>
        <w:separator/>
      </w:r>
    </w:p>
  </w:footnote>
  <w:footnote w:type="continuationSeparator" w:id="0">
    <w:p w14:paraId="25BD5131" w14:textId="77777777" w:rsidR="002B030D" w:rsidRDefault="002B030D" w:rsidP="00C62AF7">
      <w:pPr>
        <w:spacing w:after="0" w:line="240" w:lineRule="auto"/>
      </w:pPr>
      <w:r>
        <w:continuationSeparator/>
      </w:r>
    </w:p>
  </w:footnote>
  <w:footnote w:id="1">
    <w:p w14:paraId="11BB75B4" w14:textId="77777777" w:rsidR="00281889" w:rsidRPr="00DB1551" w:rsidRDefault="00281889" w:rsidP="00281889">
      <w:pPr>
        <w:pStyle w:val="FootnoteText"/>
        <w:spacing w:after="0" w:line="240" w:lineRule="auto"/>
        <w:jc w:val="both"/>
        <w:rPr>
          <w:rFonts w:ascii="Times New Roman" w:hAnsi="Times New Roman"/>
          <w:lang w:val="lv-LV"/>
        </w:rPr>
      </w:pPr>
      <w:r>
        <w:rPr>
          <w:rStyle w:val="FootnoteReference"/>
        </w:rPr>
        <w:footnoteRef/>
      </w:r>
      <w:r>
        <w:t xml:space="preserve"> </w:t>
      </w:r>
      <w:r w:rsidRPr="00DB1551">
        <w:rPr>
          <w:rFonts w:ascii="Times New Roman" w:hAnsi="Times New Roman"/>
        </w:rPr>
        <w:t xml:space="preserve">Sauszemes transportlīdzekļu īpašnieku civiltiesiskās atbildības obligātās apdrošināšanas likuma (pieņemts 13.03.1997, zaudējis spēku 01.05.2004.) </w:t>
      </w:r>
      <w:proofErr w:type="gramStart"/>
      <w:r w:rsidRPr="00DB1551">
        <w:rPr>
          <w:rFonts w:ascii="Times New Roman" w:hAnsi="Times New Roman"/>
        </w:rPr>
        <w:t>16.pants</w:t>
      </w:r>
      <w:proofErr w:type="gramEnd"/>
      <w:r w:rsidRPr="00DB1551">
        <w:rPr>
          <w:rFonts w:ascii="Times New Roman" w:hAnsi="Times New Roman"/>
        </w:rPr>
        <w:t>.</w:t>
      </w:r>
    </w:p>
  </w:footnote>
  <w:footnote w:id="2">
    <w:p w14:paraId="5F9F2ADE" w14:textId="77777777" w:rsidR="00281889" w:rsidRPr="00DB1551" w:rsidRDefault="00281889" w:rsidP="00281889">
      <w:pPr>
        <w:pStyle w:val="title-doc-first"/>
        <w:shd w:val="clear" w:color="auto" w:fill="FFFFFF"/>
        <w:spacing w:before="0" w:beforeAutospacing="0" w:after="0" w:afterAutospacing="0"/>
        <w:jc w:val="both"/>
        <w:rPr>
          <w:sz w:val="20"/>
          <w:szCs w:val="20"/>
        </w:rPr>
      </w:pPr>
      <w:r w:rsidRPr="00DB1551">
        <w:rPr>
          <w:rStyle w:val="FootnoteReference"/>
        </w:rPr>
        <w:footnoteRef/>
      </w:r>
      <w:r w:rsidRPr="00DB1551">
        <w:rPr>
          <w:sz w:val="20"/>
          <w:szCs w:val="20"/>
        </w:rPr>
        <w:t xml:space="preserve"> </w:t>
      </w:r>
      <w:r w:rsidRPr="00DB1551">
        <w:rPr>
          <w:sz w:val="20"/>
          <w:szCs w:val="20"/>
        </w:rPr>
        <w:t>Eiropas Parlamenta un Padomes direktīvas 2009/138/EK (2009. gada 25. novembris) par uzņēmējdarbības uzsākšanu un veikšanu apdrošināšanas un pārapdrošināšanas jomā (Maksātspēja II) 21.panta 1.punktā minēts, ka d</w:t>
      </w:r>
      <w:r w:rsidRPr="00DB1551">
        <w:rPr>
          <w:sz w:val="20"/>
          <w:szCs w:val="20"/>
          <w:shd w:val="clear" w:color="auto" w:fill="FFFFFF"/>
        </w:rPr>
        <w:t xml:space="preserve">alībvalstis nepieprasa iepriekš apstiprināt vai sistemātiski sniegt ziņas par vispārīgajiem un īpašajiem apdrošināšanas noteikumiem, prēmiju lielumiem, par metodi prēmiju un tehnisko rezervju apjoma aprēķināšanai vai par veidlapām un citiem iespiedu dokumentiem, kurus sabiedrība gatavojas izmantot darījumos ar apdrošinājuma ņēmējiem vai sabiedrībām, kas veic cesiju vai retrocesiju. Šīs direktīvas </w:t>
      </w:r>
      <w:r w:rsidRPr="00DB1551">
        <w:rPr>
          <w:sz w:val="20"/>
          <w:szCs w:val="20"/>
        </w:rPr>
        <w:t xml:space="preserve">21.panta 2.punktā minēts, ka </w:t>
      </w:r>
      <w:r w:rsidRPr="00DB1551">
        <w:rPr>
          <w:sz w:val="20"/>
          <w:szCs w:val="20"/>
          <w:shd w:val="clear" w:color="auto" w:fill="FFFFFF"/>
        </w:rPr>
        <w:t>dalībvalstis nepatur spēkā vai neievieš noteikumu par iepriekšēju ziņojumu sniegšanu vai apstiprinājuma iegūšanu prēmiju likmju paredzētajai paaugstināšanai, ja vien tas nav ietverts vispārējā cenu kontroles sistēmā.</w:t>
      </w:r>
    </w:p>
  </w:footnote>
  <w:footnote w:id="3">
    <w:p w14:paraId="783C747D" w14:textId="77777777" w:rsidR="00281889" w:rsidRPr="00DB1551" w:rsidRDefault="00281889" w:rsidP="00281889">
      <w:pPr>
        <w:pStyle w:val="NoSpacing"/>
        <w:rPr>
          <w:sz w:val="20"/>
          <w:szCs w:val="20"/>
        </w:rPr>
      </w:pPr>
      <w:r w:rsidRPr="00DB1551">
        <w:rPr>
          <w:rStyle w:val="FootnoteReference"/>
        </w:rPr>
        <w:footnoteRef/>
      </w:r>
      <w:r w:rsidRPr="00DB1551">
        <w:rPr>
          <w:sz w:val="20"/>
          <w:szCs w:val="20"/>
        </w:rPr>
        <w:t xml:space="preserve"> </w:t>
      </w:r>
      <w:r w:rsidRPr="00DB1551">
        <w:rPr>
          <w:sz w:val="20"/>
          <w:szCs w:val="20"/>
        </w:rPr>
        <w:t>EST 25.02.2003. spriedums lietā C-59/01.</w:t>
      </w:r>
    </w:p>
  </w:footnote>
  <w:footnote w:id="4">
    <w:p w14:paraId="424DEA8D" w14:textId="77777777" w:rsidR="00281889" w:rsidRPr="00DB1551" w:rsidRDefault="00281889" w:rsidP="00281889">
      <w:pPr>
        <w:pStyle w:val="NoSpacing"/>
        <w:rPr>
          <w:sz w:val="20"/>
          <w:szCs w:val="20"/>
        </w:rPr>
      </w:pPr>
      <w:r w:rsidRPr="00DB1551">
        <w:rPr>
          <w:rStyle w:val="FootnoteReference"/>
        </w:rPr>
        <w:footnoteRef/>
      </w:r>
      <w:r w:rsidRPr="00DB1551">
        <w:rPr>
          <w:sz w:val="20"/>
          <w:szCs w:val="20"/>
        </w:rPr>
        <w:t xml:space="preserve"> </w:t>
      </w:r>
      <w:r w:rsidRPr="00DB1551">
        <w:rPr>
          <w:sz w:val="20"/>
          <w:szCs w:val="20"/>
        </w:rPr>
        <w:t xml:space="preserve">Satversmes tiesas 2012.gada 6.jūnija spriedums lietā Nr. 2011-21-01. </w:t>
      </w:r>
    </w:p>
  </w:footnote>
  <w:footnote w:id="5">
    <w:p w14:paraId="422C08E7" w14:textId="77777777" w:rsidR="00281889" w:rsidRPr="00DB1551" w:rsidRDefault="00281889" w:rsidP="00281889">
      <w:pPr>
        <w:pStyle w:val="FootnoteText"/>
        <w:spacing w:after="0" w:line="240" w:lineRule="auto"/>
        <w:jc w:val="both"/>
        <w:rPr>
          <w:rFonts w:ascii="Times New Roman" w:hAnsi="Times New Roman"/>
          <w:lang w:val="lv-LV"/>
        </w:rPr>
      </w:pPr>
      <w:r w:rsidRPr="00DB1551">
        <w:rPr>
          <w:rStyle w:val="FootnoteReference"/>
          <w:rFonts w:ascii="Times New Roman" w:hAnsi="Times New Roman"/>
        </w:rPr>
        <w:footnoteRef/>
      </w:r>
      <w:r w:rsidRPr="00DB1551">
        <w:rPr>
          <w:rFonts w:ascii="Times New Roman" w:hAnsi="Times New Roman"/>
          <w:lang w:val="lv-LV"/>
        </w:rPr>
        <w:t xml:space="preserve"> </w:t>
      </w:r>
      <w:r w:rsidRPr="00DB1551">
        <w:rPr>
          <w:rFonts w:ascii="Times New Roman" w:hAnsi="Times New Roman"/>
          <w:lang w:val="lv-LV"/>
        </w:rPr>
        <w:t xml:space="preserve">Saskaņā ar Ceļu satiksmes likuma 9.panta pirmo daļu </w:t>
      </w:r>
      <w:r w:rsidRPr="00DB1551">
        <w:rPr>
          <w:rFonts w:ascii="Times New Roman" w:hAnsi="Times New Roman"/>
          <w:shd w:val="clear" w:color="auto" w:fill="FFFFFF"/>
          <w:lang w:val="lv-LV"/>
        </w:rPr>
        <w:t>Latvijas teritorijā ceļu satiksmē atļauts izmantot reģistrētus transportlīdzekļus, kuru konstrukcija un tehniskais stāvoklis atbilst Latvijā obligāti piemērojamo standartu un normatīvu prasībām, attiecībā uz kuriem ir veikta OCTA un kuriem ir dota atļauja piedalīties ceļu satiksmē.</w:t>
      </w:r>
    </w:p>
  </w:footnote>
  <w:footnote w:id="6">
    <w:p w14:paraId="2E5E4C0D" w14:textId="77777777" w:rsidR="00281889" w:rsidRPr="0098083C" w:rsidRDefault="00281889" w:rsidP="00281889">
      <w:pPr>
        <w:pStyle w:val="FootnoteText"/>
        <w:spacing w:after="0" w:line="240" w:lineRule="auto"/>
        <w:jc w:val="both"/>
        <w:rPr>
          <w:rFonts w:ascii="Times New Roman" w:hAnsi="Times New Roman"/>
          <w:lang w:val="lv-LV"/>
        </w:rPr>
      </w:pPr>
      <w:r w:rsidRPr="00DB1551">
        <w:rPr>
          <w:rStyle w:val="FootnoteReference"/>
          <w:rFonts w:ascii="Times New Roman" w:hAnsi="Times New Roman"/>
        </w:rPr>
        <w:footnoteRef/>
      </w:r>
      <w:r w:rsidRPr="00DB1551">
        <w:rPr>
          <w:rFonts w:ascii="Times New Roman" w:hAnsi="Times New Roman"/>
          <w:lang w:val="lv-LV"/>
        </w:rPr>
        <w:t xml:space="preserve"> </w:t>
      </w:r>
      <w:r w:rsidRPr="00DB1551">
        <w:rPr>
          <w:rFonts w:ascii="Times New Roman" w:hAnsi="Times New Roman"/>
          <w:lang w:val="lv-LV"/>
        </w:rPr>
        <w:t xml:space="preserve">OCTA likuma mērķis  ir </w:t>
      </w:r>
      <w:r w:rsidRPr="00DB1551">
        <w:rPr>
          <w:rFonts w:ascii="Times New Roman" w:hAnsi="Times New Roman"/>
          <w:shd w:val="clear" w:color="auto" w:fill="FFFFFF"/>
          <w:lang w:val="lv-LV"/>
        </w:rPr>
        <w:t>aizsargāt ceļu satiksmes negadījumos cietušo trešo personu intereses un reglamentēt tiesiskās attiecības starp transportlīdzekļu īpašniekiem, tiesīgajiem lietotājiem un apdrošinātājiem sakarā ar transportlīdzekļu īpašnieku un tiesīgo lietotāju civiltiesiskās atbildības obligāto apdrošināšanu</w:t>
      </w:r>
      <w:r w:rsidRPr="00DB1551">
        <w:rPr>
          <w:rFonts w:ascii="Times New Roman" w:hAnsi="Times New Roman"/>
          <w:lang w:val="lv-LV"/>
        </w:rPr>
        <w:t xml:space="preserve"> (2.pants). </w:t>
      </w:r>
    </w:p>
  </w:footnote>
  <w:footnote w:id="7">
    <w:p w14:paraId="72986929" w14:textId="77777777" w:rsidR="00281889" w:rsidRPr="0099744A" w:rsidRDefault="00281889" w:rsidP="00281889">
      <w:pPr>
        <w:pStyle w:val="NoSpacing"/>
        <w:rPr>
          <w:sz w:val="20"/>
          <w:szCs w:val="20"/>
        </w:rPr>
      </w:pPr>
      <w:r w:rsidRPr="00D753A6">
        <w:rPr>
          <w:rStyle w:val="FootnoteReference"/>
        </w:rPr>
        <w:footnoteRef/>
      </w:r>
      <w:r w:rsidRPr="00D753A6">
        <w:rPr>
          <w:sz w:val="20"/>
          <w:szCs w:val="20"/>
        </w:rPr>
        <w:t xml:space="preserve"> </w:t>
      </w:r>
      <w:r w:rsidRPr="00D753A6">
        <w:rPr>
          <w:sz w:val="20"/>
          <w:szCs w:val="20"/>
        </w:rPr>
        <w:t>Satversmes tiesas 2018.gada 6.jūnija spriedums lietā Nr.2017-21-01.</w:t>
      </w:r>
    </w:p>
  </w:footnote>
  <w:footnote w:id="8">
    <w:p w14:paraId="5C072CF3" w14:textId="77777777" w:rsidR="00281889" w:rsidRPr="003D466E" w:rsidRDefault="00281889" w:rsidP="00281889">
      <w:pPr>
        <w:pStyle w:val="NoSpacing"/>
        <w:rPr>
          <w:sz w:val="16"/>
          <w:szCs w:val="16"/>
        </w:rPr>
      </w:pPr>
      <w:r w:rsidRPr="004434C2">
        <w:rPr>
          <w:rStyle w:val="FootnoteReference"/>
        </w:rPr>
        <w:footnoteRef/>
      </w:r>
      <w:r w:rsidRPr="004434C2">
        <w:rPr>
          <w:sz w:val="20"/>
          <w:szCs w:val="20"/>
        </w:rPr>
        <w:t xml:space="preserve"> </w:t>
      </w:r>
      <w:r w:rsidRPr="004434C2">
        <w:rPr>
          <w:sz w:val="20"/>
          <w:szCs w:val="20"/>
        </w:rPr>
        <w:t>Satversmes tiesas 2017.gada 19.oktoba spriedums lietā Nr.2016-14-01.</w:t>
      </w:r>
    </w:p>
  </w:footnote>
  <w:footnote w:id="9">
    <w:p w14:paraId="1A544537" w14:textId="77777777" w:rsidR="00281889" w:rsidRPr="00656C1C" w:rsidRDefault="00281889" w:rsidP="00281889">
      <w:pPr>
        <w:pStyle w:val="NoSpacing"/>
        <w:rPr>
          <w:sz w:val="20"/>
          <w:szCs w:val="20"/>
        </w:rPr>
      </w:pPr>
      <w:r w:rsidRPr="00656C1C">
        <w:rPr>
          <w:rStyle w:val="FootnoteReference"/>
        </w:rPr>
        <w:footnoteRef/>
      </w:r>
      <w:r w:rsidRPr="00656C1C">
        <w:rPr>
          <w:sz w:val="20"/>
          <w:szCs w:val="20"/>
        </w:rPr>
        <w:t xml:space="preserve"> </w:t>
      </w:r>
      <w:r w:rsidRPr="00656C1C">
        <w:rPr>
          <w:sz w:val="20"/>
          <w:szCs w:val="20"/>
        </w:rPr>
        <w:t xml:space="preserve">Satversmes tiesas 2004.gada 10.februāra spriedums lietā Nr.2003-21-0306. </w:t>
      </w:r>
    </w:p>
  </w:footnote>
  <w:footnote w:id="10">
    <w:p w14:paraId="2DF007C7" w14:textId="77777777" w:rsidR="00281889" w:rsidRPr="00656C1C" w:rsidRDefault="00281889" w:rsidP="00281889">
      <w:pPr>
        <w:pStyle w:val="FootnoteText"/>
        <w:spacing w:after="0" w:line="240" w:lineRule="auto"/>
        <w:rPr>
          <w:lang w:val="lv-LV"/>
        </w:rPr>
      </w:pPr>
      <w:r w:rsidRPr="00656C1C">
        <w:rPr>
          <w:rStyle w:val="FootnoteReference"/>
          <w:rFonts w:ascii="Times New Roman" w:hAnsi="Times New Roman"/>
        </w:rPr>
        <w:footnoteRef/>
      </w:r>
      <w:r w:rsidRPr="00656C1C">
        <w:rPr>
          <w:rFonts w:ascii="Times New Roman" w:hAnsi="Times New Roman"/>
          <w:lang w:val="lv-LV"/>
        </w:rPr>
        <w:t xml:space="preserve"> </w:t>
      </w:r>
      <w:r w:rsidRPr="00656C1C">
        <w:rPr>
          <w:rFonts w:ascii="Times New Roman" w:hAnsi="Times New Roman"/>
          <w:lang w:val="lv-LV"/>
        </w:rPr>
        <w:t>Sauszemes transportlīdzekļu īpašnieku civiltiesiskās atbildības obligātās apdrošināšanas likuma (pieņemts 13.03.1997, zaudējis spēku 01.05.2004.) 16.pants.</w:t>
      </w:r>
    </w:p>
  </w:footnote>
  <w:footnote w:id="11">
    <w:p w14:paraId="6C672AFE" w14:textId="77777777" w:rsidR="00281889" w:rsidRPr="00656C1C" w:rsidRDefault="00281889" w:rsidP="00281889">
      <w:pPr>
        <w:pStyle w:val="Heading3"/>
        <w:shd w:val="clear" w:color="auto" w:fill="FFFFFF"/>
        <w:spacing w:before="0" w:beforeAutospacing="0" w:after="0" w:afterAutospacing="0"/>
        <w:jc w:val="both"/>
        <w:rPr>
          <w:rFonts w:ascii="Arial" w:hAnsi="Arial" w:cs="Arial"/>
          <w:b w:val="0"/>
          <w:bCs w:val="0"/>
          <w:sz w:val="20"/>
          <w:szCs w:val="20"/>
        </w:rPr>
      </w:pPr>
      <w:r w:rsidRPr="00656C1C">
        <w:rPr>
          <w:rStyle w:val="FootnoteReference"/>
          <w:b w:val="0"/>
          <w:bCs w:val="0"/>
        </w:rPr>
        <w:footnoteRef/>
      </w:r>
      <w:r w:rsidRPr="00656C1C">
        <w:rPr>
          <w:b w:val="0"/>
          <w:bCs w:val="0"/>
          <w:sz w:val="20"/>
          <w:szCs w:val="20"/>
        </w:rPr>
        <w:t xml:space="preserve"> </w:t>
      </w:r>
      <w:r w:rsidRPr="00656C1C">
        <w:rPr>
          <w:b w:val="0"/>
          <w:bCs w:val="0"/>
          <w:sz w:val="20"/>
          <w:szCs w:val="20"/>
        </w:rPr>
        <w:t xml:space="preserve">Ministru kabineta </w:t>
      </w:r>
      <w:r w:rsidRPr="00656C1C">
        <w:rPr>
          <w:b w:val="0"/>
          <w:bCs w:val="0"/>
          <w:sz w:val="20"/>
          <w:szCs w:val="20"/>
          <w:shd w:val="clear" w:color="auto" w:fill="FFFFFF"/>
        </w:rPr>
        <w:t xml:space="preserve">1997.gada 27.maija </w:t>
      </w:r>
      <w:r w:rsidRPr="00656C1C">
        <w:rPr>
          <w:b w:val="0"/>
          <w:bCs w:val="0"/>
          <w:sz w:val="20"/>
          <w:szCs w:val="20"/>
        </w:rPr>
        <w:t>noteikumi Nr.199 “Noteikumi par sauszemes transportlīdzekļu īpašnieku civiltiesiskās atbildības obligātās apdrošināšanas prēmijām, to palielināšanas un samazināšanas kārtību un apdrošinātāja atbildības limitiem”</w:t>
      </w:r>
      <w:r>
        <w:rPr>
          <w:b w:val="0"/>
          <w:bCs w:val="0"/>
          <w:sz w:val="20"/>
          <w:szCs w:val="20"/>
        </w:rPr>
        <w:t xml:space="preserve"> (zaudējuši spēku).</w:t>
      </w:r>
    </w:p>
    <w:p w14:paraId="4CE939F9" w14:textId="77777777" w:rsidR="00281889" w:rsidRPr="00656C1C" w:rsidRDefault="00281889" w:rsidP="00281889">
      <w:pPr>
        <w:pStyle w:val="FootnoteText"/>
        <w:rPr>
          <w:lang w:val="lv-LV"/>
        </w:rPr>
      </w:pPr>
    </w:p>
  </w:footnote>
  <w:footnote w:id="12">
    <w:p w14:paraId="2A61EE49" w14:textId="77777777" w:rsidR="00281889" w:rsidRPr="004434C2" w:rsidRDefault="00281889" w:rsidP="00281889">
      <w:pPr>
        <w:pStyle w:val="NoSpacing"/>
      </w:pPr>
      <w:r w:rsidRPr="004434C2">
        <w:rPr>
          <w:rStyle w:val="FootnoteReference"/>
        </w:rPr>
        <w:footnoteRef/>
      </w:r>
      <w:r w:rsidRPr="004434C2">
        <w:rPr>
          <w:sz w:val="20"/>
          <w:szCs w:val="20"/>
        </w:rPr>
        <w:t xml:space="preserve"> </w:t>
      </w:r>
      <w:r w:rsidRPr="004434C2">
        <w:rPr>
          <w:sz w:val="20"/>
          <w:szCs w:val="20"/>
        </w:rPr>
        <w:t>Satversmes tiesas 2019. gada 7. novembra sprieduma lietā Nr. 2018-25-01 16. punkts.</w:t>
      </w:r>
    </w:p>
  </w:footnote>
  <w:footnote w:id="13">
    <w:p w14:paraId="09FF1E6B" w14:textId="77777777" w:rsidR="00281889" w:rsidRPr="004434C2" w:rsidRDefault="00281889" w:rsidP="00281889">
      <w:pPr>
        <w:pStyle w:val="NoSpacing"/>
      </w:pPr>
      <w:r w:rsidRPr="004434C2">
        <w:rPr>
          <w:rStyle w:val="FootnoteReference"/>
        </w:rPr>
        <w:footnoteRef/>
      </w:r>
      <w:r w:rsidRPr="004434C2">
        <w:rPr>
          <w:sz w:val="20"/>
          <w:szCs w:val="20"/>
        </w:rPr>
        <w:t xml:space="preserve"> </w:t>
      </w:r>
      <w:r w:rsidRPr="004434C2">
        <w:rPr>
          <w:sz w:val="20"/>
          <w:szCs w:val="20"/>
        </w:rPr>
        <w:t>Satversmes tiesas 2017. gada 19. oktobra sprieduma lietā Nr. 2016-14-01 27.3. punkts.</w:t>
      </w:r>
    </w:p>
  </w:footnote>
  <w:footnote w:id="14">
    <w:p w14:paraId="1B3EB5AE" w14:textId="77777777" w:rsidR="00281889" w:rsidRPr="004434C2" w:rsidRDefault="00281889" w:rsidP="00281889">
      <w:pPr>
        <w:pStyle w:val="NoSpacing"/>
      </w:pPr>
      <w:r w:rsidRPr="004434C2">
        <w:rPr>
          <w:rStyle w:val="FootnoteReference"/>
        </w:rPr>
        <w:footnoteRef/>
      </w:r>
      <w:r w:rsidRPr="004434C2">
        <w:rPr>
          <w:sz w:val="20"/>
          <w:szCs w:val="20"/>
        </w:rPr>
        <w:t xml:space="preserve"> </w:t>
      </w:r>
      <w:r w:rsidRPr="004434C2">
        <w:rPr>
          <w:sz w:val="20"/>
          <w:szCs w:val="20"/>
        </w:rPr>
        <w:t>Satversmes tiesas 2020. gada 16. jūlija sprieduma lietā Nr. 2020-05-01 8. punkts.</w:t>
      </w:r>
    </w:p>
  </w:footnote>
  <w:footnote w:id="15">
    <w:p w14:paraId="4FCCA0A3" w14:textId="77777777" w:rsidR="00281889" w:rsidRPr="004434C2" w:rsidRDefault="00281889" w:rsidP="00281889">
      <w:pPr>
        <w:pStyle w:val="NoSpacing"/>
      </w:pPr>
      <w:r w:rsidRPr="004434C2">
        <w:rPr>
          <w:rStyle w:val="FootnoteReference"/>
        </w:rPr>
        <w:footnoteRef/>
      </w:r>
      <w:r w:rsidRPr="004434C2">
        <w:rPr>
          <w:sz w:val="20"/>
          <w:szCs w:val="20"/>
        </w:rPr>
        <w:t xml:space="preserve"> </w:t>
      </w:r>
      <w:r w:rsidRPr="004434C2">
        <w:rPr>
          <w:sz w:val="20"/>
          <w:szCs w:val="20"/>
        </w:rPr>
        <w:t>Satversmes tiesas 2005. gada 13. maija sprieduma lietā Nr. 2004-18-0106 secinājumu daļas 13. punkts.</w:t>
      </w:r>
    </w:p>
  </w:footnote>
  <w:footnote w:id="16">
    <w:p w14:paraId="783B718A" w14:textId="77777777" w:rsidR="00281889" w:rsidRPr="007D457B" w:rsidRDefault="00281889" w:rsidP="00281889">
      <w:pPr>
        <w:spacing w:after="0" w:line="240" w:lineRule="auto"/>
        <w:jc w:val="both"/>
        <w:rPr>
          <w:rFonts w:ascii="Times New Roman" w:hAnsi="Times New Roman" w:cs="Times New Roman"/>
          <w:sz w:val="20"/>
          <w:szCs w:val="20"/>
        </w:rPr>
      </w:pPr>
      <w:r w:rsidRPr="007D457B">
        <w:rPr>
          <w:rStyle w:val="FootnoteReference"/>
          <w:rFonts w:ascii="Times New Roman" w:hAnsi="Times New Roman" w:cs="Times New Roman"/>
        </w:rPr>
        <w:footnoteRef/>
      </w:r>
      <w:r w:rsidRPr="007D457B">
        <w:rPr>
          <w:rFonts w:ascii="Times New Roman" w:hAnsi="Times New Roman" w:cs="Times New Roman"/>
          <w:sz w:val="20"/>
          <w:szCs w:val="20"/>
        </w:rPr>
        <w:t xml:space="preserve"> </w:t>
      </w:r>
      <w:r w:rsidRPr="007D457B">
        <w:rPr>
          <w:rFonts w:ascii="Times New Roman" w:hAnsi="Times New Roman" w:cs="Times New Roman"/>
          <w:sz w:val="20"/>
          <w:szCs w:val="20"/>
        </w:rPr>
        <w:t>Par pārbaudes testu plašāk skatīt: Satversmes tiesas 2002.gada 20.maija spriedums lietā Nr. 2002-01-03 un 2009.gada 19.novembra spriedums lietā Nr. 2009-09-03,kā arī 2015. gada 2. jūlija sprieduma lietā Nr. 2015-01-01 14. punkts.</w:t>
      </w:r>
    </w:p>
  </w:footnote>
  <w:footnote w:id="17">
    <w:p w14:paraId="1B7FC3A8" w14:textId="77777777" w:rsidR="00281889" w:rsidRPr="007D457B" w:rsidRDefault="00281889" w:rsidP="00281889">
      <w:pPr>
        <w:pStyle w:val="tv213"/>
        <w:shd w:val="clear" w:color="auto" w:fill="FFFFFF"/>
        <w:spacing w:before="0" w:beforeAutospacing="0" w:after="0" w:afterAutospacing="0"/>
        <w:jc w:val="both"/>
        <w:rPr>
          <w:sz w:val="20"/>
          <w:szCs w:val="20"/>
        </w:rPr>
      </w:pPr>
      <w:r w:rsidRPr="007D457B">
        <w:rPr>
          <w:rStyle w:val="FootnoteReference"/>
        </w:rPr>
        <w:footnoteRef/>
      </w:r>
      <w:r w:rsidRPr="007D457B">
        <w:rPr>
          <w:sz w:val="20"/>
          <w:szCs w:val="20"/>
        </w:rPr>
        <w:t xml:space="preserve"> </w:t>
      </w:r>
      <w:r w:rsidRPr="007D457B">
        <w:rPr>
          <w:sz w:val="20"/>
          <w:szCs w:val="20"/>
        </w:rPr>
        <w:t>Saskaņā ar OCTA likuma 13.panta pirmo daļu, noslēdzot apdrošināšanas līgumu, apdrošināšanas prēmijas apmērs transportlīdzekļa īpašniekam tiek noteikts, izvērtējot iepriekšējo apdrošināšanas līgumu darbības laikā izmaksāto apdrošināšanas atlīdzību skaitu, normatīvajos aktos noteiktajā kārtībā konstatēto gadījumu skaitu, kad transportlīdzeklis vadīts, izdarot administratīvus pārkāpumus, par kuriem reģistrē pārkāpumu uzskaites punktus, un noziedzīgus nodarījumus pret satiksmes drošību, kā arī izvērtējot citus risku ietekmējošus faktorus.</w:t>
      </w:r>
    </w:p>
  </w:footnote>
  <w:footnote w:id="18">
    <w:p w14:paraId="0F81B5B6" w14:textId="77777777" w:rsidR="00281889" w:rsidRPr="007D457B" w:rsidRDefault="00281889" w:rsidP="00281889">
      <w:pPr>
        <w:pStyle w:val="NoSpacing"/>
        <w:rPr>
          <w:sz w:val="20"/>
          <w:szCs w:val="20"/>
        </w:rPr>
      </w:pPr>
      <w:r w:rsidRPr="007D457B">
        <w:rPr>
          <w:rStyle w:val="FootnoteReference"/>
        </w:rPr>
        <w:footnoteRef/>
      </w:r>
      <w:r w:rsidRPr="007D457B">
        <w:rPr>
          <w:sz w:val="20"/>
          <w:szCs w:val="20"/>
          <w:vertAlign w:val="superscript"/>
        </w:rPr>
        <w:t xml:space="preserve"> </w:t>
      </w:r>
      <w:r w:rsidRPr="007D457B">
        <w:rPr>
          <w:sz w:val="20"/>
          <w:szCs w:val="20"/>
        </w:rPr>
        <w:t>Satversmes tiesas 2010.gada 20.aprīļa lēmums par tiesvedības izbeigšanu lietā Nr. 2009-100-03.</w:t>
      </w:r>
    </w:p>
  </w:footnote>
  <w:footnote w:id="19">
    <w:p w14:paraId="7E24CB00" w14:textId="77777777" w:rsidR="00281889" w:rsidRPr="007D457B" w:rsidRDefault="00281889" w:rsidP="00281889">
      <w:pPr>
        <w:pStyle w:val="NoSpacing"/>
        <w:rPr>
          <w:sz w:val="20"/>
          <w:szCs w:val="20"/>
        </w:rPr>
      </w:pPr>
      <w:r w:rsidRPr="007D457B">
        <w:rPr>
          <w:rStyle w:val="FootnoteReference"/>
        </w:rPr>
        <w:footnoteRef/>
      </w:r>
      <w:r w:rsidRPr="007D457B">
        <w:rPr>
          <w:sz w:val="20"/>
          <w:szCs w:val="20"/>
        </w:rPr>
        <w:t xml:space="preserve"> </w:t>
      </w:r>
      <w:r w:rsidRPr="007D457B">
        <w:rPr>
          <w:sz w:val="20"/>
          <w:szCs w:val="20"/>
        </w:rPr>
        <w:t>Satversmes tiesas 2014.gada 12.decembra spriedums lietā Nr. 2013-21-03.</w:t>
      </w:r>
    </w:p>
  </w:footnote>
  <w:footnote w:id="20">
    <w:p w14:paraId="648CAE91" w14:textId="77777777" w:rsidR="00281889" w:rsidRPr="007D457B" w:rsidRDefault="00281889" w:rsidP="00281889">
      <w:pPr>
        <w:pStyle w:val="FootnoteText"/>
        <w:spacing w:after="0" w:line="240" w:lineRule="auto"/>
        <w:jc w:val="both"/>
        <w:rPr>
          <w:rFonts w:ascii="Times New Roman" w:hAnsi="Times New Roman"/>
          <w:lang w:val="lv-LV"/>
        </w:rPr>
      </w:pPr>
      <w:r w:rsidRPr="007D457B">
        <w:rPr>
          <w:rStyle w:val="FootnoteReference"/>
          <w:rFonts w:ascii="Times New Roman" w:hAnsi="Times New Roman"/>
        </w:rPr>
        <w:footnoteRef/>
      </w:r>
      <w:r w:rsidRPr="007D457B">
        <w:rPr>
          <w:rFonts w:ascii="Times New Roman" w:hAnsi="Times New Roman"/>
          <w:lang w:val="lv-LV"/>
        </w:rPr>
        <w:t xml:space="preserve"> </w:t>
      </w:r>
      <w:r w:rsidRPr="007D457B">
        <w:rPr>
          <w:rFonts w:ascii="Times New Roman" w:hAnsi="Times New Roman"/>
          <w:lang w:val="lv-LV"/>
        </w:rPr>
        <w:t xml:space="preserve">Saskaņā ar OCTA likuma 12.panta otro daļu </w:t>
      </w:r>
      <w:r w:rsidRPr="007D457B">
        <w:rPr>
          <w:rFonts w:ascii="Times New Roman" w:hAnsi="Times New Roman"/>
          <w:shd w:val="clear" w:color="auto" w:fill="FFFFFF"/>
          <w:lang w:val="lv-LV"/>
        </w:rPr>
        <w:t>apdrošināšanas prēmijas apmēram, kas noteikts apdrošināšanas līguma slēgšanas brīdī, jābūt tādam, lai nodrošinātu apdrošināšanas līgumā noteikto saistību izpildi, kā arī segtu izdevumus, kas nepieciešami apdrošināšanas veikšanai.</w:t>
      </w:r>
    </w:p>
  </w:footnote>
  <w:footnote w:id="21">
    <w:p w14:paraId="0411DC5A" w14:textId="77777777" w:rsidR="00281889" w:rsidRPr="004434C2" w:rsidRDefault="00281889" w:rsidP="00281889">
      <w:pPr>
        <w:pStyle w:val="NoSpacing"/>
        <w:rPr>
          <w:sz w:val="20"/>
          <w:szCs w:val="20"/>
        </w:rPr>
      </w:pPr>
      <w:r w:rsidRPr="004434C2">
        <w:rPr>
          <w:rStyle w:val="FootnoteReference"/>
        </w:rPr>
        <w:footnoteRef/>
      </w:r>
      <w:r w:rsidRPr="004434C2">
        <w:rPr>
          <w:sz w:val="20"/>
          <w:szCs w:val="20"/>
        </w:rPr>
        <w:t xml:space="preserve"> </w:t>
      </w:r>
      <w:r w:rsidRPr="004434C2">
        <w:rPr>
          <w:sz w:val="20"/>
          <w:szCs w:val="20"/>
        </w:rPr>
        <w:t>Satversmes tiesas 2010.gada 15.marta spriedums lietā Nr.2009-44-01.</w:t>
      </w:r>
    </w:p>
  </w:footnote>
  <w:footnote w:id="22">
    <w:p w14:paraId="3C3F1CD9" w14:textId="77777777" w:rsidR="00281889" w:rsidRPr="003D466E" w:rsidRDefault="00281889" w:rsidP="00281889">
      <w:pPr>
        <w:pStyle w:val="NoSpacing"/>
      </w:pPr>
      <w:r w:rsidRPr="004434C2">
        <w:rPr>
          <w:rStyle w:val="FootnoteReference"/>
        </w:rPr>
        <w:footnoteRef/>
      </w:r>
      <w:r w:rsidRPr="004434C2">
        <w:rPr>
          <w:sz w:val="20"/>
          <w:szCs w:val="20"/>
        </w:rPr>
        <w:t xml:space="preserve"> </w:t>
      </w:r>
      <w:r w:rsidRPr="004434C2">
        <w:rPr>
          <w:sz w:val="20"/>
          <w:szCs w:val="20"/>
        </w:rPr>
        <w:t>Satversmes tiesas 2006.gada 8.marta spriedums lietā Nr.2005-16-01 un 2009.gada 15.aprīļa spriedums lietā Nr. 2008-36-01.</w:t>
      </w:r>
      <w:r w:rsidRPr="000C0EDB">
        <w:rPr>
          <w:sz w:val="16"/>
          <w:szCs w:val="16"/>
        </w:rPr>
        <w:t xml:space="preserve"> </w:t>
      </w:r>
    </w:p>
  </w:footnote>
  <w:footnote w:id="23">
    <w:p w14:paraId="776CA2F5" w14:textId="77777777" w:rsidR="00281889" w:rsidRPr="002476FD" w:rsidRDefault="00281889" w:rsidP="00281889">
      <w:pPr>
        <w:pStyle w:val="FootnoteText"/>
        <w:spacing w:after="0" w:line="240" w:lineRule="auto"/>
        <w:jc w:val="both"/>
        <w:rPr>
          <w:rFonts w:ascii="Gotham Pro LT" w:hAnsi="Gotham Pro LT" w:cs="Gotham Pro LT"/>
          <w:sz w:val="18"/>
          <w:szCs w:val="18"/>
        </w:rPr>
      </w:pPr>
      <w:r w:rsidRPr="002476FD">
        <w:rPr>
          <w:rStyle w:val="FootnoteReference"/>
          <w:rFonts w:ascii="Gotham Pro LT" w:hAnsi="Gotham Pro LT" w:cs="Gotham Pro LT"/>
          <w:sz w:val="18"/>
          <w:szCs w:val="18"/>
        </w:rPr>
        <w:footnoteRef/>
      </w:r>
      <w:r w:rsidRPr="002476FD">
        <w:rPr>
          <w:rFonts w:ascii="Gotham Pro LT" w:hAnsi="Gotham Pro LT" w:cs="Gotham Pro LT"/>
          <w:sz w:val="18"/>
          <w:szCs w:val="18"/>
        </w:rPr>
        <w:t xml:space="preserve"> </w:t>
      </w:r>
      <w:r w:rsidRPr="002476FD">
        <w:rPr>
          <w:rFonts w:ascii="Gotham Pro LT" w:hAnsi="Gotham Pro LT" w:cs="Gotham Pro LT"/>
          <w:sz w:val="18"/>
          <w:szCs w:val="18"/>
          <w:shd w:val="clear" w:color="auto" w:fill="FFFFFF"/>
        </w:rPr>
        <w:t>Arī Eiropas Savienības Tiesa (turpmāk – EST) ir atzinusi, ka valsts nevar noteikt apdrošināšanas prēmijas apmērus. Ar likumu nosakot apdrošināšanas prēmijas atlaižu piešķiršanas nosacījumus, valsts zināmā mērā iejaucas privāto tiesību jomā un izkropļo tirgus politiku apdrošināšanas prēmijas noteikšanā</w:t>
      </w:r>
      <w:r>
        <w:rPr>
          <w:rFonts w:ascii="Gotham Pro LT" w:hAnsi="Gotham Pro LT" w:cs="Gotham Pro LT"/>
          <w:sz w:val="18"/>
          <w:szCs w:val="18"/>
          <w:shd w:val="clear" w:color="auto" w:fill="FFFFFF"/>
        </w:rPr>
        <w:t xml:space="preserve"> (skat.</w:t>
      </w:r>
      <w:r w:rsidRPr="002476FD">
        <w:rPr>
          <w:rFonts w:ascii="Gotham Pro LT" w:hAnsi="Gotham Pro LT" w:cs="Gotham Pro LT"/>
          <w:sz w:val="18"/>
          <w:szCs w:val="18"/>
          <w:shd w:val="clear" w:color="auto" w:fill="FFFFFF"/>
        </w:rPr>
        <w:t xml:space="preserve"> </w:t>
      </w:r>
      <w:r w:rsidRPr="002476FD">
        <w:rPr>
          <w:rFonts w:ascii="Gotham Pro LT" w:hAnsi="Gotham Pro LT" w:cs="Gotham Pro LT"/>
          <w:sz w:val="18"/>
          <w:szCs w:val="18"/>
        </w:rPr>
        <w:t>EST 25.02.2003. spriedum</w:t>
      </w:r>
      <w:r>
        <w:rPr>
          <w:rFonts w:ascii="Gotham Pro LT" w:hAnsi="Gotham Pro LT" w:cs="Gotham Pro LT"/>
          <w:sz w:val="18"/>
          <w:szCs w:val="18"/>
        </w:rPr>
        <w:t>u</w:t>
      </w:r>
      <w:r w:rsidRPr="002476FD">
        <w:rPr>
          <w:rFonts w:ascii="Gotham Pro LT" w:hAnsi="Gotham Pro LT" w:cs="Gotham Pro LT"/>
          <w:sz w:val="18"/>
          <w:szCs w:val="18"/>
        </w:rPr>
        <w:t xml:space="preserve"> lietā C-59/01</w:t>
      </w:r>
      <w:r>
        <w:rPr>
          <w:rFonts w:ascii="Gotham Pro LT" w:hAnsi="Gotham Pro LT" w:cs="Gotham Pro LT"/>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95B2A" w14:textId="77777777" w:rsidR="00CA1C2E" w:rsidRDefault="00CA1C2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39984" w14:textId="77777777" w:rsidR="00C62AF7" w:rsidRDefault="00FA4202">
    <w:pPr>
      <w:pStyle w:val="Header"/>
    </w:pPr>
    <w:r>
      <w:rPr>
        <w:noProof/>
        <w:lang w:eastAsia="lv-LV"/>
      </w:rPr>
      <w:drawing>
        <wp:inline distT="0" distB="0" distL="0" distR="0" wp14:anchorId="08F39989" wp14:editId="08F3998A">
          <wp:extent cx="1353107" cy="684000"/>
          <wp:effectExtent l="0" t="0" r="0" b="1905"/>
          <wp:docPr id="6" name="Picture 6"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_LV_PNG.png"/>
                  <pic:cNvPicPr/>
                </pic:nvPicPr>
                <pic:blipFill>
                  <a:blip r:embed="rId1">
                    <a:extLst>
                      <a:ext uri="{28A0092B-C50C-407E-A947-70E740481C1C}">
                        <a14:useLocalDpi xmlns:a14="http://schemas.microsoft.com/office/drawing/2010/main" val="0"/>
                      </a:ext>
                    </a:extLst>
                  </a:blip>
                  <a:stretch>
                    <a:fillRect/>
                  </a:stretch>
                </pic:blipFill>
                <pic:spPr>
                  <a:xfrm>
                    <a:off x="0" y="0"/>
                    <a:ext cx="1353107" cy="684000"/>
                  </a:xfrm>
                  <a:prstGeom prst="rect">
                    <a:avLst/>
                  </a:prstGeom>
                </pic:spPr>
              </pic:pic>
            </a:graphicData>
          </a:graphic>
        </wp:inline>
      </w:drawing>
    </w:r>
  </w:p>
  <w:p w14:paraId="08F39985" w14:textId="77777777" w:rsidR="00C62AF7" w:rsidRDefault="00C62AF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66224" w14:textId="1F6FD83F" w:rsidR="00120337" w:rsidRDefault="00120337">
    <w:pPr>
      <w:pStyle w:val="Header"/>
    </w:pPr>
  </w:p>
  <w:p w14:paraId="5424332B" w14:textId="6561A67F" w:rsidR="00120337" w:rsidRPr="00790B07" w:rsidRDefault="003738DC" w:rsidP="00120337">
    <w:pPr>
      <w:pStyle w:val="Header"/>
      <w:jc w:val="right"/>
      <w:rPr>
        <w:rFonts w:ascii="Times New Roman" w:hAnsi="Times New Roman"/>
        <w:sz w:val="24"/>
        <w:szCs w:val="24"/>
      </w:rPr>
    </w:pPr>
    <w:r>
      <w:rPr>
        <w:rFonts w:ascii="Times New Roman" w:hAnsi="Times New Roman"/>
        <w:sz w:val="24"/>
        <w:szCs w:val="24"/>
      </w:rPr>
      <w:t>3</w:t>
    </w:r>
    <w:r w:rsidR="00120337" w:rsidRPr="00790B07">
      <w:rPr>
        <w:rFonts w:ascii="Times New Roman" w:hAnsi="Times New Roman"/>
        <w:sz w:val="24"/>
        <w:szCs w:val="24"/>
      </w:rPr>
      <w:t>.pielikums</w:t>
    </w:r>
  </w:p>
  <w:p w14:paraId="0BCBD277" w14:textId="77777777" w:rsidR="00120337" w:rsidRDefault="00120337" w:rsidP="00120337">
    <w:pPr>
      <w:pStyle w:val="Header"/>
      <w:jc w:val="right"/>
      <w:rPr>
        <w:rFonts w:ascii="Times New Roman" w:hAnsi="Times New Roman"/>
        <w:sz w:val="24"/>
        <w:szCs w:val="24"/>
      </w:rPr>
    </w:pPr>
    <w:r>
      <w:rPr>
        <w:rFonts w:ascii="Times New Roman" w:hAnsi="Times New Roman"/>
        <w:sz w:val="24"/>
        <w:szCs w:val="24"/>
      </w:rPr>
      <w:t>i</w:t>
    </w:r>
    <w:r w:rsidRPr="00790B07">
      <w:rPr>
        <w:rFonts w:ascii="Times New Roman" w:hAnsi="Times New Roman"/>
        <w:sz w:val="24"/>
        <w:szCs w:val="24"/>
      </w:rPr>
      <w:t>nformatīv</w:t>
    </w:r>
    <w:r>
      <w:rPr>
        <w:rFonts w:ascii="Times New Roman" w:hAnsi="Times New Roman"/>
        <w:sz w:val="24"/>
        <w:szCs w:val="24"/>
      </w:rPr>
      <w:t>ajam</w:t>
    </w:r>
    <w:r w:rsidRPr="00790B07">
      <w:rPr>
        <w:rFonts w:ascii="Times New Roman" w:hAnsi="Times New Roman"/>
        <w:sz w:val="24"/>
        <w:szCs w:val="24"/>
      </w:rPr>
      <w:t xml:space="preserve"> ziņojuma</w:t>
    </w:r>
    <w:r>
      <w:rPr>
        <w:rFonts w:ascii="Times New Roman" w:hAnsi="Times New Roman"/>
        <w:sz w:val="24"/>
        <w:szCs w:val="24"/>
      </w:rPr>
      <w:t>m</w:t>
    </w:r>
    <w:r w:rsidRPr="00790B07">
      <w:rPr>
        <w:rFonts w:ascii="Times New Roman" w:hAnsi="Times New Roman"/>
        <w:sz w:val="24"/>
        <w:szCs w:val="24"/>
      </w:rPr>
      <w:t xml:space="preserve"> “Par Sauszemes </w:t>
    </w:r>
  </w:p>
  <w:p w14:paraId="2555E18B" w14:textId="77777777" w:rsidR="00120337" w:rsidRDefault="00120337" w:rsidP="00120337">
    <w:pPr>
      <w:pStyle w:val="Header"/>
      <w:jc w:val="right"/>
      <w:rPr>
        <w:rFonts w:ascii="Times New Roman" w:hAnsi="Times New Roman"/>
        <w:sz w:val="24"/>
        <w:szCs w:val="24"/>
      </w:rPr>
    </w:pPr>
    <w:r w:rsidRPr="00790B07">
      <w:rPr>
        <w:rFonts w:ascii="Times New Roman" w:hAnsi="Times New Roman"/>
        <w:sz w:val="24"/>
        <w:szCs w:val="24"/>
      </w:rPr>
      <w:t xml:space="preserve">transportlīdzekļu īpašnieku civiltiesiskās atbildības </w:t>
    </w:r>
  </w:p>
  <w:p w14:paraId="6ABA61D1" w14:textId="77777777" w:rsidR="00120337" w:rsidRPr="00790B07" w:rsidRDefault="00120337" w:rsidP="00120337">
    <w:pPr>
      <w:pStyle w:val="Header"/>
      <w:jc w:val="right"/>
      <w:rPr>
        <w:rFonts w:ascii="Times New Roman" w:hAnsi="Times New Roman"/>
        <w:sz w:val="24"/>
        <w:szCs w:val="24"/>
      </w:rPr>
    </w:pPr>
    <w:r w:rsidRPr="00790B07">
      <w:rPr>
        <w:rFonts w:ascii="Times New Roman" w:hAnsi="Times New Roman"/>
        <w:sz w:val="24"/>
        <w:szCs w:val="24"/>
      </w:rPr>
      <w:t xml:space="preserve">obligātās apdrošināšanas likuma 14.pantā noteiktā </w:t>
    </w:r>
  </w:p>
  <w:p w14:paraId="0B478458" w14:textId="42413473" w:rsidR="00120337" w:rsidRDefault="00120337" w:rsidP="00120337">
    <w:pPr>
      <w:pStyle w:val="Header"/>
      <w:jc w:val="right"/>
      <w:rPr>
        <w:rFonts w:ascii="Times New Roman" w:hAnsi="Times New Roman"/>
        <w:sz w:val="24"/>
        <w:szCs w:val="24"/>
      </w:rPr>
    </w:pPr>
    <w:r w:rsidRPr="00790B07">
      <w:rPr>
        <w:rFonts w:ascii="Times New Roman" w:hAnsi="Times New Roman"/>
        <w:sz w:val="24"/>
        <w:szCs w:val="24"/>
      </w:rPr>
      <w:t>tiesiskā regulējuma izvērtējumu”</w:t>
    </w:r>
  </w:p>
  <w:p w14:paraId="20C7A236" w14:textId="25A6A35F" w:rsidR="00120337" w:rsidRDefault="00120337" w:rsidP="00E04644">
    <w:pPr>
      <w:pStyle w:val="Header"/>
      <w:jc w:val="center"/>
    </w:pPr>
  </w:p>
  <w:p w14:paraId="04D63E5E" w14:textId="2A23613C" w:rsidR="00120337" w:rsidRDefault="00120337">
    <w:pPr>
      <w:pStyle w:val="Header"/>
    </w:pPr>
  </w:p>
  <w:p w14:paraId="2A560068" w14:textId="1C99A4D5" w:rsidR="00120337" w:rsidRDefault="00120337">
    <w:pPr>
      <w:pStyle w:val="Header"/>
    </w:pPr>
    <w:r>
      <w:rPr>
        <w:noProof/>
        <w:lang w:eastAsia="lv-LV"/>
      </w:rPr>
      <w:drawing>
        <wp:inline distT="0" distB="0" distL="0" distR="0" wp14:anchorId="4D5548A9" wp14:editId="5BD14798">
          <wp:extent cx="1353107" cy="684000"/>
          <wp:effectExtent l="0" t="0" r="0" b="1905"/>
          <wp:docPr id="5" name="Picture 5"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_LV_PNG.png"/>
                  <pic:cNvPicPr/>
                </pic:nvPicPr>
                <pic:blipFill>
                  <a:blip r:embed="rId1">
                    <a:extLst>
                      <a:ext uri="{28A0092B-C50C-407E-A947-70E740481C1C}">
                        <a14:useLocalDpi xmlns:a14="http://schemas.microsoft.com/office/drawing/2010/main" val="0"/>
                      </a:ext>
                    </a:extLst>
                  </a:blip>
                  <a:stretch>
                    <a:fillRect/>
                  </a:stretch>
                </pic:blipFill>
                <pic:spPr>
                  <a:xfrm>
                    <a:off x="0" y="0"/>
                    <a:ext cx="1353107" cy="684000"/>
                  </a:xfrm>
                  <a:prstGeom prst="rect">
                    <a:avLst/>
                  </a:prstGeom>
                </pic:spPr>
              </pic:pic>
            </a:graphicData>
          </a:graphic>
        </wp:inline>
      </w:drawing>
    </w:r>
  </w:p>
  <w:p w14:paraId="03259726" w14:textId="77777777" w:rsidR="00120337" w:rsidRDefault="001203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54301F"/>
    <w:multiLevelType w:val="hybridMultilevel"/>
    <w:tmpl w:val="D4961D5E"/>
    <w:lvl w:ilvl="0" w:tplc="D758C63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10147AB4"/>
    <w:multiLevelType w:val="hybridMultilevel"/>
    <w:tmpl w:val="2D7EA1E8"/>
    <w:lvl w:ilvl="0" w:tplc="04090017">
      <w:start w:val="1"/>
      <w:numFmt w:val="lowerLetter"/>
      <w:lvlText w:val="%1)"/>
      <w:lvlJc w:val="left"/>
      <w:pPr>
        <w:tabs>
          <w:tab w:val="num" w:pos="1080"/>
        </w:tabs>
        <w:ind w:left="1080" w:hanging="360"/>
      </w:pPr>
      <w:rPr>
        <w:rFonts w:hint="default"/>
      </w:rPr>
    </w:lvl>
    <w:lvl w:ilvl="1" w:tplc="70C24888" w:tentative="1">
      <w:start w:val="1"/>
      <w:numFmt w:val="bullet"/>
      <w:lvlText w:val=""/>
      <w:lvlJc w:val="left"/>
      <w:pPr>
        <w:tabs>
          <w:tab w:val="num" w:pos="1800"/>
        </w:tabs>
        <w:ind w:left="1800" w:hanging="360"/>
      </w:pPr>
      <w:rPr>
        <w:rFonts w:ascii="Wingdings" w:hAnsi="Wingdings" w:hint="default"/>
      </w:rPr>
    </w:lvl>
    <w:lvl w:ilvl="2" w:tplc="0AE8D282" w:tentative="1">
      <w:start w:val="1"/>
      <w:numFmt w:val="bullet"/>
      <w:lvlText w:val=""/>
      <w:lvlJc w:val="left"/>
      <w:pPr>
        <w:tabs>
          <w:tab w:val="num" w:pos="2520"/>
        </w:tabs>
        <w:ind w:left="2520" w:hanging="360"/>
      </w:pPr>
      <w:rPr>
        <w:rFonts w:ascii="Wingdings" w:hAnsi="Wingdings" w:hint="default"/>
      </w:rPr>
    </w:lvl>
    <w:lvl w:ilvl="3" w:tplc="73585A84" w:tentative="1">
      <w:start w:val="1"/>
      <w:numFmt w:val="bullet"/>
      <w:lvlText w:val=""/>
      <w:lvlJc w:val="left"/>
      <w:pPr>
        <w:tabs>
          <w:tab w:val="num" w:pos="3240"/>
        </w:tabs>
        <w:ind w:left="3240" w:hanging="360"/>
      </w:pPr>
      <w:rPr>
        <w:rFonts w:ascii="Wingdings" w:hAnsi="Wingdings" w:hint="default"/>
      </w:rPr>
    </w:lvl>
    <w:lvl w:ilvl="4" w:tplc="17A8D492" w:tentative="1">
      <w:start w:val="1"/>
      <w:numFmt w:val="bullet"/>
      <w:lvlText w:val=""/>
      <w:lvlJc w:val="left"/>
      <w:pPr>
        <w:tabs>
          <w:tab w:val="num" w:pos="3960"/>
        </w:tabs>
        <w:ind w:left="3960" w:hanging="360"/>
      </w:pPr>
      <w:rPr>
        <w:rFonts w:ascii="Wingdings" w:hAnsi="Wingdings" w:hint="default"/>
      </w:rPr>
    </w:lvl>
    <w:lvl w:ilvl="5" w:tplc="62CEED9E" w:tentative="1">
      <w:start w:val="1"/>
      <w:numFmt w:val="bullet"/>
      <w:lvlText w:val=""/>
      <w:lvlJc w:val="left"/>
      <w:pPr>
        <w:tabs>
          <w:tab w:val="num" w:pos="4680"/>
        </w:tabs>
        <w:ind w:left="4680" w:hanging="360"/>
      </w:pPr>
      <w:rPr>
        <w:rFonts w:ascii="Wingdings" w:hAnsi="Wingdings" w:hint="default"/>
      </w:rPr>
    </w:lvl>
    <w:lvl w:ilvl="6" w:tplc="7AE884AC" w:tentative="1">
      <w:start w:val="1"/>
      <w:numFmt w:val="bullet"/>
      <w:lvlText w:val=""/>
      <w:lvlJc w:val="left"/>
      <w:pPr>
        <w:tabs>
          <w:tab w:val="num" w:pos="5400"/>
        </w:tabs>
        <w:ind w:left="5400" w:hanging="360"/>
      </w:pPr>
      <w:rPr>
        <w:rFonts w:ascii="Wingdings" w:hAnsi="Wingdings" w:hint="default"/>
      </w:rPr>
    </w:lvl>
    <w:lvl w:ilvl="7" w:tplc="6318EB74" w:tentative="1">
      <w:start w:val="1"/>
      <w:numFmt w:val="bullet"/>
      <w:lvlText w:val=""/>
      <w:lvlJc w:val="left"/>
      <w:pPr>
        <w:tabs>
          <w:tab w:val="num" w:pos="6120"/>
        </w:tabs>
        <w:ind w:left="6120" w:hanging="360"/>
      </w:pPr>
      <w:rPr>
        <w:rFonts w:ascii="Wingdings" w:hAnsi="Wingdings" w:hint="default"/>
      </w:rPr>
    </w:lvl>
    <w:lvl w:ilvl="8" w:tplc="7BCC9E72"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13152FA5"/>
    <w:multiLevelType w:val="hybridMultilevel"/>
    <w:tmpl w:val="16B8EDEC"/>
    <w:lvl w:ilvl="0" w:tplc="88E2CC1E">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16183974"/>
    <w:multiLevelType w:val="multilevel"/>
    <w:tmpl w:val="CB7603F0"/>
    <w:lvl w:ilvl="0">
      <w:start w:val="1"/>
      <w:numFmt w:val="decimal"/>
      <w:lvlText w:val="%1."/>
      <w:lvlJc w:val="left"/>
      <w:pPr>
        <w:ind w:left="1211" w:hanging="360"/>
      </w:pPr>
      <w:rPr>
        <w:rFonts w:eastAsia="Times New Roman" w:hint="default"/>
      </w:rPr>
    </w:lvl>
    <w:lvl w:ilvl="1">
      <w:start w:val="1"/>
      <w:numFmt w:val="decimal"/>
      <w:isLgl/>
      <w:lvlText w:val="%1.%2."/>
      <w:lvlJc w:val="left"/>
      <w:pPr>
        <w:ind w:left="1990" w:hanging="360"/>
      </w:pPr>
      <w:rPr>
        <w:rFonts w:eastAsiaTheme="minorHAnsi" w:hint="default"/>
      </w:rPr>
    </w:lvl>
    <w:lvl w:ilvl="2">
      <w:start w:val="1"/>
      <w:numFmt w:val="decimal"/>
      <w:isLgl/>
      <w:lvlText w:val="%1.%2.%3."/>
      <w:lvlJc w:val="left"/>
      <w:pPr>
        <w:ind w:left="3129" w:hanging="720"/>
      </w:pPr>
      <w:rPr>
        <w:rFonts w:eastAsiaTheme="minorHAnsi" w:hint="default"/>
      </w:rPr>
    </w:lvl>
    <w:lvl w:ilvl="3">
      <w:start w:val="1"/>
      <w:numFmt w:val="decimal"/>
      <w:isLgl/>
      <w:lvlText w:val="%1.%2.%3.%4."/>
      <w:lvlJc w:val="left"/>
      <w:pPr>
        <w:ind w:left="3908" w:hanging="720"/>
      </w:pPr>
      <w:rPr>
        <w:rFonts w:eastAsiaTheme="minorHAnsi" w:hint="default"/>
      </w:rPr>
    </w:lvl>
    <w:lvl w:ilvl="4">
      <w:start w:val="1"/>
      <w:numFmt w:val="decimal"/>
      <w:isLgl/>
      <w:lvlText w:val="%1.%2.%3.%4.%5."/>
      <w:lvlJc w:val="left"/>
      <w:pPr>
        <w:ind w:left="5047" w:hanging="1080"/>
      </w:pPr>
      <w:rPr>
        <w:rFonts w:eastAsiaTheme="minorHAnsi" w:hint="default"/>
      </w:rPr>
    </w:lvl>
    <w:lvl w:ilvl="5">
      <w:start w:val="1"/>
      <w:numFmt w:val="decimal"/>
      <w:isLgl/>
      <w:lvlText w:val="%1.%2.%3.%4.%5.%6."/>
      <w:lvlJc w:val="left"/>
      <w:pPr>
        <w:ind w:left="5826" w:hanging="1080"/>
      </w:pPr>
      <w:rPr>
        <w:rFonts w:eastAsiaTheme="minorHAnsi" w:hint="default"/>
      </w:rPr>
    </w:lvl>
    <w:lvl w:ilvl="6">
      <w:start w:val="1"/>
      <w:numFmt w:val="decimal"/>
      <w:isLgl/>
      <w:lvlText w:val="%1.%2.%3.%4.%5.%6.%7."/>
      <w:lvlJc w:val="left"/>
      <w:pPr>
        <w:ind w:left="6965" w:hanging="1440"/>
      </w:pPr>
      <w:rPr>
        <w:rFonts w:eastAsiaTheme="minorHAnsi" w:hint="default"/>
      </w:rPr>
    </w:lvl>
    <w:lvl w:ilvl="7">
      <w:start w:val="1"/>
      <w:numFmt w:val="decimal"/>
      <w:isLgl/>
      <w:lvlText w:val="%1.%2.%3.%4.%5.%6.%7.%8."/>
      <w:lvlJc w:val="left"/>
      <w:pPr>
        <w:ind w:left="7744" w:hanging="1440"/>
      </w:pPr>
      <w:rPr>
        <w:rFonts w:eastAsiaTheme="minorHAnsi" w:hint="default"/>
      </w:rPr>
    </w:lvl>
    <w:lvl w:ilvl="8">
      <w:start w:val="1"/>
      <w:numFmt w:val="decimal"/>
      <w:isLgl/>
      <w:lvlText w:val="%1.%2.%3.%4.%5.%6.%7.%8.%9."/>
      <w:lvlJc w:val="left"/>
      <w:pPr>
        <w:ind w:left="8883" w:hanging="1800"/>
      </w:pPr>
      <w:rPr>
        <w:rFonts w:eastAsiaTheme="minorHAnsi" w:hint="default"/>
      </w:rPr>
    </w:lvl>
  </w:abstractNum>
  <w:abstractNum w:abstractNumId="4" w15:restartNumberingAfterBreak="0">
    <w:nsid w:val="270360B1"/>
    <w:multiLevelType w:val="hybridMultilevel"/>
    <w:tmpl w:val="5D8E6ED6"/>
    <w:lvl w:ilvl="0" w:tplc="95F44D20">
      <w:start w:val="1"/>
      <w:numFmt w:val="decimal"/>
      <w:lvlText w:val="%1."/>
      <w:lvlJc w:val="left"/>
      <w:pPr>
        <w:ind w:left="1571" w:hanging="360"/>
      </w:pPr>
      <w:rPr>
        <w:rFonts w:eastAsia="Calibri" w:hint="default"/>
      </w:rPr>
    </w:lvl>
    <w:lvl w:ilvl="1" w:tplc="04260019" w:tentative="1">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5" w15:restartNumberingAfterBreak="0">
    <w:nsid w:val="30015AA2"/>
    <w:multiLevelType w:val="hybridMultilevel"/>
    <w:tmpl w:val="0EDC8156"/>
    <w:lvl w:ilvl="0" w:tplc="A66046C2">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6" w15:restartNumberingAfterBreak="0">
    <w:nsid w:val="389E3B8E"/>
    <w:multiLevelType w:val="hybridMultilevel"/>
    <w:tmpl w:val="7D38357C"/>
    <w:lvl w:ilvl="0" w:tplc="F33E1254">
      <w:start w:val="1"/>
      <w:numFmt w:val="decimal"/>
      <w:lvlText w:val="%1)"/>
      <w:lvlJc w:val="left"/>
      <w:pPr>
        <w:ind w:left="961" w:hanging="360"/>
      </w:pPr>
      <w:rPr>
        <w:rFonts w:hint="default"/>
        <w:color w:val="auto"/>
      </w:rPr>
    </w:lvl>
    <w:lvl w:ilvl="1" w:tplc="04260019" w:tentative="1">
      <w:start w:val="1"/>
      <w:numFmt w:val="lowerLetter"/>
      <w:lvlText w:val="%2."/>
      <w:lvlJc w:val="left"/>
      <w:pPr>
        <w:ind w:left="1681" w:hanging="360"/>
      </w:pPr>
    </w:lvl>
    <w:lvl w:ilvl="2" w:tplc="0426001B" w:tentative="1">
      <w:start w:val="1"/>
      <w:numFmt w:val="lowerRoman"/>
      <w:lvlText w:val="%3."/>
      <w:lvlJc w:val="right"/>
      <w:pPr>
        <w:ind w:left="2401" w:hanging="180"/>
      </w:pPr>
    </w:lvl>
    <w:lvl w:ilvl="3" w:tplc="0426000F" w:tentative="1">
      <w:start w:val="1"/>
      <w:numFmt w:val="decimal"/>
      <w:lvlText w:val="%4."/>
      <w:lvlJc w:val="left"/>
      <w:pPr>
        <w:ind w:left="3121" w:hanging="360"/>
      </w:pPr>
    </w:lvl>
    <w:lvl w:ilvl="4" w:tplc="04260019" w:tentative="1">
      <w:start w:val="1"/>
      <w:numFmt w:val="lowerLetter"/>
      <w:lvlText w:val="%5."/>
      <w:lvlJc w:val="left"/>
      <w:pPr>
        <w:ind w:left="3841" w:hanging="360"/>
      </w:pPr>
    </w:lvl>
    <w:lvl w:ilvl="5" w:tplc="0426001B" w:tentative="1">
      <w:start w:val="1"/>
      <w:numFmt w:val="lowerRoman"/>
      <w:lvlText w:val="%6."/>
      <w:lvlJc w:val="right"/>
      <w:pPr>
        <w:ind w:left="4561" w:hanging="180"/>
      </w:pPr>
    </w:lvl>
    <w:lvl w:ilvl="6" w:tplc="0426000F" w:tentative="1">
      <w:start w:val="1"/>
      <w:numFmt w:val="decimal"/>
      <w:lvlText w:val="%7."/>
      <w:lvlJc w:val="left"/>
      <w:pPr>
        <w:ind w:left="5281" w:hanging="360"/>
      </w:pPr>
    </w:lvl>
    <w:lvl w:ilvl="7" w:tplc="04260019" w:tentative="1">
      <w:start w:val="1"/>
      <w:numFmt w:val="lowerLetter"/>
      <w:lvlText w:val="%8."/>
      <w:lvlJc w:val="left"/>
      <w:pPr>
        <w:ind w:left="6001" w:hanging="360"/>
      </w:pPr>
    </w:lvl>
    <w:lvl w:ilvl="8" w:tplc="0426001B" w:tentative="1">
      <w:start w:val="1"/>
      <w:numFmt w:val="lowerRoman"/>
      <w:lvlText w:val="%9."/>
      <w:lvlJc w:val="right"/>
      <w:pPr>
        <w:ind w:left="6721" w:hanging="180"/>
      </w:pPr>
    </w:lvl>
  </w:abstractNum>
  <w:abstractNum w:abstractNumId="7" w15:restartNumberingAfterBreak="0">
    <w:nsid w:val="3D935E73"/>
    <w:multiLevelType w:val="hybridMultilevel"/>
    <w:tmpl w:val="AA843BC0"/>
    <w:lvl w:ilvl="0" w:tplc="54546DD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62C0186D"/>
    <w:multiLevelType w:val="hybridMultilevel"/>
    <w:tmpl w:val="0EE81F2A"/>
    <w:lvl w:ilvl="0" w:tplc="E548A3CA">
      <w:start w:val="1"/>
      <w:numFmt w:val="decimal"/>
      <w:lvlText w:val="%1."/>
      <w:lvlJc w:val="left"/>
      <w:pPr>
        <w:ind w:left="1080" w:hanging="360"/>
      </w:pPr>
      <w:rPr>
        <w:rFonts w:ascii="Gotham Pro LT" w:eastAsiaTheme="minorHAnsi" w:hAnsi="Gotham Pro LT" w:cs="Gotham Pro LT" w:hint="default"/>
        <w:b w:val="0"/>
        <w:color w:val="000000"/>
        <w:sz w:val="22"/>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665931B0"/>
    <w:multiLevelType w:val="hybridMultilevel"/>
    <w:tmpl w:val="E6140AF6"/>
    <w:lvl w:ilvl="0" w:tplc="04090017">
      <w:start w:val="1"/>
      <w:numFmt w:val="lowerLetter"/>
      <w:lvlText w:val="%1)"/>
      <w:lvlJc w:val="left"/>
      <w:pPr>
        <w:tabs>
          <w:tab w:val="num" w:pos="720"/>
        </w:tabs>
        <w:ind w:left="720" w:hanging="360"/>
      </w:pPr>
      <w:rPr>
        <w:rFonts w:hint="default"/>
      </w:rPr>
    </w:lvl>
    <w:lvl w:ilvl="1" w:tplc="70C24888" w:tentative="1">
      <w:start w:val="1"/>
      <w:numFmt w:val="bullet"/>
      <w:lvlText w:val=""/>
      <w:lvlJc w:val="left"/>
      <w:pPr>
        <w:tabs>
          <w:tab w:val="num" w:pos="1440"/>
        </w:tabs>
        <w:ind w:left="1440" w:hanging="360"/>
      </w:pPr>
      <w:rPr>
        <w:rFonts w:ascii="Wingdings" w:hAnsi="Wingdings" w:hint="default"/>
      </w:rPr>
    </w:lvl>
    <w:lvl w:ilvl="2" w:tplc="0AE8D282" w:tentative="1">
      <w:start w:val="1"/>
      <w:numFmt w:val="bullet"/>
      <w:lvlText w:val=""/>
      <w:lvlJc w:val="left"/>
      <w:pPr>
        <w:tabs>
          <w:tab w:val="num" w:pos="2160"/>
        </w:tabs>
        <w:ind w:left="2160" w:hanging="360"/>
      </w:pPr>
      <w:rPr>
        <w:rFonts w:ascii="Wingdings" w:hAnsi="Wingdings" w:hint="default"/>
      </w:rPr>
    </w:lvl>
    <w:lvl w:ilvl="3" w:tplc="73585A84" w:tentative="1">
      <w:start w:val="1"/>
      <w:numFmt w:val="bullet"/>
      <w:lvlText w:val=""/>
      <w:lvlJc w:val="left"/>
      <w:pPr>
        <w:tabs>
          <w:tab w:val="num" w:pos="2880"/>
        </w:tabs>
        <w:ind w:left="2880" w:hanging="360"/>
      </w:pPr>
      <w:rPr>
        <w:rFonts w:ascii="Wingdings" w:hAnsi="Wingdings" w:hint="default"/>
      </w:rPr>
    </w:lvl>
    <w:lvl w:ilvl="4" w:tplc="17A8D492" w:tentative="1">
      <w:start w:val="1"/>
      <w:numFmt w:val="bullet"/>
      <w:lvlText w:val=""/>
      <w:lvlJc w:val="left"/>
      <w:pPr>
        <w:tabs>
          <w:tab w:val="num" w:pos="3600"/>
        </w:tabs>
        <w:ind w:left="3600" w:hanging="360"/>
      </w:pPr>
      <w:rPr>
        <w:rFonts w:ascii="Wingdings" w:hAnsi="Wingdings" w:hint="default"/>
      </w:rPr>
    </w:lvl>
    <w:lvl w:ilvl="5" w:tplc="62CEED9E" w:tentative="1">
      <w:start w:val="1"/>
      <w:numFmt w:val="bullet"/>
      <w:lvlText w:val=""/>
      <w:lvlJc w:val="left"/>
      <w:pPr>
        <w:tabs>
          <w:tab w:val="num" w:pos="4320"/>
        </w:tabs>
        <w:ind w:left="4320" w:hanging="360"/>
      </w:pPr>
      <w:rPr>
        <w:rFonts w:ascii="Wingdings" w:hAnsi="Wingdings" w:hint="default"/>
      </w:rPr>
    </w:lvl>
    <w:lvl w:ilvl="6" w:tplc="7AE884AC" w:tentative="1">
      <w:start w:val="1"/>
      <w:numFmt w:val="bullet"/>
      <w:lvlText w:val=""/>
      <w:lvlJc w:val="left"/>
      <w:pPr>
        <w:tabs>
          <w:tab w:val="num" w:pos="5040"/>
        </w:tabs>
        <w:ind w:left="5040" w:hanging="360"/>
      </w:pPr>
      <w:rPr>
        <w:rFonts w:ascii="Wingdings" w:hAnsi="Wingdings" w:hint="default"/>
      </w:rPr>
    </w:lvl>
    <w:lvl w:ilvl="7" w:tplc="6318EB74" w:tentative="1">
      <w:start w:val="1"/>
      <w:numFmt w:val="bullet"/>
      <w:lvlText w:val=""/>
      <w:lvlJc w:val="left"/>
      <w:pPr>
        <w:tabs>
          <w:tab w:val="num" w:pos="5760"/>
        </w:tabs>
        <w:ind w:left="5760" w:hanging="360"/>
      </w:pPr>
      <w:rPr>
        <w:rFonts w:ascii="Wingdings" w:hAnsi="Wingdings" w:hint="default"/>
      </w:rPr>
    </w:lvl>
    <w:lvl w:ilvl="8" w:tplc="7BCC9E72"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DE4173D"/>
    <w:multiLevelType w:val="hybridMultilevel"/>
    <w:tmpl w:val="F3C6B0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70D851A4"/>
    <w:multiLevelType w:val="hybridMultilevel"/>
    <w:tmpl w:val="7AD0F85C"/>
    <w:lvl w:ilvl="0" w:tplc="04090017">
      <w:start w:val="1"/>
      <w:numFmt w:val="lowerLetter"/>
      <w:lvlText w:val="%1)"/>
      <w:lvlJc w:val="left"/>
      <w:pPr>
        <w:tabs>
          <w:tab w:val="num" w:pos="1080"/>
        </w:tabs>
        <w:ind w:left="1080" w:hanging="360"/>
      </w:pPr>
      <w:rPr>
        <w:rFonts w:hint="default"/>
      </w:rPr>
    </w:lvl>
    <w:lvl w:ilvl="1" w:tplc="70C24888" w:tentative="1">
      <w:start w:val="1"/>
      <w:numFmt w:val="bullet"/>
      <w:lvlText w:val=""/>
      <w:lvlJc w:val="left"/>
      <w:pPr>
        <w:tabs>
          <w:tab w:val="num" w:pos="1800"/>
        </w:tabs>
        <w:ind w:left="1800" w:hanging="360"/>
      </w:pPr>
      <w:rPr>
        <w:rFonts w:ascii="Wingdings" w:hAnsi="Wingdings" w:hint="default"/>
      </w:rPr>
    </w:lvl>
    <w:lvl w:ilvl="2" w:tplc="0AE8D282" w:tentative="1">
      <w:start w:val="1"/>
      <w:numFmt w:val="bullet"/>
      <w:lvlText w:val=""/>
      <w:lvlJc w:val="left"/>
      <w:pPr>
        <w:tabs>
          <w:tab w:val="num" w:pos="2520"/>
        </w:tabs>
        <w:ind w:left="2520" w:hanging="360"/>
      </w:pPr>
      <w:rPr>
        <w:rFonts w:ascii="Wingdings" w:hAnsi="Wingdings" w:hint="default"/>
      </w:rPr>
    </w:lvl>
    <w:lvl w:ilvl="3" w:tplc="73585A84" w:tentative="1">
      <w:start w:val="1"/>
      <w:numFmt w:val="bullet"/>
      <w:lvlText w:val=""/>
      <w:lvlJc w:val="left"/>
      <w:pPr>
        <w:tabs>
          <w:tab w:val="num" w:pos="3240"/>
        </w:tabs>
        <w:ind w:left="3240" w:hanging="360"/>
      </w:pPr>
      <w:rPr>
        <w:rFonts w:ascii="Wingdings" w:hAnsi="Wingdings" w:hint="default"/>
      </w:rPr>
    </w:lvl>
    <w:lvl w:ilvl="4" w:tplc="17A8D492" w:tentative="1">
      <w:start w:val="1"/>
      <w:numFmt w:val="bullet"/>
      <w:lvlText w:val=""/>
      <w:lvlJc w:val="left"/>
      <w:pPr>
        <w:tabs>
          <w:tab w:val="num" w:pos="3960"/>
        </w:tabs>
        <w:ind w:left="3960" w:hanging="360"/>
      </w:pPr>
      <w:rPr>
        <w:rFonts w:ascii="Wingdings" w:hAnsi="Wingdings" w:hint="default"/>
      </w:rPr>
    </w:lvl>
    <w:lvl w:ilvl="5" w:tplc="62CEED9E" w:tentative="1">
      <w:start w:val="1"/>
      <w:numFmt w:val="bullet"/>
      <w:lvlText w:val=""/>
      <w:lvlJc w:val="left"/>
      <w:pPr>
        <w:tabs>
          <w:tab w:val="num" w:pos="4680"/>
        </w:tabs>
        <w:ind w:left="4680" w:hanging="360"/>
      </w:pPr>
      <w:rPr>
        <w:rFonts w:ascii="Wingdings" w:hAnsi="Wingdings" w:hint="default"/>
      </w:rPr>
    </w:lvl>
    <w:lvl w:ilvl="6" w:tplc="7AE884AC" w:tentative="1">
      <w:start w:val="1"/>
      <w:numFmt w:val="bullet"/>
      <w:lvlText w:val=""/>
      <w:lvlJc w:val="left"/>
      <w:pPr>
        <w:tabs>
          <w:tab w:val="num" w:pos="5400"/>
        </w:tabs>
        <w:ind w:left="5400" w:hanging="360"/>
      </w:pPr>
      <w:rPr>
        <w:rFonts w:ascii="Wingdings" w:hAnsi="Wingdings" w:hint="default"/>
      </w:rPr>
    </w:lvl>
    <w:lvl w:ilvl="7" w:tplc="6318EB74" w:tentative="1">
      <w:start w:val="1"/>
      <w:numFmt w:val="bullet"/>
      <w:lvlText w:val=""/>
      <w:lvlJc w:val="left"/>
      <w:pPr>
        <w:tabs>
          <w:tab w:val="num" w:pos="6120"/>
        </w:tabs>
        <w:ind w:left="6120" w:hanging="360"/>
      </w:pPr>
      <w:rPr>
        <w:rFonts w:ascii="Wingdings" w:hAnsi="Wingdings" w:hint="default"/>
      </w:rPr>
    </w:lvl>
    <w:lvl w:ilvl="8" w:tplc="7BCC9E72" w:tentative="1">
      <w:start w:val="1"/>
      <w:numFmt w:val="bullet"/>
      <w:lvlText w:val=""/>
      <w:lvlJc w:val="left"/>
      <w:pPr>
        <w:tabs>
          <w:tab w:val="num" w:pos="6840"/>
        </w:tabs>
        <w:ind w:left="6840" w:hanging="360"/>
      </w:pPr>
      <w:rPr>
        <w:rFonts w:ascii="Wingdings" w:hAnsi="Wingdings" w:hint="default"/>
      </w:rPr>
    </w:lvl>
  </w:abstractNum>
  <w:num w:numId="1">
    <w:abstractNumId w:val="7"/>
  </w:num>
  <w:num w:numId="2">
    <w:abstractNumId w:val="8"/>
  </w:num>
  <w:num w:numId="3">
    <w:abstractNumId w:val="1"/>
  </w:num>
  <w:num w:numId="4">
    <w:abstractNumId w:val="9"/>
  </w:num>
  <w:num w:numId="5">
    <w:abstractNumId w:val="11"/>
  </w:num>
  <w:num w:numId="6">
    <w:abstractNumId w:val="0"/>
  </w:num>
  <w:num w:numId="7">
    <w:abstractNumId w:val="4"/>
  </w:num>
  <w:num w:numId="8">
    <w:abstractNumId w:val="3"/>
  </w:num>
  <w:num w:numId="9">
    <w:abstractNumId w:val="10"/>
  </w:num>
  <w:num w:numId="10">
    <w:abstractNumId w:val="5"/>
  </w:num>
  <w:num w:numId="11">
    <w:abstractNumId w:val="6"/>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9"/>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AF7"/>
    <w:rsid w:val="00046C87"/>
    <w:rsid w:val="00047D91"/>
    <w:rsid w:val="00066F66"/>
    <w:rsid w:val="000B0676"/>
    <w:rsid w:val="00120337"/>
    <w:rsid w:val="0012219B"/>
    <w:rsid w:val="001434B2"/>
    <w:rsid w:val="001527BC"/>
    <w:rsid w:val="00174F24"/>
    <w:rsid w:val="00185F05"/>
    <w:rsid w:val="001E1462"/>
    <w:rsid w:val="001E57C6"/>
    <w:rsid w:val="001E6FC4"/>
    <w:rsid w:val="00212AC0"/>
    <w:rsid w:val="00241ABD"/>
    <w:rsid w:val="002476FD"/>
    <w:rsid w:val="00247A5D"/>
    <w:rsid w:val="0026216F"/>
    <w:rsid w:val="002665DB"/>
    <w:rsid w:val="00275A40"/>
    <w:rsid w:val="00281889"/>
    <w:rsid w:val="002B030D"/>
    <w:rsid w:val="002E79FD"/>
    <w:rsid w:val="00323C1A"/>
    <w:rsid w:val="003738DC"/>
    <w:rsid w:val="004C5681"/>
    <w:rsid w:val="004F18A2"/>
    <w:rsid w:val="005345EE"/>
    <w:rsid w:val="005A3966"/>
    <w:rsid w:val="005B23B3"/>
    <w:rsid w:val="00607520"/>
    <w:rsid w:val="0061232B"/>
    <w:rsid w:val="00617E51"/>
    <w:rsid w:val="00655E12"/>
    <w:rsid w:val="006A673C"/>
    <w:rsid w:val="006C2E99"/>
    <w:rsid w:val="006C3F27"/>
    <w:rsid w:val="006C5763"/>
    <w:rsid w:val="006E747C"/>
    <w:rsid w:val="00721CEA"/>
    <w:rsid w:val="00786449"/>
    <w:rsid w:val="007F7714"/>
    <w:rsid w:val="00813C0A"/>
    <w:rsid w:val="0084356D"/>
    <w:rsid w:val="008A68ED"/>
    <w:rsid w:val="008B597C"/>
    <w:rsid w:val="008F7911"/>
    <w:rsid w:val="009B0153"/>
    <w:rsid w:val="009B0AB4"/>
    <w:rsid w:val="009B7755"/>
    <w:rsid w:val="00A2605F"/>
    <w:rsid w:val="00A470CE"/>
    <w:rsid w:val="00A9010C"/>
    <w:rsid w:val="00A91AF2"/>
    <w:rsid w:val="00AB6799"/>
    <w:rsid w:val="00AF48BA"/>
    <w:rsid w:val="00B071F0"/>
    <w:rsid w:val="00B24523"/>
    <w:rsid w:val="00B510B8"/>
    <w:rsid w:val="00B659F6"/>
    <w:rsid w:val="00C000BA"/>
    <w:rsid w:val="00C13F19"/>
    <w:rsid w:val="00C62AF7"/>
    <w:rsid w:val="00C702E8"/>
    <w:rsid w:val="00C75066"/>
    <w:rsid w:val="00CA1C2E"/>
    <w:rsid w:val="00CC09B7"/>
    <w:rsid w:val="00D07B5A"/>
    <w:rsid w:val="00D07E80"/>
    <w:rsid w:val="00D43C44"/>
    <w:rsid w:val="00D47922"/>
    <w:rsid w:val="00D65956"/>
    <w:rsid w:val="00D82E66"/>
    <w:rsid w:val="00D8780F"/>
    <w:rsid w:val="00DA2757"/>
    <w:rsid w:val="00DF7698"/>
    <w:rsid w:val="00E04644"/>
    <w:rsid w:val="00E3276D"/>
    <w:rsid w:val="00E33B40"/>
    <w:rsid w:val="00E36DA4"/>
    <w:rsid w:val="00E41F11"/>
    <w:rsid w:val="00E64FE2"/>
    <w:rsid w:val="00E840D6"/>
    <w:rsid w:val="00E86F65"/>
    <w:rsid w:val="00F22768"/>
    <w:rsid w:val="00F400F8"/>
    <w:rsid w:val="00F419C4"/>
    <w:rsid w:val="00F77C03"/>
    <w:rsid w:val="00F86DEA"/>
    <w:rsid w:val="00FA1EE1"/>
    <w:rsid w:val="00FA4202"/>
    <w:rsid w:val="00FF665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F39979"/>
  <w15:docId w15:val="{E6C29711-1E4A-4DCE-A812-4BFD8C1DE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4523"/>
  </w:style>
  <w:style w:type="paragraph" w:styleId="Heading3">
    <w:name w:val="heading 3"/>
    <w:basedOn w:val="Normal"/>
    <w:link w:val="Heading3Char"/>
    <w:uiPriority w:val="9"/>
    <w:qFormat/>
    <w:rsid w:val="0026216F"/>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2AF7"/>
    <w:pPr>
      <w:tabs>
        <w:tab w:val="center" w:pos="4153"/>
        <w:tab w:val="right" w:pos="8306"/>
      </w:tabs>
      <w:spacing w:after="0" w:line="240" w:lineRule="auto"/>
    </w:pPr>
  </w:style>
  <w:style w:type="character" w:customStyle="1" w:styleId="HeaderChar">
    <w:name w:val="Header Char"/>
    <w:basedOn w:val="DefaultParagraphFont"/>
    <w:link w:val="Header"/>
    <w:uiPriority w:val="99"/>
    <w:rsid w:val="00C62AF7"/>
  </w:style>
  <w:style w:type="paragraph" w:styleId="Footer">
    <w:name w:val="footer"/>
    <w:basedOn w:val="Normal"/>
    <w:link w:val="FooterChar"/>
    <w:uiPriority w:val="99"/>
    <w:unhideWhenUsed/>
    <w:rsid w:val="00C62AF7"/>
    <w:pPr>
      <w:tabs>
        <w:tab w:val="center" w:pos="4153"/>
        <w:tab w:val="right" w:pos="8306"/>
      </w:tabs>
      <w:spacing w:after="0" w:line="240" w:lineRule="auto"/>
    </w:pPr>
  </w:style>
  <w:style w:type="character" w:customStyle="1" w:styleId="FooterChar">
    <w:name w:val="Footer Char"/>
    <w:basedOn w:val="DefaultParagraphFont"/>
    <w:link w:val="Footer"/>
    <w:uiPriority w:val="99"/>
    <w:rsid w:val="00C62AF7"/>
  </w:style>
  <w:style w:type="paragraph" w:styleId="BalloonText">
    <w:name w:val="Balloon Text"/>
    <w:basedOn w:val="Normal"/>
    <w:link w:val="BalloonTextChar"/>
    <w:uiPriority w:val="99"/>
    <w:semiHidden/>
    <w:unhideWhenUsed/>
    <w:rsid w:val="00C62A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2AF7"/>
    <w:rPr>
      <w:rFonts w:ascii="Tahoma" w:hAnsi="Tahoma" w:cs="Tahoma"/>
      <w:sz w:val="16"/>
      <w:szCs w:val="16"/>
    </w:rPr>
  </w:style>
  <w:style w:type="character" w:styleId="Hyperlink">
    <w:name w:val="Hyperlink"/>
    <w:basedOn w:val="DefaultParagraphFont"/>
    <w:uiPriority w:val="99"/>
    <w:unhideWhenUsed/>
    <w:rsid w:val="00DF7698"/>
    <w:rPr>
      <w:color w:val="085296"/>
      <w:u w:val="single"/>
    </w:rPr>
  </w:style>
  <w:style w:type="character" w:styleId="PlaceholderText">
    <w:name w:val="Placeholder Text"/>
    <w:basedOn w:val="DefaultParagraphFont"/>
    <w:uiPriority w:val="99"/>
    <w:semiHidden/>
    <w:rsid w:val="00C702E8"/>
    <w:rPr>
      <w:color w:val="808080"/>
    </w:rPr>
  </w:style>
  <w:style w:type="paragraph" w:styleId="NoSpacing">
    <w:name w:val="No Spacing"/>
    <w:link w:val="NoSpacingChar"/>
    <w:uiPriority w:val="1"/>
    <w:qFormat/>
    <w:rsid w:val="000B0676"/>
    <w:pPr>
      <w:widowControl w:val="0"/>
      <w:spacing w:after="0" w:line="240" w:lineRule="auto"/>
    </w:pPr>
    <w:rPr>
      <w:rFonts w:ascii="Times New Roman" w:eastAsia="Calibri" w:hAnsi="Times New Roman" w:cs="Times New Roman"/>
      <w:sz w:val="24"/>
      <w:szCs w:val="24"/>
      <w:lang w:eastAsia="lv-LV"/>
    </w:rPr>
  </w:style>
  <w:style w:type="paragraph" w:customStyle="1" w:styleId="xxxmsonormal">
    <w:name w:val="x_x_x_msonormal"/>
    <w:basedOn w:val="Normal"/>
    <w:rsid w:val="000B0676"/>
    <w:pPr>
      <w:spacing w:after="0" w:line="240" w:lineRule="auto"/>
    </w:pPr>
    <w:rPr>
      <w:rFonts w:ascii="Calibri" w:hAnsi="Calibri" w:cs="Calibri"/>
      <w:lang w:eastAsia="lv-LV"/>
    </w:rPr>
  </w:style>
  <w:style w:type="character" w:customStyle="1" w:styleId="xxxspelle">
    <w:name w:val="x_x_x_spelle"/>
    <w:basedOn w:val="DefaultParagraphFont"/>
    <w:rsid w:val="000B0676"/>
  </w:style>
  <w:style w:type="character" w:styleId="UnresolvedMention">
    <w:name w:val="Unresolved Mention"/>
    <w:basedOn w:val="DefaultParagraphFont"/>
    <w:uiPriority w:val="99"/>
    <w:semiHidden/>
    <w:unhideWhenUsed/>
    <w:rsid w:val="000B0676"/>
    <w:rPr>
      <w:color w:val="605E5C"/>
      <w:shd w:val="clear" w:color="auto" w:fill="E1DFDD"/>
    </w:rPr>
  </w:style>
  <w:style w:type="paragraph" w:styleId="ListParagraph">
    <w:name w:val="List Paragraph"/>
    <w:basedOn w:val="Normal"/>
    <w:uiPriority w:val="34"/>
    <w:qFormat/>
    <w:rsid w:val="00E64FE2"/>
    <w:pPr>
      <w:ind w:left="720"/>
      <w:contextualSpacing/>
    </w:pPr>
  </w:style>
  <w:style w:type="character" w:styleId="CommentReference">
    <w:name w:val="annotation reference"/>
    <w:basedOn w:val="DefaultParagraphFont"/>
    <w:uiPriority w:val="99"/>
    <w:semiHidden/>
    <w:unhideWhenUsed/>
    <w:rsid w:val="00E64FE2"/>
    <w:rPr>
      <w:sz w:val="16"/>
      <w:szCs w:val="16"/>
    </w:rPr>
  </w:style>
  <w:style w:type="paragraph" w:styleId="CommentText">
    <w:name w:val="annotation text"/>
    <w:basedOn w:val="Normal"/>
    <w:link w:val="CommentTextChar"/>
    <w:uiPriority w:val="99"/>
    <w:semiHidden/>
    <w:unhideWhenUsed/>
    <w:rsid w:val="00E64FE2"/>
    <w:pPr>
      <w:spacing w:line="240" w:lineRule="auto"/>
    </w:pPr>
    <w:rPr>
      <w:sz w:val="20"/>
      <w:szCs w:val="20"/>
    </w:rPr>
  </w:style>
  <w:style w:type="character" w:customStyle="1" w:styleId="CommentTextChar">
    <w:name w:val="Comment Text Char"/>
    <w:basedOn w:val="DefaultParagraphFont"/>
    <w:link w:val="CommentText"/>
    <w:uiPriority w:val="99"/>
    <w:semiHidden/>
    <w:rsid w:val="00E64FE2"/>
    <w:rPr>
      <w:sz w:val="20"/>
      <w:szCs w:val="20"/>
    </w:rPr>
  </w:style>
  <w:style w:type="paragraph" w:styleId="CommentSubject">
    <w:name w:val="annotation subject"/>
    <w:basedOn w:val="CommentText"/>
    <w:next w:val="CommentText"/>
    <w:link w:val="CommentSubjectChar"/>
    <w:uiPriority w:val="99"/>
    <w:semiHidden/>
    <w:unhideWhenUsed/>
    <w:rsid w:val="00E64FE2"/>
    <w:rPr>
      <w:b/>
      <w:bCs/>
    </w:rPr>
  </w:style>
  <w:style w:type="character" w:customStyle="1" w:styleId="CommentSubjectChar">
    <w:name w:val="Comment Subject Char"/>
    <w:basedOn w:val="CommentTextChar"/>
    <w:link w:val="CommentSubject"/>
    <w:uiPriority w:val="99"/>
    <w:semiHidden/>
    <w:rsid w:val="00E64FE2"/>
    <w:rPr>
      <w:b/>
      <w:bCs/>
      <w:sz w:val="20"/>
      <w:szCs w:val="20"/>
    </w:rPr>
  </w:style>
  <w:style w:type="paragraph" w:customStyle="1" w:styleId="tv213">
    <w:name w:val="tv213"/>
    <w:basedOn w:val="Normal"/>
    <w:rsid w:val="005B23B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FootnoteText">
    <w:name w:val="footnote text"/>
    <w:basedOn w:val="Normal"/>
    <w:link w:val="FootnoteTextChar"/>
    <w:uiPriority w:val="99"/>
    <w:unhideWhenUsed/>
    <w:rsid w:val="005B23B3"/>
    <w:pPr>
      <w:widowControl w:val="0"/>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rsid w:val="005B23B3"/>
    <w:rPr>
      <w:rFonts w:ascii="Calibri" w:eastAsia="Calibri" w:hAnsi="Calibri" w:cs="Times New Roman"/>
      <w:sz w:val="20"/>
      <w:szCs w:val="20"/>
      <w:lang w:val="en-US"/>
    </w:rPr>
  </w:style>
  <w:style w:type="character" w:styleId="FootnoteReference">
    <w:name w:val="footnote reference"/>
    <w:uiPriority w:val="99"/>
    <w:unhideWhenUsed/>
    <w:rsid w:val="005B23B3"/>
    <w:rPr>
      <w:vertAlign w:val="superscript"/>
    </w:rPr>
  </w:style>
  <w:style w:type="character" w:customStyle="1" w:styleId="Bodytext2">
    <w:name w:val="Body text (2)_"/>
    <w:basedOn w:val="DefaultParagraphFont"/>
    <w:link w:val="Bodytext21"/>
    <w:rsid w:val="005B23B3"/>
    <w:rPr>
      <w:rFonts w:ascii="Book Antiqua" w:eastAsia="Book Antiqua" w:hAnsi="Book Antiqua" w:cs="Book Antiqua"/>
      <w:sz w:val="17"/>
      <w:szCs w:val="17"/>
      <w:shd w:val="clear" w:color="auto" w:fill="FFFFFF"/>
    </w:rPr>
  </w:style>
  <w:style w:type="paragraph" w:customStyle="1" w:styleId="Bodytext21">
    <w:name w:val="Body text (2)1"/>
    <w:basedOn w:val="Normal"/>
    <w:link w:val="Bodytext2"/>
    <w:rsid w:val="005B23B3"/>
    <w:pPr>
      <w:widowControl w:val="0"/>
      <w:shd w:val="clear" w:color="auto" w:fill="FFFFFF"/>
      <w:spacing w:after="0" w:line="250" w:lineRule="exact"/>
      <w:jc w:val="both"/>
    </w:pPr>
    <w:rPr>
      <w:rFonts w:ascii="Book Antiqua" w:eastAsia="Book Antiqua" w:hAnsi="Book Antiqua" w:cs="Book Antiqua"/>
      <w:sz w:val="17"/>
      <w:szCs w:val="17"/>
    </w:rPr>
  </w:style>
  <w:style w:type="character" w:customStyle="1" w:styleId="NoSpacingChar">
    <w:name w:val="No Spacing Char"/>
    <w:basedOn w:val="DefaultParagraphFont"/>
    <w:link w:val="NoSpacing"/>
    <w:uiPriority w:val="1"/>
    <w:rsid w:val="005B23B3"/>
    <w:rPr>
      <w:rFonts w:ascii="Times New Roman" w:eastAsia="Calibri" w:hAnsi="Times New Roman" w:cs="Times New Roman"/>
      <w:sz w:val="24"/>
      <w:szCs w:val="24"/>
      <w:lang w:eastAsia="lv-LV"/>
    </w:rPr>
  </w:style>
  <w:style w:type="character" w:customStyle="1" w:styleId="highlight">
    <w:name w:val="highlight"/>
    <w:basedOn w:val="DefaultParagraphFont"/>
    <w:rsid w:val="005B23B3"/>
  </w:style>
  <w:style w:type="character" w:customStyle="1" w:styleId="Heading3Char">
    <w:name w:val="Heading 3 Char"/>
    <w:basedOn w:val="DefaultParagraphFont"/>
    <w:link w:val="Heading3"/>
    <w:uiPriority w:val="9"/>
    <w:rsid w:val="0026216F"/>
    <w:rPr>
      <w:rFonts w:ascii="Times New Roman" w:eastAsia="Times New Roman" w:hAnsi="Times New Roman" w:cs="Times New Roman"/>
      <w:b/>
      <w:bCs/>
      <w:sz w:val="27"/>
      <w:szCs w:val="27"/>
      <w:lang w:eastAsia="lv-LV"/>
    </w:rPr>
  </w:style>
  <w:style w:type="paragraph" w:customStyle="1" w:styleId="title-doc-first">
    <w:name w:val="title-doc-first"/>
    <w:basedOn w:val="Normal"/>
    <w:rsid w:val="0026216F"/>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723391">
      <w:bodyDiv w:val="1"/>
      <w:marLeft w:val="0"/>
      <w:marRight w:val="0"/>
      <w:marTop w:val="0"/>
      <w:marBottom w:val="0"/>
      <w:divBdr>
        <w:top w:val="none" w:sz="0" w:space="0" w:color="auto"/>
        <w:left w:val="none" w:sz="0" w:space="0" w:color="auto"/>
        <w:bottom w:val="none" w:sz="0" w:space="0" w:color="auto"/>
        <w:right w:val="none" w:sz="0" w:space="0" w:color="auto"/>
      </w:divBdr>
    </w:div>
    <w:div w:id="1245338186">
      <w:bodyDiv w:val="1"/>
      <w:marLeft w:val="0"/>
      <w:marRight w:val="0"/>
      <w:marTop w:val="0"/>
      <w:marBottom w:val="0"/>
      <w:divBdr>
        <w:top w:val="none" w:sz="0" w:space="0" w:color="auto"/>
        <w:left w:val="none" w:sz="0" w:space="0" w:color="auto"/>
        <w:bottom w:val="none" w:sz="0" w:space="0" w:color="auto"/>
        <w:right w:val="none" w:sz="0" w:space="0" w:color="auto"/>
      </w:divBdr>
      <w:divsChild>
        <w:div w:id="1831479394">
          <w:marLeft w:val="0"/>
          <w:marRight w:val="0"/>
          <w:marTop w:val="0"/>
          <w:marBottom w:val="0"/>
          <w:divBdr>
            <w:top w:val="none" w:sz="0" w:space="0" w:color="auto"/>
            <w:left w:val="none" w:sz="0" w:space="0" w:color="auto"/>
            <w:bottom w:val="none" w:sz="0" w:space="0" w:color="auto"/>
            <w:right w:val="none" w:sz="0" w:space="0" w:color="auto"/>
          </w:divBdr>
          <w:divsChild>
            <w:div w:id="216430370">
              <w:marLeft w:val="0"/>
              <w:marRight w:val="0"/>
              <w:marTop w:val="0"/>
              <w:marBottom w:val="0"/>
              <w:divBdr>
                <w:top w:val="none" w:sz="0" w:space="0" w:color="auto"/>
                <w:left w:val="none" w:sz="0" w:space="0" w:color="auto"/>
                <w:bottom w:val="none" w:sz="0" w:space="0" w:color="auto"/>
                <w:right w:val="none" w:sz="0" w:space="0" w:color="auto"/>
              </w:divBdr>
              <w:divsChild>
                <w:div w:id="1603611521">
                  <w:marLeft w:val="0"/>
                  <w:marRight w:val="0"/>
                  <w:marTop w:val="0"/>
                  <w:marBottom w:val="0"/>
                  <w:divBdr>
                    <w:top w:val="none" w:sz="0" w:space="0" w:color="auto"/>
                    <w:left w:val="none" w:sz="0" w:space="0" w:color="auto"/>
                    <w:bottom w:val="none" w:sz="0" w:space="0" w:color="auto"/>
                    <w:right w:val="none" w:sz="0" w:space="0" w:color="auto"/>
                  </w:divBdr>
                  <w:divsChild>
                    <w:div w:id="170686221">
                      <w:marLeft w:val="0"/>
                      <w:marRight w:val="0"/>
                      <w:marTop w:val="0"/>
                      <w:marBottom w:val="0"/>
                      <w:divBdr>
                        <w:top w:val="none" w:sz="0" w:space="0" w:color="auto"/>
                        <w:left w:val="none" w:sz="0" w:space="0" w:color="auto"/>
                        <w:bottom w:val="none" w:sz="0" w:space="0" w:color="auto"/>
                        <w:right w:val="none" w:sz="0" w:space="0" w:color="auto"/>
                      </w:divBdr>
                      <w:divsChild>
                        <w:div w:id="1531263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3952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ija.Zitcere@fm.gov.lv" TargetMode="External"/><Relationship Id="rId18" Type="http://schemas.openxmlformats.org/officeDocument/2006/relationships/image" Target="media/image3.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mailto:L&#299;ga.Klavina@fm.gov.lv" TargetMode="External"/><Relationship Id="rId17" Type="http://schemas.openxmlformats.org/officeDocument/2006/relationships/image" Target="media/image2.png"/><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asts@fm.gov.lv" TargetMode="External"/><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mailto:Inese.Albova@fm.gov.lv" TargetMode="External"/><Relationship Id="rId23" Type="http://schemas.openxmlformats.org/officeDocument/2006/relationships/footer" Target="footer2.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likumi.lv/ta/id/87547"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gita.Skibele@fm.gov.lv" TargetMode="External"/><Relationship Id="rId22" Type="http://schemas.openxmlformats.org/officeDocument/2006/relationships/footer" Target="footer1.xml"/><Relationship Id="rId27" Type="http://schemas.openxmlformats.org/officeDocument/2006/relationships/glossaryDocument" Target="glossary/document.xml"/></Relationships>
</file>

<file path=word/_rels/footer2.xml.rels><?xml version="1.0" encoding="UTF-8" standalone="yes"?>
<Relationships xmlns="http://schemas.openxmlformats.org/package/2006/relationships"><Relationship Id="rId3" Type="http://schemas.openxmlformats.org/officeDocument/2006/relationships/hyperlink" Target="mailto:ltab@ltab.lv" TargetMode="External"/><Relationship Id="rId2" Type="http://schemas.openxmlformats.org/officeDocument/2006/relationships/hyperlink" Target="http://www.ltab.lv" TargetMode="External"/><Relationship Id="rId1" Type="http://schemas.openxmlformats.org/officeDocument/2006/relationships/hyperlink" Target="mailto:ltab@ltab.lv" TargetMode="External"/><Relationship Id="rId4" Type="http://schemas.openxmlformats.org/officeDocument/2006/relationships/hyperlink" Target="http://www.ltab.lv"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834D5A16F4C44F29DA4359B433FD429"/>
        <w:category>
          <w:name w:val="General"/>
          <w:gallery w:val="placeholder"/>
        </w:category>
        <w:types>
          <w:type w:val="bbPlcHdr"/>
        </w:types>
        <w:behaviors>
          <w:behavior w:val="content"/>
        </w:behaviors>
        <w:guid w:val="{C0C25602-4298-4556-84A5-3528F0AB2686}"/>
      </w:docPartPr>
      <w:docPartBody>
        <w:p w:rsidR="0005011B" w:rsidRDefault="00EC0090" w:rsidP="00EC0090">
          <w:pPr>
            <w:pStyle w:val="A834D5A16F4C44F29DA4359B433FD429"/>
          </w:pPr>
          <w:r w:rsidRPr="008139CB">
            <w:rPr>
              <w:rStyle w:val="PlaceholderText"/>
            </w:rPr>
            <w:t>[Reģistrēšanas datums]</w:t>
          </w:r>
        </w:p>
      </w:docPartBody>
    </w:docPart>
    <w:docPart>
      <w:docPartPr>
        <w:name w:val="4E0FEC1A292F419C82C8398F35ED4E1E"/>
        <w:category>
          <w:name w:val="General"/>
          <w:gallery w:val="placeholder"/>
        </w:category>
        <w:types>
          <w:type w:val="bbPlcHdr"/>
        </w:types>
        <w:behaviors>
          <w:behavior w:val="content"/>
        </w:behaviors>
        <w:guid w:val="{10FD8A50-6F0F-4A21-A058-7D961DF20B55}"/>
      </w:docPartPr>
      <w:docPartBody>
        <w:p w:rsidR="0005011B" w:rsidRDefault="00EC0090" w:rsidP="00EC0090">
          <w:pPr>
            <w:pStyle w:val="4E0FEC1A292F419C82C8398F35ED4E1E"/>
          </w:pPr>
          <w:r w:rsidRPr="008139CB">
            <w:rPr>
              <w:rStyle w:val="PlaceholderText"/>
            </w:rPr>
            <w:t>[LTAB numurs]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BA"/>
    <w:family w:val="swiss"/>
    <w:pitch w:val="variable"/>
    <w:sig w:usb0="E4002EFF" w:usb1="C000247B" w:usb2="00000009" w:usb3="00000000" w:csb0="000001FF" w:csb1="00000000"/>
  </w:font>
  <w:font w:name="Gotham Pro LT">
    <w:altName w:val="Calibri"/>
    <w:panose1 w:val="020B0604020202020204"/>
    <w:charset w:val="BA"/>
    <w:family w:val="auto"/>
    <w:pitch w:val="variable"/>
    <w:sig w:usb0="80000AAF" w:usb1="5000204A" w:usb2="00000000" w:usb3="00000000" w:csb0="000000B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BA"/>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C1526"/>
    <w:rsid w:val="00014491"/>
    <w:rsid w:val="00035EEE"/>
    <w:rsid w:val="0005011B"/>
    <w:rsid w:val="003D0A97"/>
    <w:rsid w:val="00412381"/>
    <w:rsid w:val="008C1526"/>
    <w:rsid w:val="00AA2E89"/>
    <w:rsid w:val="00D17C29"/>
    <w:rsid w:val="00DD5D85"/>
    <w:rsid w:val="00EC009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C0090"/>
    <w:rPr>
      <w:color w:val="808080"/>
    </w:rPr>
  </w:style>
  <w:style w:type="paragraph" w:customStyle="1" w:styleId="A834D5A16F4C44F29DA4359B433FD429">
    <w:name w:val="A834D5A16F4C44F29DA4359B433FD429"/>
    <w:rsid w:val="00EC0090"/>
    <w:pPr>
      <w:spacing w:after="160" w:line="259" w:lineRule="auto"/>
    </w:pPr>
  </w:style>
  <w:style w:type="paragraph" w:customStyle="1" w:styleId="4E0FEC1A292F419C82C8398F35ED4E1E">
    <w:name w:val="4E0FEC1A292F419C82C8398F35ED4E1E"/>
    <w:rsid w:val="00EC0090"/>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328C1A1C0DE2DA44BDEE73C4E3D7B086" ma:contentTypeVersion="3" ma:contentTypeDescription="Izveidot jaunu dokumentu." ma:contentTypeScope="" ma:versionID="ec84c31419514c8b301bd85aa49e0a52">
  <xsd:schema xmlns:xsd="http://www.w3.org/2001/XMLSchema" xmlns:xs="http://www.w3.org/2001/XMLSchema" xmlns:p="http://schemas.microsoft.com/office/2006/metadata/properties" xmlns:ns2="f123fc61-7915-4898-8636-52bfc24319d4" xmlns:ns3="80613d6c-201e-4be1-b27a-7e1bf41d8677" targetNamespace="http://schemas.microsoft.com/office/2006/metadata/properties" ma:root="true" ma:fieldsID="97382bbec2737b8f4280c2d2c53de7ad" ns2:_="" ns3:_="">
    <xsd:import namespace="f123fc61-7915-4898-8636-52bfc24319d4"/>
    <xsd:import namespace="80613d6c-201e-4be1-b27a-7e1bf41d8677"/>
    <xsd:element name="properties">
      <xsd:complexType>
        <xsd:sequence>
          <xsd:element name="documentManagement">
            <xsd:complexType>
              <xsd:all>
                <xsd:element ref="ns2:DokRegDatums" minOccurs="0"/>
                <xsd:element ref="ns2:DokParakstitaji" minOccurs="0"/>
                <xsd:element ref="ns2:DokNumurs" minOccurs="0"/>
                <xsd:element ref="ns3:D320F758A3D245D2A7D76018125F5A02" minOccurs="0"/>
                <xsd:element ref="ns3:TaxCatchAll" minOccurs="0"/>
                <xsd:element ref="ns3: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23fc61-7915-4898-8636-52bfc24319d4" elementFormDefault="qualified">
    <xsd:import namespace="http://schemas.microsoft.com/office/2006/documentManagement/types"/>
    <xsd:import namespace="http://schemas.microsoft.com/office/infopath/2007/PartnerControls"/>
    <xsd:element name="DokRegDatums" ma:index="8" nillable="true" ma:displayName="Reģistrēšanas datums" ma:default="" ma:format="DateOnly" ma:internalName="DokRegDatums" ma:readOnly="false">
      <xsd:simpleType>
        <xsd:restriction base="dms:DateTime"/>
      </xsd:simpleType>
    </xsd:element>
    <xsd:element name="DokParakstitaji" ma:index="9" nillable="true" ma:displayName="Parakstītāji (LTAB)" ma:description="" ma:list="UserInfo" ma:SharePointGroup="0" ma:internalName="DokParakstitaji" ma:readOnly="fals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kNumurs" ma:index="10" nillable="true" ma:displayName="LTAB numurs" ma:default="" ma:internalName="DokNumurs"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0613d6c-201e-4be1-b27a-7e1bf41d8677" elementFormDefault="qualified">
    <xsd:import namespace="http://schemas.microsoft.com/office/2006/documentManagement/types"/>
    <xsd:import namespace="http://schemas.microsoft.com/office/infopath/2007/PartnerControls"/>
    <xsd:element name="D320F758A3D245D2A7D76018125F5A02" ma:index="11" nillable="true" ma:taxonomy="true" ma:internalName="D320F758A3D245D2A7D76018125F5A02" ma:taxonomyFieldName="Dokumenta_x0020_veids" ma:displayName="Faila veids" ma:default="" ma:fieldId="{d320f758-a3d2-45d2-a7d7-6018125f5a02}" ma:sspId="1ac5e261-a64d-4ceb-a974-e4061fbbeb5b" ma:termSetId="5a451c67-2bb4-406f-81c0-e9b1733a13e4"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30e8c042-24be-4595-97e5-6654cf41011a}" ma:internalName="TaxCatchAll" ma:showField="CatchAllData" ma:web="f123fc61-7915-4898-8636-52bfc24319d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30e8c042-24be-4595-97e5-6654cf41011a}" ma:internalName="TaxCatchAllLabel" ma:readOnly="true" ma:showField="CatchAllDataLabel" ma:web="f123fc61-7915-4898-8636-52bfc24319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80613d6c-201e-4be1-b27a-7e1bf41d8677"/>
    <DokParakstitaji xmlns="f123fc61-7915-4898-8636-52bfc24319d4">
      <UserInfo>
        <DisplayName/>
        <AccountId xsi:nil="true"/>
        <AccountType/>
      </UserInfo>
    </DokParakstitaji>
    <DokRegDatums xmlns="f123fc61-7915-4898-8636-52bfc24319d4">2021-09-13T13:09:00+00:00</DokRegDatums>
    <DokNumurs xmlns="f123fc61-7915-4898-8636-52bfc24319d4">07/02-16/93</DokNumurs>
    <D320F758A3D245D2A7D76018125F5A02 xmlns="80613d6c-201e-4be1-b27a-7e1bf41d8677">
      <Terms xmlns="http://schemas.microsoft.com/office/infopath/2007/PartnerControls"/>
    </D320F758A3D245D2A7D76018125F5A02>
  </documentManagement>
</p:properties>
</file>

<file path=customXml/itemProps1.xml><?xml version="1.0" encoding="utf-8"?>
<ds:datastoreItem xmlns:ds="http://schemas.openxmlformats.org/officeDocument/2006/customXml" ds:itemID="{4ADD4917-AF86-46F1-889A-B496F87098A7}">
  <ds:schemaRefs>
    <ds:schemaRef ds:uri="http://schemas.openxmlformats.org/officeDocument/2006/bibliography"/>
  </ds:schemaRefs>
</ds:datastoreItem>
</file>

<file path=customXml/itemProps2.xml><?xml version="1.0" encoding="utf-8"?>
<ds:datastoreItem xmlns:ds="http://schemas.openxmlformats.org/officeDocument/2006/customXml" ds:itemID="{9AD1C104-9573-4A73-9C45-EB4DB7462191}">
  <ds:schemaRefs>
    <ds:schemaRef ds:uri="http://schemas.microsoft.com/sharepoint/v3/contenttype/forms"/>
  </ds:schemaRefs>
</ds:datastoreItem>
</file>

<file path=customXml/itemProps3.xml><?xml version="1.0" encoding="utf-8"?>
<ds:datastoreItem xmlns:ds="http://schemas.openxmlformats.org/officeDocument/2006/customXml" ds:itemID="{3BA7DB81-A054-4684-9031-91C31B10F3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23fc61-7915-4898-8636-52bfc24319d4"/>
    <ds:schemaRef ds:uri="80613d6c-201e-4be1-b27a-7e1bf41d86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DFF2E7C-4C4B-44D9-AB99-D3D6EA390431}">
  <ds:schemaRefs>
    <ds:schemaRef ds:uri="http://schemas.microsoft.com/office/2006/metadata/properties"/>
    <ds:schemaRef ds:uri="http://schemas.microsoft.com/office/infopath/2007/PartnerControls"/>
    <ds:schemaRef ds:uri="80613d6c-201e-4be1-b27a-7e1bf41d8677"/>
    <ds:schemaRef ds:uri="f123fc61-7915-4898-8636-52bfc24319d4"/>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4841</Words>
  <Characters>27600</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Agris Daukste</dc:creator>
  <cp:lastModifiedBy>Inese Albova</cp:lastModifiedBy>
  <cp:revision>4</cp:revision>
  <dcterms:created xsi:type="dcterms:W3CDTF">2021-09-17T10:54:00Z</dcterms:created>
  <dcterms:modified xsi:type="dcterms:W3CDTF">2021-09-21T08:56:00Z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0x010100328C1A1C0DE2DA44BDEE73C4E3D7B086</vt:lpwstr>
  </property>
  <property fmtid="{D5CDD505-2E9C-101B-9397-08002B2CF9AE}" pid="3" name="Dokumenta veids">
    <vt:lpwstr/>
  </property>
  <property fmtid="{D5CDD505-2E9C-101B-9397-08002B2CF9AE}" pid="4" name="_docset_NoMedatataSyncRequired">
    <vt:lpwstr>False</vt:lpwstr>
  </property>
</Properties>
</file>