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1DD" w:rsidRPr="005121DD" w:rsidRDefault="003C62D6" w:rsidP="005121DD">
      <w:pPr>
        <w:jc w:val="both"/>
        <w:rPr>
          <w:rFonts w:ascii="Times New Roman" w:hAnsi="Times New Roman" w:cs="Times New Roman"/>
          <w:sz w:val="24"/>
          <w:szCs w:val="24"/>
        </w:rPr>
      </w:pPr>
      <w:r>
        <w:rPr>
          <w:rFonts w:ascii="Times New Roman" w:hAnsi="Times New Roman" w:cs="Times New Roman"/>
          <w:i/>
          <w:iCs/>
          <w:sz w:val="24"/>
          <w:szCs w:val="24"/>
        </w:rPr>
        <w:t>Par jautājuma iekļaušanu MK sēdes</w:t>
      </w:r>
      <w:r w:rsidR="005121DD" w:rsidRPr="005121DD">
        <w:rPr>
          <w:rFonts w:ascii="Times New Roman" w:hAnsi="Times New Roman" w:cs="Times New Roman"/>
          <w:i/>
          <w:iCs/>
          <w:sz w:val="24"/>
          <w:szCs w:val="24"/>
        </w:rPr>
        <w:t xml:space="preserve"> darba kārtībā </w:t>
      </w:r>
    </w:p>
    <w:p w:rsidR="005121DD" w:rsidRPr="005121DD" w:rsidRDefault="003C62D6" w:rsidP="005121DD">
      <w:pPr>
        <w:jc w:val="both"/>
        <w:rPr>
          <w:rFonts w:ascii="Times New Roman" w:hAnsi="Times New Roman" w:cs="Times New Roman"/>
          <w:sz w:val="24"/>
          <w:szCs w:val="24"/>
        </w:rPr>
      </w:pPr>
      <w:r>
        <w:rPr>
          <w:rFonts w:ascii="Times New Roman" w:hAnsi="Times New Roman" w:cs="Times New Roman"/>
          <w:b/>
          <w:bCs/>
          <w:sz w:val="24"/>
          <w:szCs w:val="24"/>
        </w:rPr>
        <w:t xml:space="preserve">Lūdzam iekļaut Ministru kabineta sēdes </w:t>
      </w:r>
      <w:r w:rsidR="005121DD" w:rsidRPr="005121DD">
        <w:rPr>
          <w:rFonts w:ascii="Times New Roman" w:hAnsi="Times New Roman" w:cs="Times New Roman"/>
          <w:b/>
          <w:bCs/>
          <w:sz w:val="24"/>
          <w:szCs w:val="24"/>
        </w:rPr>
        <w:t>darba kārtībā jautājumu par atbildības noteikšanu par “Priekšlikumu</w:t>
      </w:r>
      <w:r w:rsidR="00077363">
        <w:rPr>
          <w:rFonts w:ascii="Times New Roman" w:hAnsi="Times New Roman" w:cs="Times New Roman"/>
          <w:b/>
          <w:bCs/>
          <w:sz w:val="24"/>
          <w:szCs w:val="24"/>
        </w:rPr>
        <w:t xml:space="preserve"> Eiropas Parlamenta un Padomes R</w:t>
      </w:r>
      <w:r w:rsidR="005121DD" w:rsidRPr="005121DD">
        <w:rPr>
          <w:rFonts w:ascii="Times New Roman" w:hAnsi="Times New Roman" w:cs="Times New Roman"/>
          <w:b/>
          <w:bCs/>
          <w:sz w:val="24"/>
          <w:szCs w:val="24"/>
        </w:rPr>
        <w:t>egulai, ar ko izveido satvaru ekodizaina prasību noteikšanai ilgtspējīgiem produktiem un atceļ Direktīvu</w:t>
      </w:r>
      <w:r w:rsidR="00C07AFE">
        <w:rPr>
          <w:rFonts w:ascii="Times New Roman" w:hAnsi="Times New Roman" w:cs="Times New Roman"/>
          <w:b/>
          <w:bCs/>
          <w:sz w:val="24"/>
          <w:szCs w:val="24"/>
        </w:rPr>
        <w:t xml:space="preserve"> </w:t>
      </w:r>
      <w:r w:rsidR="005121DD" w:rsidRPr="005121DD">
        <w:rPr>
          <w:rFonts w:ascii="Times New Roman" w:hAnsi="Times New Roman" w:cs="Times New Roman"/>
          <w:b/>
          <w:bCs/>
          <w:sz w:val="24"/>
          <w:szCs w:val="24"/>
        </w:rPr>
        <w:t>2009/125/EK” (</w:t>
      </w:r>
      <w:r w:rsidR="005121DD" w:rsidRPr="005121DD">
        <w:rPr>
          <w:rFonts w:ascii="Times New Roman" w:hAnsi="Times New Roman" w:cs="Times New Roman"/>
          <w:sz w:val="24"/>
          <w:szCs w:val="24"/>
        </w:rPr>
        <w:t>turpmāk Priekšlikums</w:t>
      </w:r>
      <w:r w:rsidR="005121DD" w:rsidRPr="005121DD">
        <w:rPr>
          <w:rFonts w:ascii="Times New Roman" w:hAnsi="Times New Roman" w:cs="Times New Roman"/>
          <w:b/>
          <w:bCs/>
          <w:sz w:val="24"/>
          <w:szCs w:val="24"/>
        </w:rPr>
        <w:t xml:space="preserve">) </w:t>
      </w:r>
      <w:bookmarkStart w:id="0" w:name="_GoBack"/>
      <w:bookmarkEnd w:id="0"/>
    </w:p>
    <w:p w:rsidR="005121DD" w:rsidRPr="005121DD"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b/>
          <w:bCs/>
          <w:sz w:val="24"/>
          <w:szCs w:val="24"/>
        </w:rPr>
        <w:t xml:space="preserve">1. Regulas priekšlikuma mērķis un darbības virziens: </w:t>
      </w:r>
    </w:p>
    <w:p w:rsidR="005121DD" w:rsidRPr="005121DD" w:rsidRDefault="005121DD" w:rsidP="0073410E">
      <w:pPr>
        <w:spacing w:after="0"/>
        <w:jc w:val="both"/>
        <w:rPr>
          <w:rFonts w:ascii="Times New Roman" w:hAnsi="Times New Roman" w:cs="Times New Roman"/>
          <w:sz w:val="24"/>
          <w:szCs w:val="24"/>
        </w:rPr>
      </w:pPr>
      <w:r w:rsidRPr="005121DD">
        <w:rPr>
          <w:rFonts w:ascii="Times New Roman" w:hAnsi="Times New Roman" w:cs="Times New Roman"/>
          <w:sz w:val="24"/>
          <w:szCs w:val="24"/>
        </w:rPr>
        <w:t xml:space="preserve">Ekodizaina regulas priekšlikuma mērķis ir izveidot ES mēroga noteikumus, lai uzlabotu tirgū pieejamo ražojumu energoefektivitāti, ilgtspēju un ietekmi uz vidi. Paredzēts palielināt ilgtspējīgu preču piedāvājumu (ilgizturība, atkal izmantojamība, iespēja remontēt, energoefektivitāte utt.), kā arī aizsargāt iekšējo tirgu ar vides aizsardzības prasībām. </w:t>
      </w:r>
    </w:p>
    <w:p w:rsidR="005121DD" w:rsidRPr="005121DD" w:rsidRDefault="005121DD" w:rsidP="003C62D6">
      <w:pPr>
        <w:spacing w:after="120"/>
        <w:jc w:val="both"/>
        <w:rPr>
          <w:rFonts w:ascii="Times New Roman" w:hAnsi="Times New Roman" w:cs="Times New Roman"/>
          <w:sz w:val="24"/>
          <w:szCs w:val="24"/>
        </w:rPr>
      </w:pPr>
      <w:r w:rsidRPr="005121DD">
        <w:rPr>
          <w:rFonts w:ascii="Times New Roman" w:hAnsi="Times New Roman" w:cs="Times New Roman"/>
          <w:sz w:val="24"/>
          <w:szCs w:val="24"/>
        </w:rPr>
        <w:t>Regula atcels Ekodizaina direktīvu</w:t>
      </w:r>
      <w:r>
        <w:rPr>
          <w:rStyle w:val="FootnoteReference"/>
          <w:rFonts w:ascii="Times New Roman" w:hAnsi="Times New Roman" w:cs="Times New Roman"/>
          <w:sz w:val="24"/>
          <w:szCs w:val="24"/>
        </w:rPr>
        <w:footnoteReference w:id="1"/>
      </w:r>
      <w:r w:rsidRPr="005121DD">
        <w:rPr>
          <w:rFonts w:ascii="Times New Roman" w:hAnsi="Times New Roman" w:cs="Times New Roman"/>
          <w:sz w:val="24"/>
          <w:szCs w:val="24"/>
        </w:rPr>
        <w:t xml:space="preserve">, paplašinot līdzšinējo direktīvas darbības jomu. Regula būs attiecināma uz plašāku produktu klāstu, nekā šobrīd direktīva. Jaunums, ko piedāvā regula ir digitālas produkta pases izveide un obligāto zaļā publiskā iepirkuma kritēriju noteikšana. Regula arī vienādos prasību kopumu, lai novērstu sadrumstalotību ekodizaina </w:t>
      </w:r>
      <w:r w:rsidR="0073410E">
        <w:rPr>
          <w:rFonts w:ascii="Times New Roman" w:hAnsi="Times New Roman" w:cs="Times New Roman"/>
          <w:sz w:val="24"/>
          <w:szCs w:val="24"/>
        </w:rPr>
        <w:t>prasību ieviešanā dalībvalstīs.</w:t>
      </w:r>
    </w:p>
    <w:p w:rsidR="005121DD" w:rsidRPr="005121DD"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b/>
          <w:bCs/>
          <w:sz w:val="24"/>
          <w:szCs w:val="24"/>
        </w:rPr>
        <w:t xml:space="preserve">2. Priekšlikuma juridiskais pamats </w:t>
      </w:r>
    </w:p>
    <w:p w:rsidR="005121DD" w:rsidRPr="005121DD" w:rsidRDefault="005121DD" w:rsidP="0073410E">
      <w:pPr>
        <w:spacing w:after="0"/>
        <w:jc w:val="both"/>
        <w:rPr>
          <w:rFonts w:ascii="Times New Roman" w:hAnsi="Times New Roman" w:cs="Times New Roman"/>
          <w:sz w:val="24"/>
          <w:szCs w:val="24"/>
        </w:rPr>
      </w:pPr>
      <w:r w:rsidRPr="005121DD">
        <w:rPr>
          <w:rFonts w:ascii="Times New Roman" w:hAnsi="Times New Roman" w:cs="Times New Roman"/>
          <w:sz w:val="24"/>
          <w:szCs w:val="24"/>
        </w:rPr>
        <w:t xml:space="preserve">Priekšlikuma pamatā ir Līguma par Eiropas Savienības darbību (LESD) 114. pants, kas piemērojams pasākumiem iekšējā tirgus izveides un darbības nodrošināšanai. </w:t>
      </w:r>
    </w:p>
    <w:p w:rsidR="005121DD" w:rsidRPr="005121DD" w:rsidRDefault="005121DD" w:rsidP="003C62D6">
      <w:pPr>
        <w:spacing w:after="120"/>
        <w:jc w:val="both"/>
        <w:rPr>
          <w:rFonts w:ascii="Times New Roman" w:hAnsi="Times New Roman" w:cs="Times New Roman"/>
          <w:sz w:val="24"/>
          <w:szCs w:val="24"/>
        </w:rPr>
      </w:pPr>
      <w:r w:rsidRPr="005121DD">
        <w:rPr>
          <w:rFonts w:ascii="Times New Roman" w:hAnsi="Times New Roman" w:cs="Times New Roman"/>
          <w:sz w:val="24"/>
          <w:szCs w:val="24"/>
        </w:rPr>
        <w:t xml:space="preserve">Šajā iniciatīvā risinātie jautājumi ir saistīti ar iekšējo tirgu, tai skaitā ar nevienlīdzīgiem konkurences apstākļiem uzņēmumiem, kas cenšas īstenot ilgtspējīgākas pieejas, vai ar to, ka pašreizējie ES noteikumi tikai daļēji aptver produktu ilgtspējas aspektus </w:t>
      </w:r>
    </w:p>
    <w:p w:rsidR="005121DD" w:rsidRPr="005121DD"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b/>
          <w:bCs/>
          <w:sz w:val="24"/>
          <w:szCs w:val="24"/>
        </w:rPr>
        <w:t xml:space="preserve">3. Līdzšinējais process atbildīgās institūcijas noteikšanai Latvijā </w:t>
      </w:r>
    </w:p>
    <w:p w:rsidR="0073410E" w:rsidRDefault="005121DD" w:rsidP="0073410E">
      <w:pPr>
        <w:spacing w:after="0"/>
        <w:jc w:val="both"/>
        <w:rPr>
          <w:rFonts w:ascii="Times New Roman" w:hAnsi="Times New Roman" w:cs="Times New Roman"/>
          <w:sz w:val="24"/>
          <w:szCs w:val="24"/>
        </w:rPr>
      </w:pPr>
      <w:r w:rsidRPr="005121DD">
        <w:rPr>
          <w:rFonts w:ascii="Times New Roman" w:hAnsi="Times New Roman" w:cs="Times New Roman"/>
          <w:sz w:val="24"/>
          <w:szCs w:val="24"/>
        </w:rPr>
        <w:t>2022. gada 30. martā Eiropas Komisija nāc</w:t>
      </w:r>
      <w:r w:rsidR="008C7753">
        <w:rPr>
          <w:rFonts w:ascii="Times New Roman" w:hAnsi="Times New Roman" w:cs="Times New Roman"/>
          <w:sz w:val="24"/>
          <w:szCs w:val="24"/>
        </w:rPr>
        <w:t>a klajā ar regulas priekšlikumu</w:t>
      </w:r>
      <w:r w:rsidR="0073410E">
        <w:rPr>
          <w:rFonts w:ascii="Times New Roman" w:hAnsi="Times New Roman" w:cs="Times New Roman"/>
          <w:sz w:val="24"/>
          <w:szCs w:val="24"/>
        </w:rPr>
        <w:t xml:space="preserve"> </w:t>
      </w:r>
      <w:r w:rsidR="008C7753">
        <w:rPr>
          <w:rFonts w:ascii="Times New Roman" w:hAnsi="Times New Roman" w:cs="Times New Roman"/>
          <w:sz w:val="24"/>
          <w:szCs w:val="24"/>
        </w:rPr>
        <w:t>(COM(2022) 142 final).</w:t>
      </w:r>
    </w:p>
    <w:p w:rsidR="005121DD" w:rsidRPr="005121DD" w:rsidRDefault="005121DD" w:rsidP="0073410E">
      <w:pPr>
        <w:spacing w:after="0"/>
        <w:jc w:val="both"/>
        <w:rPr>
          <w:rFonts w:ascii="Times New Roman" w:hAnsi="Times New Roman" w:cs="Times New Roman"/>
          <w:sz w:val="24"/>
          <w:szCs w:val="24"/>
        </w:rPr>
      </w:pPr>
      <w:r w:rsidRPr="005121DD">
        <w:rPr>
          <w:rFonts w:ascii="Times New Roman" w:hAnsi="Times New Roman" w:cs="Times New Roman"/>
          <w:sz w:val="24"/>
          <w:szCs w:val="24"/>
        </w:rPr>
        <w:t xml:space="preserve">7. aprīlī priekšlikums tika ievietots sistēmā ESVIS atbildību noteikšanai, kur neizdevās panākt vienošanos par atbildīgās iestādes noteikšanu starp Ekonomikas ministriju (EM) un Vides aizsardzības un reģionālās attīstības ministriju (VARAM). </w:t>
      </w:r>
    </w:p>
    <w:p w:rsidR="005121DD" w:rsidRPr="005121DD" w:rsidRDefault="005121DD" w:rsidP="0073410E">
      <w:pPr>
        <w:spacing w:after="0"/>
        <w:jc w:val="both"/>
        <w:rPr>
          <w:rFonts w:ascii="Times New Roman" w:hAnsi="Times New Roman" w:cs="Times New Roman"/>
          <w:sz w:val="24"/>
          <w:szCs w:val="24"/>
        </w:rPr>
      </w:pPr>
      <w:r w:rsidRPr="005121DD">
        <w:rPr>
          <w:rFonts w:ascii="Times New Roman" w:hAnsi="Times New Roman" w:cs="Times New Roman"/>
          <w:sz w:val="24"/>
          <w:szCs w:val="24"/>
        </w:rPr>
        <w:t>22. aprīlī Ārlietu ministrija nosūtīja e-pastu EM un VARAM ar aicinājumu līdz 29. aprīļa darba dienas beigām izteikt viedokļus, kāpēc katra no ministrijām uzskata, ka nevarat uzņemties atbildību par priekšlikumu. Līdz 29. aprīlim viedokļi tika iesniegti, vienošanos neizdevās panākt. Ministrijas tika aicinātas uz ekspertu tikšanos,</w:t>
      </w:r>
      <w:r w:rsidR="00E154B3">
        <w:rPr>
          <w:rFonts w:ascii="Times New Roman" w:hAnsi="Times New Roman" w:cs="Times New Roman"/>
          <w:sz w:val="24"/>
          <w:szCs w:val="24"/>
        </w:rPr>
        <w:t xml:space="preserve"> taču to neizdevās noorganizēt nozaru ministriju aizņemtības dēļ.</w:t>
      </w:r>
    </w:p>
    <w:p w:rsidR="005121DD" w:rsidRDefault="005121DD" w:rsidP="00C07AFE">
      <w:pPr>
        <w:spacing w:after="0"/>
        <w:jc w:val="both"/>
        <w:rPr>
          <w:rFonts w:ascii="Times New Roman" w:hAnsi="Times New Roman" w:cs="Times New Roman"/>
          <w:sz w:val="24"/>
          <w:szCs w:val="24"/>
        </w:rPr>
      </w:pPr>
      <w:r w:rsidRPr="005121DD">
        <w:rPr>
          <w:rFonts w:ascii="Times New Roman" w:hAnsi="Times New Roman" w:cs="Times New Roman"/>
          <w:sz w:val="24"/>
          <w:szCs w:val="24"/>
        </w:rPr>
        <w:t>11. maijā Vecāko amatpersonu sanāksmē (VAS) tika skatīts atbildības sadalījuma jautājums. Tika lemts jautājumu virzīt skatīšanai Valsts sekretāru sanāksmē, ja vien iesaistītajām ministrijām neizdosies par to panākt vienošanos divpusēji. 12. maijā VARAM un EM organizēja divpusēju sanāksmi, kurā par atbildību sadalījumu vienoties neizdevā</w:t>
      </w:r>
      <w:r w:rsidR="003C62D6">
        <w:rPr>
          <w:rFonts w:ascii="Times New Roman" w:hAnsi="Times New Roman" w:cs="Times New Roman"/>
          <w:sz w:val="24"/>
          <w:szCs w:val="24"/>
        </w:rPr>
        <w:t>s.</w:t>
      </w:r>
    </w:p>
    <w:p w:rsidR="003C62D6" w:rsidRPr="005121DD" w:rsidRDefault="003C62D6" w:rsidP="003C62D6">
      <w:pPr>
        <w:spacing w:after="120"/>
        <w:jc w:val="both"/>
        <w:rPr>
          <w:rFonts w:ascii="Times New Roman" w:hAnsi="Times New Roman" w:cs="Times New Roman"/>
          <w:sz w:val="24"/>
          <w:szCs w:val="24"/>
        </w:rPr>
      </w:pPr>
      <w:r>
        <w:rPr>
          <w:rFonts w:ascii="Times New Roman" w:hAnsi="Times New Roman" w:cs="Times New Roman"/>
          <w:sz w:val="24"/>
          <w:szCs w:val="24"/>
        </w:rPr>
        <w:t xml:space="preserve">9. jūnija Valsts sekretāru sanāksmē netika panākta </w:t>
      </w:r>
      <w:r w:rsidRPr="003C62D6">
        <w:rPr>
          <w:rFonts w:ascii="Times New Roman" w:hAnsi="Times New Roman" w:cs="Times New Roman"/>
          <w:sz w:val="24"/>
          <w:szCs w:val="24"/>
        </w:rPr>
        <w:t>vienošanās par at</w:t>
      </w:r>
      <w:r>
        <w:rPr>
          <w:rFonts w:ascii="Times New Roman" w:hAnsi="Times New Roman" w:cs="Times New Roman"/>
          <w:sz w:val="24"/>
          <w:szCs w:val="24"/>
        </w:rPr>
        <w:t>bildīgās ministrijas noteikšanu.</w:t>
      </w:r>
      <w:r w:rsidRPr="003C62D6">
        <w:rPr>
          <w:rFonts w:ascii="Times New Roman" w:hAnsi="Times New Roman" w:cs="Times New Roman"/>
          <w:sz w:val="24"/>
          <w:szCs w:val="24"/>
        </w:rPr>
        <w:t xml:space="preserve"> Ārlietu ministrijai</w:t>
      </w:r>
      <w:r>
        <w:rPr>
          <w:rFonts w:ascii="Times New Roman" w:hAnsi="Times New Roman" w:cs="Times New Roman"/>
          <w:sz w:val="24"/>
          <w:szCs w:val="24"/>
        </w:rPr>
        <w:t xml:space="preserve"> </w:t>
      </w:r>
      <w:r w:rsidR="0046170A">
        <w:rPr>
          <w:rFonts w:ascii="Times New Roman" w:hAnsi="Times New Roman" w:cs="Times New Roman"/>
          <w:sz w:val="24"/>
          <w:szCs w:val="24"/>
        </w:rPr>
        <w:t xml:space="preserve">tika </w:t>
      </w:r>
      <w:r>
        <w:rPr>
          <w:rFonts w:ascii="Times New Roman" w:hAnsi="Times New Roman" w:cs="Times New Roman"/>
          <w:sz w:val="24"/>
          <w:szCs w:val="24"/>
        </w:rPr>
        <w:t>uzdots</w:t>
      </w:r>
      <w:r w:rsidRPr="003C62D6">
        <w:rPr>
          <w:rFonts w:ascii="Times New Roman" w:hAnsi="Times New Roman" w:cs="Times New Roman"/>
          <w:sz w:val="24"/>
          <w:szCs w:val="24"/>
        </w:rPr>
        <w:t xml:space="preserve"> informatīvo ziņojumu iesniegt izskatīšanai Ministru kabineta sēdē.</w:t>
      </w:r>
      <w:r w:rsidR="00E32535">
        <w:rPr>
          <w:rStyle w:val="FootnoteReference"/>
          <w:rFonts w:ascii="Times New Roman" w:hAnsi="Times New Roman" w:cs="Times New Roman"/>
          <w:sz w:val="24"/>
          <w:szCs w:val="24"/>
        </w:rPr>
        <w:footnoteReference w:id="2"/>
      </w:r>
    </w:p>
    <w:p w:rsidR="005121DD" w:rsidRPr="005121DD"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b/>
          <w:bCs/>
          <w:sz w:val="24"/>
          <w:szCs w:val="24"/>
        </w:rPr>
        <w:t xml:space="preserve">4. Ministriju argumenti: </w:t>
      </w:r>
    </w:p>
    <w:p w:rsidR="0017141B"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sz w:val="24"/>
          <w:szCs w:val="24"/>
        </w:rPr>
        <w:t>VARAM</w:t>
      </w:r>
    </w:p>
    <w:p w:rsidR="0017141B" w:rsidRPr="0017141B"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sz w:val="24"/>
          <w:szCs w:val="24"/>
        </w:rPr>
        <w:t xml:space="preserve"> </w:t>
      </w:r>
      <w:r w:rsidR="0017141B" w:rsidRPr="0017141B">
        <w:rPr>
          <w:rFonts w:ascii="Times New Roman" w:hAnsi="Times New Roman" w:cs="Times New Roman"/>
          <w:sz w:val="24"/>
          <w:szCs w:val="24"/>
        </w:rPr>
        <w:t>Uzskata, ka atbildīgajai ministrijai pa</w:t>
      </w:r>
      <w:r w:rsidR="0017141B">
        <w:rPr>
          <w:rFonts w:ascii="Times New Roman" w:hAnsi="Times New Roman" w:cs="Times New Roman"/>
          <w:sz w:val="24"/>
          <w:szCs w:val="24"/>
        </w:rPr>
        <w:t>r regulu ir jābūt EM</w:t>
      </w:r>
      <w:r w:rsidR="0017141B" w:rsidRPr="0017141B">
        <w:rPr>
          <w:rFonts w:ascii="Times New Roman" w:hAnsi="Times New Roman" w:cs="Times New Roman"/>
          <w:sz w:val="24"/>
          <w:szCs w:val="24"/>
        </w:rPr>
        <w:t>, jo;</w:t>
      </w:r>
    </w:p>
    <w:p w:rsidR="005121DD" w:rsidRDefault="005121DD" w:rsidP="003C62D6">
      <w:pPr>
        <w:pStyle w:val="ListParagraph"/>
        <w:numPr>
          <w:ilvl w:val="0"/>
          <w:numId w:val="1"/>
        </w:numPr>
        <w:spacing w:after="120"/>
        <w:ind w:left="450" w:hanging="450"/>
        <w:jc w:val="both"/>
        <w:rPr>
          <w:rFonts w:ascii="Times New Roman" w:hAnsi="Times New Roman" w:cs="Times New Roman"/>
          <w:sz w:val="24"/>
          <w:szCs w:val="24"/>
        </w:rPr>
      </w:pPr>
      <w:r w:rsidRPr="005121DD">
        <w:rPr>
          <w:rFonts w:ascii="Times New Roman" w:hAnsi="Times New Roman" w:cs="Times New Roman"/>
          <w:sz w:val="24"/>
          <w:szCs w:val="24"/>
        </w:rPr>
        <w:lastRenderedPageBreak/>
        <w:t>EM saskaņā ar nolikumu atbildīga par rūpniecības (produktu ražošanas) un iekšē</w:t>
      </w:r>
      <w:r>
        <w:rPr>
          <w:rFonts w:ascii="Times New Roman" w:hAnsi="Times New Roman" w:cs="Times New Roman"/>
          <w:sz w:val="24"/>
          <w:szCs w:val="24"/>
        </w:rPr>
        <w:t>jā tirgus regulēšanas politiku;</w:t>
      </w:r>
    </w:p>
    <w:p w:rsidR="005121DD" w:rsidRDefault="005121DD" w:rsidP="003C62D6">
      <w:pPr>
        <w:pStyle w:val="ListParagraph"/>
        <w:numPr>
          <w:ilvl w:val="0"/>
          <w:numId w:val="1"/>
        </w:numPr>
        <w:spacing w:after="120"/>
        <w:ind w:left="450" w:hanging="450"/>
        <w:jc w:val="both"/>
        <w:rPr>
          <w:rFonts w:ascii="Times New Roman" w:hAnsi="Times New Roman" w:cs="Times New Roman"/>
          <w:sz w:val="24"/>
          <w:szCs w:val="24"/>
        </w:rPr>
      </w:pPr>
      <w:r w:rsidRPr="005121DD">
        <w:rPr>
          <w:rFonts w:ascii="Times New Roman" w:hAnsi="Times New Roman" w:cs="Times New Roman"/>
          <w:sz w:val="24"/>
          <w:szCs w:val="24"/>
        </w:rPr>
        <w:t xml:space="preserve">Patērētāju aizsardzības centrs saskaņā ar nolikumu veic patērētāju tiesību un interešu aizsardzību, tirgus uzraudzību, kā </w:t>
      </w:r>
      <w:r>
        <w:rPr>
          <w:rFonts w:ascii="Times New Roman" w:hAnsi="Times New Roman" w:cs="Times New Roman"/>
          <w:sz w:val="24"/>
          <w:szCs w:val="24"/>
        </w:rPr>
        <w:t>arī bīstamo iekārtu uzraudzību;</w:t>
      </w:r>
    </w:p>
    <w:p w:rsidR="005121DD" w:rsidRDefault="005121DD" w:rsidP="003C62D6">
      <w:pPr>
        <w:pStyle w:val="ListParagraph"/>
        <w:numPr>
          <w:ilvl w:val="0"/>
          <w:numId w:val="1"/>
        </w:numPr>
        <w:spacing w:after="120"/>
        <w:ind w:left="450" w:hanging="450"/>
        <w:jc w:val="both"/>
        <w:rPr>
          <w:rFonts w:ascii="Times New Roman" w:hAnsi="Times New Roman" w:cs="Times New Roman"/>
          <w:sz w:val="24"/>
          <w:szCs w:val="24"/>
        </w:rPr>
      </w:pPr>
      <w:r w:rsidRPr="005121DD">
        <w:rPr>
          <w:rFonts w:ascii="Times New Roman" w:hAnsi="Times New Roman" w:cs="Times New Roman"/>
          <w:sz w:val="24"/>
          <w:szCs w:val="24"/>
        </w:rPr>
        <w:t xml:space="preserve">Regulas projekta un tā pamatu veidojošās direktīvas </w:t>
      </w:r>
      <w:r w:rsidRPr="005121DD">
        <w:rPr>
          <w:rFonts w:ascii="Times New Roman" w:hAnsi="Times New Roman" w:cs="Times New Roman"/>
          <w:b/>
          <w:bCs/>
          <w:sz w:val="24"/>
          <w:szCs w:val="24"/>
        </w:rPr>
        <w:t xml:space="preserve">juridiskais pamats ir produktu dzīves cikla negatīvās ietekmes samazināšana un iekšējā tirgus regulēšanas uzlabošana </w:t>
      </w:r>
      <w:r>
        <w:rPr>
          <w:rFonts w:ascii="Times New Roman" w:hAnsi="Times New Roman" w:cs="Times New Roman"/>
          <w:sz w:val="24"/>
          <w:szCs w:val="24"/>
        </w:rPr>
        <w:t>nevis vides aizsardzība;</w:t>
      </w:r>
    </w:p>
    <w:p w:rsidR="005121DD" w:rsidRDefault="005121DD" w:rsidP="003C62D6">
      <w:pPr>
        <w:pStyle w:val="ListParagraph"/>
        <w:numPr>
          <w:ilvl w:val="0"/>
          <w:numId w:val="1"/>
        </w:numPr>
        <w:spacing w:after="120"/>
        <w:ind w:left="450" w:hanging="450"/>
        <w:jc w:val="both"/>
        <w:rPr>
          <w:rFonts w:ascii="Times New Roman" w:hAnsi="Times New Roman" w:cs="Times New Roman"/>
          <w:sz w:val="24"/>
          <w:szCs w:val="24"/>
        </w:rPr>
      </w:pPr>
      <w:r w:rsidRPr="005121DD">
        <w:rPr>
          <w:rFonts w:ascii="Times New Roman" w:hAnsi="Times New Roman" w:cs="Times New Roman"/>
          <w:sz w:val="24"/>
          <w:szCs w:val="24"/>
        </w:rPr>
        <w:t>Arī Valsts kontroles izvērtējumā par EM 2019.gada pārskatu vērtēti EM veiktie pasākumi at</w:t>
      </w:r>
      <w:r>
        <w:rPr>
          <w:rFonts w:ascii="Times New Roman" w:hAnsi="Times New Roman" w:cs="Times New Roman"/>
          <w:sz w:val="24"/>
          <w:szCs w:val="24"/>
        </w:rPr>
        <w:t>tiecībā uz ekodizaina prasībām;</w:t>
      </w:r>
    </w:p>
    <w:p w:rsidR="005121DD" w:rsidRPr="005121DD" w:rsidRDefault="005121DD" w:rsidP="003C62D6">
      <w:pPr>
        <w:pStyle w:val="ListParagraph"/>
        <w:numPr>
          <w:ilvl w:val="0"/>
          <w:numId w:val="1"/>
        </w:numPr>
        <w:spacing w:after="120"/>
        <w:ind w:left="450" w:hanging="450"/>
        <w:jc w:val="both"/>
        <w:rPr>
          <w:rFonts w:ascii="Times New Roman" w:hAnsi="Times New Roman" w:cs="Times New Roman"/>
          <w:sz w:val="24"/>
          <w:szCs w:val="24"/>
        </w:rPr>
      </w:pPr>
      <w:r w:rsidRPr="005121DD">
        <w:rPr>
          <w:rFonts w:ascii="Times New Roman" w:hAnsi="Times New Roman" w:cs="Times New Roman"/>
          <w:sz w:val="24"/>
          <w:szCs w:val="24"/>
        </w:rPr>
        <w:t xml:space="preserve">VARAM norāda, ka nesaskata atbildību par šo regulu, jo tā nav saistīta ar VARAM deleģētajām funkcijām un darbības jomu. </w:t>
      </w:r>
    </w:p>
    <w:p w:rsidR="005121DD" w:rsidRPr="005121DD" w:rsidRDefault="005121DD" w:rsidP="0046170A">
      <w:pPr>
        <w:spacing w:after="0"/>
        <w:jc w:val="both"/>
        <w:rPr>
          <w:rFonts w:ascii="Times New Roman" w:hAnsi="Times New Roman" w:cs="Times New Roman"/>
          <w:sz w:val="24"/>
          <w:szCs w:val="24"/>
        </w:rPr>
      </w:pPr>
      <w:r w:rsidRPr="005121DD">
        <w:rPr>
          <w:rFonts w:ascii="Times New Roman" w:hAnsi="Times New Roman" w:cs="Times New Roman"/>
          <w:sz w:val="24"/>
          <w:szCs w:val="24"/>
        </w:rPr>
        <w:t xml:space="preserve">EM </w:t>
      </w:r>
    </w:p>
    <w:p w:rsidR="0017141B" w:rsidRPr="0017141B" w:rsidRDefault="0017141B" w:rsidP="0046170A">
      <w:pPr>
        <w:spacing w:after="0"/>
        <w:jc w:val="both"/>
        <w:rPr>
          <w:rFonts w:ascii="Times New Roman" w:hAnsi="Times New Roman" w:cs="Times New Roman"/>
          <w:sz w:val="24"/>
          <w:szCs w:val="24"/>
        </w:rPr>
      </w:pPr>
      <w:r w:rsidRPr="0017141B">
        <w:rPr>
          <w:rFonts w:ascii="Times New Roman" w:hAnsi="Times New Roman" w:cs="Times New Roman"/>
          <w:sz w:val="24"/>
          <w:szCs w:val="24"/>
        </w:rPr>
        <w:t>Uzskata, ka atbildīgajai ministrijai par regulu ir jābūt VARAM, jo;</w:t>
      </w:r>
    </w:p>
    <w:p w:rsidR="005121DD" w:rsidRDefault="005121DD" w:rsidP="003C62D6">
      <w:pPr>
        <w:pStyle w:val="ListParagraph"/>
        <w:numPr>
          <w:ilvl w:val="0"/>
          <w:numId w:val="2"/>
        </w:numPr>
        <w:spacing w:after="120"/>
        <w:ind w:left="450"/>
        <w:jc w:val="both"/>
        <w:rPr>
          <w:rFonts w:ascii="Times New Roman" w:hAnsi="Times New Roman" w:cs="Times New Roman"/>
          <w:sz w:val="24"/>
          <w:szCs w:val="24"/>
        </w:rPr>
      </w:pPr>
      <w:r w:rsidRPr="005121DD">
        <w:rPr>
          <w:rFonts w:ascii="Times New Roman" w:hAnsi="Times New Roman" w:cs="Times New Roman"/>
          <w:sz w:val="24"/>
          <w:szCs w:val="24"/>
        </w:rPr>
        <w:t>Regula aizstās esošo Direktīvu 2009/1</w:t>
      </w:r>
      <w:r>
        <w:rPr>
          <w:rFonts w:ascii="Times New Roman" w:hAnsi="Times New Roman" w:cs="Times New Roman"/>
          <w:sz w:val="24"/>
          <w:szCs w:val="24"/>
        </w:rPr>
        <w:t>25/EC, kura ir VARAM atbildībā;</w:t>
      </w:r>
    </w:p>
    <w:p w:rsidR="005121DD" w:rsidRDefault="005121DD" w:rsidP="003C62D6">
      <w:pPr>
        <w:pStyle w:val="ListParagraph"/>
        <w:numPr>
          <w:ilvl w:val="0"/>
          <w:numId w:val="2"/>
        </w:numPr>
        <w:spacing w:after="120"/>
        <w:ind w:left="450"/>
        <w:jc w:val="both"/>
        <w:rPr>
          <w:rFonts w:ascii="Times New Roman" w:hAnsi="Times New Roman" w:cs="Times New Roman"/>
          <w:sz w:val="24"/>
          <w:szCs w:val="24"/>
        </w:rPr>
      </w:pPr>
      <w:r w:rsidRPr="005121DD">
        <w:rPr>
          <w:rFonts w:ascii="Times New Roman" w:hAnsi="Times New Roman" w:cs="Times New Roman"/>
          <w:sz w:val="24"/>
          <w:szCs w:val="24"/>
        </w:rPr>
        <w:t>2008.gadā starp ministrijām tika panākta vienošanās par to, ka ekodizaina horizontālais tvērums un ekomarķējums ir VARAM atbil</w:t>
      </w:r>
      <w:r>
        <w:rPr>
          <w:rFonts w:ascii="Times New Roman" w:hAnsi="Times New Roman" w:cs="Times New Roman"/>
          <w:sz w:val="24"/>
          <w:szCs w:val="24"/>
        </w:rPr>
        <w:t>dība, bet energomarķējums – EM;</w:t>
      </w:r>
    </w:p>
    <w:p w:rsidR="005121DD" w:rsidRDefault="005121DD" w:rsidP="003C62D6">
      <w:pPr>
        <w:pStyle w:val="ListParagraph"/>
        <w:numPr>
          <w:ilvl w:val="0"/>
          <w:numId w:val="2"/>
        </w:numPr>
        <w:spacing w:after="120"/>
        <w:ind w:left="450"/>
        <w:jc w:val="both"/>
        <w:rPr>
          <w:rFonts w:ascii="Times New Roman" w:hAnsi="Times New Roman" w:cs="Times New Roman"/>
          <w:sz w:val="24"/>
          <w:szCs w:val="24"/>
        </w:rPr>
      </w:pPr>
      <w:r w:rsidRPr="005121DD">
        <w:rPr>
          <w:rFonts w:ascii="Times New Roman" w:hAnsi="Times New Roman" w:cs="Times New Roman"/>
          <w:sz w:val="24"/>
          <w:szCs w:val="24"/>
        </w:rPr>
        <w:t xml:space="preserve">Regulas priekšlikums primāri izriet no "Zaļās pakotnes" un tā primārais mērķis ir </w:t>
      </w:r>
      <w:proofErr w:type="spellStart"/>
      <w:r w:rsidRPr="005121DD">
        <w:rPr>
          <w:rFonts w:ascii="Times New Roman" w:hAnsi="Times New Roman" w:cs="Times New Roman"/>
          <w:sz w:val="24"/>
          <w:szCs w:val="24"/>
        </w:rPr>
        <w:t>pāratjaunot</w:t>
      </w:r>
      <w:proofErr w:type="spellEnd"/>
      <w:r w:rsidRPr="005121DD">
        <w:rPr>
          <w:rFonts w:ascii="Times New Roman" w:hAnsi="Times New Roman" w:cs="Times New Roman"/>
          <w:sz w:val="24"/>
          <w:szCs w:val="24"/>
        </w:rPr>
        <w:t xml:space="preserve"> horizontālo ietvaru, ka produktiem tiek noteiktas ilgtspējas un vides prasības, l</w:t>
      </w:r>
      <w:r>
        <w:rPr>
          <w:rFonts w:ascii="Times New Roman" w:hAnsi="Times New Roman" w:cs="Times New Roman"/>
          <w:sz w:val="24"/>
          <w:szCs w:val="24"/>
        </w:rPr>
        <w:t>ai samazinātu fragmentāciju ES;</w:t>
      </w:r>
    </w:p>
    <w:p w:rsidR="005121DD" w:rsidRDefault="005121DD" w:rsidP="003C62D6">
      <w:pPr>
        <w:pStyle w:val="ListParagraph"/>
        <w:numPr>
          <w:ilvl w:val="0"/>
          <w:numId w:val="2"/>
        </w:numPr>
        <w:spacing w:after="120"/>
        <w:ind w:left="450"/>
        <w:jc w:val="both"/>
        <w:rPr>
          <w:rFonts w:ascii="Times New Roman" w:hAnsi="Times New Roman" w:cs="Times New Roman"/>
          <w:sz w:val="24"/>
          <w:szCs w:val="24"/>
        </w:rPr>
      </w:pPr>
      <w:r w:rsidRPr="005121DD">
        <w:rPr>
          <w:rFonts w:ascii="Times New Roman" w:hAnsi="Times New Roman" w:cs="Times New Roman"/>
          <w:sz w:val="24"/>
          <w:szCs w:val="24"/>
        </w:rPr>
        <w:t xml:space="preserve">Šī regula būs horizontāls ietvars un pati par sevi nenoteiks produktu tvērumu, kuru plānots paplašināt – tas izrietēs no EK deleģētajiem aktiem, kas tiks </w:t>
      </w:r>
      <w:r>
        <w:rPr>
          <w:rFonts w:ascii="Times New Roman" w:hAnsi="Times New Roman" w:cs="Times New Roman"/>
          <w:sz w:val="24"/>
          <w:szCs w:val="24"/>
        </w:rPr>
        <w:t>pieņemti uz šīs regulas pamata;</w:t>
      </w:r>
    </w:p>
    <w:p w:rsidR="005121DD" w:rsidRDefault="005121DD" w:rsidP="003C62D6">
      <w:pPr>
        <w:pStyle w:val="ListParagraph"/>
        <w:numPr>
          <w:ilvl w:val="0"/>
          <w:numId w:val="2"/>
        </w:numPr>
        <w:spacing w:after="120"/>
        <w:ind w:left="450"/>
        <w:jc w:val="both"/>
        <w:rPr>
          <w:rFonts w:ascii="Times New Roman" w:hAnsi="Times New Roman" w:cs="Times New Roman"/>
          <w:sz w:val="24"/>
          <w:szCs w:val="24"/>
        </w:rPr>
      </w:pPr>
      <w:r w:rsidRPr="005121DD">
        <w:rPr>
          <w:rFonts w:ascii="Times New Roman" w:hAnsi="Times New Roman" w:cs="Times New Roman"/>
          <w:sz w:val="24"/>
          <w:szCs w:val="24"/>
        </w:rPr>
        <w:t xml:space="preserve">EM neatsakās no līdzatbildības savas kompetences jautājumos – atbilstības novērtēšanā, tirgus uzraudzībā un </w:t>
      </w:r>
      <w:r>
        <w:rPr>
          <w:rFonts w:ascii="Times New Roman" w:hAnsi="Times New Roman" w:cs="Times New Roman"/>
          <w:sz w:val="24"/>
          <w:szCs w:val="24"/>
        </w:rPr>
        <w:t>patērētāju tiesību aizsardzībā;</w:t>
      </w:r>
    </w:p>
    <w:p w:rsidR="005121DD" w:rsidRPr="005121DD" w:rsidRDefault="005121DD" w:rsidP="00CC7365">
      <w:pPr>
        <w:spacing w:after="0"/>
        <w:jc w:val="both"/>
        <w:rPr>
          <w:rFonts w:ascii="Times New Roman" w:hAnsi="Times New Roman" w:cs="Times New Roman"/>
          <w:sz w:val="24"/>
          <w:szCs w:val="24"/>
        </w:rPr>
      </w:pPr>
      <w:r w:rsidRPr="005121DD">
        <w:rPr>
          <w:rFonts w:ascii="Times New Roman" w:hAnsi="Times New Roman" w:cs="Times New Roman"/>
          <w:b/>
          <w:bCs/>
          <w:sz w:val="24"/>
          <w:szCs w:val="24"/>
        </w:rPr>
        <w:t xml:space="preserve">5. Secinājumi </w:t>
      </w:r>
    </w:p>
    <w:p w:rsidR="005121DD" w:rsidRDefault="005121DD" w:rsidP="0073410E">
      <w:pPr>
        <w:spacing w:after="0"/>
        <w:jc w:val="both"/>
        <w:rPr>
          <w:rFonts w:ascii="Times New Roman" w:hAnsi="Times New Roman" w:cs="Times New Roman"/>
          <w:sz w:val="24"/>
          <w:szCs w:val="24"/>
        </w:rPr>
      </w:pPr>
      <w:r w:rsidRPr="005121DD">
        <w:rPr>
          <w:rFonts w:ascii="Times New Roman" w:hAnsi="Times New Roman" w:cs="Times New Roman"/>
          <w:b/>
          <w:bCs/>
          <w:sz w:val="24"/>
          <w:szCs w:val="24"/>
        </w:rPr>
        <w:t xml:space="preserve">Ārlietu ministrijas vērtējumā EM ir jāuzņemas atbildīgās iestādes loma par priekšlikumu, jo: </w:t>
      </w:r>
    </w:p>
    <w:p w:rsidR="005121DD" w:rsidRDefault="005121DD" w:rsidP="003C62D6">
      <w:pPr>
        <w:pStyle w:val="ListParagraph"/>
        <w:numPr>
          <w:ilvl w:val="0"/>
          <w:numId w:val="3"/>
        </w:numPr>
        <w:spacing w:after="120"/>
        <w:ind w:left="540"/>
        <w:jc w:val="both"/>
        <w:rPr>
          <w:rFonts w:ascii="Times New Roman" w:hAnsi="Times New Roman" w:cs="Times New Roman"/>
          <w:sz w:val="24"/>
          <w:szCs w:val="24"/>
        </w:rPr>
      </w:pPr>
      <w:r w:rsidRPr="005121DD">
        <w:rPr>
          <w:rFonts w:ascii="Times New Roman" w:hAnsi="Times New Roman" w:cs="Times New Roman"/>
          <w:sz w:val="24"/>
          <w:szCs w:val="24"/>
        </w:rPr>
        <w:t>Ekodizaina MK noteikumi</w:t>
      </w:r>
      <w:r>
        <w:rPr>
          <w:rStyle w:val="FootnoteReference"/>
          <w:rFonts w:ascii="Times New Roman" w:hAnsi="Times New Roman" w:cs="Times New Roman"/>
          <w:sz w:val="24"/>
          <w:szCs w:val="24"/>
        </w:rPr>
        <w:footnoteReference w:id="3"/>
      </w:r>
      <w:r w:rsidRPr="005121DD">
        <w:rPr>
          <w:rFonts w:ascii="Times New Roman" w:hAnsi="Times New Roman" w:cs="Times New Roman"/>
          <w:sz w:val="24"/>
          <w:szCs w:val="24"/>
        </w:rPr>
        <w:t xml:space="preserve"> izdoti saskaņā ar likuma "Par atbilstības novērtēšanu" - atbilstības novērtēšana (zem kā ir arī ekodizains) ir EM padotības iestādes Patērētāju tiesību </w:t>
      </w:r>
      <w:r>
        <w:rPr>
          <w:rFonts w:ascii="Times New Roman" w:hAnsi="Times New Roman" w:cs="Times New Roman"/>
          <w:sz w:val="24"/>
          <w:szCs w:val="24"/>
        </w:rPr>
        <w:t>aizsardzības centra kompetencē;</w:t>
      </w:r>
    </w:p>
    <w:p w:rsidR="005121DD" w:rsidRDefault="005121DD" w:rsidP="0073410E">
      <w:pPr>
        <w:pStyle w:val="ListParagraph"/>
        <w:numPr>
          <w:ilvl w:val="0"/>
          <w:numId w:val="3"/>
        </w:numPr>
        <w:spacing w:after="120"/>
        <w:jc w:val="both"/>
        <w:rPr>
          <w:rFonts w:ascii="Times New Roman" w:hAnsi="Times New Roman" w:cs="Times New Roman"/>
          <w:sz w:val="24"/>
          <w:szCs w:val="24"/>
        </w:rPr>
      </w:pPr>
      <w:r w:rsidRPr="005121DD">
        <w:rPr>
          <w:rFonts w:ascii="Times New Roman" w:hAnsi="Times New Roman" w:cs="Times New Roman"/>
          <w:sz w:val="24"/>
          <w:szCs w:val="24"/>
        </w:rPr>
        <w:t>Priekšlikums tiek skatīts Konkurētspējas un izaugsmes jautājumu darba grupā (COMPCRO) sadaļā Rūpniecība (</w:t>
      </w:r>
      <w:proofErr w:type="spellStart"/>
      <w:r w:rsidRPr="005121DD">
        <w:rPr>
          <w:rFonts w:ascii="Times New Roman" w:hAnsi="Times New Roman" w:cs="Times New Roman"/>
          <w:i/>
          <w:iCs/>
          <w:sz w:val="24"/>
          <w:szCs w:val="24"/>
        </w:rPr>
        <w:t>Industry</w:t>
      </w:r>
      <w:proofErr w:type="spellEnd"/>
      <w:r w:rsidRPr="005121DD">
        <w:rPr>
          <w:rFonts w:ascii="Times New Roman" w:hAnsi="Times New Roman" w:cs="Times New Roman"/>
          <w:sz w:val="24"/>
          <w:szCs w:val="24"/>
        </w:rPr>
        <w:t>), kas i</w:t>
      </w:r>
      <w:r>
        <w:rPr>
          <w:rFonts w:ascii="Times New Roman" w:hAnsi="Times New Roman" w:cs="Times New Roman"/>
          <w:sz w:val="24"/>
          <w:szCs w:val="24"/>
        </w:rPr>
        <w:t>r E</w:t>
      </w:r>
      <w:r w:rsidR="0073410E">
        <w:rPr>
          <w:rFonts w:ascii="Times New Roman" w:hAnsi="Times New Roman" w:cs="Times New Roman"/>
          <w:sz w:val="24"/>
          <w:szCs w:val="24"/>
        </w:rPr>
        <w:t xml:space="preserve">M atbildībā. </w:t>
      </w:r>
    </w:p>
    <w:p w:rsidR="005121DD" w:rsidRDefault="005121DD" w:rsidP="0073410E">
      <w:pPr>
        <w:pStyle w:val="ListParagraph"/>
        <w:numPr>
          <w:ilvl w:val="0"/>
          <w:numId w:val="3"/>
        </w:numPr>
        <w:spacing w:after="0"/>
        <w:ind w:left="538" w:hanging="357"/>
        <w:jc w:val="both"/>
        <w:rPr>
          <w:rFonts w:ascii="Times New Roman" w:hAnsi="Times New Roman" w:cs="Times New Roman"/>
          <w:sz w:val="24"/>
          <w:szCs w:val="24"/>
        </w:rPr>
      </w:pPr>
      <w:r w:rsidRPr="005121DD">
        <w:rPr>
          <w:rFonts w:ascii="Times New Roman" w:hAnsi="Times New Roman" w:cs="Times New Roman"/>
          <w:sz w:val="24"/>
          <w:szCs w:val="24"/>
        </w:rPr>
        <w:t>Juridiskais pamats ir LESD 114. pants, kas attiecas uz tiesību aktu tuvināšanu iekšē</w:t>
      </w:r>
      <w:r w:rsidR="0073410E">
        <w:rPr>
          <w:rFonts w:ascii="Times New Roman" w:hAnsi="Times New Roman" w:cs="Times New Roman"/>
          <w:sz w:val="24"/>
          <w:szCs w:val="24"/>
        </w:rPr>
        <w:t>jā tirgus izveidei un darbībai.</w:t>
      </w:r>
    </w:p>
    <w:p w:rsidR="0073410E" w:rsidRPr="0073410E" w:rsidRDefault="0073410E" w:rsidP="0073410E">
      <w:pPr>
        <w:spacing w:after="0"/>
        <w:jc w:val="both"/>
        <w:rPr>
          <w:rFonts w:ascii="Times New Roman" w:hAnsi="Times New Roman" w:cs="Times New Roman"/>
          <w:sz w:val="24"/>
          <w:szCs w:val="24"/>
        </w:rPr>
      </w:pPr>
      <w:r>
        <w:rPr>
          <w:rFonts w:ascii="Times New Roman" w:hAnsi="Times New Roman" w:cs="Times New Roman"/>
          <w:sz w:val="24"/>
          <w:szCs w:val="24"/>
        </w:rPr>
        <w:t xml:space="preserve">Priekšlikums nav Čehijas prezidentūras prioritāte </w:t>
      </w:r>
      <w:r w:rsidRPr="0073410E">
        <w:rPr>
          <w:rFonts w:ascii="Times New Roman" w:hAnsi="Times New Roman" w:cs="Times New Roman"/>
          <w:sz w:val="24"/>
          <w:szCs w:val="24"/>
        </w:rPr>
        <w:t>Konkurētspējas padomē, taču ir prio</w:t>
      </w:r>
      <w:r>
        <w:rPr>
          <w:rFonts w:ascii="Times New Roman" w:hAnsi="Times New Roman" w:cs="Times New Roman"/>
          <w:sz w:val="24"/>
          <w:szCs w:val="24"/>
        </w:rPr>
        <w:t>ritārs (pie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priorities</w:t>
      </w:r>
      <w:proofErr w:type="spellEnd"/>
      <w:r>
        <w:rPr>
          <w:rFonts w:ascii="Times New Roman" w:hAnsi="Times New Roman" w:cs="Times New Roman"/>
          <w:sz w:val="24"/>
          <w:szCs w:val="24"/>
        </w:rPr>
        <w:t xml:space="preserve">”), tiks skatīts </w:t>
      </w:r>
      <w:r>
        <w:rPr>
          <w:rFonts w:ascii="Times New Roman" w:hAnsi="Times New Roman" w:cs="Times New Roman"/>
          <w:color w:val="000000"/>
          <w:sz w:val="24"/>
          <w:szCs w:val="24"/>
        </w:rPr>
        <w:t xml:space="preserve">Konkurētspējas padomē (iekšējais tirgus un rūpniecība) 29.septembrī </w:t>
      </w:r>
      <w:r>
        <w:rPr>
          <w:rFonts w:ascii="Times New Roman" w:hAnsi="Times New Roman" w:cs="Times New Roman"/>
          <w:i/>
          <w:iCs/>
          <w:color w:val="000000"/>
          <w:sz w:val="24"/>
          <w:szCs w:val="24"/>
        </w:rPr>
        <w:t>(</w:t>
      </w:r>
      <w:proofErr w:type="spellStart"/>
      <w:r>
        <w:rPr>
          <w:rFonts w:ascii="Times New Roman" w:hAnsi="Times New Roman" w:cs="Times New Roman"/>
          <w:i/>
          <w:iCs/>
          <w:color w:val="000000"/>
          <w:sz w:val="24"/>
          <w:szCs w:val="24"/>
        </w:rPr>
        <w:t>policy</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debate</w:t>
      </w:r>
      <w:proofErr w:type="spellEnd"/>
      <w:r>
        <w:rPr>
          <w:rFonts w:ascii="Times New Roman" w:hAnsi="Times New Roman" w:cs="Times New Roman"/>
          <w:i/>
          <w:iCs/>
          <w:color w:val="000000"/>
          <w:sz w:val="24"/>
          <w:szCs w:val="24"/>
        </w:rPr>
        <w:t>)</w:t>
      </w:r>
      <w:r>
        <w:rPr>
          <w:rFonts w:ascii="Times New Roman" w:hAnsi="Times New Roman" w:cs="Times New Roman"/>
          <w:color w:val="000000"/>
          <w:sz w:val="24"/>
          <w:szCs w:val="24"/>
        </w:rPr>
        <w:t>, kā arī (iespējams) Vides padomē 24.oktobrī (</w:t>
      </w:r>
      <w:proofErr w:type="spellStart"/>
      <w:r>
        <w:rPr>
          <w:rFonts w:ascii="Times New Roman" w:hAnsi="Times New Roman" w:cs="Times New Roman"/>
          <w:i/>
          <w:iCs/>
          <w:color w:val="000000"/>
          <w:sz w:val="24"/>
          <w:szCs w:val="24"/>
        </w:rPr>
        <w:t>exchange</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of</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views</w:t>
      </w:r>
      <w:proofErr w:type="spellEnd"/>
      <w:r>
        <w:rPr>
          <w:rFonts w:ascii="Times New Roman" w:hAnsi="Times New Roman" w:cs="Times New Roman"/>
          <w:i/>
          <w:iCs/>
          <w:color w:val="000000"/>
          <w:sz w:val="24"/>
          <w:szCs w:val="24"/>
        </w:rPr>
        <w:t>).</w:t>
      </w:r>
    </w:p>
    <w:p w:rsidR="005121DD" w:rsidRPr="005121DD" w:rsidRDefault="005121DD" w:rsidP="003C62D6">
      <w:pPr>
        <w:spacing w:after="120"/>
        <w:jc w:val="both"/>
        <w:rPr>
          <w:rFonts w:ascii="Times New Roman" w:hAnsi="Times New Roman" w:cs="Times New Roman"/>
          <w:sz w:val="24"/>
          <w:szCs w:val="24"/>
        </w:rPr>
      </w:pPr>
      <w:r w:rsidRPr="005121DD">
        <w:rPr>
          <w:rFonts w:ascii="Times New Roman" w:hAnsi="Times New Roman" w:cs="Times New Roman"/>
          <w:b/>
          <w:bCs/>
          <w:sz w:val="24"/>
          <w:szCs w:val="24"/>
        </w:rPr>
        <w:t xml:space="preserve">Ņemot vērā minēto, lūdzam jautājumu iekļaut izskatīšanai </w:t>
      </w:r>
      <w:r w:rsidR="009D1447">
        <w:rPr>
          <w:rFonts w:ascii="Times New Roman" w:hAnsi="Times New Roman" w:cs="Times New Roman"/>
          <w:b/>
          <w:bCs/>
          <w:sz w:val="24"/>
          <w:szCs w:val="24"/>
        </w:rPr>
        <w:t xml:space="preserve">Ministru kabineta </w:t>
      </w:r>
      <w:r w:rsidRPr="005121DD">
        <w:rPr>
          <w:rFonts w:ascii="Times New Roman" w:hAnsi="Times New Roman" w:cs="Times New Roman"/>
          <w:b/>
          <w:bCs/>
          <w:sz w:val="24"/>
          <w:szCs w:val="24"/>
        </w:rPr>
        <w:t xml:space="preserve">sēdes darba kārtībā. </w:t>
      </w:r>
    </w:p>
    <w:p w:rsidR="005121DD" w:rsidRPr="005121DD" w:rsidRDefault="001A7E3D" w:rsidP="003C62D6">
      <w:pPr>
        <w:spacing w:after="120"/>
        <w:jc w:val="both"/>
        <w:rPr>
          <w:rFonts w:ascii="Times New Roman" w:hAnsi="Times New Roman" w:cs="Times New Roman"/>
          <w:sz w:val="24"/>
          <w:szCs w:val="24"/>
        </w:rPr>
      </w:pPr>
      <w:r>
        <w:rPr>
          <w:rFonts w:ascii="Times New Roman" w:hAnsi="Times New Roman" w:cs="Times New Roman"/>
          <w:sz w:val="24"/>
          <w:szCs w:val="24"/>
        </w:rPr>
        <w:t>Ārlietu m</w:t>
      </w:r>
      <w:r w:rsidR="009D1447">
        <w:rPr>
          <w:rFonts w:ascii="Times New Roman" w:hAnsi="Times New Roman" w:cs="Times New Roman"/>
          <w:sz w:val="24"/>
          <w:szCs w:val="24"/>
        </w:rPr>
        <w:t>inistrs</w:t>
      </w:r>
      <w:r w:rsidR="005121DD" w:rsidRPr="005121DD">
        <w:rPr>
          <w:rFonts w:ascii="Times New Roman" w:hAnsi="Times New Roman" w:cs="Times New Roman"/>
          <w:sz w:val="24"/>
          <w:szCs w:val="24"/>
        </w:rPr>
        <w:t xml:space="preserve"> </w:t>
      </w:r>
      <w:r w:rsidR="005121DD">
        <w:rPr>
          <w:rFonts w:ascii="Times New Roman" w:hAnsi="Times New Roman" w:cs="Times New Roman"/>
          <w:sz w:val="24"/>
          <w:szCs w:val="24"/>
        </w:rPr>
        <w:tab/>
      </w:r>
      <w:r w:rsidR="005121DD">
        <w:rPr>
          <w:rFonts w:ascii="Times New Roman" w:hAnsi="Times New Roman" w:cs="Times New Roman"/>
          <w:sz w:val="24"/>
          <w:szCs w:val="24"/>
        </w:rPr>
        <w:tab/>
      </w:r>
      <w:r w:rsidR="005121DD">
        <w:rPr>
          <w:rFonts w:ascii="Times New Roman" w:hAnsi="Times New Roman" w:cs="Times New Roman"/>
          <w:sz w:val="24"/>
          <w:szCs w:val="24"/>
        </w:rPr>
        <w:tab/>
      </w:r>
      <w:r w:rsidR="005121DD">
        <w:rPr>
          <w:rFonts w:ascii="Times New Roman" w:hAnsi="Times New Roman" w:cs="Times New Roman"/>
          <w:sz w:val="24"/>
          <w:szCs w:val="24"/>
        </w:rPr>
        <w:tab/>
      </w:r>
      <w:r w:rsidR="005121DD">
        <w:rPr>
          <w:rFonts w:ascii="Times New Roman" w:hAnsi="Times New Roman" w:cs="Times New Roman"/>
          <w:sz w:val="24"/>
          <w:szCs w:val="24"/>
        </w:rPr>
        <w:tab/>
      </w:r>
      <w:r w:rsidR="005121DD">
        <w:rPr>
          <w:rFonts w:ascii="Times New Roman" w:hAnsi="Times New Roman" w:cs="Times New Roman"/>
          <w:sz w:val="24"/>
          <w:szCs w:val="24"/>
        </w:rPr>
        <w:tab/>
      </w:r>
      <w:r w:rsidR="005121DD">
        <w:rPr>
          <w:rFonts w:ascii="Times New Roman" w:hAnsi="Times New Roman" w:cs="Times New Roman"/>
          <w:sz w:val="24"/>
          <w:szCs w:val="24"/>
        </w:rPr>
        <w:tab/>
      </w:r>
      <w:r w:rsidR="009D1447">
        <w:rPr>
          <w:rFonts w:ascii="Times New Roman" w:hAnsi="Times New Roman" w:cs="Times New Roman"/>
          <w:sz w:val="24"/>
          <w:szCs w:val="24"/>
        </w:rPr>
        <w:t>Edgars Rinkēvičs</w:t>
      </w:r>
    </w:p>
    <w:p w:rsidR="00CC7365" w:rsidRDefault="00CC7365" w:rsidP="00A70E78">
      <w:pPr>
        <w:spacing w:after="0" w:line="240" w:lineRule="auto"/>
        <w:jc w:val="both"/>
        <w:rPr>
          <w:rFonts w:ascii="Times New Roman" w:hAnsi="Times New Roman" w:cs="Times New Roman"/>
          <w:sz w:val="20"/>
          <w:szCs w:val="20"/>
        </w:rPr>
      </w:pPr>
    </w:p>
    <w:p w:rsidR="005121DD" w:rsidRPr="00A70E78" w:rsidRDefault="005121DD" w:rsidP="00A70E78">
      <w:pPr>
        <w:spacing w:after="0" w:line="240" w:lineRule="auto"/>
        <w:jc w:val="both"/>
        <w:rPr>
          <w:rFonts w:ascii="Times New Roman" w:hAnsi="Times New Roman" w:cs="Times New Roman"/>
          <w:sz w:val="20"/>
          <w:szCs w:val="20"/>
        </w:rPr>
      </w:pPr>
      <w:r w:rsidRPr="00A70E78">
        <w:rPr>
          <w:rFonts w:ascii="Times New Roman" w:hAnsi="Times New Roman" w:cs="Times New Roman"/>
          <w:sz w:val="20"/>
          <w:szCs w:val="20"/>
        </w:rPr>
        <w:t xml:space="preserve">P.Gailītis +371 67016209, </w:t>
      </w:r>
    </w:p>
    <w:p w:rsidR="003B58BF" w:rsidRPr="00A70E78" w:rsidRDefault="005121DD" w:rsidP="00A70E78">
      <w:pPr>
        <w:spacing w:after="0" w:line="240" w:lineRule="auto"/>
        <w:jc w:val="both"/>
        <w:rPr>
          <w:rFonts w:ascii="Times New Roman" w:hAnsi="Times New Roman" w:cs="Times New Roman"/>
          <w:sz w:val="20"/>
          <w:szCs w:val="20"/>
        </w:rPr>
      </w:pPr>
      <w:proofErr w:type="spellStart"/>
      <w:r w:rsidRPr="00A70E78">
        <w:rPr>
          <w:rFonts w:ascii="Times New Roman" w:hAnsi="Times New Roman" w:cs="Times New Roman"/>
          <w:sz w:val="20"/>
          <w:szCs w:val="20"/>
        </w:rPr>
        <w:t>pauls.gailītis@mfa.gov.lv</w:t>
      </w:r>
      <w:proofErr w:type="spellEnd"/>
    </w:p>
    <w:sectPr w:rsidR="003B58BF" w:rsidRPr="00A70E78" w:rsidSect="00E32535">
      <w:pgSz w:w="12240" w:h="15840"/>
      <w:pgMar w:top="72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82C" w:rsidRDefault="005F082C" w:rsidP="005121DD">
      <w:pPr>
        <w:spacing w:after="0" w:line="240" w:lineRule="auto"/>
      </w:pPr>
      <w:r>
        <w:separator/>
      </w:r>
    </w:p>
  </w:endnote>
  <w:endnote w:type="continuationSeparator" w:id="0">
    <w:p w:rsidR="005F082C" w:rsidRDefault="005F082C" w:rsidP="0051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82C" w:rsidRDefault="005F082C" w:rsidP="005121DD">
      <w:pPr>
        <w:spacing w:after="0" w:line="240" w:lineRule="auto"/>
      </w:pPr>
      <w:r>
        <w:separator/>
      </w:r>
    </w:p>
  </w:footnote>
  <w:footnote w:type="continuationSeparator" w:id="0">
    <w:p w:rsidR="005F082C" w:rsidRDefault="005F082C" w:rsidP="005121DD">
      <w:pPr>
        <w:spacing w:after="0" w:line="240" w:lineRule="auto"/>
      </w:pPr>
      <w:r>
        <w:continuationSeparator/>
      </w:r>
    </w:p>
  </w:footnote>
  <w:footnote w:id="1">
    <w:p w:rsidR="005121DD" w:rsidRPr="00E32535" w:rsidRDefault="005121DD" w:rsidP="00E32535">
      <w:pPr>
        <w:spacing w:after="0"/>
        <w:jc w:val="both"/>
        <w:rPr>
          <w:rFonts w:ascii="Times New Roman" w:hAnsi="Times New Roman" w:cs="Times New Roman"/>
          <w:sz w:val="20"/>
          <w:szCs w:val="20"/>
        </w:rPr>
      </w:pPr>
      <w:r w:rsidRPr="00E32535">
        <w:rPr>
          <w:rStyle w:val="FootnoteReference"/>
          <w:sz w:val="20"/>
          <w:szCs w:val="20"/>
        </w:rPr>
        <w:footnoteRef/>
      </w:r>
      <w:r w:rsidRPr="00E32535">
        <w:rPr>
          <w:sz w:val="20"/>
          <w:szCs w:val="20"/>
        </w:rPr>
        <w:t xml:space="preserve"> </w:t>
      </w:r>
      <w:r w:rsidRPr="00E32535">
        <w:rPr>
          <w:rFonts w:ascii="Times New Roman" w:hAnsi="Times New Roman" w:cs="Times New Roman"/>
          <w:sz w:val="20"/>
          <w:szCs w:val="20"/>
        </w:rPr>
        <w:t xml:space="preserve">Direktīva 2009/125/EK </w:t>
      </w:r>
    </w:p>
  </w:footnote>
  <w:footnote w:id="2">
    <w:p w:rsidR="00E32535" w:rsidRPr="00E32535" w:rsidRDefault="00E32535" w:rsidP="00E32535">
      <w:pPr>
        <w:pStyle w:val="FootnoteText"/>
        <w:rPr>
          <w:rFonts w:ascii="Times New Roman" w:hAnsi="Times New Roman" w:cs="Times New Roman"/>
        </w:rPr>
      </w:pPr>
      <w:r w:rsidRPr="00E32535">
        <w:rPr>
          <w:rStyle w:val="FootnoteReference"/>
          <w:rFonts w:ascii="Times New Roman" w:hAnsi="Times New Roman" w:cs="Times New Roman"/>
        </w:rPr>
        <w:footnoteRef/>
      </w:r>
      <w:r w:rsidRPr="00E32535">
        <w:rPr>
          <w:rFonts w:ascii="Times New Roman" w:hAnsi="Times New Roman" w:cs="Times New Roman"/>
        </w:rPr>
        <w:t xml:space="preserve"> Protokollēmums 22-TA-1642</w:t>
      </w:r>
    </w:p>
  </w:footnote>
  <w:footnote w:id="3">
    <w:p w:rsidR="005121DD" w:rsidRDefault="005121DD">
      <w:pPr>
        <w:pStyle w:val="FootnoteText"/>
      </w:pPr>
      <w:r w:rsidRPr="00E32535">
        <w:rPr>
          <w:rStyle w:val="FootnoteReference"/>
          <w:rFonts w:ascii="Times New Roman" w:hAnsi="Times New Roman" w:cs="Times New Roman"/>
        </w:rPr>
        <w:footnoteRef/>
      </w:r>
      <w:r w:rsidRPr="00E32535">
        <w:rPr>
          <w:rFonts w:ascii="Times New Roman" w:hAnsi="Times New Roman" w:cs="Times New Roman"/>
        </w:rPr>
        <w:t xml:space="preserve"> Ministru kabineta 2011. gada 6. decembra noteikumi Nr. 941 "Noteikumi par ekodizaina prasībām ar enerģiju saistītām precēm (produktiem)"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6384C"/>
    <w:multiLevelType w:val="hybridMultilevel"/>
    <w:tmpl w:val="D7383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D633B3"/>
    <w:multiLevelType w:val="hybridMultilevel"/>
    <w:tmpl w:val="1E423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ED53FC8"/>
    <w:multiLevelType w:val="hybridMultilevel"/>
    <w:tmpl w:val="2F94A7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DD"/>
    <w:rsid w:val="00077363"/>
    <w:rsid w:val="0017141B"/>
    <w:rsid w:val="001A7E3D"/>
    <w:rsid w:val="003B58BF"/>
    <w:rsid w:val="003C62D6"/>
    <w:rsid w:val="0046170A"/>
    <w:rsid w:val="005121DD"/>
    <w:rsid w:val="005D6FBA"/>
    <w:rsid w:val="005F082C"/>
    <w:rsid w:val="0073410E"/>
    <w:rsid w:val="008C7753"/>
    <w:rsid w:val="008E1BEF"/>
    <w:rsid w:val="009A4F6E"/>
    <w:rsid w:val="009D1447"/>
    <w:rsid w:val="00A70E78"/>
    <w:rsid w:val="00C07AFE"/>
    <w:rsid w:val="00CC7365"/>
    <w:rsid w:val="00E154B3"/>
    <w:rsid w:val="00E32535"/>
    <w:rsid w:val="00F50EFF"/>
    <w:rsid w:val="00F52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73A3"/>
  <w15:chartTrackingRefBased/>
  <w15:docId w15:val="{1984AC5A-B19A-4DC6-A629-BB18118B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21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1DD"/>
    <w:rPr>
      <w:sz w:val="20"/>
      <w:szCs w:val="20"/>
    </w:rPr>
  </w:style>
  <w:style w:type="character" w:styleId="FootnoteReference">
    <w:name w:val="footnote reference"/>
    <w:basedOn w:val="DefaultParagraphFont"/>
    <w:uiPriority w:val="99"/>
    <w:semiHidden/>
    <w:unhideWhenUsed/>
    <w:rsid w:val="005121DD"/>
    <w:rPr>
      <w:vertAlign w:val="superscript"/>
    </w:rPr>
  </w:style>
  <w:style w:type="paragraph" w:styleId="ListParagraph">
    <w:name w:val="List Paragraph"/>
    <w:basedOn w:val="Normal"/>
    <w:uiPriority w:val="34"/>
    <w:qFormat/>
    <w:rsid w:val="005121DD"/>
    <w:pPr>
      <w:ind w:left="720"/>
      <w:contextualSpacing/>
    </w:pPr>
  </w:style>
  <w:style w:type="paragraph" w:styleId="Header">
    <w:name w:val="header"/>
    <w:basedOn w:val="Normal"/>
    <w:link w:val="HeaderChar"/>
    <w:uiPriority w:val="99"/>
    <w:unhideWhenUsed/>
    <w:rsid w:val="008C77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8C7753"/>
  </w:style>
  <w:style w:type="paragraph" w:styleId="Footer">
    <w:name w:val="footer"/>
    <w:basedOn w:val="Normal"/>
    <w:link w:val="FooterChar"/>
    <w:uiPriority w:val="99"/>
    <w:unhideWhenUsed/>
    <w:rsid w:val="008C77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8C7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A47E3-F863-4195-AE12-8236C991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3570</Words>
  <Characters>2036</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Pauls Gailitis</dc:creator>
  <cp:keywords/>
  <dc:description/>
  <cp:lastModifiedBy>Pauls Gailitis</cp:lastModifiedBy>
  <cp:revision>12</cp:revision>
  <dcterms:created xsi:type="dcterms:W3CDTF">2022-07-01T11:48:00Z</dcterms:created>
  <dcterms:modified xsi:type="dcterms:W3CDTF">2022-07-04T12:52:00Z</dcterms:modified>
</cp:coreProperties>
</file>