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37007" w14:textId="77777777" w:rsidR="004C6ABD" w:rsidRDefault="004C6ABD" w:rsidP="00AD6501">
      <w:pPr>
        <w:spacing w:before="120" w:after="120" w:line="0" w:lineRule="atLeast"/>
      </w:pPr>
    </w:p>
    <w:p w14:paraId="1F0DA3DF" w14:textId="77777777" w:rsidR="004C6ABD" w:rsidRDefault="004C6ABD" w:rsidP="00AD6501">
      <w:pPr>
        <w:spacing w:before="120" w:after="120" w:line="0" w:lineRule="atLeast"/>
      </w:pPr>
    </w:p>
    <w:p w14:paraId="695467FE" w14:textId="77777777" w:rsidR="004C6ABD" w:rsidRDefault="004C6ABD" w:rsidP="00AD6501">
      <w:pPr>
        <w:spacing w:before="120" w:after="120" w:line="0" w:lineRule="atLeast"/>
      </w:pPr>
    </w:p>
    <w:p w14:paraId="66266E23" w14:textId="77777777" w:rsidR="004C6ABD" w:rsidRDefault="004C6ABD" w:rsidP="00AD6501">
      <w:pPr>
        <w:spacing w:before="120" w:after="120" w:line="0" w:lineRule="atLeast"/>
      </w:pPr>
    </w:p>
    <w:p w14:paraId="6B5C2003" w14:textId="77777777" w:rsidR="004C6ABD" w:rsidRDefault="004C6ABD" w:rsidP="00AD6501">
      <w:pPr>
        <w:spacing w:before="120" w:after="120" w:line="0" w:lineRule="atLeast"/>
        <w:jc w:val="center"/>
      </w:pPr>
      <w:r>
        <w:rPr>
          <w:b/>
          <w:bCs/>
        </w:rPr>
        <w:t>Informatīvais ziņojums</w:t>
      </w:r>
    </w:p>
    <w:p w14:paraId="4844F120" w14:textId="77777777" w:rsidR="004C6ABD" w:rsidRDefault="004C6ABD" w:rsidP="00AD6501">
      <w:pPr>
        <w:spacing w:before="120" w:after="120" w:line="0" w:lineRule="atLeast"/>
      </w:pPr>
    </w:p>
    <w:p w14:paraId="17E330F8" w14:textId="77777777" w:rsidR="004C6ABD" w:rsidRDefault="004C6ABD" w:rsidP="00AD6501">
      <w:pPr>
        <w:spacing w:before="120" w:after="120" w:line="0" w:lineRule="atLeast"/>
        <w:jc w:val="center"/>
      </w:pPr>
      <w:r>
        <w:rPr>
          <w:b/>
          <w:bCs/>
        </w:rPr>
        <w:t>par publisko personu tīmekļvietņu un mobilo lietotņu piekļūstamību</w:t>
      </w:r>
    </w:p>
    <w:p w14:paraId="01DA537E" w14:textId="77777777" w:rsidR="004C6ABD" w:rsidRDefault="004C6ABD" w:rsidP="00AD6501">
      <w:pPr>
        <w:spacing w:before="120" w:after="120" w:line="0" w:lineRule="atLeast"/>
        <w:jc w:val="center"/>
      </w:pPr>
      <w:r>
        <w:rPr>
          <w:b/>
          <w:bCs/>
        </w:rPr>
        <w:t>2024.–2025. gada uzraudzības periodā</w:t>
      </w:r>
    </w:p>
    <w:p w14:paraId="2FC1C17F" w14:textId="77777777" w:rsidR="004C6ABD" w:rsidRDefault="004C6ABD" w:rsidP="00AD6501">
      <w:pPr>
        <w:spacing w:before="120" w:after="120" w:line="0" w:lineRule="atLeast"/>
      </w:pPr>
    </w:p>
    <w:p w14:paraId="3728EBDF" w14:textId="77777777" w:rsidR="004C6ABD" w:rsidRDefault="004C6ABD" w:rsidP="00AD6501">
      <w:pPr>
        <w:spacing w:before="120" w:after="120" w:line="0" w:lineRule="atLeast"/>
      </w:pPr>
    </w:p>
    <w:p w14:paraId="37EDA679" w14:textId="77777777" w:rsidR="004C6ABD" w:rsidRDefault="004C6ABD" w:rsidP="00AD6501">
      <w:pPr>
        <w:spacing w:before="120" w:after="120" w:line="0" w:lineRule="atLeast"/>
      </w:pPr>
    </w:p>
    <w:p w14:paraId="33184F58" w14:textId="77777777" w:rsidR="004C6ABD" w:rsidRDefault="004C6ABD" w:rsidP="00AD6501">
      <w:pPr>
        <w:spacing w:before="120" w:after="120" w:line="0" w:lineRule="atLeast"/>
      </w:pPr>
    </w:p>
    <w:p w14:paraId="46A89F36" w14:textId="77777777" w:rsidR="004C6ABD" w:rsidRDefault="004C6ABD" w:rsidP="00AD6501">
      <w:pPr>
        <w:spacing w:before="120" w:after="120" w:line="0" w:lineRule="atLeast"/>
      </w:pPr>
    </w:p>
    <w:p w14:paraId="4DF0B5F4" w14:textId="77777777" w:rsidR="004C6ABD" w:rsidRDefault="004C6ABD" w:rsidP="00AD6501">
      <w:pPr>
        <w:spacing w:before="120" w:after="120" w:line="0" w:lineRule="atLeast"/>
      </w:pPr>
    </w:p>
    <w:p w14:paraId="26813B97" w14:textId="77777777" w:rsidR="004C6ABD" w:rsidRDefault="004C6ABD" w:rsidP="00AD6501">
      <w:pPr>
        <w:spacing w:before="120" w:after="120" w:line="0" w:lineRule="atLeast"/>
      </w:pPr>
    </w:p>
    <w:p w14:paraId="46D7E38D" w14:textId="77777777" w:rsidR="004C6ABD" w:rsidRDefault="004C6ABD" w:rsidP="00AD6501">
      <w:pPr>
        <w:spacing w:before="120" w:after="120" w:line="0" w:lineRule="atLeast"/>
      </w:pPr>
    </w:p>
    <w:p w14:paraId="63416DF0" w14:textId="77777777" w:rsidR="004C6ABD" w:rsidRDefault="004C6ABD" w:rsidP="00AD6501">
      <w:pPr>
        <w:spacing w:before="120" w:after="120" w:line="0" w:lineRule="atLeast"/>
      </w:pPr>
    </w:p>
    <w:p w14:paraId="60238898" w14:textId="77777777" w:rsidR="004C6ABD" w:rsidRDefault="004C6ABD" w:rsidP="00AD6501">
      <w:pPr>
        <w:spacing w:before="120" w:after="120" w:line="0" w:lineRule="atLeast"/>
      </w:pPr>
    </w:p>
    <w:p w14:paraId="4E3C2B73" w14:textId="77777777" w:rsidR="004C6ABD" w:rsidRDefault="004C6ABD" w:rsidP="00AD6501">
      <w:pPr>
        <w:spacing w:before="120" w:after="120" w:line="0" w:lineRule="atLeast"/>
      </w:pPr>
    </w:p>
    <w:p w14:paraId="755BBAC2" w14:textId="77777777" w:rsidR="004C6ABD" w:rsidRDefault="004C6ABD" w:rsidP="00AD6501">
      <w:pPr>
        <w:spacing w:before="120" w:after="120" w:line="0" w:lineRule="atLeast"/>
      </w:pPr>
    </w:p>
    <w:p w14:paraId="5B189877" w14:textId="77777777" w:rsidR="004C6ABD" w:rsidRDefault="004C6ABD" w:rsidP="00AD6501">
      <w:pPr>
        <w:spacing w:before="120" w:after="120" w:line="0" w:lineRule="atLeast"/>
      </w:pPr>
    </w:p>
    <w:p w14:paraId="599DEDF6" w14:textId="77777777" w:rsidR="004C6ABD" w:rsidRDefault="004C6ABD" w:rsidP="00AD6501">
      <w:pPr>
        <w:spacing w:before="120" w:after="120" w:line="0" w:lineRule="atLeast"/>
      </w:pPr>
    </w:p>
    <w:p w14:paraId="1ABEE351" w14:textId="77777777" w:rsidR="004C6ABD" w:rsidRDefault="004C6ABD" w:rsidP="00AD6501">
      <w:pPr>
        <w:spacing w:before="120" w:after="120" w:line="0" w:lineRule="atLeast"/>
      </w:pPr>
    </w:p>
    <w:p w14:paraId="6D5113EC" w14:textId="77777777" w:rsidR="00A113B1" w:rsidRDefault="00A113B1" w:rsidP="00AD6501">
      <w:pPr>
        <w:spacing w:before="120" w:after="120" w:line="0" w:lineRule="atLeast"/>
      </w:pPr>
    </w:p>
    <w:p w14:paraId="12E2EF60" w14:textId="77777777" w:rsidR="00A113B1" w:rsidRDefault="00A113B1" w:rsidP="00AD6501">
      <w:pPr>
        <w:spacing w:before="120" w:after="120" w:line="0" w:lineRule="atLeast"/>
      </w:pPr>
    </w:p>
    <w:p w14:paraId="7F5216FF" w14:textId="77777777" w:rsidR="00A113B1" w:rsidRDefault="00A113B1" w:rsidP="00AD6501">
      <w:pPr>
        <w:spacing w:before="120" w:after="120" w:line="0" w:lineRule="atLeast"/>
      </w:pPr>
    </w:p>
    <w:p w14:paraId="282351F3" w14:textId="3C664803" w:rsidR="004C6ABD" w:rsidRDefault="004C6ABD" w:rsidP="00AD6501">
      <w:pPr>
        <w:spacing w:before="120" w:after="120" w:line="0" w:lineRule="atLeast"/>
        <w:jc w:val="center"/>
      </w:pPr>
      <w:r>
        <w:t>2026</w:t>
      </w:r>
    </w:p>
    <w:p w14:paraId="6E0BA19B" w14:textId="0B069CB1" w:rsidR="00865FCA" w:rsidRDefault="00865FCA">
      <w:r>
        <w:br w:type="page"/>
      </w:r>
    </w:p>
    <w:p w14:paraId="17B5F810" w14:textId="77777777" w:rsidR="004C6ABD" w:rsidRDefault="004C6ABD" w:rsidP="00AD6501">
      <w:pPr>
        <w:spacing w:before="120" w:after="120" w:line="0" w:lineRule="atLeast"/>
      </w:pPr>
    </w:p>
    <w:p w14:paraId="5FA7BFF2" w14:textId="77777777" w:rsidR="004C6ABD" w:rsidRDefault="004C6ABD" w:rsidP="00AD6501">
      <w:pPr>
        <w:spacing w:before="120" w:after="120" w:line="0" w:lineRule="atLeast"/>
        <w:jc w:val="both"/>
      </w:pPr>
      <w:r>
        <w:rPr>
          <w:b/>
          <w:bCs/>
        </w:rPr>
        <w:t>IEVADS</w:t>
      </w:r>
    </w:p>
    <w:p w14:paraId="417B8506" w14:textId="77777777" w:rsidR="004C6ABD" w:rsidRDefault="004C6ABD" w:rsidP="00AD6501">
      <w:pPr>
        <w:spacing w:before="120" w:after="120" w:line="0" w:lineRule="atLeast"/>
      </w:pPr>
    </w:p>
    <w:p w14:paraId="3AAB166A" w14:textId="77777777" w:rsidR="004C6ABD" w:rsidRDefault="004C6ABD" w:rsidP="00AD6501">
      <w:pPr>
        <w:spacing w:before="120" w:after="120" w:line="0" w:lineRule="atLeast"/>
        <w:jc w:val="both"/>
        <w:rPr>
          <w:b/>
          <w:bCs/>
        </w:rPr>
      </w:pPr>
      <w:r>
        <w:rPr>
          <w:b/>
          <w:bCs/>
        </w:rPr>
        <w:t>Informatīvā ziņojuma mērķis</w:t>
      </w:r>
    </w:p>
    <w:p w14:paraId="186A01BA" w14:textId="77777777" w:rsidR="00781ED5" w:rsidRDefault="00781ED5" w:rsidP="00AD6501">
      <w:pPr>
        <w:spacing w:before="120" w:after="120" w:line="0" w:lineRule="atLeast"/>
        <w:jc w:val="both"/>
      </w:pPr>
    </w:p>
    <w:p w14:paraId="013E62EE" w14:textId="170B4DFE" w:rsidR="004C6ABD" w:rsidRDefault="004C6ABD" w:rsidP="00AD6501">
      <w:pPr>
        <w:spacing w:before="120" w:after="120" w:line="0" w:lineRule="atLeast"/>
        <w:jc w:val="both"/>
      </w:pPr>
      <w:r>
        <w:t>Saskaņā ar Ministru kabineta (turpmāk – MK) 2020. gada 14. jūlija sēdes protokollēmumu "Noteikumu projekts</w:t>
      </w:r>
      <w:r w:rsidR="00A113B1">
        <w:t xml:space="preserve"> “</w:t>
      </w:r>
      <w:r>
        <w:t>Kārtība, kādā iestādes ievieto informāciju internetā'" (prot. Nr. 44 21.§</w:t>
      </w:r>
      <w:r w:rsidR="00FC0980">
        <w:t>)</w:t>
      </w:r>
      <w:r>
        <w:t xml:space="preserve"> 3. punkts Vides aizsardzības un reģionālās attīstības ministrija (</w:t>
      </w:r>
      <w:r w:rsidR="00FC0980">
        <w:t xml:space="preserve">šobrīd Viedās administrācijas un reģionālās attīstības ministrijai, </w:t>
      </w:r>
      <w:r>
        <w:t xml:space="preserve">turpmāk – VARAM) ir sagatavojusi informatīvo ziņojumu (turpmāk – </w:t>
      </w:r>
      <w:r w:rsidR="00A22FD8">
        <w:t>Informatīvais z</w:t>
      </w:r>
      <w:r>
        <w:t xml:space="preserve">iņojums) par publisko personu tīmekļvietņu un mobilo lietotņu piekļūstamību. </w:t>
      </w:r>
      <w:r w:rsidR="005B129F">
        <w:t>Informatīvais z</w:t>
      </w:r>
      <w:r>
        <w:t>iņojums aptver 2024. un 2025. gada uzraudzības periodu kopumā; atsevišķos gadījumos, lai raksturotu tendences plašākā perspektīvā, izmantoti arī dati par iepriekšējiem gadiem. Papildus, ievērojot</w:t>
      </w:r>
      <w:r w:rsidR="00F67540">
        <w:t xml:space="preserve"> MK</w:t>
      </w:r>
      <w:r>
        <w:t xml:space="preserve"> </w:t>
      </w:r>
      <w:r w:rsidR="00A22FD8" w:rsidRPr="00A22FD8">
        <w:t>2020. gada 14. jūlija sēdes protokollēmumu "Noteikumu projekts Kārtība, kādā iestādes ievieto informāciju internetā'" (prot. Nr. 44 21.§)</w:t>
      </w:r>
      <w:r w:rsidR="00A22FD8">
        <w:t xml:space="preserve"> </w:t>
      </w:r>
      <w:r>
        <w:t xml:space="preserve"> 3. punkt</w:t>
      </w:r>
      <w:r w:rsidR="00A22FD8">
        <w:t>ā noteikto uzdevumu Informatīvais ziņojums ietver izvērtējumu par ikgadējā informatīvā ziņojuma iesniegšanas nepieciešamību</w:t>
      </w:r>
      <w:r w:rsidR="00A22FD8" w:rsidDel="00A22FD8">
        <w:t xml:space="preserve"> </w:t>
      </w:r>
      <w:r>
        <w:t>(sk. 6. sadaļu).</w:t>
      </w:r>
    </w:p>
    <w:p w14:paraId="5232C959" w14:textId="4D43C1ED" w:rsidR="004C6ABD" w:rsidRDefault="004C6ABD" w:rsidP="00AD6501">
      <w:pPr>
        <w:spacing w:before="120" w:after="120" w:line="0" w:lineRule="atLeast"/>
        <w:jc w:val="both"/>
      </w:pPr>
      <w:r>
        <w:t xml:space="preserve">Uzraudzība par 2022.–2024. gada periodu ir aptverta arī Latvijas ziņojumā Eiropas Komisijai (turpmāk – EK ziņojums), kas sagatavots atbilstoši </w:t>
      </w:r>
      <w:r w:rsidR="00DC7DB7" w:rsidRPr="005B1823">
        <w:t>Direktīva (ES) 2016/2102 par publiskā sektora struktūru tīmekļvietņu un mobilo lietotņu piekļūstamību (turpmāk – Direktīva),</w:t>
      </w:r>
      <w:r w:rsidR="00602887" w:rsidRPr="005B1823">
        <w:rPr>
          <w:rStyle w:val="FootnoteReference"/>
        </w:rPr>
        <w:footnoteReference w:id="1"/>
      </w:r>
      <w:r w:rsidRPr="005B1823">
        <w:t xml:space="preserve">noteiktajam triju gadu ciklam un iesniegts EK 2025. gadā.⁷ Tādēļ šis </w:t>
      </w:r>
      <w:r w:rsidR="00A22FD8" w:rsidRPr="005B1823">
        <w:t>Informatīvais z</w:t>
      </w:r>
      <w:r w:rsidRPr="005B1823">
        <w:t>iņojums, kurā apkopoti 2024</w:t>
      </w:r>
      <w:r>
        <w:t>. un 2025. gada uzraudzības dati, ir loģisks turpinājums nepārtrauktajai uzraudzības saitei no 2020. gada, nodrošinot M</w:t>
      </w:r>
      <w:r w:rsidR="00A22FD8">
        <w:t xml:space="preserve">K </w:t>
      </w:r>
      <w:r>
        <w:t xml:space="preserve"> pilnvērtīgu ieskatu par divu secīgu gadu tendencēm.</w:t>
      </w:r>
      <w:r w:rsidR="00602887">
        <w:rPr>
          <w:rStyle w:val="FootnoteReference"/>
        </w:rPr>
        <w:footnoteReference w:id="2"/>
      </w:r>
    </w:p>
    <w:p w14:paraId="01633F5E" w14:textId="3B73710C" w:rsidR="004C6ABD" w:rsidRDefault="004C6ABD" w:rsidP="00AD6501">
      <w:pPr>
        <w:spacing w:before="120" w:after="120" w:line="0" w:lineRule="atLeast"/>
        <w:jc w:val="both"/>
      </w:pPr>
      <w:r>
        <w:t>Iepriekšējie informatīvie ziņojumi par publisko personu tīmekļvietņu un mobilo lietotņu piekļūstamību aptver 2020.–2023. gada periodus un ir publiski pieejami VARAM tīmekļvietnē.</w:t>
      </w:r>
      <w:r w:rsidR="00602887">
        <w:rPr>
          <w:rStyle w:val="FootnoteReference"/>
        </w:rPr>
        <w:footnoteReference w:id="3"/>
      </w:r>
    </w:p>
    <w:p w14:paraId="57829911" w14:textId="77777777" w:rsidR="004C6ABD" w:rsidRDefault="004C6ABD" w:rsidP="00AD6501">
      <w:pPr>
        <w:spacing w:before="120" w:after="120" w:line="0" w:lineRule="atLeast"/>
      </w:pPr>
    </w:p>
    <w:p w14:paraId="4837098D" w14:textId="77777777" w:rsidR="004C6ABD" w:rsidRDefault="004C6ABD" w:rsidP="00AD6501">
      <w:pPr>
        <w:spacing w:before="120" w:after="120" w:line="0" w:lineRule="atLeast"/>
        <w:jc w:val="both"/>
      </w:pPr>
      <w:r>
        <w:rPr>
          <w:b/>
          <w:bCs/>
        </w:rPr>
        <w:t>Tiesiskais pamats</w:t>
      </w:r>
    </w:p>
    <w:p w14:paraId="0F61A205" w14:textId="5FF2858A" w:rsidR="004C6ABD" w:rsidRDefault="004C6ABD" w:rsidP="00AD6501">
      <w:pPr>
        <w:spacing w:before="120" w:after="120" w:line="0" w:lineRule="atLeast"/>
        <w:jc w:val="both"/>
      </w:pPr>
      <w:r>
        <w:t xml:space="preserve">Digitālās piekļūstamības jomu regulē </w:t>
      </w:r>
      <w:r w:rsidR="00DC7DB7">
        <w:t>Direktīva,</w:t>
      </w:r>
      <w:r>
        <w:t xml:space="preserve"> kas uzliek publiskā sektora struktūrām pienākumu nodrošināt tīmekļvietņu un mobilo lietotņu piekļūstamību atbilstoši starptautiskajam standartam EN 301 549 (iekļaujot WCAG 2.1 AA līmeņa prasības). Direktīvas ieviešanas metodiku nosaka Eiropas Komisijas</w:t>
      </w:r>
      <w:r w:rsidR="0008391E">
        <w:t xml:space="preserve"> (turpmāk – </w:t>
      </w:r>
      <w:r w:rsidR="002728B8">
        <w:t>EK</w:t>
      </w:r>
      <w:r w:rsidR="0008391E">
        <w:t>)</w:t>
      </w:r>
      <w:r w:rsidR="002728B8">
        <w:t xml:space="preserve"> </w:t>
      </w:r>
      <w:r>
        <w:t xml:space="preserve"> Īstenošanas lēmums (ES) 2018/1524.</w:t>
      </w:r>
      <w:r w:rsidR="00593D02">
        <w:rPr>
          <w:rStyle w:val="FootnoteReference"/>
        </w:rPr>
        <w:footnoteReference w:id="4"/>
      </w:r>
      <w:r>
        <w:t xml:space="preserve"> Latvija šobrīd atrodas otrajā triju gadu uzraudzības periodā (2025.–2027. gads).</w:t>
      </w:r>
    </w:p>
    <w:p w14:paraId="2F91534A" w14:textId="1144293F" w:rsidR="004C6ABD" w:rsidRDefault="004C6ABD" w:rsidP="00AD6501">
      <w:pPr>
        <w:spacing w:before="120" w:after="120" w:line="0" w:lineRule="atLeast"/>
        <w:jc w:val="both"/>
      </w:pPr>
      <w:r>
        <w:t>Latvijas tiesību sistēmā Direktīva transponēta ar Ministru kabineta 2020. gada 14. jūlija noteikumiem Nr. 445 "Kārtība, kādā iestādes ievieto informāciju internetā" (turpmāk – MK noteikumi Nr. 445),</w:t>
      </w:r>
      <w:r w:rsidR="00593D02">
        <w:rPr>
          <w:rStyle w:val="FootnoteReference"/>
        </w:rPr>
        <w:footnoteReference w:id="5"/>
      </w:r>
      <w:r>
        <w:t xml:space="preserve"> kas nosaka valsts pārvaldes iestāžu pienākumu nodrošināt savu tīmekļvietņu un mobilo lietotņu piekļūstamību, veikt vienkāršoto izvērtēšanu un publicēt piekļūstamības paziņojumus. Digitālās piekļūstamības regulējumu </w:t>
      </w:r>
      <w:r>
        <w:lastRenderedPageBreak/>
        <w:t>papildina Preču un pakalpojumu piekļūstamības likums (spēkā no 2025. gada 28. jūnija),</w:t>
      </w:r>
      <w:r w:rsidR="00593D02">
        <w:rPr>
          <w:rStyle w:val="FootnoteReference"/>
        </w:rPr>
        <w:footnoteReference w:id="6"/>
      </w:r>
      <w:r>
        <w:t xml:space="preserve"> kas paplašina piekļūstamības prasības uz noteiktiem privātā sektora komersantiem.</w:t>
      </w:r>
    </w:p>
    <w:p w14:paraId="35BA7D10" w14:textId="77777777" w:rsidR="00781ED5" w:rsidRDefault="00781ED5" w:rsidP="00AD6501">
      <w:pPr>
        <w:spacing w:before="120" w:after="120" w:line="0" w:lineRule="atLeast"/>
        <w:jc w:val="both"/>
      </w:pPr>
    </w:p>
    <w:p w14:paraId="75351492" w14:textId="77777777" w:rsidR="004C6ABD" w:rsidRDefault="004C6ABD" w:rsidP="00AD6501">
      <w:pPr>
        <w:spacing w:before="120" w:after="120" w:line="0" w:lineRule="atLeast"/>
        <w:jc w:val="both"/>
      </w:pPr>
      <w:r>
        <w:rPr>
          <w:b/>
          <w:bCs/>
        </w:rPr>
        <w:t>1. VISPĀRĒJA INFORMĀCIJA PAR UZRAUDZĪBAS KĀRTĪBU</w:t>
      </w:r>
    </w:p>
    <w:p w14:paraId="10632B50" w14:textId="77777777" w:rsidR="004C6ABD" w:rsidRDefault="004C6ABD" w:rsidP="00AD6501">
      <w:pPr>
        <w:spacing w:before="120" w:after="120" w:line="0" w:lineRule="atLeast"/>
      </w:pPr>
    </w:p>
    <w:p w14:paraId="49B511B2" w14:textId="7EEF180B" w:rsidR="004C6ABD" w:rsidRDefault="004C6ABD" w:rsidP="00AD6501">
      <w:pPr>
        <w:spacing w:before="120" w:after="120" w:line="0" w:lineRule="atLeast"/>
        <w:jc w:val="both"/>
      </w:pPr>
      <w:r>
        <w:t xml:space="preserve">Valsts pārvaldes iestāžu tīmekļvietņu piekļūstamības uzraudzība tiek veikta </w:t>
      </w:r>
      <w:r w:rsidR="00CE05FB">
        <w:t>savstarpēji papildinošās pieejās</w:t>
      </w:r>
      <w:r>
        <w:t>. Padziļinātajā izvērtēšanā eksperti manuāli pārbauda izlasē iekļautās tīmekļvietnes un mobilās lietotnes atbilstoši 50 standarta EN 301 549 (WCAG 2.1) A un AA līmeņa kritērijiem, ietverot arī lietotāju testus ar personām ar invaliditāti. Vienkāršotajā izvērtēšanā eksperti pārbauda plašāku tīmekļvietņu izlasi atbilstoši 11 piekļūstamības aspektiem un analizē iestāžu publicētos pašvērtējumus. Automatizētajā izvērtēšanā ar specializētu testēšanas rīku tiek aptvertas visas publiskā sektora tīmekļvietnes, pārbaudot 13 automatizēti verificējamus WCAG 2.1 kritērijus.</w:t>
      </w:r>
    </w:p>
    <w:p w14:paraId="14E5CD35" w14:textId="2A4339E7" w:rsidR="004C6ABD" w:rsidRDefault="004C6ABD" w:rsidP="00AD6501">
      <w:pPr>
        <w:spacing w:before="120" w:after="120" w:line="0" w:lineRule="atLeast"/>
        <w:jc w:val="both"/>
      </w:pPr>
      <w:r>
        <w:t xml:space="preserve">Padziļinātās un vienkāršotās izlases veido VARAM sadarbībā ar nevalstiskajām organizācijām, tostarp Latvijas Neredzīgo biedrību, </w:t>
      </w:r>
      <w:r w:rsidR="00CE05FB" w:rsidRPr="00CE05FB">
        <w:t>Latvijas Vājdzirdīgo atbalsta asociācij</w:t>
      </w:r>
      <w:r w:rsidR="00CE05FB">
        <w:t xml:space="preserve">u </w:t>
      </w:r>
      <w:r>
        <w:t xml:space="preserve"> "Sadzirdi.lv", </w:t>
      </w:r>
      <w:r w:rsidR="00CE05FB">
        <w:t>n</w:t>
      </w:r>
      <w:r w:rsidR="00CE05FB" w:rsidRPr="00CE05FB">
        <w:t>odibinājum</w:t>
      </w:r>
      <w:r w:rsidR="00CE05FB">
        <w:t>u</w:t>
      </w:r>
      <w:r w:rsidR="00CE05FB" w:rsidRPr="00CE05FB">
        <w:t xml:space="preserve"> “Invalīdu un viņu draugu apvienība “APEIRONS””</w:t>
      </w:r>
      <w:r w:rsidR="00CE05FB" w:rsidRPr="00CE05FB" w:rsidDel="00CE05FB">
        <w:t xml:space="preserve"> </w:t>
      </w:r>
      <w:r>
        <w:t xml:space="preserve">un </w:t>
      </w:r>
      <w:r w:rsidR="0082290C">
        <w:t>biedrību “</w:t>
      </w:r>
      <w:r>
        <w:t>Latvijas Pensionāru federācij</w:t>
      </w:r>
      <w:r w:rsidR="0082290C">
        <w:t>a</w:t>
      </w:r>
      <w:r w:rsidR="00DC7DB7">
        <w:t>”</w:t>
      </w:r>
      <w:r w:rsidR="00CE05FB">
        <w:t xml:space="preserve"> un </w:t>
      </w:r>
      <w:r w:rsidR="0082290C">
        <w:t xml:space="preserve">. </w:t>
      </w:r>
      <w:r>
        <w:t xml:space="preserve"> Kopumā konsultācijām tika piesaistītas 25 nevalstiskās organizācijas, kuras pārstāv sabiedrības grupas, kurām tīmekļvietņu piekļūstamība ir īpaši svarīga.</w:t>
      </w:r>
    </w:p>
    <w:p w14:paraId="4EFE22D3" w14:textId="0B80937A" w:rsidR="004C6ABD" w:rsidRDefault="004C6ABD" w:rsidP="00AD6501">
      <w:pPr>
        <w:spacing w:before="120" w:after="120" w:line="0" w:lineRule="atLeast"/>
        <w:jc w:val="both"/>
      </w:pPr>
      <w:r>
        <w:t xml:space="preserve">Katrai iestādei ir pienākums veikt savu tīmekļvietņu vienkāršoto pašvērtēšanu atbilstoši VARAM izstrādātajām vadlīnijām, kā arī publicēt un regulāri atjaunināt piekļūstamības paziņojumu un nodrošināt atgriezeniskās saites mehānismu lietotājiem ar invaliditāti. Normatīvā regulējuma ievērošanu uzrauga Latvijas Republikas Tiesībsargs, kuram ir piešķirta izpildes panākšanas funkcija šajā jomā, un personas, kurām iestāde nav apmierinošā termiņā atbildējusi uz piekļūstamības sūdzību, ir tiesīgas vērsties pie </w:t>
      </w:r>
      <w:r w:rsidR="0082290C">
        <w:t xml:space="preserve">Latvijas Republikas </w:t>
      </w:r>
      <w:r>
        <w:t>Tiesībsarga. Šī kārtība ir iestrādāta pašā piekļūstamības paziņojuma formā atbilstoši MK noteikumu Nr. 445 2. pielikumam.</w:t>
      </w:r>
    </w:p>
    <w:p w14:paraId="7F92D42E" w14:textId="77777777" w:rsidR="00781ED5" w:rsidRDefault="00781ED5" w:rsidP="00AD6501">
      <w:pPr>
        <w:spacing w:before="120" w:after="120" w:line="0" w:lineRule="atLeast"/>
        <w:jc w:val="both"/>
      </w:pPr>
    </w:p>
    <w:p w14:paraId="068AD7D1" w14:textId="77777777" w:rsidR="004C6ABD" w:rsidRDefault="004C6ABD" w:rsidP="00AD6501">
      <w:pPr>
        <w:spacing w:before="120" w:after="120" w:line="0" w:lineRule="atLeast"/>
        <w:jc w:val="both"/>
      </w:pPr>
      <w:r>
        <w:rPr>
          <w:b/>
          <w:bCs/>
        </w:rPr>
        <w:t>2. PIEKĻŪSTAMĪBAS IZVĒRTĒŠANAS PIEEJAS</w:t>
      </w:r>
    </w:p>
    <w:p w14:paraId="17861444" w14:textId="77777777" w:rsidR="004C6ABD" w:rsidRDefault="004C6ABD" w:rsidP="00AD6501">
      <w:pPr>
        <w:spacing w:before="120" w:after="120" w:line="0" w:lineRule="atLeast"/>
      </w:pPr>
    </w:p>
    <w:p w14:paraId="0DC4360B" w14:textId="77777777" w:rsidR="004C6ABD" w:rsidRDefault="004C6ABD" w:rsidP="00AD6501">
      <w:pPr>
        <w:spacing w:before="120" w:after="120" w:line="0" w:lineRule="atLeast"/>
        <w:jc w:val="both"/>
      </w:pPr>
      <w:r>
        <w:t>2025. gada uzraudzības ietvaros VARAM nodrošināja tīmekļvietņu un mobilo lietotņu piekļūstamības izvērtēšanu, apvienojot trīs savstarpēji papildinošas pieejas. 2025. gadā automatizētais izvērtējums pirmo reizi veikts gan darbvirsmas, gan mobilā skata simulācijā.</w:t>
      </w:r>
    </w:p>
    <w:p w14:paraId="3B5A0675" w14:textId="77777777" w:rsidR="004C6ABD" w:rsidRDefault="004C6ABD" w:rsidP="00AD6501">
      <w:pPr>
        <w:spacing w:before="120" w:after="120" w:line="0" w:lineRule="atLeast"/>
      </w:pPr>
    </w:p>
    <w:p w14:paraId="07B694C4" w14:textId="77777777" w:rsidR="004C6ABD" w:rsidRDefault="004C6ABD" w:rsidP="00AD6501">
      <w:pPr>
        <w:spacing w:before="120" w:after="120" w:line="0" w:lineRule="atLeast"/>
        <w:jc w:val="both"/>
      </w:pPr>
      <w:r>
        <w:rPr>
          <w:i/>
          <w:iCs/>
        </w:rPr>
        <w:t>1. tabula. Piekļūstamības izvērtēšanas pieejas 2025. gada uzraudzības ietvaros.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2600"/>
        <w:gridCol w:w="1800"/>
        <w:gridCol w:w="1626"/>
      </w:tblGrid>
      <w:tr w:rsidR="004C6ABD" w14:paraId="3A33E0C8" w14:textId="77777777" w:rsidTr="00727BAD">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tcPr>
          <w:p w14:paraId="0275EA04" w14:textId="77777777" w:rsidR="004C6ABD" w:rsidRDefault="004C6ABD" w:rsidP="00AD6501">
            <w:pPr>
              <w:spacing w:before="120" w:after="120" w:line="0" w:lineRule="atLeast"/>
              <w:jc w:val="both"/>
            </w:pPr>
            <w:r>
              <w:rPr>
                <w:b/>
                <w:bCs/>
              </w:rPr>
              <w:t>Izvērtēšanas pieeja</w:t>
            </w:r>
          </w:p>
        </w:tc>
        <w:tc>
          <w:tcPr>
            <w:tcW w:w="2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tcPr>
          <w:p w14:paraId="009F4185" w14:textId="77777777" w:rsidR="004C6ABD" w:rsidRDefault="004C6ABD" w:rsidP="00AD6501">
            <w:pPr>
              <w:spacing w:before="120" w:after="120" w:line="0" w:lineRule="atLeast"/>
              <w:jc w:val="both"/>
            </w:pPr>
            <w:r>
              <w:rPr>
                <w:b/>
                <w:bCs/>
              </w:rPr>
              <w:t>Skaits</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tcPr>
          <w:p w14:paraId="78A14948" w14:textId="77777777" w:rsidR="004C6ABD" w:rsidRDefault="004C6ABD" w:rsidP="00AD6501">
            <w:pPr>
              <w:spacing w:before="120" w:after="120" w:line="0" w:lineRule="atLeast"/>
              <w:jc w:val="both"/>
            </w:pPr>
            <w:r>
              <w:rPr>
                <w:b/>
                <w:bCs/>
              </w:rPr>
              <w:t>Lapas / ekrāni</w:t>
            </w:r>
          </w:p>
        </w:tc>
        <w:tc>
          <w:tcPr>
            <w:tcW w:w="162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tcPr>
          <w:p w14:paraId="5E85484F" w14:textId="77777777" w:rsidR="004C6ABD" w:rsidRDefault="004C6ABD" w:rsidP="00AD6501">
            <w:pPr>
              <w:spacing w:before="120" w:after="120" w:line="0" w:lineRule="atLeast"/>
              <w:jc w:val="both"/>
            </w:pPr>
            <w:r>
              <w:rPr>
                <w:b/>
                <w:bCs/>
              </w:rPr>
              <w:t>Kritēriji</w:t>
            </w:r>
          </w:p>
        </w:tc>
      </w:tr>
      <w:tr w:rsidR="004C6ABD" w14:paraId="1466CE3C" w14:textId="77777777" w:rsidTr="00727BAD">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432993" w14:textId="77777777" w:rsidR="004C6ABD" w:rsidRDefault="004C6ABD" w:rsidP="00AD6501">
            <w:pPr>
              <w:spacing w:before="120" w:after="120" w:line="0" w:lineRule="atLeast"/>
              <w:jc w:val="both"/>
            </w:pPr>
            <w:r>
              <w:t>Padziļinātais (tīmekļvietnes)</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29EF332" w14:textId="77777777" w:rsidR="004C6ABD" w:rsidRDefault="004C6ABD" w:rsidP="00AD6501">
            <w:pPr>
              <w:spacing w:before="120" w:after="120" w:line="0" w:lineRule="atLeast"/>
              <w:jc w:val="both"/>
            </w:pPr>
            <w:r>
              <w:t>17 tīmekļvietnes</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E4BCAC" w14:textId="77777777" w:rsidR="004C6ABD" w:rsidRDefault="004C6ABD" w:rsidP="00AD6501">
            <w:pPr>
              <w:spacing w:before="120" w:after="120" w:line="0" w:lineRule="atLeast"/>
              <w:jc w:val="both"/>
            </w:pPr>
            <w:r>
              <w:t>199 lapas</w:t>
            </w:r>
          </w:p>
        </w:tc>
        <w:tc>
          <w:tcPr>
            <w:tcW w:w="16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2707E6" w14:textId="77777777" w:rsidR="004C6ABD" w:rsidRDefault="004C6ABD" w:rsidP="00AD6501">
            <w:pPr>
              <w:spacing w:before="120" w:after="120" w:line="0" w:lineRule="atLeast"/>
              <w:jc w:val="both"/>
            </w:pPr>
            <w:r>
              <w:t>50 WCAG 2.1 A/AA</w:t>
            </w:r>
          </w:p>
        </w:tc>
      </w:tr>
      <w:tr w:rsidR="004C6ABD" w14:paraId="4896C531" w14:textId="77777777" w:rsidTr="00727BAD">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0298CE" w14:textId="77777777" w:rsidR="004C6ABD" w:rsidRDefault="004C6ABD" w:rsidP="00AD6501">
            <w:pPr>
              <w:spacing w:before="120" w:after="120" w:line="0" w:lineRule="atLeast"/>
              <w:jc w:val="both"/>
            </w:pPr>
            <w:r>
              <w:lastRenderedPageBreak/>
              <w:t>Padziļinātais (mobilās lietotnes)</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ACFBD7" w14:textId="77777777" w:rsidR="004C6ABD" w:rsidRDefault="004C6ABD" w:rsidP="00AD6501">
            <w:pPr>
              <w:spacing w:before="120" w:after="120" w:line="0" w:lineRule="atLeast"/>
              <w:jc w:val="both"/>
            </w:pPr>
            <w:r>
              <w:t>8 mobilās lietotnes</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463B41" w14:textId="77777777" w:rsidR="004C6ABD" w:rsidRDefault="004C6ABD" w:rsidP="00AD6501">
            <w:pPr>
              <w:spacing w:before="120" w:after="120" w:line="0" w:lineRule="atLeast"/>
              <w:jc w:val="both"/>
            </w:pPr>
            <w:r>
              <w:t>64 ekrāni</w:t>
            </w:r>
          </w:p>
        </w:tc>
        <w:tc>
          <w:tcPr>
            <w:tcW w:w="16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5BDF69" w14:textId="77777777" w:rsidR="004C6ABD" w:rsidRDefault="004C6ABD" w:rsidP="00AD6501">
            <w:pPr>
              <w:spacing w:before="120" w:after="120" w:line="0" w:lineRule="atLeast"/>
              <w:jc w:val="both"/>
            </w:pPr>
            <w:r>
              <w:t>50 WCAG 2.1 A/AA</w:t>
            </w:r>
          </w:p>
        </w:tc>
      </w:tr>
      <w:tr w:rsidR="004C6ABD" w14:paraId="02B7B079" w14:textId="77777777" w:rsidTr="00727BAD">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17C0FD" w14:textId="77777777" w:rsidR="004C6ABD" w:rsidRDefault="004C6ABD" w:rsidP="00AD6501">
            <w:pPr>
              <w:spacing w:before="120" w:after="120" w:line="0" w:lineRule="atLeast"/>
              <w:jc w:val="both"/>
            </w:pPr>
            <w:r>
              <w:t>Vienkāršotais</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53A219" w14:textId="77777777" w:rsidR="004C6ABD" w:rsidRDefault="004C6ABD" w:rsidP="00AD6501">
            <w:pPr>
              <w:spacing w:before="120" w:after="120" w:line="0" w:lineRule="atLeast"/>
              <w:jc w:val="both"/>
            </w:pPr>
            <w:r>
              <w:t>132 tīmekļvietnes</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7E5A0B" w14:textId="77777777" w:rsidR="004C6ABD" w:rsidRDefault="004C6ABD" w:rsidP="00AD6501">
            <w:pPr>
              <w:spacing w:before="120" w:after="120" w:line="0" w:lineRule="atLeast"/>
              <w:jc w:val="both"/>
            </w:pPr>
            <w:r>
              <w:t>660 lapas</w:t>
            </w:r>
          </w:p>
        </w:tc>
        <w:tc>
          <w:tcPr>
            <w:tcW w:w="16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514459" w14:textId="77777777" w:rsidR="004C6ABD" w:rsidRDefault="004C6ABD" w:rsidP="00AD6501">
            <w:pPr>
              <w:spacing w:before="120" w:after="120" w:line="0" w:lineRule="atLeast"/>
              <w:jc w:val="both"/>
            </w:pPr>
            <w:r>
              <w:t>11 aspekti</w:t>
            </w:r>
          </w:p>
        </w:tc>
      </w:tr>
      <w:tr w:rsidR="004C6ABD" w14:paraId="031461AE" w14:textId="77777777" w:rsidTr="00727BAD">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F9D6E4" w14:textId="77777777" w:rsidR="004C6ABD" w:rsidRDefault="004C6ABD" w:rsidP="00AD6501">
            <w:pPr>
              <w:spacing w:before="120" w:after="120" w:line="0" w:lineRule="atLeast"/>
              <w:jc w:val="both"/>
            </w:pPr>
            <w:r>
              <w:t>Automatizētais</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B5DDDD" w14:textId="77777777" w:rsidR="004C6ABD" w:rsidRDefault="004C6ABD" w:rsidP="00AD6501">
            <w:pPr>
              <w:spacing w:before="120" w:after="120" w:line="0" w:lineRule="atLeast"/>
              <w:jc w:val="both"/>
            </w:pPr>
            <w:r>
              <w:t>597 tīmekļvietnes</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0D2ED7" w14:textId="77777777" w:rsidR="004C6ABD" w:rsidRDefault="004C6ABD" w:rsidP="00AD6501">
            <w:pPr>
              <w:spacing w:before="120" w:after="120" w:line="0" w:lineRule="atLeast"/>
              <w:jc w:val="both"/>
            </w:pPr>
            <w:r>
              <w:t>11 940 lapas</w:t>
            </w:r>
          </w:p>
        </w:tc>
        <w:tc>
          <w:tcPr>
            <w:tcW w:w="16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CAD9DA" w14:textId="77777777" w:rsidR="004C6ABD" w:rsidRDefault="004C6ABD" w:rsidP="00AD6501">
            <w:pPr>
              <w:spacing w:before="120" w:after="120" w:line="0" w:lineRule="atLeast"/>
              <w:jc w:val="both"/>
            </w:pPr>
            <w:r>
              <w:t>13 WCAG 2.1 A/AA</w:t>
            </w:r>
          </w:p>
        </w:tc>
      </w:tr>
    </w:tbl>
    <w:p w14:paraId="3FF40FD3" w14:textId="77777777" w:rsidR="004C6ABD" w:rsidRDefault="004C6ABD" w:rsidP="00AD6501">
      <w:pPr>
        <w:spacing w:before="120" w:after="120" w:line="0" w:lineRule="atLeast"/>
      </w:pPr>
    </w:p>
    <w:p w14:paraId="110FF3AA" w14:textId="77777777" w:rsidR="004C6ABD" w:rsidRDefault="004C6ABD" w:rsidP="00AD6501">
      <w:pPr>
        <w:spacing w:before="120" w:after="120" w:line="0" w:lineRule="atLeast"/>
        <w:jc w:val="both"/>
      </w:pPr>
      <w:r>
        <w:t>Padziļinātajā izvērtēšanā ietilpa arī lietotāju testi ar četriem testētājiem ar redzes traucējumiem, kuri izmantoja ekrānlasītājus JAWS un NVDA un Braila displeju. Testi veikti laikposmā no 2025. gada decembra līdz 2026. gada martam.</w:t>
      </w:r>
    </w:p>
    <w:p w14:paraId="52418F96" w14:textId="77777777" w:rsidR="004C6ABD" w:rsidRDefault="004C6ABD" w:rsidP="00AD6501">
      <w:pPr>
        <w:spacing w:before="120" w:after="120" w:line="0" w:lineRule="atLeast"/>
        <w:jc w:val="both"/>
        <w:rPr>
          <w:b/>
          <w:bCs/>
        </w:rPr>
      </w:pPr>
    </w:p>
    <w:p w14:paraId="2C037B5A" w14:textId="2E501BA7" w:rsidR="004C6ABD" w:rsidRDefault="004C6ABD" w:rsidP="00AD6501">
      <w:pPr>
        <w:spacing w:before="120" w:after="120" w:line="0" w:lineRule="atLeast"/>
        <w:jc w:val="both"/>
        <w:rPr>
          <w:b/>
          <w:bCs/>
        </w:rPr>
      </w:pPr>
      <w:r>
        <w:rPr>
          <w:b/>
          <w:bCs/>
        </w:rPr>
        <w:t>3. UZRAUDZĪBAS REZULTĀTI UN TENDENCES</w:t>
      </w:r>
    </w:p>
    <w:p w14:paraId="491E6712" w14:textId="77777777" w:rsidR="00781ED5" w:rsidRDefault="00781ED5" w:rsidP="00AD6501">
      <w:pPr>
        <w:spacing w:before="120" w:after="120" w:line="0" w:lineRule="atLeast"/>
        <w:jc w:val="both"/>
      </w:pPr>
    </w:p>
    <w:p w14:paraId="1CA0072F" w14:textId="77777777" w:rsidR="004C6ABD" w:rsidRDefault="004C6ABD" w:rsidP="00AD6501">
      <w:pPr>
        <w:spacing w:before="120" w:after="120" w:line="0" w:lineRule="atLeast"/>
        <w:jc w:val="both"/>
      </w:pPr>
      <w:r>
        <w:rPr>
          <w:b/>
          <w:bCs/>
        </w:rPr>
        <w:t>3.1. Padziļinātais izvērtējums — tīmekļvietnes</w:t>
      </w:r>
    </w:p>
    <w:p w14:paraId="3BD32409" w14:textId="64CC1E85" w:rsidR="004C6ABD" w:rsidRDefault="004C6ABD" w:rsidP="00AD6501">
      <w:pPr>
        <w:spacing w:before="120" w:after="120" w:line="0" w:lineRule="atLeast"/>
        <w:jc w:val="both"/>
      </w:pPr>
      <w:r>
        <w:t>Padziļinātajā izvērtēšanā tika pārbaudītas 17 tīmekļvietnes, un katrā no tām konstatētas neatbilstības vismaz 9 no 50 WCAG 2.1 kritērijiem (mediāna — 17 neatbilstoši kritēriji). Neatbilstības konstatētas visos četros WCAG pamatprincipos. Salīdzinājumā ar 2024. gada padziļināto izvērtējumu uzlabojumi reģistrēti 26 no 50 kritērijiem. Vislielākais uzlabojums vērojams kritērijā 2.4.6. Virsraksti un birkas (neatbilstība samazinājusies no 59 % līdz 11,8 %).</w:t>
      </w:r>
    </w:p>
    <w:p w14:paraId="40A574AA" w14:textId="382E56FE" w:rsidR="004C6ABD" w:rsidRDefault="004C6ABD" w:rsidP="00AD6501">
      <w:pPr>
        <w:spacing w:before="120" w:after="120" w:line="0" w:lineRule="atLeast"/>
        <w:jc w:val="both"/>
      </w:pPr>
      <w:r>
        <w:t>Tomēr vairāki kritēriji ir izaicinošāki ilgtermiņā. Gan 2024., gan 2025. gadā 100 % neatbilstību saglabājās kritērijos 1.3.1. Informācija un saistības, 4.1.2. Nosaukums, loma, vērtība un 2.1.1. Tastatūra, kā arī 94,1 % kritērijā 2.4.4. Saites saturs. Šo kritēriju kontekstā neatbilstības ir saistītas ar padziļinātām izmaiņām koda struktūrā un interaktīvo elementu semantikā, ko nevar risināt tikai ar satura labojumiem — tās prasa izmaiņas pašā tīmekļvietnes izstrādes procesā.</w:t>
      </w:r>
    </w:p>
    <w:p w14:paraId="267970C8" w14:textId="77777777" w:rsidR="004C6ABD" w:rsidRDefault="004C6ABD" w:rsidP="00AD6501">
      <w:pPr>
        <w:spacing w:before="120" w:after="120" w:line="0" w:lineRule="atLeast"/>
        <w:jc w:val="both"/>
      </w:pPr>
      <w:r>
        <w:t>Funkcionālās veiktspējas analīze liecina, ka neatbilstības visvairāk ietekmē personas ar redzes traucējumiem (99,0 % lapu) un personas ar kognitīviem traucējumiem (96,5 % lapu). Detalizēti 2025. gada rezultāti pieejami VARAM tīmekļvietnē publicētajā ekspertu ziņojumā.⁷</w:t>
      </w:r>
    </w:p>
    <w:p w14:paraId="7E5ED218" w14:textId="77777777" w:rsidR="00781ED5" w:rsidRDefault="00781ED5" w:rsidP="00AD6501">
      <w:pPr>
        <w:spacing w:before="120" w:after="120" w:line="0" w:lineRule="atLeast"/>
        <w:jc w:val="both"/>
      </w:pPr>
    </w:p>
    <w:p w14:paraId="1BE86606" w14:textId="77777777" w:rsidR="004C6ABD" w:rsidRDefault="004C6ABD" w:rsidP="00AD6501">
      <w:pPr>
        <w:spacing w:before="120" w:after="120" w:line="0" w:lineRule="atLeast"/>
        <w:jc w:val="both"/>
      </w:pPr>
      <w:r>
        <w:rPr>
          <w:b/>
          <w:bCs/>
        </w:rPr>
        <w:t>3.2. Padziļinātais izvērtējums — mobilās lietotnes</w:t>
      </w:r>
    </w:p>
    <w:p w14:paraId="3D9EC4F4" w14:textId="77777777" w:rsidR="004C6ABD" w:rsidRDefault="004C6ABD" w:rsidP="00AD6501">
      <w:pPr>
        <w:spacing w:before="120" w:after="120" w:line="0" w:lineRule="atLeast"/>
        <w:jc w:val="both"/>
      </w:pPr>
      <w:r>
        <w:t>Astoņu mobilo lietotņu padziļinātajā izvērtēšanā katrā no tām konstatētas neatbilstības vismaz 7 kritērijiem (mediāna — 10,5). Mobilajās lietotnēs piekļūstamība kopumā ir zemāka nekā tīmekļvietnēs: lietotāju testu scenāriju izpildes rādītājs mobilajām lietotnēm bija 43,8 %, tīmekļvietnēm — 75,0 %. Mobilajām lietotnēm raksturīgas atsevišķas neatbilstības, kas tīmekļvietnēm nav tipiskas: ekrāna orientācijas ierobežojumi (1.3.4. — 90,6 % ekrānu) un sistēmas teksta palielināšanas neatbalstīšana (1.4.4. — 82,8 % ekrānu).</w:t>
      </w:r>
    </w:p>
    <w:p w14:paraId="0EF69724" w14:textId="77777777" w:rsidR="004C6ABD" w:rsidRDefault="004C6ABD" w:rsidP="00AD6501">
      <w:pPr>
        <w:spacing w:before="120" w:after="120" w:line="0" w:lineRule="atLeast"/>
      </w:pPr>
    </w:p>
    <w:p w14:paraId="2510F308" w14:textId="77777777" w:rsidR="004C6ABD" w:rsidRDefault="004C6ABD" w:rsidP="00AD6501">
      <w:pPr>
        <w:spacing w:before="120" w:after="120" w:line="0" w:lineRule="atLeast"/>
        <w:jc w:val="both"/>
      </w:pPr>
      <w:r>
        <w:rPr>
          <w:b/>
          <w:bCs/>
        </w:rPr>
        <w:t>3.3. Vienkāršotais izvērtējums — salīdzinājums ar 2024. gadu</w:t>
      </w:r>
    </w:p>
    <w:p w14:paraId="1648412A" w14:textId="77777777" w:rsidR="004C6ABD" w:rsidRDefault="004C6ABD" w:rsidP="00AD6501">
      <w:pPr>
        <w:spacing w:before="120" w:after="120" w:line="0" w:lineRule="atLeast"/>
        <w:jc w:val="both"/>
      </w:pPr>
      <w:r>
        <w:lastRenderedPageBreak/>
        <w:t>Vienkāršotajā izvērtēšanā visās 132 izvērtētajās tīmekļvietnēs konstatēta vismaz viena neatbilstība. Salīdzinājumā ar 2024. gadu uzlabojumi vērojami vairākos kritērijos, kas apkopoti 2. tabulā:</w:t>
      </w:r>
    </w:p>
    <w:p w14:paraId="6CF8B821" w14:textId="77777777" w:rsidR="004C6ABD" w:rsidRDefault="004C6ABD" w:rsidP="00AD6501">
      <w:pPr>
        <w:spacing w:before="120" w:after="120" w:line="0" w:lineRule="atLeast"/>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39"/>
        <w:gridCol w:w="1285"/>
        <w:gridCol w:w="1285"/>
        <w:gridCol w:w="3117"/>
      </w:tblGrid>
      <w:tr w:rsidR="004C6ABD" w14:paraId="1A5B8FCC" w14:textId="77777777" w:rsidTr="00727BAD">
        <w:tc>
          <w:tcPr>
            <w:tcW w:w="26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1CBCBBF5" w14:textId="77777777" w:rsidR="004C6ABD" w:rsidRDefault="004C6ABD" w:rsidP="00AD6501">
            <w:pPr>
              <w:spacing w:before="120" w:after="120" w:line="0" w:lineRule="atLeast"/>
            </w:pPr>
            <w:r>
              <w:rPr>
                <w:b/>
                <w:bCs/>
              </w:rPr>
              <w:t>Kritērijs</w:t>
            </w:r>
          </w:p>
        </w:tc>
        <w:tc>
          <w:tcPr>
            <w:tcW w:w="1000" w:type="dxa"/>
            <w:tcBorders>
              <w:top w:val="single" w:sz="4" w:space="0" w:color="000000"/>
              <w:left w:val="single" w:sz="4" w:space="0" w:color="000000"/>
              <w:bottom w:val="single" w:sz="4" w:space="0" w:color="000000"/>
              <w:right w:val="single" w:sz="4" w:space="0" w:color="000000"/>
            </w:tcBorders>
            <w:shd w:val="clear" w:color="auto" w:fill="AAAAAA"/>
            <w:tcMar>
              <w:top w:w="60" w:type="dxa"/>
              <w:left w:w="100" w:type="dxa"/>
              <w:bottom w:w="60" w:type="dxa"/>
              <w:right w:w="100" w:type="dxa"/>
            </w:tcMar>
          </w:tcPr>
          <w:p w14:paraId="0F83641F" w14:textId="77777777" w:rsidR="004C6ABD" w:rsidRDefault="004C6ABD" w:rsidP="00AD6501">
            <w:pPr>
              <w:spacing w:before="120" w:after="120" w:line="0" w:lineRule="atLeast"/>
              <w:jc w:val="center"/>
            </w:pPr>
            <w:r>
              <w:rPr>
                <w:b/>
                <w:bCs/>
              </w:rPr>
              <w:t>2024.</w:t>
            </w:r>
          </w:p>
        </w:tc>
        <w:tc>
          <w:tcPr>
            <w:tcW w:w="1000" w:type="dxa"/>
            <w:tcBorders>
              <w:top w:val="single" w:sz="4" w:space="0" w:color="000000"/>
              <w:left w:val="single" w:sz="4" w:space="0" w:color="000000"/>
              <w:bottom w:val="single" w:sz="4" w:space="0" w:color="000000"/>
              <w:right w:val="single" w:sz="4" w:space="0" w:color="000000"/>
            </w:tcBorders>
            <w:shd w:val="clear" w:color="auto" w:fill="2E75B6"/>
            <w:tcMar>
              <w:top w:w="60" w:type="dxa"/>
              <w:left w:w="100" w:type="dxa"/>
              <w:bottom w:w="60" w:type="dxa"/>
              <w:right w:w="100" w:type="dxa"/>
            </w:tcMar>
          </w:tcPr>
          <w:p w14:paraId="3EA4C2FE" w14:textId="77777777" w:rsidR="004C6ABD" w:rsidRDefault="004C6ABD" w:rsidP="00AD6501">
            <w:pPr>
              <w:spacing w:before="120" w:after="120" w:line="0" w:lineRule="atLeast"/>
              <w:jc w:val="center"/>
            </w:pPr>
            <w:r>
              <w:rPr>
                <w:b/>
                <w:bCs/>
                <w:color w:val="FFFFFF"/>
              </w:rPr>
              <w:t>2025.</w:t>
            </w:r>
          </w:p>
        </w:tc>
        <w:tc>
          <w:tcPr>
            <w:tcW w:w="2426"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1D959EC" w14:textId="77777777" w:rsidR="004C6ABD" w:rsidRDefault="004C6ABD" w:rsidP="00AD6501">
            <w:pPr>
              <w:spacing w:before="120" w:after="120" w:line="0" w:lineRule="atLeast"/>
            </w:pPr>
            <w:r>
              <w:rPr>
                <w:b/>
                <w:bCs/>
              </w:rPr>
              <w:t>Izmaiņas (%)</w:t>
            </w:r>
          </w:p>
        </w:tc>
      </w:tr>
      <w:tr w:rsidR="004C6ABD" w14:paraId="07704A13" w14:textId="77777777" w:rsidTr="00727BAD">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A84F83" w14:textId="77777777" w:rsidR="004C6ABD" w:rsidRDefault="004C6ABD" w:rsidP="00AD6501">
            <w:pPr>
              <w:spacing w:before="120" w:after="120" w:line="0" w:lineRule="atLeast"/>
            </w:pPr>
            <w:r>
              <w:t>Alternatīvie teksti attēliem</w:t>
            </w:r>
          </w:p>
        </w:tc>
        <w:tc>
          <w:tcPr>
            <w:tcW w:w="1000" w:type="dxa"/>
            <w:tcBorders>
              <w:top w:val="single" w:sz="4" w:space="0" w:color="000000"/>
              <w:left w:val="single" w:sz="4" w:space="0" w:color="000000"/>
              <w:bottom w:val="single" w:sz="4" w:space="0" w:color="000000"/>
              <w:right w:val="single" w:sz="4" w:space="0" w:color="000000"/>
            </w:tcBorders>
            <w:shd w:val="clear" w:color="auto" w:fill="DDDDDD"/>
            <w:tcMar>
              <w:top w:w="60" w:type="dxa"/>
              <w:left w:w="100" w:type="dxa"/>
              <w:bottom w:w="60" w:type="dxa"/>
              <w:right w:w="100" w:type="dxa"/>
            </w:tcMar>
          </w:tcPr>
          <w:p w14:paraId="64FF3C97" w14:textId="77777777" w:rsidR="004C6ABD" w:rsidRDefault="004C6ABD" w:rsidP="00AD6501">
            <w:pPr>
              <w:spacing w:before="120" w:after="120" w:line="0" w:lineRule="atLeast"/>
              <w:jc w:val="center"/>
            </w:pPr>
            <w:r>
              <w:t>90%</w:t>
            </w:r>
          </w:p>
        </w:tc>
        <w:tc>
          <w:tcPr>
            <w:tcW w:w="1000" w:type="dxa"/>
            <w:tcBorders>
              <w:top w:val="single" w:sz="4" w:space="0" w:color="000000"/>
              <w:left w:val="single" w:sz="4" w:space="0" w:color="000000"/>
              <w:bottom w:val="single" w:sz="4" w:space="0" w:color="000000"/>
              <w:right w:val="single" w:sz="4" w:space="0" w:color="000000"/>
            </w:tcBorders>
            <w:shd w:val="clear" w:color="auto" w:fill="D6E4F0"/>
            <w:tcMar>
              <w:top w:w="60" w:type="dxa"/>
              <w:left w:w="100" w:type="dxa"/>
              <w:bottom w:w="60" w:type="dxa"/>
              <w:right w:w="100" w:type="dxa"/>
            </w:tcMar>
          </w:tcPr>
          <w:p w14:paraId="2EC44B31" w14:textId="77777777" w:rsidR="004C6ABD" w:rsidRDefault="004C6ABD" w:rsidP="00AD6501">
            <w:pPr>
              <w:spacing w:before="120" w:after="120" w:line="0" w:lineRule="atLeast"/>
              <w:jc w:val="center"/>
            </w:pPr>
            <w:r>
              <w:rPr>
                <w:b/>
                <w:bCs/>
              </w:rPr>
              <w:t>56%</w:t>
            </w:r>
          </w:p>
        </w:tc>
        <w:tc>
          <w:tcPr>
            <w:tcW w:w="24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856494" w14:textId="701116BA" w:rsidR="004C6ABD" w:rsidRDefault="00CE05FB" w:rsidP="00AD6501">
            <w:pPr>
              <w:spacing w:before="120" w:after="120" w:line="0" w:lineRule="atLeast"/>
            </w:pPr>
            <w:r>
              <w:rPr>
                <w:color w:val="217346"/>
              </w:rPr>
              <w:t>▲</w:t>
            </w:r>
            <w:r w:rsidR="004C6ABD">
              <w:rPr>
                <w:color w:val="217346"/>
              </w:rPr>
              <w:t xml:space="preserve"> uzlabojums</w:t>
            </w:r>
          </w:p>
        </w:tc>
      </w:tr>
      <w:tr w:rsidR="004C6ABD" w14:paraId="22CDD949" w14:textId="77777777" w:rsidTr="00727BAD">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D6793D" w14:textId="77777777" w:rsidR="004C6ABD" w:rsidRDefault="004C6ABD" w:rsidP="00AD6501">
            <w:pPr>
              <w:spacing w:before="120" w:after="120" w:line="0" w:lineRule="atLeast"/>
            </w:pPr>
            <w:r>
              <w:t>Virsrakstu struktūra</w:t>
            </w:r>
          </w:p>
        </w:tc>
        <w:tc>
          <w:tcPr>
            <w:tcW w:w="1000" w:type="dxa"/>
            <w:tcBorders>
              <w:top w:val="single" w:sz="4" w:space="0" w:color="000000"/>
              <w:left w:val="single" w:sz="4" w:space="0" w:color="000000"/>
              <w:bottom w:val="single" w:sz="4" w:space="0" w:color="000000"/>
              <w:right w:val="single" w:sz="4" w:space="0" w:color="000000"/>
            </w:tcBorders>
            <w:shd w:val="clear" w:color="auto" w:fill="DDDDDD"/>
            <w:tcMar>
              <w:top w:w="60" w:type="dxa"/>
              <w:left w:w="100" w:type="dxa"/>
              <w:bottom w:w="60" w:type="dxa"/>
              <w:right w:w="100" w:type="dxa"/>
            </w:tcMar>
          </w:tcPr>
          <w:p w14:paraId="33F61E29" w14:textId="77777777" w:rsidR="004C6ABD" w:rsidRDefault="004C6ABD" w:rsidP="00AD6501">
            <w:pPr>
              <w:spacing w:before="120" w:after="120" w:line="0" w:lineRule="atLeast"/>
              <w:jc w:val="center"/>
            </w:pPr>
            <w:r>
              <w:t>88%</w:t>
            </w:r>
          </w:p>
        </w:tc>
        <w:tc>
          <w:tcPr>
            <w:tcW w:w="1000" w:type="dxa"/>
            <w:tcBorders>
              <w:top w:val="single" w:sz="4" w:space="0" w:color="000000"/>
              <w:left w:val="single" w:sz="4" w:space="0" w:color="000000"/>
              <w:bottom w:val="single" w:sz="4" w:space="0" w:color="000000"/>
              <w:right w:val="single" w:sz="4" w:space="0" w:color="000000"/>
            </w:tcBorders>
            <w:shd w:val="clear" w:color="auto" w:fill="D6E4F0"/>
            <w:tcMar>
              <w:top w:w="60" w:type="dxa"/>
              <w:left w:w="100" w:type="dxa"/>
              <w:bottom w:w="60" w:type="dxa"/>
              <w:right w:w="100" w:type="dxa"/>
            </w:tcMar>
          </w:tcPr>
          <w:p w14:paraId="03EFCE42" w14:textId="77777777" w:rsidR="004C6ABD" w:rsidRDefault="004C6ABD" w:rsidP="00AD6501">
            <w:pPr>
              <w:spacing w:before="120" w:after="120" w:line="0" w:lineRule="atLeast"/>
              <w:jc w:val="center"/>
            </w:pPr>
            <w:r>
              <w:rPr>
                <w:b/>
                <w:bCs/>
              </w:rPr>
              <w:t>84%</w:t>
            </w:r>
          </w:p>
        </w:tc>
        <w:tc>
          <w:tcPr>
            <w:tcW w:w="24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C878C5" w14:textId="5AA1C62B" w:rsidR="004C6ABD" w:rsidRDefault="00CE05FB" w:rsidP="00AD6501">
            <w:pPr>
              <w:spacing w:before="120" w:after="120" w:line="0" w:lineRule="atLeast"/>
            </w:pPr>
            <w:r>
              <w:rPr>
                <w:color w:val="217346"/>
              </w:rPr>
              <w:t>▲</w:t>
            </w:r>
            <w:r w:rsidR="004C6ABD">
              <w:rPr>
                <w:color w:val="217346"/>
              </w:rPr>
              <w:t xml:space="preserve"> uzlabojums</w:t>
            </w:r>
          </w:p>
        </w:tc>
      </w:tr>
      <w:tr w:rsidR="004C6ABD" w14:paraId="37D54FE6" w14:textId="77777777" w:rsidTr="00727BAD">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159671" w14:textId="77777777" w:rsidR="004C6ABD" w:rsidRDefault="004C6ABD" w:rsidP="00AD6501">
            <w:pPr>
              <w:spacing w:before="120" w:after="120" w:line="0" w:lineRule="atLeast"/>
            </w:pPr>
            <w:r>
              <w:t>Tastatūras piekļuve</w:t>
            </w:r>
          </w:p>
        </w:tc>
        <w:tc>
          <w:tcPr>
            <w:tcW w:w="1000" w:type="dxa"/>
            <w:tcBorders>
              <w:top w:val="single" w:sz="4" w:space="0" w:color="000000"/>
              <w:left w:val="single" w:sz="4" w:space="0" w:color="000000"/>
              <w:bottom w:val="single" w:sz="4" w:space="0" w:color="000000"/>
              <w:right w:val="single" w:sz="4" w:space="0" w:color="000000"/>
            </w:tcBorders>
            <w:shd w:val="clear" w:color="auto" w:fill="DDDDDD"/>
            <w:tcMar>
              <w:top w:w="60" w:type="dxa"/>
              <w:left w:w="100" w:type="dxa"/>
              <w:bottom w:w="60" w:type="dxa"/>
              <w:right w:w="100" w:type="dxa"/>
            </w:tcMar>
          </w:tcPr>
          <w:p w14:paraId="2D394D7C" w14:textId="77777777" w:rsidR="004C6ABD" w:rsidRDefault="004C6ABD" w:rsidP="00AD6501">
            <w:pPr>
              <w:spacing w:before="120" w:after="120" w:line="0" w:lineRule="atLeast"/>
              <w:jc w:val="center"/>
            </w:pPr>
            <w:r>
              <w:t>80%</w:t>
            </w:r>
          </w:p>
        </w:tc>
        <w:tc>
          <w:tcPr>
            <w:tcW w:w="1000" w:type="dxa"/>
            <w:tcBorders>
              <w:top w:val="single" w:sz="4" w:space="0" w:color="000000"/>
              <w:left w:val="single" w:sz="4" w:space="0" w:color="000000"/>
              <w:bottom w:val="single" w:sz="4" w:space="0" w:color="000000"/>
              <w:right w:val="single" w:sz="4" w:space="0" w:color="000000"/>
            </w:tcBorders>
            <w:shd w:val="clear" w:color="auto" w:fill="D6E4F0"/>
            <w:tcMar>
              <w:top w:w="60" w:type="dxa"/>
              <w:left w:w="100" w:type="dxa"/>
              <w:bottom w:w="60" w:type="dxa"/>
              <w:right w:w="100" w:type="dxa"/>
            </w:tcMar>
          </w:tcPr>
          <w:p w14:paraId="0A5E5F1F" w14:textId="77777777" w:rsidR="004C6ABD" w:rsidRDefault="004C6ABD" w:rsidP="00AD6501">
            <w:pPr>
              <w:spacing w:before="120" w:after="120" w:line="0" w:lineRule="atLeast"/>
              <w:jc w:val="center"/>
            </w:pPr>
            <w:r>
              <w:rPr>
                <w:b/>
                <w:bCs/>
              </w:rPr>
              <w:t>50%</w:t>
            </w:r>
          </w:p>
        </w:tc>
        <w:tc>
          <w:tcPr>
            <w:tcW w:w="24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73F044" w14:textId="0B3C4F58" w:rsidR="004C6ABD" w:rsidRDefault="00CE05FB" w:rsidP="00AD6501">
            <w:pPr>
              <w:spacing w:before="120" w:after="120" w:line="0" w:lineRule="atLeast"/>
            </w:pPr>
            <w:r>
              <w:rPr>
                <w:color w:val="217346"/>
              </w:rPr>
              <w:t>▲</w:t>
            </w:r>
            <w:r w:rsidR="004C6ABD">
              <w:rPr>
                <w:color w:val="217346"/>
              </w:rPr>
              <w:t xml:space="preserve"> uzlabojums</w:t>
            </w:r>
          </w:p>
        </w:tc>
      </w:tr>
      <w:tr w:rsidR="004C6ABD" w14:paraId="5413B806" w14:textId="77777777" w:rsidTr="00727BAD">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66F350" w14:textId="77777777" w:rsidR="004C6ABD" w:rsidRDefault="004C6ABD" w:rsidP="00AD6501">
            <w:pPr>
              <w:spacing w:before="120" w:after="120" w:line="0" w:lineRule="atLeast"/>
            </w:pPr>
            <w:r>
              <w:t>Galvenā navigācija</w:t>
            </w:r>
          </w:p>
        </w:tc>
        <w:tc>
          <w:tcPr>
            <w:tcW w:w="1000" w:type="dxa"/>
            <w:tcBorders>
              <w:top w:val="single" w:sz="4" w:space="0" w:color="000000"/>
              <w:left w:val="single" w:sz="4" w:space="0" w:color="000000"/>
              <w:bottom w:val="single" w:sz="4" w:space="0" w:color="000000"/>
              <w:right w:val="single" w:sz="4" w:space="0" w:color="000000"/>
            </w:tcBorders>
            <w:shd w:val="clear" w:color="auto" w:fill="DDDDDD"/>
            <w:tcMar>
              <w:top w:w="60" w:type="dxa"/>
              <w:left w:w="100" w:type="dxa"/>
              <w:bottom w:w="60" w:type="dxa"/>
              <w:right w:w="100" w:type="dxa"/>
            </w:tcMar>
          </w:tcPr>
          <w:p w14:paraId="419105DA" w14:textId="77777777" w:rsidR="004C6ABD" w:rsidRDefault="004C6ABD" w:rsidP="00AD6501">
            <w:pPr>
              <w:spacing w:before="120" w:after="120" w:line="0" w:lineRule="atLeast"/>
              <w:jc w:val="center"/>
            </w:pPr>
            <w:r>
              <w:t>76%</w:t>
            </w:r>
          </w:p>
        </w:tc>
        <w:tc>
          <w:tcPr>
            <w:tcW w:w="1000" w:type="dxa"/>
            <w:tcBorders>
              <w:top w:val="single" w:sz="4" w:space="0" w:color="000000"/>
              <w:left w:val="single" w:sz="4" w:space="0" w:color="000000"/>
              <w:bottom w:val="single" w:sz="4" w:space="0" w:color="000000"/>
              <w:right w:val="single" w:sz="4" w:space="0" w:color="000000"/>
            </w:tcBorders>
            <w:shd w:val="clear" w:color="auto" w:fill="D6E4F0"/>
            <w:tcMar>
              <w:top w:w="60" w:type="dxa"/>
              <w:left w:w="100" w:type="dxa"/>
              <w:bottom w:w="60" w:type="dxa"/>
              <w:right w:w="100" w:type="dxa"/>
            </w:tcMar>
          </w:tcPr>
          <w:p w14:paraId="739A421A" w14:textId="77777777" w:rsidR="004C6ABD" w:rsidRDefault="004C6ABD" w:rsidP="00AD6501">
            <w:pPr>
              <w:spacing w:before="120" w:after="120" w:line="0" w:lineRule="atLeast"/>
              <w:jc w:val="center"/>
            </w:pPr>
            <w:r>
              <w:rPr>
                <w:b/>
                <w:bCs/>
              </w:rPr>
              <w:t>16%</w:t>
            </w:r>
          </w:p>
        </w:tc>
        <w:tc>
          <w:tcPr>
            <w:tcW w:w="24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FE6CB57" w14:textId="23BC8FC7" w:rsidR="004C6ABD" w:rsidRDefault="00CE05FB" w:rsidP="00AD6501">
            <w:pPr>
              <w:spacing w:before="120" w:after="120" w:line="0" w:lineRule="atLeast"/>
            </w:pPr>
            <w:r>
              <w:rPr>
                <w:color w:val="217346"/>
              </w:rPr>
              <w:t>▲</w:t>
            </w:r>
            <w:r w:rsidR="004C6ABD">
              <w:rPr>
                <w:color w:val="217346"/>
              </w:rPr>
              <w:t xml:space="preserve"> uzlabojums</w:t>
            </w:r>
          </w:p>
        </w:tc>
      </w:tr>
      <w:tr w:rsidR="004C6ABD" w14:paraId="73FD2CF7" w14:textId="77777777" w:rsidTr="00727BAD">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879BEB" w14:textId="77777777" w:rsidR="004C6ABD" w:rsidRDefault="004C6ABD" w:rsidP="00AD6501">
            <w:pPr>
              <w:spacing w:before="120" w:after="120" w:line="0" w:lineRule="atLeast"/>
            </w:pPr>
            <w:r>
              <w:t>Krāsu kontrasti</w:t>
            </w:r>
          </w:p>
        </w:tc>
        <w:tc>
          <w:tcPr>
            <w:tcW w:w="1000" w:type="dxa"/>
            <w:tcBorders>
              <w:top w:val="single" w:sz="4" w:space="0" w:color="000000"/>
              <w:left w:val="single" w:sz="4" w:space="0" w:color="000000"/>
              <w:bottom w:val="single" w:sz="4" w:space="0" w:color="000000"/>
              <w:right w:val="single" w:sz="4" w:space="0" w:color="000000"/>
            </w:tcBorders>
            <w:shd w:val="clear" w:color="auto" w:fill="DDDDDD"/>
            <w:tcMar>
              <w:top w:w="60" w:type="dxa"/>
              <w:left w:w="100" w:type="dxa"/>
              <w:bottom w:w="60" w:type="dxa"/>
              <w:right w:w="100" w:type="dxa"/>
            </w:tcMar>
          </w:tcPr>
          <w:p w14:paraId="547542C3" w14:textId="77777777" w:rsidR="004C6ABD" w:rsidRDefault="004C6ABD" w:rsidP="00AD6501">
            <w:pPr>
              <w:spacing w:before="120" w:after="120" w:line="0" w:lineRule="atLeast"/>
              <w:jc w:val="center"/>
            </w:pPr>
            <w:r>
              <w:t>73%</w:t>
            </w:r>
          </w:p>
        </w:tc>
        <w:tc>
          <w:tcPr>
            <w:tcW w:w="1000" w:type="dxa"/>
            <w:tcBorders>
              <w:top w:val="single" w:sz="4" w:space="0" w:color="000000"/>
              <w:left w:val="single" w:sz="4" w:space="0" w:color="000000"/>
              <w:bottom w:val="single" w:sz="4" w:space="0" w:color="000000"/>
              <w:right w:val="single" w:sz="4" w:space="0" w:color="000000"/>
            </w:tcBorders>
            <w:shd w:val="clear" w:color="auto" w:fill="D6E4F0"/>
            <w:tcMar>
              <w:top w:w="60" w:type="dxa"/>
              <w:left w:w="100" w:type="dxa"/>
              <w:bottom w:w="60" w:type="dxa"/>
              <w:right w:w="100" w:type="dxa"/>
            </w:tcMar>
          </w:tcPr>
          <w:p w14:paraId="318F1C1E" w14:textId="77777777" w:rsidR="004C6ABD" w:rsidRDefault="004C6ABD" w:rsidP="00AD6501">
            <w:pPr>
              <w:spacing w:before="120" w:after="120" w:line="0" w:lineRule="atLeast"/>
              <w:jc w:val="center"/>
            </w:pPr>
            <w:r>
              <w:rPr>
                <w:b/>
                <w:bCs/>
              </w:rPr>
              <w:t>57%</w:t>
            </w:r>
          </w:p>
        </w:tc>
        <w:tc>
          <w:tcPr>
            <w:tcW w:w="24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36663E" w14:textId="13E49099" w:rsidR="004C6ABD" w:rsidRDefault="00CE05FB" w:rsidP="00AD6501">
            <w:pPr>
              <w:spacing w:before="120" w:after="120" w:line="0" w:lineRule="atLeast"/>
            </w:pPr>
            <w:r>
              <w:rPr>
                <w:color w:val="217346"/>
              </w:rPr>
              <w:t>▲</w:t>
            </w:r>
            <w:r w:rsidR="004C6ABD">
              <w:rPr>
                <w:color w:val="217346"/>
              </w:rPr>
              <w:t xml:space="preserve"> uzlabojums</w:t>
            </w:r>
          </w:p>
        </w:tc>
      </w:tr>
    </w:tbl>
    <w:p w14:paraId="52B2F4C5" w14:textId="77777777" w:rsidR="004C6ABD" w:rsidRDefault="004C6ABD" w:rsidP="00AD6501">
      <w:pPr>
        <w:spacing w:before="120" w:after="120" w:line="0" w:lineRule="atLeast"/>
      </w:pPr>
    </w:p>
    <w:p w14:paraId="3664F8EB" w14:textId="10D359C9" w:rsidR="004C6ABD" w:rsidRDefault="004C6ABD" w:rsidP="00AD6501">
      <w:pPr>
        <w:spacing w:before="120" w:after="120" w:line="0" w:lineRule="atLeast"/>
        <w:jc w:val="both"/>
      </w:pPr>
      <w:r>
        <w:rPr>
          <w:i/>
          <w:iCs/>
        </w:rPr>
        <w:t>2. tabula. Neatbilstību procentuālais īpatsvars vienkāršotajā izvērtēšanā 2024. un 2025. gadā (avots: VARAM uzraudzības dati</w:t>
      </w:r>
      <w:r w:rsidR="00593D02">
        <w:rPr>
          <w:rStyle w:val="FootnoteReference"/>
          <w:i/>
          <w:iCs/>
        </w:rPr>
        <w:footnoteReference w:id="7"/>
      </w:r>
      <w:r>
        <w:rPr>
          <w:i/>
          <w:iCs/>
        </w:rPr>
        <w:t xml:space="preserve">). </w:t>
      </w:r>
      <w:r w:rsidR="00CE05FB">
        <w:rPr>
          <w:i/>
          <w:iCs/>
        </w:rPr>
        <w:t>▲</w:t>
      </w:r>
      <w:r>
        <w:rPr>
          <w:i/>
          <w:iCs/>
        </w:rPr>
        <w:t xml:space="preserve"> norāda neatbilstību samazinājumu (uzlabojumu).</w:t>
      </w:r>
    </w:p>
    <w:p w14:paraId="5AAE108F" w14:textId="77777777" w:rsidR="004C6ABD" w:rsidRDefault="004C6ABD" w:rsidP="00AD6501">
      <w:pPr>
        <w:spacing w:before="120" w:after="120" w:line="0" w:lineRule="atLeast"/>
      </w:pPr>
    </w:p>
    <w:p w14:paraId="31CBB03F" w14:textId="4D0B6F4E" w:rsidR="004C6ABD" w:rsidRDefault="004C6ABD" w:rsidP="00AD6501">
      <w:pPr>
        <w:spacing w:before="120" w:after="120" w:line="0" w:lineRule="atLeast"/>
        <w:jc w:val="both"/>
      </w:pPr>
      <w:r>
        <w:t>Atsevišķi kritēriji, piemēram, galvenā navigācija, uzrāda būtisku progresu. Virsrakstu struktūra uzlabojas lēnāk, kas atspoguļo nepieciešamību pēc iestāžu satura veidošanas prakses pilnveides.</w:t>
      </w:r>
    </w:p>
    <w:p w14:paraId="0823E563" w14:textId="70FEC4F1" w:rsidR="004C6ABD" w:rsidRDefault="004C6ABD" w:rsidP="00AD6501">
      <w:pPr>
        <w:spacing w:before="120" w:after="120" w:line="0" w:lineRule="atLeast"/>
        <w:jc w:val="both"/>
      </w:pPr>
      <w:r>
        <w:t>Iestāžu patstāvīgie pašvērtējumi sniedz būtisku ieguldījumu uzraudzībā, taču salīdzinājums ar ekspertu datiem parāda, ka atsevišķos kritērijos novērtējumu starpība ir ievērojama. Piemēram, attēlu alternatīvo tekstu problēmas eksperti 2024. gadā konstatēja 90 % vietņu, savukārt pašvērtējumos šajā gadā fiksētas 34 % neatbilstības; virsrakstu struktūrā — attiecīgi 88 % un 22 %. Šādas atšķirības galvenokārt skaidrojamas ar to, ka WCAG 2.1 kritēriju pilna apjoma pārbaude prasa specializētu zināšanu apguvi, kuru iestādes pilnveido pakāpeniski.</w:t>
      </w:r>
    </w:p>
    <w:p w14:paraId="6BDC24A9" w14:textId="77777777" w:rsidR="00073433" w:rsidRDefault="00073433" w:rsidP="00AD6501">
      <w:pPr>
        <w:spacing w:before="120" w:after="120" w:line="0" w:lineRule="atLeast"/>
        <w:jc w:val="both"/>
      </w:pPr>
    </w:p>
    <w:p w14:paraId="6423C7ED" w14:textId="77777777" w:rsidR="004C6ABD" w:rsidRDefault="004C6ABD" w:rsidP="00AD6501">
      <w:pPr>
        <w:spacing w:before="120" w:after="120" w:line="0" w:lineRule="atLeast"/>
        <w:jc w:val="both"/>
      </w:pPr>
      <w:r>
        <w:rPr>
          <w:b/>
          <w:bCs/>
        </w:rPr>
        <w:t>3.4. Automatizētais izvērtējums</w:t>
      </w:r>
    </w:p>
    <w:p w14:paraId="2F58D0EB" w14:textId="4AB9F4A1" w:rsidR="004C6ABD" w:rsidRDefault="004C6ABD" w:rsidP="00AD6501">
      <w:pPr>
        <w:spacing w:before="120" w:after="120" w:line="0" w:lineRule="atLeast"/>
        <w:jc w:val="both"/>
      </w:pPr>
      <w:r>
        <w:t>Automatizētajā izvērtēšanā aptvertas 597 publiskā sektora tīmekļvietnes; no tām 12 (2,0 %) neuzrādīja nevienu automatizēti identificējamu neatbilstību. Visbiežāk konstatētās problēmas: krāsu kontrasts (55,7 % tīmekļvietņu) un interaktīvo elementu programmatiskā noteikšana (46,1 %). Salīdzinājumā ar 2024. gadu uzlabojums reģistrēts kritērijā 4.1.2. (no 64,7 % uz 46,1 %).</w:t>
      </w:r>
    </w:p>
    <w:p w14:paraId="3D0B69CE" w14:textId="77777777" w:rsidR="00073433" w:rsidRDefault="00073433" w:rsidP="00AD6501">
      <w:pPr>
        <w:spacing w:before="120" w:after="120" w:line="0" w:lineRule="atLeast"/>
        <w:jc w:val="both"/>
      </w:pPr>
    </w:p>
    <w:p w14:paraId="7D538C4D" w14:textId="77777777" w:rsidR="004C6ABD" w:rsidRDefault="004C6ABD" w:rsidP="00AD6501">
      <w:pPr>
        <w:spacing w:before="120" w:after="120" w:line="0" w:lineRule="atLeast"/>
        <w:jc w:val="both"/>
      </w:pPr>
      <w:r>
        <w:rPr>
          <w:b/>
          <w:bCs/>
        </w:rPr>
        <w:t>3.5. Tīmekļvietņu vienotās platformas analīze</w:t>
      </w:r>
    </w:p>
    <w:p w14:paraId="093A6A60" w14:textId="77777777" w:rsidR="004C6ABD" w:rsidRDefault="004C6ABD" w:rsidP="00AD6501">
      <w:pPr>
        <w:spacing w:before="120" w:after="120" w:line="0" w:lineRule="atLeast"/>
        <w:jc w:val="both"/>
      </w:pPr>
      <w:r>
        <w:lastRenderedPageBreak/>
        <w:t>Tīmekļvietņu vienotā platforma (turpmāk – TVP) ir Valsts kancelejas pārvaldīts centralizēts tehnoloģiskais risinājums, kurā šobrīd darbojas vairāk nekā 120 valsts un pašvaldību iestāžu tīmekļvietnes. TVP tīmekļvietnes visos trijos secīgajos uzraudzības periodos (2023.–2025.) uzrāda zemāku neatbilstību īpatsvaru nekā individuāli izstrādātās (sk. 3. tabulu):</w:t>
      </w:r>
    </w:p>
    <w:p w14:paraId="210F96DB" w14:textId="77777777" w:rsidR="004C6ABD" w:rsidRDefault="004C6ABD" w:rsidP="00AD6501">
      <w:pPr>
        <w:spacing w:before="120" w:after="120" w:line="0" w:lineRule="atLeast"/>
      </w:pPr>
    </w:p>
    <w:p w14:paraId="6E1B08F4" w14:textId="77777777" w:rsidR="004C6ABD" w:rsidRDefault="004C6ABD" w:rsidP="00AD6501">
      <w:pPr>
        <w:spacing w:before="120" w:after="120" w:line="0" w:lineRule="atLeast"/>
        <w:jc w:val="both"/>
      </w:pPr>
      <w:r>
        <w:rPr>
          <w:i/>
          <w:iCs/>
        </w:rPr>
        <w:t>3. tabula. Neatbilstošo lapu īpatsvars TVP un individuāli izstrādātajās tīmekļvietnēs (2025. gads).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2613"/>
        <w:gridCol w:w="2613"/>
      </w:tblGrid>
      <w:tr w:rsidR="004C6ABD" w14:paraId="1A234817" w14:textId="77777777" w:rsidTr="00727BAD">
        <w:tc>
          <w:tcPr>
            <w:tcW w:w="3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tcPr>
          <w:p w14:paraId="1E3357BA" w14:textId="77777777" w:rsidR="004C6ABD" w:rsidRDefault="004C6ABD" w:rsidP="00AD6501">
            <w:pPr>
              <w:spacing w:before="120" w:after="120" w:line="0" w:lineRule="atLeast"/>
              <w:jc w:val="both"/>
            </w:pPr>
            <w:r>
              <w:rPr>
                <w:b/>
                <w:bCs/>
              </w:rPr>
              <w:t>Izvērtēšanas metode</w:t>
            </w:r>
          </w:p>
        </w:tc>
        <w:tc>
          <w:tcPr>
            <w:tcW w:w="2613"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tcPr>
          <w:p w14:paraId="32B94161" w14:textId="77777777" w:rsidR="004C6ABD" w:rsidRDefault="004C6ABD" w:rsidP="00AD6501">
            <w:pPr>
              <w:spacing w:before="120" w:after="120" w:line="0" w:lineRule="atLeast"/>
              <w:jc w:val="both"/>
            </w:pPr>
            <w:r>
              <w:rPr>
                <w:b/>
                <w:bCs/>
              </w:rPr>
              <w:t>TVP tīmekļvietnes</w:t>
            </w:r>
          </w:p>
        </w:tc>
        <w:tc>
          <w:tcPr>
            <w:tcW w:w="2613"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tcPr>
          <w:p w14:paraId="080DF2AB" w14:textId="77777777" w:rsidR="004C6ABD" w:rsidRDefault="004C6ABD" w:rsidP="00AD6501">
            <w:pPr>
              <w:spacing w:before="120" w:after="120" w:line="0" w:lineRule="atLeast"/>
              <w:jc w:val="both"/>
            </w:pPr>
            <w:r>
              <w:rPr>
                <w:b/>
                <w:bCs/>
              </w:rPr>
              <w:t>Individuāli izstrādātās</w:t>
            </w:r>
          </w:p>
        </w:tc>
      </w:tr>
      <w:tr w:rsidR="004C6ABD" w14:paraId="1C77EF45" w14:textId="77777777" w:rsidTr="00727BAD">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915626" w14:textId="77777777" w:rsidR="004C6ABD" w:rsidRDefault="004C6ABD" w:rsidP="00AD6501">
            <w:pPr>
              <w:spacing w:before="120" w:after="120" w:line="0" w:lineRule="atLeast"/>
              <w:jc w:val="both"/>
            </w:pPr>
            <w:r>
              <w:t>Padziļinātais izvērtējums (neatbilstošo lapu īpatsvars)</w:t>
            </w:r>
          </w:p>
        </w:tc>
        <w:tc>
          <w:tcPr>
            <w:tcW w:w="26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A2C7B3" w14:textId="77777777" w:rsidR="004C6ABD" w:rsidRDefault="004C6ABD" w:rsidP="00AD6501">
            <w:pPr>
              <w:spacing w:before="120" w:after="120" w:line="0" w:lineRule="atLeast"/>
              <w:jc w:val="both"/>
            </w:pPr>
            <w:r>
              <w:t>12,7 %</w:t>
            </w:r>
          </w:p>
        </w:tc>
        <w:tc>
          <w:tcPr>
            <w:tcW w:w="26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D3D3FA" w14:textId="77777777" w:rsidR="004C6ABD" w:rsidRDefault="004C6ABD" w:rsidP="00AD6501">
            <w:pPr>
              <w:spacing w:before="120" w:after="120" w:line="0" w:lineRule="atLeast"/>
              <w:jc w:val="both"/>
            </w:pPr>
            <w:r>
              <w:t>20,5 %</w:t>
            </w:r>
          </w:p>
        </w:tc>
      </w:tr>
      <w:tr w:rsidR="004C6ABD" w14:paraId="5E2C4557" w14:textId="77777777" w:rsidTr="00727BAD">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22EE8D" w14:textId="77777777" w:rsidR="004C6ABD" w:rsidRDefault="004C6ABD" w:rsidP="00AD6501">
            <w:pPr>
              <w:spacing w:before="120" w:after="120" w:line="0" w:lineRule="atLeast"/>
              <w:jc w:val="both"/>
            </w:pPr>
            <w:r>
              <w:t>Vienkāršotais izvērtējums (neatbilstošo lapu īpatsvars)</w:t>
            </w:r>
          </w:p>
        </w:tc>
        <w:tc>
          <w:tcPr>
            <w:tcW w:w="26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2671D0" w14:textId="77777777" w:rsidR="004C6ABD" w:rsidRDefault="004C6ABD" w:rsidP="00AD6501">
            <w:pPr>
              <w:spacing w:before="120" w:after="120" w:line="0" w:lineRule="atLeast"/>
              <w:jc w:val="both"/>
            </w:pPr>
            <w:r>
              <w:t>21,6 %</w:t>
            </w:r>
          </w:p>
        </w:tc>
        <w:tc>
          <w:tcPr>
            <w:tcW w:w="26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E90331" w14:textId="77777777" w:rsidR="004C6ABD" w:rsidRDefault="004C6ABD" w:rsidP="00AD6501">
            <w:pPr>
              <w:spacing w:before="120" w:after="120" w:line="0" w:lineRule="atLeast"/>
              <w:jc w:val="both"/>
            </w:pPr>
            <w:r>
              <w:t>32,5 %</w:t>
            </w:r>
          </w:p>
        </w:tc>
      </w:tr>
    </w:tbl>
    <w:p w14:paraId="636D12F0" w14:textId="77777777" w:rsidR="004C6ABD" w:rsidRDefault="004C6ABD" w:rsidP="00AD6501">
      <w:pPr>
        <w:spacing w:before="120" w:after="120" w:line="0" w:lineRule="atLeast"/>
      </w:pPr>
    </w:p>
    <w:p w14:paraId="43D8FDE2" w14:textId="78D64E01" w:rsidR="004C6ABD" w:rsidRDefault="004C6ABD" w:rsidP="00AD6501">
      <w:pPr>
        <w:spacing w:before="120" w:after="120" w:line="0" w:lineRule="atLeast"/>
        <w:jc w:val="both"/>
      </w:pPr>
      <w:r>
        <w:t>Šie rezultāti apliecina centralizētas platformas pieejas priekšrocības. Neatbilstības virsrakstu struktūrā un attēlu aprakstos, kas konstatētas arī TVP tīmekļvietnēs, lielākoties ir saistītas ar katras iestādes satura veidošanas praksi, nevis ar platformas tehniskajiem risinājumiem. TVP 2. kārtas izstrāde, kuras ietvaros veikti piekļūstamības uzlabojumi un kura paredz platformā iekļaut aptuveni 40 jaunu iestāžu tīmekļvietnes, tiek pabeigta 2026. gada 31. maijā.¹⁴</w:t>
      </w:r>
    </w:p>
    <w:p w14:paraId="28D5D104" w14:textId="77777777" w:rsidR="00800F04" w:rsidRDefault="00800F04" w:rsidP="00AD6501">
      <w:pPr>
        <w:spacing w:before="120" w:after="120" w:line="0" w:lineRule="atLeast"/>
        <w:jc w:val="both"/>
      </w:pPr>
    </w:p>
    <w:p w14:paraId="7690945A" w14:textId="77777777" w:rsidR="004C6ABD" w:rsidRDefault="004C6ABD" w:rsidP="00AD6501">
      <w:pPr>
        <w:spacing w:before="120" w:after="120" w:line="0" w:lineRule="atLeast"/>
        <w:jc w:val="both"/>
      </w:pPr>
      <w:r>
        <w:rPr>
          <w:b/>
          <w:bCs/>
        </w:rPr>
        <w:t>3.6. Piekļūstamības paziņojumi</w:t>
      </w:r>
    </w:p>
    <w:p w14:paraId="239824F4" w14:textId="77777777" w:rsidR="004C6ABD" w:rsidRDefault="004C6ABD" w:rsidP="00AD6501">
      <w:pPr>
        <w:spacing w:before="120" w:after="120" w:line="0" w:lineRule="atLeast"/>
        <w:jc w:val="both"/>
      </w:pPr>
      <w:r>
        <w:t>No 597 pārbaudītajām tīmekļvietnēm 34,5 % nav publicējušas piekļūstamības paziņojumu, kas ir MK noteikumu Nr. 445 prasība. No publicētajiem paziņojumiem 32 % nav atjaunināti kopš 2020.–2021. gada, tikai 5,6 % datēti ar 2025. gadu, bet lielākā daļa (80 %) norāda statusu "daļēji atbilst" bez detalizēta neatbilstību apraksta. Piekļūstamības paziņojumu aktualizēšana ir viens no prioritārajiem turpmākajiem uzdevumiem, un VARAM plāno mērķtiecīgi atbalstīt iestādes šajā procesā (sk. 5.2. sadaļu).</w:t>
      </w:r>
    </w:p>
    <w:p w14:paraId="1ECE599E" w14:textId="77777777" w:rsidR="004C6ABD" w:rsidRDefault="004C6ABD" w:rsidP="00AD6501">
      <w:pPr>
        <w:spacing w:before="120" w:after="120" w:line="0" w:lineRule="atLeast"/>
      </w:pPr>
    </w:p>
    <w:p w14:paraId="4EC8283E" w14:textId="507B7153" w:rsidR="004C6ABD" w:rsidRDefault="004C6ABD" w:rsidP="00AD6501">
      <w:pPr>
        <w:spacing w:before="120" w:after="120" w:line="0" w:lineRule="atLeast"/>
        <w:jc w:val="both"/>
        <w:rPr>
          <w:b/>
          <w:bCs/>
        </w:rPr>
      </w:pPr>
      <w:r>
        <w:rPr>
          <w:b/>
          <w:bCs/>
        </w:rPr>
        <w:t>4. PIEKĻŪSTAMĪBAS VEICINĀŠANAS PASĀKUMI</w:t>
      </w:r>
    </w:p>
    <w:p w14:paraId="32A166D8" w14:textId="77777777" w:rsidR="00D72248" w:rsidRDefault="00D72248" w:rsidP="00AD6501">
      <w:pPr>
        <w:spacing w:before="120" w:after="120" w:line="0" w:lineRule="atLeast"/>
        <w:jc w:val="both"/>
      </w:pPr>
    </w:p>
    <w:p w14:paraId="6FBCA850" w14:textId="77777777" w:rsidR="004C6ABD" w:rsidRDefault="004C6ABD" w:rsidP="00AD6501">
      <w:pPr>
        <w:spacing w:before="120" w:after="120" w:line="0" w:lineRule="atLeast"/>
        <w:jc w:val="both"/>
      </w:pPr>
      <w:r>
        <w:rPr>
          <w:b/>
          <w:bCs/>
        </w:rPr>
        <w:t>4.1. Iepriekšējā ziņojuma pasākumu izpilde</w:t>
      </w:r>
    </w:p>
    <w:p w14:paraId="03C134CD" w14:textId="5D62949A" w:rsidR="004C6ABD" w:rsidRDefault="0082290C" w:rsidP="00AD6501">
      <w:pPr>
        <w:spacing w:before="120" w:after="120" w:line="0" w:lineRule="atLeast"/>
        <w:jc w:val="both"/>
      </w:pPr>
      <w:r>
        <w:t xml:space="preserve"> VARAM sagatavotajā </w:t>
      </w:r>
      <w:r w:rsidR="004C6ABD">
        <w:t xml:space="preserve">informatīvajā ziņojumā </w:t>
      </w:r>
      <w:r w:rsidRPr="0082290C">
        <w:t>par publisko personu tīmekļvietņu un mobilo lietotņu piekļūstamību 2023. gad</w:t>
      </w:r>
      <w:r>
        <w:t>ā (</w:t>
      </w:r>
      <w:r w:rsidRPr="0008391E">
        <w:t>24-TA-1292</w:t>
      </w:r>
      <w:r w:rsidRPr="0082290C">
        <w:t>)</w:t>
      </w:r>
      <w:r>
        <w:t xml:space="preserve"> </w:t>
      </w:r>
      <w:r w:rsidR="004C6ABD">
        <w:t xml:space="preserve">noteiktie turpmāk veicamie pasākumi laikposmā no 2024. līdz 2026. gadam lielākoties </w:t>
      </w:r>
      <w:r w:rsidR="002728B8">
        <w:t xml:space="preserve">ir </w:t>
      </w:r>
      <w:r w:rsidR="004C6ABD">
        <w:t>īstenoti:</w:t>
      </w:r>
    </w:p>
    <w:p w14:paraId="26135678" w14:textId="2594BD5E" w:rsidR="004C6ABD" w:rsidRDefault="004C6ABD" w:rsidP="00865FCA">
      <w:pPr>
        <w:pStyle w:val="ListParagraph"/>
        <w:numPr>
          <w:ilvl w:val="0"/>
          <w:numId w:val="22"/>
        </w:numPr>
        <w:spacing w:before="120" w:after="120" w:line="0" w:lineRule="atLeast"/>
        <w:jc w:val="both"/>
      </w:pPr>
      <w:r w:rsidRPr="00865FCA">
        <w:rPr>
          <w:b/>
          <w:bCs/>
        </w:rPr>
        <w:t>Uzraudzība:</w:t>
      </w:r>
      <w:r>
        <w:t xml:space="preserve"> atsākts visaptverošais automatizētais izvērtējums (597 tīmekļvietnes), veikts padziļinātais un vienkāršotais izvērtējums, pirmoreiz arī mobilajā skatā.</w:t>
      </w:r>
    </w:p>
    <w:p w14:paraId="4EE903B2" w14:textId="23EA9E3A" w:rsidR="004C6ABD" w:rsidRPr="00865FCA" w:rsidRDefault="004C6ABD" w:rsidP="00865FCA">
      <w:pPr>
        <w:pStyle w:val="ListParagraph"/>
        <w:numPr>
          <w:ilvl w:val="0"/>
          <w:numId w:val="22"/>
        </w:numPr>
        <w:spacing w:before="120" w:after="120" w:line="0" w:lineRule="atLeast"/>
        <w:jc w:val="both"/>
        <w:rPr>
          <w:b/>
          <w:bCs/>
        </w:rPr>
      </w:pPr>
      <w:r w:rsidRPr="00865FCA">
        <w:rPr>
          <w:b/>
          <w:bCs/>
        </w:rPr>
        <w:lastRenderedPageBreak/>
        <w:t>Izglītojošie pasākumi:</w:t>
      </w:r>
      <w:r>
        <w:t xml:space="preserve"> organizēts starpnozaru seminārs</w:t>
      </w:r>
      <w:r w:rsidR="00F70C66">
        <w:t xml:space="preserve"> p</w:t>
      </w:r>
      <w:r w:rsidR="00F70C66" w:rsidRPr="0008391E">
        <w:t>raktiskais seminārs “Digitālā piekļūstamība – mūsu kopīgais mērķis”</w:t>
      </w:r>
      <w:r>
        <w:t xml:space="preserve"> (17.06.2025.)</w:t>
      </w:r>
      <w:r w:rsidR="00F70C66">
        <w:rPr>
          <w:rStyle w:val="FootnoteReference"/>
        </w:rPr>
        <w:footnoteReference w:id="8"/>
      </w:r>
      <w:r>
        <w:t>,</w:t>
      </w:r>
      <w:r w:rsidR="00F70C66">
        <w:t xml:space="preserve"> </w:t>
      </w:r>
      <w:r>
        <w:t xml:space="preserve"> konference </w:t>
      </w:r>
      <w:r w:rsidR="00062510" w:rsidRPr="0008391E">
        <w:t>“Klikšķis bez barjerām - digitālā piekļūstamība publiskajā un privātajā sektorā</w:t>
      </w:r>
      <w:r w:rsidR="00062510">
        <w:t>”</w:t>
      </w:r>
      <w:r>
        <w:t>(19.03.2026.)</w:t>
      </w:r>
      <w:r w:rsidR="00F70C66">
        <w:rPr>
          <w:rStyle w:val="FootnoteReference"/>
        </w:rPr>
        <w:footnoteReference w:id="9"/>
      </w:r>
      <w:r>
        <w:t xml:space="preserve">, </w:t>
      </w:r>
      <w:r w:rsidR="00332DE6">
        <w:t xml:space="preserve">Valts administrācijas skola (turpmāk – </w:t>
      </w:r>
      <w:r>
        <w:t>VAS</w:t>
      </w:r>
      <w:r w:rsidR="00332DE6">
        <w:t>)</w:t>
      </w:r>
      <w:r>
        <w:t xml:space="preserve"> vebinārs</w:t>
      </w:r>
      <w:r w:rsidR="00BD0A1B">
        <w:t xml:space="preserve"> “Digitālā piekļūstamība. Pieredzes stāsti un praktiskie aspekti”</w:t>
      </w:r>
      <w:r w:rsidR="00BD0A1B">
        <w:rPr>
          <w:rStyle w:val="FootnoteReference"/>
        </w:rPr>
        <w:footnoteReference w:id="10"/>
      </w:r>
      <w:r>
        <w:t xml:space="preserve"> (21.05.2025.) un mācību programma "Lietotājorientēta digitālā satura veidošana" (97 dalībnieki, 2026. gada janvāris–aprīlis)</w:t>
      </w:r>
      <w:r w:rsidR="00062510">
        <w:rPr>
          <w:rStyle w:val="FootnoteReference"/>
        </w:rPr>
        <w:footnoteReference w:id="11"/>
      </w:r>
      <w:r>
        <w:t>.</w:t>
      </w:r>
    </w:p>
    <w:p w14:paraId="5C3FB627" w14:textId="59AF0121" w:rsidR="004C6ABD" w:rsidRDefault="004C6ABD" w:rsidP="00865FCA">
      <w:pPr>
        <w:pStyle w:val="ListParagraph"/>
        <w:numPr>
          <w:ilvl w:val="0"/>
          <w:numId w:val="22"/>
        </w:numPr>
        <w:spacing w:before="120" w:after="120" w:line="0" w:lineRule="atLeast"/>
        <w:jc w:val="both"/>
      </w:pPr>
      <w:r w:rsidRPr="00865FCA">
        <w:rPr>
          <w:b/>
          <w:bCs/>
        </w:rPr>
        <w:t>Metodiskie materiāli:</w:t>
      </w:r>
      <w:r>
        <w:t xml:space="preserve"> atjauninātas vienkāršotā izvērtēšanas vadlīnijas (2024. gada 8. augustā un 2025. gada 1. oktobrī),</w:t>
      </w:r>
      <w:r w:rsidR="00062510">
        <w:rPr>
          <w:rStyle w:val="FootnoteReference"/>
        </w:rPr>
        <w:footnoteReference w:id="12"/>
      </w:r>
      <w:r>
        <w:t xml:space="preserve"> publicētas jaunas vadlīnijas par piekļūstamības prasību iekļaušanu publiskajos iepirkumos un piekļūstamu pasākumu rīkošanu.</w:t>
      </w:r>
    </w:p>
    <w:p w14:paraId="133BE4FD" w14:textId="18406B0B" w:rsidR="004C6ABD" w:rsidRDefault="004C6ABD" w:rsidP="00865FCA">
      <w:pPr>
        <w:pStyle w:val="ListParagraph"/>
        <w:numPr>
          <w:ilvl w:val="0"/>
          <w:numId w:val="22"/>
        </w:numPr>
        <w:spacing w:before="120" w:after="120" w:line="0" w:lineRule="atLeast"/>
        <w:jc w:val="both"/>
      </w:pPr>
      <w:r w:rsidRPr="00865FCA">
        <w:rPr>
          <w:b/>
          <w:bCs/>
        </w:rPr>
        <w:t>TVP:</w:t>
      </w:r>
      <w:r>
        <w:t xml:space="preserve"> Tīmekļvietņu vienotās platformas 2. kārtas izstrāde ar piekļūstamības uzlabojumiem tiek pabeigta 2026. gada </w:t>
      </w:r>
      <w:r w:rsidR="00062510">
        <w:t>vidū</w:t>
      </w:r>
      <w:r>
        <w:t xml:space="preserve">; tās ietvaros platformai </w:t>
      </w:r>
      <w:r w:rsidR="00062510">
        <w:t xml:space="preserve">pievienojas </w:t>
      </w:r>
      <w:r>
        <w:t>aptuveni 40 jaunu iestāžu tīmekļvietnes.</w:t>
      </w:r>
      <w:r w:rsidR="007574B0">
        <w:rPr>
          <w:rStyle w:val="FootnoteReference"/>
        </w:rPr>
        <w:footnoteReference w:id="13"/>
      </w:r>
    </w:p>
    <w:p w14:paraId="7BCC8A2F" w14:textId="472170B7" w:rsidR="004C6ABD" w:rsidRDefault="004C6ABD" w:rsidP="00865FCA">
      <w:pPr>
        <w:pStyle w:val="ListParagraph"/>
        <w:numPr>
          <w:ilvl w:val="0"/>
          <w:numId w:val="22"/>
        </w:numPr>
        <w:spacing w:before="120" w:after="120" w:line="0" w:lineRule="atLeast"/>
        <w:jc w:val="both"/>
      </w:pPr>
      <w:r w:rsidRPr="00865FCA">
        <w:rPr>
          <w:b/>
          <w:bCs/>
        </w:rPr>
        <w:t>E-kurss:</w:t>
      </w:r>
      <w:r>
        <w:t xml:space="preserve"> uzsākta VAS e-mācību kursa "Digitālā piekļūstamība" izstrāde (plānotais termiņš</w:t>
      </w:r>
      <w:r w:rsidR="00062510">
        <w:t xml:space="preserve"> e-kursa uzsākšanai</w:t>
      </w:r>
      <w:r>
        <w:t xml:space="preserve"> — 2026. gada </w:t>
      </w:r>
      <w:r w:rsidR="00062510">
        <w:t>vidus</w:t>
      </w:r>
      <w:r>
        <w:t>).</w:t>
      </w:r>
    </w:p>
    <w:p w14:paraId="15F7947E" w14:textId="41801858" w:rsidR="004C6ABD" w:rsidRDefault="004C6ABD" w:rsidP="00865FCA">
      <w:pPr>
        <w:pStyle w:val="ListParagraph"/>
        <w:numPr>
          <w:ilvl w:val="0"/>
          <w:numId w:val="22"/>
        </w:numPr>
        <w:spacing w:before="120" w:after="120" w:line="0" w:lineRule="atLeast"/>
        <w:jc w:val="both"/>
      </w:pPr>
      <w:r w:rsidRPr="00865FCA">
        <w:rPr>
          <w:b/>
          <w:bCs/>
        </w:rPr>
        <w:t>Institucionālā kapacitāte:</w:t>
      </w:r>
      <w:r>
        <w:t xml:space="preserve"> tiek izstrādāta starpresoru piekļūstamības ekspertu padomes koncepcija.</w:t>
      </w:r>
    </w:p>
    <w:p w14:paraId="6BFF7056" w14:textId="1F4D6E9B" w:rsidR="00DC7DB7" w:rsidRPr="00865FCA" w:rsidRDefault="00DC7DB7" w:rsidP="00865FCA">
      <w:pPr>
        <w:pStyle w:val="ListParagraph"/>
        <w:numPr>
          <w:ilvl w:val="0"/>
          <w:numId w:val="22"/>
        </w:numPr>
        <w:spacing w:before="120" w:after="120" w:line="0" w:lineRule="atLeast"/>
        <w:jc w:val="both"/>
        <w:rPr>
          <w:b/>
          <w:bCs/>
        </w:rPr>
      </w:pPr>
      <w:r w:rsidRPr="00865FCA">
        <w:rPr>
          <w:b/>
          <w:bCs/>
        </w:rPr>
        <w:t xml:space="preserve">VIRSIS pilnveide: </w:t>
      </w:r>
      <w:r w:rsidR="00602887">
        <w:t>tiek izvērtētas mākslīgā intelekta iespējas piekļūstamības paziņojumu automatizētai apkopošanai</w:t>
      </w:r>
      <w:r w:rsidR="00602887" w:rsidRPr="00602887">
        <w:t xml:space="preserve"> </w:t>
      </w:r>
      <w:r w:rsidR="00602887">
        <w:t>tīmekļvietņu reģistrā sistēmā VIRSIS.</w:t>
      </w:r>
    </w:p>
    <w:p w14:paraId="56085D98" w14:textId="1A3F1CD4" w:rsidR="004C6ABD" w:rsidRDefault="004C6ABD" w:rsidP="00AD6501">
      <w:pPr>
        <w:spacing w:before="120" w:after="120" w:line="0" w:lineRule="atLeast"/>
        <w:jc w:val="both"/>
      </w:pPr>
      <w:r>
        <w:t>Vēl nav īstenots: padziļinātās izvērtēšanas rezultātu salīdzinājums ar privāto sektoru</w:t>
      </w:r>
      <w:r w:rsidR="00602887">
        <w:t xml:space="preserve">, jo privātajā sektorā šobrīd nav plaši iedzīvināta pašvērtējumu pieeja, kas sniegtu pilnvērtīgus datus. VARAM veiktie auditi primāri atbalsta publisko sektoru un apkopo datus par situāciju tajā saskaņā ar Direktīvu. </w:t>
      </w:r>
    </w:p>
    <w:p w14:paraId="19FB766C" w14:textId="77777777" w:rsidR="004C6ABD" w:rsidRDefault="004C6ABD" w:rsidP="00AD6501">
      <w:pPr>
        <w:spacing w:before="120" w:after="120" w:line="0" w:lineRule="atLeast"/>
      </w:pPr>
    </w:p>
    <w:p w14:paraId="5EFADDC8" w14:textId="77777777" w:rsidR="004C6ABD" w:rsidRDefault="004C6ABD" w:rsidP="00AD6501">
      <w:pPr>
        <w:spacing w:before="120" w:after="120" w:line="0" w:lineRule="atLeast"/>
        <w:jc w:val="both"/>
      </w:pPr>
      <w:r>
        <w:rPr>
          <w:b/>
          <w:bCs/>
        </w:rPr>
        <w:t>4.2. Metodiskie materiāli un informatīvie resursi</w:t>
      </w:r>
    </w:p>
    <w:p w14:paraId="017EB75B" w14:textId="0241A372" w:rsidR="004C6ABD" w:rsidRDefault="004C6ABD" w:rsidP="00AD6501">
      <w:pPr>
        <w:spacing w:before="120" w:after="120" w:line="0" w:lineRule="atLeast"/>
        <w:jc w:val="both"/>
      </w:pPr>
      <w:r>
        <w:t>VARAM uztur publiski pieejamu metodiskā atbalsta resursu digitālās piekļūstamības jomā, kurā vienkopus apkopoti visi normatīvie akti, vadlīnijas, iepriekšējie informatīvie ziņojumi, ziņojums EK par 2022.–2024. gada uzraudzības periodu, interaktīvais datu panelis ar detalizētiem rezultātiem par katru izvērtēto tīmekļvietni, piekļūstamības paziņojuma ģenerators un vērtēšanas protokols. Vadlīnijas ietver arī video instrukcijas un tika atjauninātas 2024. gada 8. augustā un 2025. gada 1. oktobrī. 2025. gadā publicētas jaunas vadlīnijas par digitālās piekļūstamības prasību iekļaušanu publiskajos iepirkumos un par piekļūstamu pasākumu rīkošanu. VARAM aktīvi izmanto arī sociālos tīklus, publicējot informatīvas kampaņas par piekļūstamības prasībām.</w:t>
      </w:r>
    </w:p>
    <w:p w14:paraId="754CBDD3" w14:textId="3973D16C" w:rsidR="004C6ABD" w:rsidRDefault="004C6ABD" w:rsidP="00AD6501">
      <w:pPr>
        <w:spacing w:before="120" w:after="120" w:line="0" w:lineRule="atLeast"/>
        <w:jc w:val="both"/>
      </w:pPr>
      <w:r>
        <w:t>Labklājības ministrija 2024. gada 1. novembrī publicēja informatīvu materiālu "Informācijas piekļūstamība: tīmekļa un dokumentu piekļūstamība"</w:t>
      </w:r>
      <w:r w:rsidR="00BD0A1B">
        <w:rPr>
          <w:rStyle w:val="FootnoteReference"/>
        </w:rPr>
        <w:footnoteReference w:id="14"/>
      </w:r>
      <w:r>
        <w:t xml:space="preserve">¸ un koordinē starpministriju darba grupu personu </w:t>
      </w:r>
      <w:r>
        <w:lastRenderedPageBreak/>
        <w:t>ar funkcionāliem traucējumiem piekļūstamības veicināšanai, kuras ietvaros tiek izskatīti arī digitālās piekļūstamības jautājumi.</w:t>
      </w:r>
    </w:p>
    <w:p w14:paraId="1C1B4875" w14:textId="77777777" w:rsidR="004C6ABD" w:rsidRDefault="004C6ABD" w:rsidP="00AD6501">
      <w:pPr>
        <w:spacing w:before="120" w:after="120" w:line="0" w:lineRule="atLeast"/>
      </w:pPr>
    </w:p>
    <w:p w14:paraId="5DB778CF" w14:textId="77777777" w:rsidR="004C6ABD" w:rsidRDefault="004C6ABD" w:rsidP="00AD6501">
      <w:pPr>
        <w:spacing w:before="120" w:after="120" w:line="0" w:lineRule="atLeast"/>
        <w:jc w:val="both"/>
      </w:pPr>
      <w:r>
        <w:rPr>
          <w:b/>
          <w:bCs/>
        </w:rPr>
        <w:t>4.3. Izglītojošie pasākumi 2022.–2026. gadā</w:t>
      </w:r>
    </w:p>
    <w:p w14:paraId="0F5E598E" w14:textId="39F7EF56" w:rsidR="004C6ABD" w:rsidRDefault="004C6ABD" w:rsidP="00AD6501">
      <w:pPr>
        <w:spacing w:before="120" w:after="120" w:line="0" w:lineRule="atLeast"/>
        <w:jc w:val="both"/>
      </w:pPr>
      <w:r>
        <w:t>Kopš piekļūstamības uzraudzības pilnveidošanas 2022. gadā VARAM katru gadu organizē informatīvus mācību pasākumus. Laikposmā no 2022. līdz 2024. gadam šajos pasākumos kopumā piedalījās aptuveni tūkstotis dalībnieku no valsts pārvaldes iestādēm.⁹ Reizi gadā tiek organizēts starpinstitucionāls praktiskais seminārs ar pārstāvjiem no valsts pārvaldes, pašvaldībām, nevalstiskajām organizācijām un privātā sektora. 2025. gadā un 2026. gada sākumā īstenoti šādi galvenie pasākumi:</w:t>
      </w:r>
    </w:p>
    <w:p w14:paraId="319E5FDF" w14:textId="42EAF419" w:rsidR="004C6ABD" w:rsidRDefault="004C6ABD" w:rsidP="00865FCA">
      <w:pPr>
        <w:pStyle w:val="ListParagraph"/>
        <w:numPr>
          <w:ilvl w:val="0"/>
          <w:numId w:val="24"/>
        </w:numPr>
        <w:spacing w:before="120" w:after="120" w:line="0" w:lineRule="atLeast"/>
        <w:jc w:val="both"/>
      </w:pPr>
      <w:r>
        <w:t>21.05.2025. VAS Publiskās pārvaldes digitālās akadēmijas projekta (Nr. 2.3.2.2.i.0/1/23/I/VARAM/001) ietvaros organizēja vebināru "Digitālā piekļūstamība. Pieredzes stāsti un praktiskie aspekti" valsts un pašvaldību darbiniekiem.</w:t>
      </w:r>
      <w:r w:rsidR="007574B0">
        <w:rPr>
          <w:rStyle w:val="FootnoteReference"/>
        </w:rPr>
        <w:footnoteReference w:id="15"/>
      </w:r>
    </w:p>
    <w:p w14:paraId="23D0CC33" w14:textId="08D102B0" w:rsidR="004C6ABD" w:rsidRDefault="004C6ABD" w:rsidP="00865FCA">
      <w:pPr>
        <w:pStyle w:val="ListParagraph"/>
        <w:numPr>
          <w:ilvl w:val="0"/>
          <w:numId w:val="24"/>
        </w:numPr>
        <w:spacing w:before="120" w:after="120" w:line="0" w:lineRule="atLeast"/>
        <w:jc w:val="both"/>
      </w:pPr>
      <w:r>
        <w:t>17.06.2025. VARAM organizēja starpnozaru semināru "Digitālā piekļūstamība — mūsu kopīgais mērķis"</w:t>
      </w:r>
      <w:r w:rsidR="007574B0">
        <w:rPr>
          <w:rStyle w:val="FootnoteReference"/>
        </w:rPr>
        <w:footnoteReference w:id="16"/>
      </w:r>
      <w:r>
        <w:t xml:space="preserve"> saistībā ar Preču un pakalpojumu piekļūstamības likuma stāšanos spēkā. Seminārā piedalījās pārstāvji no Labklājības ministrijas, Patērētāju tiesību aizsardzības centra, Finanšu nozares asociācijas, airBaltic un animācijas filmas "Straume" producenti.</w:t>
      </w:r>
    </w:p>
    <w:p w14:paraId="1C36805E" w14:textId="758442F6" w:rsidR="004C6ABD" w:rsidRDefault="004C6ABD" w:rsidP="00865FCA">
      <w:pPr>
        <w:pStyle w:val="ListParagraph"/>
        <w:numPr>
          <w:ilvl w:val="0"/>
          <w:numId w:val="24"/>
        </w:numPr>
        <w:spacing w:before="120" w:after="120" w:line="0" w:lineRule="atLeast"/>
        <w:jc w:val="both"/>
      </w:pPr>
      <w:r>
        <w:t>22.10.2025. Liepājas starptautiskajā konferencē "Kultūras renovācija",</w:t>
      </w:r>
      <w:r w:rsidR="00062510">
        <w:rPr>
          <w:rStyle w:val="FootnoteReference"/>
        </w:rPr>
        <w:footnoteReference w:id="17"/>
      </w:r>
      <w:r>
        <w:t xml:space="preserve"> ko līdzfinansēja Kultūras ministrija un vairākas pašvaldības, notika lekcija un praktiskā darbnīca par digitālo piekļūstamību kultūras iestādēm. 2024. gadā KM arī organizēja semināru "Kultūras piekļūstamība kultūras organizācijās", kurā aplūkoti digitālās piekļūstamības jautājumi, savukārt 2025. gada 26. novembrī seminārā Valmierā — atsevišķas konsultācijas par digitālo piekļūstamību.</w:t>
      </w:r>
    </w:p>
    <w:p w14:paraId="7E8F3601" w14:textId="7BAFC474" w:rsidR="00E359DE" w:rsidRDefault="004C6ABD" w:rsidP="00865FCA">
      <w:pPr>
        <w:pStyle w:val="ListParagraph"/>
        <w:numPr>
          <w:ilvl w:val="0"/>
          <w:numId w:val="24"/>
        </w:numPr>
        <w:spacing w:before="120" w:after="120" w:line="0" w:lineRule="atLeast"/>
        <w:jc w:val="both"/>
      </w:pPr>
      <w:r>
        <w:t>19.03.2026. VARAM organizēja konferenci "Klikšķis bez barjerām: digitālā piekļūstamība un lietotāju pieredze publiskajā un privātajā sektorā".</w:t>
      </w:r>
      <w:r w:rsidR="007574B0">
        <w:rPr>
          <w:rStyle w:val="FootnoteReference"/>
        </w:rPr>
        <w:footnoteReference w:id="18"/>
      </w:r>
    </w:p>
    <w:p w14:paraId="6FC5FA23" w14:textId="748C8BD4" w:rsidR="004C6ABD" w:rsidRDefault="004C6ABD" w:rsidP="00AD6501">
      <w:pPr>
        <w:spacing w:before="120" w:after="120" w:line="0" w:lineRule="atLeast"/>
        <w:jc w:val="both"/>
      </w:pPr>
      <w:r>
        <w:t xml:space="preserve">Sabiedrības integrācijas fonds digitālo piekļūstamību iekļāvis mācību programmā "Skatu punkti" darba devēju vadītājiem (kopā apmācīti vairāk nekā 500 dalībnieki) un 2024. gadā atklāja platformu Dazadiba.lv, kas </w:t>
      </w:r>
      <w:r w:rsidR="009B5B07">
        <w:t>VARAM organizētajā piekļūstamības izlases veida vienkāršotajā izvērtējumā uzrādīja vislabāko rezultātu starp 132 tīmekļvietnēm</w:t>
      </w:r>
      <w:r>
        <w:t>. Platformas ietvaros 2024. gadā organizēti 5 vebināri ar vairāk nekā 850 dalībniekiem. Patērētāju tiesību aizsardzības centrs no 2025. gada 28. jūnija uzrauga Preču un pakalpojumu piekļūstamības likuma ievērošanu un ir izstrādājis publiski pieejamu nesamērīga sloga novērtēšanas rīku.</w:t>
      </w:r>
    </w:p>
    <w:p w14:paraId="59E14452" w14:textId="77777777" w:rsidR="00D72248" w:rsidRDefault="00D72248" w:rsidP="00AD6501">
      <w:pPr>
        <w:spacing w:before="120" w:after="120" w:line="0" w:lineRule="atLeast"/>
        <w:jc w:val="both"/>
      </w:pPr>
    </w:p>
    <w:p w14:paraId="191A0947" w14:textId="77777777" w:rsidR="004C6ABD" w:rsidRDefault="004C6ABD" w:rsidP="00AD6501">
      <w:pPr>
        <w:spacing w:before="120" w:after="120" w:line="0" w:lineRule="atLeast"/>
        <w:jc w:val="both"/>
      </w:pPr>
      <w:r>
        <w:rPr>
          <w:b/>
          <w:bCs/>
        </w:rPr>
        <w:t>4.4. Mācību programma un e-kurss</w:t>
      </w:r>
    </w:p>
    <w:p w14:paraId="10130369" w14:textId="74DD9C35" w:rsidR="004C6ABD" w:rsidRDefault="004C6ABD" w:rsidP="00AD6501">
      <w:pPr>
        <w:spacing w:before="120" w:after="120" w:line="0" w:lineRule="atLeast"/>
        <w:jc w:val="both"/>
      </w:pPr>
      <w:r>
        <w:t>Publiskās pārvaldes digitālās akadēmijas projekta ietvaros 2026. gada janvārī</w:t>
      </w:r>
      <w:r w:rsidR="00316C41">
        <w:t xml:space="preserve"> </w:t>
      </w:r>
      <w:r>
        <w:t>–</w:t>
      </w:r>
      <w:r w:rsidR="00316C41">
        <w:t xml:space="preserve"> </w:t>
      </w:r>
      <w:r>
        <w:t xml:space="preserve">aprīlī tika īstenota mācību programma "Lietotājorientēta digitālā satura veidošana" 6 grupās ar kopumā 97 dalībniekiem. Programmu </w:t>
      </w:r>
      <w:r>
        <w:lastRenderedPageBreak/>
        <w:t>pabeiguši 91,8 %, dalībnieku vidējais zināšanu pašvērtējums pieauga no 4,9 līdz 7,8 punktiem (skalā 1–10), vidējā apmierinātība — 95,8 %.</w:t>
      </w:r>
    </w:p>
    <w:p w14:paraId="15812C1F" w14:textId="4AAAAE25" w:rsidR="004C6ABD" w:rsidRDefault="004C6ABD" w:rsidP="00AD6501">
      <w:pPr>
        <w:spacing w:before="120" w:after="120" w:line="0" w:lineRule="atLeast"/>
        <w:jc w:val="both"/>
      </w:pPr>
      <w:r>
        <w:t>2026. gada februārī VAS uzsāka iepirkumu e-mācību kursa "Digitālā piekļūstamība" izstrādei (līguma vērtība līdz 55 000 EUR, ES Atveseļošanas fonds). Kurss paredzēts visiem valsts un pašvaldību darbiniekiem neatkarīgi no tehniskās pieredzes (apjoms 2–3 akadēmiskās stundas), balstīts uz video demonstrācijām par reāliem piekļūstamības šķēršļiem dažādām lietotāju grupām. Plānotais izstrādes termiņš — 2026. gada maijs.</w:t>
      </w:r>
    </w:p>
    <w:p w14:paraId="1C8AEFF2" w14:textId="77777777" w:rsidR="00D72248" w:rsidRDefault="00D72248" w:rsidP="00AD6501">
      <w:pPr>
        <w:spacing w:before="120" w:after="120" w:line="0" w:lineRule="atLeast"/>
        <w:jc w:val="both"/>
      </w:pPr>
    </w:p>
    <w:p w14:paraId="1786617A" w14:textId="4ECAB50D" w:rsidR="004C6ABD" w:rsidRDefault="004C6ABD" w:rsidP="00AD6501">
      <w:pPr>
        <w:spacing w:before="120" w:after="120" w:line="0" w:lineRule="atLeast"/>
        <w:jc w:val="both"/>
      </w:pPr>
      <w:r>
        <w:rPr>
          <w:b/>
          <w:bCs/>
        </w:rPr>
        <w:t xml:space="preserve">4.5. Ziņošana </w:t>
      </w:r>
      <w:r w:rsidR="002728B8">
        <w:rPr>
          <w:b/>
          <w:bCs/>
        </w:rPr>
        <w:t xml:space="preserve">EK </w:t>
      </w:r>
    </w:p>
    <w:p w14:paraId="1FA1EFAF" w14:textId="3539D4F4" w:rsidR="004C6ABD" w:rsidRDefault="004C6ABD" w:rsidP="00AD6501">
      <w:pPr>
        <w:spacing w:before="120" w:after="120" w:line="0" w:lineRule="atLeast"/>
        <w:jc w:val="both"/>
      </w:pPr>
      <w:r>
        <w:t>Atbilstoši Direktīvas prasībām Latvija reizi trijos gados iesniedz E</w:t>
      </w:r>
      <w:r w:rsidR="002728B8">
        <w:t>K</w:t>
      </w:r>
      <w:r>
        <w:t xml:space="preserve"> ziņojumu par uzraudzības rezultātiem. Ziņojums par 2022.–2024. gada uzraudzības periodu iesniegts 2025. gadā un ir publiski pieejams VARAM tīmekļvietnē.</w:t>
      </w:r>
      <w:r w:rsidR="00BD0A1B">
        <w:rPr>
          <w:rStyle w:val="FootnoteReference"/>
        </w:rPr>
        <w:footnoteReference w:id="19"/>
      </w:r>
      <w:r>
        <w:t xml:space="preserve"> Detalizēts ekspertu ziņojums par 2025. gada uzraudzības rezultātiem arī ir publiski pieejams VARAM tīmekļvietnē piekļūstamības sadaļā.⁷ Latvija šobrīd atrodas otrajā triju gadu uzraudzības periodā (2025.–2027. gads).</w:t>
      </w:r>
    </w:p>
    <w:p w14:paraId="4B5C366E" w14:textId="77777777" w:rsidR="00D72248" w:rsidRDefault="00D72248" w:rsidP="00AD6501">
      <w:pPr>
        <w:spacing w:before="120" w:after="120" w:line="0" w:lineRule="atLeast"/>
        <w:jc w:val="both"/>
      </w:pPr>
    </w:p>
    <w:p w14:paraId="76068CBA" w14:textId="71EE55F6" w:rsidR="004C6ABD" w:rsidRDefault="004C6ABD" w:rsidP="00AD6501">
      <w:pPr>
        <w:spacing w:before="120" w:after="120" w:line="0" w:lineRule="atLeast"/>
        <w:jc w:val="both"/>
        <w:rPr>
          <w:b/>
          <w:bCs/>
        </w:rPr>
      </w:pPr>
      <w:r>
        <w:rPr>
          <w:b/>
          <w:bCs/>
        </w:rPr>
        <w:t>5. SECINĀJUMI UN TURPMĀK VEICAMIE PASĀKUMI</w:t>
      </w:r>
    </w:p>
    <w:p w14:paraId="60A8B578" w14:textId="77777777" w:rsidR="00D72248" w:rsidRDefault="00D72248" w:rsidP="00AD6501">
      <w:pPr>
        <w:spacing w:before="120" w:after="120" w:line="0" w:lineRule="atLeast"/>
        <w:jc w:val="both"/>
      </w:pPr>
    </w:p>
    <w:p w14:paraId="7451A212" w14:textId="77777777" w:rsidR="004C6ABD" w:rsidRDefault="004C6ABD" w:rsidP="00AD6501">
      <w:pPr>
        <w:spacing w:before="120" w:after="120" w:line="0" w:lineRule="atLeast"/>
        <w:jc w:val="both"/>
      </w:pPr>
      <w:r>
        <w:rPr>
          <w:b/>
          <w:bCs/>
        </w:rPr>
        <w:t>5.1. Secinājumi</w:t>
      </w:r>
    </w:p>
    <w:p w14:paraId="380448EA" w14:textId="447E3C2F" w:rsidR="004C6ABD" w:rsidRDefault="004C6ABD" w:rsidP="00AD6501">
      <w:pPr>
        <w:spacing w:before="120" w:after="120" w:line="0" w:lineRule="atLeast"/>
        <w:jc w:val="both"/>
      </w:pPr>
      <w:r>
        <w:t>Pamatojoties uz 2024.–2025. gada uzraudzības rezultātiem un to salīdzinājumu ar iepriekšējiem periodiem, secināms:</w:t>
      </w:r>
    </w:p>
    <w:p w14:paraId="176E00DE" w14:textId="77777777" w:rsidR="004C6ABD" w:rsidRDefault="004C6ABD" w:rsidP="00AD6501">
      <w:pPr>
        <w:spacing w:before="120" w:after="120" w:line="0" w:lineRule="atLeast"/>
        <w:ind w:left="360" w:hanging="360"/>
        <w:jc w:val="both"/>
      </w:pPr>
      <w:r>
        <w:t>1.</w:t>
      </w:r>
      <w:r>
        <w:tab/>
        <w:t>Digitālās piekļūstamības nodrošināšana publiskajā sektorā ir ilgtermiņa process, kurā vērojams pakāpenisks progress. Atsevišķos vienkāršotā izvērtējuma kritērijos uzlabojumi starp 2024. un 2025. gadu ir būtiski (navigācija, alternatīvie teksti, tastatūras piekļuve), savukārt dziļāka rakstura strukturālie izaicinājumi prasa sistemātiskāku pieeju.</w:t>
      </w:r>
    </w:p>
    <w:p w14:paraId="7223FF8A" w14:textId="77777777" w:rsidR="004C6ABD" w:rsidRDefault="004C6ABD" w:rsidP="00AD6501">
      <w:pPr>
        <w:spacing w:before="120" w:after="120" w:line="0" w:lineRule="atLeast"/>
        <w:ind w:left="360" w:hanging="360"/>
        <w:jc w:val="both"/>
      </w:pPr>
      <w:r>
        <w:t>2.</w:t>
      </w:r>
      <w:r>
        <w:tab/>
        <w:t>Tīmekļvietnes un mobilās lietotnes uzrāda atšķirīgu piekļūstamības līmeni. Lietotāju testu scenāriju izpildes rādītājs mobilajām lietotnēm (43,8 %) ir zemāks nekā tīmekļvietnēm (75,0 %), kas norāda uz nepieciešamību pievērst lielāku uzmanību mobilo lietotņu piekļūstamībai.</w:t>
      </w:r>
    </w:p>
    <w:p w14:paraId="6A0F487E" w14:textId="77777777" w:rsidR="004C6ABD" w:rsidRDefault="004C6ABD" w:rsidP="00AD6501">
      <w:pPr>
        <w:spacing w:before="120" w:after="120" w:line="0" w:lineRule="atLeast"/>
        <w:ind w:left="360" w:hanging="360"/>
        <w:jc w:val="both"/>
      </w:pPr>
      <w:r>
        <w:t>3.</w:t>
      </w:r>
      <w:r>
        <w:tab/>
        <w:t>TVP platforma sniedz izmērāmas priekšrocības piekļūstamībā. TVP tīmekļvietnes konsekventi uzrāda labākus rādītājus visos trijos uzraudzības periodos, apliecinot centralizētas platformas pieejas vērtību.</w:t>
      </w:r>
    </w:p>
    <w:p w14:paraId="675CF13F" w14:textId="77777777" w:rsidR="004C6ABD" w:rsidRDefault="004C6ABD" w:rsidP="00AD6501">
      <w:pPr>
        <w:spacing w:before="120" w:after="120" w:line="0" w:lineRule="atLeast"/>
        <w:ind w:left="360" w:hanging="360"/>
        <w:jc w:val="both"/>
      </w:pPr>
      <w:r>
        <w:t>4.</w:t>
      </w:r>
      <w:r>
        <w:tab/>
        <w:t>Iestāžu pašvērtēšanas spēja pilnveidojas, taču nevienmērīgi. Dati rāda, ka atsevišķos WCAG 2.1 kritērijos iestāžu patstāvīgie pašvērtējumi vēl neatspoguļo pilnu neatbilstību apmēru, jo šo kritēriju tehniskā novērtēšana prasa specializētu kompetenci.</w:t>
      </w:r>
    </w:p>
    <w:p w14:paraId="5B00743E" w14:textId="5F64AADD" w:rsidR="004C6ABD" w:rsidRDefault="004C6ABD" w:rsidP="00AD6501">
      <w:pPr>
        <w:spacing w:before="120" w:after="120" w:line="0" w:lineRule="atLeast"/>
        <w:ind w:left="360" w:hanging="360"/>
        <w:jc w:val="both"/>
      </w:pPr>
      <w:r>
        <w:t>5.</w:t>
      </w:r>
      <w:r>
        <w:tab/>
        <w:t>Turpmākajos pasākumos nepieciešama vēl atbalstošāka un mērķtiecīgāka pieeja — ne tikai uzraudzība, bet arī iestādēm pielāgots metodiskais atbalsts un pozitīva motivācija.</w:t>
      </w:r>
    </w:p>
    <w:p w14:paraId="3CC55613" w14:textId="77777777" w:rsidR="00D72248" w:rsidRDefault="00D72248" w:rsidP="00AD6501">
      <w:pPr>
        <w:spacing w:before="120" w:after="120" w:line="0" w:lineRule="atLeast"/>
        <w:ind w:left="360" w:hanging="360"/>
        <w:jc w:val="both"/>
      </w:pPr>
    </w:p>
    <w:p w14:paraId="133A49E8" w14:textId="33FBBABA" w:rsidR="004C6ABD" w:rsidRDefault="004C6ABD" w:rsidP="00AD6501">
      <w:pPr>
        <w:spacing w:before="120" w:after="120" w:line="0" w:lineRule="atLeast"/>
        <w:jc w:val="both"/>
      </w:pPr>
      <w:r>
        <w:rPr>
          <w:b/>
          <w:bCs/>
        </w:rPr>
        <w:lastRenderedPageBreak/>
        <w:t>5.2. Turpmāk veicamie pasākumi</w:t>
      </w:r>
    </w:p>
    <w:p w14:paraId="7EA471E8" w14:textId="77777777" w:rsidR="00D72248" w:rsidRDefault="00D72248" w:rsidP="00AD6501">
      <w:pPr>
        <w:spacing w:before="120" w:after="120" w:line="0" w:lineRule="atLeast"/>
        <w:jc w:val="both"/>
        <w:rPr>
          <w:b/>
          <w:bCs/>
        </w:rPr>
      </w:pPr>
    </w:p>
    <w:p w14:paraId="3E31F437" w14:textId="0EB631E2" w:rsidR="004C6ABD" w:rsidRDefault="004C6ABD" w:rsidP="00AD6501">
      <w:pPr>
        <w:spacing w:before="120" w:after="120" w:line="0" w:lineRule="atLeast"/>
        <w:jc w:val="both"/>
      </w:pPr>
      <w:r>
        <w:rPr>
          <w:b/>
          <w:bCs/>
        </w:rPr>
        <w:t>Īstermiņā (2026. gadā):</w:t>
      </w:r>
    </w:p>
    <w:p w14:paraId="1D72BEE5" w14:textId="3E8918A9" w:rsidR="004C6ABD" w:rsidRDefault="004C6ABD" w:rsidP="002A2039">
      <w:pPr>
        <w:pStyle w:val="ListParagraph"/>
        <w:numPr>
          <w:ilvl w:val="0"/>
          <w:numId w:val="29"/>
        </w:numPr>
        <w:spacing w:before="120" w:after="120" w:line="0" w:lineRule="atLeast"/>
        <w:ind w:left="851"/>
        <w:jc w:val="both"/>
      </w:pPr>
      <w:r>
        <w:t>Turpināt TVP platformas piekļūstamības uzlabošanu, fokusējoties uz satura struktūru (WCAG 1.3.1.), interaktīvo elementu semantiku (WCAG 4.1.2.) un kontrastu (WCAG 1.4.3.) — tā kā platformā darbojas vairāk nekā 120 tīmekļvietnes un drīzumā pievienosies vēl aptuveni 40, platformas līmeņa uzlabojumiem ir īpaši plaša ietekme.</w:t>
      </w:r>
    </w:p>
    <w:p w14:paraId="561213A8" w14:textId="747CA4FB" w:rsidR="004C6ABD" w:rsidRDefault="004C6ABD" w:rsidP="002A2039">
      <w:pPr>
        <w:pStyle w:val="ListParagraph"/>
        <w:numPr>
          <w:ilvl w:val="0"/>
          <w:numId w:val="29"/>
        </w:numPr>
        <w:spacing w:before="120" w:after="120" w:line="0" w:lineRule="atLeast"/>
        <w:ind w:left="851"/>
        <w:jc w:val="both"/>
      </w:pPr>
      <w:r>
        <w:t>Organizēt mērķtiecīgu kampaņu piekļūstamības paziņojumu aktualizēšanas veicināšanai, sniedzot iestādēm metodisko atbalstu.</w:t>
      </w:r>
    </w:p>
    <w:p w14:paraId="0E890447" w14:textId="291F790F" w:rsidR="004C6ABD" w:rsidRDefault="004C6ABD" w:rsidP="002A2039">
      <w:pPr>
        <w:pStyle w:val="ListParagraph"/>
        <w:numPr>
          <w:ilvl w:val="0"/>
          <w:numId w:val="29"/>
        </w:numPr>
        <w:spacing w:before="120" w:after="120" w:line="0" w:lineRule="atLeast"/>
        <w:ind w:left="851"/>
        <w:jc w:val="both"/>
      </w:pPr>
      <w:r>
        <w:t>Veicināt alternatīvo tekstu pievienošanas praksi, izstrādājot praktiskas video pamācības.</w:t>
      </w:r>
    </w:p>
    <w:p w14:paraId="7793A145" w14:textId="1F9C0CC5" w:rsidR="004C6ABD" w:rsidRDefault="004C6ABD" w:rsidP="002A2039">
      <w:pPr>
        <w:pStyle w:val="ListParagraph"/>
        <w:numPr>
          <w:ilvl w:val="0"/>
          <w:numId w:val="29"/>
        </w:numPr>
        <w:spacing w:before="120" w:after="120" w:line="0" w:lineRule="atLeast"/>
        <w:ind w:left="851"/>
        <w:jc w:val="both"/>
      </w:pPr>
      <w:r>
        <w:t>Uzsākt kvalitatīvu pētījumu par piekļūstamības neatbilstību pamatcēloņiem iestādēs, lai mērķtiecīgāk plānotu turpmākos atbalsta pasākumus.</w:t>
      </w:r>
    </w:p>
    <w:p w14:paraId="759EC594" w14:textId="77777777" w:rsidR="004C6ABD" w:rsidRDefault="004C6ABD" w:rsidP="00AD6501">
      <w:pPr>
        <w:spacing w:before="120" w:after="120" w:line="0" w:lineRule="atLeast"/>
        <w:jc w:val="both"/>
      </w:pPr>
      <w:r>
        <w:rPr>
          <w:b/>
          <w:bCs/>
        </w:rPr>
        <w:t>Vidējā termiņā (2026.–2027. gadā):</w:t>
      </w:r>
    </w:p>
    <w:p w14:paraId="670EC629" w14:textId="5A028DBF" w:rsidR="004C6ABD" w:rsidRDefault="004C6ABD" w:rsidP="009732EE">
      <w:pPr>
        <w:pStyle w:val="ListParagraph"/>
        <w:numPr>
          <w:ilvl w:val="0"/>
          <w:numId w:val="30"/>
        </w:numPr>
        <w:spacing w:before="120" w:after="120" w:line="0" w:lineRule="atLeast"/>
        <w:jc w:val="both"/>
      </w:pPr>
      <w:r>
        <w:t>Izstrādāt mērķtiecīgu apmācību programmu iestāžu satura veidotājiem un IT speciālistiem, aptverot WCAG 2.1 kritēriju praktisko piemērošanu un pašvērtēšanas metodiku.</w:t>
      </w:r>
    </w:p>
    <w:p w14:paraId="3CD4F56D" w14:textId="3A981B83" w:rsidR="004C6ABD" w:rsidRDefault="004C6ABD" w:rsidP="009732EE">
      <w:pPr>
        <w:pStyle w:val="ListParagraph"/>
        <w:numPr>
          <w:ilvl w:val="0"/>
          <w:numId w:val="30"/>
        </w:numPr>
        <w:spacing w:before="120" w:after="120" w:line="0" w:lineRule="atLeast"/>
        <w:jc w:val="both"/>
      </w:pPr>
      <w:r>
        <w:t>Izveidot publiski pieejamu tiešsaistes piekļūstamības paneli ar katras publiskā sektora tīmekļvietnes piekļūstamības statusu reāllaikā.</w:t>
      </w:r>
    </w:p>
    <w:p w14:paraId="50D82AF7" w14:textId="7557CA8F" w:rsidR="004C6ABD" w:rsidRDefault="004C6ABD" w:rsidP="009732EE">
      <w:pPr>
        <w:pStyle w:val="ListParagraph"/>
        <w:numPr>
          <w:ilvl w:val="0"/>
          <w:numId w:val="30"/>
        </w:numPr>
        <w:spacing w:before="120" w:after="120" w:line="0" w:lineRule="atLeast"/>
        <w:jc w:val="both"/>
      </w:pPr>
      <w:r>
        <w:t>Ieviest piekļūstamības atzinības sistēmu, publiski atzīstot iestādes ar labu piekļūstamības līmeni.</w:t>
      </w:r>
    </w:p>
    <w:p w14:paraId="0FF533CE" w14:textId="69E91680" w:rsidR="004C6ABD" w:rsidRDefault="004C6ABD" w:rsidP="009732EE">
      <w:pPr>
        <w:pStyle w:val="ListParagraph"/>
        <w:numPr>
          <w:ilvl w:val="0"/>
          <w:numId w:val="30"/>
        </w:numPr>
        <w:spacing w:before="120" w:after="120" w:line="0" w:lineRule="atLeast"/>
        <w:jc w:val="both"/>
      </w:pPr>
      <w:r>
        <w:t>Veidot starpinstitucionālu piekļūstamības ekspertu tīklu koordinētam atbalstam iestādēm.</w:t>
      </w:r>
    </w:p>
    <w:p w14:paraId="0BCACEFD" w14:textId="5778DBB2" w:rsidR="004C6ABD" w:rsidRDefault="004C6ABD" w:rsidP="009732EE">
      <w:pPr>
        <w:pStyle w:val="ListParagraph"/>
        <w:numPr>
          <w:ilvl w:val="0"/>
          <w:numId w:val="30"/>
        </w:numPr>
        <w:spacing w:before="120" w:after="120" w:line="0" w:lineRule="atLeast"/>
        <w:jc w:val="both"/>
      </w:pPr>
      <w:r>
        <w:t>Izveidot vienotu publiski pieejamu informācijas avotu, kurā iedzīvotāji var uzzināt par savām tiesībām un sūdzību iesniegšanas iespējām.</w:t>
      </w:r>
    </w:p>
    <w:p w14:paraId="7E738032" w14:textId="77777777" w:rsidR="004C6ABD" w:rsidRDefault="004C6ABD" w:rsidP="00AD6501">
      <w:pPr>
        <w:spacing w:before="120" w:after="120" w:line="0" w:lineRule="atLeast"/>
        <w:jc w:val="both"/>
      </w:pPr>
      <w:r>
        <w:rPr>
          <w:b/>
          <w:bCs/>
        </w:rPr>
        <w:t>Ilgtermiņā (no 2027. gada):</w:t>
      </w:r>
    </w:p>
    <w:p w14:paraId="3009F886" w14:textId="3F5A304D" w:rsidR="004C6ABD" w:rsidRDefault="004C6ABD" w:rsidP="002A2039">
      <w:pPr>
        <w:pStyle w:val="ListParagraph"/>
        <w:numPr>
          <w:ilvl w:val="0"/>
          <w:numId w:val="32"/>
        </w:numPr>
        <w:spacing w:before="120" w:after="120" w:line="0" w:lineRule="atLeast"/>
        <w:jc w:val="both"/>
      </w:pPr>
      <w:r>
        <w:t>Ieviest regulāru automatizētu piekļūstamības skenēšanu (vismaz reizi ceturksnī) ar rezultātu publiskošanu kā atvērtus datus.</w:t>
      </w:r>
    </w:p>
    <w:p w14:paraId="098FF7FC" w14:textId="7E223ECB" w:rsidR="004C6ABD" w:rsidRDefault="004C6ABD" w:rsidP="002A2039">
      <w:pPr>
        <w:pStyle w:val="ListParagraph"/>
        <w:numPr>
          <w:ilvl w:val="0"/>
          <w:numId w:val="32"/>
        </w:numPr>
        <w:spacing w:before="120" w:after="120" w:line="0" w:lineRule="atLeast"/>
        <w:jc w:val="both"/>
      </w:pPr>
      <w:r>
        <w:t>Paplašināt lietotāju testēšanu, iekļaujot dažādākus funkcionālo traucējumu profilus.</w:t>
      </w:r>
    </w:p>
    <w:p w14:paraId="73294713" w14:textId="304818D1" w:rsidR="004C6ABD" w:rsidRDefault="004C6ABD" w:rsidP="002A2039">
      <w:pPr>
        <w:pStyle w:val="ListParagraph"/>
        <w:numPr>
          <w:ilvl w:val="0"/>
          <w:numId w:val="32"/>
        </w:numPr>
        <w:spacing w:before="120" w:after="120" w:line="0" w:lineRule="atLeast"/>
        <w:jc w:val="both"/>
      </w:pPr>
      <w:r>
        <w:t>Nodrošināt piekļūstamības prasību iekļaušanu visā publiskā sektora iepirkumu dokumentācijā kā obligātu kritēriju.</w:t>
      </w:r>
    </w:p>
    <w:p w14:paraId="11989D84" w14:textId="41064568" w:rsidR="004C6ABD" w:rsidRDefault="004C6ABD" w:rsidP="002A2039">
      <w:pPr>
        <w:pStyle w:val="ListParagraph"/>
        <w:numPr>
          <w:ilvl w:val="0"/>
          <w:numId w:val="32"/>
        </w:numPr>
        <w:spacing w:before="120" w:after="120" w:line="0" w:lineRule="atLeast"/>
        <w:jc w:val="both"/>
      </w:pPr>
      <w:r>
        <w:t>Izstrādāt nozarei pielāgotas apmācību programmas un veidot piekļūstamības referentu tīklu iestādēs.</w:t>
      </w:r>
    </w:p>
    <w:p w14:paraId="26DF7CF0" w14:textId="5F7C49BA" w:rsidR="004C6ABD" w:rsidRDefault="004C6ABD" w:rsidP="002A2039">
      <w:pPr>
        <w:pStyle w:val="ListParagraph"/>
        <w:numPr>
          <w:ilvl w:val="0"/>
          <w:numId w:val="32"/>
        </w:numPr>
        <w:spacing w:before="120" w:after="120" w:line="0" w:lineRule="atLeast"/>
        <w:jc w:val="both"/>
      </w:pPr>
      <w:r>
        <w:t>Izstrādāt informatīvus materiālus par digitālo piekļūstamību vieglajā valodā.</w:t>
      </w:r>
    </w:p>
    <w:p w14:paraId="40A9602D" w14:textId="78534E68" w:rsidR="004C6ABD" w:rsidRDefault="004C6ABD" w:rsidP="002A2039">
      <w:pPr>
        <w:pStyle w:val="ListParagraph"/>
        <w:numPr>
          <w:ilvl w:val="0"/>
          <w:numId w:val="32"/>
        </w:numPr>
        <w:spacing w:before="120" w:after="120" w:line="0" w:lineRule="atLeast"/>
        <w:jc w:val="both"/>
      </w:pPr>
      <w:r>
        <w:t>Uzsākt mākslīgā intelekta rīku pilotēšanu alternatīvo tekstu ģenerēšanā.</w:t>
      </w:r>
    </w:p>
    <w:p w14:paraId="57229F67" w14:textId="77777777" w:rsidR="00D72248" w:rsidRDefault="00D72248" w:rsidP="00AD6501">
      <w:pPr>
        <w:spacing w:before="120" w:after="120" w:line="0" w:lineRule="atLeast"/>
        <w:jc w:val="both"/>
        <w:rPr>
          <w:b/>
          <w:bCs/>
        </w:rPr>
      </w:pPr>
    </w:p>
    <w:p w14:paraId="49038D9A" w14:textId="07A16EC1" w:rsidR="004C6ABD" w:rsidRDefault="004C6ABD" w:rsidP="00AD6501">
      <w:pPr>
        <w:spacing w:before="120" w:after="120" w:line="0" w:lineRule="atLeast"/>
        <w:jc w:val="both"/>
        <w:rPr>
          <w:b/>
          <w:bCs/>
        </w:rPr>
      </w:pPr>
      <w:r>
        <w:rPr>
          <w:b/>
          <w:bCs/>
        </w:rPr>
        <w:t>6. TURPMĀKĀS ZIŅOŠANAS KĀRTĪBA</w:t>
      </w:r>
    </w:p>
    <w:p w14:paraId="12228770" w14:textId="77777777" w:rsidR="00D72248" w:rsidRDefault="00D72248" w:rsidP="00AD6501">
      <w:pPr>
        <w:spacing w:before="120" w:after="120" w:line="0" w:lineRule="atLeast"/>
        <w:jc w:val="both"/>
      </w:pPr>
    </w:p>
    <w:p w14:paraId="744B478A" w14:textId="73E9604C" w:rsidR="004C6ABD" w:rsidRDefault="004C6ABD" w:rsidP="00AD6501">
      <w:pPr>
        <w:spacing w:before="120" w:after="120" w:line="0" w:lineRule="atLeast"/>
        <w:jc w:val="both"/>
      </w:pPr>
      <w:r>
        <w:t xml:space="preserve">Ievērojot </w:t>
      </w:r>
      <w:r w:rsidR="002728B8">
        <w:t xml:space="preserve">MK </w:t>
      </w:r>
      <w:r w:rsidR="002728B8" w:rsidRPr="002728B8">
        <w:t>2020. gada 14. jūlija sēdes protokollēmuma</w:t>
      </w:r>
      <w:r w:rsidR="00332DE6">
        <w:t xml:space="preserve"> </w:t>
      </w:r>
      <w:r w:rsidR="002728B8" w:rsidRPr="002728B8">
        <w:t xml:space="preserve"> (prot. Nr. 44 21.§) 3. punkt</w:t>
      </w:r>
      <w:r w:rsidR="002728B8">
        <w:t xml:space="preserve">ā doto uzdevumu, </w:t>
      </w:r>
      <w:r w:rsidR="002728B8" w:rsidRPr="002728B8">
        <w:t xml:space="preserve"> </w:t>
      </w:r>
      <w:r w:rsidR="002728B8">
        <w:t xml:space="preserve"> par to, ka </w:t>
      </w:r>
      <w:r w:rsidR="002728B8" w:rsidRPr="002728B8">
        <w:t xml:space="preserve">2026.gada kārtējā informatīvajā ziņojumā </w:t>
      </w:r>
      <w:r w:rsidR="002728B8">
        <w:t xml:space="preserve">VARAM </w:t>
      </w:r>
      <w:r w:rsidR="002728B8" w:rsidRPr="002728B8">
        <w:t>papildus izvērtē ikgadējā informatīvā ziņojuma iesniegšanas nepieciešamību</w:t>
      </w:r>
      <w:r w:rsidR="002728B8">
        <w:t xml:space="preserve">, </w:t>
      </w:r>
      <w:r w:rsidR="002728B8" w:rsidRPr="002728B8">
        <w:t xml:space="preserve"> </w:t>
      </w:r>
      <w:r>
        <w:t xml:space="preserve">VARAM ierosina turpmāk </w:t>
      </w:r>
      <w:r w:rsidR="00DA5D59">
        <w:t>ziņos</w:t>
      </w:r>
      <w:r>
        <w:t xml:space="preserve"> reizi trijos gados — vienlaikus ar ziņojuma iesniegšanu E</w:t>
      </w:r>
      <w:r w:rsidR="002728B8">
        <w:t>K</w:t>
      </w:r>
      <w:r>
        <w:t xml:space="preserve"> atbilstoši Direktīvas 2016/2102 prasībām.</w:t>
      </w:r>
    </w:p>
    <w:p w14:paraId="504E19D2" w14:textId="6E91052E" w:rsidR="004C6ABD" w:rsidRDefault="004C6ABD" w:rsidP="00AD6501">
      <w:pPr>
        <w:spacing w:before="120" w:after="120" w:line="0" w:lineRule="atLeast"/>
        <w:jc w:val="both"/>
      </w:pPr>
      <w:r>
        <w:t xml:space="preserve">Šāds cikls ir lietderīgs trīs apsvērumu dēļ. Pirmkārt, vairāku uzraudzības gadu apvienošana vienā </w:t>
      </w:r>
      <w:r w:rsidR="002728B8">
        <w:t xml:space="preserve">informatīvajā </w:t>
      </w:r>
      <w:r>
        <w:t xml:space="preserve">ziņojumā nodrošina tendenču analīzi un dziļāku priekšstatu par situācijas attīstību, kā to </w:t>
      </w:r>
      <w:r>
        <w:lastRenderedPageBreak/>
        <w:t xml:space="preserve">apliecina arī šis </w:t>
      </w:r>
      <w:r w:rsidR="002728B8">
        <w:t>Informatīvais z</w:t>
      </w:r>
      <w:r>
        <w:t>iņojums. Otrkārt, uzraudzības rezultāti ir publiski pieejami pastāvīgi VARAM tīmekļvietnē — interaktīvā datu panelī, ekspertu ziņojumos un metodiskajos materiālos — tādēļ sabiedriskā pārraudzība netiek samazināta. Treškārt, EK triju gadu uzraudzības cikls nodrošina regulāru starptautisku pārraudzību ar neatkarīgu salīdzinošo analīzi</w:t>
      </w:r>
      <w:r w:rsidR="00352EE7">
        <w:t xml:space="preserve"> ES dalībvalstu kontekstā</w:t>
      </w:r>
      <w:r>
        <w:t>.</w:t>
      </w:r>
    </w:p>
    <w:p w14:paraId="5E457D85" w14:textId="6D6E23F9" w:rsidR="004C6ABD" w:rsidRDefault="004C6ABD" w:rsidP="00AD6501">
      <w:pPr>
        <w:spacing w:before="120" w:after="120" w:line="0" w:lineRule="atLeast"/>
        <w:jc w:val="both"/>
      </w:pPr>
      <w:r>
        <w:t>Starpperiodos uzraudzības rezultāti tiks pastāvīgi publiskoti VARAM tīmekļvietnē. Ja konstatētas būtiskas sistēmiskas problēmas, kas prasa politisku lēmumu, VARAM</w:t>
      </w:r>
      <w:r w:rsidR="00352EE7">
        <w:t xml:space="preserve"> sniegs MK</w:t>
      </w:r>
      <w:r>
        <w:t xml:space="preserve"> informatīvo ziņojumu arī ārpus plānotā cikla.</w:t>
      </w:r>
    </w:p>
    <w:p w14:paraId="1B2EDCF0" w14:textId="77777777" w:rsidR="00D72248" w:rsidRDefault="00D72248" w:rsidP="00AD6501">
      <w:pPr>
        <w:spacing w:before="120" w:after="120" w:line="0" w:lineRule="atLeast"/>
        <w:jc w:val="both"/>
      </w:pPr>
    </w:p>
    <w:p w14:paraId="593A7FC0" w14:textId="41E1B142" w:rsidR="00D72248" w:rsidRDefault="00332DE6" w:rsidP="00AD6501">
      <w:pPr>
        <w:spacing w:before="120" w:after="120" w:line="0" w:lineRule="atLeast"/>
        <w:jc w:val="both"/>
      </w:pPr>
      <w:r>
        <w:t>Ņemot vērā iepriekš minēto</w:t>
      </w:r>
      <w:r w:rsidR="00B41C2B">
        <w:t>,</w:t>
      </w:r>
      <w:r w:rsidR="007A3E77">
        <w:t xml:space="preserve"> VARAM</w:t>
      </w:r>
      <w:r w:rsidR="008B0B2B">
        <w:t xml:space="preserve"> </w:t>
      </w:r>
      <w:r w:rsidR="00C31C4A">
        <w:t>lūdz</w:t>
      </w:r>
      <w:r>
        <w:t>:</w:t>
      </w:r>
    </w:p>
    <w:p w14:paraId="306F29C1" w14:textId="2B4D9EBD" w:rsidR="006E36A8" w:rsidRPr="00352EE7" w:rsidRDefault="00332DE6" w:rsidP="00352EE7">
      <w:pPr>
        <w:pStyle w:val="ListParagraph"/>
        <w:numPr>
          <w:ilvl w:val="0"/>
          <w:numId w:val="21"/>
        </w:numPr>
        <w:spacing w:before="120" w:after="120" w:line="0" w:lineRule="atLeast"/>
        <w:contextualSpacing w:val="0"/>
        <w:jc w:val="both"/>
        <w:rPr>
          <w:rFonts w:eastAsia="Aptos"/>
          <w:kern w:val="2"/>
          <w:lang w:eastAsia="en-US"/>
          <w14:ligatures w14:val="standardContextual"/>
        </w:rPr>
      </w:pPr>
      <w:r w:rsidRPr="00D72248">
        <w:rPr>
          <w:rFonts w:eastAsia="Aptos"/>
          <w:kern w:val="2"/>
          <w:lang w:eastAsia="en-US"/>
          <w14:ligatures w14:val="standardContextual"/>
        </w:rPr>
        <w:t>Pieņemt zināšanai iesniegto informatīvo ziņojumu "Par publisko personu tīmekļvietņu un mobilo lietotņu piekļūstamību 2024.–2025. gada uzraudzības periodā".</w:t>
      </w:r>
    </w:p>
    <w:p w14:paraId="208E0F8F" w14:textId="12EC7C78" w:rsidR="00D72248" w:rsidRDefault="005648CC" w:rsidP="00AD6501">
      <w:pPr>
        <w:pStyle w:val="ListParagraph"/>
        <w:numPr>
          <w:ilvl w:val="0"/>
          <w:numId w:val="21"/>
        </w:numPr>
        <w:spacing w:before="120" w:after="120" w:line="0" w:lineRule="atLeast"/>
        <w:contextualSpacing w:val="0"/>
        <w:jc w:val="both"/>
        <w:rPr>
          <w:rFonts w:eastAsia="Aptos"/>
          <w:kern w:val="2"/>
          <w:lang w:eastAsia="en-US"/>
          <w14:ligatures w14:val="standardContextual"/>
        </w:rPr>
      </w:pPr>
      <w:r>
        <w:rPr>
          <w:rFonts w:eastAsia="Aptos"/>
          <w:kern w:val="2"/>
          <w:lang w:eastAsia="en-US"/>
          <w14:ligatures w14:val="standardContextual"/>
        </w:rPr>
        <w:t>Pieņemt zināšanai</w:t>
      </w:r>
      <w:r w:rsidR="003C1CBB">
        <w:rPr>
          <w:rFonts w:eastAsia="Aptos"/>
          <w:kern w:val="2"/>
          <w:lang w:eastAsia="en-US"/>
          <w14:ligatures w14:val="standardContextual"/>
        </w:rPr>
        <w:t>, ka</w:t>
      </w:r>
      <w:r w:rsidR="00332DE6" w:rsidRPr="00D72248">
        <w:rPr>
          <w:rFonts w:eastAsia="Aptos"/>
          <w:kern w:val="2"/>
          <w:lang w:eastAsia="en-US"/>
          <w14:ligatures w14:val="standardContextual"/>
        </w:rPr>
        <w:t xml:space="preserve"> Viedās administrācijas un reģionālās attīstības ministrija turpmāk</w:t>
      </w:r>
      <w:r w:rsidR="003C1CBB">
        <w:rPr>
          <w:rFonts w:eastAsia="Aptos"/>
          <w:kern w:val="2"/>
          <w:lang w:eastAsia="en-US"/>
          <w14:ligatures w14:val="standardContextual"/>
        </w:rPr>
        <w:t xml:space="preserve"> veiks šādas darbības in</w:t>
      </w:r>
      <w:r w:rsidR="001C7300">
        <w:rPr>
          <w:rFonts w:eastAsia="Aptos"/>
          <w:kern w:val="2"/>
          <w:lang w:eastAsia="en-US"/>
          <w14:ligatures w14:val="standardContextual"/>
        </w:rPr>
        <w:t xml:space="preserve">formācijas publiskošanai par </w:t>
      </w:r>
      <w:r w:rsidR="00BF5644">
        <w:rPr>
          <w:rFonts w:eastAsia="Aptos"/>
          <w:kern w:val="2"/>
          <w:lang w:eastAsia="en-US"/>
          <w14:ligatures w14:val="standardContextual"/>
        </w:rPr>
        <w:t>publiskā sektora tīmekļvietņu un mobilo lietotņu piekļūstamību</w:t>
      </w:r>
      <w:r w:rsidR="001A52A2" w:rsidRPr="00D72248">
        <w:rPr>
          <w:rFonts w:eastAsia="Aptos"/>
          <w:kern w:val="2"/>
          <w:lang w:eastAsia="en-US"/>
          <w14:ligatures w14:val="standardContextual"/>
        </w:rPr>
        <w:t>:</w:t>
      </w:r>
    </w:p>
    <w:p w14:paraId="32F5D452" w14:textId="5574F94A" w:rsidR="00D72248" w:rsidRDefault="001A74BC" w:rsidP="00AD6501">
      <w:pPr>
        <w:pStyle w:val="ListParagraph"/>
        <w:spacing w:before="120" w:after="120" w:line="0" w:lineRule="atLeast"/>
        <w:contextualSpacing w:val="0"/>
        <w:jc w:val="both"/>
        <w:rPr>
          <w:rFonts w:eastAsia="Aptos"/>
          <w:kern w:val="2"/>
          <w:lang w:eastAsia="en-US"/>
          <w14:ligatures w14:val="standardContextual"/>
        </w:rPr>
      </w:pPr>
      <w:r>
        <w:rPr>
          <w:rFonts w:eastAsia="Aptos"/>
          <w:kern w:val="2"/>
          <w:lang w:eastAsia="en-US"/>
          <w14:ligatures w14:val="standardContextual"/>
        </w:rPr>
        <w:t>2</w:t>
      </w:r>
      <w:r w:rsidR="001A52A2" w:rsidRPr="00D72248">
        <w:rPr>
          <w:rFonts w:eastAsia="Aptos"/>
          <w:kern w:val="2"/>
          <w:lang w:eastAsia="en-US"/>
          <w14:ligatures w14:val="standardContextual"/>
        </w:rPr>
        <w:t>.1.</w:t>
      </w:r>
      <w:r w:rsidR="006E36A8">
        <w:rPr>
          <w:rFonts w:eastAsia="Aptos"/>
          <w:kern w:val="2"/>
          <w:lang w:eastAsia="en-US"/>
          <w14:ligatures w14:val="standardContextual"/>
        </w:rPr>
        <w:t xml:space="preserve"> </w:t>
      </w:r>
      <w:r w:rsidR="00332DE6" w:rsidRPr="00D72248">
        <w:rPr>
          <w:rFonts w:eastAsia="Aptos"/>
          <w:kern w:val="2"/>
          <w:lang w:eastAsia="en-US"/>
          <w14:ligatures w14:val="standardContextual"/>
        </w:rPr>
        <w:t>iesnieg</w:t>
      </w:r>
      <w:r>
        <w:rPr>
          <w:rFonts w:eastAsia="Aptos"/>
          <w:kern w:val="2"/>
          <w:lang w:eastAsia="en-US"/>
          <w14:ligatures w14:val="standardContextual"/>
        </w:rPr>
        <w:t>s</w:t>
      </w:r>
      <w:r w:rsidR="00332DE6" w:rsidRPr="00D72248">
        <w:rPr>
          <w:rFonts w:eastAsia="Aptos"/>
          <w:kern w:val="2"/>
          <w:lang w:eastAsia="en-US"/>
          <w14:ligatures w14:val="standardContextual"/>
        </w:rPr>
        <w:t xml:space="preserve"> informatīvo ziņojumu par publisko personu tīmekļvietņu un mobilo lietotņu piekļūstamību vienlaikus ar ziņojuma iesniegšanu Eiropas Komisijai atbilstoši Eiropas Parlamenta un Padomes Direktīvas Direktīvas (ES) 2016/2102 par publiskā sektora struktūru tīmekļvietņu un mobilo lietotņu piekļūstamību prasībām (reizi trijos gados)</w:t>
      </w:r>
      <w:r w:rsidR="007E40C5">
        <w:rPr>
          <w:rFonts w:eastAsia="Aptos"/>
          <w:kern w:val="2"/>
          <w:lang w:eastAsia="en-US"/>
          <w14:ligatures w14:val="standardContextual"/>
        </w:rPr>
        <w:t>;</w:t>
      </w:r>
    </w:p>
    <w:p w14:paraId="6AD072B5" w14:textId="7B4C0482" w:rsidR="00332DE6" w:rsidRPr="00332DE6" w:rsidRDefault="005A75DA" w:rsidP="00AD6501">
      <w:pPr>
        <w:pStyle w:val="ListParagraph"/>
        <w:spacing w:before="120" w:after="120" w:line="0" w:lineRule="atLeast"/>
        <w:contextualSpacing w:val="0"/>
        <w:jc w:val="both"/>
        <w:rPr>
          <w:rFonts w:eastAsia="Aptos"/>
          <w:kern w:val="2"/>
          <w:lang w:eastAsia="en-US"/>
          <w14:ligatures w14:val="standardContextual"/>
        </w:rPr>
      </w:pPr>
      <w:r>
        <w:rPr>
          <w:rFonts w:eastAsia="Aptos"/>
          <w:kern w:val="2"/>
          <w:lang w:eastAsia="en-US"/>
          <w14:ligatures w14:val="standardContextual"/>
        </w:rPr>
        <w:t>2</w:t>
      </w:r>
      <w:r w:rsidR="001A52A2">
        <w:rPr>
          <w:rFonts w:eastAsia="Aptos"/>
          <w:kern w:val="2"/>
          <w:lang w:eastAsia="en-US"/>
          <w14:ligatures w14:val="standardContextual"/>
        </w:rPr>
        <w:t>.2.</w:t>
      </w:r>
      <w:r w:rsidR="006E36A8">
        <w:rPr>
          <w:rFonts w:eastAsia="Aptos"/>
          <w:kern w:val="2"/>
          <w:lang w:eastAsia="en-US"/>
          <w14:ligatures w14:val="standardContextual"/>
        </w:rPr>
        <w:t xml:space="preserve"> </w:t>
      </w:r>
      <w:r w:rsidR="001A52A2">
        <w:rPr>
          <w:rFonts w:eastAsia="Aptos"/>
          <w:kern w:val="2"/>
          <w:lang w:eastAsia="en-US"/>
          <w14:ligatures w14:val="standardContextual"/>
        </w:rPr>
        <w:t>nodrošinā</w:t>
      </w:r>
      <w:r w:rsidR="00236EBD">
        <w:rPr>
          <w:rFonts w:eastAsia="Aptos"/>
          <w:kern w:val="2"/>
          <w:lang w:eastAsia="en-US"/>
          <w14:ligatures w14:val="standardContextual"/>
        </w:rPr>
        <w:t>s</w:t>
      </w:r>
      <w:r w:rsidR="001A52A2">
        <w:rPr>
          <w:rFonts w:eastAsia="Aptos"/>
          <w:kern w:val="2"/>
          <w:lang w:eastAsia="en-US"/>
          <w14:ligatures w14:val="standardContextual"/>
        </w:rPr>
        <w:t>, ka</w:t>
      </w:r>
      <w:r w:rsidR="00332DE6" w:rsidRPr="00332DE6">
        <w:rPr>
          <w:rFonts w:eastAsia="Aptos"/>
          <w:kern w:val="2"/>
          <w:lang w:eastAsia="en-US"/>
          <w14:ligatures w14:val="standardContextual"/>
        </w:rPr>
        <w:t xml:space="preserve"> </w:t>
      </w:r>
      <w:r w:rsidR="00236EBD">
        <w:rPr>
          <w:rFonts w:eastAsia="Aptos"/>
          <w:kern w:val="2"/>
          <w:lang w:eastAsia="en-US"/>
          <w14:ligatures w14:val="standardContextual"/>
        </w:rPr>
        <w:t>2.1.apakšpunktā minētajā s</w:t>
      </w:r>
      <w:r w:rsidR="00236EBD" w:rsidRPr="00332DE6">
        <w:rPr>
          <w:rFonts w:eastAsia="Aptos"/>
          <w:kern w:val="2"/>
          <w:lang w:eastAsia="en-US"/>
          <w14:ligatures w14:val="standardContextual"/>
        </w:rPr>
        <w:t>tarpperiod</w:t>
      </w:r>
      <w:r w:rsidR="00236EBD">
        <w:rPr>
          <w:rFonts w:eastAsia="Aptos"/>
          <w:kern w:val="2"/>
          <w:lang w:eastAsia="en-US"/>
          <w14:ligatures w14:val="standardContextual"/>
        </w:rPr>
        <w:t xml:space="preserve">ā </w:t>
      </w:r>
      <w:r w:rsidR="00332DE6" w:rsidRPr="00332DE6">
        <w:rPr>
          <w:rFonts w:eastAsia="Aptos"/>
          <w:kern w:val="2"/>
          <w:lang w:eastAsia="en-US"/>
          <w14:ligatures w14:val="standardContextual"/>
        </w:rPr>
        <w:t xml:space="preserve">uzraudzības rezultāti </w:t>
      </w:r>
      <w:r w:rsidR="001A52A2">
        <w:rPr>
          <w:rFonts w:eastAsia="Aptos"/>
          <w:kern w:val="2"/>
          <w:lang w:eastAsia="en-US"/>
          <w14:ligatures w14:val="standardContextual"/>
        </w:rPr>
        <w:t xml:space="preserve">tiek </w:t>
      </w:r>
      <w:r w:rsidR="00332DE6" w:rsidRPr="00332DE6">
        <w:rPr>
          <w:rFonts w:eastAsia="Aptos"/>
          <w:kern w:val="2"/>
          <w:lang w:eastAsia="en-US"/>
          <w14:ligatures w14:val="standardContextual"/>
        </w:rPr>
        <w:t>publisko</w:t>
      </w:r>
      <w:r w:rsidR="001A52A2">
        <w:rPr>
          <w:rFonts w:eastAsia="Aptos"/>
          <w:kern w:val="2"/>
          <w:lang w:eastAsia="en-US"/>
          <w14:ligatures w14:val="standardContextual"/>
        </w:rPr>
        <w:t>ti</w:t>
      </w:r>
      <w:r w:rsidR="00332DE6" w:rsidRPr="00332DE6">
        <w:rPr>
          <w:rFonts w:eastAsia="Aptos"/>
          <w:kern w:val="2"/>
          <w:lang w:eastAsia="en-US"/>
          <w14:ligatures w14:val="standardContextual"/>
        </w:rPr>
        <w:t xml:space="preserve"> Viedās administrācijas un reģionālās attīstības ministrijas tīmekļvietnē.</w:t>
      </w:r>
    </w:p>
    <w:p w14:paraId="2AED4C22" w14:textId="77777777" w:rsidR="004C6ABD" w:rsidRDefault="004C6ABD" w:rsidP="00AD6501">
      <w:pPr>
        <w:spacing w:before="120" w:after="120" w:line="0" w:lineRule="atLeast"/>
      </w:pPr>
    </w:p>
    <w:p w14:paraId="125EE61D" w14:textId="77777777" w:rsidR="007A3E77" w:rsidRDefault="007A3E77" w:rsidP="00AD6501">
      <w:pPr>
        <w:spacing w:before="120" w:after="120" w:line="0" w:lineRule="atLeast"/>
      </w:pPr>
    </w:p>
    <w:p w14:paraId="2F3795EC" w14:textId="135A8856" w:rsidR="004C6ABD" w:rsidRDefault="004C6ABD" w:rsidP="00AD6501">
      <w:pPr>
        <w:spacing w:before="120" w:after="120" w:line="0" w:lineRule="atLeast"/>
        <w:jc w:val="both"/>
      </w:pPr>
      <w:r>
        <w:t>Viedās administrācijas un reģionālās attīstības ministrs</w:t>
      </w:r>
      <w:r>
        <w:tab/>
      </w:r>
      <w:r>
        <w:tab/>
      </w:r>
      <w:r w:rsidR="00FC0980">
        <w:t xml:space="preserve">                          </w:t>
      </w:r>
      <w:r w:rsidR="00593D02">
        <w:t>E.Tavars</w:t>
      </w:r>
    </w:p>
    <w:p w14:paraId="65F24510" w14:textId="77777777" w:rsidR="004C6ABD" w:rsidRDefault="004C6ABD" w:rsidP="00AD6501">
      <w:pPr>
        <w:spacing w:before="120" w:after="120" w:line="0" w:lineRule="atLeast"/>
        <w:jc w:val="both"/>
        <w:rPr>
          <w:sz w:val="20"/>
          <w:szCs w:val="20"/>
        </w:rPr>
      </w:pPr>
    </w:p>
    <w:p w14:paraId="0E4BB748" w14:textId="77777777" w:rsidR="007A3E77" w:rsidRPr="00FC0980" w:rsidRDefault="007A3E77" w:rsidP="00AD6501">
      <w:pPr>
        <w:spacing w:before="120" w:after="120" w:line="0" w:lineRule="atLeast"/>
        <w:jc w:val="both"/>
        <w:rPr>
          <w:sz w:val="20"/>
          <w:szCs w:val="20"/>
        </w:rPr>
      </w:pPr>
    </w:p>
    <w:p w14:paraId="172FF3F7" w14:textId="6D676B15" w:rsidR="004C6ABD" w:rsidRPr="00FC0980" w:rsidRDefault="004C6ABD" w:rsidP="00AD6501">
      <w:pPr>
        <w:spacing w:before="120" w:after="120" w:line="0" w:lineRule="atLeast"/>
        <w:jc w:val="both"/>
        <w:rPr>
          <w:sz w:val="20"/>
          <w:szCs w:val="20"/>
        </w:rPr>
      </w:pPr>
      <w:r w:rsidRPr="00FC0980">
        <w:rPr>
          <w:sz w:val="20"/>
          <w:szCs w:val="20"/>
        </w:rPr>
        <w:t>Pauls Puķītis, 67026939</w:t>
      </w:r>
    </w:p>
    <w:p w14:paraId="6D73DC93" w14:textId="1FF29201" w:rsidR="008D4E3B" w:rsidRPr="00A113B1" w:rsidRDefault="00FC0980" w:rsidP="00AD6501">
      <w:pPr>
        <w:spacing w:before="120" w:after="120" w:line="0" w:lineRule="atLeast"/>
        <w:jc w:val="both"/>
        <w:rPr>
          <w:sz w:val="20"/>
          <w:szCs w:val="20"/>
        </w:rPr>
      </w:pPr>
      <w:hyperlink r:id="rId8" w:history="1">
        <w:r w:rsidRPr="00194E3D">
          <w:rPr>
            <w:rStyle w:val="Hyperlink"/>
            <w:sz w:val="20"/>
            <w:szCs w:val="20"/>
          </w:rPr>
          <w:t>pauls.pukitis@varam.gov.lv</w:t>
        </w:r>
      </w:hyperlink>
      <w:r>
        <w:rPr>
          <w:sz w:val="20"/>
          <w:szCs w:val="20"/>
        </w:rPr>
        <w:t xml:space="preserve"> </w:t>
      </w:r>
    </w:p>
    <w:sectPr w:rsidR="008D4E3B" w:rsidRPr="00A113B1" w:rsidSect="00EE5A97">
      <w:footerReference w:type="even" r:id="rId9"/>
      <w:footerReference w:type="default" r:id="rId10"/>
      <w:footerReference w:type="first" r:id="rId11"/>
      <w:pgSz w:w="12240" w:h="15840"/>
      <w:pgMar w:top="1440" w:right="1080" w:bottom="1440" w:left="108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CCC0D" w14:textId="77777777" w:rsidR="00E9384D" w:rsidRDefault="00E9384D">
      <w:pPr>
        <w:spacing w:after="0" w:line="240" w:lineRule="auto"/>
      </w:pPr>
      <w:r>
        <w:separator/>
      </w:r>
    </w:p>
  </w:endnote>
  <w:endnote w:type="continuationSeparator" w:id="0">
    <w:p w14:paraId="23DDF34E" w14:textId="77777777" w:rsidR="00E9384D" w:rsidRDefault="00E9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BC7B694E-FD4F-4DF6-B0BF-DA9BCF97BE6A}"/>
  </w:font>
  <w:font w:name="Times New Roman">
    <w:panose1 w:val="02020603050405020304"/>
    <w:charset w:val="00"/>
    <w:family w:val="roman"/>
    <w:pitch w:val="variable"/>
    <w:sig w:usb0="E0002EFF" w:usb1="C000785B" w:usb2="00000009" w:usb3="00000000" w:csb0="000001FF" w:csb1="00000000"/>
    <w:embedRegular r:id="rId2" w:fontKey="{CB3C261D-6060-4159-B19A-65AB1BF06C79}"/>
    <w:embedBold r:id="rId3" w:fontKey="{D66080F3-97E0-4E4A-9E73-ABBB2F7F3AFE}"/>
    <w:embedItalic r:id="rId4" w:fontKey="{AFDF2B0F-5A47-4778-A18A-B9CC97D37E64}"/>
  </w:font>
  <w:font w:name="Courier New">
    <w:panose1 w:val="02070309020205020404"/>
    <w:charset w:val="BA"/>
    <w:family w:val="modern"/>
    <w:pitch w:val="fixed"/>
    <w:sig w:usb0="E0002EFF" w:usb1="C0007843" w:usb2="00000009" w:usb3="00000000" w:csb0="000001FF" w:csb1="00000000"/>
    <w:embedRegular r:id="rId5" w:fontKey="{CA3D1954-EF57-41A1-945E-D57353E80288}"/>
  </w:font>
  <w:font w:name="Wingdings">
    <w:panose1 w:val="05000000000000000000"/>
    <w:charset w:val="02"/>
    <w:family w:val="auto"/>
    <w:pitch w:val="variable"/>
    <w:sig w:usb0="00000000" w:usb1="10000000" w:usb2="00000000" w:usb3="00000000" w:csb0="80000000" w:csb1="00000000"/>
    <w:embedRegular r:id="rId6" w:fontKey="{9825D89D-D4F5-4ECA-88A2-1A094B19728E}"/>
  </w:font>
  <w:font w:name="Arial">
    <w:panose1 w:val="020B0604020202020204"/>
    <w:charset w:val="00"/>
    <w:family w:val="swiss"/>
    <w:pitch w:val="variable"/>
    <w:sig w:usb0="E0002EFF" w:usb1="C000785B" w:usb2="00000009" w:usb3="00000000" w:csb0="000001FF" w:csb1="00000000"/>
    <w:embedRegular r:id="rId7" w:fontKey="{33A6DA65-B877-417C-9034-748E78881AE3}"/>
  </w:font>
  <w:font w:name="Aptos">
    <w:charset w:val="00"/>
    <w:family w:val="swiss"/>
    <w:pitch w:val="variable"/>
    <w:sig w:usb0="20000287" w:usb1="00000003" w:usb2="00000000" w:usb3="00000000" w:csb0="0000019F" w:csb1="00000000"/>
    <w:embedRegular r:id="rId8" w:fontKey="{5B3B11D4-DB78-49D5-92EA-A9CB8D0FC1B9}"/>
    <w:embedBold r:id="rId9" w:fontKey="{B427F499-CA66-4EEF-AE9F-5971B5C0043F}"/>
    <w:embedItalic r:id="rId10" w:fontKey="{F648FD40-7237-42AD-A7E1-572D0C833418}"/>
    <w:embedBoldItalic r:id="rId11" w:fontKey="{AAAEFAA9-5A86-4207-9036-6A7EC3C209DC}"/>
  </w:font>
  <w:font w:name="Calibri">
    <w:panose1 w:val="020F0502020204030204"/>
    <w:charset w:val="BA"/>
    <w:family w:val="swiss"/>
    <w:pitch w:val="variable"/>
    <w:sig w:usb0="E4002EFF" w:usb1="C200247B" w:usb2="00000009" w:usb3="00000000" w:csb0="000001FF" w:csb1="00000000"/>
    <w:embedRegular r:id="rId12" w:fontKey="{8CA9F05F-3B30-4492-9182-637393F12BDE}"/>
  </w:font>
  <w:font w:name="Calibri Light">
    <w:panose1 w:val="020F0302020204030204"/>
    <w:charset w:val="BA"/>
    <w:family w:val="swiss"/>
    <w:pitch w:val="variable"/>
    <w:sig w:usb0="E4002EFF" w:usb1="C200247B" w:usb2="00000009" w:usb3="00000000" w:csb0="000001FF" w:csb1="00000000"/>
    <w:embedRegular r:id="rId13" w:fontKey="{E7144EA0-4053-485A-94FF-28CD9347CDC4}"/>
    <w:embedBold r:id="rId14" w:fontKey="{CBCA6355-1796-473F-B323-26A8874C6DBF}"/>
  </w:font>
  <w:font w:name="Play">
    <w:altName w:val="Calibri"/>
    <w:charset w:val="00"/>
    <w:family w:val="auto"/>
    <w:pitch w:val="default"/>
  </w:font>
  <w:font w:name="Consolas">
    <w:panose1 w:val="020B0609020204030204"/>
    <w:charset w:val="BA"/>
    <w:family w:val="modern"/>
    <w:pitch w:val="fixed"/>
    <w:sig w:usb0="E00006FF" w:usb1="0000FCFF" w:usb2="00000001" w:usb3="00000000" w:csb0="0000019F" w:csb1="00000000"/>
    <w:embedRegular r:id="rId15" w:fontKey="{F4C63838-16D4-4D05-BD1C-24CDA6B0B9D2}"/>
    <w:embedItalic r:id="rId16" w:fontKey="{3534C225-B165-4C06-8A09-AE258D557F54}"/>
    <w:embedBoldItalic r:id="rId17" w:fontKey="{010BCE2D-514A-484D-A083-5A50568EE0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923331"/>
      <w:docPartObj>
        <w:docPartGallery w:val="Page Numbers (Bottom of Page)"/>
        <w:docPartUnique/>
      </w:docPartObj>
    </w:sdtPr>
    <w:sdtEndPr>
      <w:rPr>
        <w:noProof/>
      </w:rPr>
    </w:sdtEndPr>
    <w:sdtContent>
      <w:p w14:paraId="1DBC5E75" w14:textId="77777777" w:rsidR="00175A93" w:rsidRDefault="00175A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8076E2" w14:textId="77777777" w:rsidR="00175A93" w:rsidRDefault="00175A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3172" w14:textId="77777777" w:rsidR="00573230" w:rsidRPr="00163BE8" w:rsidRDefault="002D11A0">
    <w:pPr>
      <w:pBdr>
        <w:top w:val="nil"/>
        <w:left w:val="nil"/>
        <w:bottom w:val="nil"/>
        <w:right w:val="nil"/>
        <w:between w:val="nil"/>
      </w:pBdr>
      <w:tabs>
        <w:tab w:val="center" w:pos="4680"/>
        <w:tab w:val="right" w:pos="9360"/>
      </w:tabs>
      <w:spacing w:after="0" w:line="240" w:lineRule="auto"/>
      <w:jc w:val="right"/>
      <w:rPr>
        <w:color w:val="000000"/>
      </w:rPr>
    </w:pPr>
    <w:r w:rsidRPr="00163BE8">
      <w:rPr>
        <w:color w:val="000000"/>
      </w:rPr>
      <w:fldChar w:fldCharType="begin"/>
    </w:r>
    <w:r w:rsidRPr="00163BE8">
      <w:rPr>
        <w:color w:val="000000"/>
      </w:rPr>
      <w:instrText>PAGE</w:instrText>
    </w:r>
    <w:r w:rsidRPr="00163BE8">
      <w:rPr>
        <w:color w:val="000000"/>
      </w:rPr>
      <w:fldChar w:fldCharType="separate"/>
    </w:r>
    <w:r w:rsidR="009176CB" w:rsidRPr="00163BE8">
      <w:rPr>
        <w:color w:val="000000"/>
      </w:rPr>
      <w:t>2</w:t>
    </w:r>
    <w:r w:rsidRPr="00163BE8">
      <w:rPr>
        <w:color w:val="000000"/>
      </w:rPr>
      <w:fldChar w:fldCharType="end"/>
    </w:r>
  </w:p>
  <w:p w14:paraId="1947A614" w14:textId="2D2B92D7" w:rsidR="00573230" w:rsidRPr="00A113B1" w:rsidRDefault="00241682">
    <w:pPr>
      <w:pBdr>
        <w:top w:val="nil"/>
        <w:left w:val="nil"/>
        <w:bottom w:val="nil"/>
        <w:right w:val="nil"/>
        <w:between w:val="nil"/>
      </w:pBdr>
      <w:tabs>
        <w:tab w:val="center" w:pos="4680"/>
        <w:tab w:val="right" w:pos="9360"/>
      </w:tabs>
      <w:spacing w:after="0" w:line="240" w:lineRule="auto"/>
      <w:rPr>
        <w:color w:val="000000"/>
        <w:sz w:val="20"/>
        <w:szCs w:val="20"/>
      </w:rPr>
    </w:pPr>
    <w:r w:rsidRPr="00A113B1">
      <w:rPr>
        <w:color w:val="000000"/>
        <w:sz w:val="20"/>
        <w:szCs w:val="20"/>
      </w:rPr>
      <w:t>VARAM</w:t>
    </w:r>
    <w:r w:rsidR="00400489">
      <w:rPr>
        <w:color w:val="000000"/>
        <w:sz w:val="20"/>
        <w:szCs w:val="20"/>
      </w:rPr>
      <w:t>_</w:t>
    </w:r>
    <w:r w:rsidRPr="00A113B1">
      <w:rPr>
        <w:color w:val="000000"/>
        <w:sz w:val="20"/>
        <w:szCs w:val="20"/>
      </w:rPr>
      <w:t>informativais_zin_pieklustamiba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1FEC" w14:textId="770C551D" w:rsidR="00241682" w:rsidRPr="00A113B1" w:rsidRDefault="00241682">
    <w:pPr>
      <w:pStyle w:val="Footer"/>
      <w:rPr>
        <w:sz w:val="20"/>
        <w:szCs w:val="20"/>
      </w:rPr>
    </w:pPr>
    <w:r w:rsidRPr="00A113B1">
      <w:rPr>
        <w:sz w:val="20"/>
        <w:szCs w:val="20"/>
      </w:rPr>
      <w:t>VARAM_informativais_zin_pieklustamiba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53069" w14:textId="77777777" w:rsidR="00E9384D" w:rsidRDefault="00E9384D">
      <w:pPr>
        <w:spacing w:after="0" w:line="240" w:lineRule="auto"/>
      </w:pPr>
      <w:r>
        <w:separator/>
      </w:r>
    </w:p>
  </w:footnote>
  <w:footnote w:type="continuationSeparator" w:id="0">
    <w:p w14:paraId="7C4841D6" w14:textId="77777777" w:rsidR="00E9384D" w:rsidRDefault="00E9384D">
      <w:pPr>
        <w:spacing w:after="0" w:line="240" w:lineRule="auto"/>
      </w:pPr>
      <w:r>
        <w:continuationSeparator/>
      </w:r>
    </w:p>
  </w:footnote>
  <w:footnote w:id="1">
    <w:p w14:paraId="36A8CAB0" w14:textId="4E243A50" w:rsidR="00602887" w:rsidRDefault="00602887">
      <w:pPr>
        <w:pStyle w:val="FootnoteText"/>
      </w:pPr>
      <w:r>
        <w:rPr>
          <w:rStyle w:val="FootnoteReference"/>
        </w:rPr>
        <w:footnoteRef/>
      </w:r>
      <w:r>
        <w:t xml:space="preserve"> </w:t>
      </w:r>
      <w:r>
        <w:rPr>
          <w:sz w:val="18"/>
          <w:szCs w:val="18"/>
        </w:rPr>
        <w:t>Eiropas Parlamenta un Padomes Direktīva (ES) 2016/2102 (2016. gada 26. oktobris) par publiskā sektora struktūru tīmekļvietņu un mobilo lietotņu piekļūstamību. OV L 327, 02.12.2016., 1.–15. lpp.</w:t>
      </w:r>
    </w:p>
  </w:footnote>
  <w:footnote w:id="2">
    <w:p w14:paraId="7531A7DF" w14:textId="77777777" w:rsidR="00602887" w:rsidRDefault="00602887">
      <w:pPr>
        <w:pStyle w:val="FootnoteText"/>
        <w:rPr>
          <w:sz w:val="18"/>
          <w:szCs w:val="18"/>
        </w:rPr>
      </w:pPr>
      <w:r>
        <w:rPr>
          <w:rStyle w:val="FootnoteReference"/>
        </w:rPr>
        <w:footnoteRef/>
      </w:r>
      <w:r>
        <w:t xml:space="preserve"> </w:t>
      </w:r>
      <w:r>
        <w:rPr>
          <w:sz w:val="18"/>
          <w:szCs w:val="18"/>
        </w:rPr>
        <w:t xml:space="preserve">Detalizēti uzraudzības rezultāti: SIA "Turn Digital" ekspertu ziņojums par 2025. gada piekļūstamības izvērtējumu. Pieejams: </w:t>
      </w:r>
    </w:p>
    <w:p w14:paraId="1BFC594C" w14:textId="4478AD39" w:rsidR="00602887" w:rsidRPr="0008391E" w:rsidRDefault="00602887">
      <w:pPr>
        <w:pStyle w:val="FootnoteText"/>
        <w:rPr>
          <w:sz w:val="18"/>
          <w:szCs w:val="18"/>
        </w:rPr>
      </w:pPr>
      <w:hyperlink r:id="rId1" w:history="1">
        <w:r w:rsidRPr="00595893">
          <w:rPr>
            <w:rStyle w:val="Hyperlink"/>
            <w:sz w:val="18"/>
            <w:szCs w:val="18"/>
          </w:rPr>
          <w:t>https://www.varam.gov.lv/lv/timeklvietnu-un-mobilo-lietotnu-pieklustamiba-0</w:t>
        </w:r>
      </w:hyperlink>
    </w:p>
  </w:footnote>
  <w:footnote w:id="3">
    <w:p w14:paraId="5F721AD4" w14:textId="4A8136AC" w:rsidR="00602887" w:rsidRDefault="00602887">
      <w:pPr>
        <w:pStyle w:val="FootnoteText"/>
      </w:pPr>
      <w:r>
        <w:rPr>
          <w:rStyle w:val="FootnoteReference"/>
        </w:rPr>
        <w:footnoteRef/>
      </w:r>
      <w:r>
        <w:t xml:space="preserve"> </w:t>
      </w:r>
      <w:r>
        <w:rPr>
          <w:sz w:val="18"/>
          <w:szCs w:val="18"/>
        </w:rPr>
        <w:t>VARAM metodiskais atbalsta resurss, vadlīnijas, datu panelis un iepriekšējie ziņojumi: https://www.varam.gov.lv/lv/timeklvietnu-un-mobilo-lietotnu-pieklustamiba-0</w:t>
      </w:r>
    </w:p>
  </w:footnote>
  <w:footnote w:id="4">
    <w:p w14:paraId="03B8B132" w14:textId="404F7BEE" w:rsidR="00593D02" w:rsidRDefault="00593D02">
      <w:pPr>
        <w:pStyle w:val="FootnoteText"/>
      </w:pPr>
      <w:r>
        <w:rPr>
          <w:rStyle w:val="FootnoteReference"/>
        </w:rPr>
        <w:footnoteRef/>
      </w:r>
      <w:r>
        <w:t xml:space="preserve"> </w:t>
      </w:r>
      <w:r>
        <w:rPr>
          <w:sz w:val="18"/>
          <w:szCs w:val="18"/>
        </w:rPr>
        <w:t>Komisijas Īstenošanas lēmums (ES) 2018/1524 (2018. gada 11. oktobris). OV L 256, 12.10.2018., 103.–120. lpp.</w:t>
      </w:r>
    </w:p>
  </w:footnote>
  <w:footnote w:id="5">
    <w:p w14:paraId="1FD356BE" w14:textId="552B5880" w:rsidR="00593D02" w:rsidRDefault="00593D02">
      <w:pPr>
        <w:pStyle w:val="FootnoteText"/>
      </w:pPr>
      <w:r>
        <w:rPr>
          <w:rStyle w:val="FootnoteReference"/>
        </w:rPr>
        <w:footnoteRef/>
      </w:r>
      <w:r>
        <w:t xml:space="preserve"> </w:t>
      </w:r>
      <w:r>
        <w:rPr>
          <w:sz w:val="18"/>
          <w:szCs w:val="18"/>
        </w:rPr>
        <w:t>Ministru kabineta 2020. gada 14. jūlija noteikumi Nr. 445 "Kārtība, kādā iestādes ievieto informāciju internetā". Latvijas Vēstnesis, 142, 22.07.2020.</w:t>
      </w:r>
    </w:p>
  </w:footnote>
  <w:footnote w:id="6">
    <w:p w14:paraId="0E0775C6" w14:textId="0894D1F5" w:rsidR="00593D02" w:rsidRDefault="00593D02">
      <w:pPr>
        <w:pStyle w:val="FootnoteText"/>
      </w:pPr>
      <w:r>
        <w:rPr>
          <w:rStyle w:val="FootnoteReference"/>
        </w:rPr>
        <w:footnoteRef/>
      </w:r>
      <w:r>
        <w:t xml:space="preserve"> </w:t>
      </w:r>
      <w:r>
        <w:rPr>
          <w:sz w:val="18"/>
          <w:szCs w:val="18"/>
        </w:rPr>
        <w:t>Preču un pakalpojumu piekļūstamības likums. Latvijas Vēstnesis, 119, 20.06.2023. Spēkā no 28.06.2025.</w:t>
      </w:r>
    </w:p>
  </w:footnote>
  <w:footnote w:id="7">
    <w:p w14:paraId="50F16898" w14:textId="0FEECC5E" w:rsidR="00593D02" w:rsidRDefault="00593D02" w:rsidP="0008391E">
      <w:pPr>
        <w:pStyle w:val="FootnoteText"/>
        <w:jc w:val="both"/>
      </w:pPr>
      <w:r>
        <w:rPr>
          <w:rStyle w:val="FootnoteReference"/>
        </w:rPr>
        <w:footnoteRef/>
      </w:r>
      <w:r>
        <w:t xml:space="preserve"> </w:t>
      </w:r>
      <w:r>
        <w:rPr>
          <w:sz w:val="18"/>
          <w:szCs w:val="18"/>
        </w:rPr>
        <w:t>SIA "Turn Digital" ekspertu ziņojums par 2025. gadu un Eiropas Komisijai iesniegtais ziņojums par 2022.–2024. gadu. Pieejami: https://www.varam.gov.lv/lv/timeklvietnu-un-mobilo-lietotnu-pieklustamiba-0</w:t>
      </w:r>
    </w:p>
  </w:footnote>
  <w:footnote w:id="8">
    <w:p w14:paraId="0498C53A" w14:textId="1D2492A7" w:rsidR="00F70C66" w:rsidRDefault="00F70C66">
      <w:pPr>
        <w:pStyle w:val="FootnoteText"/>
      </w:pPr>
      <w:r>
        <w:rPr>
          <w:rStyle w:val="FootnoteReference"/>
        </w:rPr>
        <w:footnoteRef/>
      </w:r>
      <w:r>
        <w:t xml:space="preserve"> </w:t>
      </w:r>
      <w:r w:rsidRPr="0008391E">
        <w:rPr>
          <w:sz w:val="18"/>
          <w:szCs w:val="18"/>
        </w:rPr>
        <w:t>Starpnozaru seminārs praktiskais seminārs “Digitālā piekļūstamība – mūsu kopīgais mērķis” (17.06.2025.) Pieejams: https://www.youtube.com/watch?v=v65692iwymo&amp;t=709s</w:t>
      </w:r>
    </w:p>
  </w:footnote>
  <w:footnote w:id="9">
    <w:p w14:paraId="3EADF3FD" w14:textId="7D146E99" w:rsidR="00F70C66" w:rsidRDefault="00F70C66">
      <w:pPr>
        <w:pStyle w:val="FootnoteText"/>
      </w:pPr>
      <w:r>
        <w:rPr>
          <w:rStyle w:val="FootnoteReference"/>
        </w:rPr>
        <w:footnoteRef/>
      </w:r>
      <w:r w:rsidRPr="0008391E">
        <w:rPr>
          <w:sz w:val="18"/>
          <w:szCs w:val="18"/>
        </w:rPr>
        <w:t xml:space="preserve"> </w:t>
      </w:r>
      <w:r w:rsidR="007574B0">
        <w:rPr>
          <w:sz w:val="18"/>
          <w:szCs w:val="18"/>
        </w:rPr>
        <w:t xml:space="preserve">Pieejams: </w:t>
      </w:r>
      <w:r w:rsidRPr="0008391E">
        <w:rPr>
          <w:sz w:val="18"/>
          <w:szCs w:val="18"/>
        </w:rPr>
        <w:t>https://www.varam.gov.lv/lv/jaunums/konference-klikskis-bez-barjeram-diskutes-par-digitalo-pieklustamibu-un-lietotaju-pieredzi-publiskaja-un-privataja-sektora</w:t>
      </w:r>
    </w:p>
  </w:footnote>
  <w:footnote w:id="10">
    <w:p w14:paraId="60B2579B" w14:textId="2075401A" w:rsidR="00BD0A1B" w:rsidRDefault="00BD0A1B">
      <w:pPr>
        <w:pStyle w:val="FootnoteText"/>
      </w:pPr>
      <w:r>
        <w:rPr>
          <w:rStyle w:val="FootnoteReference"/>
        </w:rPr>
        <w:footnoteRef/>
      </w:r>
      <w:r>
        <w:t xml:space="preserve"> </w:t>
      </w:r>
      <w:r>
        <w:rPr>
          <w:sz w:val="18"/>
          <w:szCs w:val="18"/>
        </w:rPr>
        <w:t>VAS vebinārs "</w:t>
      </w:r>
      <w:r w:rsidR="006527F0" w:rsidRPr="0008391E">
        <w:rPr>
          <w:sz w:val="18"/>
          <w:szCs w:val="18"/>
        </w:rPr>
        <w:t xml:space="preserve"> Digitālā piekļūstamība. Pieredzes stāsti un praktiskie aspekti</w:t>
      </w:r>
      <w:r w:rsidR="006527F0">
        <w:rPr>
          <w:sz w:val="18"/>
          <w:szCs w:val="18"/>
        </w:rPr>
        <w:t xml:space="preserve"> </w:t>
      </w:r>
      <w:r>
        <w:rPr>
          <w:sz w:val="18"/>
          <w:szCs w:val="18"/>
        </w:rPr>
        <w:t xml:space="preserve">" (2025. gada 21. maijs). Pieejams: </w:t>
      </w:r>
      <w:r w:rsidRPr="00BD0A1B">
        <w:rPr>
          <w:sz w:val="18"/>
          <w:szCs w:val="18"/>
        </w:rPr>
        <w:t>https://www.youtube.com/watch?v=gNJ_xigDWbI&amp;t=6s</w:t>
      </w:r>
    </w:p>
  </w:footnote>
  <w:footnote w:id="11">
    <w:p w14:paraId="3B08DBCC" w14:textId="0C3642D0" w:rsidR="00062510" w:rsidRDefault="00062510">
      <w:pPr>
        <w:pStyle w:val="FootnoteText"/>
      </w:pPr>
      <w:r>
        <w:rPr>
          <w:rStyle w:val="FootnoteReference"/>
        </w:rPr>
        <w:footnoteRef/>
      </w:r>
      <w:r>
        <w:t xml:space="preserve"> </w:t>
      </w:r>
      <w:r w:rsidRPr="0008391E">
        <w:rPr>
          <w:sz w:val="18"/>
          <w:szCs w:val="18"/>
        </w:rPr>
        <w:t>Informācija pieejama: https://www.vas.gov.lv/lv/media/4355/download?attachment</w:t>
      </w:r>
    </w:p>
  </w:footnote>
  <w:footnote w:id="12">
    <w:p w14:paraId="5FD5D2BE" w14:textId="03E769E1" w:rsidR="00062510" w:rsidRDefault="00062510">
      <w:pPr>
        <w:pStyle w:val="FootnoteText"/>
      </w:pPr>
      <w:r>
        <w:rPr>
          <w:rStyle w:val="FootnoteReference"/>
        </w:rPr>
        <w:footnoteRef/>
      </w:r>
      <w:r>
        <w:t xml:space="preserve"> </w:t>
      </w:r>
      <w:r w:rsidRPr="0008391E">
        <w:rPr>
          <w:sz w:val="18"/>
          <w:szCs w:val="18"/>
        </w:rPr>
        <w:t>Metodiskie materiāli pieejami: https://www.varam.gov.lv/lv/timeklvietnu-un-mobilo-lietotnu-pieklustamiba-0</w:t>
      </w:r>
    </w:p>
  </w:footnote>
  <w:footnote w:id="13">
    <w:p w14:paraId="431C7FE7" w14:textId="0540A522" w:rsidR="007574B0" w:rsidRDefault="007574B0">
      <w:pPr>
        <w:pStyle w:val="FootnoteText"/>
      </w:pPr>
      <w:r>
        <w:rPr>
          <w:rStyle w:val="FootnoteReference"/>
        </w:rPr>
        <w:footnoteRef/>
      </w:r>
      <w:r>
        <w:t xml:space="preserve"> </w:t>
      </w:r>
      <w:r>
        <w:rPr>
          <w:sz w:val="18"/>
          <w:szCs w:val="18"/>
        </w:rPr>
        <w:t xml:space="preserve">TVP 2. kārtas izstrāde tiek veikta ANM projekta </w:t>
      </w:r>
      <w:r w:rsidRPr="007574B0">
        <w:rPr>
          <w:sz w:val="18"/>
          <w:szCs w:val="18"/>
        </w:rPr>
        <w:t>2.1.2.1.i.0/1/23/I/VARAM/001</w:t>
      </w:r>
      <w:r>
        <w:rPr>
          <w:sz w:val="18"/>
          <w:szCs w:val="18"/>
        </w:rPr>
        <w:t xml:space="preserve"> “</w:t>
      </w:r>
      <w:r w:rsidRPr="007574B0">
        <w:rPr>
          <w:sz w:val="18"/>
          <w:szCs w:val="18"/>
        </w:rPr>
        <w:t>Valsts un pašvaldību iestāžu tīmekļvietņu vienotās koplietošanas platformas izvēršana</w:t>
      </w:r>
      <w:r>
        <w:rPr>
          <w:sz w:val="18"/>
          <w:szCs w:val="18"/>
        </w:rPr>
        <w:t>” ietvaros.</w:t>
      </w:r>
    </w:p>
  </w:footnote>
  <w:footnote w:id="14">
    <w:p w14:paraId="2B35F6C0" w14:textId="20D70104" w:rsidR="00BD0A1B" w:rsidRDefault="00BD0A1B" w:rsidP="00925E55">
      <w:pPr>
        <w:pStyle w:val="FootnoteText"/>
        <w:jc w:val="both"/>
      </w:pPr>
      <w:r>
        <w:rPr>
          <w:rStyle w:val="FootnoteReference"/>
        </w:rPr>
        <w:footnoteRef/>
      </w:r>
      <w:r>
        <w:t xml:space="preserve"> </w:t>
      </w:r>
      <w:r>
        <w:rPr>
          <w:sz w:val="18"/>
          <w:szCs w:val="18"/>
        </w:rPr>
        <w:t>Labklājības ministrija. Informācijas piekļūstamība: tīmekļa un dokumentu piekļūstamība (2024. gada 1. novembris). Pieejams: https://www.lm.gov.lv/lv/informacijas-pieklustamiba-timekla-un-dokumentu-pieklustamiba-1112024</w:t>
      </w:r>
    </w:p>
  </w:footnote>
  <w:footnote w:id="15">
    <w:p w14:paraId="7781CB0C" w14:textId="707895AD" w:rsidR="007574B0" w:rsidRDefault="007574B0" w:rsidP="00925E55">
      <w:pPr>
        <w:pStyle w:val="FootnoteText"/>
        <w:jc w:val="both"/>
      </w:pPr>
      <w:r>
        <w:rPr>
          <w:rStyle w:val="FootnoteReference"/>
        </w:rPr>
        <w:footnoteRef/>
      </w:r>
      <w:r>
        <w:t xml:space="preserve"> </w:t>
      </w:r>
      <w:r>
        <w:rPr>
          <w:sz w:val="18"/>
          <w:szCs w:val="18"/>
        </w:rPr>
        <w:t>VAS vebinārs "</w:t>
      </w:r>
      <w:r w:rsidRPr="00BB309A">
        <w:rPr>
          <w:sz w:val="18"/>
          <w:szCs w:val="18"/>
        </w:rPr>
        <w:t xml:space="preserve"> Digitālā piekļūstamība. Pieredzes stāsti un praktiskie aspekti</w:t>
      </w:r>
      <w:r>
        <w:rPr>
          <w:sz w:val="18"/>
          <w:szCs w:val="18"/>
        </w:rPr>
        <w:t xml:space="preserve"> " (2025.</w:t>
      </w:r>
      <w:r w:rsidR="001A2A1A">
        <w:rPr>
          <w:sz w:val="18"/>
          <w:szCs w:val="18"/>
        </w:rPr>
        <w:t> </w:t>
      </w:r>
      <w:r>
        <w:rPr>
          <w:sz w:val="18"/>
          <w:szCs w:val="18"/>
        </w:rPr>
        <w:t>gada 21.</w:t>
      </w:r>
      <w:r w:rsidR="001A2A1A">
        <w:rPr>
          <w:sz w:val="18"/>
          <w:szCs w:val="18"/>
        </w:rPr>
        <w:t> </w:t>
      </w:r>
      <w:r>
        <w:rPr>
          <w:sz w:val="18"/>
          <w:szCs w:val="18"/>
        </w:rPr>
        <w:t xml:space="preserve">maijs). Pieejams: </w:t>
      </w:r>
      <w:r w:rsidRPr="00BD0A1B">
        <w:rPr>
          <w:sz w:val="18"/>
          <w:szCs w:val="18"/>
        </w:rPr>
        <w:t>https://www.youtube.com/watch?v=gNJ_xigDWbI&amp;t=6s</w:t>
      </w:r>
    </w:p>
  </w:footnote>
  <w:footnote w:id="16">
    <w:p w14:paraId="5C48C129" w14:textId="06623ACD" w:rsidR="007574B0" w:rsidRDefault="007574B0" w:rsidP="00925E55">
      <w:pPr>
        <w:pStyle w:val="FootnoteText"/>
        <w:jc w:val="both"/>
      </w:pPr>
      <w:r>
        <w:rPr>
          <w:rStyle w:val="FootnoteReference"/>
        </w:rPr>
        <w:footnoteRef/>
      </w:r>
      <w:r>
        <w:t xml:space="preserve"> </w:t>
      </w:r>
      <w:r w:rsidRPr="00BB309A">
        <w:rPr>
          <w:sz w:val="18"/>
          <w:szCs w:val="18"/>
        </w:rPr>
        <w:t>Starpnozaru seminārs praktiskais seminārs “Digitālā piekļūstamība – mūsu kopīgais mērķis” (17.06.2025.) Pieejams: https://www.youtube.com/watch?v=v65692iwymo&amp;t=709s</w:t>
      </w:r>
    </w:p>
  </w:footnote>
  <w:footnote w:id="17">
    <w:p w14:paraId="7C13C541" w14:textId="47EA4BCC" w:rsidR="00062510" w:rsidRPr="006435B6" w:rsidRDefault="00062510" w:rsidP="006435B6">
      <w:pPr>
        <w:spacing w:after="60"/>
        <w:jc w:val="both"/>
        <w:rPr>
          <w:sz w:val="18"/>
          <w:szCs w:val="18"/>
        </w:rPr>
      </w:pPr>
      <w:r w:rsidRPr="006435B6">
        <w:rPr>
          <w:rStyle w:val="FootnoteReference"/>
          <w:sz w:val="18"/>
          <w:szCs w:val="18"/>
        </w:rPr>
        <w:footnoteRef/>
      </w:r>
      <w:r w:rsidRPr="006435B6">
        <w:rPr>
          <w:sz w:val="18"/>
          <w:szCs w:val="18"/>
        </w:rPr>
        <w:t xml:space="preserve"> </w:t>
      </w:r>
      <w:r w:rsidRPr="00062510">
        <w:rPr>
          <w:sz w:val="18"/>
          <w:szCs w:val="18"/>
        </w:rPr>
        <w:t>Konferences "Kultūras renovācija" programma (2025. gada 22. oktobris, Liepāja). Pieejams: https://liepaja2027.lv/wp-content/uploads/2025/08/Kulturas_renovacija_2025_LV_programma.pdf</w:t>
      </w:r>
    </w:p>
  </w:footnote>
  <w:footnote w:id="18">
    <w:p w14:paraId="43A195C1" w14:textId="66E0A458" w:rsidR="007574B0" w:rsidRDefault="007574B0">
      <w:pPr>
        <w:pStyle w:val="FootnoteText"/>
      </w:pPr>
      <w:r>
        <w:rPr>
          <w:rStyle w:val="FootnoteReference"/>
        </w:rPr>
        <w:footnoteRef/>
      </w:r>
      <w:r>
        <w:t xml:space="preserve"> </w:t>
      </w:r>
      <w:r>
        <w:rPr>
          <w:sz w:val="18"/>
          <w:szCs w:val="18"/>
        </w:rPr>
        <w:t xml:space="preserve">Pieejams: </w:t>
      </w:r>
      <w:r w:rsidRPr="00BB309A">
        <w:rPr>
          <w:sz w:val="18"/>
          <w:szCs w:val="18"/>
        </w:rPr>
        <w:t>https://www.varam.gov.lv/lv/jaunums/konference-klikskis-bez-barjeram-diskutes-par-digitalo-pieklustamibu-un-lietotaju-pieredzi-publiskaja-un-privataja-sektora</w:t>
      </w:r>
    </w:p>
  </w:footnote>
  <w:footnote w:id="19">
    <w:p w14:paraId="422C10CE" w14:textId="77777777" w:rsidR="00BD0A1B" w:rsidRDefault="00BD0A1B" w:rsidP="00BD0A1B">
      <w:pPr>
        <w:spacing w:after="60"/>
        <w:jc w:val="both"/>
      </w:pPr>
      <w:r>
        <w:rPr>
          <w:rStyle w:val="FootnoteReference"/>
        </w:rPr>
        <w:footnoteRef/>
      </w:r>
      <w:r>
        <w:t xml:space="preserve"> </w:t>
      </w:r>
      <w:r>
        <w:rPr>
          <w:sz w:val="18"/>
          <w:szCs w:val="18"/>
        </w:rPr>
        <w:t>VARAM EK ziņojums par 2022.–2024. gadu: dati par informatīvajiem pasākumiem. Pieejams: https://www.varam.gov.lv/lv/timeklvietnu-un-mobilo-lietotnu-pieklustamiba-0</w:t>
      </w:r>
    </w:p>
    <w:p w14:paraId="28DBBD57" w14:textId="2F8D8741" w:rsidR="00BD0A1B" w:rsidRDefault="00BD0A1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265B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A991"/>
    <w:multiLevelType w:val="multilevel"/>
    <w:tmpl w:val="35066E3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E1C27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8654B19"/>
    <w:multiLevelType w:val="hybridMultilevel"/>
    <w:tmpl w:val="8DB24AC8"/>
    <w:lvl w:ilvl="0" w:tplc="EDAA51F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4" w15:restartNumberingAfterBreak="0">
    <w:nsid w:val="0C8047DB"/>
    <w:multiLevelType w:val="hybridMultilevel"/>
    <w:tmpl w:val="2744A52A"/>
    <w:lvl w:ilvl="0" w:tplc="B1FCC3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25043"/>
    <w:multiLevelType w:val="multilevel"/>
    <w:tmpl w:val="C490519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F02582"/>
    <w:multiLevelType w:val="hybridMultilevel"/>
    <w:tmpl w:val="37C27EF4"/>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7" w15:restartNumberingAfterBreak="0">
    <w:nsid w:val="13695C84"/>
    <w:multiLevelType w:val="multilevel"/>
    <w:tmpl w:val="DD8CD0DC"/>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A147BD"/>
    <w:multiLevelType w:val="hybridMultilevel"/>
    <w:tmpl w:val="C252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B1F06"/>
    <w:multiLevelType w:val="hybridMultilevel"/>
    <w:tmpl w:val="8084B8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912AA6"/>
    <w:multiLevelType w:val="multilevel"/>
    <w:tmpl w:val="CDD057DA"/>
    <w:lvl w:ilvl="0">
      <w:start w:val="10"/>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1" w15:restartNumberingAfterBreak="0">
    <w:nsid w:val="379D390A"/>
    <w:multiLevelType w:val="hybridMultilevel"/>
    <w:tmpl w:val="ED2EB2E2"/>
    <w:lvl w:ilvl="0" w:tplc="F14EC890">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12" w15:restartNumberingAfterBreak="0">
    <w:nsid w:val="3C9300C3"/>
    <w:multiLevelType w:val="hybridMultilevel"/>
    <w:tmpl w:val="81BEE32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3" w15:restartNumberingAfterBreak="0">
    <w:nsid w:val="3CBE7F36"/>
    <w:multiLevelType w:val="hybridMultilevel"/>
    <w:tmpl w:val="36305F2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3D86F0D"/>
    <w:multiLevelType w:val="hybridMultilevel"/>
    <w:tmpl w:val="4AC282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940F0C"/>
    <w:multiLevelType w:val="hybridMultilevel"/>
    <w:tmpl w:val="5A6ECB1E"/>
    <w:lvl w:ilvl="0" w:tplc="EDAA51FA">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16" w15:restartNumberingAfterBreak="0">
    <w:nsid w:val="56567717"/>
    <w:multiLevelType w:val="hybridMultilevel"/>
    <w:tmpl w:val="DBF8668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86562628">
      <w:start w:val="4"/>
      <w:numFmt w:val="bullet"/>
      <w:lvlText w:val="-"/>
      <w:lvlJc w:val="left"/>
      <w:pPr>
        <w:ind w:left="2160" w:hanging="360"/>
      </w:pPr>
      <w:rPr>
        <w:rFonts w:ascii="Arial" w:eastAsia="Aptos"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F9716E"/>
    <w:multiLevelType w:val="hybridMultilevel"/>
    <w:tmpl w:val="B81CB0EC"/>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18" w15:restartNumberingAfterBreak="0">
    <w:nsid w:val="609323EF"/>
    <w:multiLevelType w:val="hybridMultilevel"/>
    <w:tmpl w:val="42588444"/>
    <w:lvl w:ilvl="0" w:tplc="EDAA51FA">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19" w15:restartNumberingAfterBreak="0">
    <w:nsid w:val="61681AE5"/>
    <w:multiLevelType w:val="hybridMultilevel"/>
    <w:tmpl w:val="0EF2A7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3C4100C"/>
    <w:multiLevelType w:val="hybridMultilevel"/>
    <w:tmpl w:val="95D8F518"/>
    <w:lvl w:ilvl="0" w:tplc="EDAA51FA">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21" w15:restartNumberingAfterBreak="0">
    <w:nsid w:val="676313BA"/>
    <w:multiLevelType w:val="hybridMultilevel"/>
    <w:tmpl w:val="E5382C5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C123AC8"/>
    <w:multiLevelType w:val="hybridMultilevel"/>
    <w:tmpl w:val="ABB01D9C"/>
    <w:lvl w:ilvl="0" w:tplc="EDAA51F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23" w15:restartNumberingAfterBreak="0">
    <w:nsid w:val="705E0312"/>
    <w:multiLevelType w:val="hybridMultilevel"/>
    <w:tmpl w:val="DC72AD36"/>
    <w:lvl w:ilvl="0" w:tplc="31D2C450">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24" w15:restartNumberingAfterBreak="0">
    <w:nsid w:val="73B70551"/>
    <w:multiLevelType w:val="multilevel"/>
    <w:tmpl w:val="223E23E0"/>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9332D0"/>
    <w:multiLevelType w:val="hybridMultilevel"/>
    <w:tmpl w:val="450060F4"/>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26" w15:restartNumberingAfterBreak="0">
    <w:nsid w:val="776352C9"/>
    <w:multiLevelType w:val="hybridMultilevel"/>
    <w:tmpl w:val="53B0DC80"/>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27" w15:restartNumberingAfterBreak="0">
    <w:nsid w:val="7A3D562B"/>
    <w:multiLevelType w:val="hybridMultilevel"/>
    <w:tmpl w:val="8200BE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7608A4"/>
    <w:multiLevelType w:val="multilevel"/>
    <w:tmpl w:val="6D7C8A08"/>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3920FB"/>
    <w:multiLevelType w:val="hybridMultilevel"/>
    <w:tmpl w:val="92D44250"/>
    <w:lvl w:ilvl="0" w:tplc="BD4200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C5188D"/>
    <w:multiLevelType w:val="hybridMultilevel"/>
    <w:tmpl w:val="C38EC640"/>
    <w:lvl w:ilvl="0" w:tplc="EDAA51FA">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num w:numId="1" w16cid:durableId="54740804">
    <w:abstractNumId w:val="1"/>
  </w:num>
  <w:num w:numId="2" w16cid:durableId="2021272846">
    <w:abstractNumId w:val="1"/>
  </w:num>
  <w:num w:numId="3" w16cid:durableId="299696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13522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932676">
    <w:abstractNumId w:val="8"/>
  </w:num>
  <w:num w:numId="6" w16cid:durableId="1494029061">
    <w:abstractNumId w:val="29"/>
  </w:num>
  <w:num w:numId="7" w16cid:durableId="2007704139">
    <w:abstractNumId w:val="4"/>
  </w:num>
  <w:num w:numId="8" w16cid:durableId="153686230">
    <w:abstractNumId w:val="0"/>
  </w:num>
  <w:num w:numId="9" w16cid:durableId="2009360163">
    <w:abstractNumId w:val="16"/>
  </w:num>
  <w:num w:numId="10" w16cid:durableId="58024356">
    <w:abstractNumId w:val="13"/>
  </w:num>
  <w:num w:numId="11" w16cid:durableId="1994094138">
    <w:abstractNumId w:val="21"/>
  </w:num>
  <w:num w:numId="12" w16cid:durableId="2063476309">
    <w:abstractNumId w:val="27"/>
  </w:num>
  <w:num w:numId="13" w16cid:durableId="239412971">
    <w:abstractNumId w:val="14"/>
  </w:num>
  <w:num w:numId="14" w16cid:durableId="2119715643">
    <w:abstractNumId w:val="19"/>
  </w:num>
  <w:num w:numId="15" w16cid:durableId="1450972708">
    <w:abstractNumId w:val="10"/>
  </w:num>
  <w:num w:numId="16" w16cid:durableId="2140613297">
    <w:abstractNumId w:val="5"/>
  </w:num>
  <w:num w:numId="17" w16cid:durableId="339819810">
    <w:abstractNumId w:val="7"/>
  </w:num>
  <w:num w:numId="18" w16cid:durableId="1715109168">
    <w:abstractNumId w:val="28"/>
  </w:num>
  <w:num w:numId="19" w16cid:durableId="1267537948">
    <w:abstractNumId w:val="24"/>
  </w:num>
  <w:num w:numId="20" w16cid:durableId="796068127">
    <w:abstractNumId w:val="23"/>
  </w:num>
  <w:num w:numId="21" w16cid:durableId="861548304">
    <w:abstractNumId w:val="9"/>
  </w:num>
  <w:num w:numId="22" w16cid:durableId="1184323928">
    <w:abstractNumId w:val="17"/>
  </w:num>
  <w:num w:numId="23" w16cid:durableId="468327501">
    <w:abstractNumId w:val="11"/>
  </w:num>
  <w:num w:numId="24" w16cid:durableId="355346921">
    <w:abstractNumId w:val="26"/>
  </w:num>
  <w:num w:numId="25" w16cid:durableId="1881817618">
    <w:abstractNumId w:val="15"/>
  </w:num>
  <w:num w:numId="26" w16cid:durableId="366492945">
    <w:abstractNumId w:val="22"/>
  </w:num>
  <w:num w:numId="27" w16cid:durableId="583103514">
    <w:abstractNumId w:val="30"/>
  </w:num>
  <w:num w:numId="28" w16cid:durableId="857818883">
    <w:abstractNumId w:val="3"/>
  </w:num>
  <w:num w:numId="29" w16cid:durableId="1642810734">
    <w:abstractNumId w:val="12"/>
  </w:num>
  <w:num w:numId="30" w16cid:durableId="740371304">
    <w:abstractNumId w:val="25"/>
  </w:num>
  <w:num w:numId="31" w16cid:durableId="1669746531">
    <w:abstractNumId w:val="20"/>
  </w:num>
  <w:num w:numId="32" w16cid:durableId="132986193">
    <w:abstractNumId w:val="6"/>
  </w:num>
  <w:num w:numId="33" w16cid:durableId="183529313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230"/>
    <w:rsid w:val="00002067"/>
    <w:rsid w:val="000049E6"/>
    <w:rsid w:val="0000663A"/>
    <w:rsid w:val="00011AB0"/>
    <w:rsid w:val="00013111"/>
    <w:rsid w:val="000133A1"/>
    <w:rsid w:val="000136FD"/>
    <w:rsid w:val="000142FC"/>
    <w:rsid w:val="000163A1"/>
    <w:rsid w:val="00016CF7"/>
    <w:rsid w:val="000207F6"/>
    <w:rsid w:val="000265D8"/>
    <w:rsid w:val="000278DC"/>
    <w:rsid w:val="00027C49"/>
    <w:rsid w:val="00031034"/>
    <w:rsid w:val="00031B5C"/>
    <w:rsid w:val="00033770"/>
    <w:rsid w:val="000409B6"/>
    <w:rsid w:val="00054C27"/>
    <w:rsid w:val="0005519D"/>
    <w:rsid w:val="00062510"/>
    <w:rsid w:val="000633B0"/>
    <w:rsid w:val="000636C5"/>
    <w:rsid w:val="00070D63"/>
    <w:rsid w:val="0007211A"/>
    <w:rsid w:val="00073433"/>
    <w:rsid w:val="00074665"/>
    <w:rsid w:val="00075804"/>
    <w:rsid w:val="000772D3"/>
    <w:rsid w:val="00080BE1"/>
    <w:rsid w:val="0008139F"/>
    <w:rsid w:val="00081E2F"/>
    <w:rsid w:val="00082A73"/>
    <w:rsid w:val="0008391E"/>
    <w:rsid w:val="000852BE"/>
    <w:rsid w:val="0008711B"/>
    <w:rsid w:val="00087660"/>
    <w:rsid w:val="00087A64"/>
    <w:rsid w:val="00091353"/>
    <w:rsid w:val="00092B02"/>
    <w:rsid w:val="000942BE"/>
    <w:rsid w:val="000975AA"/>
    <w:rsid w:val="000A063C"/>
    <w:rsid w:val="000A1012"/>
    <w:rsid w:val="000A2E26"/>
    <w:rsid w:val="000A69FD"/>
    <w:rsid w:val="000B14F8"/>
    <w:rsid w:val="000B4969"/>
    <w:rsid w:val="000B70AE"/>
    <w:rsid w:val="000B73F0"/>
    <w:rsid w:val="000C24AB"/>
    <w:rsid w:val="000C2823"/>
    <w:rsid w:val="000C4303"/>
    <w:rsid w:val="000C5705"/>
    <w:rsid w:val="000C5E36"/>
    <w:rsid w:val="000C6FB3"/>
    <w:rsid w:val="000D0826"/>
    <w:rsid w:val="000D1ED1"/>
    <w:rsid w:val="000D409D"/>
    <w:rsid w:val="000E64C4"/>
    <w:rsid w:val="000E7AD1"/>
    <w:rsid w:val="000F2D39"/>
    <w:rsid w:val="000F33F4"/>
    <w:rsid w:val="001052E8"/>
    <w:rsid w:val="0010653A"/>
    <w:rsid w:val="00106750"/>
    <w:rsid w:val="00107700"/>
    <w:rsid w:val="00111609"/>
    <w:rsid w:val="00116728"/>
    <w:rsid w:val="00120776"/>
    <w:rsid w:val="001217BF"/>
    <w:rsid w:val="00124232"/>
    <w:rsid w:val="001260D6"/>
    <w:rsid w:val="001262E5"/>
    <w:rsid w:val="00126474"/>
    <w:rsid w:val="001306E7"/>
    <w:rsid w:val="001343FB"/>
    <w:rsid w:val="001433EB"/>
    <w:rsid w:val="001455B5"/>
    <w:rsid w:val="00145856"/>
    <w:rsid w:val="001509F7"/>
    <w:rsid w:val="00151478"/>
    <w:rsid w:val="00151EF4"/>
    <w:rsid w:val="00163BE8"/>
    <w:rsid w:val="00163FEA"/>
    <w:rsid w:val="001641AE"/>
    <w:rsid w:val="00171EA4"/>
    <w:rsid w:val="00172A31"/>
    <w:rsid w:val="00175A93"/>
    <w:rsid w:val="00181044"/>
    <w:rsid w:val="001901B2"/>
    <w:rsid w:val="0019305A"/>
    <w:rsid w:val="001930D9"/>
    <w:rsid w:val="001934B9"/>
    <w:rsid w:val="00195F9E"/>
    <w:rsid w:val="00197FE5"/>
    <w:rsid w:val="001A0B2C"/>
    <w:rsid w:val="001A2A1A"/>
    <w:rsid w:val="001A52A2"/>
    <w:rsid w:val="001A74BC"/>
    <w:rsid w:val="001B2C57"/>
    <w:rsid w:val="001B4FE4"/>
    <w:rsid w:val="001B6705"/>
    <w:rsid w:val="001B7E15"/>
    <w:rsid w:val="001C1218"/>
    <w:rsid w:val="001C2A64"/>
    <w:rsid w:val="001C2CF5"/>
    <w:rsid w:val="001C4439"/>
    <w:rsid w:val="001C5861"/>
    <w:rsid w:val="001C5AC7"/>
    <w:rsid w:val="001C6C88"/>
    <w:rsid w:val="001C7300"/>
    <w:rsid w:val="001D0EA7"/>
    <w:rsid w:val="001D17CC"/>
    <w:rsid w:val="001D32D6"/>
    <w:rsid w:val="001D4B4B"/>
    <w:rsid w:val="001D70D1"/>
    <w:rsid w:val="001E2716"/>
    <w:rsid w:val="001E472C"/>
    <w:rsid w:val="001E5F8B"/>
    <w:rsid w:val="001E6DBF"/>
    <w:rsid w:val="001E771B"/>
    <w:rsid w:val="001F29B5"/>
    <w:rsid w:val="001F3D73"/>
    <w:rsid w:val="001F48DC"/>
    <w:rsid w:val="002003E0"/>
    <w:rsid w:val="00206096"/>
    <w:rsid w:val="00206C9F"/>
    <w:rsid w:val="0021167C"/>
    <w:rsid w:val="0021299F"/>
    <w:rsid w:val="00212E24"/>
    <w:rsid w:val="00213F1E"/>
    <w:rsid w:val="00215711"/>
    <w:rsid w:val="00216B97"/>
    <w:rsid w:val="00217B83"/>
    <w:rsid w:val="0022249C"/>
    <w:rsid w:val="00222A01"/>
    <w:rsid w:val="00223720"/>
    <w:rsid w:val="00223986"/>
    <w:rsid w:val="00224C9C"/>
    <w:rsid w:val="0023153B"/>
    <w:rsid w:val="00232A18"/>
    <w:rsid w:val="00233C67"/>
    <w:rsid w:val="00236EBD"/>
    <w:rsid w:val="00237A98"/>
    <w:rsid w:val="00240895"/>
    <w:rsid w:val="00240A03"/>
    <w:rsid w:val="00240C9D"/>
    <w:rsid w:val="00241579"/>
    <w:rsid w:val="00241682"/>
    <w:rsid w:val="00245250"/>
    <w:rsid w:val="00245BF6"/>
    <w:rsid w:val="00246077"/>
    <w:rsid w:val="00250F4F"/>
    <w:rsid w:val="0025180B"/>
    <w:rsid w:val="00251C7C"/>
    <w:rsid w:val="00254B5B"/>
    <w:rsid w:val="00261B10"/>
    <w:rsid w:val="002659A5"/>
    <w:rsid w:val="00266AFC"/>
    <w:rsid w:val="002675D3"/>
    <w:rsid w:val="00267CB3"/>
    <w:rsid w:val="00270D82"/>
    <w:rsid w:val="002728B8"/>
    <w:rsid w:val="00273FBD"/>
    <w:rsid w:val="00274771"/>
    <w:rsid w:val="0027754D"/>
    <w:rsid w:val="00281327"/>
    <w:rsid w:val="002854CB"/>
    <w:rsid w:val="00291019"/>
    <w:rsid w:val="00291D80"/>
    <w:rsid w:val="00292F49"/>
    <w:rsid w:val="00296358"/>
    <w:rsid w:val="00296516"/>
    <w:rsid w:val="002A09BA"/>
    <w:rsid w:val="002A1146"/>
    <w:rsid w:val="002A1806"/>
    <w:rsid w:val="002A2039"/>
    <w:rsid w:val="002A2334"/>
    <w:rsid w:val="002A2F68"/>
    <w:rsid w:val="002A42C3"/>
    <w:rsid w:val="002A4E8F"/>
    <w:rsid w:val="002A6404"/>
    <w:rsid w:val="002A6ED0"/>
    <w:rsid w:val="002B1820"/>
    <w:rsid w:val="002B349A"/>
    <w:rsid w:val="002B619E"/>
    <w:rsid w:val="002C02DE"/>
    <w:rsid w:val="002C0817"/>
    <w:rsid w:val="002C4592"/>
    <w:rsid w:val="002C545C"/>
    <w:rsid w:val="002C6E8C"/>
    <w:rsid w:val="002D11A0"/>
    <w:rsid w:val="002D12AD"/>
    <w:rsid w:val="002D1FC3"/>
    <w:rsid w:val="002D4BB6"/>
    <w:rsid w:val="002D5E77"/>
    <w:rsid w:val="002E4572"/>
    <w:rsid w:val="002E4807"/>
    <w:rsid w:val="002E6B6F"/>
    <w:rsid w:val="002F0959"/>
    <w:rsid w:val="002F63C4"/>
    <w:rsid w:val="002F6810"/>
    <w:rsid w:val="002F7A7F"/>
    <w:rsid w:val="003005F7"/>
    <w:rsid w:val="00305036"/>
    <w:rsid w:val="00306F98"/>
    <w:rsid w:val="00306FF2"/>
    <w:rsid w:val="00310C48"/>
    <w:rsid w:val="00312C78"/>
    <w:rsid w:val="00312F40"/>
    <w:rsid w:val="0031665D"/>
    <w:rsid w:val="00316C41"/>
    <w:rsid w:val="0032102C"/>
    <w:rsid w:val="0032231C"/>
    <w:rsid w:val="003224A4"/>
    <w:rsid w:val="00322AD1"/>
    <w:rsid w:val="0032476F"/>
    <w:rsid w:val="003259EA"/>
    <w:rsid w:val="00330F71"/>
    <w:rsid w:val="00332716"/>
    <w:rsid w:val="00332DE6"/>
    <w:rsid w:val="003335D3"/>
    <w:rsid w:val="00336743"/>
    <w:rsid w:val="0033711D"/>
    <w:rsid w:val="00341086"/>
    <w:rsid w:val="00343866"/>
    <w:rsid w:val="00344392"/>
    <w:rsid w:val="003517C0"/>
    <w:rsid w:val="00352EE7"/>
    <w:rsid w:val="003535F5"/>
    <w:rsid w:val="0035547D"/>
    <w:rsid w:val="0036023A"/>
    <w:rsid w:val="0036085D"/>
    <w:rsid w:val="003735AE"/>
    <w:rsid w:val="003820B4"/>
    <w:rsid w:val="003825BC"/>
    <w:rsid w:val="00383D1C"/>
    <w:rsid w:val="00383F94"/>
    <w:rsid w:val="0038734C"/>
    <w:rsid w:val="00391E2B"/>
    <w:rsid w:val="003A149A"/>
    <w:rsid w:val="003A4089"/>
    <w:rsid w:val="003A46A4"/>
    <w:rsid w:val="003A7263"/>
    <w:rsid w:val="003A7871"/>
    <w:rsid w:val="003B0A48"/>
    <w:rsid w:val="003B120F"/>
    <w:rsid w:val="003B52CF"/>
    <w:rsid w:val="003B6BCE"/>
    <w:rsid w:val="003C1CBB"/>
    <w:rsid w:val="003C4AAF"/>
    <w:rsid w:val="003D7C09"/>
    <w:rsid w:val="003E3D6A"/>
    <w:rsid w:val="003E5982"/>
    <w:rsid w:val="003E7328"/>
    <w:rsid w:val="003E7CC8"/>
    <w:rsid w:val="003F0054"/>
    <w:rsid w:val="003F29DB"/>
    <w:rsid w:val="003F4291"/>
    <w:rsid w:val="003F6367"/>
    <w:rsid w:val="0040026E"/>
    <w:rsid w:val="00400489"/>
    <w:rsid w:val="004031F6"/>
    <w:rsid w:val="0040522E"/>
    <w:rsid w:val="00406509"/>
    <w:rsid w:val="00407260"/>
    <w:rsid w:val="004074F2"/>
    <w:rsid w:val="0040770C"/>
    <w:rsid w:val="00410568"/>
    <w:rsid w:val="00415BBC"/>
    <w:rsid w:val="0041747D"/>
    <w:rsid w:val="00420C35"/>
    <w:rsid w:val="004219A3"/>
    <w:rsid w:val="004237D2"/>
    <w:rsid w:val="00426B84"/>
    <w:rsid w:val="00430577"/>
    <w:rsid w:val="0043202E"/>
    <w:rsid w:val="00435087"/>
    <w:rsid w:val="00435D55"/>
    <w:rsid w:val="004360F1"/>
    <w:rsid w:val="00440523"/>
    <w:rsid w:val="00443818"/>
    <w:rsid w:val="004518FA"/>
    <w:rsid w:val="004550AA"/>
    <w:rsid w:val="00465D9B"/>
    <w:rsid w:val="004674B2"/>
    <w:rsid w:val="0047222E"/>
    <w:rsid w:val="0047418E"/>
    <w:rsid w:val="0047443F"/>
    <w:rsid w:val="00476976"/>
    <w:rsid w:val="00481A2B"/>
    <w:rsid w:val="004855CC"/>
    <w:rsid w:val="00485629"/>
    <w:rsid w:val="00486C5D"/>
    <w:rsid w:val="00490110"/>
    <w:rsid w:val="00490618"/>
    <w:rsid w:val="00492E96"/>
    <w:rsid w:val="00494D5F"/>
    <w:rsid w:val="0049647A"/>
    <w:rsid w:val="004966E4"/>
    <w:rsid w:val="004A0B38"/>
    <w:rsid w:val="004A358F"/>
    <w:rsid w:val="004A3E9B"/>
    <w:rsid w:val="004A44C4"/>
    <w:rsid w:val="004A48FF"/>
    <w:rsid w:val="004A58E1"/>
    <w:rsid w:val="004B1307"/>
    <w:rsid w:val="004B1D99"/>
    <w:rsid w:val="004B3041"/>
    <w:rsid w:val="004B7969"/>
    <w:rsid w:val="004C0472"/>
    <w:rsid w:val="004C3E7F"/>
    <w:rsid w:val="004C3F2A"/>
    <w:rsid w:val="004C4F74"/>
    <w:rsid w:val="004C68C9"/>
    <w:rsid w:val="004C6ABD"/>
    <w:rsid w:val="004D3C18"/>
    <w:rsid w:val="004D7ACD"/>
    <w:rsid w:val="004E1BF1"/>
    <w:rsid w:val="004E3007"/>
    <w:rsid w:val="004E3C25"/>
    <w:rsid w:val="004F0892"/>
    <w:rsid w:val="004F138A"/>
    <w:rsid w:val="004F1899"/>
    <w:rsid w:val="004F38E9"/>
    <w:rsid w:val="004F5032"/>
    <w:rsid w:val="004F7D01"/>
    <w:rsid w:val="00511A59"/>
    <w:rsid w:val="0051382C"/>
    <w:rsid w:val="00513B3A"/>
    <w:rsid w:val="00515D9C"/>
    <w:rsid w:val="00520DD1"/>
    <w:rsid w:val="005246E6"/>
    <w:rsid w:val="0052480D"/>
    <w:rsid w:val="00526BD6"/>
    <w:rsid w:val="00530D20"/>
    <w:rsid w:val="00531CBD"/>
    <w:rsid w:val="00532082"/>
    <w:rsid w:val="005366E4"/>
    <w:rsid w:val="0054085F"/>
    <w:rsid w:val="005409DF"/>
    <w:rsid w:val="00540FBA"/>
    <w:rsid w:val="00550A06"/>
    <w:rsid w:val="00550E0B"/>
    <w:rsid w:val="00561FAD"/>
    <w:rsid w:val="00563068"/>
    <w:rsid w:val="005648CC"/>
    <w:rsid w:val="00564914"/>
    <w:rsid w:val="00566156"/>
    <w:rsid w:val="005666E6"/>
    <w:rsid w:val="00567DD6"/>
    <w:rsid w:val="00570C3F"/>
    <w:rsid w:val="00571315"/>
    <w:rsid w:val="00573230"/>
    <w:rsid w:val="005733DA"/>
    <w:rsid w:val="005759AE"/>
    <w:rsid w:val="00575F6E"/>
    <w:rsid w:val="00580448"/>
    <w:rsid w:val="005807B3"/>
    <w:rsid w:val="00581375"/>
    <w:rsid w:val="005906E5"/>
    <w:rsid w:val="00593D02"/>
    <w:rsid w:val="0059681A"/>
    <w:rsid w:val="005971F2"/>
    <w:rsid w:val="005A16E6"/>
    <w:rsid w:val="005A697E"/>
    <w:rsid w:val="005A75DA"/>
    <w:rsid w:val="005B058F"/>
    <w:rsid w:val="005B111A"/>
    <w:rsid w:val="005B129F"/>
    <w:rsid w:val="005B1823"/>
    <w:rsid w:val="005B3883"/>
    <w:rsid w:val="005B4CE2"/>
    <w:rsid w:val="005B7715"/>
    <w:rsid w:val="005C2FFD"/>
    <w:rsid w:val="005C6201"/>
    <w:rsid w:val="005C65BC"/>
    <w:rsid w:val="005C779C"/>
    <w:rsid w:val="005D388B"/>
    <w:rsid w:val="005D5AD4"/>
    <w:rsid w:val="005E26D6"/>
    <w:rsid w:val="005E50E8"/>
    <w:rsid w:val="005E6D44"/>
    <w:rsid w:val="005E7C4B"/>
    <w:rsid w:val="005F00ED"/>
    <w:rsid w:val="005F3705"/>
    <w:rsid w:val="005F3B2C"/>
    <w:rsid w:val="005F427D"/>
    <w:rsid w:val="005F523E"/>
    <w:rsid w:val="005F7A3D"/>
    <w:rsid w:val="00601755"/>
    <w:rsid w:val="00601F54"/>
    <w:rsid w:val="00602887"/>
    <w:rsid w:val="00603031"/>
    <w:rsid w:val="00603AF7"/>
    <w:rsid w:val="006040D1"/>
    <w:rsid w:val="006048BC"/>
    <w:rsid w:val="00607A6F"/>
    <w:rsid w:val="00612EB8"/>
    <w:rsid w:val="00615DCD"/>
    <w:rsid w:val="006175F5"/>
    <w:rsid w:val="006178B8"/>
    <w:rsid w:val="00617F87"/>
    <w:rsid w:val="00622C41"/>
    <w:rsid w:val="006230DF"/>
    <w:rsid w:val="00633172"/>
    <w:rsid w:val="00633BE0"/>
    <w:rsid w:val="006349B5"/>
    <w:rsid w:val="006349D9"/>
    <w:rsid w:val="0063619D"/>
    <w:rsid w:val="00636724"/>
    <w:rsid w:val="00640726"/>
    <w:rsid w:val="006435B6"/>
    <w:rsid w:val="00646958"/>
    <w:rsid w:val="006527F0"/>
    <w:rsid w:val="00652D91"/>
    <w:rsid w:val="00654D00"/>
    <w:rsid w:val="006554EF"/>
    <w:rsid w:val="00655558"/>
    <w:rsid w:val="0066174D"/>
    <w:rsid w:val="006659B3"/>
    <w:rsid w:val="0066746B"/>
    <w:rsid w:val="006714B1"/>
    <w:rsid w:val="006714D0"/>
    <w:rsid w:val="00675973"/>
    <w:rsid w:val="00676384"/>
    <w:rsid w:val="00681AF5"/>
    <w:rsid w:val="00682F20"/>
    <w:rsid w:val="00684F30"/>
    <w:rsid w:val="00690335"/>
    <w:rsid w:val="0069219D"/>
    <w:rsid w:val="00692206"/>
    <w:rsid w:val="00692460"/>
    <w:rsid w:val="00692D02"/>
    <w:rsid w:val="0069452E"/>
    <w:rsid w:val="0069463D"/>
    <w:rsid w:val="006975EB"/>
    <w:rsid w:val="006976F2"/>
    <w:rsid w:val="00697E8A"/>
    <w:rsid w:val="006A1403"/>
    <w:rsid w:val="006A1678"/>
    <w:rsid w:val="006A2C16"/>
    <w:rsid w:val="006A33AE"/>
    <w:rsid w:val="006A41F8"/>
    <w:rsid w:val="006A43E4"/>
    <w:rsid w:val="006A4FDC"/>
    <w:rsid w:val="006B0B9A"/>
    <w:rsid w:val="006B2B15"/>
    <w:rsid w:val="006B2E39"/>
    <w:rsid w:val="006B686D"/>
    <w:rsid w:val="006B79A1"/>
    <w:rsid w:val="006C09ED"/>
    <w:rsid w:val="006C0BD3"/>
    <w:rsid w:val="006C3BA4"/>
    <w:rsid w:val="006C50DC"/>
    <w:rsid w:val="006D0DD1"/>
    <w:rsid w:val="006D19D5"/>
    <w:rsid w:val="006D2592"/>
    <w:rsid w:val="006D3827"/>
    <w:rsid w:val="006D4638"/>
    <w:rsid w:val="006D4A0B"/>
    <w:rsid w:val="006D6502"/>
    <w:rsid w:val="006D7918"/>
    <w:rsid w:val="006D7AD4"/>
    <w:rsid w:val="006E0485"/>
    <w:rsid w:val="006E3590"/>
    <w:rsid w:val="006E36A8"/>
    <w:rsid w:val="006E670F"/>
    <w:rsid w:val="006E76EB"/>
    <w:rsid w:val="006F4E11"/>
    <w:rsid w:val="006F4F28"/>
    <w:rsid w:val="006F6631"/>
    <w:rsid w:val="00701EF1"/>
    <w:rsid w:val="0070333D"/>
    <w:rsid w:val="0070393C"/>
    <w:rsid w:val="007044A1"/>
    <w:rsid w:val="00705098"/>
    <w:rsid w:val="00706DE1"/>
    <w:rsid w:val="00707863"/>
    <w:rsid w:val="007126EC"/>
    <w:rsid w:val="00713B46"/>
    <w:rsid w:val="00714C3F"/>
    <w:rsid w:val="007176BE"/>
    <w:rsid w:val="00723496"/>
    <w:rsid w:val="00727D16"/>
    <w:rsid w:val="00731188"/>
    <w:rsid w:val="00733DE6"/>
    <w:rsid w:val="007341DA"/>
    <w:rsid w:val="00734D54"/>
    <w:rsid w:val="00735C9C"/>
    <w:rsid w:val="00736A9F"/>
    <w:rsid w:val="007456CD"/>
    <w:rsid w:val="00747179"/>
    <w:rsid w:val="00750B11"/>
    <w:rsid w:val="0075104E"/>
    <w:rsid w:val="007574B0"/>
    <w:rsid w:val="007620E7"/>
    <w:rsid w:val="0076211C"/>
    <w:rsid w:val="007625BE"/>
    <w:rsid w:val="00762D45"/>
    <w:rsid w:val="007638B2"/>
    <w:rsid w:val="00764D23"/>
    <w:rsid w:val="007666CB"/>
    <w:rsid w:val="00766A11"/>
    <w:rsid w:val="00773A22"/>
    <w:rsid w:val="007748D9"/>
    <w:rsid w:val="00781ED5"/>
    <w:rsid w:val="00782ECD"/>
    <w:rsid w:val="0078492A"/>
    <w:rsid w:val="00786737"/>
    <w:rsid w:val="00790842"/>
    <w:rsid w:val="00793504"/>
    <w:rsid w:val="00796C9F"/>
    <w:rsid w:val="0079778C"/>
    <w:rsid w:val="00797D9C"/>
    <w:rsid w:val="007A1558"/>
    <w:rsid w:val="007A18D2"/>
    <w:rsid w:val="007A1989"/>
    <w:rsid w:val="007A1C13"/>
    <w:rsid w:val="007A3B00"/>
    <w:rsid w:val="007A3E77"/>
    <w:rsid w:val="007A58CD"/>
    <w:rsid w:val="007A7C8C"/>
    <w:rsid w:val="007B1427"/>
    <w:rsid w:val="007B1BA4"/>
    <w:rsid w:val="007B432A"/>
    <w:rsid w:val="007B6C63"/>
    <w:rsid w:val="007C14BC"/>
    <w:rsid w:val="007C182A"/>
    <w:rsid w:val="007C342C"/>
    <w:rsid w:val="007C42F9"/>
    <w:rsid w:val="007C5F3F"/>
    <w:rsid w:val="007C618A"/>
    <w:rsid w:val="007D4BD3"/>
    <w:rsid w:val="007E0A8E"/>
    <w:rsid w:val="007E186B"/>
    <w:rsid w:val="007E3ACD"/>
    <w:rsid w:val="007E40C5"/>
    <w:rsid w:val="007E481E"/>
    <w:rsid w:val="007E5F2F"/>
    <w:rsid w:val="007E6906"/>
    <w:rsid w:val="007F0B1B"/>
    <w:rsid w:val="007F20DA"/>
    <w:rsid w:val="007F429B"/>
    <w:rsid w:val="007F7E8E"/>
    <w:rsid w:val="00800136"/>
    <w:rsid w:val="00800F04"/>
    <w:rsid w:val="0080308C"/>
    <w:rsid w:val="008044A2"/>
    <w:rsid w:val="008057E1"/>
    <w:rsid w:val="00813BE7"/>
    <w:rsid w:val="0082290C"/>
    <w:rsid w:val="008229BE"/>
    <w:rsid w:val="00830CF7"/>
    <w:rsid w:val="00831F56"/>
    <w:rsid w:val="008335A9"/>
    <w:rsid w:val="008345BF"/>
    <w:rsid w:val="0083629F"/>
    <w:rsid w:val="00836306"/>
    <w:rsid w:val="008419E4"/>
    <w:rsid w:val="00844279"/>
    <w:rsid w:val="00855A5F"/>
    <w:rsid w:val="008611FE"/>
    <w:rsid w:val="00862922"/>
    <w:rsid w:val="00862F5B"/>
    <w:rsid w:val="00865FCA"/>
    <w:rsid w:val="0086620E"/>
    <w:rsid w:val="008700D4"/>
    <w:rsid w:val="0087322F"/>
    <w:rsid w:val="00874CC2"/>
    <w:rsid w:val="00875745"/>
    <w:rsid w:val="00876B3B"/>
    <w:rsid w:val="00881232"/>
    <w:rsid w:val="008822F4"/>
    <w:rsid w:val="00883ECD"/>
    <w:rsid w:val="00887B6D"/>
    <w:rsid w:val="00887F31"/>
    <w:rsid w:val="00890291"/>
    <w:rsid w:val="00893903"/>
    <w:rsid w:val="008947A4"/>
    <w:rsid w:val="008948D1"/>
    <w:rsid w:val="00894987"/>
    <w:rsid w:val="00894C89"/>
    <w:rsid w:val="008959F9"/>
    <w:rsid w:val="00896EA5"/>
    <w:rsid w:val="00897A43"/>
    <w:rsid w:val="00897F11"/>
    <w:rsid w:val="008A0047"/>
    <w:rsid w:val="008A399E"/>
    <w:rsid w:val="008A3D6C"/>
    <w:rsid w:val="008A4947"/>
    <w:rsid w:val="008A70E9"/>
    <w:rsid w:val="008B0B2B"/>
    <w:rsid w:val="008B5A67"/>
    <w:rsid w:val="008B74BC"/>
    <w:rsid w:val="008B7C3F"/>
    <w:rsid w:val="008C470E"/>
    <w:rsid w:val="008C5044"/>
    <w:rsid w:val="008C60B0"/>
    <w:rsid w:val="008C6421"/>
    <w:rsid w:val="008C79E5"/>
    <w:rsid w:val="008D4E3B"/>
    <w:rsid w:val="008D68F9"/>
    <w:rsid w:val="008D6A02"/>
    <w:rsid w:val="008E0F1F"/>
    <w:rsid w:val="008E0FAD"/>
    <w:rsid w:val="008E11DE"/>
    <w:rsid w:val="008E5F23"/>
    <w:rsid w:val="008F2A27"/>
    <w:rsid w:val="008F3166"/>
    <w:rsid w:val="008F4A56"/>
    <w:rsid w:val="008F7C17"/>
    <w:rsid w:val="00900E39"/>
    <w:rsid w:val="00902C80"/>
    <w:rsid w:val="009032FC"/>
    <w:rsid w:val="0090337C"/>
    <w:rsid w:val="0090641D"/>
    <w:rsid w:val="009141DE"/>
    <w:rsid w:val="009176CB"/>
    <w:rsid w:val="00917EDD"/>
    <w:rsid w:val="009226D7"/>
    <w:rsid w:val="00925E55"/>
    <w:rsid w:val="00930677"/>
    <w:rsid w:val="009322EE"/>
    <w:rsid w:val="009375B4"/>
    <w:rsid w:val="00937B26"/>
    <w:rsid w:val="0094052E"/>
    <w:rsid w:val="00944FE4"/>
    <w:rsid w:val="009452E3"/>
    <w:rsid w:val="00950CF9"/>
    <w:rsid w:val="00951137"/>
    <w:rsid w:val="00951D85"/>
    <w:rsid w:val="00952C62"/>
    <w:rsid w:val="00952DDD"/>
    <w:rsid w:val="00955C1C"/>
    <w:rsid w:val="00956743"/>
    <w:rsid w:val="00962EFF"/>
    <w:rsid w:val="0096320A"/>
    <w:rsid w:val="00963ECD"/>
    <w:rsid w:val="009701D3"/>
    <w:rsid w:val="009732EE"/>
    <w:rsid w:val="009733E5"/>
    <w:rsid w:val="00975374"/>
    <w:rsid w:val="00976687"/>
    <w:rsid w:val="009815AA"/>
    <w:rsid w:val="00981857"/>
    <w:rsid w:val="00981C9D"/>
    <w:rsid w:val="00983E68"/>
    <w:rsid w:val="00984289"/>
    <w:rsid w:val="00984D04"/>
    <w:rsid w:val="00985412"/>
    <w:rsid w:val="009873FD"/>
    <w:rsid w:val="00992003"/>
    <w:rsid w:val="00992FCB"/>
    <w:rsid w:val="00992FFF"/>
    <w:rsid w:val="00993D0F"/>
    <w:rsid w:val="00993DFB"/>
    <w:rsid w:val="00994700"/>
    <w:rsid w:val="00997385"/>
    <w:rsid w:val="009A003A"/>
    <w:rsid w:val="009A301D"/>
    <w:rsid w:val="009A6443"/>
    <w:rsid w:val="009A647E"/>
    <w:rsid w:val="009A6540"/>
    <w:rsid w:val="009A7A41"/>
    <w:rsid w:val="009B1A92"/>
    <w:rsid w:val="009B3621"/>
    <w:rsid w:val="009B4F0B"/>
    <w:rsid w:val="009B5B07"/>
    <w:rsid w:val="009C3248"/>
    <w:rsid w:val="009C5F71"/>
    <w:rsid w:val="009D10ED"/>
    <w:rsid w:val="009D5010"/>
    <w:rsid w:val="009D5AC0"/>
    <w:rsid w:val="009D5C89"/>
    <w:rsid w:val="009E4E5F"/>
    <w:rsid w:val="009F29DB"/>
    <w:rsid w:val="009F350B"/>
    <w:rsid w:val="009F4CF1"/>
    <w:rsid w:val="00A01490"/>
    <w:rsid w:val="00A06301"/>
    <w:rsid w:val="00A10904"/>
    <w:rsid w:val="00A113B1"/>
    <w:rsid w:val="00A1280D"/>
    <w:rsid w:val="00A13851"/>
    <w:rsid w:val="00A138DD"/>
    <w:rsid w:val="00A13F80"/>
    <w:rsid w:val="00A16F4E"/>
    <w:rsid w:val="00A179B3"/>
    <w:rsid w:val="00A21E21"/>
    <w:rsid w:val="00A21FF4"/>
    <w:rsid w:val="00A22FD8"/>
    <w:rsid w:val="00A23294"/>
    <w:rsid w:val="00A2370C"/>
    <w:rsid w:val="00A247FD"/>
    <w:rsid w:val="00A31B8B"/>
    <w:rsid w:val="00A45BEE"/>
    <w:rsid w:val="00A47814"/>
    <w:rsid w:val="00A52772"/>
    <w:rsid w:val="00A542B2"/>
    <w:rsid w:val="00A54473"/>
    <w:rsid w:val="00A54E54"/>
    <w:rsid w:val="00A553D4"/>
    <w:rsid w:val="00A63FB3"/>
    <w:rsid w:val="00A674A8"/>
    <w:rsid w:val="00A779F4"/>
    <w:rsid w:val="00A803F6"/>
    <w:rsid w:val="00A82F3C"/>
    <w:rsid w:val="00A832A7"/>
    <w:rsid w:val="00A839B6"/>
    <w:rsid w:val="00A86BA3"/>
    <w:rsid w:val="00A87E89"/>
    <w:rsid w:val="00A917A9"/>
    <w:rsid w:val="00A93A52"/>
    <w:rsid w:val="00A946CA"/>
    <w:rsid w:val="00A96691"/>
    <w:rsid w:val="00AA225D"/>
    <w:rsid w:val="00AA33A5"/>
    <w:rsid w:val="00AB061D"/>
    <w:rsid w:val="00AB317F"/>
    <w:rsid w:val="00AB3ADC"/>
    <w:rsid w:val="00AB584A"/>
    <w:rsid w:val="00AB7964"/>
    <w:rsid w:val="00AC2AD8"/>
    <w:rsid w:val="00AC5446"/>
    <w:rsid w:val="00AC5B2E"/>
    <w:rsid w:val="00AC746E"/>
    <w:rsid w:val="00AD0A57"/>
    <w:rsid w:val="00AD11F2"/>
    <w:rsid w:val="00AD4BCF"/>
    <w:rsid w:val="00AD51D2"/>
    <w:rsid w:val="00AD5E06"/>
    <w:rsid w:val="00AD6501"/>
    <w:rsid w:val="00AE0136"/>
    <w:rsid w:val="00AE0A29"/>
    <w:rsid w:val="00AE2061"/>
    <w:rsid w:val="00AE2E97"/>
    <w:rsid w:val="00AE3B94"/>
    <w:rsid w:val="00AE4427"/>
    <w:rsid w:val="00AF0832"/>
    <w:rsid w:val="00AF0DE5"/>
    <w:rsid w:val="00AF110E"/>
    <w:rsid w:val="00AF128B"/>
    <w:rsid w:val="00AF6FA8"/>
    <w:rsid w:val="00B02364"/>
    <w:rsid w:val="00B03386"/>
    <w:rsid w:val="00B11829"/>
    <w:rsid w:val="00B11C72"/>
    <w:rsid w:val="00B13E51"/>
    <w:rsid w:val="00B14785"/>
    <w:rsid w:val="00B153B3"/>
    <w:rsid w:val="00B204A1"/>
    <w:rsid w:val="00B21649"/>
    <w:rsid w:val="00B23FDB"/>
    <w:rsid w:val="00B30955"/>
    <w:rsid w:val="00B328DC"/>
    <w:rsid w:val="00B33308"/>
    <w:rsid w:val="00B33456"/>
    <w:rsid w:val="00B33FEF"/>
    <w:rsid w:val="00B343B2"/>
    <w:rsid w:val="00B362EB"/>
    <w:rsid w:val="00B36CFF"/>
    <w:rsid w:val="00B36D05"/>
    <w:rsid w:val="00B41C2B"/>
    <w:rsid w:val="00B422EF"/>
    <w:rsid w:val="00B454A8"/>
    <w:rsid w:val="00B4658B"/>
    <w:rsid w:val="00B47596"/>
    <w:rsid w:val="00B50585"/>
    <w:rsid w:val="00B5153D"/>
    <w:rsid w:val="00B56284"/>
    <w:rsid w:val="00B56A63"/>
    <w:rsid w:val="00B57D34"/>
    <w:rsid w:val="00B60234"/>
    <w:rsid w:val="00B64BFB"/>
    <w:rsid w:val="00B64C78"/>
    <w:rsid w:val="00B65C69"/>
    <w:rsid w:val="00B66D0C"/>
    <w:rsid w:val="00B6711D"/>
    <w:rsid w:val="00B71EB6"/>
    <w:rsid w:val="00B73148"/>
    <w:rsid w:val="00B74EB4"/>
    <w:rsid w:val="00B76ACA"/>
    <w:rsid w:val="00B7777C"/>
    <w:rsid w:val="00B8002F"/>
    <w:rsid w:val="00B83320"/>
    <w:rsid w:val="00B83600"/>
    <w:rsid w:val="00B840D4"/>
    <w:rsid w:val="00B85E4E"/>
    <w:rsid w:val="00B86FEE"/>
    <w:rsid w:val="00B90FDA"/>
    <w:rsid w:val="00B9102C"/>
    <w:rsid w:val="00B91298"/>
    <w:rsid w:val="00B92C0F"/>
    <w:rsid w:val="00B95B06"/>
    <w:rsid w:val="00BA0AE6"/>
    <w:rsid w:val="00BA5094"/>
    <w:rsid w:val="00BB22EF"/>
    <w:rsid w:val="00BB4057"/>
    <w:rsid w:val="00BC030C"/>
    <w:rsid w:val="00BC2A81"/>
    <w:rsid w:val="00BC3C10"/>
    <w:rsid w:val="00BC407C"/>
    <w:rsid w:val="00BC5A96"/>
    <w:rsid w:val="00BD0A1B"/>
    <w:rsid w:val="00BD33D6"/>
    <w:rsid w:val="00BD6A21"/>
    <w:rsid w:val="00BD7112"/>
    <w:rsid w:val="00BE058E"/>
    <w:rsid w:val="00BE2F5C"/>
    <w:rsid w:val="00BE3D4B"/>
    <w:rsid w:val="00BE3DBA"/>
    <w:rsid w:val="00BE3DE7"/>
    <w:rsid w:val="00BE4D1E"/>
    <w:rsid w:val="00BE4F9E"/>
    <w:rsid w:val="00BF3F59"/>
    <w:rsid w:val="00BF5293"/>
    <w:rsid w:val="00BF5644"/>
    <w:rsid w:val="00BF78DA"/>
    <w:rsid w:val="00C011C9"/>
    <w:rsid w:val="00C06D0D"/>
    <w:rsid w:val="00C11DD8"/>
    <w:rsid w:val="00C23440"/>
    <w:rsid w:val="00C24874"/>
    <w:rsid w:val="00C25EAA"/>
    <w:rsid w:val="00C31C4A"/>
    <w:rsid w:val="00C37A89"/>
    <w:rsid w:val="00C416B8"/>
    <w:rsid w:val="00C420CA"/>
    <w:rsid w:val="00C4478C"/>
    <w:rsid w:val="00C44A78"/>
    <w:rsid w:val="00C45578"/>
    <w:rsid w:val="00C457BF"/>
    <w:rsid w:val="00C45A3E"/>
    <w:rsid w:val="00C47064"/>
    <w:rsid w:val="00C47A74"/>
    <w:rsid w:val="00C50C5B"/>
    <w:rsid w:val="00C55884"/>
    <w:rsid w:val="00C561E4"/>
    <w:rsid w:val="00C60DE9"/>
    <w:rsid w:val="00C63A9C"/>
    <w:rsid w:val="00C65F60"/>
    <w:rsid w:val="00C75FB3"/>
    <w:rsid w:val="00C81030"/>
    <w:rsid w:val="00C8585F"/>
    <w:rsid w:val="00C86BD7"/>
    <w:rsid w:val="00C875FA"/>
    <w:rsid w:val="00C8799C"/>
    <w:rsid w:val="00C917E8"/>
    <w:rsid w:val="00C92E25"/>
    <w:rsid w:val="00C961FD"/>
    <w:rsid w:val="00C96283"/>
    <w:rsid w:val="00CA0541"/>
    <w:rsid w:val="00CA3C47"/>
    <w:rsid w:val="00CA4FFE"/>
    <w:rsid w:val="00CA7D73"/>
    <w:rsid w:val="00CA7E45"/>
    <w:rsid w:val="00CB1ED7"/>
    <w:rsid w:val="00CB39DA"/>
    <w:rsid w:val="00CB7089"/>
    <w:rsid w:val="00CC09E9"/>
    <w:rsid w:val="00CC6EB5"/>
    <w:rsid w:val="00CD2E25"/>
    <w:rsid w:val="00CD5591"/>
    <w:rsid w:val="00CD6176"/>
    <w:rsid w:val="00CD74DE"/>
    <w:rsid w:val="00CE05FB"/>
    <w:rsid w:val="00CE1234"/>
    <w:rsid w:val="00CE55E9"/>
    <w:rsid w:val="00CF09E2"/>
    <w:rsid w:val="00CF50F4"/>
    <w:rsid w:val="00CF7C7B"/>
    <w:rsid w:val="00CF7F91"/>
    <w:rsid w:val="00D008A5"/>
    <w:rsid w:val="00D00EC4"/>
    <w:rsid w:val="00D0140F"/>
    <w:rsid w:val="00D058AF"/>
    <w:rsid w:val="00D10190"/>
    <w:rsid w:val="00D11B7A"/>
    <w:rsid w:val="00D12708"/>
    <w:rsid w:val="00D2279D"/>
    <w:rsid w:val="00D2293C"/>
    <w:rsid w:val="00D23359"/>
    <w:rsid w:val="00D233F5"/>
    <w:rsid w:val="00D23F9D"/>
    <w:rsid w:val="00D24205"/>
    <w:rsid w:val="00D30397"/>
    <w:rsid w:val="00D319CA"/>
    <w:rsid w:val="00D35E9B"/>
    <w:rsid w:val="00D36F65"/>
    <w:rsid w:val="00D37420"/>
    <w:rsid w:val="00D40B99"/>
    <w:rsid w:val="00D4268C"/>
    <w:rsid w:val="00D42B3B"/>
    <w:rsid w:val="00D458B3"/>
    <w:rsid w:val="00D45F59"/>
    <w:rsid w:val="00D51AB9"/>
    <w:rsid w:val="00D56C5D"/>
    <w:rsid w:val="00D577ED"/>
    <w:rsid w:val="00D612BE"/>
    <w:rsid w:val="00D613BC"/>
    <w:rsid w:val="00D62A74"/>
    <w:rsid w:val="00D6506C"/>
    <w:rsid w:val="00D71C5C"/>
    <w:rsid w:val="00D71F89"/>
    <w:rsid w:val="00D72248"/>
    <w:rsid w:val="00D74A0D"/>
    <w:rsid w:val="00D76DD5"/>
    <w:rsid w:val="00D82519"/>
    <w:rsid w:val="00D8420C"/>
    <w:rsid w:val="00D87E2C"/>
    <w:rsid w:val="00D90EA9"/>
    <w:rsid w:val="00D94040"/>
    <w:rsid w:val="00DA0CF0"/>
    <w:rsid w:val="00DA4783"/>
    <w:rsid w:val="00DA5D59"/>
    <w:rsid w:val="00DB2420"/>
    <w:rsid w:val="00DB36E3"/>
    <w:rsid w:val="00DB4439"/>
    <w:rsid w:val="00DB6C67"/>
    <w:rsid w:val="00DC01B2"/>
    <w:rsid w:val="00DC21DB"/>
    <w:rsid w:val="00DC5344"/>
    <w:rsid w:val="00DC6C58"/>
    <w:rsid w:val="00DC7DB7"/>
    <w:rsid w:val="00DD2BA1"/>
    <w:rsid w:val="00DD2F34"/>
    <w:rsid w:val="00DE1496"/>
    <w:rsid w:val="00DE3560"/>
    <w:rsid w:val="00DE3DCD"/>
    <w:rsid w:val="00DE492A"/>
    <w:rsid w:val="00DE5659"/>
    <w:rsid w:val="00DE6D3E"/>
    <w:rsid w:val="00DF1A64"/>
    <w:rsid w:val="00DF286A"/>
    <w:rsid w:val="00DF3ABE"/>
    <w:rsid w:val="00DF45B1"/>
    <w:rsid w:val="00E01670"/>
    <w:rsid w:val="00E0468F"/>
    <w:rsid w:val="00E0799B"/>
    <w:rsid w:val="00E1103C"/>
    <w:rsid w:val="00E13547"/>
    <w:rsid w:val="00E15760"/>
    <w:rsid w:val="00E16CD0"/>
    <w:rsid w:val="00E177E7"/>
    <w:rsid w:val="00E20C8B"/>
    <w:rsid w:val="00E24E05"/>
    <w:rsid w:val="00E26911"/>
    <w:rsid w:val="00E336A7"/>
    <w:rsid w:val="00E345BC"/>
    <w:rsid w:val="00E359DE"/>
    <w:rsid w:val="00E35A28"/>
    <w:rsid w:val="00E37609"/>
    <w:rsid w:val="00E41642"/>
    <w:rsid w:val="00E44F89"/>
    <w:rsid w:val="00E45AF9"/>
    <w:rsid w:val="00E46CE1"/>
    <w:rsid w:val="00E46F51"/>
    <w:rsid w:val="00E47486"/>
    <w:rsid w:val="00E51132"/>
    <w:rsid w:val="00E512D0"/>
    <w:rsid w:val="00E52AC6"/>
    <w:rsid w:val="00E540CF"/>
    <w:rsid w:val="00E55583"/>
    <w:rsid w:val="00E5568F"/>
    <w:rsid w:val="00E60755"/>
    <w:rsid w:val="00E6089F"/>
    <w:rsid w:val="00E63025"/>
    <w:rsid w:val="00E63B26"/>
    <w:rsid w:val="00E67E08"/>
    <w:rsid w:val="00E707DB"/>
    <w:rsid w:val="00E71805"/>
    <w:rsid w:val="00E7756F"/>
    <w:rsid w:val="00E82F02"/>
    <w:rsid w:val="00E837ED"/>
    <w:rsid w:val="00E860EB"/>
    <w:rsid w:val="00E87809"/>
    <w:rsid w:val="00E90DCE"/>
    <w:rsid w:val="00E9124C"/>
    <w:rsid w:val="00E9384D"/>
    <w:rsid w:val="00E93BFE"/>
    <w:rsid w:val="00E94A7C"/>
    <w:rsid w:val="00E95627"/>
    <w:rsid w:val="00EA1538"/>
    <w:rsid w:val="00EA16F8"/>
    <w:rsid w:val="00EA4161"/>
    <w:rsid w:val="00EB092F"/>
    <w:rsid w:val="00EB41A2"/>
    <w:rsid w:val="00EC1E7F"/>
    <w:rsid w:val="00EC209A"/>
    <w:rsid w:val="00EC2E6E"/>
    <w:rsid w:val="00EC41CE"/>
    <w:rsid w:val="00EC7FC5"/>
    <w:rsid w:val="00ED2114"/>
    <w:rsid w:val="00ED5FFB"/>
    <w:rsid w:val="00ED68F8"/>
    <w:rsid w:val="00ED7DDF"/>
    <w:rsid w:val="00EE5A97"/>
    <w:rsid w:val="00EE5ADD"/>
    <w:rsid w:val="00EF2A37"/>
    <w:rsid w:val="00EF3CB3"/>
    <w:rsid w:val="00EF3E5B"/>
    <w:rsid w:val="00EF4A72"/>
    <w:rsid w:val="00F003C7"/>
    <w:rsid w:val="00F0285B"/>
    <w:rsid w:val="00F07CE9"/>
    <w:rsid w:val="00F10866"/>
    <w:rsid w:val="00F13DBA"/>
    <w:rsid w:val="00F14F35"/>
    <w:rsid w:val="00F155BE"/>
    <w:rsid w:val="00F23619"/>
    <w:rsid w:val="00F249FB"/>
    <w:rsid w:val="00F26DA6"/>
    <w:rsid w:val="00F311DA"/>
    <w:rsid w:val="00F32AA3"/>
    <w:rsid w:val="00F33EF6"/>
    <w:rsid w:val="00F36CF0"/>
    <w:rsid w:val="00F37062"/>
    <w:rsid w:val="00F458EE"/>
    <w:rsid w:val="00F46C23"/>
    <w:rsid w:val="00F47F65"/>
    <w:rsid w:val="00F53F6C"/>
    <w:rsid w:val="00F55AEB"/>
    <w:rsid w:val="00F60F77"/>
    <w:rsid w:val="00F64D5D"/>
    <w:rsid w:val="00F655E8"/>
    <w:rsid w:val="00F670D1"/>
    <w:rsid w:val="00F67540"/>
    <w:rsid w:val="00F678B7"/>
    <w:rsid w:val="00F70C66"/>
    <w:rsid w:val="00F718AD"/>
    <w:rsid w:val="00F7260B"/>
    <w:rsid w:val="00F72668"/>
    <w:rsid w:val="00F730E0"/>
    <w:rsid w:val="00F75B57"/>
    <w:rsid w:val="00F764F8"/>
    <w:rsid w:val="00F80A52"/>
    <w:rsid w:val="00F80C68"/>
    <w:rsid w:val="00F81BF8"/>
    <w:rsid w:val="00F82EA8"/>
    <w:rsid w:val="00F86B9D"/>
    <w:rsid w:val="00F929F2"/>
    <w:rsid w:val="00F93746"/>
    <w:rsid w:val="00F93886"/>
    <w:rsid w:val="00F964A6"/>
    <w:rsid w:val="00F968DA"/>
    <w:rsid w:val="00F96DC7"/>
    <w:rsid w:val="00FA13D6"/>
    <w:rsid w:val="00FA4F07"/>
    <w:rsid w:val="00FA6A9E"/>
    <w:rsid w:val="00FB0536"/>
    <w:rsid w:val="00FB2351"/>
    <w:rsid w:val="00FB2AF6"/>
    <w:rsid w:val="00FB3DB7"/>
    <w:rsid w:val="00FC0980"/>
    <w:rsid w:val="00FC0D89"/>
    <w:rsid w:val="00FC2364"/>
    <w:rsid w:val="00FC7997"/>
    <w:rsid w:val="00FD3768"/>
    <w:rsid w:val="00FD5A60"/>
    <w:rsid w:val="00FD6A9E"/>
    <w:rsid w:val="00FD7399"/>
    <w:rsid w:val="00FE017A"/>
    <w:rsid w:val="00FE1026"/>
    <w:rsid w:val="00FE2D45"/>
    <w:rsid w:val="00FE3133"/>
    <w:rsid w:val="00FE4BC6"/>
    <w:rsid w:val="00FE692F"/>
    <w:rsid w:val="00FF13E2"/>
    <w:rsid w:val="00FF162A"/>
    <w:rsid w:val="00FF274A"/>
    <w:rsid w:val="00FF42FF"/>
    <w:rsid w:val="00FF73A1"/>
    <w:rsid w:val="01F39B13"/>
    <w:rsid w:val="0F2647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5FD6E"/>
  <w15:docId w15:val="{D1A4EB0A-A419-4F99-B020-E32BB06FB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E54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4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4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Calibri" w:eastAsia="Calibri" w:hAnsi="Calibri" w:cs="Calibri"/>
      <w:sz w:val="56"/>
      <w:szCs w:val="56"/>
    </w:rPr>
  </w:style>
  <w:style w:type="character" w:customStyle="1" w:styleId="Heading1Char">
    <w:name w:val="Heading 1 Char"/>
    <w:basedOn w:val="DefaultParagraphFont"/>
    <w:link w:val="Heading1"/>
    <w:uiPriority w:val="9"/>
    <w:rsid w:val="00BE54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E54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E54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E54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BE54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5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46A"/>
    <w:rPr>
      <w:rFonts w:eastAsiaTheme="majorEastAsia" w:cstheme="majorBidi"/>
      <w:color w:val="272727" w:themeColor="text1" w:themeTint="D8"/>
    </w:rPr>
  </w:style>
  <w:style w:type="character" w:customStyle="1" w:styleId="TitleChar">
    <w:name w:val="Title Char"/>
    <w:basedOn w:val="DefaultParagraphFont"/>
    <w:link w:val="Title"/>
    <w:uiPriority w:val="10"/>
    <w:rsid w:val="00BE546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E5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46A"/>
    <w:pPr>
      <w:spacing w:before="160"/>
      <w:jc w:val="center"/>
    </w:pPr>
    <w:rPr>
      <w:i/>
      <w:iCs/>
      <w:color w:val="404040" w:themeColor="text1" w:themeTint="BF"/>
    </w:rPr>
  </w:style>
  <w:style w:type="character" w:customStyle="1" w:styleId="QuoteChar">
    <w:name w:val="Quote Char"/>
    <w:basedOn w:val="DefaultParagraphFont"/>
    <w:link w:val="Quote"/>
    <w:uiPriority w:val="29"/>
    <w:rsid w:val="00BE546A"/>
    <w:rPr>
      <w:i/>
      <w:iCs/>
      <w:color w:val="404040" w:themeColor="text1" w:themeTint="BF"/>
    </w:rPr>
  </w:style>
  <w:style w:type="paragraph" w:styleId="ListParagraph">
    <w:name w:val="List Paragraph"/>
    <w:basedOn w:val="Normal"/>
    <w:uiPriority w:val="34"/>
    <w:qFormat/>
    <w:rsid w:val="00BE546A"/>
    <w:pPr>
      <w:ind w:left="720"/>
      <w:contextualSpacing/>
    </w:pPr>
  </w:style>
  <w:style w:type="character" w:styleId="IntenseEmphasis">
    <w:name w:val="Intense Emphasis"/>
    <w:basedOn w:val="DefaultParagraphFont"/>
    <w:uiPriority w:val="21"/>
    <w:qFormat/>
    <w:rsid w:val="00BE546A"/>
    <w:rPr>
      <w:i/>
      <w:iCs/>
      <w:color w:val="2F5496" w:themeColor="accent1" w:themeShade="BF"/>
    </w:rPr>
  </w:style>
  <w:style w:type="paragraph" w:styleId="IntenseQuote">
    <w:name w:val="Intense Quote"/>
    <w:basedOn w:val="Normal"/>
    <w:next w:val="Normal"/>
    <w:link w:val="IntenseQuoteChar"/>
    <w:uiPriority w:val="30"/>
    <w:qFormat/>
    <w:rsid w:val="00BE54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546A"/>
    <w:rPr>
      <w:i/>
      <w:iCs/>
      <w:color w:val="2F5496" w:themeColor="accent1" w:themeShade="BF"/>
    </w:rPr>
  </w:style>
  <w:style w:type="character" w:styleId="IntenseReference">
    <w:name w:val="Intense Reference"/>
    <w:basedOn w:val="DefaultParagraphFont"/>
    <w:uiPriority w:val="32"/>
    <w:qFormat/>
    <w:rsid w:val="00BE546A"/>
    <w:rPr>
      <w:b/>
      <w:bCs/>
      <w:smallCaps/>
      <w:color w:val="2F5496" w:themeColor="accent1" w:themeShade="BF"/>
      <w:spacing w:val="5"/>
    </w:rPr>
  </w:style>
  <w:style w:type="paragraph" w:styleId="TOCHeading">
    <w:name w:val="TOC Heading"/>
    <w:basedOn w:val="Heading1"/>
    <w:next w:val="Normal"/>
    <w:uiPriority w:val="39"/>
    <w:unhideWhenUsed/>
    <w:qFormat/>
    <w:rsid w:val="00BE546A"/>
    <w:pPr>
      <w:spacing w:before="240" w:after="0" w:line="259" w:lineRule="auto"/>
      <w:outlineLvl w:val="9"/>
    </w:pPr>
    <w:rPr>
      <w:sz w:val="32"/>
      <w:szCs w:val="32"/>
    </w:rPr>
  </w:style>
  <w:style w:type="table" w:styleId="TableGrid">
    <w:name w:val="Table Grid"/>
    <w:basedOn w:val="TableNormal"/>
    <w:rsid w:val="00DD1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41F7"/>
  </w:style>
  <w:style w:type="character" w:styleId="CommentReference">
    <w:name w:val="annotation reference"/>
    <w:basedOn w:val="DefaultParagraphFont"/>
    <w:unhideWhenUsed/>
    <w:rsid w:val="000A04CB"/>
    <w:rPr>
      <w:sz w:val="16"/>
      <w:szCs w:val="16"/>
    </w:rPr>
  </w:style>
  <w:style w:type="paragraph" w:styleId="CommentText">
    <w:name w:val="annotation text"/>
    <w:basedOn w:val="Normal"/>
    <w:link w:val="CommentTextChar"/>
    <w:unhideWhenUsed/>
    <w:rsid w:val="000A04CB"/>
    <w:pPr>
      <w:spacing w:line="240" w:lineRule="auto"/>
    </w:pPr>
    <w:rPr>
      <w:sz w:val="20"/>
      <w:szCs w:val="20"/>
    </w:rPr>
  </w:style>
  <w:style w:type="character" w:customStyle="1" w:styleId="CommentTextChar">
    <w:name w:val="Comment Text Char"/>
    <w:basedOn w:val="DefaultParagraphFont"/>
    <w:link w:val="CommentText"/>
    <w:rsid w:val="000A04CB"/>
    <w:rPr>
      <w:sz w:val="20"/>
      <w:szCs w:val="20"/>
    </w:rPr>
  </w:style>
  <w:style w:type="paragraph" w:styleId="CommentSubject">
    <w:name w:val="annotation subject"/>
    <w:basedOn w:val="CommentText"/>
    <w:next w:val="CommentText"/>
    <w:link w:val="CommentSubjectChar"/>
    <w:unhideWhenUsed/>
    <w:rsid w:val="000A04CB"/>
    <w:rPr>
      <w:b/>
      <w:bCs/>
    </w:rPr>
  </w:style>
  <w:style w:type="character" w:customStyle="1" w:styleId="CommentSubjectChar">
    <w:name w:val="Comment Subject Char"/>
    <w:basedOn w:val="CommentTextChar"/>
    <w:link w:val="CommentSubject"/>
    <w:rsid w:val="000A04CB"/>
    <w:rPr>
      <w:b/>
      <w:bCs/>
      <w:sz w:val="20"/>
      <w:szCs w:val="20"/>
    </w:rPr>
  </w:style>
  <w:style w:type="paragraph" w:styleId="TOC1">
    <w:name w:val="toc 1"/>
    <w:basedOn w:val="Normal"/>
    <w:next w:val="Normal"/>
    <w:autoRedefine/>
    <w:uiPriority w:val="39"/>
    <w:unhideWhenUsed/>
    <w:rsid w:val="0031499D"/>
    <w:pPr>
      <w:spacing w:after="100"/>
    </w:pPr>
  </w:style>
  <w:style w:type="character" w:styleId="Hyperlink">
    <w:name w:val="Hyperlink"/>
    <w:basedOn w:val="DefaultParagraphFont"/>
    <w:uiPriority w:val="99"/>
    <w:unhideWhenUsed/>
    <w:rsid w:val="0031499D"/>
    <w:rPr>
      <w:color w:val="0563C1" w:themeColor="hyperlink"/>
      <w:u w:val="single"/>
    </w:rPr>
  </w:style>
  <w:style w:type="paragraph" w:styleId="FootnoteText">
    <w:name w:val="footnote text"/>
    <w:basedOn w:val="Normal"/>
    <w:link w:val="FootnoteTextChar"/>
    <w:unhideWhenUsed/>
    <w:qFormat/>
    <w:rsid w:val="00215E61"/>
    <w:pPr>
      <w:spacing w:after="0" w:line="240" w:lineRule="auto"/>
    </w:pPr>
    <w:rPr>
      <w:sz w:val="20"/>
      <w:szCs w:val="20"/>
    </w:rPr>
  </w:style>
  <w:style w:type="character" w:customStyle="1" w:styleId="FootnoteTextChar">
    <w:name w:val="Footnote Text Char"/>
    <w:basedOn w:val="DefaultParagraphFont"/>
    <w:link w:val="FootnoteText"/>
    <w:rsid w:val="00215E61"/>
    <w:rPr>
      <w:sz w:val="20"/>
      <w:szCs w:val="20"/>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unhideWhenUsed/>
    <w:qFormat/>
    <w:rsid w:val="00215E61"/>
    <w:rPr>
      <w:vertAlign w:val="superscript"/>
    </w:rPr>
  </w:style>
  <w:style w:type="character" w:styleId="UnresolvedMention">
    <w:name w:val="Unresolved Mention"/>
    <w:basedOn w:val="DefaultParagraphFont"/>
    <w:uiPriority w:val="99"/>
    <w:semiHidden/>
    <w:unhideWhenUsed/>
    <w:rsid w:val="0039073F"/>
    <w:rPr>
      <w:color w:val="605E5C"/>
      <w:shd w:val="clear" w:color="auto" w:fill="E1DFDD"/>
    </w:rPr>
  </w:style>
  <w:style w:type="paragraph" w:styleId="TOC2">
    <w:name w:val="toc 2"/>
    <w:basedOn w:val="Normal"/>
    <w:next w:val="Normal"/>
    <w:autoRedefine/>
    <w:uiPriority w:val="39"/>
    <w:unhideWhenUsed/>
    <w:rsid w:val="002854CB"/>
    <w:pPr>
      <w:tabs>
        <w:tab w:val="right" w:leader="dot" w:pos="10070"/>
      </w:tabs>
      <w:spacing w:after="100"/>
      <w:ind w:left="238"/>
    </w:pPr>
  </w:style>
  <w:style w:type="character" w:styleId="FollowedHyperlink">
    <w:name w:val="FollowedHyperlink"/>
    <w:basedOn w:val="DefaultParagraphFont"/>
    <w:unhideWhenUsed/>
    <w:rsid w:val="00BD4B07"/>
    <w:rPr>
      <w:color w:val="954F72" w:themeColor="followedHyperlink"/>
      <w:u w:val="single"/>
    </w:rPr>
  </w:style>
  <w:style w:type="character" w:styleId="Strong">
    <w:name w:val="Strong"/>
    <w:basedOn w:val="DefaultParagraphFont"/>
    <w:uiPriority w:val="22"/>
    <w:qFormat/>
    <w:rsid w:val="00CC0EB1"/>
    <w:rPr>
      <w:b/>
      <w:bCs/>
    </w:rPr>
  </w:style>
  <w:style w:type="paragraph" w:styleId="TOC3">
    <w:name w:val="toc 3"/>
    <w:basedOn w:val="Normal"/>
    <w:next w:val="Normal"/>
    <w:autoRedefine/>
    <w:uiPriority w:val="39"/>
    <w:unhideWhenUsed/>
    <w:rsid w:val="00226F47"/>
    <w:pPr>
      <w:spacing w:after="100"/>
      <w:ind w:left="480"/>
    </w:pPr>
  </w:style>
  <w:style w:type="table" w:styleId="GridTable1Light">
    <w:name w:val="Grid Table 1 Light"/>
    <w:basedOn w:val="TableNormal"/>
    <w:uiPriority w:val="46"/>
    <w:rsid w:val="00F14F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3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7F0"/>
  </w:style>
  <w:style w:type="paragraph" w:styleId="Footer">
    <w:name w:val="footer"/>
    <w:basedOn w:val="Normal"/>
    <w:link w:val="FooterChar"/>
    <w:uiPriority w:val="99"/>
    <w:unhideWhenUsed/>
    <w:rsid w:val="0033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7F0"/>
  </w:style>
  <w:style w:type="paragraph" w:customStyle="1" w:styleId="Compact">
    <w:name w:val="Compact"/>
    <w:basedOn w:val="BodyText"/>
    <w:qFormat/>
    <w:rsid w:val="00A7309F"/>
    <w:pPr>
      <w:spacing w:before="36" w:after="36" w:line="240" w:lineRule="auto"/>
    </w:pPr>
    <w:rPr>
      <w:rFonts w:asciiTheme="minorHAnsi" w:hAnsiTheme="minorHAnsi" w:cstheme="minorBidi"/>
    </w:rPr>
  </w:style>
  <w:style w:type="table" w:customStyle="1" w:styleId="Table">
    <w:name w:val="Table"/>
    <w:semiHidden/>
    <w:unhideWhenUsed/>
    <w:qFormat/>
    <w:rsid w:val="00A7309F"/>
    <w:pPr>
      <w:spacing w:after="200" w:line="240" w:lineRule="auto"/>
    </w:pPr>
    <w:rPr>
      <w:rFonts w:asciiTheme="minorHAnsi" w:hAnsiTheme="minorHAnsi" w:cstheme="minorBidi"/>
      <w:sz w:val="20"/>
      <w:szCs w:val="20"/>
      <w:lang w:val="lv-LV"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nhideWhenUsed/>
    <w:qFormat/>
    <w:rsid w:val="00A7309F"/>
    <w:pPr>
      <w:spacing w:after="120"/>
    </w:pPr>
  </w:style>
  <w:style w:type="character" w:customStyle="1" w:styleId="BodyTextChar">
    <w:name w:val="Body Text Char"/>
    <w:basedOn w:val="DefaultParagraphFont"/>
    <w:link w:val="BodyText"/>
    <w:rsid w:val="00A7309F"/>
  </w:style>
  <w:style w:type="table" w:customStyle="1" w:styleId="TableNormal00">
    <w:name w:val="TableNormal0"/>
    <w:rsid w:val="007E6820"/>
    <w:pPr>
      <w:spacing w:after="200" w:line="240" w:lineRule="auto"/>
    </w:pPr>
    <w:rPr>
      <w:rFonts w:ascii="Aptos" w:eastAsia="Aptos" w:hAnsi="Aptos" w:cs="Aptos"/>
    </w:rPr>
    <w:tblPr>
      <w:tblCellMar>
        <w:top w:w="0" w:type="dxa"/>
        <w:left w:w="0" w:type="dxa"/>
        <w:bottom w:w="0" w:type="dxa"/>
        <w:right w:w="0" w:type="dxa"/>
      </w:tblCellMar>
    </w:tblPr>
  </w:style>
  <w:style w:type="paragraph" w:customStyle="1" w:styleId="FirstParagraph">
    <w:name w:val="First Paragraph"/>
    <w:basedOn w:val="BodyText"/>
    <w:next w:val="BodyText"/>
    <w:qFormat/>
    <w:rsid w:val="007E6820"/>
    <w:pPr>
      <w:spacing w:before="180" w:after="180" w:line="240" w:lineRule="auto"/>
    </w:pPr>
    <w:rPr>
      <w:rFonts w:ascii="Aptos" w:eastAsia="Aptos" w:hAnsi="Aptos" w:cs="Aptos"/>
    </w:rPr>
  </w:style>
  <w:style w:type="paragraph" w:customStyle="1" w:styleId="Author">
    <w:name w:val="Author"/>
    <w:basedOn w:val="Title"/>
    <w:next w:val="BodyText"/>
    <w:qFormat/>
    <w:rsid w:val="007E6820"/>
    <w:pPr>
      <w:keepNext/>
      <w:keepLines/>
      <w:jc w:val="center"/>
    </w:pPr>
    <w:rPr>
      <w:rFonts w:ascii="Play" w:eastAsia="Play" w:hAnsi="Play" w:cs="Play"/>
      <w:sz w:val="24"/>
      <w:szCs w:val="24"/>
    </w:rPr>
  </w:style>
  <w:style w:type="paragraph" w:styleId="Date">
    <w:name w:val="Date"/>
    <w:basedOn w:val="Title"/>
    <w:next w:val="BodyText"/>
    <w:link w:val="DateChar"/>
    <w:qFormat/>
    <w:rsid w:val="007E6820"/>
    <w:pPr>
      <w:keepNext/>
      <w:keepLines/>
      <w:jc w:val="center"/>
    </w:pPr>
    <w:rPr>
      <w:rFonts w:ascii="Play" w:eastAsia="Play" w:hAnsi="Play" w:cs="Play"/>
      <w:sz w:val="24"/>
      <w:szCs w:val="24"/>
    </w:rPr>
  </w:style>
  <w:style w:type="character" w:customStyle="1" w:styleId="DateChar">
    <w:name w:val="Date Char"/>
    <w:basedOn w:val="DefaultParagraphFont"/>
    <w:link w:val="Date"/>
    <w:rsid w:val="007E6820"/>
    <w:rPr>
      <w:rFonts w:ascii="Play" w:eastAsia="Play" w:hAnsi="Play" w:cs="Play"/>
      <w:kern w:val="0"/>
      <w:lang w:val="lv"/>
    </w:rPr>
  </w:style>
  <w:style w:type="paragraph" w:customStyle="1" w:styleId="AbstractTitle">
    <w:name w:val="Abstract Title"/>
    <w:basedOn w:val="Normal"/>
    <w:next w:val="Abstract"/>
    <w:qFormat/>
    <w:rsid w:val="007E6820"/>
    <w:pPr>
      <w:keepNext/>
      <w:keepLines/>
      <w:spacing w:before="300" w:after="0" w:line="240" w:lineRule="auto"/>
      <w:jc w:val="center"/>
    </w:pPr>
    <w:rPr>
      <w:rFonts w:ascii="Aptos" w:eastAsia="Aptos" w:hAnsi="Aptos" w:cs="Aptos"/>
      <w:b/>
      <w:sz w:val="20"/>
      <w:szCs w:val="20"/>
    </w:rPr>
  </w:style>
  <w:style w:type="paragraph" w:customStyle="1" w:styleId="Abstract">
    <w:name w:val="Abstract"/>
    <w:basedOn w:val="Normal"/>
    <w:next w:val="BodyText"/>
    <w:qFormat/>
    <w:rsid w:val="007E6820"/>
    <w:pPr>
      <w:keepNext/>
      <w:keepLines/>
      <w:spacing w:before="100" w:after="300" w:line="240" w:lineRule="auto"/>
    </w:pPr>
    <w:rPr>
      <w:rFonts w:ascii="Aptos" w:eastAsia="Aptos" w:hAnsi="Aptos" w:cs="Aptos"/>
      <w:sz w:val="20"/>
      <w:szCs w:val="20"/>
    </w:rPr>
  </w:style>
  <w:style w:type="paragraph" w:styleId="Bibliography">
    <w:name w:val="Bibliography"/>
    <w:basedOn w:val="Normal"/>
    <w:qFormat/>
    <w:rsid w:val="007E6820"/>
    <w:pPr>
      <w:spacing w:after="200" w:line="240" w:lineRule="auto"/>
    </w:pPr>
    <w:rPr>
      <w:rFonts w:ascii="Aptos" w:eastAsia="Aptos" w:hAnsi="Aptos" w:cs="Aptos"/>
    </w:rPr>
  </w:style>
  <w:style w:type="paragraph" w:styleId="BlockText">
    <w:name w:val="Block Text"/>
    <w:basedOn w:val="BodyText"/>
    <w:next w:val="BodyText"/>
    <w:uiPriority w:val="9"/>
    <w:unhideWhenUsed/>
    <w:qFormat/>
    <w:rsid w:val="007E6820"/>
    <w:pPr>
      <w:spacing w:before="100" w:after="100" w:line="240" w:lineRule="auto"/>
      <w:ind w:left="480" w:right="480"/>
    </w:pPr>
    <w:rPr>
      <w:rFonts w:ascii="Aptos" w:eastAsia="Aptos" w:hAnsi="Aptos" w:cs="Aptos"/>
    </w:rPr>
  </w:style>
  <w:style w:type="paragraph" w:customStyle="1" w:styleId="FootnoteBlockText">
    <w:name w:val="Footnote Block Text"/>
    <w:basedOn w:val="FootnoteText"/>
    <w:next w:val="FootnoteText"/>
    <w:uiPriority w:val="9"/>
    <w:unhideWhenUsed/>
    <w:qFormat/>
    <w:rsid w:val="007E6820"/>
    <w:pPr>
      <w:spacing w:before="100" w:after="100"/>
      <w:ind w:left="480" w:right="480"/>
    </w:pPr>
    <w:rPr>
      <w:rFonts w:ascii="Aptos" w:eastAsia="Aptos" w:hAnsi="Aptos" w:cs="Aptos"/>
      <w:sz w:val="24"/>
      <w:szCs w:val="24"/>
    </w:rPr>
  </w:style>
  <w:style w:type="paragraph" w:customStyle="1" w:styleId="DefinitionTerm">
    <w:name w:val="Definition Term"/>
    <w:basedOn w:val="Normal"/>
    <w:next w:val="Definition"/>
    <w:rsid w:val="007E6820"/>
    <w:pPr>
      <w:keepNext/>
      <w:keepLines/>
      <w:spacing w:after="0" w:line="240" w:lineRule="auto"/>
    </w:pPr>
    <w:rPr>
      <w:rFonts w:ascii="Aptos" w:eastAsia="Aptos" w:hAnsi="Aptos" w:cs="Aptos"/>
      <w:b/>
    </w:rPr>
  </w:style>
  <w:style w:type="paragraph" w:customStyle="1" w:styleId="Definition">
    <w:name w:val="Definition"/>
    <w:basedOn w:val="Normal"/>
    <w:rsid w:val="007E6820"/>
    <w:pPr>
      <w:spacing w:after="200" w:line="240" w:lineRule="auto"/>
    </w:pPr>
    <w:rPr>
      <w:rFonts w:ascii="Aptos" w:eastAsia="Aptos" w:hAnsi="Aptos" w:cs="Aptos"/>
    </w:rPr>
  </w:style>
  <w:style w:type="paragraph" w:styleId="Caption">
    <w:name w:val="caption"/>
    <w:basedOn w:val="Normal"/>
    <w:link w:val="CaptionChar"/>
    <w:rsid w:val="007E6820"/>
    <w:pPr>
      <w:spacing w:after="120" w:line="240" w:lineRule="auto"/>
    </w:pPr>
    <w:rPr>
      <w:rFonts w:ascii="Aptos" w:eastAsia="Aptos" w:hAnsi="Aptos" w:cs="Aptos"/>
      <w:i/>
    </w:rPr>
  </w:style>
  <w:style w:type="paragraph" w:customStyle="1" w:styleId="TableCaption">
    <w:name w:val="Table Caption"/>
    <w:basedOn w:val="Caption"/>
    <w:rsid w:val="007E6820"/>
    <w:pPr>
      <w:keepNext/>
    </w:pPr>
  </w:style>
  <w:style w:type="paragraph" w:customStyle="1" w:styleId="ImageCaption">
    <w:name w:val="Image Caption"/>
    <w:basedOn w:val="Caption"/>
    <w:rsid w:val="007E6820"/>
  </w:style>
  <w:style w:type="paragraph" w:customStyle="1" w:styleId="Figure">
    <w:name w:val="Figure"/>
    <w:basedOn w:val="Normal"/>
    <w:rsid w:val="007E6820"/>
    <w:pPr>
      <w:spacing w:after="200" w:line="240" w:lineRule="auto"/>
    </w:pPr>
    <w:rPr>
      <w:rFonts w:ascii="Aptos" w:eastAsia="Aptos" w:hAnsi="Aptos" w:cs="Aptos"/>
    </w:rPr>
  </w:style>
  <w:style w:type="paragraph" w:customStyle="1" w:styleId="CaptionedFigure">
    <w:name w:val="Captioned Figure"/>
    <w:basedOn w:val="Figure"/>
    <w:rsid w:val="007E6820"/>
    <w:pPr>
      <w:keepNext/>
    </w:pPr>
  </w:style>
  <w:style w:type="character" w:customStyle="1" w:styleId="CaptionChar">
    <w:name w:val="Caption Char"/>
    <w:basedOn w:val="DefaultParagraphFont"/>
    <w:link w:val="Caption"/>
    <w:rsid w:val="007E6820"/>
    <w:rPr>
      <w:rFonts w:ascii="Aptos" w:eastAsia="Aptos" w:hAnsi="Aptos" w:cs="Aptos"/>
      <w:i/>
      <w:kern w:val="0"/>
      <w:lang w:val="lv"/>
    </w:rPr>
  </w:style>
  <w:style w:type="character" w:customStyle="1" w:styleId="VerbatimChar">
    <w:name w:val="Verbatim Char"/>
    <w:basedOn w:val="CaptionChar"/>
    <w:link w:val="SourceCode"/>
    <w:rsid w:val="007E6820"/>
    <w:rPr>
      <w:rFonts w:ascii="Consolas" w:eastAsia="Aptos" w:hAnsi="Consolas" w:cs="Aptos"/>
      <w:i/>
      <w:kern w:val="0"/>
      <w:sz w:val="22"/>
      <w:shd w:val="clear" w:color="auto" w:fill="F1F3F5"/>
      <w:lang w:val="lv"/>
    </w:rPr>
  </w:style>
  <w:style w:type="character" w:customStyle="1" w:styleId="SectionNumber">
    <w:name w:val="Section Number"/>
    <w:basedOn w:val="CaptionChar"/>
    <w:rsid w:val="007E6820"/>
    <w:rPr>
      <w:rFonts w:ascii="Aptos" w:eastAsia="Aptos" w:hAnsi="Aptos" w:cs="Aptos"/>
      <w:i/>
      <w:kern w:val="0"/>
      <w:lang w:val="lv"/>
    </w:rPr>
  </w:style>
  <w:style w:type="paragraph" w:customStyle="1" w:styleId="SourceCode">
    <w:name w:val="Source Code"/>
    <w:basedOn w:val="Normal"/>
    <w:link w:val="VerbatimChar"/>
    <w:rsid w:val="007E6820"/>
    <w:pPr>
      <w:shd w:val="clear" w:color="auto" w:fill="F1F3F5"/>
      <w:wordWrap w:val="0"/>
      <w:spacing w:after="200" w:line="240" w:lineRule="auto"/>
    </w:pPr>
    <w:rPr>
      <w:rFonts w:ascii="Consolas" w:eastAsia="Aptos" w:hAnsi="Consolas" w:cs="Aptos"/>
      <w:i/>
      <w:sz w:val="22"/>
    </w:rPr>
  </w:style>
  <w:style w:type="character" w:customStyle="1" w:styleId="KeywordTok">
    <w:name w:val="KeywordTok"/>
    <w:basedOn w:val="VerbatimChar"/>
    <w:rsid w:val="007E6820"/>
    <w:rPr>
      <w:rFonts w:ascii="Consolas" w:eastAsia="Aptos" w:hAnsi="Consolas" w:cs="Aptos"/>
      <w:b/>
      <w:i/>
      <w:color w:val="003B4F"/>
      <w:kern w:val="0"/>
      <w:sz w:val="22"/>
      <w:shd w:val="clear" w:color="auto" w:fill="F1F3F5"/>
      <w:lang w:val="lv"/>
    </w:rPr>
  </w:style>
  <w:style w:type="character" w:customStyle="1" w:styleId="DataTypeTok">
    <w:name w:val="DataTypeTok"/>
    <w:basedOn w:val="VerbatimChar"/>
    <w:rsid w:val="007E6820"/>
    <w:rPr>
      <w:rFonts w:ascii="Consolas" w:eastAsia="Aptos" w:hAnsi="Consolas" w:cs="Aptos"/>
      <w:i/>
      <w:color w:val="AD0000"/>
      <w:kern w:val="0"/>
      <w:sz w:val="22"/>
      <w:shd w:val="clear" w:color="auto" w:fill="F1F3F5"/>
      <w:lang w:val="lv"/>
    </w:rPr>
  </w:style>
  <w:style w:type="character" w:customStyle="1" w:styleId="DecValTok">
    <w:name w:val="DecValTok"/>
    <w:basedOn w:val="VerbatimChar"/>
    <w:rsid w:val="007E6820"/>
    <w:rPr>
      <w:rFonts w:ascii="Consolas" w:eastAsia="Aptos" w:hAnsi="Consolas" w:cs="Aptos"/>
      <w:i/>
      <w:color w:val="AD0000"/>
      <w:kern w:val="0"/>
      <w:sz w:val="22"/>
      <w:shd w:val="clear" w:color="auto" w:fill="F1F3F5"/>
      <w:lang w:val="lv"/>
    </w:rPr>
  </w:style>
  <w:style w:type="character" w:customStyle="1" w:styleId="BaseNTok">
    <w:name w:val="BaseNTok"/>
    <w:basedOn w:val="VerbatimChar"/>
    <w:rsid w:val="007E6820"/>
    <w:rPr>
      <w:rFonts w:ascii="Consolas" w:eastAsia="Aptos" w:hAnsi="Consolas" w:cs="Aptos"/>
      <w:i/>
      <w:color w:val="AD0000"/>
      <w:kern w:val="0"/>
      <w:sz w:val="22"/>
      <w:shd w:val="clear" w:color="auto" w:fill="F1F3F5"/>
      <w:lang w:val="lv"/>
    </w:rPr>
  </w:style>
  <w:style w:type="character" w:customStyle="1" w:styleId="FloatTok">
    <w:name w:val="FloatTok"/>
    <w:basedOn w:val="VerbatimChar"/>
    <w:rsid w:val="007E6820"/>
    <w:rPr>
      <w:rFonts w:ascii="Consolas" w:eastAsia="Aptos" w:hAnsi="Consolas" w:cs="Aptos"/>
      <w:i/>
      <w:color w:val="AD0000"/>
      <w:kern w:val="0"/>
      <w:sz w:val="22"/>
      <w:shd w:val="clear" w:color="auto" w:fill="F1F3F5"/>
      <w:lang w:val="lv"/>
    </w:rPr>
  </w:style>
  <w:style w:type="character" w:customStyle="1" w:styleId="ConstantTok">
    <w:name w:val="ConstantTok"/>
    <w:basedOn w:val="VerbatimChar"/>
    <w:rsid w:val="007E6820"/>
    <w:rPr>
      <w:rFonts w:ascii="Consolas" w:eastAsia="Aptos" w:hAnsi="Consolas" w:cs="Aptos"/>
      <w:i/>
      <w:color w:val="8F5902"/>
      <w:kern w:val="0"/>
      <w:sz w:val="22"/>
      <w:shd w:val="clear" w:color="auto" w:fill="F1F3F5"/>
      <w:lang w:val="lv"/>
    </w:rPr>
  </w:style>
  <w:style w:type="character" w:customStyle="1" w:styleId="CharTok">
    <w:name w:val="CharTok"/>
    <w:basedOn w:val="VerbatimChar"/>
    <w:rsid w:val="007E6820"/>
    <w:rPr>
      <w:rFonts w:ascii="Consolas" w:eastAsia="Aptos" w:hAnsi="Consolas" w:cs="Aptos"/>
      <w:i/>
      <w:color w:val="20794D"/>
      <w:kern w:val="0"/>
      <w:sz w:val="22"/>
      <w:shd w:val="clear" w:color="auto" w:fill="F1F3F5"/>
      <w:lang w:val="lv"/>
    </w:rPr>
  </w:style>
  <w:style w:type="character" w:customStyle="1" w:styleId="SpecialCharTok">
    <w:name w:val="SpecialCharTok"/>
    <w:basedOn w:val="VerbatimChar"/>
    <w:rsid w:val="007E6820"/>
    <w:rPr>
      <w:rFonts w:ascii="Consolas" w:eastAsia="Aptos" w:hAnsi="Consolas" w:cs="Aptos"/>
      <w:i/>
      <w:color w:val="5E5E5E"/>
      <w:kern w:val="0"/>
      <w:sz w:val="22"/>
      <w:shd w:val="clear" w:color="auto" w:fill="F1F3F5"/>
      <w:lang w:val="lv"/>
    </w:rPr>
  </w:style>
  <w:style w:type="character" w:customStyle="1" w:styleId="StringTok">
    <w:name w:val="StringTok"/>
    <w:basedOn w:val="VerbatimChar"/>
    <w:rsid w:val="007E6820"/>
    <w:rPr>
      <w:rFonts w:ascii="Consolas" w:eastAsia="Aptos" w:hAnsi="Consolas" w:cs="Aptos"/>
      <w:i/>
      <w:color w:val="20794D"/>
      <w:kern w:val="0"/>
      <w:sz w:val="22"/>
      <w:shd w:val="clear" w:color="auto" w:fill="F1F3F5"/>
      <w:lang w:val="lv"/>
    </w:rPr>
  </w:style>
  <w:style w:type="character" w:customStyle="1" w:styleId="VerbatimStringTok">
    <w:name w:val="VerbatimStringTok"/>
    <w:basedOn w:val="VerbatimChar"/>
    <w:rsid w:val="007E6820"/>
    <w:rPr>
      <w:rFonts w:ascii="Consolas" w:eastAsia="Aptos" w:hAnsi="Consolas" w:cs="Aptos"/>
      <w:i/>
      <w:color w:val="20794D"/>
      <w:kern w:val="0"/>
      <w:sz w:val="22"/>
      <w:shd w:val="clear" w:color="auto" w:fill="F1F3F5"/>
      <w:lang w:val="lv"/>
    </w:rPr>
  </w:style>
  <w:style w:type="character" w:customStyle="1" w:styleId="SpecialStringTok">
    <w:name w:val="SpecialStringTok"/>
    <w:basedOn w:val="VerbatimChar"/>
    <w:rsid w:val="007E6820"/>
    <w:rPr>
      <w:rFonts w:ascii="Consolas" w:eastAsia="Aptos" w:hAnsi="Consolas" w:cs="Aptos"/>
      <w:i/>
      <w:color w:val="20794D"/>
      <w:kern w:val="0"/>
      <w:sz w:val="22"/>
      <w:shd w:val="clear" w:color="auto" w:fill="F1F3F5"/>
      <w:lang w:val="lv"/>
    </w:rPr>
  </w:style>
  <w:style w:type="character" w:customStyle="1" w:styleId="ImportTok">
    <w:name w:val="ImportTok"/>
    <w:basedOn w:val="VerbatimChar"/>
    <w:rsid w:val="007E6820"/>
    <w:rPr>
      <w:rFonts w:ascii="Consolas" w:eastAsia="Aptos" w:hAnsi="Consolas" w:cs="Aptos"/>
      <w:i/>
      <w:color w:val="00769E"/>
      <w:kern w:val="0"/>
      <w:sz w:val="22"/>
      <w:shd w:val="clear" w:color="auto" w:fill="F1F3F5"/>
      <w:lang w:val="lv"/>
    </w:rPr>
  </w:style>
  <w:style w:type="character" w:customStyle="1" w:styleId="CommentTok">
    <w:name w:val="CommentTok"/>
    <w:basedOn w:val="VerbatimChar"/>
    <w:rsid w:val="007E6820"/>
    <w:rPr>
      <w:rFonts w:ascii="Consolas" w:eastAsia="Aptos" w:hAnsi="Consolas" w:cs="Aptos"/>
      <w:i/>
      <w:color w:val="5E5E5E"/>
      <w:kern w:val="0"/>
      <w:sz w:val="22"/>
      <w:shd w:val="clear" w:color="auto" w:fill="F1F3F5"/>
      <w:lang w:val="lv"/>
    </w:rPr>
  </w:style>
  <w:style w:type="character" w:customStyle="1" w:styleId="DocumentationTok">
    <w:name w:val="DocumentationTok"/>
    <w:basedOn w:val="VerbatimChar"/>
    <w:rsid w:val="007E6820"/>
    <w:rPr>
      <w:rFonts w:ascii="Consolas" w:eastAsia="Aptos" w:hAnsi="Consolas" w:cs="Aptos"/>
      <w:i w:val="0"/>
      <w:color w:val="5E5E5E"/>
      <w:kern w:val="0"/>
      <w:sz w:val="22"/>
      <w:shd w:val="clear" w:color="auto" w:fill="F1F3F5"/>
      <w:lang w:val="lv"/>
    </w:rPr>
  </w:style>
  <w:style w:type="character" w:customStyle="1" w:styleId="AnnotationTok">
    <w:name w:val="AnnotationTok"/>
    <w:basedOn w:val="VerbatimChar"/>
    <w:rsid w:val="007E6820"/>
    <w:rPr>
      <w:rFonts w:ascii="Consolas" w:eastAsia="Aptos" w:hAnsi="Consolas" w:cs="Aptos"/>
      <w:i/>
      <w:color w:val="5E5E5E"/>
      <w:kern w:val="0"/>
      <w:sz w:val="22"/>
      <w:shd w:val="clear" w:color="auto" w:fill="F1F3F5"/>
      <w:lang w:val="lv"/>
    </w:rPr>
  </w:style>
  <w:style w:type="character" w:customStyle="1" w:styleId="CommentVarTok">
    <w:name w:val="CommentVarTok"/>
    <w:basedOn w:val="VerbatimChar"/>
    <w:rsid w:val="007E6820"/>
    <w:rPr>
      <w:rFonts w:ascii="Consolas" w:eastAsia="Aptos" w:hAnsi="Consolas" w:cs="Aptos"/>
      <w:i w:val="0"/>
      <w:color w:val="5E5E5E"/>
      <w:kern w:val="0"/>
      <w:sz w:val="22"/>
      <w:shd w:val="clear" w:color="auto" w:fill="F1F3F5"/>
      <w:lang w:val="lv"/>
    </w:rPr>
  </w:style>
  <w:style w:type="character" w:customStyle="1" w:styleId="OtherTok">
    <w:name w:val="OtherTok"/>
    <w:basedOn w:val="VerbatimChar"/>
    <w:rsid w:val="007E6820"/>
    <w:rPr>
      <w:rFonts w:ascii="Consolas" w:eastAsia="Aptos" w:hAnsi="Consolas" w:cs="Aptos"/>
      <w:i/>
      <w:color w:val="003B4F"/>
      <w:kern w:val="0"/>
      <w:sz w:val="22"/>
      <w:shd w:val="clear" w:color="auto" w:fill="F1F3F5"/>
      <w:lang w:val="lv"/>
    </w:rPr>
  </w:style>
  <w:style w:type="character" w:customStyle="1" w:styleId="FunctionTok">
    <w:name w:val="FunctionTok"/>
    <w:basedOn w:val="VerbatimChar"/>
    <w:rsid w:val="007E6820"/>
    <w:rPr>
      <w:rFonts w:ascii="Consolas" w:eastAsia="Aptos" w:hAnsi="Consolas" w:cs="Aptos"/>
      <w:i/>
      <w:color w:val="4758AB"/>
      <w:kern w:val="0"/>
      <w:sz w:val="22"/>
      <w:shd w:val="clear" w:color="auto" w:fill="F1F3F5"/>
      <w:lang w:val="lv"/>
    </w:rPr>
  </w:style>
  <w:style w:type="character" w:customStyle="1" w:styleId="VariableTok">
    <w:name w:val="VariableTok"/>
    <w:basedOn w:val="VerbatimChar"/>
    <w:rsid w:val="007E6820"/>
    <w:rPr>
      <w:rFonts w:ascii="Consolas" w:eastAsia="Aptos" w:hAnsi="Consolas" w:cs="Aptos"/>
      <w:i/>
      <w:color w:val="111111"/>
      <w:kern w:val="0"/>
      <w:sz w:val="22"/>
      <w:shd w:val="clear" w:color="auto" w:fill="F1F3F5"/>
      <w:lang w:val="lv"/>
    </w:rPr>
  </w:style>
  <w:style w:type="character" w:customStyle="1" w:styleId="ControlFlowTok">
    <w:name w:val="ControlFlowTok"/>
    <w:basedOn w:val="VerbatimChar"/>
    <w:rsid w:val="007E6820"/>
    <w:rPr>
      <w:rFonts w:ascii="Consolas" w:eastAsia="Aptos" w:hAnsi="Consolas" w:cs="Aptos"/>
      <w:b/>
      <w:i/>
      <w:color w:val="003B4F"/>
      <w:kern w:val="0"/>
      <w:sz w:val="22"/>
      <w:shd w:val="clear" w:color="auto" w:fill="F1F3F5"/>
      <w:lang w:val="lv"/>
    </w:rPr>
  </w:style>
  <w:style w:type="character" w:customStyle="1" w:styleId="OperatorTok">
    <w:name w:val="OperatorTok"/>
    <w:basedOn w:val="VerbatimChar"/>
    <w:rsid w:val="007E6820"/>
    <w:rPr>
      <w:rFonts w:ascii="Consolas" w:eastAsia="Aptos" w:hAnsi="Consolas" w:cs="Aptos"/>
      <w:i/>
      <w:color w:val="5E5E5E"/>
      <w:kern w:val="0"/>
      <w:sz w:val="22"/>
      <w:shd w:val="clear" w:color="auto" w:fill="F1F3F5"/>
      <w:lang w:val="lv"/>
    </w:rPr>
  </w:style>
  <w:style w:type="character" w:customStyle="1" w:styleId="BuiltInTok">
    <w:name w:val="BuiltInTok"/>
    <w:basedOn w:val="VerbatimChar"/>
    <w:rsid w:val="007E6820"/>
    <w:rPr>
      <w:rFonts w:ascii="Consolas" w:eastAsia="Aptos" w:hAnsi="Consolas" w:cs="Aptos"/>
      <w:i/>
      <w:color w:val="003B4F"/>
      <w:kern w:val="0"/>
      <w:sz w:val="22"/>
      <w:shd w:val="clear" w:color="auto" w:fill="F1F3F5"/>
      <w:lang w:val="lv"/>
    </w:rPr>
  </w:style>
  <w:style w:type="character" w:customStyle="1" w:styleId="ExtensionTok">
    <w:name w:val="ExtensionTok"/>
    <w:basedOn w:val="VerbatimChar"/>
    <w:rsid w:val="007E6820"/>
    <w:rPr>
      <w:rFonts w:ascii="Consolas" w:eastAsia="Aptos" w:hAnsi="Consolas" w:cs="Aptos"/>
      <w:i/>
      <w:color w:val="003B4F"/>
      <w:kern w:val="0"/>
      <w:sz w:val="22"/>
      <w:shd w:val="clear" w:color="auto" w:fill="F1F3F5"/>
      <w:lang w:val="lv"/>
    </w:rPr>
  </w:style>
  <w:style w:type="character" w:customStyle="1" w:styleId="PreprocessorTok">
    <w:name w:val="PreprocessorTok"/>
    <w:basedOn w:val="VerbatimChar"/>
    <w:rsid w:val="007E6820"/>
    <w:rPr>
      <w:rFonts w:ascii="Consolas" w:eastAsia="Aptos" w:hAnsi="Consolas" w:cs="Aptos"/>
      <w:i/>
      <w:color w:val="AD0000"/>
      <w:kern w:val="0"/>
      <w:sz w:val="22"/>
      <w:shd w:val="clear" w:color="auto" w:fill="F1F3F5"/>
      <w:lang w:val="lv"/>
    </w:rPr>
  </w:style>
  <w:style w:type="character" w:customStyle="1" w:styleId="AttributeTok">
    <w:name w:val="AttributeTok"/>
    <w:basedOn w:val="VerbatimChar"/>
    <w:rsid w:val="007E6820"/>
    <w:rPr>
      <w:rFonts w:ascii="Consolas" w:eastAsia="Aptos" w:hAnsi="Consolas" w:cs="Aptos"/>
      <w:i/>
      <w:color w:val="657422"/>
      <w:kern w:val="0"/>
      <w:sz w:val="22"/>
      <w:shd w:val="clear" w:color="auto" w:fill="F1F3F5"/>
      <w:lang w:val="lv"/>
    </w:rPr>
  </w:style>
  <w:style w:type="character" w:customStyle="1" w:styleId="RegionMarkerTok">
    <w:name w:val="RegionMarkerTok"/>
    <w:basedOn w:val="VerbatimChar"/>
    <w:rsid w:val="007E6820"/>
    <w:rPr>
      <w:rFonts w:ascii="Consolas" w:eastAsia="Aptos" w:hAnsi="Consolas" w:cs="Aptos"/>
      <w:i/>
      <w:color w:val="003B4F"/>
      <w:kern w:val="0"/>
      <w:sz w:val="22"/>
      <w:shd w:val="clear" w:color="auto" w:fill="F1F3F5"/>
      <w:lang w:val="lv"/>
    </w:rPr>
  </w:style>
  <w:style w:type="character" w:customStyle="1" w:styleId="InformationTok">
    <w:name w:val="InformationTok"/>
    <w:basedOn w:val="VerbatimChar"/>
    <w:rsid w:val="007E6820"/>
    <w:rPr>
      <w:rFonts w:ascii="Consolas" w:eastAsia="Aptos" w:hAnsi="Consolas" w:cs="Aptos"/>
      <w:i/>
      <w:color w:val="5E5E5E"/>
      <w:kern w:val="0"/>
      <w:sz w:val="22"/>
      <w:shd w:val="clear" w:color="auto" w:fill="F1F3F5"/>
      <w:lang w:val="lv"/>
    </w:rPr>
  </w:style>
  <w:style w:type="character" w:customStyle="1" w:styleId="WarningTok">
    <w:name w:val="WarningTok"/>
    <w:basedOn w:val="VerbatimChar"/>
    <w:rsid w:val="007E6820"/>
    <w:rPr>
      <w:rFonts w:ascii="Consolas" w:eastAsia="Aptos" w:hAnsi="Consolas" w:cs="Aptos"/>
      <w:i w:val="0"/>
      <w:color w:val="5E5E5E"/>
      <w:kern w:val="0"/>
      <w:sz w:val="22"/>
      <w:shd w:val="clear" w:color="auto" w:fill="F1F3F5"/>
      <w:lang w:val="lv"/>
    </w:rPr>
  </w:style>
  <w:style w:type="character" w:customStyle="1" w:styleId="AlertTok">
    <w:name w:val="AlertTok"/>
    <w:basedOn w:val="VerbatimChar"/>
    <w:rsid w:val="007E6820"/>
    <w:rPr>
      <w:rFonts w:ascii="Consolas" w:eastAsia="Aptos" w:hAnsi="Consolas" w:cs="Aptos"/>
      <w:i/>
      <w:color w:val="AD0000"/>
      <w:kern w:val="0"/>
      <w:sz w:val="22"/>
      <w:shd w:val="clear" w:color="auto" w:fill="F1F3F5"/>
      <w:lang w:val="lv"/>
    </w:rPr>
  </w:style>
  <w:style w:type="character" w:customStyle="1" w:styleId="ErrorTok">
    <w:name w:val="ErrorTok"/>
    <w:basedOn w:val="VerbatimChar"/>
    <w:rsid w:val="007E6820"/>
    <w:rPr>
      <w:rFonts w:ascii="Consolas" w:eastAsia="Aptos" w:hAnsi="Consolas" w:cs="Aptos"/>
      <w:i/>
      <w:color w:val="AD0000"/>
      <w:kern w:val="0"/>
      <w:sz w:val="22"/>
      <w:shd w:val="clear" w:color="auto" w:fill="F1F3F5"/>
      <w:lang w:val="lv"/>
    </w:rPr>
  </w:style>
  <w:style w:type="character" w:customStyle="1" w:styleId="NormalTok">
    <w:name w:val="NormalTok"/>
    <w:basedOn w:val="VerbatimChar"/>
    <w:rsid w:val="007E6820"/>
    <w:rPr>
      <w:rFonts w:ascii="Consolas" w:eastAsia="Aptos" w:hAnsi="Consolas" w:cs="Aptos"/>
      <w:i/>
      <w:color w:val="003B4F"/>
      <w:kern w:val="0"/>
      <w:sz w:val="22"/>
      <w:shd w:val="clear" w:color="auto" w:fill="F1F3F5"/>
      <w:lang w:val="lv"/>
    </w:rPr>
  </w:style>
  <w:style w:type="paragraph" w:styleId="Revision">
    <w:name w:val="Revision"/>
    <w:hidden/>
    <w:rsid w:val="007E6820"/>
    <w:pPr>
      <w:spacing w:after="0" w:line="240" w:lineRule="auto"/>
    </w:pPr>
    <w:rPr>
      <w:rFonts w:ascii="Aptos" w:eastAsia="Aptos" w:hAnsi="Aptos" w:cs="Aptos"/>
    </w:rPr>
  </w:style>
  <w:style w:type="character" w:customStyle="1" w:styleId="ApakvirsrakstsRakstz1">
    <w:name w:val="Apakšvirsraksts Rakstz.1"/>
    <w:basedOn w:val="DefaultParagraphFont"/>
    <w:uiPriority w:val="11"/>
    <w:rsid w:val="003B59A8"/>
    <w:rPr>
      <w:rFonts w:asciiTheme="minorHAnsi" w:eastAsiaTheme="majorEastAsia" w:hAnsiTheme="minorHAnsi" w:cstheme="majorBidi"/>
      <w:color w:val="595959" w:themeColor="text1" w:themeTint="A6"/>
      <w:spacing w:val="15"/>
      <w:sz w:val="28"/>
      <w:szCs w:val="28"/>
    </w:rPr>
  </w:style>
  <w:style w:type="table" w:customStyle="1" w:styleId="Table1">
    <w:name w:val="Table1"/>
    <w:semiHidden/>
    <w:qFormat/>
    <w:rsid w:val="001D0B53"/>
    <w:pPr>
      <w:spacing w:after="200" w:line="240" w:lineRule="auto"/>
    </w:pPr>
    <w:rPr>
      <w:rFonts w:asciiTheme="minorHAnsi" w:hAnsiTheme="minorHAnsi" w:cstheme="minorBidi"/>
      <w:sz w:val="20"/>
      <w:szCs w:val="20"/>
      <w:lang w:val="lv-LV" w:eastAsia="en-US"/>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table" w:customStyle="1" w:styleId="Table2">
    <w:name w:val="Table2"/>
    <w:semiHidden/>
    <w:qFormat/>
    <w:rsid w:val="00F61C34"/>
    <w:pPr>
      <w:spacing w:after="200" w:line="240" w:lineRule="auto"/>
    </w:pPr>
    <w:rPr>
      <w:rFonts w:asciiTheme="minorHAnsi" w:hAnsiTheme="minorHAnsi" w:cstheme="minorBidi"/>
      <w:sz w:val="20"/>
      <w:szCs w:val="20"/>
      <w:lang w:val="lv-LV" w:eastAsia="en-US"/>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styleId="Subtitle">
    <w:name w:val="Subtitle"/>
    <w:basedOn w:val="Normal"/>
    <w:next w:val="Normal"/>
    <w:link w:val="SubtitleChar"/>
    <w:uiPriority w:val="11"/>
    <w:qFormat/>
    <w:rPr>
      <w:color w:val="595959"/>
      <w:sz w:val="28"/>
      <w:szCs w:val="28"/>
    </w:rPr>
  </w:style>
  <w:style w:type="table" w:customStyle="1" w:styleId="44">
    <w:name w:val="44"/>
    <w:basedOn w:val="TableNormal"/>
    <w:pPr>
      <w:spacing w:after="0" w:line="240" w:lineRule="auto"/>
    </w:pPr>
    <w:tblPr>
      <w:tblStyleRowBandSize w:val="1"/>
      <w:tblStyleColBandSize w:val="1"/>
    </w:tblPr>
  </w:style>
  <w:style w:type="table" w:customStyle="1" w:styleId="43">
    <w:name w:val="43"/>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2">
    <w:name w:val="42"/>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1">
    <w:name w:val="41"/>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single" w:sz="4" w:space="0" w:color="000000"/>
        </w:tcBorders>
        <w:vAlign w:val="bottom"/>
      </w:tcPr>
    </w:tblStylePr>
  </w:style>
  <w:style w:type="table" w:customStyle="1" w:styleId="40">
    <w:name w:val="40"/>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9">
    <w:name w:val="39"/>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single" w:sz="4" w:space="0" w:color="000000"/>
        </w:tcBorders>
        <w:vAlign w:val="bottom"/>
      </w:tcPr>
    </w:tblStylePr>
  </w:style>
  <w:style w:type="table" w:customStyle="1" w:styleId="38">
    <w:name w:val="38"/>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7">
    <w:name w:val="37"/>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6">
    <w:name w:val="36"/>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5">
    <w:name w:val="35"/>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4">
    <w:name w:val="34"/>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3">
    <w:name w:val="33"/>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2">
    <w:name w:val="32"/>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1">
    <w:name w:val="31"/>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0">
    <w:name w:val="30"/>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29">
    <w:name w:val="29"/>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28">
    <w:name w:val="28"/>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27">
    <w:name w:val="27"/>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26">
    <w:name w:val="26"/>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25">
    <w:name w:val="25"/>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24">
    <w:name w:val="24"/>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23">
    <w:name w:val="23"/>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20">
    <w:name w:val="20"/>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15">
    <w:name w:val="15"/>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14">
    <w:name w:val="14"/>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13">
    <w:name w:val="13"/>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12">
    <w:name w:val="12"/>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11">
    <w:name w:val="11"/>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10">
    <w:name w:val="10"/>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9">
    <w:name w:val="9"/>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8">
    <w:name w:val="8"/>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
    <w:name w:val="3"/>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2">
    <w:name w:val="2"/>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1">
    <w:name w:val="1"/>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TableNormal000">
    <w:name w:val="TableNormal00"/>
    <w:rsid w:val="005A16E6"/>
    <w:pPr>
      <w:spacing w:after="200" w:line="240" w:lineRule="auto"/>
    </w:pPr>
    <w:rPr>
      <w:rFonts w:ascii="Aptos" w:eastAsia="Aptos" w:hAnsi="Aptos" w:cs="Aptos"/>
    </w:rPr>
    <w:tblPr>
      <w:tblCellMar>
        <w:top w:w="0" w:type="dxa"/>
        <w:left w:w="0" w:type="dxa"/>
        <w:bottom w:w="0" w:type="dxa"/>
        <w:right w:w="0" w:type="dxa"/>
      </w:tblCellMar>
    </w:tblPr>
  </w:style>
  <w:style w:type="table" w:customStyle="1" w:styleId="TableNormal0000">
    <w:name w:val="TableNormal000"/>
    <w:rsid w:val="006659B3"/>
    <w:pPr>
      <w:spacing w:after="200" w:line="240" w:lineRule="auto"/>
    </w:pPr>
    <w:rPr>
      <w:rFonts w:ascii="Aptos" w:eastAsia="Aptos" w:hAnsi="Aptos" w:cs="Aptos"/>
    </w:rPr>
    <w:tblPr>
      <w:tblCellMar>
        <w:top w:w="0" w:type="dxa"/>
        <w:left w:w="0" w:type="dxa"/>
        <w:bottom w:w="0" w:type="dxa"/>
        <w:right w:w="0" w:type="dxa"/>
      </w:tblCellMar>
    </w:tblPr>
  </w:style>
  <w:style w:type="paragraph" w:styleId="TOC4">
    <w:name w:val="toc 4"/>
    <w:basedOn w:val="Normal"/>
    <w:next w:val="Normal"/>
    <w:autoRedefine/>
    <w:uiPriority w:val="39"/>
    <w:unhideWhenUsed/>
    <w:rsid w:val="00B7777C"/>
    <w:pPr>
      <w:spacing w:after="100"/>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B7777C"/>
    <w:pPr>
      <w:spacing w:after="100"/>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B7777C"/>
    <w:pPr>
      <w:spacing w:after="100"/>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B7777C"/>
    <w:pPr>
      <w:spacing w:after="100"/>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B7777C"/>
    <w:pPr>
      <w:spacing w:after="100"/>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B7777C"/>
    <w:pPr>
      <w:spacing w:after="100"/>
      <w:ind w:left="1920"/>
    </w:pPr>
    <w:rPr>
      <w:rFonts w:asciiTheme="minorHAnsi" w:eastAsiaTheme="minorEastAsia" w:hAnsiTheme="minorHAnsi" w:cstheme="minorBidi"/>
      <w:kern w:val="2"/>
      <w14:ligatures w14:val="standardContextual"/>
    </w:rPr>
  </w:style>
  <w:style w:type="table" w:styleId="TableGridLight">
    <w:name w:val="Grid Table Light"/>
    <w:basedOn w:val="TableNormal"/>
    <w:uiPriority w:val="40"/>
    <w:rsid w:val="00F155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uiPriority w:val="99"/>
    <w:unhideWhenUsed/>
    <w:rsid w:val="00790842"/>
    <w:pPr>
      <w:numPr>
        <w:numId w:val="8"/>
      </w:numPr>
      <w:tabs>
        <w:tab w:val="clear" w:pos="360"/>
      </w:tabs>
      <w:spacing w:before="240" w:after="280" w:line="360" w:lineRule="auto"/>
      <w:ind w:left="0" w:firstLine="0"/>
      <w:contextualSpacing/>
    </w:pPr>
    <w:rPr>
      <w:rFonts w:ascii="Arial" w:eastAsiaTheme="minorEastAsia" w:hAnsi="Arial" w:cstheme="minorBidi"/>
      <w:szCs w:val="22"/>
      <w:lang w:val="en-US" w:eastAsia="en-US"/>
    </w:rPr>
  </w:style>
  <w:style w:type="table" w:styleId="LightGrid-Accent1">
    <w:name w:val="Light Grid Accent 1"/>
    <w:basedOn w:val="TableNormal"/>
    <w:uiPriority w:val="62"/>
    <w:rsid w:val="0000663A"/>
    <w:pPr>
      <w:spacing w:after="0" w:line="240" w:lineRule="auto"/>
    </w:pPr>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s.pukitis@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www.varam.gov.lv/lv/timeklvietnu-un-mobilo-lietotnu-pieklustamiba-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38767-8778-4D47-BCA8-8B7FE0828C2E}">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36</TotalTime>
  <Pages>11</Pages>
  <Words>2828</Words>
  <Characters>20875</Characters>
  <Application>Microsoft Office Word</Application>
  <DocSecurity>0</DocSecurity>
  <Lines>596</Lines>
  <Paragraphs>182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Pavlovska</dc:creator>
  <cp:keywords/>
  <dc:description/>
  <cp:lastModifiedBy>Pauls Puķītis</cp:lastModifiedBy>
  <cp:revision>27</cp:revision>
  <dcterms:created xsi:type="dcterms:W3CDTF">2026-06-04T10:39:00Z</dcterms:created>
  <dcterms:modified xsi:type="dcterms:W3CDTF">2026-06-04T11:21:00Z</dcterms:modified>
</cp:coreProperties>
</file>