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D853" w14:textId="1B3AEBF4" w:rsidR="00BD5588" w:rsidRPr="002B3CAA" w:rsidRDefault="00653CC2" w:rsidP="00BD5588">
      <w:pPr>
        <w:shd w:val="clear" w:color="auto" w:fill="FFFFFF"/>
        <w:spacing w:before="130" w:line="260" w:lineRule="exact"/>
        <w:jc w:val="center"/>
        <w:rPr>
          <w:b/>
          <w:bCs/>
        </w:rPr>
      </w:pPr>
      <w:r w:rsidRPr="002B3CAA">
        <w:rPr>
          <w:b/>
          <w:bCs/>
        </w:rPr>
        <w:t xml:space="preserve">Ministru kabineta noteikumu “Gada pārskata sagatavošanas kārtība” projekta </w:t>
      </w:r>
      <w:r w:rsidR="00BD5588" w:rsidRPr="002B3CAA">
        <w:rPr>
          <w:b/>
          <w:bCs/>
        </w:rPr>
        <w:t>sākotnējās ietekmes novērtējuma ziņojums (anotācija)</w:t>
      </w:r>
    </w:p>
    <w:p w14:paraId="4DA9FDCC" w14:textId="77777777" w:rsidR="003D7850" w:rsidRPr="002D7166" w:rsidRDefault="003D7850" w:rsidP="00BD5588">
      <w:pPr>
        <w:pStyle w:val="Title"/>
        <w:spacing w:before="130" w:line="260" w:lineRule="exact"/>
        <w:ind w:firstLine="539"/>
        <w:jc w:val="both"/>
        <w:rPr>
          <w:rFonts w:ascii="Cambria" w:hAnsi="Cambria"/>
          <w:sz w:val="19"/>
          <w:szCs w:val="19"/>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79"/>
        <w:gridCol w:w="2410"/>
        <w:gridCol w:w="19"/>
        <w:gridCol w:w="6017"/>
      </w:tblGrid>
      <w:tr w:rsidR="00BD5588" w:rsidRPr="00187078" w14:paraId="2A393305" w14:textId="77777777" w:rsidTr="00F26D4F">
        <w:trPr>
          <w:cantSplit/>
        </w:trPr>
        <w:tc>
          <w:tcPr>
            <w:tcW w:w="8926" w:type="dxa"/>
            <w:gridSpan w:val="4"/>
            <w:shd w:val="clear" w:color="auto" w:fill="FFFFFF"/>
            <w:vAlign w:val="center"/>
            <w:hideMark/>
          </w:tcPr>
          <w:p w14:paraId="0D7A5C72" w14:textId="77777777" w:rsidR="00BD5588" w:rsidRPr="00D720B6" w:rsidRDefault="00BD5588" w:rsidP="00D720B6">
            <w:pPr>
              <w:jc w:val="center"/>
              <w:rPr>
                <w:sz w:val="20"/>
                <w:szCs w:val="20"/>
                <w:lang w:eastAsia="en-US"/>
              </w:rPr>
            </w:pPr>
            <w:r w:rsidRPr="00187078">
              <w:rPr>
                <w:b/>
                <w:iCs/>
                <w:sz w:val="20"/>
                <w:szCs w:val="20"/>
                <w:lang w:eastAsia="en-US"/>
              </w:rPr>
              <w:t>Tiesību akta projekta anotācijas kopsavilkums</w:t>
            </w:r>
          </w:p>
        </w:tc>
      </w:tr>
      <w:tr w:rsidR="00BD5588" w:rsidRPr="00187078" w14:paraId="196BFD09" w14:textId="77777777" w:rsidTr="00F26D4F">
        <w:trPr>
          <w:cantSplit/>
        </w:trPr>
        <w:tc>
          <w:tcPr>
            <w:tcW w:w="3327" w:type="dxa"/>
            <w:gridSpan w:val="3"/>
            <w:shd w:val="clear" w:color="auto" w:fill="FFFFFF"/>
            <w:hideMark/>
          </w:tcPr>
          <w:p w14:paraId="6F6703BB" w14:textId="77777777" w:rsidR="00D720B6" w:rsidRDefault="00BD5588" w:rsidP="00194DAA">
            <w:pPr>
              <w:rPr>
                <w:iCs/>
                <w:sz w:val="20"/>
                <w:szCs w:val="20"/>
                <w:lang w:eastAsia="en-US"/>
              </w:rPr>
            </w:pPr>
            <w:r w:rsidRPr="00187078">
              <w:rPr>
                <w:iCs/>
                <w:sz w:val="20"/>
                <w:szCs w:val="20"/>
                <w:lang w:eastAsia="en-US"/>
              </w:rPr>
              <w:t>Mērķis, risinājums un projekta spēkā stāšanās laiks (500 zīmes bez atstarpēm)</w:t>
            </w:r>
          </w:p>
          <w:p w14:paraId="5E07109F" w14:textId="77777777" w:rsidR="00BD5588" w:rsidRPr="00D720B6" w:rsidRDefault="00BD5588" w:rsidP="00D720B6">
            <w:pPr>
              <w:rPr>
                <w:sz w:val="20"/>
                <w:szCs w:val="20"/>
                <w:lang w:eastAsia="en-US"/>
              </w:rPr>
            </w:pPr>
          </w:p>
        </w:tc>
        <w:tc>
          <w:tcPr>
            <w:tcW w:w="5599" w:type="dxa"/>
            <w:shd w:val="clear" w:color="auto" w:fill="FFFFFF"/>
            <w:hideMark/>
          </w:tcPr>
          <w:p w14:paraId="50158EFC" w14:textId="2C5025ED" w:rsidR="006831BA" w:rsidRDefault="006831BA" w:rsidP="006831BA">
            <w:pPr>
              <w:ind w:firstLine="383"/>
              <w:jc w:val="both"/>
              <w:rPr>
                <w:sz w:val="20"/>
                <w:szCs w:val="20"/>
              </w:rPr>
            </w:pPr>
            <w:r w:rsidRPr="006831BA">
              <w:rPr>
                <w:sz w:val="20"/>
                <w:szCs w:val="20"/>
              </w:rPr>
              <w:t>Ministru kabineta noteikumu projekta “Gada pārskata sagatavošanas kārtība” (turpmāk – noteikumu projekts) mērķis ir noteikt vienādu normatīvo regulējumu budžeta iestādēm gada pārskata</w:t>
            </w:r>
            <w:r>
              <w:rPr>
                <w:sz w:val="20"/>
                <w:szCs w:val="20"/>
              </w:rPr>
              <w:t xml:space="preserve"> un konsolidētā saimnieciskā gada pārskata</w:t>
            </w:r>
            <w:r w:rsidRPr="006831BA">
              <w:rPr>
                <w:sz w:val="20"/>
                <w:szCs w:val="20"/>
              </w:rPr>
              <w:t xml:space="preserve"> sagatavošanā</w:t>
            </w:r>
            <w:r w:rsidR="00F63AC0">
              <w:rPr>
                <w:sz w:val="20"/>
                <w:szCs w:val="20"/>
              </w:rPr>
              <w:t xml:space="preserve">, lai nodrošinātu pārskata lietotājiem – Latvijas </w:t>
            </w:r>
            <w:r w:rsidR="007B044C">
              <w:rPr>
                <w:sz w:val="20"/>
                <w:szCs w:val="20"/>
              </w:rPr>
              <w:t>B</w:t>
            </w:r>
            <w:r w:rsidR="00F63AC0">
              <w:rPr>
                <w:sz w:val="20"/>
                <w:szCs w:val="20"/>
              </w:rPr>
              <w:t xml:space="preserve">ankai, starptautiskajām organizācijām, reitingu aģentūrām un investoriem, kā arī Latvijas Republikas iedzīvotājiem informāciju par iestādes, ministrijas, pašvaldības un valsts finanšu stāvokli </w:t>
            </w:r>
            <w:r w:rsidR="00F63AC0" w:rsidRPr="00F63AC0">
              <w:rPr>
                <w:sz w:val="20"/>
              </w:rPr>
              <w:t xml:space="preserve">atbilstoši vienotiem grāmatvedības uzskaites </w:t>
            </w:r>
            <w:r w:rsidR="00F63AC0">
              <w:rPr>
                <w:sz w:val="20"/>
              </w:rPr>
              <w:t>un pārskatu sagat</w:t>
            </w:r>
            <w:r w:rsidR="00101BAC">
              <w:rPr>
                <w:sz w:val="20"/>
              </w:rPr>
              <w:t>a</w:t>
            </w:r>
            <w:r w:rsidR="00F63AC0">
              <w:rPr>
                <w:sz w:val="20"/>
              </w:rPr>
              <w:t xml:space="preserve">vošanas </w:t>
            </w:r>
            <w:r w:rsidR="00F63AC0" w:rsidRPr="00F63AC0">
              <w:rPr>
                <w:sz w:val="20"/>
              </w:rPr>
              <w:t>principiem</w:t>
            </w:r>
            <w:r w:rsidRPr="006831BA">
              <w:rPr>
                <w:sz w:val="20"/>
                <w:szCs w:val="20"/>
              </w:rPr>
              <w:t xml:space="preserve">. </w:t>
            </w:r>
          </w:p>
          <w:p w14:paraId="6BCFAEA6" w14:textId="77777777" w:rsidR="00F63AC0" w:rsidRPr="00187078" w:rsidRDefault="00064BCE" w:rsidP="00F63AC0">
            <w:pPr>
              <w:ind w:firstLine="383"/>
              <w:jc w:val="both"/>
              <w:rPr>
                <w:i/>
                <w:iCs/>
                <w:sz w:val="20"/>
                <w:szCs w:val="20"/>
                <w:lang w:eastAsia="en-US"/>
              </w:rPr>
            </w:pPr>
            <w:r>
              <w:rPr>
                <w:sz w:val="20"/>
                <w:szCs w:val="20"/>
              </w:rPr>
              <w:t>Noteikumu projekts stājas spēkā 01.01.2023. un pirmo reizi tiek piemērots</w:t>
            </w:r>
            <w:r w:rsidR="006831BA">
              <w:rPr>
                <w:sz w:val="20"/>
                <w:szCs w:val="20"/>
              </w:rPr>
              <w:t xml:space="preserve"> 2024.gadā sagatavojot 2023.gada pārskatu.</w:t>
            </w:r>
          </w:p>
        </w:tc>
      </w:tr>
      <w:tr w:rsidR="00BD5588" w:rsidRPr="00187078" w14:paraId="77CC6FFC" w14:textId="77777777" w:rsidTr="00F26D4F">
        <w:tblPrEx>
          <w:shd w:val="clear" w:color="auto" w:fill="auto"/>
          <w:tblCellMar>
            <w:top w:w="30" w:type="dxa"/>
            <w:left w:w="30" w:type="dxa"/>
            <w:bottom w:w="30" w:type="dxa"/>
            <w:right w:w="30" w:type="dxa"/>
          </w:tblCellMar>
        </w:tblPrEx>
        <w:trPr>
          <w:cantSplit/>
        </w:trPr>
        <w:tc>
          <w:tcPr>
            <w:tcW w:w="8926" w:type="dxa"/>
            <w:gridSpan w:val="4"/>
            <w:vAlign w:val="center"/>
            <w:hideMark/>
          </w:tcPr>
          <w:p w14:paraId="5ED6F6F1" w14:textId="77777777" w:rsidR="00BD5588" w:rsidRPr="00D720B6" w:rsidRDefault="00BD5588" w:rsidP="00D720B6">
            <w:pPr>
              <w:jc w:val="center"/>
              <w:rPr>
                <w:sz w:val="20"/>
                <w:szCs w:val="20"/>
              </w:rPr>
            </w:pPr>
            <w:r w:rsidRPr="00187078">
              <w:rPr>
                <w:b/>
                <w:bCs/>
                <w:sz w:val="20"/>
                <w:szCs w:val="20"/>
              </w:rPr>
              <w:t>I. Tiesību akta projekta izstrādes nepieciešamība</w:t>
            </w:r>
          </w:p>
        </w:tc>
      </w:tr>
      <w:tr w:rsidR="00BD5588" w:rsidRPr="00187078" w14:paraId="57D10797" w14:textId="77777777" w:rsidTr="00F26D4F">
        <w:tblPrEx>
          <w:tblCellMar>
            <w:top w:w="30" w:type="dxa"/>
            <w:left w:w="30" w:type="dxa"/>
            <w:bottom w:w="30" w:type="dxa"/>
            <w:right w:w="30" w:type="dxa"/>
          </w:tblCellMar>
        </w:tblPrEx>
        <w:tc>
          <w:tcPr>
            <w:tcW w:w="575" w:type="dxa"/>
            <w:hideMark/>
          </w:tcPr>
          <w:p w14:paraId="78F12116" w14:textId="77777777" w:rsidR="00BD5588" w:rsidRPr="00187078" w:rsidRDefault="00BD5588" w:rsidP="00194DAA">
            <w:pPr>
              <w:jc w:val="center"/>
              <w:rPr>
                <w:sz w:val="20"/>
                <w:szCs w:val="20"/>
              </w:rPr>
            </w:pPr>
            <w:r w:rsidRPr="00187078">
              <w:rPr>
                <w:sz w:val="20"/>
                <w:szCs w:val="20"/>
              </w:rPr>
              <w:t>1.</w:t>
            </w:r>
          </w:p>
        </w:tc>
        <w:tc>
          <w:tcPr>
            <w:tcW w:w="2735" w:type="dxa"/>
            <w:hideMark/>
          </w:tcPr>
          <w:p w14:paraId="558F43A6" w14:textId="77777777" w:rsidR="00BD5588" w:rsidRPr="00187078" w:rsidRDefault="00BD5588" w:rsidP="00194DAA">
            <w:pPr>
              <w:rPr>
                <w:sz w:val="20"/>
                <w:szCs w:val="20"/>
              </w:rPr>
            </w:pPr>
            <w:r w:rsidRPr="00187078">
              <w:rPr>
                <w:sz w:val="20"/>
                <w:szCs w:val="20"/>
              </w:rPr>
              <w:t>Pamatojums</w:t>
            </w:r>
          </w:p>
        </w:tc>
        <w:tc>
          <w:tcPr>
            <w:tcW w:w="5616" w:type="dxa"/>
            <w:gridSpan w:val="2"/>
            <w:hideMark/>
          </w:tcPr>
          <w:p w14:paraId="74231E7A" w14:textId="77764C8D" w:rsidR="00B752F5" w:rsidRDefault="00B752F5" w:rsidP="00CD45FE">
            <w:pPr>
              <w:pStyle w:val="ListParagraph"/>
              <w:numPr>
                <w:ilvl w:val="0"/>
                <w:numId w:val="1"/>
              </w:numPr>
              <w:tabs>
                <w:tab w:val="left" w:pos="394"/>
              </w:tabs>
              <w:ind w:left="0" w:firstLine="0"/>
              <w:jc w:val="both"/>
              <w:rPr>
                <w:sz w:val="20"/>
                <w:szCs w:val="20"/>
              </w:rPr>
            </w:pPr>
            <w:r w:rsidRPr="00B752F5">
              <w:rPr>
                <w:sz w:val="20"/>
                <w:szCs w:val="20"/>
              </w:rPr>
              <w:t>Likuma par budžetu un finanšu vadību</w:t>
            </w:r>
            <w:r w:rsidR="00B04F8B">
              <w:rPr>
                <w:sz w:val="20"/>
                <w:szCs w:val="20"/>
              </w:rPr>
              <w:t xml:space="preserve"> (turpmāk – LBFV)</w:t>
            </w:r>
            <w:r w:rsidRPr="00B752F5">
              <w:rPr>
                <w:sz w:val="20"/>
                <w:szCs w:val="20"/>
              </w:rPr>
              <w:t xml:space="preserve"> (2020. gada 3. decembra likuma "Grozījumi Likumā par budžetu un finanšu vadību" redakcijā) 30.pantā noteiktais gada pārskata iesniegšanas termiņš: "(3) Ministrijas un citas centrālās valsts iestādes, kā arī pašvaldības gada pārskatu vai konsolidēto gada pārskatu iesniedz Valsts kasei līdz pārskata gadam sekojošā saimnieciskā gada 1.</w:t>
            </w:r>
            <w:r w:rsidR="00F26D4F">
              <w:rPr>
                <w:sz w:val="20"/>
                <w:szCs w:val="20"/>
              </w:rPr>
              <w:t> </w:t>
            </w:r>
            <w:r w:rsidRPr="00B752F5">
              <w:rPr>
                <w:sz w:val="20"/>
                <w:szCs w:val="20"/>
              </w:rPr>
              <w:t>aprīlim saskaņā ar normatīvajos aktos par gada pārskatiem noteikto kārtību. (3</w:t>
            </w:r>
            <w:r w:rsidRPr="00B752F5">
              <w:rPr>
                <w:sz w:val="20"/>
                <w:szCs w:val="20"/>
                <w:vertAlign w:val="superscript"/>
              </w:rPr>
              <w:t>1</w:t>
            </w:r>
            <w:r w:rsidRPr="00B752F5">
              <w:rPr>
                <w:sz w:val="20"/>
                <w:szCs w:val="20"/>
              </w:rPr>
              <w:t>) Valsts kase ikgadējo pārskatu par valsts budžeta finanšu uzskaiti sagatavo līdz pārskata gadam sekojošā saimnieciskā gada 1.</w:t>
            </w:r>
            <w:r w:rsidR="00F26D4F">
              <w:rPr>
                <w:sz w:val="20"/>
                <w:szCs w:val="20"/>
              </w:rPr>
              <w:t> </w:t>
            </w:r>
            <w:r w:rsidRPr="00B752F5">
              <w:rPr>
                <w:sz w:val="20"/>
                <w:szCs w:val="20"/>
              </w:rPr>
              <w:t>aprīlim. (3</w:t>
            </w:r>
            <w:r w:rsidRPr="00B752F5">
              <w:rPr>
                <w:sz w:val="20"/>
                <w:szCs w:val="20"/>
                <w:vertAlign w:val="superscript"/>
              </w:rPr>
              <w:t>2</w:t>
            </w:r>
            <w:r w:rsidRPr="00B752F5">
              <w:rPr>
                <w:sz w:val="20"/>
                <w:szCs w:val="20"/>
              </w:rPr>
              <w:t>) Valsts ieņēmumu dienests ikgadējo pārskatu par šā dienesta administrētiem nodokļiem, nodevām un citiem tā administrētiem uz valsts budžetu attiecināmiem maksājumiem sagatavo un iesniedz Valsts kasei līdz pārskata gadam sekojo</w:t>
            </w:r>
            <w:r>
              <w:rPr>
                <w:sz w:val="20"/>
                <w:szCs w:val="20"/>
              </w:rPr>
              <w:t xml:space="preserve">šā saimnieciskā gada 1. aprīlim”, kas ietekmē </w:t>
            </w:r>
            <w:r w:rsidR="00BF33E9">
              <w:rPr>
                <w:sz w:val="20"/>
                <w:szCs w:val="20"/>
              </w:rPr>
              <w:t xml:space="preserve">šobrīd </w:t>
            </w:r>
            <w:r>
              <w:rPr>
                <w:sz w:val="20"/>
                <w:szCs w:val="20"/>
              </w:rPr>
              <w:t>Ministru kabineta noteiktos termiņus;</w:t>
            </w:r>
          </w:p>
          <w:p w14:paraId="31AC1918" w14:textId="77777777" w:rsidR="00300CB5" w:rsidRPr="00B752F5" w:rsidRDefault="00300CB5" w:rsidP="00300CB5">
            <w:pPr>
              <w:pStyle w:val="ListParagraph"/>
              <w:tabs>
                <w:tab w:val="left" w:pos="394"/>
              </w:tabs>
              <w:ind w:left="0"/>
              <w:jc w:val="both"/>
              <w:rPr>
                <w:sz w:val="20"/>
                <w:szCs w:val="20"/>
              </w:rPr>
            </w:pPr>
          </w:p>
          <w:p w14:paraId="02553319" w14:textId="24A8D573" w:rsidR="003D7850" w:rsidRDefault="00B752F5" w:rsidP="00CD45FE">
            <w:pPr>
              <w:pStyle w:val="ListParagraph"/>
              <w:numPr>
                <w:ilvl w:val="0"/>
                <w:numId w:val="1"/>
              </w:numPr>
              <w:tabs>
                <w:tab w:val="left" w:pos="394"/>
              </w:tabs>
              <w:ind w:left="0" w:firstLine="0"/>
              <w:jc w:val="both"/>
              <w:rPr>
                <w:sz w:val="20"/>
                <w:szCs w:val="20"/>
              </w:rPr>
            </w:pPr>
            <w:r w:rsidRPr="00B752F5">
              <w:rPr>
                <w:sz w:val="20"/>
                <w:szCs w:val="20"/>
              </w:rPr>
              <w:t xml:space="preserve">Likuma par budžetu un finanšu vadību (2020. gada 3. decembra likuma "Grozījumi Likumā par budžetu un finanšu vadību" redakcijā) 31. panta otrajā daļā Ministru kabinetam dotais uzdevums: </w:t>
            </w:r>
            <w:r>
              <w:rPr>
                <w:sz w:val="20"/>
                <w:szCs w:val="20"/>
              </w:rPr>
              <w:t>“</w:t>
            </w:r>
            <w:r w:rsidRPr="00B752F5">
              <w:rPr>
                <w:sz w:val="20"/>
                <w:szCs w:val="20"/>
              </w:rPr>
              <w:t>Ministru kabinets nosaka kārtību, kādā Finanšu ministrija sagatavo un iesniedz konsolidēto saimnieciskā gada pārskatu</w:t>
            </w:r>
            <w:r>
              <w:rPr>
                <w:sz w:val="20"/>
                <w:szCs w:val="20"/>
              </w:rPr>
              <w:t>”</w:t>
            </w:r>
            <w:r w:rsidR="00690A51">
              <w:rPr>
                <w:sz w:val="20"/>
                <w:szCs w:val="20"/>
              </w:rPr>
              <w:t>. Attiecīgie Ministru kabineta noteikumi jāizdo</w:t>
            </w:r>
            <w:r w:rsidR="00BF33E9">
              <w:rPr>
                <w:sz w:val="20"/>
                <w:szCs w:val="20"/>
              </w:rPr>
              <w:t>d</w:t>
            </w:r>
            <w:r w:rsidR="00690A51">
              <w:rPr>
                <w:sz w:val="20"/>
                <w:szCs w:val="20"/>
              </w:rPr>
              <w:t xml:space="preserve"> līdz 01.01.2022.</w:t>
            </w:r>
            <w:r>
              <w:rPr>
                <w:sz w:val="20"/>
                <w:szCs w:val="20"/>
              </w:rPr>
              <w:t>;</w:t>
            </w:r>
          </w:p>
          <w:p w14:paraId="7C115BDE" w14:textId="477F0436" w:rsidR="008F2900" w:rsidRDefault="008F2900" w:rsidP="008F2900">
            <w:pPr>
              <w:pStyle w:val="ListParagraph"/>
              <w:rPr>
                <w:sz w:val="20"/>
                <w:szCs w:val="20"/>
              </w:rPr>
            </w:pPr>
          </w:p>
          <w:p w14:paraId="1995F477" w14:textId="5C1AF4C0" w:rsidR="00B752F5" w:rsidRDefault="00B752F5" w:rsidP="00CD45FE">
            <w:pPr>
              <w:pStyle w:val="ListParagraph"/>
              <w:numPr>
                <w:ilvl w:val="0"/>
                <w:numId w:val="1"/>
              </w:numPr>
              <w:tabs>
                <w:tab w:val="left" w:pos="394"/>
              </w:tabs>
              <w:ind w:left="0" w:firstLine="0"/>
              <w:jc w:val="both"/>
              <w:rPr>
                <w:sz w:val="20"/>
                <w:szCs w:val="20"/>
              </w:rPr>
            </w:pPr>
            <w:r>
              <w:rPr>
                <w:sz w:val="20"/>
                <w:szCs w:val="20"/>
              </w:rPr>
              <w:t xml:space="preserve">Ministru kabineta </w:t>
            </w:r>
            <w:r w:rsidRPr="00B752F5">
              <w:rPr>
                <w:sz w:val="20"/>
                <w:szCs w:val="20"/>
              </w:rPr>
              <w:t>30.06.2020.</w:t>
            </w:r>
            <w:r>
              <w:rPr>
                <w:sz w:val="20"/>
                <w:szCs w:val="20"/>
              </w:rPr>
              <w:t xml:space="preserve"> noteikumu Nr. 430 “Saimnieciskā gada pārskata sagatavošanas kārtība” (turpmāk – MK Nr. 430) starpinstitūciju saskaņošanas procesā Finanšu ministrija</w:t>
            </w:r>
            <w:r w:rsidR="00B04F8B">
              <w:rPr>
                <w:sz w:val="20"/>
                <w:szCs w:val="20"/>
              </w:rPr>
              <w:t>s</w:t>
            </w:r>
            <w:r>
              <w:rPr>
                <w:sz w:val="20"/>
                <w:szCs w:val="20"/>
              </w:rPr>
              <w:t xml:space="preserve"> un Tieslietu ministrijas un Valsts kontroles panāktā vienošanās par MK </w:t>
            </w:r>
            <w:r w:rsidRPr="00B752F5">
              <w:rPr>
                <w:sz w:val="20"/>
                <w:szCs w:val="20"/>
              </w:rPr>
              <w:t>19.06.2018.</w:t>
            </w:r>
            <w:r>
              <w:rPr>
                <w:sz w:val="20"/>
                <w:szCs w:val="20"/>
              </w:rPr>
              <w:t xml:space="preserve"> noteikumu Nr. 344 “</w:t>
            </w:r>
            <w:r w:rsidRPr="00B752F5">
              <w:rPr>
                <w:sz w:val="20"/>
                <w:szCs w:val="20"/>
              </w:rPr>
              <w:t>Gada pārskata sagatavošanas kārtība</w:t>
            </w:r>
            <w:r>
              <w:rPr>
                <w:sz w:val="20"/>
                <w:szCs w:val="20"/>
              </w:rPr>
              <w:t>” (turpmāk – MK Nr.</w:t>
            </w:r>
            <w:r w:rsidR="008F2900">
              <w:rPr>
                <w:sz w:val="20"/>
                <w:szCs w:val="20"/>
              </w:rPr>
              <w:t xml:space="preserve"> 344) un MK Nr. 430 apvienošanu;</w:t>
            </w:r>
          </w:p>
          <w:p w14:paraId="112C538D" w14:textId="28796E37" w:rsidR="008F2900" w:rsidRDefault="008F2900" w:rsidP="008F2900">
            <w:pPr>
              <w:pStyle w:val="ListParagraph"/>
              <w:tabs>
                <w:tab w:val="left" w:pos="394"/>
              </w:tabs>
              <w:ind w:left="0"/>
              <w:jc w:val="both"/>
              <w:rPr>
                <w:sz w:val="20"/>
                <w:szCs w:val="20"/>
              </w:rPr>
            </w:pPr>
          </w:p>
          <w:p w14:paraId="28D03D6B" w14:textId="378268ED" w:rsidR="00B752F5" w:rsidRPr="00B752F5" w:rsidRDefault="00335935" w:rsidP="00AB2B44">
            <w:pPr>
              <w:pStyle w:val="ListParagraph"/>
              <w:numPr>
                <w:ilvl w:val="0"/>
                <w:numId w:val="1"/>
              </w:numPr>
              <w:tabs>
                <w:tab w:val="left" w:pos="394"/>
              </w:tabs>
              <w:ind w:left="0" w:firstLine="0"/>
              <w:jc w:val="both"/>
              <w:rPr>
                <w:sz w:val="20"/>
                <w:szCs w:val="20"/>
              </w:rPr>
            </w:pPr>
            <w:r w:rsidRPr="00FC5011">
              <w:rPr>
                <w:sz w:val="20"/>
                <w:szCs w:val="20"/>
              </w:rPr>
              <w:t>Valsts kancelejas 14.11.2019. valsts iestāžu juridisko dienestu vadītāju sanāksmē</w:t>
            </w:r>
            <w:r w:rsidR="00A9186A" w:rsidRPr="00FC5011">
              <w:rPr>
                <w:sz w:val="20"/>
                <w:szCs w:val="20"/>
              </w:rPr>
              <w:t xml:space="preserve"> (protokols nr. 3)</w:t>
            </w:r>
            <w:r w:rsidRPr="00FC5011">
              <w:rPr>
                <w:sz w:val="20"/>
                <w:szCs w:val="20"/>
              </w:rPr>
              <w:t xml:space="preserve"> ietvert</w:t>
            </w:r>
            <w:r w:rsidR="00BF33E9">
              <w:rPr>
                <w:sz w:val="20"/>
                <w:szCs w:val="20"/>
              </w:rPr>
              <w:t>ie</w:t>
            </w:r>
            <w:r w:rsidRPr="00FC5011">
              <w:rPr>
                <w:sz w:val="20"/>
                <w:szCs w:val="20"/>
              </w:rPr>
              <w:t xml:space="preserve"> </w:t>
            </w:r>
            <w:r w:rsidR="00FC5011" w:rsidRPr="00FC5011">
              <w:rPr>
                <w:sz w:val="20"/>
                <w:szCs w:val="20"/>
              </w:rPr>
              <w:t>priekšlikum</w:t>
            </w:r>
            <w:r w:rsidR="00BF33E9">
              <w:rPr>
                <w:sz w:val="20"/>
                <w:szCs w:val="20"/>
              </w:rPr>
              <w:t>i</w:t>
            </w:r>
            <w:r w:rsidR="00FC5011" w:rsidRPr="00FC5011">
              <w:rPr>
                <w:sz w:val="20"/>
                <w:szCs w:val="20"/>
              </w:rPr>
              <w:t xml:space="preserve">: </w:t>
            </w:r>
            <w:r w:rsidR="00FC5011">
              <w:rPr>
                <w:sz w:val="20"/>
                <w:szCs w:val="20"/>
              </w:rPr>
              <w:t>ņ</w:t>
            </w:r>
            <w:r w:rsidR="00FC5011" w:rsidRPr="00FC5011">
              <w:rPr>
                <w:sz w:val="20"/>
                <w:szCs w:val="20"/>
              </w:rPr>
              <w:t xml:space="preserve">emot vērā strauju elektronisko dokumentu attīstību, kā arī nepieciešamību mazināt </w:t>
            </w:r>
            <w:proofErr w:type="spellStart"/>
            <w:r w:rsidR="00FC5011" w:rsidRPr="00FC5011">
              <w:rPr>
                <w:sz w:val="20"/>
                <w:szCs w:val="20"/>
              </w:rPr>
              <w:t>normatīvismu</w:t>
            </w:r>
            <w:proofErr w:type="spellEnd"/>
            <w:r w:rsidR="00FC5011" w:rsidRPr="00FC5011">
              <w:rPr>
                <w:sz w:val="20"/>
                <w:szCs w:val="20"/>
              </w:rPr>
              <w:t>, izvērtēt iespēju normatīvajos aktos noteikt tikai veidlapā iekļaujamās informācijas saturu un apjomu, savukārt dizainu un formu kā ilustratīvu materiālu publ</w:t>
            </w:r>
            <w:r w:rsidR="00FC5011">
              <w:rPr>
                <w:sz w:val="20"/>
                <w:szCs w:val="20"/>
              </w:rPr>
              <w:t>icēt institūciju tīmekļa vietnē</w:t>
            </w:r>
            <w:r w:rsidR="00BF33E9">
              <w:rPr>
                <w:sz w:val="20"/>
                <w:szCs w:val="20"/>
              </w:rPr>
              <w:t>.</w:t>
            </w:r>
          </w:p>
        </w:tc>
      </w:tr>
      <w:tr w:rsidR="00BD5588" w:rsidRPr="00187078" w14:paraId="64628D0B" w14:textId="77777777" w:rsidTr="00F26D4F">
        <w:tblPrEx>
          <w:tblCellMar>
            <w:top w:w="30" w:type="dxa"/>
            <w:left w:w="30" w:type="dxa"/>
            <w:bottom w:w="30" w:type="dxa"/>
            <w:right w:w="30" w:type="dxa"/>
          </w:tblCellMar>
        </w:tblPrEx>
        <w:tc>
          <w:tcPr>
            <w:tcW w:w="575" w:type="dxa"/>
            <w:hideMark/>
          </w:tcPr>
          <w:p w14:paraId="091CFDE8" w14:textId="77777777" w:rsidR="00BD5588" w:rsidRPr="00187078" w:rsidRDefault="00BD5588" w:rsidP="00194DAA">
            <w:pPr>
              <w:jc w:val="center"/>
              <w:rPr>
                <w:sz w:val="20"/>
                <w:szCs w:val="20"/>
              </w:rPr>
            </w:pPr>
            <w:r w:rsidRPr="00187078">
              <w:rPr>
                <w:sz w:val="20"/>
                <w:szCs w:val="20"/>
              </w:rPr>
              <w:t>2.</w:t>
            </w:r>
          </w:p>
        </w:tc>
        <w:tc>
          <w:tcPr>
            <w:tcW w:w="2735" w:type="dxa"/>
            <w:hideMark/>
          </w:tcPr>
          <w:p w14:paraId="38455CC9" w14:textId="77777777" w:rsidR="00BD5588" w:rsidRPr="00187078" w:rsidRDefault="00BD5588" w:rsidP="00194DAA">
            <w:pPr>
              <w:rPr>
                <w:sz w:val="20"/>
                <w:szCs w:val="20"/>
              </w:rPr>
            </w:pPr>
            <w:r w:rsidRPr="00187078">
              <w:rPr>
                <w:sz w:val="20"/>
                <w:szCs w:val="20"/>
              </w:rPr>
              <w:t>Pašreizējā situācija un problēmas, kuru risināšanai tiesību akta projekts izstrādāts, tiesiskā regulējuma mērķis un būtība</w:t>
            </w:r>
          </w:p>
        </w:tc>
        <w:tc>
          <w:tcPr>
            <w:tcW w:w="5616" w:type="dxa"/>
            <w:gridSpan w:val="2"/>
            <w:hideMark/>
          </w:tcPr>
          <w:p w14:paraId="68787C96" w14:textId="4CB39BF7" w:rsidR="00A9616F" w:rsidRDefault="00A9616F" w:rsidP="00A9616F">
            <w:pPr>
              <w:ind w:firstLine="383"/>
              <w:jc w:val="both"/>
              <w:rPr>
                <w:sz w:val="20"/>
                <w:szCs w:val="20"/>
              </w:rPr>
            </w:pPr>
            <w:r>
              <w:rPr>
                <w:sz w:val="20"/>
                <w:szCs w:val="20"/>
              </w:rPr>
              <w:t xml:space="preserve">Noteikumu projekts nosaka gada pārskata, ikgadējā pārskata un konsolidētā saimnieciskā gada pārskata apjomu, </w:t>
            </w:r>
            <w:r w:rsidRPr="006831BA">
              <w:rPr>
                <w:sz w:val="20"/>
                <w:szCs w:val="20"/>
              </w:rPr>
              <w:t>apliecinājum</w:t>
            </w:r>
            <w:r>
              <w:rPr>
                <w:sz w:val="20"/>
                <w:szCs w:val="20"/>
              </w:rPr>
              <w:t>ā par</w:t>
            </w:r>
            <w:r w:rsidRPr="006831BA">
              <w:rPr>
                <w:sz w:val="20"/>
                <w:szCs w:val="20"/>
              </w:rPr>
              <w:t xml:space="preserve"> gada pārskatā sniegtās informācijas patiesumu</w:t>
            </w:r>
            <w:r>
              <w:rPr>
                <w:sz w:val="20"/>
                <w:szCs w:val="20"/>
              </w:rPr>
              <w:t xml:space="preserve"> (turpmāk – apliecinājums)</w:t>
            </w:r>
            <w:r w:rsidRPr="006831BA">
              <w:rPr>
                <w:sz w:val="20"/>
                <w:szCs w:val="20"/>
              </w:rPr>
              <w:t xml:space="preserve"> </w:t>
            </w:r>
            <w:r>
              <w:rPr>
                <w:sz w:val="20"/>
                <w:szCs w:val="20"/>
              </w:rPr>
              <w:t xml:space="preserve">sniedzamo informāciju un </w:t>
            </w:r>
            <w:r w:rsidRPr="006831BA">
              <w:rPr>
                <w:sz w:val="20"/>
                <w:szCs w:val="20"/>
              </w:rPr>
              <w:t>finanšu pārskata posteņu skaidrojum</w:t>
            </w:r>
            <w:r>
              <w:rPr>
                <w:sz w:val="20"/>
                <w:szCs w:val="20"/>
              </w:rPr>
              <w:t xml:space="preserve">ā </w:t>
            </w:r>
            <w:r w:rsidRPr="006831BA">
              <w:rPr>
                <w:sz w:val="20"/>
                <w:szCs w:val="20"/>
              </w:rPr>
              <w:t>strukturētu</w:t>
            </w:r>
            <w:r>
              <w:rPr>
                <w:sz w:val="20"/>
                <w:szCs w:val="20"/>
              </w:rPr>
              <w:t xml:space="preserve"> atklājamo informāciju, kā arī pārskata</w:t>
            </w:r>
            <w:r w:rsidRPr="006831BA">
              <w:rPr>
                <w:sz w:val="20"/>
                <w:szCs w:val="20"/>
              </w:rPr>
              <w:t xml:space="preserve"> </w:t>
            </w:r>
            <w:r>
              <w:rPr>
                <w:sz w:val="20"/>
                <w:szCs w:val="20"/>
              </w:rPr>
              <w:t xml:space="preserve">sagatavošanas kārtību budžeta iestādēs. </w:t>
            </w:r>
            <w:r w:rsidR="00A77EC4" w:rsidRPr="00353C16">
              <w:rPr>
                <w:b/>
                <w:sz w:val="20"/>
                <w:szCs w:val="20"/>
              </w:rPr>
              <w:t xml:space="preserve">Gada pārskata mērķis ir sniegt skaidru un patiesu priekšstatu par iestādes, ministrijas, pašvaldības finanšu stāvokli, </w:t>
            </w:r>
            <w:r w:rsidR="00A77EC4" w:rsidRPr="00353C16">
              <w:rPr>
                <w:b/>
                <w:sz w:val="20"/>
                <w:szCs w:val="20"/>
              </w:rPr>
              <w:lastRenderedPageBreak/>
              <w:t>saimniecisko darbību un naudas plūsmām.</w:t>
            </w:r>
            <w:r w:rsidR="00A77EC4">
              <w:rPr>
                <w:sz w:val="20"/>
                <w:szCs w:val="20"/>
              </w:rPr>
              <w:t xml:space="preserve"> </w:t>
            </w:r>
            <w:r w:rsidRPr="00555DB4">
              <w:rPr>
                <w:sz w:val="20"/>
                <w:szCs w:val="20"/>
              </w:rPr>
              <w:t>Gada pārskatā informāciju sniedz, ņemot vērā būtiskumu un līdzsvaru starp informācijas sagatavošanas izmaksām un ieguvumu no šīs informācijas sniegšanas.</w:t>
            </w:r>
          </w:p>
          <w:p w14:paraId="71507981" w14:textId="01637687" w:rsidR="00A9616F" w:rsidRDefault="00A9616F" w:rsidP="00A9616F">
            <w:pPr>
              <w:ind w:firstLine="383"/>
              <w:jc w:val="both"/>
              <w:rPr>
                <w:sz w:val="20"/>
                <w:szCs w:val="20"/>
              </w:rPr>
            </w:pPr>
            <w:r>
              <w:rPr>
                <w:sz w:val="20"/>
                <w:szCs w:val="20"/>
              </w:rPr>
              <w:t>Noteikumu projektā apvienoti divi Ministru kabineta noteikumi: Nr. 344 “</w:t>
            </w:r>
            <w:r w:rsidRPr="00B752F5">
              <w:rPr>
                <w:sz w:val="20"/>
                <w:szCs w:val="20"/>
              </w:rPr>
              <w:t>Gada pārskata sagatavošanas kārtība</w:t>
            </w:r>
            <w:r>
              <w:rPr>
                <w:sz w:val="20"/>
                <w:szCs w:val="20"/>
              </w:rPr>
              <w:t>” (</w:t>
            </w:r>
            <w:r w:rsidRPr="00B752F5">
              <w:rPr>
                <w:sz w:val="20"/>
                <w:szCs w:val="20"/>
              </w:rPr>
              <w:t>19.06.2018</w:t>
            </w:r>
            <w:r>
              <w:rPr>
                <w:sz w:val="20"/>
                <w:szCs w:val="20"/>
              </w:rPr>
              <w:t>.) un Nr. 430 “Saimnieciskā gada pārskata sagatavošanas kārtība” (</w:t>
            </w:r>
            <w:r w:rsidRPr="00B752F5">
              <w:rPr>
                <w:sz w:val="20"/>
                <w:szCs w:val="20"/>
              </w:rPr>
              <w:t>30.06.2020.</w:t>
            </w:r>
            <w:r>
              <w:rPr>
                <w:sz w:val="20"/>
                <w:szCs w:val="20"/>
              </w:rPr>
              <w:t xml:space="preserve">). </w:t>
            </w:r>
          </w:p>
          <w:p w14:paraId="7AF49006" w14:textId="77777777" w:rsidR="00A9616F" w:rsidRDefault="00A9616F" w:rsidP="00B04F8B">
            <w:pPr>
              <w:jc w:val="both"/>
              <w:rPr>
                <w:sz w:val="20"/>
                <w:szCs w:val="20"/>
              </w:rPr>
            </w:pPr>
          </w:p>
          <w:p w14:paraId="58056B00" w14:textId="1944AEDA" w:rsidR="003D7850" w:rsidRDefault="00B04F8B" w:rsidP="00B04F8B">
            <w:pPr>
              <w:jc w:val="both"/>
              <w:rPr>
                <w:sz w:val="20"/>
                <w:szCs w:val="20"/>
              </w:rPr>
            </w:pPr>
            <w:r>
              <w:rPr>
                <w:sz w:val="20"/>
                <w:szCs w:val="20"/>
              </w:rPr>
              <w:t xml:space="preserve">[1] </w:t>
            </w:r>
            <w:r w:rsidR="0094426B">
              <w:rPr>
                <w:sz w:val="20"/>
                <w:szCs w:val="20"/>
              </w:rPr>
              <w:t>Ņ</w:t>
            </w:r>
            <w:r w:rsidR="000557B3">
              <w:rPr>
                <w:sz w:val="20"/>
                <w:szCs w:val="20"/>
              </w:rPr>
              <w:t>emot vērā, ka</w:t>
            </w:r>
            <w:r w:rsidR="00F9358C">
              <w:rPr>
                <w:sz w:val="20"/>
                <w:szCs w:val="20"/>
              </w:rPr>
              <w:t xml:space="preserve"> </w:t>
            </w:r>
            <w:r w:rsidR="000557B3">
              <w:rPr>
                <w:sz w:val="20"/>
                <w:szCs w:val="20"/>
              </w:rPr>
              <w:t>MK Nr. 344 un MK Nr. 430 paredzētais regulējums ir savstarpēji saistīt</w:t>
            </w:r>
            <w:r w:rsidR="00BF33E9">
              <w:rPr>
                <w:sz w:val="20"/>
                <w:szCs w:val="20"/>
              </w:rPr>
              <w:t>s</w:t>
            </w:r>
            <w:r w:rsidR="000557B3">
              <w:rPr>
                <w:sz w:val="20"/>
                <w:szCs w:val="20"/>
              </w:rPr>
              <w:t>, to apvieno</w:t>
            </w:r>
            <w:r w:rsidR="00BF33E9">
              <w:rPr>
                <w:sz w:val="20"/>
                <w:szCs w:val="20"/>
              </w:rPr>
              <w:t>šana</w:t>
            </w:r>
            <w:r w:rsidR="000557B3">
              <w:rPr>
                <w:sz w:val="20"/>
                <w:szCs w:val="20"/>
              </w:rPr>
              <w:t xml:space="preserve"> nodrošinās, ka </w:t>
            </w:r>
            <w:r w:rsidR="000557B3" w:rsidRPr="00C05A65">
              <w:rPr>
                <w:sz w:val="20"/>
                <w:szCs w:val="20"/>
              </w:rPr>
              <w:t>tiesiskais regulējums par savstarpēji saistītiem jautājumiem netiek sadrumstalots.</w:t>
            </w:r>
            <w:r w:rsidR="00F9358C">
              <w:rPr>
                <w:sz w:val="20"/>
                <w:szCs w:val="20"/>
              </w:rPr>
              <w:t xml:space="preserve"> </w:t>
            </w:r>
            <w:r w:rsidR="000557B3">
              <w:rPr>
                <w:sz w:val="20"/>
                <w:szCs w:val="20"/>
              </w:rPr>
              <w:t xml:space="preserve">MK noteikumi ir apvienoti nemainot regulējumu, izņemot tālāk minētās izmaiņas. </w:t>
            </w:r>
          </w:p>
          <w:p w14:paraId="62E6D2FD" w14:textId="77777777" w:rsidR="0094426B" w:rsidRDefault="0094426B" w:rsidP="00B04F8B">
            <w:pPr>
              <w:jc w:val="both"/>
              <w:rPr>
                <w:sz w:val="20"/>
                <w:szCs w:val="20"/>
              </w:rPr>
            </w:pPr>
          </w:p>
          <w:p w14:paraId="44D9C486" w14:textId="4EDE4476" w:rsidR="0094426B" w:rsidRDefault="00B04F8B" w:rsidP="000F055E">
            <w:pPr>
              <w:jc w:val="both"/>
              <w:rPr>
                <w:sz w:val="20"/>
                <w:szCs w:val="20"/>
              </w:rPr>
            </w:pPr>
            <w:r>
              <w:rPr>
                <w:sz w:val="20"/>
                <w:szCs w:val="20"/>
              </w:rPr>
              <w:t xml:space="preserve">[2] </w:t>
            </w:r>
            <w:r w:rsidR="000557B3">
              <w:rPr>
                <w:sz w:val="20"/>
                <w:szCs w:val="20"/>
              </w:rPr>
              <w:t>Saskaņā ar grozījumiem LBFV, kas nosaka, ka gada pārskatu iesniedz Valsts kasē 1.aprīlī</w:t>
            </w:r>
            <w:r w:rsidR="00F9358C">
              <w:rPr>
                <w:sz w:val="20"/>
                <w:szCs w:val="20"/>
              </w:rPr>
              <w:t xml:space="preserve"> </w:t>
            </w:r>
            <w:r w:rsidR="000557B3">
              <w:rPr>
                <w:sz w:val="20"/>
                <w:szCs w:val="20"/>
              </w:rPr>
              <w:t>(līdz šim 1.maijs), noteikumu projektā aktualizēti termiņi, kas saistīti ar LBFV 30.panta grozījumos noteiktajiem gada pārskata iesniegšanas termiņiem</w:t>
            </w:r>
            <w:r w:rsidR="00BF33E9">
              <w:rPr>
                <w:sz w:val="20"/>
                <w:szCs w:val="20"/>
              </w:rPr>
              <w:t>, informācijas sagatavošanai par</w:t>
            </w:r>
            <w:r w:rsidR="000557B3">
              <w:rPr>
                <w:sz w:val="20"/>
                <w:szCs w:val="20"/>
              </w:rPr>
              <w:t xml:space="preserve"> notikumiem pēc bilances datuma līdz 15.jūlijam (līdz šim 15.augusts) un salīdzināšanās period</w:t>
            </w:r>
            <w:r w:rsidR="00BF33E9">
              <w:rPr>
                <w:sz w:val="20"/>
                <w:szCs w:val="20"/>
              </w:rPr>
              <w:t>am</w:t>
            </w:r>
            <w:r w:rsidR="000557B3">
              <w:rPr>
                <w:sz w:val="20"/>
                <w:szCs w:val="20"/>
              </w:rPr>
              <w:t>, k</w:t>
            </w:r>
            <w:r w:rsidR="00700EB2">
              <w:rPr>
                <w:sz w:val="20"/>
                <w:szCs w:val="20"/>
              </w:rPr>
              <w:t>uru</w:t>
            </w:r>
            <w:r w:rsidR="000557B3">
              <w:rPr>
                <w:sz w:val="20"/>
                <w:szCs w:val="20"/>
              </w:rPr>
              <w:t xml:space="preserve"> jāpabeidz 31.janvārī, saskaņ</w:t>
            </w:r>
            <w:r w:rsidR="00700EB2">
              <w:rPr>
                <w:sz w:val="20"/>
                <w:szCs w:val="20"/>
              </w:rPr>
              <w:t xml:space="preserve">ā </w:t>
            </w:r>
            <w:r w:rsidR="000557B3">
              <w:rPr>
                <w:sz w:val="20"/>
                <w:szCs w:val="20"/>
              </w:rPr>
              <w:t xml:space="preserve">ar </w:t>
            </w:r>
            <w:r w:rsidR="001971FC">
              <w:rPr>
                <w:sz w:val="20"/>
                <w:szCs w:val="20"/>
              </w:rPr>
              <w:t xml:space="preserve">Grāmatvedības likumā </w:t>
            </w:r>
            <w:r w:rsidR="000557B3">
              <w:rPr>
                <w:sz w:val="20"/>
                <w:szCs w:val="20"/>
              </w:rPr>
              <w:t>noteikto periodu</w:t>
            </w:r>
            <w:r w:rsidR="00BF33E9">
              <w:rPr>
                <w:sz w:val="20"/>
                <w:szCs w:val="20"/>
              </w:rPr>
              <w:t>:</w:t>
            </w:r>
            <w:r w:rsidR="000557B3">
              <w:rPr>
                <w:sz w:val="20"/>
                <w:szCs w:val="20"/>
              </w:rPr>
              <w:t xml:space="preserve"> “</w:t>
            </w:r>
            <w:r w:rsidR="000557B3" w:rsidRPr="00844FE2">
              <w:rPr>
                <w:sz w:val="20"/>
                <w:szCs w:val="20"/>
              </w:rPr>
              <w:t>Pārskata gada slēguma inventarizāciju drīkst veikt triju mēnešu laikā pirms pārskata gada beigu dienas vai mēneša laikā pēc tās</w:t>
            </w:r>
            <w:r w:rsidR="000557B3">
              <w:rPr>
                <w:sz w:val="20"/>
                <w:szCs w:val="20"/>
              </w:rPr>
              <w:t>”.</w:t>
            </w:r>
            <w:r w:rsidR="00700EB2">
              <w:rPr>
                <w:sz w:val="20"/>
                <w:szCs w:val="20"/>
              </w:rPr>
              <w:t xml:space="preserve"> Papildus paredzēts, ka s</w:t>
            </w:r>
            <w:r w:rsidR="00700EB2" w:rsidRPr="00700EB2">
              <w:rPr>
                <w:sz w:val="20"/>
                <w:szCs w:val="20"/>
              </w:rPr>
              <w:t>askaņotu salīdzināšanās aktu var labot līdz datumam, kad pārskats apstiprināts publiskošanai, ja abas puses par to savstarpēji vienojas.</w:t>
            </w:r>
          </w:p>
          <w:p w14:paraId="16CCD27D" w14:textId="77777777" w:rsidR="00700EB2" w:rsidRDefault="00700EB2" w:rsidP="000F055E">
            <w:pPr>
              <w:jc w:val="both"/>
              <w:rPr>
                <w:sz w:val="20"/>
                <w:szCs w:val="20"/>
              </w:rPr>
            </w:pPr>
          </w:p>
          <w:p w14:paraId="71552690" w14:textId="51CFB105" w:rsidR="00B67724" w:rsidRDefault="000F055E" w:rsidP="000F055E">
            <w:pPr>
              <w:jc w:val="both"/>
              <w:rPr>
                <w:sz w:val="20"/>
                <w:szCs w:val="20"/>
              </w:rPr>
            </w:pPr>
            <w:r>
              <w:rPr>
                <w:sz w:val="20"/>
                <w:szCs w:val="20"/>
              </w:rPr>
              <w:t xml:space="preserve">[3] </w:t>
            </w:r>
            <w:r w:rsidR="00BF33E9">
              <w:rPr>
                <w:sz w:val="20"/>
                <w:szCs w:val="20"/>
              </w:rPr>
              <w:t>M</w:t>
            </w:r>
            <w:r w:rsidR="00B67724" w:rsidRPr="00FC5011">
              <w:rPr>
                <w:sz w:val="20"/>
                <w:szCs w:val="20"/>
              </w:rPr>
              <w:t>azin</w:t>
            </w:r>
            <w:r w:rsidR="00B67724">
              <w:rPr>
                <w:sz w:val="20"/>
                <w:szCs w:val="20"/>
              </w:rPr>
              <w:t>o</w:t>
            </w:r>
            <w:r w:rsidR="00B67724" w:rsidRPr="00FC5011">
              <w:rPr>
                <w:sz w:val="20"/>
                <w:szCs w:val="20"/>
              </w:rPr>
              <w:t xml:space="preserve">t </w:t>
            </w:r>
            <w:proofErr w:type="spellStart"/>
            <w:r w:rsidR="00B67724" w:rsidRPr="00FC5011">
              <w:rPr>
                <w:sz w:val="20"/>
                <w:szCs w:val="20"/>
              </w:rPr>
              <w:t>normatīvismu</w:t>
            </w:r>
            <w:proofErr w:type="spellEnd"/>
            <w:r w:rsidR="00B67724" w:rsidRPr="00FC5011">
              <w:rPr>
                <w:sz w:val="20"/>
                <w:szCs w:val="20"/>
              </w:rPr>
              <w:t xml:space="preserve">, </w:t>
            </w:r>
            <w:r w:rsidR="00B67724">
              <w:rPr>
                <w:sz w:val="20"/>
                <w:szCs w:val="20"/>
              </w:rPr>
              <w:t>noteikumu projektā</w:t>
            </w:r>
            <w:r w:rsidR="00B67724" w:rsidRPr="00FC5011">
              <w:rPr>
                <w:sz w:val="20"/>
                <w:szCs w:val="20"/>
              </w:rPr>
              <w:t xml:space="preserve"> noteikt</w:t>
            </w:r>
            <w:r w:rsidR="00B67724">
              <w:rPr>
                <w:sz w:val="20"/>
                <w:szCs w:val="20"/>
              </w:rPr>
              <w:t>s</w:t>
            </w:r>
            <w:r w:rsidR="00B67724" w:rsidRPr="00FC5011">
              <w:rPr>
                <w:sz w:val="20"/>
                <w:szCs w:val="20"/>
              </w:rPr>
              <w:t xml:space="preserve"> tikai veidlapā iekļaujamās informācijas satur</w:t>
            </w:r>
            <w:r w:rsidR="00B67724">
              <w:rPr>
                <w:sz w:val="20"/>
                <w:szCs w:val="20"/>
              </w:rPr>
              <w:t>s. Salīdzinot ar MK Nr.</w:t>
            </w:r>
            <w:r w:rsidR="00700EB2">
              <w:rPr>
                <w:sz w:val="20"/>
                <w:szCs w:val="20"/>
              </w:rPr>
              <w:t> </w:t>
            </w:r>
            <w:r w:rsidR="00B67724">
              <w:rPr>
                <w:sz w:val="20"/>
                <w:szCs w:val="20"/>
              </w:rPr>
              <w:t>344 apstiprinātajām veidlapām, noteikumu projektā:</w:t>
            </w:r>
          </w:p>
          <w:p w14:paraId="268B4FA8" w14:textId="1F79E18D" w:rsidR="00457495" w:rsidRDefault="00BF33E9" w:rsidP="00457495">
            <w:pPr>
              <w:pStyle w:val="ListParagraph"/>
              <w:numPr>
                <w:ilvl w:val="0"/>
                <w:numId w:val="2"/>
              </w:numPr>
              <w:tabs>
                <w:tab w:val="left" w:pos="571"/>
              </w:tabs>
              <w:ind w:left="0" w:firstLine="253"/>
              <w:jc w:val="both"/>
              <w:rPr>
                <w:sz w:val="20"/>
                <w:szCs w:val="20"/>
              </w:rPr>
            </w:pPr>
            <w:r>
              <w:rPr>
                <w:sz w:val="20"/>
                <w:szCs w:val="20"/>
              </w:rPr>
              <w:t xml:space="preserve">nav izmaiņu </w:t>
            </w:r>
            <w:r w:rsidR="00457495">
              <w:rPr>
                <w:sz w:val="20"/>
                <w:szCs w:val="20"/>
              </w:rPr>
              <w:t>MK Nr. 344 1. pielikuma “Budžeta izpildes pārskats” un 4. pielikuma “Pašu kapitāla izmaiņu pārsk</w:t>
            </w:r>
            <w:r w:rsidR="00300CB5">
              <w:rPr>
                <w:sz w:val="20"/>
                <w:szCs w:val="20"/>
              </w:rPr>
              <w:t>ats” aprakstā;</w:t>
            </w:r>
          </w:p>
          <w:p w14:paraId="64F71C27" w14:textId="1523E0CA" w:rsidR="00457495" w:rsidRDefault="00457495" w:rsidP="00457495">
            <w:pPr>
              <w:pStyle w:val="ListParagraph"/>
              <w:numPr>
                <w:ilvl w:val="0"/>
                <w:numId w:val="2"/>
              </w:numPr>
              <w:tabs>
                <w:tab w:val="left" w:pos="571"/>
              </w:tabs>
              <w:ind w:left="0" w:firstLine="253"/>
              <w:jc w:val="both"/>
              <w:rPr>
                <w:sz w:val="20"/>
                <w:szCs w:val="20"/>
              </w:rPr>
            </w:pPr>
            <w:r w:rsidRPr="00E737F1">
              <w:rPr>
                <w:sz w:val="20"/>
                <w:szCs w:val="20"/>
              </w:rPr>
              <w:t>MK Nr. 344</w:t>
            </w:r>
            <w:r>
              <w:rPr>
                <w:sz w:val="20"/>
                <w:szCs w:val="20"/>
              </w:rPr>
              <w:t xml:space="preserve"> 2.pielikums “P</w:t>
            </w:r>
            <w:r w:rsidRPr="00715C7A">
              <w:rPr>
                <w:sz w:val="20"/>
                <w:szCs w:val="20"/>
              </w:rPr>
              <w:t>ārskata par finansiālo stāvokli</w:t>
            </w:r>
            <w:r w:rsidR="004B1D59">
              <w:rPr>
                <w:sz w:val="20"/>
                <w:szCs w:val="20"/>
              </w:rPr>
              <w:t xml:space="preserve"> (Bilance)</w:t>
            </w:r>
            <w:r>
              <w:rPr>
                <w:sz w:val="20"/>
                <w:szCs w:val="20"/>
              </w:rPr>
              <w:t xml:space="preserve">” aprakstīts </w:t>
            </w:r>
            <w:r w:rsidRPr="00E737F1">
              <w:rPr>
                <w:sz w:val="20"/>
                <w:szCs w:val="20"/>
              </w:rPr>
              <w:t>noteikumu projekta</w:t>
            </w:r>
            <w:r>
              <w:rPr>
                <w:sz w:val="20"/>
                <w:szCs w:val="20"/>
              </w:rPr>
              <w:t xml:space="preserve"> </w:t>
            </w:r>
            <w:r w:rsidR="00D0232E">
              <w:rPr>
                <w:sz w:val="20"/>
                <w:szCs w:val="20"/>
              </w:rPr>
              <w:t>7</w:t>
            </w:r>
            <w:r>
              <w:rPr>
                <w:sz w:val="20"/>
                <w:szCs w:val="20"/>
              </w:rPr>
              <w:t>.</w:t>
            </w:r>
            <w:r w:rsidR="00700EB2">
              <w:rPr>
                <w:sz w:val="20"/>
                <w:szCs w:val="20"/>
              </w:rPr>
              <w:t>4</w:t>
            </w:r>
            <w:r>
              <w:rPr>
                <w:sz w:val="20"/>
                <w:szCs w:val="20"/>
              </w:rPr>
              <w:t>. nodaļā, papildinot MK Nr. 344 aprakstu ar uzrādāmās informācijas detalizācijas pakāpi</w:t>
            </w:r>
          </w:p>
          <w:p w14:paraId="4683C74C" w14:textId="0B8CB8CE" w:rsidR="00457495" w:rsidRDefault="00457495" w:rsidP="00457495">
            <w:pPr>
              <w:pStyle w:val="ListParagraph"/>
              <w:numPr>
                <w:ilvl w:val="0"/>
                <w:numId w:val="2"/>
              </w:numPr>
              <w:tabs>
                <w:tab w:val="left" w:pos="571"/>
              </w:tabs>
              <w:ind w:left="0" w:firstLine="253"/>
              <w:jc w:val="both"/>
              <w:rPr>
                <w:sz w:val="20"/>
                <w:szCs w:val="20"/>
              </w:rPr>
            </w:pPr>
            <w:r w:rsidRPr="00E737F1">
              <w:rPr>
                <w:sz w:val="20"/>
                <w:szCs w:val="20"/>
              </w:rPr>
              <w:t>MK Nr. 344</w:t>
            </w:r>
            <w:r>
              <w:rPr>
                <w:sz w:val="20"/>
                <w:szCs w:val="20"/>
              </w:rPr>
              <w:t xml:space="preserve"> 3.pielikums “P</w:t>
            </w:r>
            <w:r w:rsidRPr="00715C7A">
              <w:rPr>
                <w:sz w:val="20"/>
                <w:szCs w:val="20"/>
              </w:rPr>
              <w:t>ārskat</w:t>
            </w:r>
            <w:r>
              <w:rPr>
                <w:sz w:val="20"/>
                <w:szCs w:val="20"/>
              </w:rPr>
              <w:t>s</w:t>
            </w:r>
            <w:r w:rsidRPr="00715C7A">
              <w:rPr>
                <w:sz w:val="20"/>
                <w:szCs w:val="20"/>
              </w:rPr>
              <w:t xml:space="preserve"> par darbības finansiālajiem rezultātiem</w:t>
            </w:r>
            <w:r>
              <w:rPr>
                <w:sz w:val="20"/>
                <w:szCs w:val="20"/>
              </w:rPr>
              <w:t xml:space="preserve">” aprakstīts </w:t>
            </w:r>
            <w:r w:rsidRPr="00E737F1">
              <w:rPr>
                <w:sz w:val="20"/>
                <w:szCs w:val="20"/>
              </w:rPr>
              <w:t>noteikumu projekta</w:t>
            </w:r>
            <w:r>
              <w:rPr>
                <w:sz w:val="20"/>
                <w:szCs w:val="20"/>
              </w:rPr>
              <w:t xml:space="preserve"> </w:t>
            </w:r>
            <w:r w:rsidR="00D0232E">
              <w:rPr>
                <w:sz w:val="20"/>
                <w:szCs w:val="20"/>
              </w:rPr>
              <w:t>7</w:t>
            </w:r>
            <w:r w:rsidR="00700EB2">
              <w:rPr>
                <w:sz w:val="20"/>
                <w:szCs w:val="20"/>
              </w:rPr>
              <w:t>.5</w:t>
            </w:r>
            <w:r>
              <w:rPr>
                <w:sz w:val="20"/>
                <w:szCs w:val="20"/>
              </w:rPr>
              <w:t>. nodaļā, papildinot MK Nr. 344 aprakstu ar uzrādāmās informācijas detalizācijas pakāpi</w:t>
            </w:r>
            <w:r w:rsidR="00B82358">
              <w:rPr>
                <w:sz w:val="20"/>
                <w:szCs w:val="20"/>
              </w:rPr>
              <w:t xml:space="preserve"> </w:t>
            </w:r>
            <w:r w:rsidR="00B82358" w:rsidRPr="00DC5A62">
              <w:rPr>
                <w:b/>
                <w:sz w:val="20"/>
                <w:szCs w:val="20"/>
              </w:rPr>
              <w:t>(80.punktā)</w:t>
            </w:r>
            <w:r>
              <w:rPr>
                <w:sz w:val="20"/>
                <w:szCs w:val="20"/>
              </w:rPr>
              <w:t>;</w:t>
            </w:r>
          </w:p>
          <w:p w14:paraId="7FC44C22" w14:textId="5A198372" w:rsidR="00457495" w:rsidRDefault="00457495" w:rsidP="00457495">
            <w:pPr>
              <w:pStyle w:val="ListParagraph"/>
              <w:numPr>
                <w:ilvl w:val="0"/>
                <w:numId w:val="2"/>
              </w:numPr>
              <w:tabs>
                <w:tab w:val="left" w:pos="571"/>
              </w:tabs>
              <w:ind w:left="0" w:firstLine="253"/>
              <w:jc w:val="both"/>
              <w:rPr>
                <w:sz w:val="20"/>
                <w:szCs w:val="20"/>
              </w:rPr>
            </w:pPr>
            <w:r w:rsidRPr="00E737F1">
              <w:rPr>
                <w:sz w:val="20"/>
                <w:szCs w:val="20"/>
              </w:rPr>
              <w:t>MK Nr. 344</w:t>
            </w:r>
            <w:r>
              <w:rPr>
                <w:sz w:val="20"/>
                <w:szCs w:val="20"/>
              </w:rPr>
              <w:t xml:space="preserve"> 5.pielikums “N</w:t>
            </w:r>
            <w:r w:rsidRPr="00715C7A">
              <w:rPr>
                <w:sz w:val="20"/>
                <w:szCs w:val="20"/>
              </w:rPr>
              <w:t>audas plūsmas pārskat</w:t>
            </w:r>
            <w:r>
              <w:rPr>
                <w:sz w:val="20"/>
                <w:szCs w:val="20"/>
              </w:rPr>
              <w:t xml:space="preserve">s” aprakstīts </w:t>
            </w:r>
            <w:r w:rsidRPr="00E737F1">
              <w:rPr>
                <w:sz w:val="20"/>
                <w:szCs w:val="20"/>
              </w:rPr>
              <w:t>noteikumu projekta</w:t>
            </w:r>
            <w:r>
              <w:rPr>
                <w:sz w:val="20"/>
                <w:szCs w:val="20"/>
              </w:rPr>
              <w:t xml:space="preserve"> </w:t>
            </w:r>
            <w:r w:rsidR="00D0232E">
              <w:rPr>
                <w:sz w:val="20"/>
                <w:szCs w:val="20"/>
              </w:rPr>
              <w:t>7</w:t>
            </w:r>
            <w:r w:rsidR="00700EB2">
              <w:rPr>
                <w:sz w:val="20"/>
                <w:szCs w:val="20"/>
              </w:rPr>
              <w:t>.7</w:t>
            </w:r>
            <w:r>
              <w:rPr>
                <w:sz w:val="20"/>
                <w:szCs w:val="20"/>
              </w:rPr>
              <w:t>. nodaļā, papildinot MK Nr. 344 aprakstu ar uzrādāmās informācijas detalizācijas pakāpi;</w:t>
            </w:r>
          </w:p>
          <w:p w14:paraId="6AB55301" w14:textId="2C1E1C17" w:rsidR="004B5CFE" w:rsidRPr="0037793B" w:rsidRDefault="004B5CFE" w:rsidP="0094426B">
            <w:pPr>
              <w:pStyle w:val="ListParagraph"/>
              <w:numPr>
                <w:ilvl w:val="0"/>
                <w:numId w:val="2"/>
              </w:numPr>
              <w:tabs>
                <w:tab w:val="left" w:pos="571"/>
              </w:tabs>
              <w:ind w:left="0" w:firstLine="253"/>
              <w:jc w:val="both"/>
              <w:rPr>
                <w:sz w:val="20"/>
                <w:szCs w:val="20"/>
              </w:rPr>
            </w:pPr>
            <w:r>
              <w:rPr>
                <w:sz w:val="20"/>
                <w:szCs w:val="20"/>
              </w:rPr>
              <w:t>MK Nr. 344 6.pielikums “</w:t>
            </w:r>
            <w:r w:rsidRPr="006B372A">
              <w:rPr>
                <w:sz w:val="20"/>
                <w:szCs w:val="20"/>
              </w:rPr>
              <w:t>Finanšu pārskata post</w:t>
            </w:r>
            <w:r>
              <w:rPr>
                <w:sz w:val="20"/>
                <w:szCs w:val="20"/>
              </w:rPr>
              <w:t>eņu strukturizēta</w:t>
            </w:r>
            <w:r w:rsidR="00BF33E9">
              <w:rPr>
                <w:sz w:val="20"/>
                <w:szCs w:val="20"/>
              </w:rPr>
              <w:t>is</w:t>
            </w:r>
            <w:r>
              <w:rPr>
                <w:sz w:val="20"/>
                <w:szCs w:val="20"/>
              </w:rPr>
              <w:t xml:space="preserve"> skaidrojums” aprakstīts noteikumu projekta </w:t>
            </w:r>
            <w:r w:rsidR="00D0232E">
              <w:rPr>
                <w:sz w:val="20"/>
                <w:szCs w:val="20"/>
              </w:rPr>
              <w:t>7</w:t>
            </w:r>
            <w:r w:rsidR="00700EB2">
              <w:rPr>
                <w:sz w:val="20"/>
                <w:szCs w:val="20"/>
              </w:rPr>
              <w:t>.10</w:t>
            </w:r>
            <w:r>
              <w:rPr>
                <w:sz w:val="20"/>
                <w:szCs w:val="20"/>
              </w:rPr>
              <w:t>.</w:t>
            </w:r>
            <w:r w:rsidR="00700EB2">
              <w:rPr>
                <w:sz w:val="20"/>
                <w:szCs w:val="20"/>
              </w:rPr>
              <w:t> </w:t>
            </w:r>
            <w:r>
              <w:rPr>
                <w:sz w:val="20"/>
                <w:szCs w:val="20"/>
              </w:rPr>
              <w:t>nodaļā;</w:t>
            </w:r>
          </w:p>
          <w:p w14:paraId="493E2E65" w14:textId="168D4DBB" w:rsidR="0037793B" w:rsidRPr="0037793B" w:rsidRDefault="00F54511" w:rsidP="00F9358C">
            <w:pPr>
              <w:pStyle w:val="ListParagraph"/>
              <w:numPr>
                <w:ilvl w:val="0"/>
                <w:numId w:val="2"/>
              </w:numPr>
              <w:tabs>
                <w:tab w:val="left" w:pos="571"/>
              </w:tabs>
              <w:ind w:left="0" w:firstLine="360"/>
              <w:jc w:val="both"/>
              <w:rPr>
                <w:sz w:val="20"/>
                <w:szCs w:val="20"/>
              </w:rPr>
            </w:pPr>
            <w:r>
              <w:rPr>
                <w:sz w:val="20"/>
                <w:szCs w:val="20"/>
              </w:rPr>
              <w:t xml:space="preserve">MK Nr. 344 7. pielikums </w:t>
            </w:r>
            <w:r w:rsidR="006B372A">
              <w:rPr>
                <w:sz w:val="20"/>
                <w:szCs w:val="20"/>
              </w:rPr>
              <w:t>“</w:t>
            </w:r>
            <w:r w:rsidR="006B372A" w:rsidRPr="0037793B">
              <w:rPr>
                <w:sz w:val="20"/>
                <w:szCs w:val="20"/>
              </w:rPr>
              <w:t>Apliecinājum</w:t>
            </w:r>
            <w:r w:rsidR="00C114ED">
              <w:rPr>
                <w:sz w:val="20"/>
                <w:szCs w:val="20"/>
              </w:rPr>
              <w:t>s</w:t>
            </w:r>
            <w:r w:rsidR="00F9358C">
              <w:rPr>
                <w:sz w:val="20"/>
                <w:szCs w:val="20"/>
              </w:rPr>
              <w:t xml:space="preserve"> </w:t>
            </w:r>
            <w:r w:rsidR="00F9358C" w:rsidRPr="00F9358C">
              <w:rPr>
                <w:sz w:val="20"/>
                <w:szCs w:val="20"/>
              </w:rPr>
              <w:t>par gada pārskatā sniegtās informācijas patiesumu</w:t>
            </w:r>
            <w:r w:rsidR="006B372A">
              <w:rPr>
                <w:sz w:val="20"/>
                <w:szCs w:val="20"/>
              </w:rPr>
              <w:t xml:space="preserve">” </w:t>
            </w:r>
            <w:r>
              <w:rPr>
                <w:sz w:val="20"/>
                <w:szCs w:val="20"/>
              </w:rPr>
              <w:t>aprakstīts</w:t>
            </w:r>
            <w:r w:rsidR="00F9358C">
              <w:rPr>
                <w:sz w:val="20"/>
                <w:szCs w:val="20"/>
              </w:rPr>
              <w:t xml:space="preserve"> </w:t>
            </w:r>
            <w:r w:rsidR="007729FA">
              <w:rPr>
                <w:sz w:val="20"/>
                <w:szCs w:val="20"/>
              </w:rPr>
              <w:t>noteikumu</w:t>
            </w:r>
            <w:r w:rsidR="00100301">
              <w:rPr>
                <w:sz w:val="20"/>
                <w:szCs w:val="20"/>
              </w:rPr>
              <w:t xml:space="preserve"> projekta</w:t>
            </w:r>
            <w:r>
              <w:rPr>
                <w:sz w:val="20"/>
                <w:szCs w:val="20"/>
              </w:rPr>
              <w:t xml:space="preserve"> </w:t>
            </w:r>
            <w:r w:rsidR="00D0232E">
              <w:rPr>
                <w:sz w:val="20"/>
                <w:szCs w:val="20"/>
              </w:rPr>
              <w:t>7</w:t>
            </w:r>
            <w:r w:rsidR="00700EB2">
              <w:rPr>
                <w:sz w:val="20"/>
                <w:szCs w:val="20"/>
              </w:rPr>
              <w:t>.2.</w:t>
            </w:r>
            <w:r>
              <w:rPr>
                <w:sz w:val="20"/>
                <w:szCs w:val="20"/>
              </w:rPr>
              <w:t xml:space="preserve"> nodaļā</w:t>
            </w:r>
            <w:r w:rsidR="006B372A">
              <w:rPr>
                <w:sz w:val="20"/>
                <w:szCs w:val="20"/>
              </w:rPr>
              <w:t>;</w:t>
            </w:r>
          </w:p>
          <w:p w14:paraId="7186BB25" w14:textId="3FB43BE5" w:rsidR="006B372A" w:rsidRDefault="00100301" w:rsidP="0094426B">
            <w:pPr>
              <w:pStyle w:val="ListParagraph"/>
              <w:numPr>
                <w:ilvl w:val="0"/>
                <w:numId w:val="2"/>
              </w:numPr>
              <w:tabs>
                <w:tab w:val="left" w:pos="571"/>
              </w:tabs>
              <w:ind w:left="0" w:firstLine="253"/>
              <w:jc w:val="both"/>
              <w:rPr>
                <w:sz w:val="20"/>
                <w:szCs w:val="20"/>
              </w:rPr>
            </w:pPr>
            <w:r w:rsidRPr="006B372A">
              <w:rPr>
                <w:sz w:val="20"/>
                <w:szCs w:val="20"/>
              </w:rPr>
              <w:t>MK Nr. 344 8.pielikums</w:t>
            </w:r>
            <w:r w:rsidR="006B372A" w:rsidRPr="006B372A">
              <w:rPr>
                <w:sz w:val="20"/>
                <w:szCs w:val="20"/>
              </w:rPr>
              <w:t xml:space="preserve"> “Akts par savstarpējo atlikumu salīdzināšanu starp vispārējās valdības sektora partneriem”</w:t>
            </w:r>
            <w:r w:rsidRPr="006B372A">
              <w:rPr>
                <w:sz w:val="20"/>
                <w:szCs w:val="20"/>
              </w:rPr>
              <w:t xml:space="preserve"> aprakstīts noteikumu projekta </w:t>
            </w:r>
            <w:r w:rsidR="005739A3" w:rsidRPr="00523BA6">
              <w:rPr>
                <w:b/>
                <w:sz w:val="20"/>
                <w:szCs w:val="20"/>
              </w:rPr>
              <w:t>147.1. un 148.</w:t>
            </w:r>
            <w:r w:rsidRPr="006B372A">
              <w:rPr>
                <w:sz w:val="20"/>
                <w:szCs w:val="20"/>
              </w:rPr>
              <w:t xml:space="preserve"> apakšpunkt</w:t>
            </w:r>
            <w:r w:rsidR="005739A3">
              <w:rPr>
                <w:sz w:val="20"/>
                <w:szCs w:val="20"/>
              </w:rPr>
              <w:t>ā</w:t>
            </w:r>
            <w:r w:rsidRPr="006B372A">
              <w:rPr>
                <w:sz w:val="20"/>
                <w:szCs w:val="20"/>
              </w:rPr>
              <w:t xml:space="preserve">, </w:t>
            </w:r>
          </w:p>
          <w:p w14:paraId="58C66E34" w14:textId="70F3BE2F" w:rsidR="006B372A" w:rsidRDefault="006B372A" w:rsidP="0094426B">
            <w:pPr>
              <w:pStyle w:val="ListParagraph"/>
              <w:numPr>
                <w:ilvl w:val="0"/>
                <w:numId w:val="2"/>
              </w:numPr>
              <w:tabs>
                <w:tab w:val="left" w:pos="571"/>
              </w:tabs>
              <w:ind w:left="0" w:firstLine="253"/>
              <w:jc w:val="both"/>
              <w:rPr>
                <w:sz w:val="20"/>
                <w:szCs w:val="20"/>
              </w:rPr>
            </w:pPr>
            <w:r w:rsidRPr="006B372A">
              <w:rPr>
                <w:sz w:val="20"/>
                <w:szCs w:val="20"/>
              </w:rPr>
              <w:t xml:space="preserve">MK Nr. 344 </w:t>
            </w:r>
            <w:r w:rsidR="00100301" w:rsidRPr="006B372A">
              <w:rPr>
                <w:sz w:val="20"/>
                <w:szCs w:val="20"/>
              </w:rPr>
              <w:t>9.pielikums</w:t>
            </w:r>
            <w:r w:rsidR="00E737F1">
              <w:rPr>
                <w:sz w:val="20"/>
                <w:szCs w:val="20"/>
              </w:rPr>
              <w:t xml:space="preserve"> “</w:t>
            </w:r>
            <w:r w:rsidR="00E737F1" w:rsidRPr="00E737F1">
              <w:rPr>
                <w:sz w:val="20"/>
                <w:szCs w:val="20"/>
              </w:rPr>
              <w:t>Akts par savstarpējo darījumu salīdzināšanu starp vispārējās valdības sektora partneriem</w:t>
            </w:r>
            <w:r w:rsidR="00E737F1">
              <w:rPr>
                <w:sz w:val="20"/>
                <w:szCs w:val="20"/>
              </w:rPr>
              <w:t>”</w:t>
            </w:r>
            <w:r w:rsidR="00F9358C">
              <w:rPr>
                <w:sz w:val="20"/>
                <w:szCs w:val="20"/>
              </w:rPr>
              <w:t xml:space="preserve"> </w:t>
            </w:r>
            <w:r w:rsidRPr="006B372A">
              <w:rPr>
                <w:sz w:val="20"/>
                <w:szCs w:val="20"/>
              </w:rPr>
              <w:t>aprakstīts noteikumu projekta</w:t>
            </w:r>
            <w:r w:rsidR="00F9358C">
              <w:rPr>
                <w:sz w:val="20"/>
                <w:szCs w:val="20"/>
              </w:rPr>
              <w:t xml:space="preserve"> </w:t>
            </w:r>
            <w:r w:rsidR="00100301" w:rsidRPr="00523BA6">
              <w:rPr>
                <w:b/>
                <w:sz w:val="20"/>
                <w:szCs w:val="20"/>
              </w:rPr>
              <w:t>14</w:t>
            </w:r>
            <w:r w:rsidR="005739A3" w:rsidRPr="00523BA6">
              <w:rPr>
                <w:b/>
                <w:sz w:val="20"/>
                <w:szCs w:val="20"/>
              </w:rPr>
              <w:t>7</w:t>
            </w:r>
            <w:r w:rsidR="00100301" w:rsidRPr="00523BA6">
              <w:rPr>
                <w:b/>
                <w:sz w:val="20"/>
                <w:szCs w:val="20"/>
              </w:rPr>
              <w:t>.2.</w:t>
            </w:r>
            <w:r w:rsidR="00100301" w:rsidRPr="006B372A">
              <w:rPr>
                <w:sz w:val="20"/>
                <w:szCs w:val="20"/>
              </w:rPr>
              <w:t xml:space="preserve"> apakšpunktā un </w:t>
            </w:r>
            <w:r w:rsidR="00662EC0" w:rsidRPr="00662EC0">
              <w:rPr>
                <w:b/>
                <w:sz w:val="20"/>
                <w:szCs w:val="20"/>
              </w:rPr>
              <w:t>149.</w:t>
            </w:r>
            <w:r w:rsidR="00662EC0">
              <w:rPr>
                <w:sz w:val="20"/>
                <w:szCs w:val="20"/>
              </w:rPr>
              <w:t xml:space="preserve">, </w:t>
            </w:r>
            <w:r w:rsidR="00100301" w:rsidRPr="006B372A">
              <w:rPr>
                <w:sz w:val="20"/>
                <w:szCs w:val="20"/>
              </w:rPr>
              <w:t>1</w:t>
            </w:r>
            <w:r w:rsidR="00700EB2">
              <w:rPr>
                <w:sz w:val="20"/>
                <w:szCs w:val="20"/>
              </w:rPr>
              <w:t>50</w:t>
            </w:r>
            <w:r w:rsidR="00100301" w:rsidRPr="006B372A">
              <w:rPr>
                <w:sz w:val="20"/>
                <w:szCs w:val="20"/>
              </w:rPr>
              <w:t xml:space="preserve">.punktā; </w:t>
            </w:r>
          </w:p>
          <w:p w14:paraId="4F7EB328" w14:textId="13EBFEDC" w:rsidR="006B372A" w:rsidRDefault="006B372A" w:rsidP="0094426B">
            <w:pPr>
              <w:pStyle w:val="ListParagraph"/>
              <w:numPr>
                <w:ilvl w:val="0"/>
                <w:numId w:val="2"/>
              </w:numPr>
              <w:tabs>
                <w:tab w:val="left" w:pos="571"/>
              </w:tabs>
              <w:ind w:left="0" w:firstLine="253"/>
              <w:jc w:val="both"/>
              <w:rPr>
                <w:sz w:val="20"/>
                <w:szCs w:val="20"/>
              </w:rPr>
            </w:pPr>
            <w:r w:rsidRPr="00E737F1">
              <w:rPr>
                <w:sz w:val="20"/>
                <w:szCs w:val="20"/>
              </w:rPr>
              <w:t xml:space="preserve">MK Nr. 344 </w:t>
            </w:r>
            <w:r w:rsidR="00100301" w:rsidRPr="00E737F1">
              <w:rPr>
                <w:sz w:val="20"/>
                <w:szCs w:val="20"/>
              </w:rPr>
              <w:t xml:space="preserve">10.pielikums </w:t>
            </w:r>
            <w:r w:rsidR="00E737F1" w:rsidRPr="00E737F1">
              <w:rPr>
                <w:sz w:val="20"/>
                <w:szCs w:val="20"/>
              </w:rPr>
              <w:t xml:space="preserve">“Akts par savstarpējo bezatlīdzības darījumu salīdzināšanu starp vispārējās valdības sektora partneriem” </w:t>
            </w:r>
            <w:r w:rsidRPr="00E737F1">
              <w:rPr>
                <w:sz w:val="20"/>
                <w:szCs w:val="20"/>
              </w:rPr>
              <w:t>aprakstīts noteikumu projekta</w:t>
            </w:r>
            <w:r w:rsidR="00F9358C">
              <w:rPr>
                <w:sz w:val="20"/>
                <w:szCs w:val="20"/>
              </w:rPr>
              <w:t xml:space="preserve"> </w:t>
            </w:r>
            <w:r w:rsidR="00300CB5" w:rsidRPr="00523BA6">
              <w:rPr>
                <w:b/>
                <w:sz w:val="20"/>
                <w:szCs w:val="20"/>
              </w:rPr>
              <w:t>14</w:t>
            </w:r>
            <w:r w:rsidR="005739A3" w:rsidRPr="00523BA6">
              <w:rPr>
                <w:b/>
                <w:sz w:val="20"/>
                <w:szCs w:val="20"/>
              </w:rPr>
              <w:t>7</w:t>
            </w:r>
            <w:r w:rsidR="00300CB5" w:rsidRPr="00523BA6">
              <w:rPr>
                <w:b/>
                <w:sz w:val="20"/>
                <w:szCs w:val="20"/>
              </w:rPr>
              <w:t>.3.</w:t>
            </w:r>
            <w:r w:rsidR="00300CB5">
              <w:rPr>
                <w:sz w:val="20"/>
                <w:szCs w:val="20"/>
              </w:rPr>
              <w:t xml:space="preserve"> apakšpunktā.</w:t>
            </w:r>
          </w:p>
          <w:p w14:paraId="1E865457" w14:textId="4ECD5AB2" w:rsidR="003D4B08" w:rsidRDefault="003D4B08" w:rsidP="003D4B08">
            <w:pPr>
              <w:pStyle w:val="ListParagraph"/>
              <w:tabs>
                <w:tab w:val="left" w:pos="571"/>
              </w:tabs>
              <w:ind w:left="47"/>
              <w:jc w:val="both"/>
              <w:rPr>
                <w:sz w:val="20"/>
                <w:szCs w:val="20"/>
              </w:rPr>
            </w:pPr>
            <w:r>
              <w:rPr>
                <w:sz w:val="20"/>
                <w:szCs w:val="20"/>
              </w:rPr>
              <w:t xml:space="preserve">Atklājamās informācijas </w:t>
            </w:r>
            <w:r w:rsidRPr="00FC5011">
              <w:rPr>
                <w:sz w:val="20"/>
                <w:szCs w:val="20"/>
              </w:rPr>
              <w:t>dizain</w:t>
            </w:r>
            <w:r>
              <w:rPr>
                <w:sz w:val="20"/>
                <w:szCs w:val="20"/>
              </w:rPr>
              <w:t>s un fo</w:t>
            </w:r>
            <w:bookmarkStart w:id="0" w:name="_GoBack"/>
            <w:bookmarkEnd w:id="0"/>
            <w:r>
              <w:rPr>
                <w:sz w:val="20"/>
                <w:szCs w:val="20"/>
              </w:rPr>
              <w:t>rma</w:t>
            </w:r>
            <w:r w:rsidRPr="00FC5011">
              <w:rPr>
                <w:sz w:val="20"/>
                <w:szCs w:val="20"/>
              </w:rPr>
              <w:t xml:space="preserve"> kā ilustratīv</w:t>
            </w:r>
            <w:r>
              <w:rPr>
                <w:sz w:val="20"/>
                <w:szCs w:val="20"/>
              </w:rPr>
              <w:t>s</w:t>
            </w:r>
            <w:r w:rsidRPr="00FC5011">
              <w:rPr>
                <w:sz w:val="20"/>
                <w:szCs w:val="20"/>
              </w:rPr>
              <w:t xml:space="preserve"> materiāl</w:t>
            </w:r>
            <w:r>
              <w:rPr>
                <w:sz w:val="20"/>
                <w:szCs w:val="20"/>
              </w:rPr>
              <w:t>s</w:t>
            </w:r>
            <w:r w:rsidRPr="00FC5011">
              <w:rPr>
                <w:sz w:val="20"/>
                <w:szCs w:val="20"/>
              </w:rPr>
              <w:t xml:space="preserve"> </w:t>
            </w:r>
            <w:r>
              <w:rPr>
                <w:sz w:val="20"/>
                <w:szCs w:val="20"/>
              </w:rPr>
              <w:t xml:space="preserve">ietverta Valsts kases sagatavotajā metodiskajā materiālā (Vadlīnijās), kas publicēts Valsts kases tīmekļvietnē. </w:t>
            </w:r>
            <w:r w:rsidRPr="00523BA6">
              <w:rPr>
                <w:b/>
                <w:sz w:val="20"/>
                <w:szCs w:val="20"/>
              </w:rPr>
              <w:t>Konsolidētā saimnieciskā gada pārskatu vizuālais attēlojums publicēts Valsts kases mājas lapas sadaļā: Metodika -&gt; Vadlīnijas.</w:t>
            </w:r>
          </w:p>
          <w:p w14:paraId="18F6D914" w14:textId="77777777" w:rsidR="003D4B08" w:rsidRDefault="003D4B08" w:rsidP="003D4B08">
            <w:pPr>
              <w:pStyle w:val="ListParagraph"/>
              <w:tabs>
                <w:tab w:val="left" w:pos="571"/>
              </w:tabs>
              <w:ind w:left="253"/>
              <w:jc w:val="both"/>
              <w:rPr>
                <w:sz w:val="20"/>
                <w:szCs w:val="20"/>
              </w:rPr>
            </w:pPr>
          </w:p>
          <w:p w14:paraId="65FC5093" w14:textId="1B3BC614" w:rsidR="003D4B08" w:rsidRPr="003D4B08" w:rsidRDefault="003D4B08" w:rsidP="003D4B08">
            <w:pPr>
              <w:tabs>
                <w:tab w:val="left" w:pos="571"/>
              </w:tabs>
              <w:jc w:val="both"/>
              <w:rPr>
                <w:sz w:val="20"/>
                <w:szCs w:val="20"/>
              </w:rPr>
            </w:pPr>
            <w:r>
              <w:rPr>
                <w:sz w:val="20"/>
                <w:szCs w:val="20"/>
              </w:rPr>
              <w:t xml:space="preserve">[4.] </w:t>
            </w:r>
            <w:r w:rsidRPr="003D4B08">
              <w:rPr>
                <w:sz w:val="20"/>
                <w:szCs w:val="20"/>
              </w:rPr>
              <w:t>Salīdzinot ar MK Nr. 344:</w:t>
            </w:r>
          </w:p>
          <w:p w14:paraId="1A470C2F" w14:textId="31B40232" w:rsidR="002832A8" w:rsidRPr="00E737F1" w:rsidRDefault="003D4B08" w:rsidP="003D4B08">
            <w:pPr>
              <w:pStyle w:val="ListParagraph"/>
              <w:tabs>
                <w:tab w:val="left" w:pos="313"/>
              </w:tabs>
              <w:ind w:left="47"/>
              <w:jc w:val="both"/>
              <w:rPr>
                <w:sz w:val="20"/>
                <w:szCs w:val="20"/>
              </w:rPr>
            </w:pPr>
            <w:r>
              <w:rPr>
                <w:sz w:val="20"/>
                <w:szCs w:val="20"/>
              </w:rPr>
              <w:lastRenderedPageBreak/>
              <w:t xml:space="preserve">[4.1.] </w:t>
            </w:r>
            <w:r w:rsidR="002832A8">
              <w:rPr>
                <w:sz w:val="20"/>
                <w:szCs w:val="20"/>
              </w:rPr>
              <w:t xml:space="preserve">izslēgts skaidrojums par </w:t>
            </w:r>
            <w:r w:rsidR="008A2EE9">
              <w:rPr>
                <w:sz w:val="20"/>
                <w:szCs w:val="20"/>
              </w:rPr>
              <w:t>visaptverošo</w:t>
            </w:r>
            <w:r w:rsidR="002832A8">
              <w:rPr>
                <w:sz w:val="20"/>
                <w:szCs w:val="20"/>
              </w:rPr>
              <w:t xml:space="preserve"> piezīmju klasifikāciju</w:t>
            </w:r>
            <w:r w:rsidR="008A2EE9">
              <w:rPr>
                <w:sz w:val="20"/>
                <w:szCs w:val="20"/>
              </w:rPr>
              <w:t xml:space="preserve"> (MK 344 161.punkts)</w:t>
            </w:r>
            <w:r w:rsidR="002832A8">
              <w:rPr>
                <w:sz w:val="20"/>
                <w:szCs w:val="20"/>
              </w:rPr>
              <w:t xml:space="preserve">. Turpmāk </w:t>
            </w:r>
            <w:r w:rsidR="008A2EE9">
              <w:rPr>
                <w:sz w:val="20"/>
                <w:szCs w:val="20"/>
              </w:rPr>
              <w:t>šo</w:t>
            </w:r>
            <w:r w:rsidR="002832A8">
              <w:rPr>
                <w:sz w:val="20"/>
                <w:szCs w:val="20"/>
              </w:rPr>
              <w:t xml:space="preserve"> klasifikācij</w:t>
            </w:r>
            <w:r w:rsidR="008A2EE9">
              <w:rPr>
                <w:sz w:val="20"/>
                <w:szCs w:val="20"/>
              </w:rPr>
              <w:t>u</w:t>
            </w:r>
            <w:r w:rsidR="002832A8">
              <w:rPr>
                <w:sz w:val="20"/>
                <w:szCs w:val="20"/>
              </w:rPr>
              <w:t xml:space="preserve"> uztur</w:t>
            </w:r>
            <w:r w:rsidR="008A2EE9">
              <w:rPr>
                <w:sz w:val="20"/>
                <w:szCs w:val="20"/>
              </w:rPr>
              <w:t>ēs un aktualizēs</w:t>
            </w:r>
            <w:r w:rsidR="002832A8">
              <w:rPr>
                <w:sz w:val="20"/>
                <w:szCs w:val="20"/>
              </w:rPr>
              <w:t xml:space="preserve"> metodiskajā materiālā par gada pārskata sagat</w:t>
            </w:r>
            <w:r w:rsidR="008A2EE9">
              <w:rPr>
                <w:sz w:val="20"/>
                <w:szCs w:val="20"/>
              </w:rPr>
              <w:t>a</w:t>
            </w:r>
            <w:r w:rsidR="002832A8">
              <w:rPr>
                <w:sz w:val="20"/>
                <w:szCs w:val="20"/>
              </w:rPr>
              <w:t>vošanu.</w:t>
            </w:r>
          </w:p>
          <w:p w14:paraId="707BC6DC" w14:textId="66629C14" w:rsidR="0094026A" w:rsidRDefault="009743FD" w:rsidP="009743FD">
            <w:pPr>
              <w:ind w:firstLine="113"/>
              <w:jc w:val="both"/>
              <w:rPr>
                <w:b/>
                <w:sz w:val="20"/>
                <w:szCs w:val="20"/>
              </w:rPr>
            </w:pPr>
            <w:r>
              <w:rPr>
                <w:sz w:val="20"/>
                <w:szCs w:val="20"/>
              </w:rPr>
              <w:t xml:space="preserve"> </w:t>
            </w:r>
          </w:p>
          <w:p w14:paraId="5788C8AD" w14:textId="78DA24A4" w:rsidR="00715C7A" w:rsidRDefault="003D4B08" w:rsidP="003D4B08">
            <w:pPr>
              <w:pStyle w:val="ListParagraph"/>
              <w:tabs>
                <w:tab w:val="left" w:pos="313"/>
              </w:tabs>
              <w:ind w:left="47"/>
              <w:jc w:val="both"/>
              <w:rPr>
                <w:sz w:val="20"/>
              </w:rPr>
            </w:pPr>
            <w:r>
              <w:rPr>
                <w:sz w:val="20"/>
              </w:rPr>
              <w:t xml:space="preserve">[4.2.] </w:t>
            </w:r>
            <w:r w:rsidR="000F4947" w:rsidRPr="003D118C">
              <w:rPr>
                <w:sz w:val="20"/>
              </w:rPr>
              <w:t>23.punkts apvienots ar 19.punktu, un</w:t>
            </w:r>
            <w:r w:rsidR="003D118C" w:rsidRPr="003D118C">
              <w:rPr>
                <w:sz w:val="20"/>
              </w:rPr>
              <w:t xml:space="preserve"> iekļauts</w:t>
            </w:r>
            <w:r w:rsidR="000F4947" w:rsidRPr="003D118C">
              <w:rPr>
                <w:sz w:val="20"/>
              </w:rPr>
              <w:t xml:space="preserve"> </w:t>
            </w:r>
            <w:r w:rsidR="003D118C" w:rsidRPr="003D118C">
              <w:rPr>
                <w:sz w:val="20"/>
              </w:rPr>
              <w:t>noteikumu projekta 22.punktā. Iestāde, kas veic konsolidāciju, gada pārskata sagatavošanas kārtībā nosaka kārtību, kādā Valsts drošības iestādes sagatavo gada pārskatu un kārtību, kādā šo pārskatu iekļauj nozares konsolidētajā gada pārskatā. Mainot kārtību, kādā ministrijas konsolidētajā finanšu pārskatā iekļauj Valsts drošības iestāžu gada pārskatus, kārtības maiņu saskaņo ar Valsts kasi. MK Nr. 344 bija noteikts, ka iestādes, kas veic konsolidāciju saskaņo izstrādāto kārtību ar Valsts kasi, turpmāk tas jādara pie šīs kārtības maiņas.</w:t>
            </w:r>
          </w:p>
          <w:p w14:paraId="63BC90B3" w14:textId="12B84F9E" w:rsidR="00DC5A62" w:rsidRDefault="00DC5A62" w:rsidP="003D4B08">
            <w:pPr>
              <w:pStyle w:val="ListParagraph"/>
              <w:tabs>
                <w:tab w:val="left" w:pos="313"/>
              </w:tabs>
              <w:ind w:left="47"/>
              <w:jc w:val="both"/>
              <w:rPr>
                <w:sz w:val="16"/>
                <w:szCs w:val="20"/>
              </w:rPr>
            </w:pPr>
          </w:p>
          <w:p w14:paraId="43D31200" w14:textId="3CFD9D8A" w:rsidR="00DC5A62" w:rsidRPr="00B82358" w:rsidRDefault="00DC5A62" w:rsidP="003D4B08">
            <w:pPr>
              <w:pStyle w:val="ListParagraph"/>
              <w:tabs>
                <w:tab w:val="left" w:pos="313"/>
              </w:tabs>
              <w:ind w:left="47"/>
              <w:jc w:val="both"/>
              <w:rPr>
                <w:b/>
                <w:sz w:val="20"/>
                <w:szCs w:val="20"/>
              </w:rPr>
            </w:pPr>
            <w:r w:rsidRPr="00B82358">
              <w:rPr>
                <w:b/>
                <w:sz w:val="20"/>
                <w:szCs w:val="20"/>
              </w:rPr>
              <w:t>[4.3.] 48.punktā labākai izpratnei papildināta norma par normatīvajiem aktiem, saskaņā ar kuriem sagatavo gada pārskatu;</w:t>
            </w:r>
          </w:p>
          <w:p w14:paraId="68919730" w14:textId="69E9743E" w:rsidR="00B82358" w:rsidRPr="00B82358" w:rsidRDefault="00B82358" w:rsidP="003D4B08">
            <w:pPr>
              <w:pStyle w:val="ListParagraph"/>
              <w:tabs>
                <w:tab w:val="left" w:pos="313"/>
              </w:tabs>
              <w:ind w:left="47"/>
              <w:jc w:val="both"/>
              <w:rPr>
                <w:b/>
                <w:sz w:val="20"/>
                <w:szCs w:val="20"/>
              </w:rPr>
            </w:pPr>
          </w:p>
          <w:p w14:paraId="3C1D5759" w14:textId="70E1BA37" w:rsidR="00B82358" w:rsidRPr="00B82358" w:rsidRDefault="00B82358" w:rsidP="003D4B08">
            <w:pPr>
              <w:pStyle w:val="ListParagraph"/>
              <w:tabs>
                <w:tab w:val="left" w:pos="313"/>
              </w:tabs>
              <w:ind w:left="47"/>
              <w:jc w:val="both"/>
              <w:rPr>
                <w:b/>
                <w:sz w:val="20"/>
                <w:szCs w:val="20"/>
              </w:rPr>
            </w:pPr>
            <w:r w:rsidRPr="00B82358">
              <w:rPr>
                <w:b/>
                <w:sz w:val="20"/>
                <w:szCs w:val="20"/>
              </w:rPr>
              <w:t>[4.4.] 109. un 110. punktu normas apvienotas 121. punktā, samazinot informācijas sadrumstalotību un detaļas pārceļot uz metodiskajiem norādījumiem;</w:t>
            </w:r>
          </w:p>
          <w:p w14:paraId="7E67673C" w14:textId="77777777" w:rsidR="003D118C" w:rsidRPr="003D118C" w:rsidRDefault="003D118C" w:rsidP="003D118C">
            <w:pPr>
              <w:pStyle w:val="ListParagraph"/>
              <w:jc w:val="both"/>
              <w:rPr>
                <w:sz w:val="20"/>
                <w:szCs w:val="20"/>
              </w:rPr>
            </w:pPr>
          </w:p>
          <w:p w14:paraId="21B57FCE" w14:textId="32484243" w:rsidR="00FD5829" w:rsidRPr="00B82358" w:rsidRDefault="004E00C0" w:rsidP="004E21A9">
            <w:pPr>
              <w:jc w:val="both"/>
              <w:rPr>
                <w:b/>
                <w:sz w:val="20"/>
                <w:szCs w:val="20"/>
              </w:rPr>
            </w:pPr>
            <w:r>
              <w:rPr>
                <w:sz w:val="20"/>
                <w:szCs w:val="20"/>
              </w:rPr>
              <w:t>[4</w:t>
            </w:r>
            <w:r w:rsidR="003D4B08">
              <w:rPr>
                <w:sz w:val="20"/>
                <w:szCs w:val="20"/>
              </w:rPr>
              <w:t>.</w:t>
            </w:r>
            <w:r w:rsidR="00B82358">
              <w:rPr>
                <w:sz w:val="20"/>
                <w:szCs w:val="20"/>
              </w:rPr>
              <w:t>5</w:t>
            </w:r>
            <w:r w:rsidR="003D4B08">
              <w:rPr>
                <w:sz w:val="20"/>
                <w:szCs w:val="20"/>
              </w:rPr>
              <w:t>.</w:t>
            </w:r>
            <w:r>
              <w:rPr>
                <w:sz w:val="20"/>
                <w:szCs w:val="20"/>
              </w:rPr>
              <w:t>]</w:t>
            </w:r>
            <w:r w:rsidR="003D4B08">
              <w:rPr>
                <w:sz w:val="20"/>
                <w:szCs w:val="20"/>
              </w:rPr>
              <w:t xml:space="preserve"> </w:t>
            </w:r>
            <w:r w:rsidR="00FD5829" w:rsidRPr="004E21A9">
              <w:rPr>
                <w:sz w:val="20"/>
                <w:szCs w:val="20"/>
                <w:shd w:val="clear" w:color="auto" w:fill="FFFFFF"/>
              </w:rPr>
              <w:t>i</w:t>
            </w:r>
            <w:r w:rsidR="00FD5829" w:rsidRPr="004E21A9">
              <w:rPr>
                <w:sz w:val="20"/>
                <w:szCs w:val="20"/>
              </w:rPr>
              <w:t>zslēgt</w:t>
            </w:r>
            <w:r w:rsidR="003D4B08">
              <w:rPr>
                <w:sz w:val="20"/>
                <w:szCs w:val="20"/>
              </w:rPr>
              <w:t>s</w:t>
            </w:r>
            <w:r w:rsidR="00FD5829" w:rsidRPr="004E21A9">
              <w:rPr>
                <w:sz w:val="20"/>
                <w:szCs w:val="20"/>
              </w:rPr>
              <w:t xml:space="preserve"> MK Nr. 344 11.pielikum</w:t>
            </w:r>
            <w:r w:rsidR="003D4B08">
              <w:rPr>
                <w:sz w:val="20"/>
                <w:szCs w:val="20"/>
              </w:rPr>
              <w:t>s</w:t>
            </w:r>
            <w:r w:rsidR="00FD5829" w:rsidRPr="004E21A9">
              <w:rPr>
                <w:sz w:val="20"/>
                <w:szCs w:val="20"/>
              </w:rPr>
              <w:t xml:space="preserve"> “Akts par savstarpējo darījumu un atlikumu salīdzināšanu ar vispārējās valdības sektora partneriem”</w:t>
            </w:r>
            <w:r w:rsidR="003D4B08">
              <w:rPr>
                <w:sz w:val="20"/>
                <w:szCs w:val="20"/>
              </w:rPr>
              <w:t>, lai mazinātu informācijas sadrumstalotību</w:t>
            </w:r>
            <w:r w:rsidR="00FD5829" w:rsidRPr="004E21A9">
              <w:rPr>
                <w:sz w:val="20"/>
                <w:szCs w:val="20"/>
              </w:rPr>
              <w:t>. Valsts</w:t>
            </w:r>
            <w:r w:rsidR="00C114ED" w:rsidRPr="004E21A9">
              <w:rPr>
                <w:sz w:val="20"/>
                <w:szCs w:val="20"/>
              </w:rPr>
              <w:t xml:space="preserve"> budžeta</w:t>
            </w:r>
            <w:r w:rsidR="00FD5829" w:rsidRPr="004E21A9">
              <w:rPr>
                <w:sz w:val="20"/>
                <w:szCs w:val="20"/>
              </w:rPr>
              <w:t xml:space="preserve"> finanšu </w:t>
            </w:r>
            <w:r w:rsidR="00C114ED" w:rsidRPr="004E21A9">
              <w:rPr>
                <w:sz w:val="20"/>
                <w:szCs w:val="20"/>
              </w:rPr>
              <w:t>uzskaites</w:t>
            </w:r>
            <w:r w:rsidR="00FD5829" w:rsidRPr="004E21A9">
              <w:rPr>
                <w:sz w:val="20"/>
                <w:szCs w:val="20"/>
              </w:rPr>
              <w:t xml:space="preserve"> darījumu un atlikumu salīdzināšanai turpmāk izmantos tādus pašus salīdzināšanās </w:t>
            </w:r>
            <w:r w:rsidR="00B82358">
              <w:rPr>
                <w:sz w:val="20"/>
                <w:szCs w:val="20"/>
              </w:rPr>
              <w:t xml:space="preserve">aktus kā citas budžeta iestādes </w:t>
            </w:r>
            <w:r w:rsidR="00B82358" w:rsidRPr="00B82358">
              <w:rPr>
                <w:b/>
                <w:sz w:val="20"/>
                <w:szCs w:val="20"/>
              </w:rPr>
              <w:t>un izslēgts 131.3. apakšpunkts, jo nav vairs aktuāls minētais izņēmums.</w:t>
            </w:r>
          </w:p>
          <w:p w14:paraId="3247F790" w14:textId="77777777" w:rsidR="00EF681B" w:rsidRDefault="00EF681B" w:rsidP="004E00C0">
            <w:pPr>
              <w:jc w:val="both"/>
              <w:rPr>
                <w:sz w:val="20"/>
                <w:szCs w:val="20"/>
                <w:shd w:val="clear" w:color="auto" w:fill="FFFFFF"/>
              </w:rPr>
            </w:pPr>
          </w:p>
          <w:p w14:paraId="53A430B9" w14:textId="01445AC0" w:rsidR="00A222D2" w:rsidRDefault="00EF681B" w:rsidP="004E00C0">
            <w:pPr>
              <w:jc w:val="both"/>
              <w:rPr>
                <w:sz w:val="20"/>
                <w:szCs w:val="20"/>
                <w:shd w:val="clear" w:color="auto" w:fill="FFFFFF"/>
              </w:rPr>
            </w:pPr>
            <w:r>
              <w:rPr>
                <w:sz w:val="20"/>
                <w:szCs w:val="20"/>
                <w:shd w:val="clear" w:color="auto" w:fill="FFFFFF"/>
              </w:rPr>
              <w:t>[</w:t>
            </w:r>
            <w:r w:rsidR="003D4B08">
              <w:rPr>
                <w:sz w:val="20"/>
                <w:szCs w:val="20"/>
                <w:shd w:val="clear" w:color="auto" w:fill="FFFFFF"/>
              </w:rPr>
              <w:t>4.</w:t>
            </w:r>
            <w:r w:rsidR="00AE6341">
              <w:rPr>
                <w:sz w:val="20"/>
                <w:szCs w:val="20"/>
                <w:shd w:val="clear" w:color="auto" w:fill="FFFFFF"/>
              </w:rPr>
              <w:t>6</w:t>
            </w:r>
            <w:r w:rsidR="003D4B08">
              <w:rPr>
                <w:sz w:val="20"/>
                <w:szCs w:val="20"/>
                <w:shd w:val="clear" w:color="auto" w:fill="FFFFFF"/>
              </w:rPr>
              <w:t>.</w:t>
            </w:r>
            <w:r>
              <w:rPr>
                <w:sz w:val="20"/>
                <w:szCs w:val="20"/>
                <w:shd w:val="clear" w:color="auto" w:fill="FFFFFF"/>
              </w:rPr>
              <w:t xml:space="preserve">] </w:t>
            </w:r>
            <w:r w:rsidR="00A222D2">
              <w:rPr>
                <w:sz w:val="20"/>
                <w:szCs w:val="20"/>
                <w:shd w:val="clear" w:color="auto" w:fill="FFFFFF"/>
              </w:rPr>
              <w:t xml:space="preserve">izslēgts </w:t>
            </w:r>
            <w:r w:rsidR="00A222D2" w:rsidRPr="004E21A9">
              <w:rPr>
                <w:sz w:val="20"/>
                <w:szCs w:val="20"/>
              </w:rPr>
              <w:t xml:space="preserve">MK Nr. 344 </w:t>
            </w:r>
            <w:r w:rsidR="00A222D2">
              <w:rPr>
                <w:sz w:val="20"/>
                <w:szCs w:val="20"/>
                <w:shd w:val="clear" w:color="auto" w:fill="FFFFFF"/>
              </w:rPr>
              <w:t xml:space="preserve">117.punkts, jo </w:t>
            </w:r>
            <w:r w:rsidR="00A222D2" w:rsidRPr="00A222D2">
              <w:rPr>
                <w:sz w:val="20"/>
                <w:szCs w:val="20"/>
                <w:shd w:val="clear" w:color="auto" w:fill="FFFFFF"/>
              </w:rPr>
              <w:t xml:space="preserve">Valsts kase turpinās izstrādāt metodiskos norādījumus par finanšu pārskata un tā posteņu strukturizētā skaidrojuma, budžeta izpildes pārskata un tā skaidrojuma sagatavošanu un publicēs to savā tīmekļvietnē. Metodiskajos norādījumos iekļauts pārskatu un strukturizētā skaidrojuma vizuālais attēlojums (veidlapas). Pēc Ministru kabineta noteikumu apstiprināšanas Valsts kase sadarbībā ar ieinteresētajām pusēm aktualizēs metodiskos norādījumus par gada pārskata sagatavošanu un nepieciešamības gadījumā veiks izmaiņas </w:t>
            </w:r>
            <w:proofErr w:type="spellStart"/>
            <w:r w:rsidR="00A222D2" w:rsidRPr="00A222D2">
              <w:rPr>
                <w:sz w:val="20"/>
                <w:szCs w:val="20"/>
                <w:shd w:val="clear" w:color="auto" w:fill="FFFFFF"/>
              </w:rPr>
              <w:t>ePārskatos</w:t>
            </w:r>
            <w:proofErr w:type="spellEnd"/>
            <w:r w:rsidR="00A222D2" w:rsidRPr="00A222D2">
              <w:rPr>
                <w:sz w:val="20"/>
                <w:szCs w:val="20"/>
                <w:shd w:val="clear" w:color="auto" w:fill="FFFFFF"/>
              </w:rPr>
              <w:t>.</w:t>
            </w:r>
          </w:p>
          <w:p w14:paraId="77FC39F0" w14:textId="77777777" w:rsidR="00A222D2" w:rsidRDefault="00A222D2" w:rsidP="004E00C0">
            <w:pPr>
              <w:jc w:val="both"/>
              <w:rPr>
                <w:sz w:val="20"/>
                <w:szCs w:val="20"/>
                <w:shd w:val="clear" w:color="auto" w:fill="FFFFFF"/>
              </w:rPr>
            </w:pPr>
          </w:p>
          <w:p w14:paraId="0DF111DA" w14:textId="0E9554F9" w:rsidR="00EF681B" w:rsidRDefault="00A222D2" w:rsidP="004E00C0">
            <w:pPr>
              <w:jc w:val="both"/>
              <w:rPr>
                <w:sz w:val="20"/>
                <w:szCs w:val="20"/>
                <w:shd w:val="clear" w:color="auto" w:fill="FFFFFF"/>
              </w:rPr>
            </w:pPr>
            <w:r>
              <w:rPr>
                <w:sz w:val="20"/>
                <w:szCs w:val="20"/>
                <w:shd w:val="clear" w:color="auto" w:fill="FFFFFF"/>
              </w:rPr>
              <w:t>[4.</w:t>
            </w:r>
            <w:r w:rsidR="00AE6341">
              <w:rPr>
                <w:sz w:val="20"/>
                <w:szCs w:val="20"/>
                <w:shd w:val="clear" w:color="auto" w:fill="FFFFFF"/>
              </w:rPr>
              <w:t>7</w:t>
            </w:r>
            <w:r>
              <w:rPr>
                <w:sz w:val="20"/>
                <w:szCs w:val="20"/>
                <w:shd w:val="clear" w:color="auto" w:fill="FFFFFF"/>
              </w:rPr>
              <w:t xml:space="preserve">.] </w:t>
            </w:r>
            <w:r w:rsidR="00891AC1">
              <w:rPr>
                <w:sz w:val="20"/>
                <w:szCs w:val="20"/>
                <w:shd w:val="clear" w:color="auto" w:fill="FFFFFF"/>
              </w:rPr>
              <w:t>G</w:t>
            </w:r>
            <w:r w:rsidR="00EF681B">
              <w:rPr>
                <w:sz w:val="20"/>
                <w:szCs w:val="20"/>
                <w:shd w:val="clear" w:color="auto" w:fill="FFFFFF"/>
              </w:rPr>
              <w:t>ada pārskat</w:t>
            </w:r>
            <w:r w:rsidR="00065069">
              <w:rPr>
                <w:sz w:val="20"/>
                <w:szCs w:val="20"/>
                <w:shd w:val="clear" w:color="auto" w:fill="FFFFFF"/>
              </w:rPr>
              <w:t>ā</w:t>
            </w:r>
            <w:r w:rsidR="00EF681B">
              <w:rPr>
                <w:sz w:val="20"/>
                <w:szCs w:val="20"/>
                <w:shd w:val="clear" w:color="auto" w:fill="FFFFFF"/>
              </w:rPr>
              <w:t xml:space="preserve"> uzrādīt</w:t>
            </w:r>
            <w:r w:rsidR="00065069">
              <w:rPr>
                <w:sz w:val="20"/>
                <w:szCs w:val="20"/>
                <w:shd w:val="clear" w:color="auto" w:fill="FFFFFF"/>
              </w:rPr>
              <w:t>ie</w:t>
            </w:r>
            <w:r w:rsidR="00EF681B">
              <w:rPr>
                <w:sz w:val="20"/>
                <w:szCs w:val="20"/>
                <w:shd w:val="clear" w:color="auto" w:fill="FFFFFF"/>
              </w:rPr>
              <w:t xml:space="preserve"> dati ir s</w:t>
            </w:r>
            <w:r w:rsidR="00EF681B" w:rsidRPr="00EF681B">
              <w:rPr>
                <w:sz w:val="20"/>
              </w:rPr>
              <w:t xml:space="preserve">avstarpēji salīdzināmi </w:t>
            </w:r>
            <w:r w:rsidR="00EF681B" w:rsidRPr="00EF681B">
              <w:rPr>
                <w:sz w:val="20"/>
                <w:shd w:val="clear" w:color="auto" w:fill="FFFFFF"/>
              </w:rPr>
              <w:t>ne tikai starp diviem</w:t>
            </w:r>
            <w:r w:rsidR="00EF681B">
              <w:rPr>
                <w:sz w:val="20"/>
                <w:szCs w:val="20"/>
                <w:shd w:val="clear" w:color="auto" w:fill="FFFFFF"/>
              </w:rPr>
              <w:t xml:space="preserve"> periodiem, bet arī starp institūcijām, kas sagatavo gada pārskatu. Veic</w:t>
            </w:r>
            <w:r w:rsidR="008B27D8">
              <w:rPr>
                <w:sz w:val="20"/>
                <w:szCs w:val="20"/>
                <w:shd w:val="clear" w:color="auto" w:fill="FFFFFF"/>
              </w:rPr>
              <w:t>in</w:t>
            </w:r>
            <w:r w:rsidR="00EF681B">
              <w:rPr>
                <w:sz w:val="20"/>
                <w:szCs w:val="20"/>
                <w:shd w:val="clear" w:color="auto" w:fill="FFFFFF"/>
              </w:rPr>
              <w:t xml:space="preserve">ot datu harmonizēšanu, noteikumu projektā paredzēts </w:t>
            </w:r>
            <w:r w:rsidR="00953551">
              <w:rPr>
                <w:sz w:val="20"/>
                <w:szCs w:val="20"/>
                <w:shd w:val="clear" w:color="auto" w:fill="FFFFFF"/>
              </w:rPr>
              <w:t>n</w:t>
            </w:r>
            <w:r w:rsidR="00953551" w:rsidRPr="00953551">
              <w:rPr>
                <w:sz w:val="20"/>
                <w:szCs w:val="20"/>
                <w:shd w:val="clear" w:color="auto" w:fill="FFFFFF"/>
              </w:rPr>
              <w:t>o valsts budžeta daļēji finansētas atvasinātas publiskas personas</w:t>
            </w:r>
            <w:r w:rsidR="00953551">
              <w:rPr>
                <w:sz w:val="20"/>
                <w:szCs w:val="20"/>
                <w:shd w:val="clear" w:color="auto" w:fill="FFFFFF"/>
              </w:rPr>
              <w:t>,</w:t>
            </w:r>
            <w:r w:rsidR="00953551" w:rsidRPr="00953551">
              <w:rPr>
                <w:sz w:val="20"/>
                <w:szCs w:val="20"/>
                <w:shd w:val="clear" w:color="auto" w:fill="FFFFFF"/>
              </w:rPr>
              <w:t xml:space="preserve"> budžeta nefinansētas iestādes</w:t>
            </w:r>
            <w:r w:rsidR="00953551" w:rsidRPr="00953551" w:rsidDel="00953551">
              <w:rPr>
                <w:sz w:val="20"/>
                <w:szCs w:val="20"/>
                <w:shd w:val="clear" w:color="auto" w:fill="FFFFFF"/>
              </w:rPr>
              <w:t xml:space="preserve"> </w:t>
            </w:r>
            <w:r w:rsidR="00250FB9">
              <w:rPr>
                <w:sz w:val="20"/>
                <w:szCs w:val="20"/>
                <w:shd w:val="clear" w:color="auto" w:fill="FFFFFF"/>
              </w:rPr>
              <w:t xml:space="preserve">un </w:t>
            </w:r>
            <w:r w:rsidR="00EF681B">
              <w:rPr>
                <w:sz w:val="20"/>
                <w:szCs w:val="20"/>
                <w:shd w:val="clear" w:color="auto" w:fill="FFFFFF"/>
              </w:rPr>
              <w:t>pašvaldību budžeta izpildes pārskatā informāciju par apstiprināto plānu un plānu ar izmaiņām sniegt vismaz ikgadējā valsts budžeta likumā</w:t>
            </w:r>
            <w:r w:rsidR="00970939">
              <w:rPr>
                <w:sz w:val="20"/>
                <w:szCs w:val="20"/>
                <w:shd w:val="clear" w:color="auto" w:fill="FFFFFF"/>
              </w:rPr>
              <w:t xml:space="preserve"> </w:t>
            </w:r>
            <w:r w:rsidR="00EF681B">
              <w:rPr>
                <w:sz w:val="20"/>
                <w:szCs w:val="20"/>
                <w:shd w:val="clear" w:color="auto" w:fill="FFFFFF"/>
              </w:rPr>
              <w:t xml:space="preserve">noteiktajā detalizācijā, piemēram, izdevumu pozīcijas jānorāda ekonomisko klasifikāciju grupu līmenī, bet </w:t>
            </w:r>
            <w:proofErr w:type="spellStart"/>
            <w:r w:rsidR="00EF681B">
              <w:rPr>
                <w:sz w:val="20"/>
                <w:szCs w:val="20"/>
                <w:shd w:val="clear" w:color="auto" w:fill="FFFFFF"/>
              </w:rPr>
              <w:t>transfertu</w:t>
            </w:r>
            <w:proofErr w:type="spellEnd"/>
            <w:r w:rsidR="00EF681B">
              <w:rPr>
                <w:sz w:val="20"/>
                <w:szCs w:val="20"/>
                <w:shd w:val="clear" w:color="auto" w:fill="FFFFFF"/>
              </w:rPr>
              <w:t xml:space="preserve"> grupa detalizācijā līdz ceturta</w:t>
            </w:r>
            <w:r w:rsidR="0028490B">
              <w:rPr>
                <w:sz w:val="20"/>
                <w:szCs w:val="20"/>
                <w:shd w:val="clear" w:color="auto" w:fill="FFFFFF"/>
              </w:rPr>
              <w:t>ja</w:t>
            </w:r>
            <w:r w:rsidR="00EF681B">
              <w:rPr>
                <w:sz w:val="20"/>
                <w:szCs w:val="20"/>
                <w:shd w:val="clear" w:color="auto" w:fill="FFFFFF"/>
              </w:rPr>
              <w:t>i zīmei</w:t>
            </w:r>
            <w:r w:rsidR="00970939">
              <w:rPr>
                <w:sz w:val="20"/>
                <w:szCs w:val="20"/>
                <w:shd w:val="clear" w:color="auto" w:fill="FFFFFF"/>
              </w:rPr>
              <w:t xml:space="preserve"> (piemērs minēts atbilstoši Likums par valsts budžetu 2021.gadam 4.pielikuma kopsavilkuma detalizācijai)</w:t>
            </w:r>
            <w:r w:rsidR="00EF681B">
              <w:rPr>
                <w:sz w:val="20"/>
                <w:szCs w:val="20"/>
                <w:shd w:val="clear" w:color="auto" w:fill="FFFFFF"/>
              </w:rPr>
              <w:t>.</w:t>
            </w:r>
            <w:r w:rsidR="0028490B">
              <w:rPr>
                <w:sz w:val="20"/>
                <w:szCs w:val="20"/>
                <w:shd w:val="clear" w:color="auto" w:fill="FFFFFF"/>
              </w:rPr>
              <w:t xml:space="preserve"> Tas veicinās iespēju veikt </w:t>
            </w:r>
            <w:r w:rsidR="0089685D">
              <w:rPr>
                <w:sz w:val="20"/>
                <w:szCs w:val="20"/>
                <w:shd w:val="clear" w:color="auto" w:fill="FFFFFF"/>
              </w:rPr>
              <w:t>n</w:t>
            </w:r>
            <w:r w:rsidR="0089685D" w:rsidRPr="00953551">
              <w:rPr>
                <w:sz w:val="20"/>
                <w:szCs w:val="20"/>
                <w:shd w:val="clear" w:color="auto" w:fill="FFFFFF"/>
              </w:rPr>
              <w:t>o valsts budžeta daļēji finansētas atvasinātas publiskas personas</w:t>
            </w:r>
            <w:r w:rsidR="0089685D">
              <w:rPr>
                <w:sz w:val="20"/>
                <w:szCs w:val="20"/>
                <w:shd w:val="clear" w:color="auto" w:fill="FFFFFF"/>
              </w:rPr>
              <w:t>,</w:t>
            </w:r>
            <w:r w:rsidR="0089685D" w:rsidRPr="00953551">
              <w:rPr>
                <w:sz w:val="20"/>
                <w:szCs w:val="20"/>
                <w:shd w:val="clear" w:color="auto" w:fill="FFFFFF"/>
              </w:rPr>
              <w:t xml:space="preserve"> budžeta nefinansētas iestādes</w:t>
            </w:r>
            <w:r w:rsidR="0089685D" w:rsidRPr="00953551" w:rsidDel="00953551">
              <w:rPr>
                <w:sz w:val="20"/>
                <w:szCs w:val="20"/>
                <w:shd w:val="clear" w:color="auto" w:fill="FFFFFF"/>
              </w:rPr>
              <w:t xml:space="preserve"> </w:t>
            </w:r>
            <w:r w:rsidR="0089685D">
              <w:rPr>
                <w:sz w:val="20"/>
                <w:szCs w:val="20"/>
                <w:shd w:val="clear" w:color="auto" w:fill="FFFFFF"/>
              </w:rPr>
              <w:t xml:space="preserve">un </w:t>
            </w:r>
            <w:r w:rsidR="0028490B">
              <w:rPr>
                <w:sz w:val="20"/>
                <w:szCs w:val="20"/>
                <w:shd w:val="clear" w:color="auto" w:fill="FFFFFF"/>
              </w:rPr>
              <w:t>pašvaldību plāna salīdzināšanu ne tikai starp vairākām pašvaldībām, bet arī ar valsts budžeta pozīcijām, sniedzot skaidru un patiesu priekšstatu par katrā sektorā</w:t>
            </w:r>
            <w:r w:rsidR="00300CB5">
              <w:rPr>
                <w:sz w:val="20"/>
                <w:szCs w:val="20"/>
                <w:shd w:val="clear" w:color="auto" w:fill="FFFFFF"/>
              </w:rPr>
              <w:t xml:space="preserve"> un kopbudžetā </w:t>
            </w:r>
            <w:r w:rsidR="00662EC0">
              <w:rPr>
                <w:sz w:val="20"/>
                <w:szCs w:val="20"/>
                <w:shd w:val="clear" w:color="auto" w:fill="FFFFFF"/>
              </w:rPr>
              <w:t>apstiprinātajiem budžetiem.</w:t>
            </w:r>
          </w:p>
          <w:p w14:paraId="6E024C7E" w14:textId="507507AA" w:rsidR="00662EC0" w:rsidRDefault="00662EC0" w:rsidP="004E00C0">
            <w:pPr>
              <w:jc w:val="both"/>
              <w:rPr>
                <w:sz w:val="20"/>
                <w:szCs w:val="20"/>
                <w:shd w:val="clear" w:color="auto" w:fill="FFFFFF"/>
              </w:rPr>
            </w:pPr>
          </w:p>
          <w:p w14:paraId="34B3E9B0" w14:textId="37F78A38" w:rsidR="00662EC0" w:rsidRDefault="00662EC0" w:rsidP="004E00C0">
            <w:pPr>
              <w:jc w:val="both"/>
              <w:rPr>
                <w:sz w:val="20"/>
                <w:szCs w:val="20"/>
                <w:shd w:val="clear" w:color="auto" w:fill="FFFFFF"/>
              </w:rPr>
            </w:pPr>
            <w:r>
              <w:rPr>
                <w:sz w:val="20"/>
                <w:szCs w:val="20"/>
                <w:shd w:val="clear" w:color="auto" w:fill="FFFFFF"/>
              </w:rPr>
              <w:t>[4.</w:t>
            </w:r>
            <w:r w:rsidR="00AE6341">
              <w:rPr>
                <w:sz w:val="20"/>
                <w:szCs w:val="20"/>
                <w:shd w:val="clear" w:color="auto" w:fill="FFFFFF"/>
              </w:rPr>
              <w:t>8</w:t>
            </w:r>
            <w:r>
              <w:rPr>
                <w:sz w:val="20"/>
                <w:szCs w:val="20"/>
                <w:shd w:val="clear" w:color="auto" w:fill="FFFFFF"/>
              </w:rPr>
              <w:t xml:space="preserve">.] </w:t>
            </w:r>
            <w:r w:rsidRPr="00662EC0">
              <w:rPr>
                <w:b/>
                <w:sz w:val="20"/>
                <w:szCs w:val="20"/>
                <w:shd w:val="clear" w:color="auto" w:fill="FFFFFF"/>
              </w:rPr>
              <w:t>precizētas MK Nr. 344 134.punkts</w:t>
            </w:r>
            <w:r>
              <w:rPr>
                <w:sz w:val="20"/>
                <w:szCs w:val="20"/>
                <w:shd w:val="clear" w:color="auto" w:fill="FFFFFF"/>
              </w:rPr>
              <w:t xml:space="preserve"> atbilstoši </w:t>
            </w:r>
            <w:r w:rsidRPr="001971FC">
              <w:rPr>
                <w:sz w:val="20"/>
                <w:szCs w:val="20"/>
                <w:shd w:val="clear" w:color="auto" w:fill="FFFFFF"/>
              </w:rPr>
              <w:t>Ministru kabineta 13.02.2018. noteikumos Nr. 87 “Grāmatvedības uzskaites kārtība budžeta iestādēs” 2.17.2. apakšnodaļā noteikt</w:t>
            </w:r>
            <w:r>
              <w:rPr>
                <w:sz w:val="20"/>
                <w:szCs w:val="20"/>
                <w:shd w:val="clear" w:color="auto" w:fill="FFFFFF"/>
              </w:rPr>
              <w:t>ajiem</w:t>
            </w:r>
            <w:r w:rsidRPr="001971FC">
              <w:rPr>
                <w:sz w:val="20"/>
                <w:szCs w:val="20"/>
                <w:shd w:val="clear" w:color="auto" w:fill="FFFFFF"/>
              </w:rPr>
              <w:t xml:space="preserve"> </w:t>
            </w:r>
            <w:proofErr w:type="spellStart"/>
            <w:r w:rsidRPr="001971FC">
              <w:rPr>
                <w:sz w:val="20"/>
                <w:szCs w:val="20"/>
                <w:shd w:val="clear" w:color="auto" w:fill="FFFFFF"/>
              </w:rPr>
              <w:t>transfertu</w:t>
            </w:r>
            <w:proofErr w:type="spellEnd"/>
            <w:r w:rsidRPr="001971FC">
              <w:rPr>
                <w:sz w:val="20"/>
                <w:szCs w:val="20"/>
                <w:shd w:val="clear" w:color="auto" w:fill="FFFFFF"/>
              </w:rPr>
              <w:t xml:space="preserve"> uzskaites pamatprincipi</w:t>
            </w:r>
            <w:r>
              <w:rPr>
                <w:sz w:val="20"/>
                <w:szCs w:val="20"/>
                <w:shd w:val="clear" w:color="auto" w:fill="FFFFFF"/>
              </w:rPr>
              <w:t>em</w:t>
            </w:r>
            <w:r w:rsidRPr="001971FC">
              <w:rPr>
                <w:sz w:val="20"/>
                <w:szCs w:val="20"/>
                <w:shd w:val="clear" w:color="auto" w:fill="FFFFFF"/>
              </w:rPr>
              <w:t xml:space="preserve">, kas nosaka, ka pārskata gada ieņēmumus un izdevumus atzīst, ja to izlietojums apstiprināts pārskata gadā un nākamajā pārskata gadā līdz 31.janvārim. Ja izdevumus apstiprina periodā no 21. janvāra līdz 31.janvārim, veidojas situācija, ka iestāde nepaspēj iekļaut informāciju inventarizācijas (salīdzināšanās) aktā un darījuma partneris nevar paspēt to saskaņot. Līdz ar to noteikumu projektā noteikts, ka salīdzināšanās aktā neiekļauj tādu informāciju, kura attiecas uz pamatdarbības izdevumiem un ieņēmumiem, par ko sniegts atzinums no 21.janvāra līdz 31.janvārim. Minētajā gadījumā, sagatavojot gada </w:t>
            </w:r>
            <w:r w:rsidRPr="00D04A2A">
              <w:rPr>
                <w:sz w:val="20"/>
                <w:szCs w:val="20"/>
                <w:shd w:val="clear" w:color="auto" w:fill="FFFFFF"/>
              </w:rPr>
              <w:t>pārskatu, pie tā sniedz papildus informāciju par pēdējās desmit janvāra dienās saskaņotajiem izdevumiem un atbilstoši atzītajiem ieņēmumiem un izdevumiem (prasību un saistību palielinājumu/</w:t>
            </w:r>
            <w:r>
              <w:rPr>
                <w:sz w:val="20"/>
                <w:szCs w:val="20"/>
                <w:shd w:val="clear" w:color="auto" w:fill="FFFFFF"/>
              </w:rPr>
              <w:t>samazinājumu).</w:t>
            </w:r>
          </w:p>
          <w:p w14:paraId="4B26BFAC" w14:textId="73544C2A" w:rsidR="00662EC0" w:rsidRDefault="00662EC0" w:rsidP="004E00C0">
            <w:pPr>
              <w:jc w:val="both"/>
              <w:rPr>
                <w:sz w:val="20"/>
                <w:szCs w:val="20"/>
                <w:shd w:val="clear" w:color="auto" w:fill="FFFFFF"/>
              </w:rPr>
            </w:pPr>
          </w:p>
          <w:p w14:paraId="03FAE4FE" w14:textId="79468EE2" w:rsidR="00662EC0" w:rsidRDefault="00662EC0" w:rsidP="004E00C0">
            <w:pPr>
              <w:jc w:val="both"/>
              <w:rPr>
                <w:sz w:val="20"/>
                <w:szCs w:val="20"/>
                <w:shd w:val="clear" w:color="auto" w:fill="FFFFFF"/>
              </w:rPr>
            </w:pPr>
            <w:r>
              <w:rPr>
                <w:sz w:val="20"/>
                <w:szCs w:val="20"/>
                <w:shd w:val="clear" w:color="auto" w:fill="FFFFFF"/>
              </w:rPr>
              <w:t>[4.</w:t>
            </w:r>
            <w:r w:rsidR="00AE6341">
              <w:rPr>
                <w:sz w:val="20"/>
                <w:szCs w:val="20"/>
                <w:shd w:val="clear" w:color="auto" w:fill="FFFFFF"/>
              </w:rPr>
              <w:t>9</w:t>
            </w:r>
            <w:r>
              <w:rPr>
                <w:sz w:val="20"/>
                <w:szCs w:val="20"/>
                <w:shd w:val="clear" w:color="auto" w:fill="FFFFFF"/>
              </w:rPr>
              <w:t xml:space="preserve">.] </w:t>
            </w:r>
            <w:r w:rsidRPr="00662EC0">
              <w:rPr>
                <w:b/>
                <w:sz w:val="20"/>
                <w:szCs w:val="20"/>
                <w:shd w:val="clear" w:color="auto" w:fill="FFFFFF"/>
              </w:rPr>
              <w:t>MK Nr. 344 137.punkta norma attiecināta arī uz gadījumiem</w:t>
            </w:r>
            <w:r>
              <w:rPr>
                <w:sz w:val="20"/>
                <w:szCs w:val="20"/>
                <w:shd w:val="clear" w:color="auto" w:fill="FFFFFF"/>
              </w:rPr>
              <w:t xml:space="preserve">, </w:t>
            </w:r>
            <w:r w:rsidRPr="00D04A2A">
              <w:rPr>
                <w:sz w:val="20"/>
                <w:szCs w:val="20"/>
                <w:shd w:val="clear" w:color="auto" w:fill="FFFFFF"/>
              </w:rPr>
              <w:t>ja kontu atlikumu vai pārskata perioda darījumu salīdzināšanās laikā netiek saņemta darījuma partnera</w:t>
            </w:r>
            <w:r w:rsidRPr="001971FC">
              <w:rPr>
                <w:sz w:val="20"/>
                <w:szCs w:val="20"/>
                <w:shd w:val="clear" w:color="auto" w:fill="FFFFFF"/>
              </w:rPr>
              <w:t xml:space="preserve"> atbilde, gada pārskatā informāciju norāda atbilstoši iestādes grāmatvedības datiem. Līdz šim šāda tiesību norma bija attiecināta uz strīdus gadījumiem. </w:t>
            </w:r>
          </w:p>
          <w:p w14:paraId="3AD1F96F" w14:textId="77777777" w:rsidR="00662EC0" w:rsidRDefault="00662EC0" w:rsidP="004E00C0">
            <w:pPr>
              <w:jc w:val="both"/>
              <w:rPr>
                <w:sz w:val="20"/>
                <w:szCs w:val="20"/>
                <w:shd w:val="clear" w:color="auto" w:fill="FFFFFF"/>
              </w:rPr>
            </w:pPr>
          </w:p>
          <w:p w14:paraId="0F95D8E6" w14:textId="1215EF80" w:rsidR="00662EC0" w:rsidRDefault="00662EC0" w:rsidP="00662EC0">
            <w:pPr>
              <w:jc w:val="both"/>
              <w:rPr>
                <w:sz w:val="20"/>
                <w:szCs w:val="20"/>
                <w:shd w:val="clear" w:color="auto" w:fill="FFFFFF"/>
              </w:rPr>
            </w:pPr>
            <w:r w:rsidRPr="00185B25">
              <w:rPr>
                <w:sz w:val="20"/>
                <w:szCs w:val="20"/>
                <w:shd w:val="clear" w:color="auto" w:fill="FFFFFF"/>
              </w:rPr>
              <w:t>[</w:t>
            </w:r>
            <w:r>
              <w:rPr>
                <w:sz w:val="20"/>
                <w:szCs w:val="20"/>
                <w:shd w:val="clear" w:color="auto" w:fill="FFFFFF"/>
              </w:rPr>
              <w:t>4</w:t>
            </w:r>
            <w:r w:rsidRPr="00185B25">
              <w:rPr>
                <w:sz w:val="20"/>
                <w:szCs w:val="20"/>
                <w:shd w:val="clear" w:color="auto" w:fill="FFFFFF"/>
              </w:rPr>
              <w:t>.</w:t>
            </w:r>
            <w:r w:rsidR="00AE6341">
              <w:rPr>
                <w:sz w:val="20"/>
                <w:szCs w:val="20"/>
                <w:shd w:val="clear" w:color="auto" w:fill="FFFFFF"/>
              </w:rPr>
              <w:t>10</w:t>
            </w:r>
            <w:r w:rsidRPr="00185B25">
              <w:rPr>
                <w:sz w:val="20"/>
                <w:szCs w:val="20"/>
                <w:shd w:val="clear" w:color="auto" w:fill="FFFFFF"/>
              </w:rPr>
              <w:t xml:space="preserve">.] </w:t>
            </w:r>
            <w:r w:rsidRPr="00AB258A">
              <w:rPr>
                <w:b/>
                <w:sz w:val="20"/>
                <w:szCs w:val="20"/>
                <w:shd w:val="clear" w:color="auto" w:fill="FFFFFF"/>
              </w:rPr>
              <w:t>aizstā</w:t>
            </w:r>
            <w:r>
              <w:rPr>
                <w:b/>
                <w:sz w:val="20"/>
                <w:szCs w:val="20"/>
                <w:shd w:val="clear" w:color="auto" w:fill="FFFFFF"/>
              </w:rPr>
              <w:t>ts</w:t>
            </w:r>
            <w:r w:rsidRPr="00AB258A">
              <w:rPr>
                <w:b/>
                <w:sz w:val="20"/>
                <w:szCs w:val="20"/>
                <w:shd w:val="clear" w:color="auto" w:fill="FFFFFF"/>
              </w:rPr>
              <w:t xml:space="preserve"> MK Nr. 34</w:t>
            </w:r>
            <w:r w:rsidR="00B126C5">
              <w:rPr>
                <w:b/>
                <w:sz w:val="20"/>
                <w:szCs w:val="20"/>
                <w:shd w:val="clear" w:color="auto" w:fill="FFFFFF"/>
              </w:rPr>
              <w:t>4</w:t>
            </w:r>
            <w:r w:rsidRPr="00AB258A">
              <w:rPr>
                <w:b/>
                <w:sz w:val="20"/>
                <w:szCs w:val="20"/>
                <w:shd w:val="clear" w:color="auto" w:fill="FFFFFF"/>
              </w:rPr>
              <w:t> 142.punktā noteikt</w:t>
            </w:r>
            <w:r w:rsidR="00B126C5">
              <w:rPr>
                <w:b/>
                <w:sz w:val="20"/>
                <w:szCs w:val="20"/>
                <w:shd w:val="clear" w:color="auto" w:fill="FFFFFF"/>
              </w:rPr>
              <w:t>ais</w:t>
            </w:r>
            <w:r w:rsidRPr="00AB258A">
              <w:rPr>
                <w:b/>
                <w:sz w:val="20"/>
                <w:szCs w:val="20"/>
                <w:shd w:val="clear" w:color="auto" w:fill="FFFFFF"/>
              </w:rPr>
              <w:t xml:space="preserve"> termiņ</w:t>
            </w:r>
            <w:r>
              <w:rPr>
                <w:b/>
                <w:sz w:val="20"/>
                <w:szCs w:val="20"/>
                <w:shd w:val="clear" w:color="auto" w:fill="FFFFFF"/>
              </w:rPr>
              <w:t>š</w:t>
            </w:r>
            <w:r w:rsidR="00B126C5">
              <w:rPr>
                <w:b/>
                <w:sz w:val="20"/>
                <w:szCs w:val="20"/>
                <w:shd w:val="clear" w:color="auto" w:fill="FFFFFF"/>
              </w:rPr>
              <w:t xml:space="preserve"> ar to, ka</w:t>
            </w:r>
            <w:r>
              <w:rPr>
                <w:b/>
                <w:sz w:val="20"/>
                <w:szCs w:val="20"/>
                <w:shd w:val="clear" w:color="auto" w:fill="FFFFFF"/>
              </w:rPr>
              <w:t xml:space="preserve"> </w:t>
            </w:r>
            <w:r w:rsidRPr="00185B25">
              <w:rPr>
                <w:sz w:val="20"/>
                <w:szCs w:val="20"/>
                <w:shd w:val="clear" w:color="auto" w:fill="FFFFFF"/>
              </w:rPr>
              <w:t xml:space="preserve"> saskaņotu salīdzināšanās aktu var labot līdz datumam, kad pārskats apstiprināts publiskošanai, ja abas pu</w:t>
            </w:r>
            <w:r>
              <w:rPr>
                <w:sz w:val="20"/>
                <w:szCs w:val="20"/>
                <w:shd w:val="clear" w:color="auto" w:fill="FFFFFF"/>
              </w:rPr>
              <w:t>ses par to savstarpēji vienojas</w:t>
            </w:r>
            <w:r w:rsidRPr="00AB258A">
              <w:rPr>
                <w:b/>
                <w:sz w:val="20"/>
                <w:szCs w:val="20"/>
                <w:shd w:val="clear" w:color="auto" w:fill="FFFFFF"/>
              </w:rPr>
              <w:t>.</w:t>
            </w:r>
          </w:p>
          <w:p w14:paraId="3A58A9FD" w14:textId="77777777" w:rsidR="00662EC0" w:rsidRDefault="00662EC0" w:rsidP="004E00C0">
            <w:pPr>
              <w:jc w:val="both"/>
              <w:rPr>
                <w:sz w:val="20"/>
                <w:szCs w:val="20"/>
                <w:shd w:val="clear" w:color="auto" w:fill="FFFFFF"/>
              </w:rPr>
            </w:pPr>
          </w:p>
          <w:p w14:paraId="4A0337A0" w14:textId="68D9F71A" w:rsidR="00BA3299" w:rsidRPr="00A62B32" w:rsidRDefault="00BA3299" w:rsidP="00BA3299">
            <w:pPr>
              <w:widowControl w:val="0"/>
              <w:tabs>
                <w:tab w:val="left" w:pos="1134"/>
              </w:tabs>
              <w:contextualSpacing/>
              <w:jc w:val="both"/>
              <w:rPr>
                <w:sz w:val="20"/>
                <w:szCs w:val="20"/>
              </w:rPr>
            </w:pPr>
            <w:r>
              <w:rPr>
                <w:sz w:val="20"/>
                <w:szCs w:val="20"/>
                <w:shd w:val="clear" w:color="auto" w:fill="FFFFFF"/>
              </w:rPr>
              <w:t>[4.</w:t>
            </w:r>
            <w:r w:rsidR="00AE6341">
              <w:rPr>
                <w:sz w:val="20"/>
                <w:szCs w:val="20"/>
                <w:shd w:val="clear" w:color="auto" w:fill="FFFFFF"/>
              </w:rPr>
              <w:t>11</w:t>
            </w:r>
            <w:r>
              <w:rPr>
                <w:sz w:val="20"/>
                <w:szCs w:val="20"/>
                <w:shd w:val="clear" w:color="auto" w:fill="FFFFFF"/>
              </w:rPr>
              <w:t xml:space="preserve">.] </w:t>
            </w:r>
            <w:r w:rsidRPr="00BA3299">
              <w:rPr>
                <w:b/>
                <w:sz w:val="20"/>
                <w:szCs w:val="20"/>
                <w:shd w:val="clear" w:color="auto" w:fill="FFFFFF"/>
              </w:rPr>
              <w:t xml:space="preserve">precizētas normas par </w:t>
            </w:r>
            <w:proofErr w:type="spellStart"/>
            <w:r w:rsidRPr="00BA3299">
              <w:rPr>
                <w:b/>
                <w:sz w:val="20"/>
                <w:szCs w:val="20"/>
                <w:shd w:val="clear" w:color="auto" w:fill="FFFFFF"/>
              </w:rPr>
              <w:t>ePārskatu</w:t>
            </w:r>
            <w:proofErr w:type="spellEnd"/>
            <w:r w:rsidRPr="00BA3299">
              <w:rPr>
                <w:b/>
                <w:sz w:val="20"/>
                <w:szCs w:val="20"/>
                <w:shd w:val="clear" w:color="auto" w:fill="FFFFFF"/>
              </w:rPr>
              <w:t xml:space="preserve"> izmantošanu</w:t>
            </w:r>
            <w:r>
              <w:rPr>
                <w:sz w:val="20"/>
                <w:szCs w:val="20"/>
                <w:shd w:val="clear" w:color="auto" w:fill="FFFFFF"/>
              </w:rPr>
              <w:t xml:space="preserve"> - </w:t>
            </w:r>
            <w:r>
              <w:rPr>
                <w:sz w:val="20"/>
                <w:szCs w:val="20"/>
              </w:rPr>
              <w:t xml:space="preserve">Noteikumu projektā noteikts, ka gada pārskata sagatavošanai </w:t>
            </w:r>
            <w:r w:rsidRPr="00A62B32">
              <w:rPr>
                <w:b/>
                <w:sz w:val="20"/>
                <w:szCs w:val="20"/>
              </w:rPr>
              <w:t>pašvaldības</w:t>
            </w:r>
            <w:r>
              <w:rPr>
                <w:sz w:val="20"/>
                <w:szCs w:val="20"/>
              </w:rPr>
              <w:t xml:space="preserve">, valsts budžeta iestādes, nozares un to padotības iestādes, t.sk. konsolidācijā iesaistītās iestādes un centrālās valsts iestādes izmanto </w:t>
            </w:r>
            <w:proofErr w:type="spellStart"/>
            <w:r>
              <w:rPr>
                <w:sz w:val="20"/>
                <w:szCs w:val="20"/>
              </w:rPr>
              <w:t>ePārskatus</w:t>
            </w:r>
            <w:proofErr w:type="spellEnd"/>
            <w:r>
              <w:rPr>
                <w:sz w:val="20"/>
                <w:szCs w:val="20"/>
              </w:rPr>
              <w:t xml:space="preserve">. Pašvaldības padotības iestāžu gada pārskata sagatavošanai </w:t>
            </w:r>
            <w:r w:rsidRPr="00BA3299">
              <w:rPr>
                <w:b/>
                <w:sz w:val="20"/>
                <w:szCs w:val="20"/>
              </w:rPr>
              <w:t>var</w:t>
            </w:r>
            <w:r>
              <w:rPr>
                <w:sz w:val="20"/>
                <w:szCs w:val="20"/>
              </w:rPr>
              <w:t xml:space="preserve"> izmantot </w:t>
            </w:r>
            <w:proofErr w:type="spellStart"/>
            <w:r>
              <w:rPr>
                <w:sz w:val="20"/>
                <w:szCs w:val="20"/>
              </w:rPr>
              <w:t>ePārskatus</w:t>
            </w:r>
            <w:proofErr w:type="spellEnd"/>
            <w:r>
              <w:rPr>
                <w:sz w:val="20"/>
                <w:szCs w:val="20"/>
              </w:rPr>
              <w:t xml:space="preserve">. Ja pašvaldība neizvēlas padotības iestāžu gada pārskatus </w:t>
            </w:r>
            <w:r w:rsidRPr="00A62B32">
              <w:rPr>
                <w:sz w:val="20"/>
                <w:szCs w:val="20"/>
              </w:rPr>
              <w:t xml:space="preserve">sagatavot izmantojot </w:t>
            </w:r>
            <w:proofErr w:type="spellStart"/>
            <w:r w:rsidRPr="00A62B32">
              <w:rPr>
                <w:sz w:val="20"/>
                <w:szCs w:val="20"/>
              </w:rPr>
              <w:t>ePārskatus</w:t>
            </w:r>
            <w:proofErr w:type="spellEnd"/>
            <w:r w:rsidRPr="00A62B32">
              <w:rPr>
                <w:sz w:val="20"/>
                <w:szCs w:val="20"/>
              </w:rPr>
              <w:t xml:space="preserve">, tas neatbrīvo no pašvaldības budžeta iestādes, </w:t>
            </w:r>
            <w:r w:rsidRPr="00A62B32">
              <w:rPr>
                <w:b/>
                <w:sz w:val="20"/>
                <w:szCs w:val="20"/>
              </w:rPr>
              <w:t>kopīgās iestādes vai pašvaldības aģentūras</w:t>
            </w:r>
            <w:r w:rsidRPr="00A62B32">
              <w:rPr>
                <w:sz w:val="20"/>
                <w:szCs w:val="20"/>
              </w:rPr>
              <w:t xml:space="preserve"> gada pārskata sagatavošanas vispār</w:t>
            </w:r>
            <w:r>
              <w:rPr>
                <w:sz w:val="20"/>
                <w:szCs w:val="20"/>
              </w:rPr>
              <w:t xml:space="preserve">. </w:t>
            </w:r>
            <w:r w:rsidRPr="00A62B32">
              <w:rPr>
                <w:b/>
                <w:sz w:val="20"/>
                <w:szCs w:val="20"/>
              </w:rPr>
              <w:t>J</w:t>
            </w:r>
            <w:r w:rsidRPr="00A62B32">
              <w:rPr>
                <w:rFonts w:eastAsia="Calibri"/>
                <w:b/>
                <w:sz w:val="20"/>
                <w:szCs w:val="20"/>
                <w:lang w:eastAsia="en-US"/>
              </w:rPr>
              <w:t xml:space="preserve">a pašvaldība iestāžu gada pārskata sagatavošanai neizmanto </w:t>
            </w:r>
            <w:proofErr w:type="spellStart"/>
            <w:r w:rsidRPr="00A62B32">
              <w:rPr>
                <w:rFonts w:eastAsia="Calibri"/>
                <w:b/>
                <w:sz w:val="20"/>
                <w:szCs w:val="20"/>
                <w:lang w:eastAsia="en-US"/>
              </w:rPr>
              <w:t>ePārskatus</w:t>
            </w:r>
            <w:proofErr w:type="spellEnd"/>
            <w:r w:rsidRPr="00A62B32">
              <w:rPr>
                <w:rFonts w:eastAsia="Calibri"/>
                <w:b/>
                <w:sz w:val="20"/>
                <w:szCs w:val="20"/>
                <w:lang w:eastAsia="en-US"/>
              </w:rPr>
              <w:t>, tā nodrošina gada pārskata sagatavošanu atbilstoši Ministru kabineta noteikumos noteiktajam, izvēloties savus organizatoriskos un tehniskos risinājumus</w:t>
            </w:r>
            <w:r w:rsidRPr="00A62B32">
              <w:rPr>
                <w:rFonts w:eastAsia="Calibri"/>
                <w:sz w:val="20"/>
                <w:szCs w:val="20"/>
                <w:lang w:eastAsia="en-US"/>
              </w:rPr>
              <w:t>.</w:t>
            </w:r>
            <w:r w:rsidRPr="00A62B32">
              <w:rPr>
                <w:sz w:val="20"/>
                <w:szCs w:val="20"/>
              </w:rPr>
              <w:t xml:space="preserve"> </w:t>
            </w:r>
          </w:p>
          <w:p w14:paraId="7879D70E" w14:textId="77777777" w:rsidR="00BA3299" w:rsidRDefault="00BA3299" w:rsidP="00BA3299">
            <w:pPr>
              <w:widowControl w:val="0"/>
              <w:tabs>
                <w:tab w:val="left" w:pos="1134"/>
              </w:tabs>
              <w:contextualSpacing/>
              <w:jc w:val="both"/>
              <w:rPr>
                <w:sz w:val="20"/>
                <w:szCs w:val="20"/>
              </w:rPr>
            </w:pPr>
            <w:r>
              <w:rPr>
                <w:sz w:val="20"/>
                <w:szCs w:val="20"/>
              </w:rPr>
              <w:t xml:space="preserve">Iestādes, ja tās ir patstāvīgi nodokļu maksātāji, valsts vai pašvaldības aģentūras gada pārskatu sagatavo neatkarīgi no grāmatvedības organizācijas formas un tehniskā sagatavošanas veida. </w:t>
            </w:r>
          </w:p>
          <w:p w14:paraId="18879FE4" w14:textId="582B6E94" w:rsidR="00D25D91" w:rsidRDefault="00D25D91" w:rsidP="004E00C0">
            <w:pPr>
              <w:jc w:val="both"/>
              <w:rPr>
                <w:sz w:val="20"/>
                <w:szCs w:val="20"/>
                <w:shd w:val="clear" w:color="auto" w:fill="FFFFFF"/>
              </w:rPr>
            </w:pPr>
          </w:p>
          <w:p w14:paraId="51173A9A" w14:textId="278EFF0B" w:rsidR="00C928E1" w:rsidRPr="00C928E1" w:rsidRDefault="00D04A2A" w:rsidP="00C928E1">
            <w:pPr>
              <w:jc w:val="both"/>
              <w:rPr>
                <w:b/>
                <w:sz w:val="20"/>
                <w:szCs w:val="20"/>
                <w:shd w:val="clear" w:color="auto" w:fill="FFFFFF"/>
              </w:rPr>
            </w:pPr>
            <w:r>
              <w:rPr>
                <w:sz w:val="20"/>
                <w:szCs w:val="20"/>
                <w:shd w:val="clear" w:color="auto" w:fill="FFFFFF"/>
              </w:rPr>
              <w:t>[</w:t>
            </w:r>
            <w:r w:rsidR="003D4B08">
              <w:rPr>
                <w:sz w:val="20"/>
                <w:szCs w:val="20"/>
                <w:shd w:val="clear" w:color="auto" w:fill="FFFFFF"/>
              </w:rPr>
              <w:t>5</w:t>
            </w:r>
            <w:r>
              <w:rPr>
                <w:sz w:val="20"/>
                <w:szCs w:val="20"/>
                <w:shd w:val="clear" w:color="auto" w:fill="FFFFFF"/>
              </w:rPr>
              <w:t>.]</w:t>
            </w:r>
            <w:r w:rsidR="0062484A">
              <w:rPr>
                <w:sz w:val="20"/>
                <w:szCs w:val="20"/>
                <w:shd w:val="clear" w:color="auto" w:fill="FFFFFF"/>
              </w:rPr>
              <w:t xml:space="preserve"> Salīdzinot ar MK Nr. 344 n</w:t>
            </w:r>
            <w:r w:rsidR="007952D8" w:rsidRPr="001971FC">
              <w:rPr>
                <w:sz w:val="20"/>
                <w:szCs w:val="20"/>
                <w:shd w:val="clear" w:color="auto" w:fill="FFFFFF"/>
              </w:rPr>
              <w:t>oteikumu projektā iekļauta</w:t>
            </w:r>
            <w:r w:rsidR="00C26D4B" w:rsidRPr="001971FC">
              <w:rPr>
                <w:sz w:val="20"/>
                <w:szCs w:val="20"/>
                <w:shd w:val="clear" w:color="auto" w:fill="FFFFFF"/>
              </w:rPr>
              <w:t>s</w:t>
            </w:r>
            <w:r w:rsidR="007952D8" w:rsidRPr="001971FC">
              <w:rPr>
                <w:sz w:val="20"/>
                <w:szCs w:val="20"/>
                <w:shd w:val="clear" w:color="auto" w:fill="FFFFFF"/>
              </w:rPr>
              <w:t xml:space="preserve"> </w:t>
            </w:r>
            <w:r w:rsidR="0062008C" w:rsidRPr="001971FC">
              <w:rPr>
                <w:sz w:val="20"/>
                <w:szCs w:val="20"/>
                <w:shd w:val="clear" w:color="auto" w:fill="FFFFFF"/>
              </w:rPr>
              <w:t xml:space="preserve">jauna </w:t>
            </w:r>
            <w:r w:rsidR="007952D8" w:rsidRPr="001971FC">
              <w:rPr>
                <w:sz w:val="20"/>
                <w:szCs w:val="20"/>
                <w:shd w:val="clear" w:color="auto" w:fill="FFFFFF"/>
              </w:rPr>
              <w:t>norma</w:t>
            </w:r>
            <w:r w:rsidR="00B126C5">
              <w:rPr>
                <w:sz w:val="20"/>
                <w:szCs w:val="20"/>
                <w:shd w:val="clear" w:color="auto" w:fill="FFFFFF"/>
              </w:rPr>
              <w:t xml:space="preserve"> - </w:t>
            </w:r>
            <w:r w:rsidR="007952D8" w:rsidRPr="00C928E1">
              <w:rPr>
                <w:b/>
                <w:sz w:val="20"/>
                <w:szCs w:val="20"/>
                <w:shd w:val="clear" w:color="auto" w:fill="FFFFFF"/>
              </w:rPr>
              <w:t xml:space="preserve"> </w:t>
            </w:r>
            <w:r w:rsidR="00C928E1" w:rsidRPr="00C928E1">
              <w:rPr>
                <w:b/>
                <w:sz w:val="20"/>
                <w:szCs w:val="20"/>
                <w:shd w:val="clear" w:color="auto" w:fill="FFFFFF"/>
              </w:rPr>
              <w:t>ka grāmatvedības uzskaites pakalpojuma</w:t>
            </w:r>
            <w:r w:rsidR="006069C9">
              <w:rPr>
                <w:b/>
                <w:sz w:val="20"/>
                <w:szCs w:val="20"/>
                <w:shd w:val="clear" w:color="auto" w:fill="FFFFFF"/>
              </w:rPr>
              <w:t xml:space="preserve"> (turpmāk – GUP)</w:t>
            </w:r>
            <w:r w:rsidR="00C928E1" w:rsidRPr="00C928E1">
              <w:rPr>
                <w:b/>
                <w:sz w:val="20"/>
                <w:szCs w:val="20"/>
                <w:shd w:val="clear" w:color="auto" w:fill="FFFFFF"/>
              </w:rPr>
              <w:t xml:space="preserve"> sniedzējs var izstrādāt vienotu gada pārskata sagatavošanas kārtību visiem grāmatvedības uzskaites pakalpojuma saņēmējiem</w:t>
            </w:r>
            <w:r w:rsidR="006069C9">
              <w:rPr>
                <w:b/>
                <w:sz w:val="20"/>
                <w:szCs w:val="20"/>
                <w:shd w:val="clear" w:color="auto" w:fill="FFFFFF"/>
              </w:rPr>
              <w:t>, tādejā</w:t>
            </w:r>
            <w:r w:rsidR="00B2225E">
              <w:rPr>
                <w:b/>
                <w:sz w:val="20"/>
                <w:szCs w:val="20"/>
                <w:shd w:val="clear" w:color="auto" w:fill="FFFFFF"/>
              </w:rPr>
              <w:t>di</w:t>
            </w:r>
            <w:r w:rsidR="006069C9">
              <w:rPr>
                <w:b/>
                <w:sz w:val="20"/>
                <w:szCs w:val="20"/>
                <w:shd w:val="clear" w:color="auto" w:fill="FFFFFF"/>
              </w:rPr>
              <w:t xml:space="preserve"> tiek harmonizētas normas ar </w:t>
            </w:r>
            <w:r w:rsidR="006069C9" w:rsidRPr="00C928E1">
              <w:rPr>
                <w:b/>
                <w:sz w:val="20"/>
                <w:szCs w:val="20"/>
                <w:shd w:val="clear" w:color="auto" w:fill="FFFFFF"/>
              </w:rPr>
              <w:t>MK 13.02.2018. noteikum</w:t>
            </w:r>
            <w:r w:rsidR="006069C9">
              <w:rPr>
                <w:b/>
                <w:sz w:val="20"/>
                <w:szCs w:val="20"/>
                <w:shd w:val="clear" w:color="auto" w:fill="FFFFFF"/>
              </w:rPr>
              <w:t>iem</w:t>
            </w:r>
            <w:r w:rsidR="006069C9" w:rsidRPr="00C928E1">
              <w:rPr>
                <w:b/>
                <w:sz w:val="20"/>
                <w:szCs w:val="20"/>
                <w:shd w:val="clear" w:color="auto" w:fill="FFFFFF"/>
              </w:rPr>
              <w:t xml:space="preserve"> Nr. 87 “Grāmatvedības uzskaites kārtība budžeta iestādēs” </w:t>
            </w:r>
            <w:r w:rsidR="006069C9">
              <w:rPr>
                <w:b/>
                <w:sz w:val="20"/>
                <w:szCs w:val="20"/>
                <w:shd w:val="clear" w:color="auto" w:fill="FFFFFF"/>
              </w:rPr>
              <w:t>(turpmāk – MK Nr. 87).</w:t>
            </w:r>
            <w:r w:rsidR="00C928E1" w:rsidRPr="00C928E1">
              <w:rPr>
                <w:b/>
                <w:sz w:val="20"/>
                <w:szCs w:val="20"/>
                <w:shd w:val="clear" w:color="auto" w:fill="FFFFFF"/>
              </w:rPr>
              <w:t xml:space="preserve"> Grāmatvedības pakalpojuma sniedzēji ir izveidoti pamatojoties uz 25.10.2016. MK sēdes protokols Nr.57 29.§. noteikto: "1. Pieņemt zināšanai iesniegto informatīvo ziņojumu.</w:t>
            </w:r>
          </w:p>
          <w:p w14:paraId="033009AE" w14:textId="77777777" w:rsidR="00C928E1" w:rsidRPr="00C928E1" w:rsidRDefault="00C928E1" w:rsidP="00C928E1">
            <w:pPr>
              <w:jc w:val="both"/>
              <w:rPr>
                <w:b/>
                <w:sz w:val="20"/>
                <w:szCs w:val="20"/>
                <w:shd w:val="clear" w:color="auto" w:fill="FFFFFF"/>
              </w:rPr>
            </w:pPr>
            <w:r w:rsidRPr="00C928E1">
              <w:rPr>
                <w:b/>
                <w:sz w:val="20"/>
                <w:szCs w:val="20"/>
                <w:shd w:val="clear" w:color="auto" w:fill="FFFFFF"/>
              </w:rPr>
              <w:t xml:space="preserve">2. Atbalstīt piedāvāto grāmatvedības uzskaites funkcijas izpildes </w:t>
            </w:r>
            <w:proofErr w:type="spellStart"/>
            <w:r w:rsidRPr="00C928E1">
              <w:rPr>
                <w:b/>
                <w:sz w:val="20"/>
                <w:szCs w:val="20"/>
                <w:shd w:val="clear" w:color="auto" w:fill="FFFFFF"/>
              </w:rPr>
              <w:t>efektivizācijas</w:t>
            </w:r>
            <w:proofErr w:type="spellEnd"/>
            <w:r w:rsidRPr="00C928E1">
              <w:rPr>
                <w:b/>
                <w:sz w:val="20"/>
                <w:szCs w:val="20"/>
                <w:shd w:val="clear" w:color="auto" w:fill="FFFFFF"/>
              </w:rPr>
              <w:t xml:space="preserve"> modeli centrālajām valsts iestādēm un to padotības iestādēm (turpmāk – centrālās valsts iestādes).</w:t>
            </w:r>
          </w:p>
          <w:p w14:paraId="64F0029E" w14:textId="77777777" w:rsidR="00C928E1" w:rsidRPr="00C928E1" w:rsidRDefault="00C928E1" w:rsidP="00C928E1">
            <w:pPr>
              <w:jc w:val="both"/>
              <w:rPr>
                <w:b/>
                <w:sz w:val="20"/>
                <w:szCs w:val="20"/>
                <w:shd w:val="clear" w:color="auto" w:fill="FFFFFF"/>
              </w:rPr>
            </w:pPr>
            <w:r w:rsidRPr="00C928E1">
              <w:rPr>
                <w:b/>
                <w:sz w:val="20"/>
                <w:szCs w:val="20"/>
                <w:shd w:val="clear" w:color="auto" w:fill="FFFFFF"/>
              </w:rPr>
              <w:t xml:space="preserve">3. Finanšu ministrijai (Valsts kasei) ar 2018.gada 1.janvāri veikt Valsts kancelejas, Valsts administrācijas skolas, </w:t>
            </w:r>
            <w:proofErr w:type="spellStart"/>
            <w:r w:rsidRPr="00C928E1">
              <w:rPr>
                <w:b/>
                <w:sz w:val="20"/>
                <w:szCs w:val="20"/>
                <w:shd w:val="clear" w:color="auto" w:fill="FFFFFF"/>
              </w:rPr>
              <w:t>Pārresoru</w:t>
            </w:r>
            <w:proofErr w:type="spellEnd"/>
            <w:r w:rsidRPr="00C928E1">
              <w:rPr>
                <w:b/>
                <w:sz w:val="20"/>
                <w:szCs w:val="20"/>
                <w:shd w:val="clear" w:color="auto" w:fill="FFFFFF"/>
              </w:rPr>
              <w:t xml:space="preserve"> koordinācijas centra un Nacionālās elektronisko plašsaziņas līdzekļu padomes grāmatvedības uzskaiti."</w:t>
            </w:r>
          </w:p>
          <w:p w14:paraId="32CA0C59" w14:textId="5797816B" w:rsidR="00C928E1" w:rsidRPr="00C928E1" w:rsidRDefault="00D0232E" w:rsidP="00C928E1">
            <w:pPr>
              <w:jc w:val="both"/>
              <w:rPr>
                <w:b/>
                <w:sz w:val="20"/>
                <w:szCs w:val="20"/>
                <w:shd w:val="clear" w:color="auto" w:fill="FFFFFF"/>
              </w:rPr>
            </w:pPr>
            <w:hyperlink r:id="rId10" w:history="1">
              <w:r w:rsidR="00C928E1" w:rsidRPr="00C928E1">
                <w:rPr>
                  <w:rStyle w:val="Hyperlink"/>
                  <w:b/>
                  <w:sz w:val="20"/>
                  <w:szCs w:val="20"/>
                  <w:shd w:val="clear" w:color="auto" w:fill="FFFFFF"/>
                </w:rPr>
                <w:t>http://tap.mk.gov.lv/mk/mksedes/saraksts/protokols/?protokols=2016-10-25</w:t>
              </w:r>
            </w:hyperlink>
            <w:r w:rsidR="00C928E1" w:rsidRPr="00C928E1">
              <w:rPr>
                <w:b/>
                <w:sz w:val="20"/>
                <w:szCs w:val="20"/>
                <w:shd w:val="clear" w:color="auto" w:fill="FFFFFF"/>
              </w:rPr>
              <w:t>.</w:t>
            </w:r>
          </w:p>
          <w:p w14:paraId="5E46366A" w14:textId="3E5FE687" w:rsidR="00C928E1" w:rsidRDefault="00C928E1" w:rsidP="00C928E1">
            <w:pPr>
              <w:jc w:val="both"/>
              <w:rPr>
                <w:sz w:val="20"/>
                <w:szCs w:val="20"/>
                <w:shd w:val="clear" w:color="auto" w:fill="FFFFFF"/>
              </w:rPr>
            </w:pPr>
          </w:p>
          <w:p w14:paraId="001B9CE4" w14:textId="4DE6830A" w:rsidR="00C928E1" w:rsidRDefault="00C928E1" w:rsidP="00C928E1">
            <w:pPr>
              <w:jc w:val="both"/>
              <w:rPr>
                <w:b/>
                <w:sz w:val="20"/>
                <w:szCs w:val="20"/>
                <w:shd w:val="clear" w:color="auto" w:fill="FFFFFF"/>
              </w:rPr>
            </w:pPr>
            <w:r w:rsidRPr="00C928E1">
              <w:rPr>
                <w:b/>
                <w:sz w:val="20"/>
                <w:szCs w:val="20"/>
                <w:shd w:val="clear" w:color="auto" w:fill="FFFFFF"/>
              </w:rPr>
              <w:t>Sniedzot GUP</w:t>
            </w:r>
            <w:r w:rsidR="006069C9">
              <w:rPr>
                <w:b/>
                <w:sz w:val="20"/>
                <w:szCs w:val="20"/>
                <w:shd w:val="clear" w:color="auto" w:fill="FFFFFF"/>
              </w:rPr>
              <w:t xml:space="preserve"> </w:t>
            </w:r>
            <w:r w:rsidRPr="00C928E1">
              <w:rPr>
                <w:b/>
                <w:sz w:val="20"/>
                <w:szCs w:val="20"/>
                <w:shd w:val="clear" w:color="auto" w:fill="FFFFFF"/>
              </w:rPr>
              <w:t xml:space="preserve">grāmatvedības uzskaitei piemēro </w:t>
            </w:r>
            <w:r w:rsidR="006069C9">
              <w:rPr>
                <w:b/>
                <w:sz w:val="20"/>
                <w:szCs w:val="20"/>
                <w:shd w:val="clear" w:color="auto" w:fill="FFFFFF"/>
              </w:rPr>
              <w:t xml:space="preserve">MK Nr. 87 </w:t>
            </w:r>
            <w:r w:rsidRPr="00C928E1">
              <w:rPr>
                <w:b/>
                <w:sz w:val="20"/>
                <w:szCs w:val="20"/>
                <w:shd w:val="clear" w:color="auto" w:fill="FFFFFF"/>
              </w:rPr>
              <w:t>8.punktā noteikt</w:t>
            </w:r>
            <w:r w:rsidR="006069C9">
              <w:rPr>
                <w:b/>
                <w:sz w:val="20"/>
                <w:szCs w:val="20"/>
                <w:shd w:val="clear" w:color="auto" w:fill="FFFFFF"/>
              </w:rPr>
              <w:t>o</w:t>
            </w:r>
            <w:r w:rsidRPr="00C928E1">
              <w:rPr>
                <w:b/>
                <w:sz w:val="20"/>
                <w:szCs w:val="20"/>
                <w:shd w:val="clear" w:color="auto" w:fill="FFFFFF"/>
              </w:rPr>
              <w:t>, ka GUP sniedzējs var izstrādāt vienotu grāmatvedības uzskaites kārtību visiem GUP saņēmējiem, to s</w:t>
            </w:r>
            <w:r w:rsidR="006069C9">
              <w:rPr>
                <w:b/>
                <w:sz w:val="20"/>
                <w:szCs w:val="20"/>
                <w:shd w:val="clear" w:color="auto" w:fill="FFFFFF"/>
              </w:rPr>
              <w:t xml:space="preserve">askaņojot ar katru GUP saņēmēju, turpretim </w:t>
            </w:r>
            <w:r w:rsidRPr="00C928E1">
              <w:rPr>
                <w:b/>
                <w:sz w:val="20"/>
                <w:szCs w:val="20"/>
                <w:shd w:val="clear" w:color="auto" w:fill="FFFFFF"/>
              </w:rPr>
              <w:t xml:space="preserve">gada pārskata sagatavošanai piemēro MK Nr.344, kuru 19.punktā noteikts, ka ministrija nosaka gada pārskata sagatavošanas kārtību. Saskaņā ar augstāk minētajiem noteikumiem </w:t>
            </w:r>
            <w:r w:rsidR="006069C9">
              <w:rPr>
                <w:b/>
                <w:sz w:val="20"/>
                <w:szCs w:val="20"/>
                <w:shd w:val="clear" w:color="auto" w:fill="FFFFFF"/>
              </w:rPr>
              <w:t xml:space="preserve">MK Nr. 87 </w:t>
            </w:r>
            <w:r w:rsidRPr="00C928E1">
              <w:rPr>
                <w:b/>
                <w:sz w:val="20"/>
                <w:szCs w:val="20"/>
                <w:shd w:val="clear" w:color="auto" w:fill="FFFFFF"/>
              </w:rPr>
              <w:t>var noteikt vienu grāmatvedības uzskaites kārtību visām iestādēm, kurām sniedz GUP, savukārt gada pārskata sagatavošanas kārtību jāizstrādā atsevišķi katra</w:t>
            </w:r>
            <w:r w:rsidR="006069C9">
              <w:rPr>
                <w:b/>
                <w:sz w:val="20"/>
                <w:szCs w:val="20"/>
                <w:shd w:val="clear" w:color="auto" w:fill="FFFFFF"/>
              </w:rPr>
              <w:t>i</w:t>
            </w:r>
            <w:r w:rsidRPr="00C928E1">
              <w:rPr>
                <w:b/>
                <w:sz w:val="20"/>
                <w:szCs w:val="20"/>
                <w:shd w:val="clear" w:color="auto" w:fill="FFFFFF"/>
              </w:rPr>
              <w:t xml:space="preserve"> </w:t>
            </w:r>
            <w:r w:rsidR="006069C9">
              <w:rPr>
                <w:b/>
                <w:sz w:val="20"/>
                <w:szCs w:val="20"/>
                <w:shd w:val="clear" w:color="auto" w:fill="FFFFFF"/>
              </w:rPr>
              <w:t>nozarei</w:t>
            </w:r>
            <w:r w:rsidRPr="00C928E1">
              <w:rPr>
                <w:b/>
                <w:sz w:val="20"/>
                <w:szCs w:val="20"/>
                <w:shd w:val="clear" w:color="auto" w:fill="FFFFFF"/>
              </w:rPr>
              <w:t xml:space="preserve">, kuram sniedz GUP, t.i. </w:t>
            </w:r>
            <w:r w:rsidR="006069C9">
              <w:rPr>
                <w:b/>
                <w:sz w:val="20"/>
                <w:szCs w:val="20"/>
                <w:shd w:val="clear" w:color="auto" w:fill="FFFFFF"/>
              </w:rPr>
              <w:t xml:space="preserve">tik </w:t>
            </w:r>
            <w:r w:rsidRPr="00C928E1">
              <w:rPr>
                <w:b/>
                <w:sz w:val="20"/>
                <w:szCs w:val="20"/>
                <w:shd w:val="clear" w:color="auto" w:fill="FFFFFF"/>
              </w:rPr>
              <w:t>kārtības</w:t>
            </w:r>
            <w:r w:rsidR="006069C9">
              <w:rPr>
                <w:b/>
                <w:sz w:val="20"/>
                <w:szCs w:val="20"/>
                <w:shd w:val="clear" w:color="auto" w:fill="FFFFFF"/>
              </w:rPr>
              <w:t>, cik nozarēm sniedz pakalpojumu</w:t>
            </w:r>
            <w:r w:rsidRPr="00C928E1">
              <w:rPr>
                <w:b/>
                <w:sz w:val="20"/>
                <w:szCs w:val="20"/>
                <w:shd w:val="clear" w:color="auto" w:fill="FFFFFF"/>
              </w:rPr>
              <w:t>.</w:t>
            </w:r>
            <w:r w:rsidR="006069C9">
              <w:rPr>
                <w:b/>
                <w:sz w:val="20"/>
                <w:szCs w:val="20"/>
                <w:shd w:val="clear" w:color="auto" w:fill="FFFFFF"/>
              </w:rPr>
              <w:t xml:space="preserve"> </w:t>
            </w:r>
          </w:p>
          <w:p w14:paraId="1F3E0621" w14:textId="77777777" w:rsidR="00550683" w:rsidRPr="00C928E1" w:rsidRDefault="00550683" w:rsidP="00C928E1">
            <w:pPr>
              <w:jc w:val="both"/>
              <w:rPr>
                <w:b/>
                <w:sz w:val="20"/>
                <w:szCs w:val="20"/>
                <w:shd w:val="clear" w:color="auto" w:fill="FFFFFF"/>
              </w:rPr>
            </w:pPr>
          </w:p>
          <w:p w14:paraId="531E037F" w14:textId="6DB0E013" w:rsidR="005D5976" w:rsidRDefault="005D5976" w:rsidP="004E00C0">
            <w:pPr>
              <w:jc w:val="both"/>
              <w:rPr>
                <w:sz w:val="20"/>
                <w:szCs w:val="20"/>
                <w:shd w:val="clear" w:color="auto" w:fill="FFFFFF"/>
              </w:rPr>
            </w:pPr>
            <w:r>
              <w:rPr>
                <w:sz w:val="20"/>
                <w:szCs w:val="20"/>
                <w:shd w:val="clear" w:color="auto" w:fill="FFFFFF"/>
              </w:rPr>
              <w:t>[</w:t>
            </w:r>
            <w:r w:rsidR="00AE6341">
              <w:rPr>
                <w:sz w:val="20"/>
                <w:szCs w:val="20"/>
                <w:shd w:val="clear" w:color="auto" w:fill="FFFFFF"/>
              </w:rPr>
              <w:t>6</w:t>
            </w:r>
            <w:r w:rsidR="00D04A2A">
              <w:rPr>
                <w:sz w:val="20"/>
                <w:szCs w:val="20"/>
                <w:shd w:val="clear" w:color="auto" w:fill="FFFFFF"/>
              </w:rPr>
              <w:t>.</w:t>
            </w:r>
            <w:r>
              <w:rPr>
                <w:sz w:val="20"/>
                <w:szCs w:val="20"/>
                <w:shd w:val="clear" w:color="auto" w:fill="FFFFFF"/>
              </w:rPr>
              <w:t>] Salīdzinot MK Nr. 430 ar noteikumu projektā ietverto:</w:t>
            </w:r>
          </w:p>
          <w:p w14:paraId="41791274" w14:textId="00063B26" w:rsidR="005D5976" w:rsidRDefault="005D5976" w:rsidP="004E00C0">
            <w:pPr>
              <w:jc w:val="both"/>
              <w:rPr>
                <w:sz w:val="20"/>
                <w:szCs w:val="20"/>
                <w:shd w:val="clear" w:color="auto" w:fill="FFFFFF"/>
              </w:rPr>
            </w:pPr>
            <w:r>
              <w:rPr>
                <w:sz w:val="20"/>
                <w:szCs w:val="20"/>
                <w:shd w:val="clear" w:color="auto" w:fill="FFFFFF"/>
              </w:rPr>
              <w:t>[</w:t>
            </w:r>
            <w:r w:rsidR="00AE6341">
              <w:rPr>
                <w:sz w:val="20"/>
                <w:szCs w:val="20"/>
                <w:shd w:val="clear" w:color="auto" w:fill="FFFFFF"/>
              </w:rPr>
              <w:t>6</w:t>
            </w:r>
            <w:r>
              <w:rPr>
                <w:sz w:val="20"/>
                <w:szCs w:val="20"/>
                <w:shd w:val="clear" w:color="auto" w:fill="FFFFFF"/>
              </w:rPr>
              <w:t>.1.] noteikumu projekt</w:t>
            </w:r>
            <w:r w:rsidR="0016277F">
              <w:rPr>
                <w:sz w:val="20"/>
                <w:szCs w:val="20"/>
                <w:shd w:val="clear" w:color="auto" w:fill="FFFFFF"/>
              </w:rPr>
              <w:t>ā</w:t>
            </w:r>
            <w:r>
              <w:rPr>
                <w:sz w:val="20"/>
                <w:szCs w:val="20"/>
                <w:shd w:val="clear" w:color="auto" w:fill="FFFFFF"/>
              </w:rPr>
              <w:t xml:space="preserve"> </w:t>
            </w:r>
            <w:r w:rsidRPr="005D5976">
              <w:rPr>
                <w:sz w:val="20"/>
                <w:szCs w:val="20"/>
                <w:shd w:val="clear" w:color="auto" w:fill="FFFFFF"/>
              </w:rPr>
              <w:t>konsolidēt</w:t>
            </w:r>
            <w:r>
              <w:rPr>
                <w:sz w:val="20"/>
                <w:szCs w:val="20"/>
                <w:shd w:val="clear" w:color="auto" w:fill="FFFFFF"/>
              </w:rPr>
              <w:t>ā saimnieciskā gada pārskata saturs harmonizēts ar budže</w:t>
            </w:r>
            <w:r w:rsidR="00230D4C">
              <w:rPr>
                <w:sz w:val="20"/>
                <w:szCs w:val="20"/>
                <w:shd w:val="clear" w:color="auto" w:fill="FFFFFF"/>
              </w:rPr>
              <w:t>ta iestāžu gada pārskata saturu. Savukārt k</w:t>
            </w:r>
            <w:r w:rsidR="00230D4C" w:rsidRPr="00230D4C">
              <w:rPr>
                <w:sz w:val="20"/>
                <w:szCs w:val="20"/>
                <w:shd w:val="clear" w:color="auto" w:fill="FFFFFF"/>
              </w:rPr>
              <w:t xml:space="preserve">onsolidētā saimnieciskā gada finanšu pārskata strukturizētais skaidrojums, kurā apkopota (konsolidēta) informācija no konsolidācijā iesaistītajām vienībām, būs pieejams </w:t>
            </w:r>
            <w:proofErr w:type="spellStart"/>
            <w:r w:rsidR="00230D4C" w:rsidRPr="00230D4C">
              <w:rPr>
                <w:sz w:val="20"/>
                <w:szCs w:val="20"/>
                <w:shd w:val="clear" w:color="auto" w:fill="FFFFFF"/>
              </w:rPr>
              <w:t>ePārskatos</w:t>
            </w:r>
            <w:proofErr w:type="spellEnd"/>
            <w:r w:rsidR="00230D4C" w:rsidRPr="00230D4C">
              <w:rPr>
                <w:sz w:val="20"/>
                <w:szCs w:val="20"/>
                <w:shd w:val="clear" w:color="auto" w:fill="FFFFFF"/>
              </w:rPr>
              <w:t xml:space="preserve"> un Valsts kases tīmekļvietnē, savukārt Ministru kabinetam un Saeimai iesniedzamajā konsolidētajā saimnieciskā gada pārskata skaidrojumā tiks ietverti būtiskākie un nozīmīgākie posteņu atlikumu izmaiņu skaidrojumi.</w:t>
            </w:r>
            <w:r w:rsidR="00F9358C">
              <w:rPr>
                <w:sz w:val="20"/>
                <w:szCs w:val="20"/>
                <w:shd w:val="clear" w:color="auto" w:fill="FFFFFF"/>
              </w:rPr>
              <w:t xml:space="preserve"> </w:t>
            </w:r>
          </w:p>
          <w:p w14:paraId="21C31B15" w14:textId="77777777" w:rsidR="00B126C5" w:rsidRDefault="00B126C5" w:rsidP="004E00C0">
            <w:pPr>
              <w:jc w:val="both"/>
              <w:rPr>
                <w:sz w:val="20"/>
                <w:szCs w:val="20"/>
                <w:shd w:val="clear" w:color="auto" w:fill="FFFFFF"/>
              </w:rPr>
            </w:pPr>
          </w:p>
          <w:p w14:paraId="5CC5B485" w14:textId="75AE810C" w:rsidR="005D5976" w:rsidRPr="0062484A" w:rsidRDefault="005D5976" w:rsidP="004E00C0">
            <w:pPr>
              <w:jc w:val="both"/>
              <w:rPr>
                <w:b/>
                <w:sz w:val="20"/>
                <w:szCs w:val="20"/>
              </w:rPr>
            </w:pPr>
            <w:r>
              <w:rPr>
                <w:sz w:val="20"/>
                <w:szCs w:val="20"/>
                <w:shd w:val="clear" w:color="auto" w:fill="FFFFFF"/>
              </w:rPr>
              <w:t>[</w:t>
            </w:r>
            <w:r w:rsidR="00AE6341">
              <w:rPr>
                <w:sz w:val="20"/>
                <w:szCs w:val="20"/>
                <w:shd w:val="clear" w:color="auto" w:fill="FFFFFF"/>
              </w:rPr>
              <w:t>6</w:t>
            </w:r>
            <w:r>
              <w:rPr>
                <w:sz w:val="20"/>
                <w:szCs w:val="20"/>
                <w:shd w:val="clear" w:color="auto" w:fill="FFFFFF"/>
              </w:rPr>
              <w:t>.</w:t>
            </w:r>
            <w:r w:rsidR="00230D4C">
              <w:rPr>
                <w:sz w:val="20"/>
                <w:szCs w:val="20"/>
                <w:shd w:val="clear" w:color="auto" w:fill="FFFFFF"/>
              </w:rPr>
              <w:t>2</w:t>
            </w:r>
            <w:r>
              <w:rPr>
                <w:sz w:val="20"/>
                <w:szCs w:val="20"/>
                <w:shd w:val="clear" w:color="auto" w:fill="FFFFFF"/>
              </w:rPr>
              <w:t xml:space="preserve">.] </w:t>
            </w:r>
            <w:r w:rsidR="0016277F">
              <w:rPr>
                <w:sz w:val="20"/>
                <w:szCs w:val="20"/>
                <w:shd w:val="clear" w:color="auto" w:fill="FFFFFF"/>
              </w:rPr>
              <w:t xml:space="preserve">no </w:t>
            </w:r>
            <w:r w:rsidRPr="005D5976">
              <w:rPr>
                <w:sz w:val="20"/>
                <w:szCs w:val="20"/>
                <w:shd w:val="clear" w:color="auto" w:fill="FFFFFF"/>
              </w:rPr>
              <w:t>konsolidēt</w:t>
            </w:r>
            <w:r>
              <w:rPr>
                <w:sz w:val="20"/>
                <w:szCs w:val="20"/>
                <w:shd w:val="clear" w:color="auto" w:fill="FFFFFF"/>
              </w:rPr>
              <w:t>ā saimnieciskā gada pārskata apjom</w:t>
            </w:r>
            <w:r w:rsidR="0016277F">
              <w:rPr>
                <w:sz w:val="20"/>
                <w:szCs w:val="20"/>
                <w:shd w:val="clear" w:color="auto" w:fill="FFFFFF"/>
              </w:rPr>
              <w:t xml:space="preserve">a </w:t>
            </w:r>
            <w:r>
              <w:rPr>
                <w:sz w:val="20"/>
                <w:szCs w:val="20"/>
                <w:shd w:val="clear" w:color="auto" w:fill="FFFFFF"/>
              </w:rPr>
              <w:t xml:space="preserve">ir izslēgts </w:t>
            </w:r>
            <w:r w:rsidRPr="005D5976">
              <w:rPr>
                <w:sz w:val="20"/>
                <w:szCs w:val="20"/>
                <w:shd w:val="clear" w:color="auto" w:fill="FFFFFF"/>
              </w:rPr>
              <w:t>pārskat</w:t>
            </w:r>
            <w:r>
              <w:rPr>
                <w:sz w:val="20"/>
                <w:szCs w:val="20"/>
                <w:shd w:val="clear" w:color="auto" w:fill="FFFFFF"/>
              </w:rPr>
              <w:t>s</w:t>
            </w:r>
            <w:r w:rsidRPr="005D5976">
              <w:rPr>
                <w:sz w:val="20"/>
                <w:szCs w:val="20"/>
                <w:shd w:val="clear" w:color="auto" w:fill="FFFFFF"/>
              </w:rPr>
              <w:t xml:space="preserve"> par valsts kon</w:t>
            </w:r>
            <w:r>
              <w:rPr>
                <w:sz w:val="20"/>
                <w:szCs w:val="20"/>
                <w:shd w:val="clear" w:color="auto" w:fill="FFFFFF"/>
              </w:rPr>
              <w:t xml:space="preserve">solidēto parādu un tā pielikumi, jo detalizēta informācija par valsts parādu </w:t>
            </w:r>
            <w:r w:rsidR="0062484A" w:rsidRPr="0062484A">
              <w:rPr>
                <w:b/>
                <w:sz w:val="20"/>
                <w:szCs w:val="20"/>
                <w:shd w:val="clear" w:color="auto" w:fill="FFFFFF"/>
              </w:rPr>
              <w:t>arī turpmāk detalizētāk tiks sniegta atsevišķā valsts parāda vadības pārskatā, kas pieejams Valsts kases tīmekļvietnē (https://www.kase.gov.lv/parskati/valsts-parada-vadibas-parskati/gada-parskati).</w:t>
            </w:r>
            <w:r w:rsidR="0062484A">
              <w:rPr>
                <w:sz w:val="20"/>
                <w:szCs w:val="20"/>
                <w:shd w:val="clear" w:color="auto" w:fill="FFFFFF"/>
              </w:rPr>
              <w:t xml:space="preserve"> </w:t>
            </w:r>
            <w:r w:rsidR="0062484A" w:rsidRPr="0062484A">
              <w:rPr>
                <w:b/>
                <w:sz w:val="20"/>
                <w:szCs w:val="20"/>
                <w:shd w:val="clear" w:color="auto" w:fill="FFFFFF"/>
              </w:rPr>
              <w:t>Informācija par valsts un pašvaldību konsolidēto parādu pa saistību veidiem, atbilstoši Ministru kabineta 2021.gada 7.janvāra noteikumos Nr.7 "Noteikumi par budžetu parāda instrumentu klasifikāciju" noteiktajai klasifikācijai, pieejama katru mēnesi Valsts kases tīmekļvietnē (https://www.kase.gov.lv/parskati/kopbudzeta-izpildes-parskati/menesa-parskati), skatīt Konsolidētā kopbudžeta izpildes pārskata 5.pielikumu, t.sk. par periodu saimnieciskā gada janvāris- decembris. Informācija par valsts parādu arī turpmāk detalizētāk tiks sniegta</w:t>
            </w:r>
            <w:r w:rsidR="0062484A">
              <w:rPr>
                <w:b/>
                <w:sz w:val="20"/>
                <w:szCs w:val="20"/>
                <w:shd w:val="clear" w:color="auto" w:fill="FFFFFF"/>
              </w:rPr>
              <w:t>.</w:t>
            </w:r>
            <w:r w:rsidR="0062484A" w:rsidRPr="0062484A">
              <w:rPr>
                <w:b/>
                <w:sz w:val="20"/>
                <w:szCs w:val="20"/>
                <w:shd w:val="clear" w:color="auto" w:fill="FFFFFF"/>
              </w:rPr>
              <w:t xml:space="preserve"> Jau patreiz konsolidētajā saimnieciskā gada pārskata finanšu pielikumā ir norādīta saite uz Valsts kases tīmekļa vietnē publiski pieejamo pārskatu par valsts parādu.</w:t>
            </w:r>
          </w:p>
          <w:p w14:paraId="27AB3DFD" w14:textId="77777777" w:rsidR="00EF681B" w:rsidRDefault="00EF681B" w:rsidP="007729FA">
            <w:pPr>
              <w:rPr>
                <w:sz w:val="20"/>
                <w:szCs w:val="20"/>
              </w:rPr>
            </w:pPr>
          </w:p>
          <w:p w14:paraId="2DDC2988" w14:textId="3A257570" w:rsidR="00E07762" w:rsidRPr="00E07762" w:rsidRDefault="006831BA" w:rsidP="006831BA">
            <w:pPr>
              <w:jc w:val="both"/>
              <w:rPr>
                <w:b/>
                <w:sz w:val="20"/>
                <w:szCs w:val="20"/>
              </w:rPr>
            </w:pPr>
            <w:r w:rsidRPr="00E07762">
              <w:rPr>
                <w:b/>
                <w:sz w:val="20"/>
                <w:szCs w:val="20"/>
              </w:rPr>
              <w:t>[</w:t>
            </w:r>
            <w:r w:rsidR="00AE6341" w:rsidRPr="00E07762">
              <w:rPr>
                <w:b/>
                <w:sz w:val="20"/>
                <w:szCs w:val="20"/>
              </w:rPr>
              <w:t>7</w:t>
            </w:r>
            <w:r w:rsidRPr="00E07762">
              <w:rPr>
                <w:b/>
                <w:sz w:val="20"/>
                <w:szCs w:val="20"/>
              </w:rPr>
              <w:t xml:space="preserve">.] </w:t>
            </w:r>
            <w:r w:rsidR="00E07762" w:rsidRPr="00E07762">
              <w:rPr>
                <w:b/>
                <w:sz w:val="20"/>
                <w:szCs w:val="20"/>
              </w:rPr>
              <w:t>Noteikumu projekta 9., 20. un 21. punktā noteiktā kārtības aptver katras nozares vai ikgadējā pārskata sagatavošanas nianses, detalizējot iekšējos procesus starp iestādes struktūrvienībām vai starp padotības iestādēm, jo iestādēs tie ir atšķirīgi.</w:t>
            </w:r>
          </w:p>
          <w:p w14:paraId="2FBD4763" w14:textId="77777777" w:rsidR="00E07762" w:rsidRDefault="00E07762" w:rsidP="006831BA">
            <w:pPr>
              <w:jc w:val="both"/>
              <w:rPr>
                <w:sz w:val="20"/>
                <w:szCs w:val="20"/>
              </w:rPr>
            </w:pPr>
          </w:p>
          <w:p w14:paraId="6F75ED6C" w14:textId="20D19C30" w:rsidR="00CD45FE" w:rsidRDefault="00E07762" w:rsidP="006831BA">
            <w:pPr>
              <w:jc w:val="both"/>
              <w:rPr>
                <w:sz w:val="20"/>
                <w:szCs w:val="20"/>
              </w:rPr>
            </w:pPr>
            <w:r>
              <w:rPr>
                <w:sz w:val="20"/>
                <w:szCs w:val="20"/>
              </w:rPr>
              <w:t xml:space="preserve">[8.] </w:t>
            </w:r>
            <w:r w:rsidR="00CD45FE">
              <w:rPr>
                <w:sz w:val="20"/>
                <w:szCs w:val="20"/>
              </w:rPr>
              <w:t xml:space="preserve">Informācijas apmaiņai un iesniegšanai Valsts kase nodrošina </w:t>
            </w:r>
            <w:proofErr w:type="spellStart"/>
            <w:r w:rsidR="00CD45FE">
              <w:rPr>
                <w:sz w:val="20"/>
                <w:szCs w:val="20"/>
              </w:rPr>
              <w:t>epakalpojumu</w:t>
            </w:r>
            <w:proofErr w:type="spellEnd"/>
            <w:r w:rsidR="00CD45FE">
              <w:rPr>
                <w:sz w:val="20"/>
                <w:szCs w:val="20"/>
              </w:rPr>
              <w:t xml:space="preserve"> “</w:t>
            </w:r>
            <w:proofErr w:type="spellStart"/>
            <w:r w:rsidR="00CD45FE">
              <w:rPr>
                <w:sz w:val="20"/>
                <w:szCs w:val="20"/>
              </w:rPr>
              <w:t>ePārskati</w:t>
            </w:r>
            <w:proofErr w:type="spellEnd"/>
            <w:r w:rsidR="00CD45FE">
              <w:rPr>
                <w:sz w:val="20"/>
                <w:szCs w:val="20"/>
              </w:rPr>
              <w:t>”</w:t>
            </w:r>
            <w:r w:rsidR="009F348B">
              <w:rPr>
                <w:sz w:val="20"/>
                <w:szCs w:val="20"/>
              </w:rPr>
              <w:t xml:space="preserve"> (turpmāk – </w:t>
            </w:r>
            <w:proofErr w:type="spellStart"/>
            <w:r w:rsidR="009F348B">
              <w:rPr>
                <w:sz w:val="20"/>
                <w:szCs w:val="20"/>
              </w:rPr>
              <w:t>ePārskati</w:t>
            </w:r>
            <w:proofErr w:type="spellEnd"/>
            <w:r w:rsidR="009F348B">
              <w:rPr>
                <w:sz w:val="20"/>
                <w:szCs w:val="20"/>
              </w:rPr>
              <w:t>)</w:t>
            </w:r>
            <w:r w:rsidR="00CD45FE">
              <w:rPr>
                <w:sz w:val="20"/>
                <w:szCs w:val="20"/>
              </w:rPr>
              <w:t>, uzturot aktuālu</w:t>
            </w:r>
            <w:r w:rsidR="006B1ED2">
              <w:rPr>
                <w:sz w:val="20"/>
                <w:szCs w:val="20"/>
              </w:rPr>
              <w:t xml:space="preserve"> </w:t>
            </w:r>
            <w:r w:rsidR="006B1ED2" w:rsidRPr="006B1ED2">
              <w:rPr>
                <w:sz w:val="20"/>
                <w:szCs w:val="20"/>
              </w:rPr>
              <w:t>datu apmaiņas fail</w:t>
            </w:r>
            <w:r w:rsidR="00E24CF7">
              <w:rPr>
                <w:sz w:val="20"/>
                <w:szCs w:val="20"/>
              </w:rPr>
              <w:t>u</w:t>
            </w:r>
            <w:r w:rsidR="006B1ED2" w:rsidRPr="006B1ED2">
              <w:rPr>
                <w:sz w:val="20"/>
                <w:szCs w:val="20"/>
              </w:rPr>
              <w:t xml:space="preserve"> </w:t>
            </w:r>
            <w:proofErr w:type="spellStart"/>
            <w:r w:rsidR="006B1ED2">
              <w:rPr>
                <w:sz w:val="20"/>
                <w:szCs w:val="20"/>
              </w:rPr>
              <w:t>xml</w:t>
            </w:r>
            <w:proofErr w:type="spellEnd"/>
            <w:r w:rsidR="006B1ED2">
              <w:rPr>
                <w:sz w:val="20"/>
                <w:szCs w:val="20"/>
              </w:rPr>
              <w:t xml:space="preserve"> formātā, l</w:t>
            </w:r>
            <w:r w:rsidR="006B1ED2" w:rsidRPr="006B1ED2">
              <w:rPr>
                <w:sz w:val="20"/>
                <w:szCs w:val="20"/>
              </w:rPr>
              <w:t xml:space="preserve">ai mazinātu manuālo datu ievadi </w:t>
            </w:r>
            <w:proofErr w:type="spellStart"/>
            <w:r w:rsidR="006B1ED2" w:rsidRPr="006B1ED2">
              <w:rPr>
                <w:sz w:val="20"/>
                <w:szCs w:val="20"/>
              </w:rPr>
              <w:t>ePārskatos</w:t>
            </w:r>
            <w:proofErr w:type="spellEnd"/>
            <w:r w:rsidR="006B1ED2" w:rsidRPr="006B1ED2">
              <w:rPr>
                <w:sz w:val="20"/>
                <w:szCs w:val="20"/>
              </w:rPr>
              <w:t xml:space="preserve"> un nodrošinātu datu importu no g</w:t>
            </w:r>
            <w:r w:rsidR="006B1ED2">
              <w:rPr>
                <w:sz w:val="20"/>
                <w:szCs w:val="20"/>
              </w:rPr>
              <w:t>rāmatvedības uzskaites sistēmām</w:t>
            </w:r>
            <w:r w:rsidR="006B1ED2" w:rsidRPr="006B1ED2">
              <w:rPr>
                <w:sz w:val="20"/>
                <w:szCs w:val="20"/>
              </w:rPr>
              <w:t xml:space="preserve">. Lai izmantotu datu eksportu/ importu, grāmatvedības programmatūras izstrādātajam jāizstrādā datu eksporta fails </w:t>
            </w:r>
            <w:proofErr w:type="spellStart"/>
            <w:r w:rsidR="006B1ED2" w:rsidRPr="006B1ED2">
              <w:rPr>
                <w:sz w:val="20"/>
                <w:szCs w:val="20"/>
              </w:rPr>
              <w:t>xml</w:t>
            </w:r>
            <w:proofErr w:type="spellEnd"/>
            <w:r w:rsidR="006B1ED2" w:rsidRPr="006B1ED2">
              <w:rPr>
                <w:sz w:val="20"/>
                <w:szCs w:val="20"/>
              </w:rPr>
              <w:t xml:space="preserve"> formātā. Pārskatu elektronisko datu apmaiņas faila formātu Valsts k</w:t>
            </w:r>
            <w:r w:rsidR="006B1ED2">
              <w:rPr>
                <w:sz w:val="20"/>
                <w:szCs w:val="20"/>
              </w:rPr>
              <w:t xml:space="preserve">ase publicē savā tīmekļvietnē ne vēlāk kā līdz pārskata gada </w:t>
            </w:r>
            <w:r w:rsidR="00300CB5">
              <w:rPr>
                <w:sz w:val="20"/>
                <w:szCs w:val="20"/>
              </w:rPr>
              <w:t>1.oktobrim</w:t>
            </w:r>
            <w:r w:rsidR="006B1ED2">
              <w:rPr>
                <w:sz w:val="20"/>
                <w:szCs w:val="20"/>
              </w:rPr>
              <w:t>.</w:t>
            </w:r>
          </w:p>
          <w:p w14:paraId="13AD3C0C" w14:textId="49D5FB1F" w:rsidR="002068A0" w:rsidRDefault="002068A0" w:rsidP="006831BA">
            <w:pPr>
              <w:jc w:val="both"/>
              <w:rPr>
                <w:sz w:val="20"/>
                <w:szCs w:val="20"/>
              </w:rPr>
            </w:pPr>
          </w:p>
          <w:p w14:paraId="0256D456" w14:textId="0D962CFE" w:rsidR="00D534F3" w:rsidRPr="00AF57F0" w:rsidRDefault="00AF57F0" w:rsidP="00610315">
            <w:pPr>
              <w:widowControl w:val="0"/>
              <w:tabs>
                <w:tab w:val="left" w:pos="1134"/>
              </w:tabs>
              <w:contextualSpacing/>
              <w:jc w:val="both"/>
              <w:rPr>
                <w:sz w:val="22"/>
              </w:rPr>
            </w:pPr>
            <w:r w:rsidRPr="00AF57F0">
              <w:rPr>
                <w:sz w:val="20"/>
                <w:szCs w:val="20"/>
              </w:rPr>
              <w:t>[</w:t>
            </w:r>
            <w:r w:rsidR="00E07762">
              <w:rPr>
                <w:sz w:val="20"/>
                <w:szCs w:val="20"/>
              </w:rPr>
              <w:t>9</w:t>
            </w:r>
            <w:r w:rsidRPr="00AF57F0">
              <w:rPr>
                <w:sz w:val="20"/>
                <w:szCs w:val="20"/>
              </w:rPr>
              <w:t>.] Noteikumu projektā noteikts, j</w:t>
            </w:r>
            <w:r w:rsidR="00D534F3" w:rsidRPr="00AF57F0">
              <w:rPr>
                <w:sz w:val="20"/>
                <w:szCs w:val="20"/>
              </w:rPr>
              <w:t xml:space="preserve">a iestāde ievērojusi šo noteikumu prasības, Valsts kase nodrošina </w:t>
            </w:r>
            <w:proofErr w:type="spellStart"/>
            <w:r w:rsidR="00D534F3" w:rsidRPr="00AF57F0">
              <w:rPr>
                <w:sz w:val="20"/>
                <w:szCs w:val="20"/>
              </w:rPr>
              <w:t>ePārskatu</w:t>
            </w:r>
            <w:proofErr w:type="spellEnd"/>
            <w:r w:rsidR="00D534F3" w:rsidRPr="00AF57F0">
              <w:rPr>
                <w:sz w:val="20"/>
                <w:szCs w:val="20"/>
              </w:rPr>
              <w:t xml:space="preserve"> sistēmā iesniegtā gada pārskata vai konsolidētā gada pārskata lietas iesniegšanu Latvijas Nacionālajā arhīvā</w:t>
            </w:r>
            <w:r w:rsidRPr="00AF57F0">
              <w:rPr>
                <w:sz w:val="20"/>
                <w:szCs w:val="20"/>
              </w:rPr>
              <w:t>.</w:t>
            </w:r>
            <w:r w:rsidRPr="00AF57F0">
              <w:rPr>
                <w:sz w:val="22"/>
              </w:rPr>
              <w:t xml:space="preserve"> </w:t>
            </w:r>
            <w:r w:rsidRPr="003703DF">
              <w:rPr>
                <w:sz w:val="20"/>
                <w:szCs w:val="20"/>
              </w:rPr>
              <w:t>Valsts kase nodrošina gada pārskata saglabāšanu un iesniegšanu Latvijas Nacionālajā</w:t>
            </w:r>
            <w:r>
              <w:rPr>
                <w:sz w:val="20"/>
                <w:szCs w:val="20"/>
              </w:rPr>
              <w:t xml:space="preserve"> </w:t>
            </w:r>
            <w:r w:rsidRPr="003703DF">
              <w:rPr>
                <w:sz w:val="20"/>
                <w:szCs w:val="20"/>
              </w:rPr>
              <w:t xml:space="preserve">arhīvā (turpmāk – LNA) elektroniskā formātā visām tām iestādēm, kas gada pārskata sagatavošanai izmanto </w:t>
            </w:r>
            <w:proofErr w:type="spellStart"/>
            <w:r w:rsidRPr="003703DF">
              <w:rPr>
                <w:sz w:val="20"/>
                <w:szCs w:val="20"/>
              </w:rPr>
              <w:t>ePārskatus</w:t>
            </w:r>
            <w:proofErr w:type="spellEnd"/>
            <w:r w:rsidRPr="003703DF">
              <w:rPr>
                <w:sz w:val="20"/>
                <w:szCs w:val="20"/>
              </w:rPr>
              <w:t xml:space="preserve"> un kuru gada pārskats atbilst noteikumu projektā noteiktajām normām. Iestādes šo lietu iekļauj savā nomenklatūrā un norāda, ka tā glabājas elektroniski </w:t>
            </w:r>
            <w:proofErr w:type="spellStart"/>
            <w:r w:rsidRPr="003703DF">
              <w:rPr>
                <w:sz w:val="20"/>
                <w:szCs w:val="20"/>
              </w:rPr>
              <w:t>ePārsk</w:t>
            </w:r>
            <w:r>
              <w:rPr>
                <w:sz w:val="20"/>
                <w:szCs w:val="20"/>
              </w:rPr>
              <w:t>a</w:t>
            </w:r>
            <w:r w:rsidRPr="003703DF">
              <w:rPr>
                <w:sz w:val="20"/>
                <w:szCs w:val="20"/>
              </w:rPr>
              <w:t>tos</w:t>
            </w:r>
            <w:proofErr w:type="spellEnd"/>
            <w:r w:rsidRPr="003703DF">
              <w:rPr>
                <w:sz w:val="20"/>
                <w:szCs w:val="20"/>
              </w:rPr>
              <w:t xml:space="preserve"> un nodošanu LNA nodrošina Valsts kase.</w:t>
            </w:r>
          </w:p>
          <w:p w14:paraId="1A223243" w14:textId="77777777" w:rsidR="00EC58D9" w:rsidRDefault="00EC58D9" w:rsidP="006831BA">
            <w:pPr>
              <w:jc w:val="both"/>
              <w:rPr>
                <w:sz w:val="20"/>
                <w:szCs w:val="20"/>
              </w:rPr>
            </w:pPr>
          </w:p>
          <w:p w14:paraId="1D718E4F" w14:textId="638EDFA7" w:rsidR="00434AB4" w:rsidRPr="00BA3299" w:rsidRDefault="00EC58D9" w:rsidP="00434AB4">
            <w:pPr>
              <w:jc w:val="both"/>
              <w:rPr>
                <w:b/>
                <w:sz w:val="20"/>
                <w:szCs w:val="20"/>
              </w:rPr>
            </w:pPr>
            <w:r>
              <w:rPr>
                <w:sz w:val="20"/>
                <w:szCs w:val="20"/>
              </w:rPr>
              <w:t>[</w:t>
            </w:r>
            <w:r w:rsidR="00E07762">
              <w:rPr>
                <w:sz w:val="20"/>
                <w:szCs w:val="20"/>
              </w:rPr>
              <w:t>10</w:t>
            </w:r>
            <w:r w:rsidR="002068A0">
              <w:rPr>
                <w:sz w:val="20"/>
                <w:szCs w:val="20"/>
              </w:rPr>
              <w:t>.</w:t>
            </w:r>
            <w:r>
              <w:rPr>
                <w:sz w:val="20"/>
                <w:szCs w:val="20"/>
              </w:rPr>
              <w:t xml:space="preserve">] </w:t>
            </w:r>
            <w:r w:rsidR="00D04A2A" w:rsidRPr="00D04A2A">
              <w:rPr>
                <w:sz w:val="20"/>
                <w:szCs w:val="20"/>
              </w:rPr>
              <w:t xml:space="preserve">Noteikumu projekts nosaka, ka finanšu pārskata posteņu strukturizētajā skaidrojumā norāda katra finanšu pārskata posteņa būtisku izmaiņu iemeslus un summu pārskata gada laikā. </w:t>
            </w:r>
            <w:r w:rsidR="00550683" w:rsidRPr="00550683">
              <w:rPr>
                <w:b/>
                <w:sz w:val="20"/>
                <w:szCs w:val="20"/>
              </w:rPr>
              <w:t>Valsts kase nosaka b</w:t>
            </w:r>
            <w:r w:rsidR="00D04A2A" w:rsidRPr="00550683">
              <w:rPr>
                <w:b/>
                <w:sz w:val="20"/>
                <w:szCs w:val="20"/>
              </w:rPr>
              <w:t>ūtiskuma līmeni</w:t>
            </w:r>
            <w:r w:rsidR="00550683" w:rsidRPr="00550683">
              <w:rPr>
                <w:b/>
                <w:sz w:val="20"/>
                <w:szCs w:val="20"/>
              </w:rPr>
              <w:t xml:space="preserve"> kārtējam gadam un publicē šo informāciju savā </w:t>
            </w:r>
            <w:r w:rsidR="00D04A2A" w:rsidRPr="00550683">
              <w:rPr>
                <w:b/>
                <w:sz w:val="20"/>
                <w:szCs w:val="20"/>
              </w:rPr>
              <w:t>tīmekļvietnē</w:t>
            </w:r>
            <w:r w:rsidR="00550683" w:rsidRPr="00550683">
              <w:rPr>
                <w:b/>
                <w:sz w:val="20"/>
                <w:szCs w:val="20"/>
              </w:rPr>
              <w:t xml:space="preserve"> </w:t>
            </w:r>
            <w:proofErr w:type="spellStart"/>
            <w:r w:rsidR="00550683" w:rsidRPr="00550683">
              <w:rPr>
                <w:b/>
                <w:sz w:val="20"/>
                <w:szCs w:val="20"/>
              </w:rPr>
              <w:t>pdf</w:t>
            </w:r>
            <w:proofErr w:type="spellEnd"/>
            <w:r w:rsidR="00550683" w:rsidRPr="00550683">
              <w:rPr>
                <w:b/>
                <w:sz w:val="20"/>
                <w:szCs w:val="20"/>
              </w:rPr>
              <w:t>. formātā.</w:t>
            </w:r>
            <w:r w:rsidR="00D04A2A" w:rsidRPr="00D04A2A">
              <w:rPr>
                <w:sz w:val="20"/>
                <w:szCs w:val="20"/>
              </w:rPr>
              <w:t xml:space="preserve"> </w:t>
            </w:r>
            <w:r w:rsidR="00550683">
              <w:rPr>
                <w:sz w:val="20"/>
                <w:szCs w:val="20"/>
              </w:rPr>
              <w:t>B</w:t>
            </w:r>
            <w:r w:rsidR="00D04A2A" w:rsidRPr="00D04A2A">
              <w:rPr>
                <w:sz w:val="20"/>
                <w:szCs w:val="20"/>
              </w:rPr>
              <w:t xml:space="preserve">ūtiskuma līmeni Valsts kase var noteikt, ja tai ir pieejama informācija par gada pārskatu, t.i. tā var noteikt būtiskuma līmeni tām iestādēm, kas pārskata sagatavošanai un iesniegšanai izmanto </w:t>
            </w:r>
            <w:proofErr w:type="spellStart"/>
            <w:r w:rsidR="00D04A2A" w:rsidRPr="00D04A2A">
              <w:rPr>
                <w:sz w:val="20"/>
                <w:szCs w:val="20"/>
              </w:rPr>
              <w:t>ePārskatus</w:t>
            </w:r>
            <w:proofErr w:type="spellEnd"/>
            <w:r w:rsidR="00D04A2A" w:rsidRPr="00D04A2A">
              <w:rPr>
                <w:sz w:val="20"/>
                <w:szCs w:val="20"/>
              </w:rPr>
              <w:t xml:space="preserve">. Visām iestādēm, t.sk. tām iestādēm, kas gada pārskatu nesagatavo </w:t>
            </w:r>
            <w:proofErr w:type="spellStart"/>
            <w:r w:rsidR="00D04A2A" w:rsidRPr="00D04A2A">
              <w:rPr>
                <w:sz w:val="20"/>
                <w:szCs w:val="20"/>
              </w:rPr>
              <w:t>ePārskatos</w:t>
            </w:r>
            <w:proofErr w:type="spellEnd"/>
            <w:r w:rsidR="00D04A2A" w:rsidRPr="00D04A2A">
              <w:rPr>
                <w:sz w:val="20"/>
                <w:szCs w:val="20"/>
              </w:rPr>
              <w:t xml:space="preserve"> (piemēram, valsts drošības iestādes vai pašvaldību budžeta iestādes), Valsts kase savā tīmekļvietnē nodrošinās pieejamu </w:t>
            </w:r>
            <w:r w:rsidR="00BA3299">
              <w:rPr>
                <w:sz w:val="20"/>
                <w:szCs w:val="20"/>
              </w:rPr>
              <w:t xml:space="preserve">būtiskuma noteikšanas algoritmu, </w:t>
            </w:r>
            <w:r w:rsidR="00BA3299" w:rsidRPr="00BA3299">
              <w:rPr>
                <w:b/>
                <w:sz w:val="20"/>
                <w:szCs w:val="20"/>
              </w:rPr>
              <w:t>pēc tehniskā risinājuma izstrādes, bet ne vēlāk kā līdz 01.05.2023.</w:t>
            </w:r>
            <w:r w:rsidR="00550683">
              <w:rPr>
                <w:b/>
                <w:sz w:val="20"/>
                <w:szCs w:val="20"/>
              </w:rPr>
              <w:t xml:space="preserve"> Līdz tehniskā risinājuma izstrādei būtiskuma līmeni turpinās publicēt </w:t>
            </w:r>
            <w:proofErr w:type="spellStart"/>
            <w:r w:rsidR="00550683">
              <w:rPr>
                <w:b/>
                <w:sz w:val="20"/>
                <w:szCs w:val="20"/>
              </w:rPr>
              <w:t>pdf</w:t>
            </w:r>
            <w:proofErr w:type="spellEnd"/>
            <w:r w:rsidR="00550683">
              <w:rPr>
                <w:b/>
                <w:sz w:val="20"/>
                <w:szCs w:val="20"/>
              </w:rPr>
              <w:t xml:space="preserve"> formātā Valsts kases tīmekļvietnē.</w:t>
            </w:r>
          </w:p>
          <w:p w14:paraId="6BA807E8" w14:textId="77777777" w:rsidR="00434AB4" w:rsidRDefault="00434AB4" w:rsidP="002068A0">
            <w:pPr>
              <w:jc w:val="both"/>
              <w:rPr>
                <w:sz w:val="20"/>
                <w:szCs w:val="20"/>
              </w:rPr>
            </w:pPr>
          </w:p>
          <w:p w14:paraId="4BDD8684" w14:textId="0591A0DA" w:rsidR="006671A3" w:rsidRDefault="006831BA" w:rsidP="002068A0">
            <w:pPr>
              <w:jc w:val="both"/>
              <w:rPr>
                <w:sz w:val="20"/>
                <w:szCs w:val="20"/>
              </w:rPr>
            </w:pPr>
            <w:r>
              <w:rPr>
                <w:sz w:val="20"/>
                <w:szCs w:val="20"/>
              </w:rPr>
              <w:t>Noteikumu projekts paredz a</w:t>
            </w:r>
            <w:r w:rsidRPr="006831BA">
              <w:rPr>
                <w:sz w:val="20"/>
                <w:szCs w:val="20"/>
              </w:rPr>
              <w:t>tzīt par spēku zaudējušiem Ministru kabineta 2018. gada 19. jūnija noteikumus Nr. 344 “Gada pārskata sagatavošanas kārtība” (Latvi</w:t>
            </w:r>
            <w:r>
              <w:rPr>
                <w:sz w:val="20"/>
                <w:szCs w:val="20"/>
              </w:rPr>
              <w:t>jas Vēstnesis, 2018, 129. nr.)</w:t>
            </w:r>
            <w:r w:rsidRPr="006831BA">
              <w:rPr>
                <w:sz w:val="20"/>
                <w:szCs w:val="20"/>
              </w:rPr>
              <w:t>.</w:t>
            </w:r>
          </w:p>
          <w:p w14:paraId="2CEEE8B7" w14:textId="2AD4CC13" w:rsidR="001372F6" w:rsidRPr="001372F6" w:rsidRDefault="001372F6" w:rsidP="001372F6">
            <w:pPr>
              <w:jc w:val="both"/>
              <w:rPr>
                <w:b/>
                <w:sz w:val="20"/>
                <w:szCs w:val="20"/>
              </w:rPr>
            </w:pPr>
            <w:r>
              <w:rPr>
                <w:b/>
                <w:sz w:val="20"/>
                <w:szCs w:val="20"/>
              </w:rPr>
              <w:t xml:space="preserve">No </w:t>
            </w:r>
            <w:r w:rsidRPr="001372F6">
              <w:rPr>
                <w:b/>
                <w:sz w:val="20"/>
                <w:szCs w:val="20"/>
              </w:rPr>
              <w:t>Likuma par budžetu un finanšu vadību 97. punkta izriet, ka MK noteikumi Nr. 430 zaudēs spēku 2023. gada 1. janvārī. Tāpat Likum</w:t>
            </w:r>
            <w:r>
              <w:rPr>
                <w:b/>
                <w:sz w:val="20"/>
                <w:szCs w:val="20"/>
              </w:rPr>
              <w:t>ā</w:t>
            </w:r>
            <w:r w:rsidRPr="001372F6">
              <w:rPr>
                <w:b/>
                <w:sz w:val="20"/>
                <w:szCs w:val="20"/>
              </w:rPr>
              <w:t xml:space="preserve"> par budžetu un finanšu vadību ir paredzēts, ka Ministru kabineta noteikumus, kas tiks izdoti uz šā likuma 31. panta otrās daļas pamata, pirmo reizi piemēro 2024. gadā, sagatavojot konsolidēto saimnieciskā gada pārskatu par 2023. gadu.</w:t>
            </w:r>
          </w:p>
        </w:tc>
      </w:tr>
      <w:tr w:rsidR="00BD5588" w:rsidRPr="00187078" w14:paraId="6E9F305E" w14:textId="77777777" w:rsidTr="00F26D4F">
        <w:tblPrEx>
          <w:shd w:val="clear" w:color="auto" w:fill="auto"/>
          <w:tblCellMar>
            <w:top w:w="30" w:type="dxa"/>
            <w:left w:w="30" w:type="dxa"/>
            <w:bottom w:w="30" w:type="dxa"/>
            <w:right w:w="30" w:type="dxa"/>
          </w:tblCellMar>
        </w:tblPrEx>
        <w:trPr>
          <w:cantSplit/>
        </w:trPr>
        <w:tc>
          <w:tcPr>
            <w:tcW w:w="575" w:type="dxa"/>
            <w:hideMark/>
          </w:tcPr>
          <w:p w14:paraId="33C9D3A9" w14:textId="77777777" w:rsidR="00BD5588" w:rsidRPr="00187078" w:rsidRDefault="00BD5588" w:rsidP="00194DAA">
            <w:pPr>
              <w:jc w:val="center"/>
              <w:rPr>
                <w:sz w:val="20"/>
                <w:szCs w:val="20"/>
              </w:rPr>
            </w:pPr>
            <w:r w:rsidRPr="00187078">
              <w:rPr>
                <w:sz w:val="20"/>
                <w:szCs w:val="20"/>
              </w:rPr>
              <w:lastRenderedPageBreak/>
              <w:t>3.</w:t>
            </w:r>
          </w:p>
        </w:tc>
        <w:tc>
          <w:tcPr>
            <w:tcW w:w="2735" w:type="dxa"/>
            <w:hideMark/>
          </w:tcPr>
          <w:p w14:paraId="60C9CD1D" w14:textId="77777777" w:rsidR="00BD5588" w:rsidRPr="00187078" w:rsidRDefault="00BD5588" w:rsidP="00194DAA">
            <w:pPr>
              <w:rPr>
                <w:sz w:val="20"/>
                <w:szCs w:val="20"/>
              </w:rPr>
            </w:pPr>
            <w:r w:rsidRPr="00187078">
              <w:rPr>
                <w:sz w:val="20"/>
                <w:szCs w:val="20"/>
              </w:rPr>
              <w:t>Projekta izstrādē iesaistītās institūcijas un publiskas personas kapitālsabiedrības</w:t>
            </w:r>
          </w:p>
        </w:tc>
        <w:tc>
          <w:tcPr>
            <w:tcW w:w="5616" w:type="dxa"/>
            <w:gridSpan w:val="2"/>
            <w:hideMark/>
          </w:tcPr>
          <w:p w14:paraId="38CEBFC1" w14:textId="32525EC1" w:rsidR="003D7850" w:rsidRPr="006E36A8" w:rsidRDefault="006E36A8" w:rsidP="00C86363">
            <w:pPr>
              <w:jc w:val="both"/>
              <w:rPr>
                <w:sz w:val="20"/>
                <w:szCs w:val="20"/>
              </w:rPr>
            </w:pPr>
            <w:r w:rsidRPr="006E36A8">
              <w:rPr>
                <w:sz w:val="20"/>
                <w:szCs w:val="20"/>
              </w:rPr>
              <w:t>Valsts kase, Finanšu ministrija</w:t>
            </w:r>
            <w:r w:rsidR="00C86363">
              <w:rPr>
                <w:sz w:val="20"/>
                <w:szCs w:val="20"/>
              </w:rPr>
              <w:t xml:space="preserve">, Tieslietu ministrija, </w:t>
            </w:r>
            <w:proofErr w:type="spellStart"/>
            <w:r w:rsidR="00C86363">
              <w:rPr>
                <w:sz w:val="20"/>
                <w:szCs w:val="20"/>
              </w:rPr>
              <w:t>Iekšlietu</w:t>
            </w:r>
            <w:proofErr w:type="spellEnd"/>
            <w:r w:rsidR="00C86363">
              <w:rPr>
                <w:sz w:val="20"/>
                <w:szCs w:val="20"/>
              </w:rPr>
              <w:t xml:space="preserve"> min</w:t>
            </w:r>
            <w:r w:rsidR="003C394B">
              <w:rPr>
                <w:sz w:val="20"/>
                <w:szCs w:val="20"/>
              </w:rPr>
              <w:t xml:space="preserve">istrija, </w:t>
            </w:r>
            <w:proofErr w:type="spellStart"/>
            <w:r w:rsidR="003C394B">
              <w:rPr>
                <w:sz w:val="20"/>
                <w:szCs w:val="20"/>
              </w:rPr>
              <w:t>Cēsu</w:t>
            </w:r>
            <w:proofErr w:type="spellEnd"/>
            <w:r w:rsidR="003C394B">
              <w:rPr>
                <w:sz w:val="20"/>
                <w:szCs w:val="20"/>
              </w:rPr>
              <w:t xml:space="preserve"> novada pašvaldība un citas ministrijas un pašvaldības.</w:t>
            </w:r>
          </w:p>
        </w:tc>
      </w:tr>
      <w:tr w:rsidR="00BD5588" w:rsidRPr="00187078" w14:paraId="6EBBAEF4" w14:textId="77777777" w:rsidTr="00F26D4F">
        <w:tblPrEx>
          <w:tblCellMar>
            <w:top w:w="30" w:type="dxa"/>
            <w:left w:w="30" w:type="dxa"/>
            <w:bottom w:w="30" w:type="dxa"/>
            <w:right w:w="30" w:type="dxa"/>
          </w:tblCellMar>
        </w:tblPrEx>
        <w:tc>
          <w:tcPr>
            <w:tcW w:w="575" w:type="dxa"/>
            <w:hideMark/>
          </w:tcPr>
          <w:p w14:paraId="6C0F7D82" w14:textId="77777777" w:rsidR="00BD5588" w:rsidRPr="00187078" w:rsidRDefault="00BD5588" w:rsidP="00194DAA">
            <w:pPr>
              <w:jc w:val="center"/>
              <w:rPr>
                <w:sz w:val="20"/>
                <w:szCs w:val="20"/>
              </w:rPr>
            </w:pPr>
            <w:r w:rsidRPr="00187078">
              <w:rPr>
                <w:sz w:val="20"/>
                <w:szCs w:val="20"/>
              </w:rPr>
              <w:t>4.</w:t>
            </w:r>
          </w:p>
        </w:tc>
        <w:tc>
          <w:tcPr>
            <w:tcW w:w="2735" w:type="dxa"/>
            <w:hideMark/>
          </w:tcPr>
          <w:p w14:paraId="294ECBB4" w14:textId="77777777" w:rsidR="00BD5588" w:rsidRPr="00187078" w:rsidRDefault="00BD5588" w:rsidP="00194DAA">
            <w:pPr>
              <w:rPr>
                <w:sz w:val="20"/>
                <w:szCs w:val="20"/>
              </w:rPr>
            </w:pPr>
            <w:r w:rsidRPr="00187078">
              <w:rPr>
                <w:sz w:val="20"/>
                <w:szCs w:val="20"/>
              </w:rPr>
              <w:t>Cita informācija</w:t>
            </w:r>
          </w:p>
        </w:tc>
        <w:tc>
          <w:tcPr>
            <w:tcW w:w="5616" w:type="dxa"/>
            <w:gridSpan w:val="2"/>
            <w:hideMark/>
          </w:tcPr>
          <w:p w14:paraId="245BBF03" w14:textId="623F35DD" w:rsidR="00D25D91" w:rsidRPr="00D25D91" w:rsidRDefault="00D25D91" w:rsidP="00D25D91">
            <w:pPr>
              <w:jc w:val="both"/>
              <w:rPr>
                <w:b/>
                <w:sz w:val="20"/>
                <w:szCs w:val="20"/>
              </w:rPr>
            </w:pPr>
            <w:r w:rsidRPr="00D25D91">
              <w:rPr>
                <w:b/>
                <w:sz w:val="20"/>
                <w:szCs w:val="20"/>
              </w:rPr>
              <w:t>Ministrijas, centrālās valsts iestādes vai pašvaldības gada pārskata vai konsolidētā gada pārskata iesniegšanas termiņi noteikti Likuma par budžeta un finanšu vadību (turpmāk – LBFV) 30.panta 3.daļā. Ikgadējo pārskatu iesniegšanas termiņi noteikti LBFV 30.panta 3</w:t>
            </w:r>
            <w:r w:rsidRPr="00D25D91">
              <w:rPr>
                <w:b/>
                <w:sz w:val="20"/>
                <w:szCs w:val="20"/>
                <w:vertAlign w:val="superscript"/>
              </w:rPr>
              <w:t>1</w:t>
            </w:r>
            <w:r w:rsidRPr="00D25D91">
              <w:rPr>
                <w:b/>
                <w:sz w:val="20"/>
                <w:szCs w:val="20"/>
              </w:rPr>
              <w:t>. un 3</w:t>
            </w:r>
            <w:r w:rsidRPr="00D25D91">
              <w:rPr>
                <w:b/>
                <w:sz w:val="20"/>
                <w:szCs w:val="20"/>
                <w:vertAlign w:val="superscript"/>
              </w:rPr>
              <w:t>2</w:t>
            </w:r>
            <w:r w:rsidRPr="00D25D91">
              <w:rPr>
                <w:b/>
                <w:sz w:val="20"/>
                <w:szCs w:val="20"/>
              </w:rPr>
              <w:t>. daļā. Konsolidētā saimnieciskā gada pārskata iesniegšanas termiņš Valsts kontrolei noteikts LBFV 32.panta 1.daļā, iesniegšanas termiņš Saeimā – LBFV 31.panta 1.daļā.</w:t>
            </w:r>
          </w:p>
        </w:tc>
      </w:tr>
    </w:tbl>
    <w:p w14:paraId="3133B0D1" w14:textId="77777777" w:rsidR="00BD5588" w:rsidRPr="00187078" w:rsidRDefault="00BD5588" w:rsidP="00BD5588">
      <w:pPr>
        <w:pStyle w:val="Title"/>
        <w:spacing w:before="130" w:line="260" w:lineRule="exact"/>
        <w:ind w:firstLine="539"/>
        <w:jc w:val="both"/>
        <w:rPr>
          <w:sz w:val="20"/>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4"/>
        <w:gridCol w:w="2735"/>
        <w:gridCol w:w="5616"/>
      </w:tblGrid>
      <w:tr w:rsidR="00BD5588" w:rsidRPr="00187078" w14:paraId="1F96687C" w14:textId="77777777" w:rsidTr="00F26D4F">
        <w:trPr>
          <w:cantSplit/>
        </w:trPr>
        <w:tc>
          <w:tcPr>
            <w:tcW w:w="5000" w:type="pct"/>
            <w:gridSpan w:val="3"/>
            <w:vAlign w:val="center"/>
            <w:hideMark/>
          </w:tcPr>
          <w:p w14:paraId="2713043D" w14:textId="77777777" w:rsidR="00BD5588" w:rsidRPr="00187078" w:rsidRDefault="00BD5588" w:rsidP="00194DAA">
            <w:pPr>
              <w:jc w:val="center"/>
              <w:rPr>
                <w:b/>
                <w:bCs/>
                <w:sz w:val="20"/>
                <w:szCs w:val="20"/>
              </w:rPr>
            </w:pPr>
            <w:r w:rsidRPr="00187078">
              <w:rPr>
                <w:b/>
                <w:bCs/>
                <w:sz w:val="20"/>
                <w:szCs w:val="20"/>
              </w:rPr>
              <w:t>II. Tiesību akta projekta ietekme uz sabiedrību, tautsaimniecības attīstību un administratīvo slogu</w:t>
            </w:r>
          </w:p>
        </w:tc>
      </w:tr>
      <w:tr w:rsidR="00BD5588" w:rsidRPr="00187078" w14:paraId="683A88D5" w14:textId="77777777" w:rsidTr="00F26D4F">
        <w:trPr>
          <w:cantSplit/>
        </w:trPr>
        <w:tc>
          <w:tcPr>
            <w:tcW w:w="322" w:type="pct"/>
            <w:hideMark/>
          </w:tcPr>
          <w:p w14:paraId="68332C18" w14:textId="77777777" w:rsidR="00BD5588" w:rsidRPr="00187078" w:rsidRDefault="00BD5588" w:rsidP="00194DAA">
            <w:pPr>
              <w:jc w:val="center"/>
              <w:rPr>
                <w:sz w:val="20"/>
                <w:szCs w:val="20"/>
              </w:rPr>
            </w:pPr>
            <w:r w:rsidRPr="00187078">
              <w:rPr>
                <w:sz w:val="20"/>
                <w:szCs w:val="20"/>
              </w:rPr>
              <w:t>1.</w:t>
            </w:r>
          </w:p>
        </w:tc>
        <w:tc>
          <w:tcPr>
            <w:tcW w:w="1532" w:type="pct"/>
            <w:hideMark/>
          </w:tcPr>
          <w:p w14:paraId="0E2F86C3" w14:textId="77777777" w:rsidR="00BD5588" w:rsidRPr="00187078" w:rsidRDefault="00BD5588" w:rsidP="00194DAA">
            <w:pPr>
              <w:rPr>
                <w:sz w:val="20"/>
                <w:szCs w:val="20"/>
              </w:rPr>
            </w:pPr>
            <w:r w:rsidRPr="00187078">
              <w:rPr>
                <w:sz w:val="20"/>
                <w:szCs w:val="20"/>
              </w:rPr>
              <w:t xml:space="preserve">Sabiedrības </w:t>
            </w:r>
            <w:proofErr w:type="spellStart"/>
            <w:r w:rsidRPr="00187078">
              <w:rPr>
                <w:sz w:val="20"/>
                <w:szCs w:val="20"/>
              </w:rPr>
              <w:t>mērķgrupas</w:t>
            </w:r>
            <w:proofErr w:type="spellEnd"/>
            <w:r w:rsidRPr="00187078">
              <w:rPr>
                <w:sz w:val="20"/>
                <w:szCs w:val="20"/>
              </w:rPr>
              <w:t>, kuras tiesiskais regulējums ietekmē vai varētu ietekmēt</w:t>
            </w:r>
          </w:p>
        </w:tc>
        <w:tc>
          <w:tcPr>
            <w:tcW w:w="3146" w:type="pct"/>
            <w:hideMark/>
          </w:tcPr>
          <w:p w14:paraId="5051ABD9" w14:textId="184E5FC4" w:rsidR="00BD5588" w:rsidRPr="003D7850" w:rsidRDefault="006831BA" w:rsidP="004B6EB1">
            <w:pPr>
              <w:jc w:val="both"/>
              <w:rPr>
                <w:color w:val="808080" w:themeColor="background1" w:themeShade="80"/>
                <w:sz w:val="16"/>
                <w:szCs w:val="20"/>
              </w:rPr>
            </w:pPr>
            <w:r w:rsidRPr="006831BA">
              <w:rPr>
                <w:sz w:val="20"/>
              </w:rPr>
              <w:t>Ministriju un citu centrālo valsts iestāžu</w:t>
            </w:r>
            <w:r w:rsidR="004B6EB1">
              <w:rPr>
                <w:sz w:val="20"/>
              </w:rPr>
              <w:t>,</w:t>
            </w:r>
            <w:r w:rsidR="005963B0">
              <w:rPr>
                <w:sz w:val="20"/>
              </w:rPr>
              <w:t xml:space="preserve"> pašvaldību</w:t>
            </w:r>
            <w:r w:rsidRPr="006831BA">
              <w:rPr>
                <w:sz w:val="20"/>
              </w:rPr>
              <w:t xml:space="preserve"> </w:t>
            </w:r>
            <w:r w:rsidR="004B6EB1">
              <w:rPr>
                <w:sz w:val="20"/>
              </w:rPr>
              <w:t xml:space="preserve"> </w:t>
            </w:r>
            <w:r w:rsidR="004B6EB1" w:rsidRPr="009C12BC">
              <w:rPr>
                <w:b/>
                <w:sz w:val="20"/>
              </w:rPr>
              <w:t>un iestāžu</w:t>
            </w:r>
            <w:r w:rsidR="004B6EB1">
              <w:rPr>
                <w:sz w:val="20"/>
              </w:rPr>
              <w:t xml:space="preserve"> </w:t>
            </w:r>
            <w:r w:rsidRPr="006831BA">
              <w:rPr>
                <w:sz w:val="20"/>
              </w:rPr>
              <w:t>darbinieki.</w:t>
            </w:r>
          </w:p>
        </w:tc>
      </w:tr>
      <w:tr w:rsidR="006831BA" w:rsidRPr="00187078" w14:paraId="47C2761A" w14:textId="77777777" w:rsidTr="00F26D4F">
        <w:trPr>
          <w:cantSplit/>
        </w:trPr>
        <w:tc>
          <w:tcPr>
            <w:tcW w:w="322" w:type="pct"/>
            <w:hideMark/>
          </w:tcPr>
          <w:p w14:paraId="28A04DE3" w14:textId="77777777" w:rsidR="006831BA" w:rsidRPr="00187078" w:rsidRDefault="006831BA" w:rsidP="006831BA">
            <w:pPr>
              <w:jc w:val="center"/>
              <w:rPr>
                <w:sz w:val="20"/>
                <w:szCs w:val="20"/>
              </w:rPr>
            </w:pPr>
            <w:r w:rsidRPr="00187078">
              <w:rPr>
                <w:sz w:val="20"/>
                <w:szCs w:val="20"/>
              </w:rPr>
              <w:t>2.</w:t>
            </w:r>
          </w:p>
        </w:tc>
        <w:tc>
          <w:tcPr>
            <w:tcW w:w="1532" w:type="pct"/>
            <w:hideMark/>
          </w:tcPr>
          <w:p w14:paraId="28D8D6A2" w14:textId="77777777" w:rsidR="006831BA" w:rsidRPr="00187078" w:rsidRDefault="006831BA" w:rsidP="006831BA">
            <w:pPr>
              <w:rPr>
                <w:sz w:val="20"/>
                <w:szCs w:val="20"/>
              </w:rPr>
            </w:pPr>
            <w:r w:rsidRPr="00187078">
              <w:rPr>
                <w:sz w:val="20"/>
                <w:szCs w:val="20"/>
              </w:rPr>
              <w:t>Tiesiskā regulējuma ietekme uz tautsaimniecību un administratīvo slogu</w:t>
            </w:r>
          </w:p>
        </w:tc>
        <w:tc>
          <w:tcPr>
            <w:tcW w:w="3146" w:type="pct"/>
            <w:hideMark/>
          </w:tcPr>
          <w:p w14:paraId="2DE5CD7C" w14:textId="77777777" w:rsidR="00880958" w:rsidRDefault="006831BA" w:rsidP="002D72D1">
            <w:pPr>
              <w:jc w:val="both"/>
              <w:rPr>
                <w:iCs/>
                <w:sz w:val="20"/>
              </w:rPr>
            </w:pPr>
            <w:r w:rsidRPr="006831BA">
              <w:rPr>
                <w:iCs/>
                <w:sz w:val="20"/>
              </w:rPr>
              <w:t xml:space="preserve">Noteikumu projektam nebūs ietekmes uz tautsaimniecību. </w:t>
            </w:r>
          </w:p>
          <w:p w14:paraId="217EFE45" w14:textId="77777777" w:rsidR="007E2D0D" w:rsidRDefault="002D72D1" w:rsidP="007E2D0D">
            <w:pPr>
              <w:jc w:val="both"/>
              <w:rPr>
                <w:iCs/>
                <w:sz w:val="20"/>
              </w:rPr>
            </w:pPr>
            <w:r>
              <w:rPr>
                <w:iCs/>
                <w:sz w:val="20"/>
              </w:rPr>
              <w:t>Noteikumu</w:t>
            </w:r>
            <w:r w:rsidR="006831BA" w:rsidRPr="006831BA">
              <w:rPr>
                <w:iCs/>
                <w:sz w:val="20"/>
              </w:rPr>
              <w:t xml:space="preserve"> projekta tiesiskais regulējums nemaina administratīvo slogu</w:t>
            </w:r>
            <w:r w:rsidR="007E2D0D">
              <w:rPr>
                <w:iCs/>
                <w:sz w:val="20"/>
              </w:rPr>
              <w:t>.</w:t>
            </w:r>
          </w:p>
          <w:p w14:paraId="4DB277C0" w14:textId="70798210" w:rsidR="00EF0782" w:rsidRDefault="00EF0782" w:rsidP="007E2D0D">
            <w:pPr>
              <w:jc w:val="both"/>
              <w:rPr>
                <w:b/>
                <w:iCs/>
                <w:sz w:val="20"/>
              </w:rPr>
            </w:pPr>
            <w:r>
              <w:rPr>
                <w:b/>
                <w:iCs/>
                <w:sz w:val="20"/>
              </w:rPr>
              <w:t>[1.] Noteikumu projekta 23.punktā noteiktais, samazinās administratīvo slogu grāmatvedības uzskaites pakalpojuma sniedzējiem, jo nebūs jāsagatavo katrai iestādei vai nozarei sava gada pārskata sagatavošanas kārtība, bet varēs sagatavot vienu kārtību.</w:t>
            </w:r>
          </w:p>
          <w:p w14:paraId="0D34E42C" w14:textId="77777777" w:rsidR="00662EC0" w:rsidRDefault="00EF0782" w:rsidP="007E2D0D">
            <w:pPr>
              <w:jc w:val="both"/>
              <w:rPr>
                <w:b/>
                <w:iCs/>
                <w:sz w:val="20"/>
              </w:rPr>
            </w:pPr>
            <w:r>
              <w:rPr>
                <w:b/>
                <w:iCs/>
                <w:sz w:val="20"/>
              </w:rPr>
              <w:t xml:space="preserve">[2.] </w:t>
            </w:r>
            <w:r w:rsidR="007E2D0D" w:rsidRPr="00EF0782">
              <w:rPr>
                <w:b/>
                <w:iCs/>
                <w:sz w:val="20"/>
              </w:rPr>
              <w:t>N</w:t>
            </w:r>
            <w:r w:rsidR="004B6EB1" w:rsidRPr="00EF0782">
              <w:rPr>
                <w:b/>
                <w:iCs/>
                <w:sz w:val="20"/>
              </w:rPr>
              <w:t>oteikumu projektā paredzēt</w:t>
            </w:r>
            <w:r w:rsidR="007E2D0D" w:rsidRPr="00EF0782">
              <w:rPr>
                <w:b/>
                <w:iCs/>
                <w:sz w:val="20"/>
              </w:rPr>
              <w:t>ai</w:t>
            </w:r>
            <w:r w:rsidR="004B6EB1" w:rsidRPr="00EF0782">
              <w:rPr>
                <w:b/>
                <w:iCs/>
                <w:sz w:val="20"/>
              </w:rPr>
              <w:t>s izslēgt MK Nr. 344 11.pielikumu, tādā veidā mazinot informācijas sadrumstalotību pa vairākiem dokumentiem, un nosakot, ka valsts finanšu darījumu un atlikumu salīdzināšanai izmanto tādus pašus salīdzināšanās aktus kā iestādes</w:t>
            </w:r>
            <w:r w:rsidR="007E2D0D" w:rsidRPr="00EF0782">
              <w:rPr>
                <w:b/>
                <w:iCs/>
                <w:sz w:val="20"/>
              </w:rPr>
              <w:t>, neuzliek papildus un nesamazina esošo administratīvo slogu.</w:t>
            </w:r>
          </w:p>
          <w:p w14:paraId="21AEBE2D" w14:textId="096C2948" w:rsidR="00E07762" w:rsidRPr="00EF0782" w:rsidRDefault="00E07762" w:rsidP="00E07762">
            <w:pPr>
              <w:jc w:val="both"/>
              <w:rPr>
                <w:b/>
                <w:iCs/>
                <w:sz w:val="20"/>
              </w:rPr>
            </w:pPr>
            <w:r>
              <w:rPr>
                <w:b/>
                <w:iCs/>
                <w:sz w:val="20"/>
              </w:rPr>
              <w:t>[3.] Metodisko norādījumu izstrāde neietekmē Valsts kases administratīvo slogu</w:t>
            </w:r>
            <w:r w:rsidRPr="00E07762">
              <w:rPr>
                <w:b/>
                <w:iCs/>
                <w:sz w:val="20"/>
              </w:rPr>
              <w:t>, jo tādus jau sagatavo atbilstoši MK 3</w:t>
            </w:r>
            <w:r>
              <w:rPr>
                <w:b/>
                <w:iCs/>
                <w:sz w:val="20"/>
              </w:rPr>
              <w:t>44 noteiktajam.</w:t>
            </w:r>
          </w:p>
        </w:tc>
      </w:tr>
      <w:tr w:rsidR="006831BA" w:rsidRPr="00187078" w14:paraId="07BAAD7A" w14:textId="77777777" w:rsidTr="00F26D4F">
        <w:trPr>
          <w:cantSplit/>
        </w:trPr>
        <w:tc>
          <w:tcPr>
            <w:tcW w:w="322" w:type="pct"/>
            <w:hideMark/>
          </w:tcPr>
          <w:p w14:paraId="0A398E4D" w14:textId="77777777" w:rsidR="006831BA" w:rsidRPr="00187078" w:rsidRDefault="006831BA" w:rsidP="006831BA">
            <w:pPr>
              <w:jc w:val="center"/>
              <w:rPr>
                <w:sz w:val="20"/>
                <w:szCs w:val="20"/>
              </w:rPr>
            </w:pPr>
            <w:r w:rsidRPr="00187078">
              <w:rPr>
                <w:sz w:val="20"/>
                <w:szCs w:val="20"/>
              </w:rPr>
              <w:t>3.</w:t>
            </w:r>
          </w:p>
        </w:tc>
        <w:tc>
          <w:tcPr>
            <w:tcW w:w="1532" w:type="pct"/>
            <w:hideMark/>
          </w:tcPr>
          <w:p w14:paraId="5D14E50E" w14:textId="77777777" w:rsidR="006831BA" w:rsidRPr="00187078" w:rsidRDefault="006831BA" w:rsidP="006831BA">
            <w:pPr>
              <w:rPr>
                <w:sz w:val="20"/>
                <w:szCs w:val="20"/>
              </w:rPr>
            </w:pPr>
            <w:r w:rsidRPr="00187078">
              <w:rPr>
                <w:sz w:val="20"/>
                <w:szCs w:val="20"/>
              </w:rPr>
              <w:t>Administratīvo izmaksu monetārs novērtējums</w:t>
            </w:r>
          </w:p>
        </w:tc>
        <w:tc>
          <w:tcPr>
            <w:tcW w:w="3146" w:type="pct"/>
            <w:hideMark/>
          </w:tcPr>
          <w:p w14:paraId="05A43610" w14:textId="77777777" w:rsidR="006831BA" w:rsidRPr="006831BA" w:rsidRDefault="006831BA" w:rsidP="006831BA">
            <w:pPr>
              <w:pStyle w:val="naiskr"/>
              <w:spacing w:before="0" w:after="0"/>
              <w:ind w:right="81"/>
              <w:jc w:val="both"/>
              <w:rPr>
                <w:iCs/>
                <w:sz w:val="20"/>
              </w:rPr>
            </w:pPr>
            <w:r w:rsidRPr="006831BA">
              <w:rPr>
                <w:iCs/>
                <w:sz w:val="20"/>
              </w:rPr>
              <w:t>Noteikumu projekts neparedz jaunas administratīvās izmaksas.</w:t>
            </w:r>
          </w:p>
        </w:tc>
      </w:tr>
      <w:tr w:rsidR="006831BA" w:rsidRPr="00187078" w14:paraId="75C9BFC4" w14:textId="77777777" w:rsidTr="00F26D4F">
        <w:trPr>
          <w:cantSplit/>
        </w:trPr>
        <w:tc>
          <w:tcPr>
            <w:tcW w:w="322" w:type="pct"/>
            <w:hideMark/>
          </w:tcPr>
          <w:p w14:paraId="1F9DD480" w14:textId="77777777" w:rsidR="006831BA" w:rsidRPr="00187078" w:rsidRDefault="006831BA" w:rsidP="006831BA">
            <w:pPr>
              <w:jc w:val="center"/>
              <w:rPr>
                <w:sz w:val="20"/>
                <w:szCs w:val="20"/>
              </w:rPr>
            </w:pPr>
            <w:r w:rsidRPr="00187078">
              <w:rPr>
                <w:sz w:val="20"/>
                <w:szCs w:val="20"/>
              </w:rPr>
              <w:t>4.</w:t>
            </w:r>
          </w:p>
        </w:tc>
        <w:tc>
          <w:tcPr>
            <w:tcW w:w="1532" w:type="pct"/>
            <w:hideMark/>
          </w:tcPr>
          <w:p w14:paraId="04EDE84D" w14:textId="77777777" w:rsidR="006831BA" w:rsidRPr="00187078" w:rsidRDefault="006831BA" w:rsidP="006831BA">
            <w:pPr>
              <w:rPr>
                <w:sz w:val="20"/>
                <w:szCs w:val="20"/>
              </w:rPr>
            </w:pPr>
            <w:r w:rsidRPr="00187078">
              <w:rPr>
                <w:sz w:val="20"/>
                <w:szCs w:val="20"/>
              </w:rPr>
              <w:t>Atbilstības izmaksu monetārs novērtējums</w:t>
            </w:r>
          </w:p>
        </w:tc>
        <w:tc>
          <w:tcPr>
            <w:tcW w:w="3146" w:type="pct"/>
            <w:hideMark/>
          </w:tcPr>
          <w:p w14:paraId="35F5957C" w14:textId="77777777" w:rsidR="006831BA" w:rsidRPr="006831BA" w:rsidRDefault="006831BA" w:rsidP="006831BA">
            <w:pPr>
              <w:pStyle w:val="naiskr"/>
              <w:spacing w:before="0" w:after="0"/>
              <w:ind w:right="81"/>
              <w:rPr>
                <w:sz w:val="20"/>
              </w:rPr>
            </w:pPr>
            <w:r w:rsidRPr="006831BA">
              <w:rPr>
                <w:sz w:val="20"/>
              </w:rPr>
              <w:t>Projekts šo jomu neskar.</w:t>
            </w:r>
          </w:p>
          <w:p w14:paraId="297482C6" w14:textId="77777777" w:rsidR="006831BA" w:rsidRPr="006831BA" w:rsidRDefault="006831BA" w:rsidP="006831BA">
            <w:pPr>
              <w:rPr>
                <w:iCs/>
                <w:sz w:val="20"/>
              </w:rPr>
            </w:pPr>
          </w:p>
        </w:tc>
      </w:tr>
      <w:tr w:rsidR="006831BA" w:rsidRPr="00187078" w14:paraId="25DEF550" w14:textId="77777777" w:rsidTr="00F26D4F">
        <w:trPr>
          <w:cantSplit/>
        </w:trPr>
        <w:tc>
          <w:tcPr>
            <w:tcW w:w="322" w:type="pct"/>
            <w:hideMark/>
          </w:tcPr>
          <w:p w14:paraId="57CEBA3D" w14:textId="77777777" w:rsidR="006831BA" w:rsidRPr="00187078" w:rsidRDefault="006831BA" w:rsidP="006831BA">
            <w:pPr>
              <w:jc w:val="center"/>
              <w:rPr>
                <w:sz w:val="20"/>
                <w:szCs w:val="20"/>
              </w:rPr>
            </w:pPr>
            <w:r w:rsidRPr="00187078">
              <w:rPr>
                <w:sz w:val="20"/>
                <w:szCs w:val="20"/>
              </w:rPr>
              <w:t>5.</w:t>
            </w:r>
          </w:p>
        </w:tc>
        <w:tc>
          <w:tcPr>
            <w:tcW w:w="1532" w:type="pct"/>
            <w:hideMark/>
          </w:tcPr>
          <w:p w14:paraId="30CB8FB3" w14:textId="77777777" w:rsidR="006831BA" w:rsidRPr="00187078" w:rsidRDefault="006831BA" w:rsidP="006831BA">
            <w:pPr>
              <w:rPr>
                <w:sz w:val="20"/>
                <w:szCs w:val="20"/>
              </w:rPr>
            </w:pPr>
            <w:r w:rsidRPr="00187078">
              <w:rPr>
                <w:sz w:val="20"/>
                <w:szCs w:val="20"/>
              </w:rPr>
              <w:t>Cita informācija</w:t>
            </w:r>
          </w:p>
        </w:tc>
        <w:tc>
          <w:tcPr>
            <w:tcW w:w="3146" w:type="pct"/>
            <w:hideMark/>
          </w:tcPr>
          <w:p w14:paraId="0C54A231" w14:textId="77777777" w:rsidR="006831BA" w:rsidRPr="006831BA" w:rsidRDefault="006831BA" w:rsidP="006831BA">
            <w:pPr>
              <w:rPr>
                <w:iCs/>
                <w:sz w:val="20"/>
              </w:rPr>
            </w:pPr>
            <w:r w:rsidRPr="006831BA">
              <w:rPr>
                <w:kern w:val="1"/>
                <w:sz w:val="20"/>
              </w:rPr>
              <w:t>Nav.</w:t>
            </w:r>
          </w:p>
        </w:tc>
      </w:tr>
    </w:tbl>
    <w:p w14:paraId="7575CAC9" w14:textId="0B351E77" w:rsidR="00BD5588" w:rsidRDefault="00BD5588" w:rsidP="00BD5588">
      <w:pPr>
        <w:pStyle w:val="Title"/>
        <w:spacing w:before="130" w:line="260" w:lineRule="exact"/>
        <w:ind w:firstLine="539"/>
        <w:jc w:val="both"/>
        <w:rPr>
          <w:sz w:val="20"/>
        </w:rPr>
      </w:pPr>
    </w:p>
    <w:tbl>
      <w:tblPr>
        <w:tblW w:w="482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929"/>
      </w:tblGrid>
      <w:tr w:rsidR="00BD5588" w:rsidRPr="00187078" w14:paraId="45F73974" w14:textId="77777777" w:rsidTr="00F26D4F">
        <w:trPr>
          <w:cantSplit/>
        </w:trPr>
        <w:tc>
          <w:tcPr>
            <w:tcW w:w="8928" w:type="dxa"/>
            <w:shd w:val="clear" w:color="auto" w:fill="auto"/>
            <w:vAlign w:val="center"/>
            <w:hideMark/>
          </w:tcPr>
          <w:p w14:paraId="42F18139" w14:textId="77777777" w:rsidR="00BD5588" w:rsidRPr="00187078" w:rsidRDefault="00BD5588" w:rsidP="00194DAA">
            <w:pPr>
              <w:jc w:val="center"/>
              <w:rPr>
                <w:b/>
                <w:bCs/>
                <w:sz w:val="20"/>
                <w:szCs w:val="20"/>
                <w:lang w:eastAsia="en-US"/>
              </w:rPr>
            </w:pPr>
            <w:r w:rsidRPr="00187078">
              <w:rPr>
                <w:b/>
                <w:bCs/>
                <w:sz w:val="20"/>
                <w:szCs w:val="20"/>
                <w:lang w:eastAsia="en-US"/>
              </w:rPr>
              <w:t>III. Tiesību akta projekta ietekme uz valsts budžetu un pašvaldību budžetiem</w:t>
            </w:r>
          </w:p>
        </w:tc>
      </w:tr>
      <w:tr w:rsidR="003D7850" w:rsidRPr="001035B8" w14:paraId="6E1AB39A" w14:textId="77777777" w:rsidTr="00F26D4F">
        <w:trPr>
          <w:cantSplit/>
        </w:trPr>
        <w:tc>
          <w:tcPr>
            <w:tcW w:w="8928" w:type="dxa"/>
            <w:shd w:val="clear" w:color="auto" w:fill="auto"/>
            <w:vAlign w:val="center"/>
          </w:tcPr>
          <w:p w14:paraId="3863F780" w14:textId="77777777" w:rsidR="003D7850" w:rsidRPr="001035B8" w:rsidRDefault="003D7850" w:rsidP="00194DAA">
            <w:pPr>
              <w:jc w:val="center"/>
              <w:rPr>
                <w:b/>
                <w:bCs/>
                <w:sz w:val="20"/>
                <w:szCs w:val="20"/>
                <w:lang w:eastAsia="en-US"/>
              </w:rPr>
            </w:pPr>
            <w:r w:rsidRPr="001035B8">
              <w:rPr>
                <w:color w:val="414142"/>
                <w:sz w:val="20"/>
                <w:szCs w:val="20"/>
                <w:shd w:val="clear" w:color="auto" w:fill="FFFFFF"/>
              </w:rPr>
              <w:t>Projekts šo jomu neskar</w:t>
            </w:r>
          </w:p>
        </w:tc>
      </w:tr>
    </w:tbl>
    <w:p w14:paraId="11690D70" w14:textId="77777777" w:rsidR="001035B8" w:rsidRDefault="001035B8"/>
    <w:tbl>
      <w:tblPr>
        <w:tblW w:w="482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7"/>
        <w:gridCol w:w="3268"/>
        <w:gridCol w:w="5084"/>
      </w:tblGrid>
      <w:tr w:rsidR="00BD5588" w:rsidRPr="00187078" w14:paraId="456A39B8" w14:textId="77777777" w:rsidTr="00F26D4F">
        <w:trPr>
          <w:cantSplit/>
        </w:trPr>
        <w:tc>
          <w:tcPr>
            <w:tcW w:w="8928" w:type="dxa"/>
            <w:gridSpan w:val="3"/>
            <w:vAlign w:val="center"/>
            <w:hideMark/>
          </w:tcPr>
          <w:p w14:paraId="06354A26" w14:textId="77777777" w:rsidR="00BD5588" w:rsidRPr="00187078" w:rsidRDefault="00BD5588" w:rsidP="00194DAA">
            <w:pPr>
              <w:jc w:val="center"/>
              <w:rPr>
                <w:b/>
                <w:bCs/>
                <w:sz w:val="20"/>
                <w:szCs w:val="20"/>
              </w:rPr>
            </w:pPr>
            <w:r w:rsidRPr="00187078">
              <w:rPr>
                <w:b/>
                <w:bCs/>
                <w:sz w:val="20"/>
                <w:szCs w:val="20"/>
              </w:rPr>
              <w:t>IV. Tiesību akta projekta ietekme uz spēkā esošo tiesību normu sistēmu</w:t>
            </w:r>
          </w:p>
        </w:tc>
      </w:tr>
      <w:tr w:rsidR="0006292D" w:rsidRPr="0006292D" w14:paraId="6C555475" w14:textId="77777777" w:rsidTr="00F26D4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577" w:type="dxa"/>
            <w:tcBorders>
              <w:top w:val="outset" w:sz="6" w:space="0" w:color="414142"/>
              <w:left w:val="outset" w:sz="6" w:space="0" w:color="414142"/>
              <w:bottom w:val="outset" w:sz="6" w:space="0" w:color="414142"/>
              <w:right w:val="outset" w:sz="6" w:space="0" w:color="414142"/>
            </w:tcBorders>
            <w:shd w:val="clear" w:color="auto" w:fill="FFFFFF"/>
            <w:hideMark/>
          </w:tcPr>
          <w:p w14:paraId="5E2D4D4E" w14:textId="77777777" w:rsidR="0006292D" w:rsidRPr="0006292D" w:rsidRDefault="0006292D" w:rsidP="0006292D">
            <w:pPr>
              <w:spacing w:before="100" w:beforeAutospacing="1" w:after="100" w:afterAutospacing="1" w:line="293" w:lineRule="atLeast"/>
              <w:jc w:val="center"/>
              <w:rPr>
                <w:sz w:val="20"/>
                <w:szCs w:val="20"/>
              </w:rPr>
            </w:pPr>
            <w:r w:rsidRPr="0006292D">
              <w:rPr>
                <w:sz w:val="20"/>
                <w:szCs w:val="20"/>
              </w:rPr>
              <w:t>1.</w:t>
            </w:r>
          </w:p>
        </w:tc>
        <w:tc>
          <w:tcPr>
            <w:tcW w:w="3268" w:type="dxa"/>
            <w:tcBorders>
              <w:top w:val="outset" w:sz="6" w:space="0" w:color="414142"/>
              <w:left w:val="outset" w:sz="6" w:space="0" w:color="414142"/>
              <w:bottom w:val="outset" w:sz="6" w:space="0" w:color="414142"/>
              <w:right w:val="outset" w:sz="6" w:space="0" w:color="414142"/>
            </w:tcBorders>
            <w:shd w:val="clear" w:color="auto" w:fill="FFFFFF"/>
            <w:hideMark/>
          </w:tcPr>
          <w:p w14:paraId="0AFB8DF8" w14:textId="77777777" w:rsidR="0006292D" w:rsidRPr="0006292D" w:rsidRDefault="0006292D" w:rsidP="0006292D">
            <w:pPr>
              <w:rPr>
                <w:sz w:val="20"/>
                <w:szCs w:val="20"/>
              </w:rPr>
            </w:pPr>
            <w:r w:rsidRPr="0006292D">
              <w:rPr>
                <w:sz w:val="20"/>
                <w:szCs w:val="20"/>
              </w:rPr>
              <w:t>Saistītie tiesību aktu projekti</w:t>
            </w:r>
          </w:p>
        </w:tc>
        <w:tc>
          <w:tcPr>
            <w:tcW w:w="5083" w:type="dxa"/>
            <w:tcBorders>
              <w:top w:val="outset" w:sz="6" w:space="0" w:color="414142"/>
              <w:left w:val="outset" w:sz="6" w:space="0" w:color="414142"/>
              <w:bottom w:val="outset" w:sz="6" w:space="0" w:color="414142"/>
              <w:right w:val="outset" w:sz="6" w:space="0" w:color="414142"/>
            </w:tcBorders>
            <w:shd w:val="clear" w:color="auto" w:fill="FFFFFF"/>
            <w:hideMark/>
          </w:tcPr>
          <w:p w14:paraId="6F821465" w14:textId="2EE63F3B" w:rsidR="0006292D" w:rsidRPr="0006292D" w:rsidRDefault="0006292D" w:rsidP="0006292D">
            <w:pPr>
              <w:jc w:val="both"/>
              <w:rPr>
                <w:sz w:val="20"/>
                <w:szCs w:val="20"/>
              </w:rPr>
            </w:pPr>
            <w:r w:rsidRPr="0006292D">
              <w:rPr>
                <w:sz w:val="20"/>
                <w:szCs w:val="20"/>
              </w:rPr>
              <w:t>Ministru kabineta 25.09.2012.noteikumi Nr. 643 “Kārtība, kādā ministrijas un centrālās valsts iestādes, kā arī pašvaldības apkopo kapitālsabiedrību finanšu pārskatus un finanšu informāciju” (turpmāk – MK. Nr. 643). Nepieciešams izstrādāt grozījumus MK Nr. 643</w:t>
            </w:r>
            <w:r w:rsidR="00F9358C">
              <w:rPr>
                <w:sz w:val="20"/>
                <w:szCs w:val="20"/>
              </w:rPr>
              <w:t>,</w:t>
            </w:r>
            <w:r w:rsidRPr="0006292D">
              <w:rPr>
                <w:sz w:val="20"/>
                <w:szCs w:val="20"/>
              </w:rPr>
              <w:t xml:space="preserve"> aktualizējot informācijas iesniegšanas termiņus saskaņojot tos ar kapitāldaļu turētāju gada pārskata iesniegšanas termiņa izmaiņām</w:t>
            </w:r>
            <w:r>
              <w:rPr>
                <w:sz w:val="20"/>
                <w:szCs w:val="20"/>
              </w:rPr>
              <w:t>.</w:t>
            </w:r>
          </w:p>
        </w:tc>
      </w:tr>
      <w:tr w:rsidR="0006292D" w:rsidRPr="0006292D" w14:paraId="489737FA" w14:textId="77777777" w:rsidTr="00F26D4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577" w:type="dxa"/>
            <w:tcBorders>
              <w:top w:val="outset" w:sz="6" w:space="0" w:color="414142"/>
              <w:left w:val="outset" w:sz="6" w:space="0" w:color="414142"/>
              <w:bottom w:val="outset" w:sz="6" w:space="0" w:color="414142"/>
              <w:right w:val="outset" w:sz="6" w:space="0" w:color="414142"/>
            </w:tcBorders>
            <w:shd w:val="clear" w:color="auto" w:fill="FFFFFF"/>
            <w:hideMark/>
          </w:tcPr>
          <w:p w14:paraId="209610C1" w14:textId="77777777" w:rsidR="0006292D" w:rsidRPr="0006292D" w:rsidRDefault="0006292D" w:rsidP="0006292D">
            <w:pPr>
              <w:spacing w:before="100" w:beforeAutospacing="1" w:after="100" w:afterAutospacing="1" w:line="293" w:lineRule="atLeast"/>
              <w:jc w:val="center"/>
              <w:rPr>
                <w:sz w:val="20"/>
                <w:szCs w:val="20"/>
              </w:rPr>
            </w:pPr>
            <w:r w:rsidRPr="0006292D">
              <w:rPr>
                <w:sz w:val="20"/>
                <w:szCs w:val="20"/>
              </w:rPr>
              <w:t>2.</w:t>
            </w:r>
          </w:p>
        </w:tc>
        <w:tc>
          <w:tcPr>
            <w:tcW w:w="3268" w:type="dxa"/>
            <w:tcBorders>
              <w:top w:val="outset" w:sz="6" w:space="0" w:color="414142"/>
              <w:left w:val="outset" w:sz="6" w:space="0" w:color="414142"/>
              <w:bottom w:val="outset" w:sz="6" w:space="0" w:color="414142"/>
              <w:right w:val="outset" w:sz="6" w:space="0" w:color="414142"/>
            </w:tcBorders>
            <w:shd w:val="clear" w:color="auto" w:fill="FFFFFF"/>
            <w:hideMark/>
          </w:tcPr>
          <w:p w14:paraId="380D8685" w14:textId="77777777" w:rsidR="0006292D" w:rsidRPr="0006292D" w:rsidRDefault="0006292D" w:rsidP="0006292D">
            <w:pPr>
              <w:rPr>
                <w:sz w:val="20"/>
                <w:szCs w:val="20"/>
              </w:rPr>
            </w:pPr>
            <w:r w:rsidRPr="0006292D">
              <w:rPr>
                <w:sz w:val="20"/>
                <w:szCs w:val="20"/>
              </w:rPr>
              <w:t>Atbildīgā institūcija</w:t>
            </w:r>
          </w:p>
        </w:tc>
        <w:tc>
          <w:tcPr>
            <w:tcW w:w="5083" w:type="dxa"/>
            <w:tcBorders>
              <w:top w:val="outset" w:sz="6" w:space="0" w:color="414142"/>
              <w:left w:val="outset" w:sz="6" w:space="0" w:color="414142"/>
              <w:bottom w:val="outset" w:sz="6" w:space="0" w:color="414142"/>
              <w:right w:val="outset" w:sz="6" w:space="0" w:color="414142"/>
            </w:tcBorders>
            <w:shd w:val="clear" w:color="auto" w:fill="FFFFFF"/>
            <w:hideMark/>
          </w:tcPr>
          <w:p w14:paraId="79EE5DF3" w14:textId="51B2BD11" w:rsidR="0006292D" w:rsidRPr="0006292D" w:rsidRDefault="0006292D" w:rsidP="0006292D">
            <w:pPr>
              <w:rPr>
                <w:sz w:val="20"/>
                <w:szCs w:val="20"/>
              </w:rPr>
            </w:pPr>
            <w:r w:rsidRPr="0006292D">
              <w:rPr>
                <w:sz w:val="20"/>
                <w:szCs w:val="20"/>
              </w:rPr>
              <w:t>Valsts kase</w:t>
            </w:r>
          </w:p>
        </w:tc>
      </w:tr>
      <w:tr w:rsidR="0006292D" w:rsidRPr="0006292D" w14:paraId="7F605D32" w14:textId="77777777" w:rsidTr="00F26D4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577" w:type="dxa"/>
            <w:tcBorders>
              <w:top w:val="outset" w:sz="6" w:space="0" w:color="414142"/>
              <w:left w:val="outset" w:sz="6" w:space="0" w:color="414142"/>
              <w:bottom w:val="outset" w:sz="6" w:space="0" w:color="414142"/>
              <w:right w:val="outset" w:sz="6" w:space="0" w:color="414142"/>
            </w:tcBorders>
            <w:shd w:val="clear" w:color="auto" w:fill="FFFFFF"/>
            <w:hideMark/>
          </w:tcPr>
          <w:p w14:paraId="6C4B3FAB" w14:textId="77777777" w:rsidR="0006292D" w:rsidRPr="0006292D" w:rsidRDefault="0006292D" w:rsidP="0006292D">
            <w:pPr>
              <w:spacing w:before="100" w:beforeAutospacing="1" w:after="100" w:afterAutospacing="1" w:line="293" w:lineRule="atLeast"/>
              <w:jc w:val="center"/>
              <w:rPr>
                <w:sz w:val="20"/>
                <w:szCs w:val="20"/>
              </w:rPr>
            </w:pPr>
            <w:r w:rsidRPr="0006292D">
              <w:rPr>
                <w:sz w:val="20"/>
                <w:szCs w:val="20"/>
              </w:rPr>
              <w:t>3.</w:t>
            </w:r>
          </w:p>
        </w:tc>
        <w:tc>
          <w:tcPr>
            <w:tcW w:w="3268" w:type="dxa"/>
            <w:tcBorders>
              <w:top w:val="outset" w:sz="6" w:space="0" w:color="414142"/>
              <w:left w:val="outset" w:sz="6" w:space="0" w:color="414142"/>
              <w:bottom w:val="outset" w:sz="6" w:space="0" w:color="414142"/>
              <w:right w:val="outset" w:sz="6" w:space="0" w:color="414142"/>
            </w:tcBorders>
            <w:shd w:val="clear" w:color="auto" w:fill="FFFFFF"/>
            <w:hideMark/>
          </w:tcPr>
          <w:p w14:paraId="1DD678C3" w14:textId="77777777" w:rsidR="0006292D" w:rsidRPr="0006292D" w:rsidRDefault="0006292D" w:rsidP="0006292D">
            <w:pPr>
              <w:rPr>
                <w:sz w:val="20"/>
                <w:szCs w:val="20"/>
              </w:rPr>
            </w:pPr>
            <w:r w:rsidRPr="0006292D">
              <w:rPr>
                <w:sz w:val="20"/>
                <w:szCs w:val="20"/>
              </w:rPr>
              <w:t>Cita informācija</w:t>
            </w:r>
          </w:p>
        </w:tc>
        <w:tc>
          <w:tcPr>
            <w:tcW w:w="5083" w:type="dxa"/>
            <w:tcBorders>
              <w:top w:val="outset" w:sz="6" w:space="0" w:color="414142"/>
              <w:left w:val="outset" w:sz="6" w:space="0" w:color="414142"/>
              <w:bottom w:val="outset" w:sz="6" w:space="0" w:color="414142"/>
              <w:right w:val="outset" w:sz="6" w:space="0" w:color="414142"/>
            </w:tcBorders>
            <w:shd w:val="clear" w:color="auto" w:fill="FFFFFF"/>
            <w:hideMark/>
          </w:tcPr>
          <w:p w14:paraId="47E38B35" w14:textId="2B7F7851" w:rsidR="0006292D" w:rsidRPr="0006292D" w:rsidRDefault="0006292D" w:rsidP="0006292D">
            <w:pPr>
              <w:rPr>
                <w:sz w:val="20"/>
                <w:szCs w:val="20"/>
              </w:rPr>
            </w:pPr>
            <w:r w:rsidRPr="0006292D">
              <w:rPr>
                <w:sz w:val="20"/>
                <w:szCs w:val="20"/>
              </w:rPr>
              <w:t>Nav</w:t>
            </w:r>
          </w:p>
        </w:tc>
      </w:tr>
    </w:tbl>
    <w:p w14:paraId="04542B4F" w14:textId="124893C2" w:rsidR="00BD5588" w:rsidRDefault="00BD5588" w:rsidP="00BD5588">
      <w:pPr>
        <w:pStyle w:val="Title"/>
        <w:spacing w:before="130" w:line="260" w:lineRule="exact"/>
        <w:ind w:firstLine="539"/>
        <w:jc w:val="both"/>
        <w:rPr>
          <w:sz w:val="20"/>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25"/>
      </w:tblGrid>
      <w:tr w:rsidR="00BD5588" w:rsidRPr="00187078" w14:paraId="37BE6477" w14:textId="77777777" w:rsidTr="00F26D4F">
        <w:trPr>
          <w:cantSplit/>
        </w:trPr>
        <w:tc>
          <w:tcPr>
            <w:tcW w:w="5000" w:type="pct"/>
            <w:vAlign w:val="center"/>
            <w:hideMark/>
          </w:tcPr>
          <w:p w14:paraId="2C0E32C4" w14:textId="77777777" w:rsidR="00BD5588" w:rsidRPr="00187078" w:rsidRDefault="00BD5588" w:rsidP="00194DAA">
            <w:pPr>
              <w:jc w:val="center"/>
              <w:rPr>
                <w:b/>
                <w:bCs/>
                <w:sz w:val="20"/>
                <w:szCs w:val="20"/>
              </w:rPr>
            </w:pPr>
            <w:r w:rsidRPr="00187078">
              <w:rPr>
                <w:b/>
                <w:bCs/>
                <w:sz w:val="20"/>
                <w:szCs w:val="20"/>
              </w:rPr>
              <w:t>V. Tiesību akta projekta atbilstība Latvijas Republikas starptautiskajām saistībām</w:t>
            </w:r>
          </w:p>
        </w:tc>
      </w:tr>
      <w:tr w:rsidR="001035B8" w:rsidRPr="00187078" w14:paraId="74DE4B6E" w14:textId="77777777" w:rsidTr="00F26D4F">
        <w:trPr>
          <w:cantSplit/>
        </w:trPr>
        <w:tc>
          <w:tcPr>
            <w:tcW w:w="5000" w:type="pct"/>
            <w:vAlign w:val="center"/>
          </w:tcPr>
          <w:p w14:paraId="1E210C37" w14:textId="77777777" w:rsidR="001035B8" w:rsidRPr="00187078" w:rsidRDefault="001035B8" w:rsidP="00194DAA">
            <w:pPr>
              <w:jc w:val="center"/>
              <w:rPr>
                <w:b/>
                <w:bCs/>
                <w:sz w:val="20"/>
                <w:szCs w:val="20"/>
              </w:rPr>
            </w:pPr>
            <w:r w:rsidRPr="001035B8">
              <w:rPr>
                <w:color w:val="414142"/>
                <w:sz w:val="20"/>
                <w:szCs w:val="20"/>
                <w:shd w:val="clear" w:color="auto" w:fill="FFFFFF"/>
              </w:rPr>
              <w:t>Projekts šo jomu neskar</w:t>
            </w:r>
          </w:p>
        </w:tc>
      </w:tr>
    </w:tbl>
    <w:p w14:paraId="0F00B6AC" w14:textId="3D38A4F0" w:rsidR="001035B8" w:rsidRDefault="001035B8"/>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4"/>
        <w:gridCol w:w="2735"/>
        <w:gridCol w:w="5616"/>
      </w:tblGrid>
      <w:tr w:rsidR="00BD5588" w:rsidRPr="00187078" w14:paraId="456D9148" w14:textId="77777777" w:rsidTr="00F26D4F">
        <w:trPr>
          <w:cantSplit/>
        </w:trPr>
        <w:tc>
          <w:tcPr>
            <w:tcW w:w="5000" w:type="pct"/>
            <w:gridSpan w:val="3"/>
            <w:vAlign w:val="center"/>
            <w:hideMark/>
          </w:tcPr>
          <w:p w14:paraId="296C93C4" w14:textId="77777777" w:rsidR="00BD5588" w:rsidRPr="00187078" w:rsidRDefault="00BD5588" w:rsidP="00194DAA">
            <w:pPr>
              <w:jc w:val="center"/>
              <w:rPr>
                <w:b/>
                <w:bCs/>
                <w:sz w:val="20"/>
                <w:szCs w:val="20"/>
              </w:rPr>
            </w:pPr>
            <w:r w:rsidRPr="00187078">
              <w:rPr>
                <w:b/>
                <w:bCs/>
                <w:sz w:val="20"/>
                <w:szCs w:val="20"/>
              </w:rPr>
              <w:t>VI. Sabiedrības līdzdalība un komunikācijas aktivitātes</w:t>
            </w:r>
          </w:p>
        </w:tc>
      </w:tr>
      <w:tr w:rsidR="00BD5588" w:rsidRPr="00187078" w14:paraId="5F52A8FC" w14:textId="77777777" w:rsidTr="00F26D4F">
        <w:trPr>
          <w:cantSplit/>
        </w:trPr>
        <w:tc>
          <w:tcPr>
            <w:tcW w:w="322" w:type="pct"/>
            <w:hideMark/>
          </w:tcPr>
          <w:p w14:paraId="176B5126" w14:textId="77777777" w:rsidR="00BD5588" w:rsidRPr="00187078" w:rsidRDefault="00BD5588" w:rsidP="00194DAA">
            <w:pPr>
              <w:jc w:val="center"/>
              <w:rPr>
                <w:sz w:val="20"/>
                <w:szCs w:val="20"/>
              </w:rPr>
            </w:pPr>
            <w:r w:rsidRPr="00187078">
              <w:rPr>
                <w:sz w:val="20"/>
                <w:szCs w:val="20"/>
              </w:rPr>
              <w:t>1.</w:t>
            </w:r>
          </w:p>
        </w:tc>
        <w:tc>
          <w:tcPr>
            <w:tcW w:w="1532" w:type="pct"/>
            <w:hideMark/>
          </w:tcPr>
          <w:p w14:paraId="0B14D80E" w14:textId="77777777" w:rsidR="00BD5588" w:rsidRPr="00187078" w:rsidRDefault="00BD5588" w:rsidP="00194DAA">
            <w:pPr>
              <w:rPr>
                <w:sz w:val="20"/>
                <w:szCs w:val="20"/>
              </w:rPr>
            </w:pPr>
            <w:r w:rsidRPr="00187078">
              <w:rPr>
                <w:sz w:val="20"/>
                <w:szCs w:val="20"/>
              </w:rPr>
              <w:t>Plānotās sabiedrības līdzdalības un komunikācijas aktivitātes saistībā ar projektu</w:t>
            </w:r>
          </w:p>
        </w:tc>
        <w:tc>
          <w:tcPr>
            <w:tcW w:w="3146" w:type="pct"/>
            <w:hideMark/>
          </w:tcPr>
          <w:p w14:paraId="39B13BDF" w14:textId="376C6DEC" w:rsidR="00BD5588" w:rsidRPr="001035B8" w:rsidRDefault="001951CB" w:rsidP="00F9358C">
            <w:pPr>
              <w:ind w:right="84"/>
              <w:jc w:val="both"/>
              <w:rPr>
                <w:color w:val="808080" w:themeColor="background1" w:themeShade="80"/>
                <w:sz w:val="16"/>
                <w:szCs w:val="20"/>
              </w:rPr>
            </w:pPr>
            <w:r w:rsidRPr="00640CD8">
              <w:rPr>
                <w:sz w:val="20"/>
              </w:rPr>
              <w:t>Informācija par projekta izstrādi ir publicēta Finanšu ministrijas tīmekļvietnē</w:t>
            </w:r>
            <w:r w:rsidR="00640CD8" w:rsidRPr="00640CD8">
              <w:rPr>
                <w:sz w:val="20"/>
              </w:rPr>
              <w:t xml:space="preserve"> </w:t>
            </w:r>
            <w:hyperlink r:id="rId11" w:history="1">
              <w:r w:rsidR="00640CD8" w:rsidRPr="00640CD8">
                <w:rPr>
                  <w:rStyle w:val="Hyperlink"/>
                  <w:sz w:val="20"/>
                </w:rPr>
                <w:t>www.fm.gov.lv</w:t>
              </w:r>
            </w:hyperlink>
            <w:r w:rsidR="00640CD8" w:rsidRPr="00640CD8">
              <w:rPr>
                <w:sz w:val="20"/>
              </w:rPr>
              <w:t xml:space="preserve"> </w:t>
            </w:r>
            <w:r w:rsidRPr="00640CD8">
              <w:rPr>
                <w:sz w:val="20"/>
              </w:rPr>
              <w:t>sadaļā “Sabiedrības līdzdalība” – “Tiesību aktu projekti” – “Valsts budžeta politika”</w:t>
            </w:r>
            <w:r w:rsidR="00640CD8" w:rsidRPr="00640CD8">
              <w:rPr>
                <w:sz w:val="20"/>
              </w:rPr>
              <w:t xml:space="preserve"> un Valsts kases tīmekļa vietnē </w:t>
            </w:r>
            <w:hyperlink r:id="rId12" w:history="1">
              <w:r w:rsidR="00640CD8" w:rsidRPr="00640CD8">
                <w:rPr>
                  <w:rStyle w:val="Hyperlink"/>
                  <w:sz w:val="20"/>
                </w:rPr>
                <w:t>www.kase.gov.lv</w:t>
              </w:r>
            </w:hyperlink>
            <w:r w:rsidR="00640CD8" w:rsidRPr="00640CD8">
              <w:rPr>
                <w:sz w:val="20"/>
              </w:rPr>
              <w:t xml:space="preserve"> sadaļā “Sabiedrības līdzdalība” – “Tiesību aktu projekti”</w:t>
            </w:r>
            <w:r w:rsidRPr="00640CD8">
              <w:rPr>
                <w:sz w:val="20"/>
              </w:rPr>
              <w:t xml:space="preserve">. Līdz ar to sabiedrības pārstāvji varēja līdzdarboties projekta izstrādē, </w:t>
            </w:r>
            <w:proofErr w:type="spellStart"/>
            <w:r w:rsidRPr="00640CD8">
              <w:rPr>
                <w:sz w:val="20"/>
              </w:rPr>
              <w:t>rakstveidā</w:t>
            </w:r>
            <w:proofErr w:type="spellEnd"/>
            <w:r w:rsidRPr="00640CD8">
              <w:rPr>
                <w:sz w:val="20"/>
              </w:rPr>
              <w:t xml:space="preserve"> sniedzot viedokļus par projektu. Tāpat sabiedrības pārstāvji varēs sniegt viedokļus par projektu pēc tā izsludināšanas Valsts sekretāru sanāksmē.</w:t>
            </w:r>
          </w:p>
        </w:tc>
      </w:tr>
      <w:tr w:rsidR="00BD5588" w:rsidRPr="00187078" w14:paraId="3F1D3F2B" w14:textId="77777777" w:rsidTr="00F26D4F">
        <w:trPr>
          <w:cantSplit/>
        </w:trPr>
        <w:tc>
          <w:tcPr>
            <w:tcW w:w="322" w:type="pct"/>
            <w:hideMark/>
          </w:tcPr>
          <w:p w14:paraId="0129B6A0" w14:textId="77777777" w:rsidR="00BD5588" w:rsidRPr="00187078" w:rsidRDefault="00BD5588" w:rsidP="00194DAA">
            <w:pPr>
              <w:jc w:val="center"/>
              <w:rPr>
                <w:sz w:val="20"/>
                <w:szCs w:val="20"/>
              </w:rPr>
            </w:pPr>
            <w:r w:rsidRPr="00187078">
              <w:rPr>
                <w:sz w:val="20"/>
                <w:szCs w:val="20"/>
              </w:rPr>
              <w:t>2.</w:t>
            </w:r>
          </w:p>
        </w:tc>
        <w:tc>
          <w:tcPr>
            <w:tcW w:w="1532" w:type="pct"/>
            <w:hideMark/>
          </w:tcPr>
          <w:p w14:paraId="384FBAE4" w14:textId="77777777" w:rsidR="00BD5588" w:rsidRPr="00187078" w:rsidRDefault="00BD5588" w:rsidP="00194DAA">
            <w:pPr>
              <w:rPr>
                <w:sz w:val="20"/>
                <w:szCs w:val="20"/>
              </w:rPr>
            </w:pPr>
            <w:r w:rsidRPr="00187078">
              <w:rPr>
                <w:sz w:val="20"/>
                <w:szCs w:val="20"/>
              </w:rPr>
              <w:t>Sabiedrības līdzdalība projekta izstrādē</w:t>
            </w:r>
          </w:p>
        </w:tc>
        <w:tc>
          <w:tcPr>
            <w:tcW w:w="3146" w:type="pct"/>
            <w:hideMark/>
          </w:tcPr>
          <w:p w14:paraId="7FF9DEC6" w14:textId="2D3270B2" w:rsidR="008C64C0" w:rsidRDefault="008C64C0" w:rsidP="008F2900">
            <w:pPr>
              <w:jc w:val="both"/>
              <w:rPr>
                <w:b/>
                <w:sz w:val="20"/>
              </w:rPr>
            </w:pPr>
            <w:r>
              <w:rPr>
                <w:b/>
                <w:sz w:val="20"/>
              </w:rPr>
              <w:t>Ministrijas un pašvaldības</w:t>
            </w:r>
            <w:r w:rsidR="00166930">
              <w:rPr>
                <w:b/>
                <w:sz w:val="20"/>
              </w:rPr>
              <w:t>,</w:t>
            </w:r>
            <w:r>
              <w:rPr>
                <w:b/>
                <w:sz w:val="20"/>
              </w:rPr>
              <w:t xml:space="preserve"> sagatavojot gada pārskatu atbilstoši MK Nr. 344</w:t>
            </w:r>
            <w:r w:rsidR="00166930">
              <w:rPr>
                <w:b/>
                <w:sz w:val="20"/>
              </w:rPr>
              <w:t>,</w:t>
            </w:r>
            <w:r>
              <w:rPr>
                <w:b/>
                <w:sz w:val="20"/>
              </w:rPr>
              <w:t xml:space="preserve"> ir uzdevušas jautājumus par tiesību aktu piemērošanu un sniegušas priekšlikumus to pilnveidošanai. Valsts kase</w:t>
            </w:r>
            <w:r w:rsidR="00166930">
              <w:rPr>
                <w:b/>
                <w:sz w:val="20"/>
              </w:rPr>
              <w:t>s</w:t>
            </w:r>
            <w:r>
              <w:rPr>
                <w:b/>
                <w:sz w:val="20"/>
              </w:rPr>
              <w:t xml:space="preserve"> organizētajos ikgadējos semināros ir veidojusies diskusija par aktuāl</w:t>
            </w:r>
            <w:r w:rsidR="00166930">
              <w:rPr>
                <w:b/>
                <w:sz w:val="20"/>
              </w:rPr>
              <w:t>iem</w:t>
            </w:r>
            <w:r>
              <w:rPr>
                <w:b/>
                <w:sz w:val="20"/>
              </w:rPr>
              <w:t xml:space="preserve"> uzskaites un uzrādīšanas jautājumiem. </w:t>
            </w:r>
          </w:p>
          <w:p w14:paraId="023A24DC" w14:textId="14A62CC3" w:rsidR="008C64C0" w:rsidRDefault="008C64C0" w:rsidP="008F2900">
            <w:pPr>
              <w:jc w:val="both"/>
              <w:rPr>
                <w:b/>
                <w:sz w:val="20"/>
              </w:rPr>
            </w:pPr>
            <w:r>
              <w:rPr>
                <w:b/>
                <w:sz w:val="20"/>
              </w:rPr>
              <w:t>Valsts kontrole</w:t>
            </w:r>
            <w:r w:rsidR="00166930">
              <w:rPr>
                <w:b/>
                <w:sz w:val="20"/>
              </w:rPr>
              <w:t>,</w:t>
            </w:r>
            <w:r>
              <w:rPr>
                <w:b/>
                <w:sz w:val="20"/>
              </w:rPr>
              <w:t xml:space="preserve"> sniedzot atzinumu par saimnieciskā gada pārskatu, norāda uz trūkumiem normatīvā akta regulējumā vai nepieciešamību veicināt konkrētu uzskaites jautājumu izpratni, to skaidrojot atsevišķos metodiskajos norādījumos.</w:t>
            </w:r>
          </w:p>
          <w:p w14:paraId="673CF516" w14:textId="5B48C320" w:rsidR="00880958" w:rsidRPr="00880958" w:rsidRDefault="00880958" w:rsidP="008F2900">
            <w:pPr>
              <w:jc w:val="both"/>
              <w:rPr>
                <w:b/>
                <w:sz w:val="20"/>
              </w:rPr>
            </w:pPr>
            <w:r w:rsidRPr="00880958">
              <w:rPr>
                <w:b/>
                <w:sz w:val="20"/>
              </w:rPr>
              <w:t xml:space="preserve">Pirms noteikumu projekta izsludināšanas </w:t>
            </w:r>
            <w:r w:rsidR="00166930">
              <w:rPr>
                <w:b/>
                <w:sz w:val="20"/>
              </w:rPr>
              <w:t>V</w:t>
            </w:r>
            <w:r w:rsidRPr="00880958">
              <w:rPr>
                <w:b/>
                <w:sz w:val="20"/>
              </w:rPr>
              <w:t>alsts sekretāru sanāksmē, tas tika izsūtīts visiem nozaru atbildīgajiem finanšu darbiniekiem un to pašvaldību atbildīgajiem finanšu darbiniekiem, kas līdz šim ir</w:t>
            </w:r>
            <w:r w:rsidR="00166930">
              <w:rPr>
                <w:b/>
                <w:sz w:val="20"/>
              </w:rPr>
              <w:t xml:space="preserve"> </w:t>
            </w:r>
            <w:r w:rsidRPr="00880958">
              <w:rPr>
                <w:b/>
                <w:sz w:val="20"/>
              </w:rPr>
              <w:t>aktīvi iesaistījušies grāmatvedības uzskaites un pārskatu sagatavošanas jomas normatīvo aktu izstrādē.</w:t>
            </w:r>
            <w:r>
              <w:rPr>
                <w:b/>
                <w:sz w:val="20"/>
              </w:rPr>
              <w:t xml:space="preserve"> </w:t>
            </w:r>
          </w:p>
          <w:p w14:paraId="6BE6723A" w14:textId="7C94C64B" w:rsidR="008F2900" w:rsidRPr="008F2900" w:rsidRDefault="008F2900" w:rsidP="008F2900">
            <w:pPr>
              <w:jc w:val="both"/>
              <w:rPr>
                <w:sz w:val="20"/>
              </w:rPr>
            </w:pPr>
            <w:r w:rsidRPr="008F2900">
              <w:rPr>
                <w:sz w:val="20"/>
              </w:rPr>
              <w:t xml:space="preserve">Informācija par noteikumu projektu 2021. gada 6. aprīlī publicēta Finanšu ministrijas tīmekļvietnē (adrese: </w:t>
            </w:r>
            <w:hyperlink r:id="rId13" w:history="1">
              <w:r w:rsidRPr="00014CE5">
                <w:rPr>
                  <w:rStyle w:val="Hyperlink"/>
                  <w:sz w:val="20"/>
                </w:rPr>
                <w:t>https://www.fm.gov.lv/lv/valsts-budzeta-politika</w:t>
              </w:r>
            </w:hyperlink>
            <w:r w:rsidRPr="008F2900">
              <w:rPr>
                <w:sz w:val="20"/>
              </w:rPr>
              <w:t>)</w:t>
            </w:r>
            <w:r>
              <w:rPr>
                <w:sz w:val="20"/>
              </w:rPr>
              <w:t> </w:t>
            </w:r>
            <w:r w:rsidRPr="008F2900">
              <w:rPr>
                <w:sz w:val="20"/>
              </w:rPr>
              <w:t xml:space="preserve">, Valsts kases tīmekļvietnē (adrese: </w:t>
            </w:r>
            <w:hyperlink r:id="rId14" w:history="1">
              <w:r w:rsidRPr="00014CE5">
                <w:rPr>
                  <w:rStyle w:val="Hyperlink"/>
                  <w:sz w:val="20"/>
                </w:rPr>
                <w:t>https://www.kase.gov.lv/valsts-kase/sabiedribas-lidzdaliba</w:t>
              </w:r>
            </w:hyperlink>
            <w:r w:rsidRPr="008F2900">
              <w:rPr>
                <w:sz w:val="20"/>
              </w:rPr>
              <w:t>)</w:t>
            </w:r>
            <w:r>
              <w:rPr>
                <w:sz w:val="20"/>
              </w:rPr>
              <w:t> </w:t>
            </w:r>
            <w:r w:rsidRPr="008F2900">
              <w:rPr>
                <w:sz w:val="20"/>
              </w:rPr>
              <w:t xml:space="preserve">un Ministru kabineta tīmekļvietnē (adrese: </w:t>
            </w:r>
            <w:hyperlink r:id="rId15" w:history="1">
              <w:r w:rsidRPr="00014CE5">
                <w:rPr>
                  <w:rStyle w:val="Hyperlink"/>
                  <w:sz w:val="20"/>
                </w:rPr>
                <w:t>https://www.mk.gov.lv/lv/ministru-kabineta-diskusiju-dokumenti</w:t>
              </w:r>
            </w:hyperlink>
            <w:r>
              <w:rPr>
                <w:sz w:val="20"/>
              </w:rPr>
              <w:t> </w:t>
            </w:r>
            <w:r w:rsidRPr="008F2900">
              <w:rPr>
                <w:sz w:val="20"/>
              </w:rPr>
              <w:t xml:space="preserve">). </w:t>
            </w:r>
          </w:p>
          <w:p w14:paraId="7CF43189" w14:textId="02B90433" w:rsidR="00640CD8" w:rsidRPr="001035B8" w:rsidRDefault="008F2900" w:rsidP="008F2900">
            <w:pPr>
              <w:jc w:val="both"/>
              <w:rPr>
                <w:color w:val="808080" w:themeColor="background1" w:themeShade="80"/>
                <w:sz w:val="16"/>
                <w:szCs w:val="20"/>
              </w:rPr>
            </w:pPr>
            <w:r w:rsidRPr="008F2900">
              <w:rPr>
                <w:sz w:val="20"/>
              </w:rPr>
              <w:t xml:space="preserve">Sabiedrības pārstāvjiem dota iespēja līdzdarboties noteikumu projekta izstrādē, </w:t>
            </w:r>
            <w:proofErr w:type="spellStart"/>
            <w:r w:rsidRPr="008F2900">
              <w:rPr>
                <w:sz w:val="20"/>
              </w:rPr>
              <w:t>rakstveidā</w:t>
            </w:r>
            <w:proofErr w:type="spellEnd"/>
            <w:r w:rsidRPr="008F2900">
              <w:rPr>
                <w:sz w:val="20"/>
              </w:rPr>
              <w:t xml:space="preserve"> sniedzot viedokli.</w:t>
            </w:r>
          </w:p>
        </w:tc>
      </w:tr>
      <w:tr w:rsidR="00BD5588" w:rsidRPr="00187078" w14:paraId="69143D6C" w14:textId="77777777" w:rsidTr="00F26D4F">
        <w:trPr>
          <w:cantSplit/>
        </w:trPr>
        <w:tc>
          <w:tcPr>
            <w:tcW w:w="322" w:type="pct"/>
            <w:hideMark/>
          </w:tcPr>
          <w:p w14:paraId="600D2BC3" w14:textId="77777777" w:rsidR="00BD5588" w:rsidRPr="00187078" w:rsidRDefault="00BD5588" w:rsidP="00194DAA">
            <w:pPr>
              <w:jc w:val="center"/>
              <w:rPr>
                <w:sz w:val="20"/>
                <w:szCs w:val="20"/>
              </w:rPr>
            </w:pPr>
            <w:r w:rsidRPr="00187078">
              <w:rPr>
                <w:sz w:val="20"/>
                <w:szCs w:val="20"/>
              </w:rPr>
              <w:t>3.</w:t>
            </w:r>
          </w:p>
        </w:tc>
        <w:tc>
          <w:tcPr>
            <w:tcW w:w="1532" w:type="pct"/>
            <w:hideMark/>
          </w:tcPr>
          <w:p w14:paraId="7454BB31" w14:textId="77777777" w:rsidR="00BD5588" w:rsidRPr="00187078" w:rsidRDefault="00BD5588" w:rsidP="00194DAA">
            <w:pPr>
              <w:rPr>
                <w:sz w:val="20"/>
                <w:szCs w:val="20"/>
              </w:rPr>
            </w:pPr>
            <w:r w:rsidRPr="00187078">
              <w:rPr>
                <w:sz w:val="20"/>
                <w:szCs w:val="20"/>
              </w:rPr>
              <w:t>Sabiedrības līdzdalības rezultāti</w:t>
            </w:r>
          </w:p>
        </w:tc>
        <w:tc>
          <w:tcPr>
            <w:tcW w:w="3146" w:type="pct"/>
            <w:hideMark/>
          </w:tcPr>
          <w:p w14:paraId="3EC02BFE" w14:textId="0B1C26D7" w:rsidR="00640CD8" w:rsidRDefault="00880958" w:rsidP="00880958">
            <w:pPr>
              <w:jc w:val="both"/>
              <w:rPr>
                <w:b/>
                <w:sz w:val="20"/>
                <w:szCs w:val="20"/>
              </w:rPr>
            </w:pPr>
            <w:r w:rsidRPr="00880958">
              <w:rPr>
                <w:b/>
                <w:sz w:val="20"/>
              </w:rPr>
              <w:t xml:space="preserve">Priekšlikumi noteikumu projekta pilnveidošanai </w:t>
            </w:r>
            <w:r w:rsidR="00E8769A">
              <w:rPr>
                <w:b/>
                <w:sz w:val="20"/>
              </w:rPr>
              <w:t xml:space="preserve">un </w:t>
            </w:r>
            <w:proofErr w:type="spellStart"/>
            <w:r w:rsidR="00E8769A">
              <w:rPr>
                <w:b/>
                <w:sz w:val="20"/>
              </w:rPr>
              <w:t>ePārskatu</w:t>
            </w:r>
            <w:proofErr w:type="spellEnd"/>
            <w:r w:rsidR="00E8769A">
              <w:rPr>
                <w:b/>
                <w:sz w:val="20"/>
              </w:rPr>
              <w:t xml:space="preserve"> funkcionalitātes pilnveidošanai </w:t>
            </w:r>
            <w:r w:rsidRPr="00880958">
              <w:rPr>
                <w:b/>
                <w:sz w:val="20"/>
              </w:rPr>
              <w:t xml:space="preserve">tika saņemti no </w:t>
            </w:r>
            <w:r w:rsidRPr="00880958">
              <w:rPr>
                <w:b/>
                <w:sz w:val="20"/>
                <w:szCs w:val="20"/>
              </w:rPr>
              <w:t>Tieslietu ministrija</w:t>
            </w:r>
            <w:r w:rsidR="007507A9">
              <w:rPr>
                <w:b/>
                <w:sz w:val="20"/>
                <w:szCs w:val="20"/>
              </w:rPr>
              <w:t>s</w:t>
            </w:r>
            <w:r w:rsidRPr="00880958">
              <w:rPr>
                <w:b/>
                <w:sz w:val="20"/>
                <w:szCs w:val="20"/>
              </w:rPr>
              <w:t xml:space="preserve">, </w:t>
            </w:r>
            <w:proofErr w:type="spellStart"/>
            <w:r w:rsidRPr="00880958">
              <w:rPr>
                <w:b/>
                <w:sz w:val="20"/>
                <w:szCs w:val="20"/>
              </w:rPr>
              <w:t>Iekšlietu</w:t>
            </w:r>
            <w:proofErr w:type="spellEnd"/>
            <w:r w:rsidRPr="00880958">
              <w:rPr>
                <w:b/>
                <w:sz w:val="20"/>
                <w:szCs w:val="20"/>
              </w:rPr>
              <w:t xml:space="preserve"> ministrija</w:t>
            </w:r>
            <w:r w:rsidR="007507A9">
              <w:rPr>
                <w:b/>
                <w:sz w:val="20"/>
                <w:szCs w:val="20"/>
              </w:rPr>
              <w:t>s</w:t>
            </w:r>
            <w:r w:rsidRPr="00880958">
              <w:rPr>
                <w:b/>
                <w:sz w:val="20"/>
                <w:szCs w:val="20"/>
              </w:rPr>
              <w:t xml:space="preserve">, </w:t>
            </w:r>
            <w:proofErr w:type="spellStart"/>
            <w:r w:rsidRPr="00880958">
              <w:rPr>
                <w:b/>
                <w:sz w:val="20"/>
                <w:szCs w:val="20"/>
              </w:rPr>
              <w:t>Cēsu</w:t>
            </w:r>
            <w:proofErr w:type="spellEnd"/>
            <w:r w:rsidRPr="00880958">
              <w:rPr>
                <w:b/>
                <w:sz w:val="20"/>
                <w:szCs w:val="20"/>
              </w:rPr>
              <w:t xml:space="preserve"> novada pašvaldības. Citi priekšlikumi netika saņemti.</w:t>
            </w:r>
          </w:p>
          <w:p w14:paraId="10D2264E" w14:textId="2774B12D" w:rsidR="00D22A7D" w:rsidRPr="00880958" w:rsidRDefault="00D22A7D" w:rsidP="00D22A7D">
            <w:pPr>
              <w:jc w:val="both"/>
              <w:rPr>
                <w:b/>
                <w:color w:val="808080" w:themeColor="background1" w:themeShade="80"/>
                <w:sz w:val="16"/>
                <w:szCs w:val="20"/>
              </w:rPr>
            </w:pPr>
            <w:r>
              <w:rPr>
                <w:b/>
                <w:sz w:val="20"/>
                <w:szCs w:val="20"/>
              </w:rPr>
              <w:t xml:space="preserve">Visi priekšlikumi ņemti vērā noteikumu projekta izstrādē. Tie priekšlikumi, kas attiecās uz </w:t>
            </w:r>
            <w:proofErr w:type="spellStart"/>
            <w:r>
              <w:rPr>
                <w:b/>
                <w:sz w:val="20"/>
                <w:szCs w:val="20"/>
              </w:rPr>
              <w:t>ePārskatu</w:t>
            </w:r>
            <w:proofErr w:type="spellEnd"/>
            <w:r>
              <w:rPr>
                <w:b/>
                <w:sz w:val="20"/>
                <w:szCs w:val="20"/>
              </w:rPr>
              <w:t xml:space="preserve"> sistēmas funkcionalitātes uzlabošanu, tiks izskatīti sistēmas izmaiņu ietvarā.</w:t>
            </w:r>
          </w:p>
        </w:tc>
      </w:tr>
      <w:tr w:rsidR="00BD5588" w:rsidRPr="00187078" w14:paraId="2F3E0FB5" w14:textId="77777777" w:rsidTr="00F26D4F">
        <w:trPr>
          <w:cantSplit/>
        </w:trPr>
        <w:tc>
          <w:tcPr>
            <w:tcW w:w="322" w:type="pct"/>
            <w:hideMark/>
          </w:tcPr>
          <w:p w14:paraId="48855630" w14:textId="77777777" w:rsidR="00BD5588" w:rsidRPr="00187078" w:rsidRDefault="00BD5588" w:rsidP="00194DAA">
            <w:pPr>
              <w:jc w:val="center"/>
              <w:rPr>
                <w:sz w:val="20"/>
                <w:szCs w:val="20"/>
              </w:rPr>
            </w:pPr>
            <w:r w:rsidRPr="00187078">
              <w:rPr>
                <w:sz w:val="20"/>
                <w:szCs w:val="20"/>
              </w:rPr>
              <w:t>4.</w:t>
            </w:r>
          </w:p>
        </w:tc>
        <w:tc>
          <w:tcPr>
            <w:tcW w:w="1532" w:type="pct"/>
            <w:hideMark/>
          </w:tcPr>
          <w:p w14:paraId="3E48563D" w14:textId="77777777" w:rsidR="00BD5588" w:rsidRPr="00187078" w:rsidRDefault="00BD5588" w:rsidP="00194DAA">
            <w:pPr>
              <w:rPr>
                <w:sz w:val="20"/>
                <w:szCs w:val="20"/>
              </w:rPr>
            </w:pPr>
            <w:r w:rsidRPr="00187078">
              <w:rPr>
                <w:sz w:val="20"/>
                <w:szCs w:val="20"/>
              </w:rPr>
              <w:t>Cita informācija</w:t>
            </w:r>
          </w:p>
        </w:tc>
        <w:tc>
          <w:tcPr>
            <w:tcW w:w="3146" w:type="pct"/>
            <w:hideMark/>
          </w:tcPr>
          <w:p w14:paraId="78214417" w14:textId="77777777" w:rsidR="00BD5588" w:rsidRPr="00187078" w:rsidRDefault="00640CD8" w:rsidP="00194DAA">
            <w:pPr>
              <w:rPr>
                <w:sz w:val="20"/>
                <w:szCs w:val="20"/>
              </w:rPr>
            </w:pPr>
            <w:r>
              <w:rPr>
                <w:sz w:val="20"/>
                <w:szCs w:val="20"/>
              </w:rPr>
              <w:t>Nav</w:t>
            </w:r>
          </w:p>
        </w:tc>
      </w:tr>
    </w:tbl>
    <w:p w14:paraId="1E92F50B" w14:textId="77777777" w:rsidR="009C12BC" w:rsidRPr="00187078" w:rsidRDefault="009C12BC" w:rsidP="00BD5588">
      <w:pPr>
        <w:pStyle w:val="Title"/>
        <w:spacing w:before="130" w:line="260" w:lineRule="exact"/>
        <w:ind w:firstLine="539"/>
        <w:jc w:val="both"/>
        <w:rPr>
          <w:sz w:val="20"/>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4"/>
        <w:gridCol w:w="2735"/>
        <w:gridCol w:w="5616"/>
      </w:tblGrid>
      <w:tr w:rsidR="00BD5588" w:rsidRPr="00187078" w14:paraId="3B01FA7B" w14:textId="77777777" w:rsidTr="00F26D4F">
        <w:trPr>
          <w:cantSplit/>
        </w:trPr>
        <w:tc>
          <w:tcPr>
            <w:tcW w:w="5000" w:type="pct"/>
            <w:gridSpan w:val="3"/>
            <w:vAlign w:val="center"/>
            <w:hideMark/>
          </w:tcPr>
          <w:p w14:paraId="7DEAFD3D" w14:textId="77777777" w:rsidR="00BD5588" w:rsidRPr="00187078" w:rsidRDefault="00BD5588" w:rsidP="00194DAA">
            <w:pPr>
              <w:jc w:val="center"/>
              <w:rPr>
                <w:b/>
                <w:bCs/>
                <w:sz w:val="20"/>
                <w:szCs w:val="20"/>
              </w:rPr>
            </w:pPr>
            <w:r w:rsidRPr="00187078">
              <w:rPr>
                <w:b/>
                <w:bCs/>
                <w:sz w:val="20"/>
                <w:szCs w:val="20"/>
              </w:rPr>
              <w:t>VII. Tiesību akta projekta izpildes nodrošināšana un tās ietekme uz institūcijām</w:t>
            </w:r>
          </w:p>
        </w:tc>
      </w:tr>
      <w:tr w:rsidR="00BD5588" w:rsidRPr="00187078" w14:paraId="743F9B0C" w14:textId="77777777" w:rsidTr="00F26D4F">
        <w:trPr>
          <w:cantSplit/>
        </w:trPr>
        <w:tc>
          <w:tcPr>
            <w:tcW w:w="322" w:type="pct"/>
            <w:hideMark/>
          </w:tcPr>
          <w:p w14:paraId="55F31B1F" w14:textId="77777777" w:rsidR="00BD5588" w:rsidRPr="00187078" w:rsidRDefault="00BD5588" w:rsidP="00194DAA">
            <w:pPr>
              <w:jc w:val="center"/>
              <w:rPr>
                <w:sz w:val="20"/>
                <w:szCs w:val="20"/>
              </w:rPr>
            </w:pPr>
            <w:r w:rsidRPr="00187078">
              <w:rPr>
                <w:sz w:val="20"/>
                <w:szCs w:val="20"/>
              </w:rPr>
              <w:t>1.</w:t>
            </w:r>
          </w:p>
        </w:tc>
        <w:tc>
          <w:tcPr>
            <w:tcW w:w="1532" w:type="pct"/>
            <w:hideMark/>
          </w:tcPr>
          <w:p w14:paraId="6A645751" w14:textId="77777777" w:rsidR="00BD5588" w:rsidRPr="00187078" w:rsidRDefault="00BD5588" w:rsidP="00194DAA">
            <w:pPr>
              <w:rPr>
                <w:sz w:val="20"/>
                <w:szCs w:val="20"/>
              </w:rPr>
            </w:pPr>
            <w:r w:rsidRPr="00187078">
              <w:rPr>
                <w:sz w:val="20"/>
                <w:szCs w:val="20"/>
              </w:rPr>
              <w:t>Projekta izpildē iesaistītās institūcijas</w:t>
            </w:r>
          </w:p>
        </w:tc>
        <w:tc>
          <w:tcPr>
            <w:tcW w:w="3146" w:type="pct"/>
            <w:hideMark/>
          </w:tcPr>
          <w:p w14:paraId="2F79F1D7" w14:textId="0BF1143A" w:rsidR="00640CD8" w:rsidRPr="00187078" w:rsidRDefault="00640CD8" w:rsidP="00640CD8">
            <w:pPr>
              <w:jc w:val="both"/>
              <w:rPr>
                <w:sz w:val="20"/>
                <w:szCs w:val="20"/>
              </w:rPr>
            </w:pPr>
            <w:r>
              <w:rPr>
                <w:sz w:val="20"/>
                <w:szCs w:val="20"/>
              </w:rPr>
              <w:t>Budžeta iestādes, ministrijas, centrālās valsts iestādes, pašvaldības, daļēji no valsts budžeta finansētas atvasinātas publiskas personas, budžeta nefinansētas iestādes</w:t>
            </w:r>
            <w:r w:rsidR="00130935">
              <w:rPr>
                <w:sz w:val="20"/>
                <w:szCs w:val="20"/>
              </w:rPr>
              <w:t>.</w:t>
            </w:r>
          </w:p>
        </w:tc>
      </w:tr>
      <w:tr w:rsidR="00640CD8" w:rsidRPr="00187078" w14:paraId="2C598503" w14:textId="77777777" w:rsidTr="00F26D4F">
        <w:trPr>
          <w:cantSplit/>
        </w:trPr>
        <w:tc>
          <w:tcPr>
            <w:tcW w:w="322" w:type="pct"/>
            <w:hideMark/>
          </w:tcPr>
          <w:p w14:paraId="472C0250" w14:textId="77777777" w:rsidR="00640CD8" w:rsidRPr="00187078" w:rsidRDefault="00640CD8" w:rsidP="00640CD8">
            <w:pPr>
              <w:jc w:val="center"/>
              <w:rPr>
                <w:sz w:val="20"/>
                <w:szCs w:val="20"/>
              </w:rPr>
            </w:pPr>
            <w:r w:rsidRPr="00187078">
              <w:rPr>
                <w:sz w:val="20"/>
                <w:szCs w:val="20"/>
              </w:rPr>
              <w:t>2.</w:t>
            </w:r>
          </w:p>
        </w:tc>
        <w:tc>
          <w:tcPr>
            <w:tcW w:w="1532" w:type="pct"/>
            <w:hideMark/>
          </w:tcPr>
          <w:p w14:paraId="7E6180B7" w14:textId="77777777" w:rsidR="00640CD8" w:rsidRPr="00187078" w:rsidRDefault="00640CD8" w:rsidP="00640CD8">
            <w:pPr>
              <w:rPr>
                <w:sz w:val="20"/>
                <w:szCs w:val="20"/>
              </w:rPr>
            </w:pPr>
            <w:r w:rsidRPr="00187078">
              <w:rPr>
                <w:sz w:val="20"/>
                <w:szCs w:val="20"/>
              </w:rPr>
              <w:t>Projekta izpildes ietekme uz pārvaldes funkcijām un institucionālo struktūru.</w:t>
            </w:r>
            <w:r w:rsidRPr="00187078">
              <w:rPr>
                <w:sz w:val="20"/>
                <w:szCs w:val="20"/>
              </w:rPr>
              <w:br/>
              <w:t>Jaunu institūciju izveide, esošu institūciju likvidācija vai reorganizācija, to ietekme uz institūcijas cilvēkresursiem</w:t>
            </w:r>
          </w:p>
        </w:tc>
        <w:tc>
          <w:tcPr>
            <w:tcW w:w="3146" w:type="pct"/>
            <w:hideMark/>
          </w:tcPr>
          <w:p w14:paraId="7D93DB85" w14:textId="77777777" w:rsidR="00640CD8" w:rsidRPr="00640CD8" w:rsidRDefault="00640CD8" w:rsidP="00640CD8">
            <w:pPr>
              <w:rPr>
                <w:iCs/>
                <w:sz w:val="20"/>
              </w:rPr>
            </w:pPr>
            <w:r w:rsidRPr="00640CD8">
              <w:rPr>
                <w:sz w:val="20"/>
              </w:rPr>
              <w:t>Projekta izpildi paredzēts nodrošināt esošo funkciju ietvaros.</w:t>
            </w:r>
          </w:p>
        </w:tc>
      </w:tr>
      <w:tr w:rsidR="00640CD8" w:rsidRPr="00187078" w14:paraId="5C24C7E2" w14:textId="77777777" w:rsidTr="00F26D4F">
        <w:trPr>
          <w:cantSplit/>
        </w:trPr>
        <w:tc>
          <w:tcPr>
            <w:tcW w:w="322" w:type="pct"/>
            <w:hideMark/>
          </w:tcPr>
          <w:p w14:paraId="01509C22" w14:textId="77777777" w:rsidR="00640CD8" w:rsidRPr="00187078" w:rsidRDefault="00640CD8" w:rsidP="00640CD8">
            <w:pPr>
              <w:jc w:val="center"/>
              <w:rPr>
                <w:sz w:val="20"/>
                <w:szCs w:val="20"/>
              </w:rPr>
            </w:pPr>
            <w:r w:rsidRPr="00187078">
              <w:rPr>
                <w:sz w:val="20"/>
                <w:szCs w:val="20"/>
              </w:rPr>
              <w:t>3.</w:t>
            </w:r>
          </w:p>
        </w:tc>
        <w:tc>
          <w:tcPr>
            <w:tcW w:w="1532" w:type="pct"/>
            <w:hideMark/>
          </w:tcPr>
          <w:p w14:paraId="0C82883D" w14:textId="77777777" w:rsidR="00640CD8" w:rsidRPr="00187078" w:rsidRDefault="00640CD8" w:rsidP="00640CD8">
            <w:pPr>
              <w:rPr>
                <w:sz w:val="20"/>
                <w:szCs w:val="20"/>
              </w:rPr>
            </w:pPr>
            <w:r w:rsidRPr="00187078">
              <w:rPr>
                <w:sz w:val="20"/>
                <w:szCs w:val="20"/>
              </w:rPr>
              <w:t>Cita informācija</w:t>
            </w:r>
          </w:p>
        </w:tc>
        <w:tc>
          <w:tcPr>
            <w:tcW w:w="3146" w:type="pct"/>
            <w:hideMark/>
          </w:tcPr>
          <w:p w14:paraId="06B1555F" w14:textId="77777777" w:rsidR="00640CD8" w:rsidRPr="00187078" w:rsidRDefault="00640CD8" w:rsidP="00640CD8">
            <w:pPr>
              <w:rPr>
                <w:sz w:val="20"/>
                <w:szCs w:val="20"/>
              </w:rPr>
            </w:pPr>
            <w:r>
              <w:rPr>
                <w:sz w:val="20"/>
                <w:szCs w:val="20"/>
              </w:rPr>
              <w:t>Nav</w:t>
            </w:r>
          </w:p>
        </w:tc>
      </w:tr>
    </w:tbl>
    <w:p w14:paraId="0A150B4C" w14:textId="77777777" w:rsidR="00544FD6" w:rsidRDefault="00544FD6" w:rsidP="00544FD6">
      <w:pPr>
        <w:rPr>
          <w:sz w:val="28"/>
          <w:szCs w:val="28"/>
        </w:rPr>
      </w:pPr>
    </w:p>
    <w:p w14:paraId="645F2AD7" w14:textId="77777777" w:rsidR="00544FD6" w:rsidRPr="00544FD6" w:rsidRDefault="00544FD6" w:rsidP="00544FD6">
      <w:pPr>
        <w:rPr>
          <w:sz w:val="22"/>
          <w:szCs w:val="28"/>
        </w:rPr>
      </w:pPr>
      <w:r w:rsidRPr="00544FD6">
        <w:rPr>
          <w:sz w:val="22"/>
          <w:szCs w:val="28"/>
        </w:rPr>
        <w:t>Finanšu ministrs</w:t>
      </w:r>
      <w:r w:rsidRPr="00544FD6">
        <w:rPr>
          <w:sz w:val="22"/>
          <w:szCs w:val="28"/>
        </w:rPr>
        <w:tab/>
      </w:r>
      <w:r w:rsidRPr="00544FD6">
        <w:rPr>
          <w:sz w:val="22"/>
          <w:szCs w:val="28"/>
        </w:rPr>
        <w:tab/>
      </w:r>
      <w:r w:rsidRPr="00544FD6">
        <w:rPr>
          <w:sz w:val="22"/>
          <w:szCs w:val="28"/>
        </w:rPr>
        <w:tab/>
      </w:r>
      <w:r w:rsidRPr="00544FD6">
        <w:rPr>
          <w:sz w:val="22"/>
          <w:szCs w:val="28"/>
        </w:rPr>
        <w:tab/>
      </w:r>
      <w:r w:rsidRPr="00544FD6">
        <w:rPr>
          <w:sz w:val="22"/>
          <w:szCs w:val="28"/>
        </w:rPr>
        <w:tab/>
      </w:r>
      <w:r w:rsidRPr="00544FD6">
        <w:rPr>
          <w:sz w:val="22"/>
          <w:szCs w:val="28"/>
        </w:rPr>
        <w:tab/>
      </w:r>
      <w:r w:rsidRPr="00544FD6">
        <w:rPr>
          <w:sz w:val="22"/>
          <w:szCs w:val="28"/>
        </w:rPr>
        <w:tab/>
      </w:r>
      <w:r w:rsidRPr="00544FD6">
        <w:rPr>
          <w:sz w:val="22"/>
          <w:szCs w:val="28"/>
        </w:rPr>
        <w:tab/>
      </w:r>
      <w:proofErr w:type="spellStart"/>
      <w:r w:rsidRPr="00544FD6">
        <w:rPr>
          <w:sz w:val="22"/>
          <w:szCs w:val="28"/>
        </w:rPr>
        <w:t>J.Reirs</w:t>
      </w:r>
      <w:proofErr w:type="spellEnd"/>
    </w:p>
    <w:p w14:paraId="31FB57D8" w14:textId="77777777" w:rsidR="00544FD6" w:rsidRDefault="00544FD6" w:rsidP="00544FD6">
      <w:pPr>
        <w:jc w:val="both"/>
        <w:rPr>
          <w:sz w:val="16"/>
          <w:szCs w:val="16"/>
        </w:rPr>
      </w:pPr>
    </w:p>
    <w:p w14:paraId="1265B5DD" w14:textId="77777777" w:rsidR="00544FD6" w:rsidRPr="00964C8D" w:rsidRDefault="00544FD6" w:rsidP="00544FD6">
      <w:pPr>
        <w:jc w:val="both"/>
        <w:rPr>
          <w:sz w:val="16"/>
          <w:szCs w:val="16"/>
        </w:rPr>
      </w:pPr>
    </w:p>
    <w:p w14:paraId="5DA139DE" w14:textId="77777777" w:rsidR="00544FD6" w:rsidRPr="00964C8D" w:rsidRDefault="00544FD6" w:rsidP="00544FD6">
      <w:pPr>
        <w:jc w:val="both"/>
        <w:rPr>
          <w:sz w:val="16"/>
          <w:szCs w:val="16"/>
        </w:rPr>
      </w:pPr>
    </w:p>
    <w:p w14:paraId="0D35F476" w14:textId="77777777" w:rsidR="00544FD6" w:rsidRPr="00964C8D" w:rsidRDefault="00544FD6" w:rsidP="00544FD6">
      <w:pPr>
        <w:jc w:val="both"/>
        <w:rPr>
          <w:sz w:val="16"/>
          <w:szCs w:val="16"/>
        </w:rPr>
      </w:pPr>
    </w:p>
    <w:p w14:paraId="69EFFB2D" w14:textId="77777777" w:rsidR="00544FD6" w:rsidRPr="00FD420F" w:rsidRDefault="00544FD6" w:rsidP="00544FD6">
      <w:pPr>
        <w:jc w:val="both"/>
        <w:rPr>
          <w:sz w:val="20"/>
          <w:szCs w:val="20"/>
        </w:rPr>
      </w:pPr>
      <w:r>
        <w:rPr>
          <w:sz w:val="20"/>
          <w:szCs w:val="20"/>
        </w:rPr>
        <w:t>Parfenkova</w:t>
      </w:r>
      <w:r w:rsidRPr="00FD420F">
        <w:rPr>
          <w:sz w:val="20"/>
          <w:szCs w:val="20"/>
        </w:rPr>
        <w:t xml:space="preserve"> 6709</w:t>
      </w:r>
      <w:r>
        <w:rPr>
          <w:sz w:val="20"/>
          <w:szCs w:val="20"/>
        </w:rPr>
        <w:t>4248</w:t>
      </w:r>
    </w:p>
    <w:p w14:paraId="3683E2E9" w14:textId="77777777" w:rsidR="00E44472" w:rsidRDefault="00D0232E" w:rsidP="00D720B6">
      <w:pPr>
        <w:jc w:val="both"/>
      </w:pPr>
      <w:hyperlink r:id="rId16" w:history="1">
        <w:r w:rsidR="00544FD6" w:rsidRPr="008E6368">
          <w:rPr>
            <w:rStyle w:val="Hyperlink"/>
            <w:sz w:val="20"/>
            <w:szCs w:val="20"/>
          </w:rPr>
          <w:t>vineta.parfenkova@kase.gov.lv</w:t>
        </w:r>
      </w:hyperlink>
    </w:p>
    <w:sectPr w:rsidR="00E44472" w:rsidSect="009C12BC">
      <w:headerReference w:type="default" r:id="rId17"/>
      <w:footerReference w:type="default" r:id="rId18"/>
      <w:footerReference w:type="first" r:id="rId19"/>
      <w:pgSz w:w="11906" w:h="16838"/>
      <w:pgMar w:top="1440" w:right="849" w:bottom="1560" w:left="180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914B" w16cex:dateUtc="2021-07-27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EA7A4E" w16cid:durableId="24AA864A"/>
  <w16cid:commentId w16cid:paraId="02AEB71E" w16cid:durableId="24AA864B"/>
  <w16cid:commentId w16cid:paraId="644DE726" w16cid:durableId="24AA91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8B41D" w14:textId="77777777" w:rsidR="00194DAA" w:rsidRDefault="00194DAA" w:rsidP="00544FD6">
      <w:r>
        <w:separator/>
      </w:r>
    </w:p>
  </w:endnote>
  <w:endnote w:type="continuationSeparator" w:id="0">
    <w:p w14:paraId="792EF0C3" w14:textId="77777777" w:rsidR="00194DAA" w:rsidRDefault="00194DAA" w:rsidP="00544FD6">
      <w:r>
        <w:continuationSeparator/>
      </w:r>
    </w:p>
  </w:endnote>
  <w:endnote w:type="continuationNotice" w:id="1">
    <w:p w14:paraId="2A0FE0FA" w14:textId="77777777" w:rsidR="00F5626A" w:rsidRDefault="00F56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38552264"/>
      <w:docPartObj>
        <w:docPartGallery w:val="Page Numbers (Bottom of Page)"/>
        <w:docPartUnique/>
      </w:docPartObj>
    </w:sdtPr>
    <w:sdtEndPr>
      <w:rPr>
        <w:noProof/>
      </w:rPr>
    </w:sdtEndPr>
    <w:sdtContent>
      <w:p w14:paraId="698B9138" w14:textId="17CEE614" w:rsidR="00194DAA" w:rsidRPr="00D720B6" w:rsidRDefault="00194DAA" w:rsidP="00D720B6">
        <w:pPr>
          <w:pStyle w:val="Footer"/>
          <w:rPr>
            <w:sz w:val="18"/>
          </w:rPr>
        </w:pPr>
        <w:r w:rsidRPr="00D720B6">
          <w:rPr>
            <w:sz w:val="18"/>
          </w:rPr>
          <w:fldChar w:fldCharType="begin"/>
        </w:r>
        <w:r w:rsidRPr="00D720B6">
          <w:rPr>
            <w:sz w:val="18"/>
          </w:rPr>
          <w:instrText xml:space="preserve"> FILENAME \* MERGEFORMAT </w:instrText>
        </w:r>
        <w:r w:rsidRPr="00D720B6">
          <w:rPr>
            <w:sz w:val="18"/>
          </w:rPr>
          <w:fldChar w:fldCharType="separate"/>
        </w:r>
        <w:r w:rsidR="00AE6341">
          <w:rPr>
            <w:noProof/>
            <w:sz w:val="18"/>
          </w:rPr>
          <w:t>FMAnot_GP_2707</w:t>
        </w:r>
        <w:r w:rsidRPr="00D720B6">
          <w:rPr>
            <w:noProof/>
            <w:sz w:val="18"/>
          </w:rPr>
          <w:t>21.DOCX</w:t>
        </w:r>
        <w:r w:rsidRPr="00D720B6">
          <w:rPr>
            <w:sz w:val="18"/>
          </w:rPr>
          <w:fldChar w:fldCharType="end"/>
        </w:r>
      </w:p>
    </w:sdtContent>
  </w:sdt>
  <w:p w14:paraId="2A4EF659" w14:textId="77777777" w:rsidR="00194DAA" w:rsidRDefault="00194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897C" w14:textId="4D567B5E" w:rsidR="00194DAA" w:rsidRPr="00D720B6" w:rsidRDefault="00194DAA">
    <w:pPr>
      <w:pStyle w:val="Footer"/>
      <w:rPr>
        <w:sz w:val="20"/>
      </w:rPr>
    </w:pPr>
    <w:r w:rsidRPr="00D720B6">
      <w:rPr>
        <w:sz w:val="20"/>
      </w:rPr>
      <w:fldChar w:fldCharType="begin"/>
    </w:r>
    <w:r w:rsidRPr="00D720B6">
      <w:rPr>
        <w:sz w:val="20"/>
      </w:rPr>
      <w:instrText xml:space="preserve"> FILENAME \* MERGEFORMAT </w:instrText>
    </w:r>
    <w:r w:rsidRPr="00D720B6">
      <w:rPr>
        <w:sz w:val="20"/>
      </w:rPr>
      <w:fldChar w:fldCharType="separate"/>
    </w:r>
    <w:r w:rsidRPr="00D720B6">
      <w:rPr>
        <w:noProof/>
        <w:sz w:val="20"/>
      </w:rPr>
      <w:t>FMAnot_GP_</w:t>
    </w:r>
    <w:r w:rsidR="00AE6341">
      <w:rPr>
        <w:noProof/>
        <w:sz w:val="20"/>
      </w:rPr>
      <w:t>2707</w:t>
    </w:r>
    <w:r w:rsidRPr="00D720B6">
      <w:rPr>
        <w:noProof/>
        <w:sz w:val="20"/>
      </w:rPr>
      <w:t>21.DOCX</w:t>
    </w:r>
    <w:r w:rsidRPr="00D720B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035A3" w14:textId="77777777" w:rsidR="00194DAA" w:rsidRDefault="00194DAA" w:rsidP="00544FD6">
      <w:r>
        <w:separator/>
      </w:r>
    </w:p>
  </w:footnote>
  <w:footnote w:type="continuationSeparator" w:id="0">
    <w:p w14:paraId="6E384E73" w14:textId="77777777" w:rsidR="00194DAA" w:rsidRDefault="00194DAA" w:rsidP="00544FD6">
      <w:r>
        <w:continuationSeparator/>
      </w:r>
    </w:p>
  </w:footnote>
  <w:footnote w:type="continuationNotice" w:id="1">
    <w:p w14:paraId="727F436E" w14:textId="77777777" w:rsidR="00F5626A" w:rsidRDefault="00F562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59997151"/>
      <w:docPartObj>
        <w:docPartGallery w:val="Page Numbers (Top of Page)"/>
        <w:docPartUnique/>
      </w:docPartObj>
    </w:sdtPr>
    <w:sdtEndPr>
      <w:rPr>
        <w:noProof/>
      </w:rPr>
    </w:sdtEndPr>
    <w:sdtContent>
      <w:p w14:paraId="7476499E" w14:textId="7227B09E" w:rsidR="00286107" w:rsidRDefault="00194DAA" w:rsidP="00553C65">
        <w:pPr>
          <w:pStyle w:val="Header"/>
          <w:jc w:val="center"/>
        </w:pPr>
        <w:r w:rsidRPr="00D720B6">
          <w:rPr>
            <w:sz w:val="20"/>
          </w:rPr>
          <w:fldChar w:fldCharType="begin"/>
        </w:r>
        <w:r w:rsidRPr="00D720B6">
          <w:rPr>
            <w:sz w:val="20"/>
          </w:rPr>
          <w:instrText xml:space="preserve"> PAGE   \* MERGEFORMAT </w:instrText>
        </w:r>
        <w:r w:rsidRPr="00D720B6">
          <w:rPr>
            <w:sz w:val="20"/>
          </w:rPr>
          <w:fldChar w:fldCharType="separate"/>
        </w:r>
        <w:r w:rsidR="00D0232E">
          <w:rPr>
            <w:noProof/>
            <w:sz w:val="20"/>
          </w:rPr>
          <w:t>8</w:t>
        </w:r>
        <w:r w:rsidRPr="00D720B6">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17F"/>
    <w:multiLevelType w:val="hybridMultilevel"/>
    <w:tmpl w:val="1C4AB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991F0A"/>
    <w:multiLevelType w:val="hybridMultilevel"/>
    <w:tmpl w:val="E3107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B9547B"/>
    <w:multiLevelType w:val="hybridMultilevel"/>
    <w:tmpl w:val="544071C2"/>
    <w:lvl w:ilvl="0" w:tplc="3AFC674C">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789548BA"/>
    <w:multiLevelType w:val="hybridMultilevel"/>
    <w:tmpl w:val="9CD05F86"/>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31C4A"/>
    <w:rsid w:val="000557B3"/>
    <w:rsid w:val="0006292D"/>
    <w:rsid w:val="00063DC0"/>
    <w:rsid w:val="00064BCE"/>
    <w:rsid w:val="00065069"/>
    <w:rsid w:val="00067975"/>
    <w:rsid w:val="0007062A"/>
    <w:rsid w:val="000931B0"/>
    <w:rsid w:val="000A0C03"/>
    <w:rsid w:val="000B21CE"/>
    <w:rsid w:val="000D464D"/>
    <w:rsid w:val="000F055E"/>
    <w:rsid w:val="000F19A3"/>
    <w:rsid w:val="000F2552"/>
    <w:rsid w:val="000F4947"/>
    <w:rsid w:val="000F74B8"/>
    <w:rsid w:val="00100301"/>
    <w:rsid w:val="00101BAC"/>
    <w:rsid w:val="001035B8"/>
    <w:rsid w:val="001155C8"/>
    <w:rsid w:val="00120984"/>
    <w:rsid w:val="00126B15"/>
    <w:rsid w:val="00130935"/>
    <w:rsid w:val="0013270F"/>
    <w:rsid w:val="001372F6"/>
    <w:rsid w:val="001572B7"/>
    <w:rsid w:val="0016277F"/>
    <w:rsid w:val="00166930"/>
    <w:rsid w:val="00185B25"/>
    <w:rsid w:val="00187078"/>
    <w:rsid w:val="00194DAA"/>
    <w:rsid w:val="001951CB"/>
    <w:rsid w:val="001971FC"/>
    <w:rsid w:val="00197BCB"/>
    <w:rsid w:val="001A078C"/>
    <w:rsid w:val="001E11C0"/>
    <w:rsid w:val="001F68EB"/>
    <w:rsid w:val="002068A0"/>
    <w:rsid w:val="00230D4C"/>
    <w:rsid w:val="00241A13"/>
    <w:rsid w:val="00250FB9"/>
    <w:rsid w:val="00280248"/>
    <w:rsid w:val="00280C03"/>
    <w:rsid w:val="002832A8"/>
    <w:rsid w:val="0028490B"/>
    <w:rsid w:val="00286107"/>
    <w:rsid w:val="002957C1"/>
    <w:rsid w:val="002B3CAA"/>
    <w:rsid w:val="002C3E35"/>
    <w:rsid w:val="002D72D1"/>
    <w:rsid w:val="002E4F6F"/>
    <w:rsid w:val="00300CB5"/>
    <w:rsid w:val="00317518"/>
    <w:rsid w:val="00335935"/>
    <w:rsid w:val="00353C16"/>
    <w:rsid w:val="00363CE4"/>
    <w:rsid w:val="003703DF"/>
    <w:rsid w:val="0037793B"/>
    <w:rsid w:val="00380330"/>
    <w:rsid w:val="003B51B4"/>
    <w:rsid w:val="003C394B"/>
    <w:rsid w:val="003D118C"/>
    <w:rsid w:val="003D2874"/>
    <w:rsid w:val="003D4B08"/>
    <w:rsid w:val="003D7850"/>
    <w:rsid w:val="00401E81"/>
    <w:rsid w:val="004039A2"/>
    <w:rsid w:val="00411406"/>
    <w:rsid w:val="004254C8"/>
    <w:rsid w:val="00434AB4"/>
    <w:rsid w:val="00443ADA"/>
    <w:rsid w:val="00457495"/>
    <w:rsid w:val="004B1D59"/>
    <w:rsid w:val="004B5CFE"/>
    <w:rsid w:val="004B6EB1"/>
    <w:rsid w:val="004C06F6"/>
    <w:rsid w:val="004E00C0"/>
    <w:rsid w:val="004E21A9"/>
    <w:rsid w:val="00512802"/>
    <w:rsid w:val="00516D5F"/>
    <w:rsid w:val="00523BA6"/>
    <w:rsid w:val="005320C5"/>
    <w:rsid w:val="00534723"/>
    <w:rsid w:val="00535BE4"/>
    <w:rsid w:val="00540E3B"/>
    <w:rsid w:val="00544FD6"/>
    <w:rsid w:val="00550683"/>
    <w:rsid w:val="00553C65"/>
    <w:rsid w:val="00555DB4"/>
    <w:rsid w:val="005733FE"/>
    <w:rsid w:val="005739A3"/>
    <w:rsid w:val="005963B0"/>
    <w:rsid w:val="005D5976"/>
    <w:rsid w:val="005E5DD9"/>
    <w:rsid w:val="005F2613"/>
    <w:rsid w:val="006069C9"/>
    <w:rsid w:val="00610315"/>
    <w:rsid w:val="00612619"/>
    <w:rsid w:val="0062008C"/>
    <w:rsid w:val="0062484A"/>
    <w:rsid w:val="0062772A"/>
    <w:rsid w:val="00640CD8"/>
    <w:rsid w:val="00645152"/>
    <w:rsid w:val="00653CC2"/>
    <w:rsid w:val="00662EC0"/>
    <w:rsid w:val="006671A3"/>
    <w:rsid w:val="006831BA"/>
    <w:rsid w:val="00690A51"/>
    <w:rsid w:val="006A3E61"/>
    <w:rsid w:val="006B1ED2"/>
    <w:rsid w:val="006B372A"/>
    <w:rsid w:val="006C338F"/>
    <w:rsid w:val="006E36A8"/>
    <w:rsid w:val="006F478C"/>
    <w:rsid w:val="00700EB2"/>
    <w:rsid w:val="00707731"/>
    <w:rsid w:val="00712663"/>
    <w:rsid w:val="00713B28"/>
    <w:rsid w:val="007154F0"/>
    <w:rsid w:val="00715C7A"/>
    <w:rsid w:val="00717E3F"/>
    <w:rsid w:val="00740632"/>
    <w:rsid w:val="007420FB"/>
    <w:rsid w:val="007438DD"/>
    <w:rsid w:val="007507A9"/>
    <w:rsid w:val="007706FF"/>
    <w:rsid w:val="007729FA"/>
    <w:rsid w:val="0078783D"/>
    <w:rsid w:val="007952D8"/>
    <w:rsid w:val="007969C5"/>
    <w:rsid w:val="007B044C"/>
    <w:rsid w:val="007B4357"/>
    <w:rsid w:val="007D21E9"/>
    <w:rsid w:val="007E21DE"/>
    <w:rsid w:val="007E2D0D"/>
    <w:rsid w:val="007E4F0E"/>
    <w:rsid w:val="00815012"/>
    <w:rsid w:val="00821107"/>
    <w:rsid w:val="008227FC"/>
    <w:rsid w:val="00827EC0"/>
    <w:rsid w:val="00844FE2"/>
    <w:rsid w:val="0084542B"/>
    <w:rsid w:val="0085139B"/>
    <w:rsid w:val="00880958"/>
    <w:rsid w:val="00883080"/>
    <w:rsid w:val="00883CD6"/>
    <w:rsid w:val="00891AC1"/>
    <w:rsid w:val="0089685D"/>
    <w:rsid w:val="008A2EE9"/>
    <w:rsid w:val="008B27D8"/>
    <w:rsid w:val="008B573D"/>
    <w:rsid w:val="008B67E0"/>
    <w:rsid w:val="008B7705"/>
    <w:rsid w:val="008C1869"/>
    <w:rsid w:val="008C5D25"/>
    <w:rsid w:val="008C64C0"/>
    <w:rsid w:val="008D1911"/>
    <w:rsid w:val="008D3B97"/>
    <w:rsid w:val="008E4A92"/>
    <w:rsid w:val="008F2900"/>
    <w:rsid w:val="008F70D8"/>
    <w:rsid w:val="00916429"/>
    <w:rsid w:val="00927C16"/>
    <w:rsid w:val="0094026A"/>
    <w:rsid w:val="0094426B"/>
    <w:rsid w:val="00947C87"/>
    <w:rsid w:val="0095327E"/>
    <w:rsid w:val="00953551"/>
    <w:rsid w:val="0095520D"/>
    <w:rsid w:val="00970346"/>
    <w:rsid w:val="00970939"/>
    <w:rsid w:val="009743FD"/>
    <w:rsid w:val="009B3534"/>
    <w:rsid w:val="009B60B5"/>
    <w:rsid w:val="009C12BC"/>
    <w:rsid w:val="009C2B54"/>
    <w:rsid w:val="009D3878"/>
    <w:rsid w:val="009D44FB"/>
    <w:rsid w:val="009F348B"/>
    <w:rsid w:val="00A222D2"/>
    <w:rsid w:val="00A62B32"/>
    <w:rsid w:val="00A668FB"/>
    <w:rsid w:val="00A768DD"/>
    <w:rsid w:val="00A77EC4"/>
    <w:rsid w:val="00A9186A"/>
    <w:rsid w:val="00A95D40"/>
    <w:rsid w:val="00A9616F"/>
    <w:rsid w:val="00AA0C01"/>
    <w:rsid w:val="00AB258A"/>
    <w:rsid w:val="00AB2B44"/>
    <w:rsid w:val="00AE3291"/>
    <w:rsid w:val="00AE6341"/>
    <w:rsid w:val="00AF57F0"/>
    <w:rsid w:val="00B04F8B"/>
    <w:rsid w:val="00B126C5"/>
    <w:rsid w:val="00B2225E"/>
    <w:rsid w:val="00B24C5C"/>
    <w:rsid w:val="00B67724"/>
    <w:rsid w:val="00B72C78"/>
    <w:rsid w:val="00B752F5"/>
    <w:rsid w:val="00B82358"/>
    <w:rsid w:val="00B8375B"/>
    <w:rsid w:val="00B86EAA"/>
    <w:rsid w:val="00B90DF2"/>
    <w:rsid w:val="00B93B21"/>
    <w:rsid w:val="00B94112"/>
    <w:rsid w:val="00B95A19"/>
    <w:rsid w:val="00BA3299"/>
    <w:rsid w:val="00BA5394"/>
    <w:rsid w:val="00BC6664"/>
    <w:rsid w:val="00BC6A07"/>
    <w:rsid w:val="00BD3F69"/>
    <w:rsid w:val="00BD5588"/>
    <w:rsid w:val="00BE4B6F"/>
    <w:rsid w:val="00BF33E9"/>
    <w:rsid w:val="00C05A65"/>
    <w:rsid w:val="00C11198"/>
    <w:rsid w:val="00C114ED"/>
    <w:rsid w:val="00C26D4B"/>
    <w:rsid w:val="00C81D14"/>
    <w:rsid w:val="00C86363"/>
    <w:rsid w:val="00C928E1"/>
    <w:rsid w:val="00CB7B25"/>
    <w:rsid w:val="00CD4545"/>
    <w:rsid w:val="00CD45FE"/>
    <w:rsid w:val="00CD4620"/>
    <w:rsid w:val="00D0232E"/>
    <w:rsid w:val="00D04A2A"/>
    <w:rsid w:val="00D05323"/>
    <w:rsid w:val="00D229CB"/>
    <w:rsid w:val="00D22A7D"/>
    <w:rsid w:val="00D25D91"/>
    <w:rsid w:val="00D31B37"/>
    <w:rsid w:val="00D338FE"/>
    <w:rsid w:val="00D4053B"/>
    <w:rsid w:val="00D534F3"/>
    <w:rsid w:val="00D66CB4"/>
    <w:rsid w:val="00D720B6"/>
    <w:rsid w:val="00D728F2"/>
    <w:rsid w:val="00D8739F"/>
    <w:rsid w:val="00D95E1A"/>
    <w:rsid w:val="00DB78B5"/>
    <w:rsid w:val="00DC187D"/>
    <w:rsid w:val="00DC5A62"/>
    <w:rsid w:val="00E01FE2"/>
    <w:rsid w:val="00E07762"/>
    <w:rsid w:val="00E11997"/>
    <w:rsid w:val="00E24CF7"/>
    <w:rsid w:val="00E27A5F"/>
    <w:rsid w:val="00E428FF"/>
    <w:rsid w:val="00E44472"/>
    <w:rsid w:val="00E737F1"/>
    <w:rsid w:val="00E8769A"/>
    <w:rsid w:val="00EA24EE"/>
    <w:rsid w:val="00EC58D9"/>
    <w:rsid w:val="00EF0782"/>
    <w:rsid w:val="00EF1494"/>
    <w:rsid w:val="00EF681B"/>
    <w:rsid w:val="00F12FBF"/>
    <w:rsid w:val="00F14C4E"/>
    <w:rsid w:val="00F26D4F"/>
    <w:rsid w:val="00F3526A"/>
    <w:rsid w:val="00F54511"/>
    <w:rsid w:val="00F5626A"/>
    <w:rsid w:val="00F63AC0"/>
    <w:rsid w:val="00F80660"/>
    <w:rsid w:val="00F9358C"/>
    <w:rsid w:val="00FA1F00"/>
    <w:rsid w:val="00FC5011"/>
    <w:rsid w:val="00FD58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06DA"/>
  <w15:docId w15:val="{87D17FCD-40F7-48E4-978D-AA8B9972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tv213">
    <w:name w:val="tv213"/>
    <w:basedOn w:val="Normal"/>
    <w:rsid w:val="003D7850"/>
    <w:pPr>
      <w:spacing w:before="100" w:beforeAutospacing="1" w:after="100" w:afterAutospacing="1"/>
    </w:p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B752F5"/>
    <w:pPr>
      <w:ind w:left="720"/>
      <w:contextualSpacing/>
    </w:pPr>
  </w:style>
  <w:style w:type="character" w:styleId="CommentReference">
    <w:name w:val="annotation reference"/>
    <w:basedOn w:val="DefaultParagraphFont"/>
    <w:uiPriority w:val="99"/>
    <w:semiHidden/>
    <w:unhideWhenUsed/>
    <w:rsid w:val="006671A3"/>
    <w:rPr>
      <w:sz w:val="16"/>
      <w:szCs w:val="16"/>
    </w:rPr>
  </w:style>
  <w:style w:type="paragraph" w:styleId="CommentText">
    <w:name w:val="annotation text"/>
    <w:basedOn w:val="Normal"/>
    <w:link w:val="CommentTextChar"/>
    <w:uiPriority w:val="99"/>
    <w:semiHidden/>
    <w:unhideWhenUsed/>
    <w:rsid w:val="006671A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671A3"/>
    <w:rPr>
      <w:sz w:val="20"/>
      <w:szCs w:val="20"/>
    </w:rPr>
  </w:style>
  <w:style w:type="paragraph" w:styleId="BalloonText">
    <w:name w:val="Balloon Text"/>
    <w:basedOn w:val="Normal"/>
    <w:link w:val="BalloonTextChar"/>
    <w:uiPriority w:val="99"/>
    <w:semiHidden/>
    <w:unhideWhenUsed/>
    <w:rsid w:val="00667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A3"/>
    <w:rPr>
      <w:rFonts w:ascii="Segoe UI" w:eastAsia="Times New Roman" w:hAnsi="Segoe UI" w:cs="Segoe UI"/>
      <w:sz w:val="18"/>
      <w:szCs w:val="18"/>
      <w:lang w:eastAsia="lv-LV"/>
    </w:rPr>
  </w:style>
  <w:style w:type="paragraph" w:customStyle="1" w:styleId="naiskr">
    <w:name w:val="naiskr"/>
    <w:basedOn w:val="Normal"/>
    <w:rsid w:val="006831BA"/>
    <w:pPr>
      <w:suppressAutoHyphens/>
      <w:spacing w:before="75" w:after="75" w:line="100" w:lineRule="atLeast"/>
    </w:pPr>
    <w:rPr>
      <w:kern w:val="1"/>
    </w:rPr>
  </w:style>
  <w:style w:type="paragraph" w:styleId="Header">
    <w:name w:val="header"/>
    <w:basedOn w:val="Normal"/>
    <w:link w:val="HeaderChar"/>
    <w:uiPriority w:val="99"/>
    <w:unhideWhenUsed/>
    <w:rsid w:val="00544FD6"/>
    <w:pPr>
      <w:tabs>
        <w:tab w:val="center" w:pos="4153"/>
        <w:tab w:val="right" w:pos="8306"/>
      </w:tabs>
    </w:pPr>
  </w:style>
  <w:style w:type="character" w:customStyle="1" w:styleId="HeaderChar">
    <w:name w:val="Header Char"/>
    <w:basedOn w:val="DefaultParagraphFont"/>
    <w:link w:val="Header"/>
    <w:uiPriority w:val="99"/>
    <w:rsid w:val="00544FD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44FD6"/>
    <w:pPr>
      <w:tabs>
        <w:tab w:val="center" w:pos="4153"/>
        <w:tab w:val="right" w:pos="8306"/>
      </w:tabs>
    </w:pPr>
  </w:style>
  <w:style w:type="character" w:customStyle="1" w:styleId="FooterChar">
    <w:name w:val="Footer Char"/>
    <w:basedOn w:val="DefaultParagraphFont"/>
    <w:link w:val="Footer"/>
    <w:uiPriority w:val="99"/>
    <w:rsid w:val="00544FD6"/>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13B28"/>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713B28"/>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2D72D1"/>
    <w:rPr>
      <w:color w:val="800080" w:themeColor="followedHyperlink"/>
      <w:u w:val="single"/>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194DAA"/>
    <w:rPr>
      <w:rFonts w:ascii="Times New Roman" w:eastAsia="Times New Roman" w:hAnsi="Times New Roman" w:cs="Times New Roman"/>
      <w:sz w:val="24"/>
      <w:szCs w:val="24"/>
      <w:lang w:eastAsia="lv-LV"/>
    </w:rPr>
  </w:style>
  <w:style w:type="paragraph" w:customStyle="1" w:styleId="tvhtml">
    <w:name w:val="tv_html"/>
    <w:basedOn w:val="Normal"/>
    <w:rsid w:val="000629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5726">
      <w:bodyDiv w:val="1"/>
      <w:marLeft w:val="0"/>
      <w:marRight w:val="0"/>
      <w:marTop w:val="0"/>
      <w:marBottom w:val="0"/>
      <w:divBdr>
        <w:top w:val="none" w:sz="0" w:space="0" w:color="auto"/>
        <w:left w:val="none" w:sz="0" w:space="0" w:color="auto"/>
        <w:bottom w:val="none" w:sz="0" w:space="0" w:color="auto"/>
        <w:right w:val="none" w:sz="0" w:space="0" w:color="auto"/>
      </w:divBdr>
    </w:div>
    <w:div w:id="1541549410">
      <w:bodyDiv w:val="1"/>
      <w:marLeft w:val="0"/>
      <w:marRight w:val="0"/>
      <w:marTop w:val="0"/>
      <w:marBottom w:val="0"/>
      <w:divBdr>
        <w:top w:val="none" w:sz="0" w:space="0" w:color="auto"/>
        <w:left w:val="none" w:sz="0" w:space="0" w:color="auto"/>
        <w:bottom w:val="none" w:sz="0" w:space="0" w:color="auto"/>
        <w:right w:val="none" w:sz="0" w:space="0" w:color="auto"/>
      </w:divBdr>
    </w:div>
    <w:div w:id="19922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m.gov.lv/lv/valsts-budzeta-politik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kase.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neta.parfenkova@kase.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m.gov.lv" TargetMode="External"/><Relationship Id="rId5" Type="http://schemas.openxmlformats.org/officeDocument/2006/relationships/styles" Target="styles.xml"/><Relationship Id="rId15" Type="http://schemas.openxmlformats.org/officeDocument/2006/relationships/hyperlink" Target="https://www.mk.gov.lv/lv/ministru-kabineta-diskusiju-dokumenti" TargetMode="External"/><Relationship Id="rId23" Type="http://schemas.microsoft.com/office/2018/08/relationships/commentsExtensible" Target="commentsExtensible.xml"/><Relationship Id="rId10" Type="http://schemas.openxmlformats.org/officeDocument/2006/relationships/hyperlink" Target="http://tap.mk.gov.lv/mk/mksedes/saraksts/protokols/?protokols=2016-10-25"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se.gov.lv/valsts-kase/sabiedribas-lidzdaliba"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C86F4-5CA8-4F6F-906D-E4E3382BF24B}">
  <ds:schemaRefs>
    <ds:schemaRef ds:uri="http://schemas.microsoft.com/sharepoint/v3/contenttype/forms"/>
  </ds:schemaRefs>
</ds:datastoreItem>
</file>

<file path=customXml/itemProps2.xml><?xml version="1.0" encoding="utf-8"?>
<ds:datastoreItem xmlns:ds="http://schemas.openxmlformats.org/officeDocument/2006/customXml" ds:itemID="{9A3F244D-0290-4171-A8E6-D21ED058D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093B35-28A6-4A7B-8B30-754FE1C04EC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16164</Words>
  <Characters>9215</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“Gada pārskata sagatavošanas kārtība” projekta sākotnējās ietekmes novērtējuma ziņojums (anotācija)</vt:lpstr>
      <vt:lpstr>Ministru kabineta noteikumu “Gada pārskata sagatavošanas kārtība” projekta sākotnējās ietekmes novērtējuma ziņojums (anotācija)</vt:lpstr>
    </vt:vector>
  </TitlesOfParts>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“Gada pārskata sagatavošanas kārtība” projekta sākotnējās ietekmes novērtējuma ziņojums (anotācija)</dc:title>
  <dc:creator>Vineta.Parfenkova@kase.gov.lv</dc:creator>
  <cp:keywords>Anotācija</cp:keywords>
  <dc:description>Atbildīgā amatpersona: Valsts kases Pārskatu departamaneta direktore Ligita Agleniece, tālr. 67094249, e-pasts: ligita.agleniece@kase.gov.lv</dc:description>
  <cp:lastModifiedBy>Vineta Parfenkova</cp:lastModifiedBy>
  <cp:revision>8</cp:revision>
  <dcterms:created xsi:type="dcterms:W3CDTF">2021-07-27T11:55:00Z</dcterms:created>
  <dcterms:modified xsi:type="dcterms:W3CDTF">2021-08-03T07:50:00Z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