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594463" w:rsidR="00452C14" w:rsidP="005B3FF0" w:rsidRDefault="00452C14" w14:paraId="4980BAD3" w14:textId="77777777">
      <w:pPr>
        <w:widowControl w:val="false"/>
        <w:suppressAutoHyphens/>
        <w:spacing w:before="120" w:after="120"/>
        <w:ind w:left="357"/>
        <w:jc w:val="center"/>
        <w15:collapsed w:val="false"/>
        <w:rPr>
          <w:b/>
          <w:kern w:val="1"/>
          <w:lang w:eastAsia="ar-SA"/>
        </w:rPr>
      </w:pPr>
      <w:r w:rsidRPr="00594463">
        <w:rPr>
          <w:b/>
          <w:kern w:val="1"/>
          <w:lang w:eastAsia="ar-SA"/>
        </w:rPr>
        <w:t>Informatīvais ziņojums</w:t>
      </w:r>
    </w:p>
    <w:p w:rsidRPr="00594463" w:rsidR="00E949CE" w:rsidP="005B3FF0" w:rsidRDefault="00A947D5" w14:paraId="035C8EA7" w14:textId="0341E3DE">
      <w:pPr>
        <w:snapToGrid w:val="false"/>
        <w:spacing w:before="120" w:after="120"/>
        <w:jc w:val="center"/>
      </w:pPr>
      <w:r w:rsidRPr="00594463">
        <w:rPr>
          <w:b/>
          <w:bCs/>
          <w:lang w:eastAsia="lv-LV"/>
        </w:rPr>
        <w:t>“</w:t>
      </w:r>
      <w:bookmarkStart w:id="0" w:name="_Hlk152751440"/>
      <w:r w:rsidRPr="00594463" w:rsidR="00BD4C17">
        <w:rPr>
          <w:b/>
        </w:rPr>
        <w:t xml:space="preserve">Par 2025. gada </w:t>
      </w:r>
      <w:r w:rsidRPr="00594463" w:rsidR="00282E27">
        <w:rPr>
          <w:b/>
        </w:rPr>
        <w:t>1</w:t>
      </w:r>
      <w:r w:rsidRPr="00594463" w:rsidR="00BD4C17">
        <w:rPr>
          <w:b/>
        </w:rPr>
        <w:t xml:space="preserve">.-2. </w:t>
      </w:r>
      <w:r w:rsidRPr="00594463" w:rsidR="00560A2A">
        <w:rPr>
          <w:b/>
        </w:rPr>
        <w:t>oktobra</w:t>
      </w:r>
      <w:r w:rsidRPr="00594463" w:rsidR="00BD4C17">
        <w:rPr>
          <w:b/>
        </w:rPr>
        <w:t xml:space="preserve"> </w:t>
      </w:r>
      <w:bookmarkEnd w:id="0"/>
      <w:r w:rsidRPr="00594463" w:rsidR="00282E27">
        <w:rPr>
          <w:b/>
        </w:rPr>
        <w:t xml:space="preserve">neformālajā Eiropadomē </w:t>
      </w:r>
      <w:r w:rsidRPr="00594463" w:rsidR="00C723DC">
        <w:rPr>
          <w:b/>
        </w:rPr>
        <w:t>un Eiropas politiskās kopienas sanāksmē izskatāmajiem jautājumiem</w:t>
      </w:r>
      <w:r w:rsidRPr="00594463">
        <w:rPr>
          <w:b/>
          <w:bCs/>
          <w:lang w:eastAsia="lv-LV"/>
        </w:rPr>
        <w:t>”</w:t>
      </w:r>
      <w:bookmarkStart w:id="1" w:name="_Hlk80775139"/>
    </w:p>
    <w:p w:rsidRPr="00594463" w:rsidR="00282E27" w:rsidP="005B3FF0" w:rsidRDefault="00BD4C17" w14:paraId="5254BE08" w14:textId="3714166F">
      <w:pPr>
        <w:spacing w:before="120" w:after="120"/>
        <w:jc w:val="both"/>
      </w:pPr>
      <w:r w:rsidRPr="00594463">
        <w:t>2025.</w:t>
      </w:r>
      <w:r w:rsidRPr="00594463" w:rsidR="00825944">
        <w:t> </w:t>
      </w:r>
      <w:r w:rsidRPr="00594463">
        <w:t>gada</w:t>
      </w:r>
      <w:r w:rsidRPr="00594463" w:rsidR="00217174">
        <w:t xml:space="preserve"> </w:t>
      </w:r>
      <w:r w:rsidRPr="00594463" w:rsidR="00282E27">
        <w:rPr>
          <w:bCs/>
        </w:rPr>
        <w:t>1</w:t>
      </w:r>
      <w:r w:rsidRPr="00594463">
        <w:rPr>
          <w:bCs/>
        </w:rPr>
        <w:t>.-2. </w:t>
      </w:r>
      <w:r w:rsidRPr="00594463" w:rsidR="00805F70">
        <w:rPr>
          <w:bCs/>
        </w:rPr>
        <w:t>oktobrī</w:t>
      </w:r>
      <w:r w:rsidRPr="00594463">
        <w:rPr>
          <w:bCs/>
        </w:rPr>
        <w:t xml:space="preserve"> </w:t>
      </w:r>
      <w:r w:rsidRPr="00594463" w:rsidR="00282E27">
        <w:t>Kopenhāgenā</w:t>
      </w:r>
      <w:r w:rsidRPr="00594463">
        <w:t xml:space="preserve">, </w:t>
      </w:r>
      <w:r w:rsidRPr="00594463" w:rsidR="00282E27">
        <w:t>Dānijā</w:t>
      </w:r>
      <w:r w:rsidRPr="00594463">
        <w:t xml:space="preserve"> </w:t>
      </w:r>
      <w:r w:rsidRPr="00594463" w:rsidR="009755AD">
        <w:t>plānota</w:t>
      </w:r>
      <w:r w:rsidRPr="00594463" w:rsidR="006A2A4F">
        <w:t xml:space="preserve"> </w:t>
      </w:r>
      <w:r w:rsidRPr="00594463" w:rsidR="00282E27">
        <w:t>neformālā Eiropas Savienības (ES) valstu vai to valdību vadītāju sanāksme (</w:t>
      </w:r>
      <w:r w:rsidRPr="00594463" w:rsidR="009755AD">
        <w:t>turpmāk</w:t>
      </w:r>
      <w:r w:rsidR="00AA0179">
        <w:t xml:space="preserve"> – </w:t>
      </w:r>
      <w:r w:rsidRPr="00594463" w:rsidR="009755AD">
        <w:t xml:space="preserve">neformālā </w:t>
      </w:r>
      <w:r w:rsidRPr="00594463" w:rsidR="00282E27">
        <w:t>Eiropadome)</w:t>
      </w:r>
      <w:r w:rsidRPr="00594463" w:rsidR="00C723DC">
        <w:t xml:space="preserve"> un Eiropas politiskās kopienas (EPK) sanāksme</w:t>
      </w:r>
      <w:r w:rsidRPr="00594463" w:rsidR="006A2A4F">
        <w:t>.</w:t>
      </w:r>
      <w:r w:rsidRPr="00594463" w:rsidR="00FF18F4">
        <w:t xml:space="preserve"> </w:t>
      </w:r>
    </w:p>
    <w:p w:rsidRPr="00594463" w:rsidR="00F360A4" w:rsidP="005B3FF0" w:rsidRDefault="00F360A4" w14:paraId="44E6B75D" w14:textId="3CB48573">
      <w:pPr>
        <w:spacing w:before="120" w:after="120"/>
        <w:jc w:val="both"/>
      </w:pPr>
      <w:r w:rsidRPr="00594463">
        <w:t>1. </w:t>
      </w:r>
      <w:r w:rsidRPr="00594463" w:rsidR="00D01FEA">
        <w:t>oktobra</w:t>
      </w:r>
      <w:r w:rsidRPr="00594463">
        <w:t xml:space="preserve"> neformāl</w:t>
      </w:r>
      <w:r w:rsidRPr="00594463" w:rsidR="009A1032">
        <w:t>ās</w:t>
      </w:r>
      <w:r w:rsidRPr="00594463">
        <w:t xml:space="preserve"> Eiropadom</w:t>
      </w:r>
      <w:r w:rsidRPr="00594463" w:rsidR="009A1032">
        <w:t>es</w:t>
      </w:r>
      <w:r w:rsidRPr="00594463" w:rsidR="00B63E57">
        <w:t xml:space="preserve"> galvenās tēmas</w:t>
      </w:r>
      <w:r w:rsidRPr="00594463">
        <w:t xml:space="preserve"> ir </w:t>
      </w:r>
      <w:r w:rsidRPr="00594463" w:rsidR="00B63E57">
        <w:t xml:space="preserve">Ukraina un </w:t>
      </w:r>
      <w:r w:rsidRPr="00594463" w:rsidR="007139CA">
        <w:t>ES drošīb</w:t>
      </w:r>
      <w:r w:rsidRPr="00594463" w:rsidR="00B63E57">
        <w:t>a</w:t>
      </w:r>
      <w:r w:rsidRPr="00594463" w:rsidR="007139CA">
        <w:t xml:space="preserve"> un aizsardzīb</w:t>
      </w:r>
      <w:r w:rsidRPr="00594463" w:rsidR="00B63E57">
        <w:t xml:space="preserve">a. </w:t>
      </w:r>
      <w:r w:rsidRPr="00594463" w:rsidR="005850AB">
        <w:t xml:space="preserve">Diskusijās par drošību un aizsardzību cita starpā iespējamas diskusijas par </w:t>
      </w:r>
      <w:r w:rsidRPr="00594463" w:rsidR="00DA0AAF">
        <w:t>ES aizsardzības gatavības 2030. gadā ceļa kart</w:t>
      </w:r>
      <w:r w:rsidRPr="00594463" w:rsidR="005850AB">
        <w:t>i, kuru plānots</w:t>
      </w:r>
      <w:r w:rsidRPr="00594463" w:rsidR="00DA0AAF">
        <w:t xml:space="preserve"> public</w:t>
      </w:r>
      <w:r w:rsidRPr="00594463" w:rsidR="005850AB">
        <w:t>ēt</w:t>
      </w:r>
      <w:r w:rsidRPr="00594463" w:rsidR="009755AD">
        <w:t xml:space="preserve"> pirms</w:t>
      </w:r>
      <w:r w:rsidRPr="00594463" w:rsidR="00DA0AAF">
        <w:t xml:space="preserve"> </w:t>
      </w:r>
      <w:r w:rsidRPr="00594463" w:rsidR="009755AD">
        <w:t xml:space="preserve">oktobra </w:t>
      </w:r>
      <w:r w:rsidRPr="00594463" w:rsidR="00DA0AAF">
        <w:t>formālā</w:t>
      </w:r>
      <w:r w:rsidRPr="00594463" w:rsidR="009755AD">
        <w:t>s</w:t>
      </w:r>
      <w:r w:rsidRPr="00594463" w:rsidR="00DA0AAF">
        <w:t xml:space="preserve"> Eiropadom</w:t>
      </w:r>
      <w:r w:rsidRPr="00594463" w:rsidR="009755AD">
        <w:t>es, kas plānota 2025.</w:t>
      </w:r>
      <w:r w:rsidRPr="00594463" w:rsidR="007E0871">
        <w:t> </w:t>
      </w:r>
      <w:r w:rsidRPr="00594463" w:rsidR="009755AD">
        <w:t>gada 23.-24.</w:t>
      </w:r>
      <w:r w:rsidRPr="00594463" w:rsidR="007E0871">
        <w:t> </w:t>
      </w:r>
      <w:r w:rsidRPr="00594463" w:rsidR="009755AD">
        <w:t>oktobrī</w:t>
      </w:r>
      <w:r w:rsidRPr="00594463" w:rsidR="00DA0AAF">
        <w:t>.</w:t>
      </w:r>
    </w:p>
    <w:p w:rsidRPr="00594463" w:rsidR="00D01FEA" w:rsidP="005B3FF0" w:rsidRDefault="00D01FEA" w14:paraId="196C8F69" w14:textId="42354683">
      <w:pPr>
        <w:spacing w:before="120" w:after="120"/>
        <w:jc w:val="both"/>
      </w:pPr>
      <w:r w:rsidRPr="00594463">
        <w:t>2.</w:t>
      </w:r>
      <w:r w:rsidRPr="00594463" w:rsidR="00B63E57">
        <w:t> </w:t>
      </w:r>
      <w:r w:rsidRPr="00594463">
        <w:t xml:space="preserve">oktobra EPK sanāksmes galvenā tēma būs drošība. Sanāksmes ietvaros ir plānota kopīga plenārsesija, apaļā galda diskusijas un divpusējās sanāksmes. </w:t>
      </w:r>
      <w:r w:rsidRPr="00594463" w:rsidR="00584944">
        <w:t>A</w:t>
      </w:r>
      <w:r w:rsidRPr="00594463" w:rsidR="009755AD">
        <w:t xml:space="preserve">paļā galda diskusijas </w:t>
      </w:r>
      <w:r w:rsidRPr="00594463">
        <w:t xml:space="preserve">plānotas </w:t>
      </w:r>
      <w:r w:rsidRPr="00594463" w:rsidR="00AF442A">
        <w:t xml:space="preserve">par </w:t>
      </w:r>
      <w:r w:rsidRPr="00594463" w:rsidR="009755AD">
        <w:t xml:space="preserve">1) </w:t>
      </w:r>
      <w:r w:rsidRPr="00594463" w:rsidR="007139CA">
        <w:t xml:space="preserve">drošību un noturību, </w:t>
      </w:r>
      <w:r w:rsidRPr="00594463" w:rsidR="009755AD">
        <w:t xml:space="preserve">2) </w:t>
      </w:r>
      <w:r w:rsidRPr="00594463" w:rsidR="007139CA">
        <w:t xml:space="preserve">ekonomisko drošību un </w:t>
      </w:r>
      <w:r w:rsidRPr="00594463" w:rsidR="009755AD">
        <w:t xml:space="preserve">3) </w:t>
      </w:r>
      <w:r w:rsidRPr="00594463" w:rsidR="007139CA">
        <w:t>migrāciju</w:t>
      </w:r>
      <w:r w:rsidR="00594463">
        <w:rPr>
          <w:rStyle w:val="FootnoteReference"/>
        </w:rPr>
        <w:footnoteReference w:id="2"/>
      </w:r>
      <w:r w:rsidRPr="00594463" w:rsidR="00AF442A">
        <w:t>.</w:t>
      </w:r>
      <w:r w:rsidRPr="00594463">
        <w:t xml:space="preserve"> EPK sanāksmēs piedalās gan 27 ES dalībvalstu, gan aptuveni 20 citu</w:t>
      </w:r>
      <w:r w:rsidRPr="00594463" w:rsidR="00584944">
        <w:t xml:space="preserve"> Eiropas</w:t>
      </w:r>
      <w:r w:rsidRPr="00594463">
        <w:t xml:space="preserve"> valstu</w:t>
      </w:r>
      <w:r w:rsidRPr="00594463">
        <w:rPr>
          <w:rStyle w:val="FootnoteReference"/>
        </w:rPr>
        <w:footnoteReference w:id="3"/>
      </w:r>
      <w:r w:rsidRPr="00594463">
        <w:t xml:space="preserve"> vai to valdību vadītāji. </w:t>
      </w:r>
    </w:p>
    <w:p w:rsidR="00461610" w:rsidP="005B3FF0" w:rsidRDefault="00461610" w14:paraId="76C7C4A5" w14:textId="77777777">
      <w:pPr>
        <w:spacing w:before="120" w:after="120"/>
        <w:jc w:val="both"/>
        <w:rPr>
          <w:b/>
          <w:bCs/>
        </w:rPr>
      </w:pPr>
    </w:p>
    <w:p w:rsidRPr="00594463" w:rsidR="00B63E57" w:rsidP="005B3FF0" w:rsidRDefault="00B63E57" w14:paraId="5CD5AB23" w14:textId="38DC4ECC">
      <w:pPr>
        <w:spacing w:before="120" w:after="120"/>
        <w:jc w:val="both"/>
        <w:rPr>
          <w:b/>
          <w:bCs/>
        </w:rPr>
      </w:pPr>
      <w:r w:rsidRPr="00594463">
        <w:rPr>
          <w:b/>
          <w:bCs/>
        </w:rPr>
        <w:t>Ukraina</w:t>
      </w:r>
    </w:p>
    <w:p w:rsidRPr="00594463" w:rsidR="00B933E2" w:rsidP="005B3FF0" w:rsidRDefault="00B933E2" w14:paraId="7B10FE9E" w14:textId="5CD53D4A">
      <w:pPr>
        <w:spacing w:before="120" w:after="120"/>
        <w:jc w:val="both"/>
        <w:rPr>
          <w:color w:val="000000"/>
        </w:rPr>
      </w:pPr>
      <w:r w:rsidRPr="00594463">
        <w:rPr>
          <w:color w:val="000000"/>
        </w:rPr>
        <w:t xml:space="preserve">Turpinās starptautiskie centieni pārtraukt </w:t>
      </w:r>
      <w:r w:rsidRPr="00594463" w:rsidR="00975741">
        <w:rPr>
          <w:color w:val="000000"/>
        </w:rPr>
        <w:t xml:space="preserve">Krievijas agresiju pret </w:t>
      </w:r>
      <w:r w:rsidRPr="00594463" w:rsidR="00AB48C9">
        <w:rPr>
          <w:color w:val="000000"/>
        </w:rPr>
        <w:t xml:space="preserve">Ukrainu </w:t>
      </w:r>
      <w:r w:rsidRPr="00594463">
        <w:rPr>
          <w:color w:val="000000"/>
        </w:rPr>
        <w:t>un panākt mieru. Krievijas</w:t>
      </w:r>
      <w:r w:rsidRPr="00594463" w:rsidR="00AB48C9">
        <w:rPr>
          <w:color w:val="000000"/>
        </w:rPr>
        <w:t xml:space="preserve"> kara un ģeopolitiskie</w:t>
      </w:r>
      <w:r w:rsidRPr="00594463">
        <w:rPr>
          <w:color w:val="000000"/>
        </w:rPr>
        <w:t xml:space="preserve"> mērķi nav mainījušies. Krievija turpina militāros uzbrukumus Ukrainas civiliedzīvotājiem un civilajai infrastruktūrai. </w:t>
      </w:r>
      <w:r w:rsidRPr="00594463" w:rsidR="00532B49">
        <w:rPr>
          <w:color w:val="000000"/>
        </w:rPr>
        <w:t xml:space="preserve">Nesenā </w:t>
      </w:r>
      <w:r w:rsidRPr="00594463">
        <w:rPr>
          <w:color w:val="000000"/>
        </w:rPr>
        <w:t>Krievijas dronu ielidošana Polijas</w:t>
      </w:r>
      <w:r w:rsidRPr="00594463" w:rsidR="006C46CB">
        <w:rPr>
          <w:color w:val="000000"/>
        </w:rPr>
        <w:t xml:space="preserve"> un </w:t>
      </w:r>
      <w:r w:rsidRPr="00594463">
        <w:rPr>
          <w:color w:val="000000"/>
        </w:rPr>
        <w:t>Rumānijas gaisa telpā</w:t>
      </w:r>
      <w:r w:rsidRPr="00594463" w:rsidR="006C46CB">
        <w:rPr>
          <w:color w:val="000000"/>
        </w:rPr>
        <w:t>s</w:t>
      </w:r>
      <w:r w:rsidRPr="00594463" w:rsidR="00532B49">
        <w:rPr>
          <w:color w:val="000000"/>
        </w:rPr>
        <w:t>, kā arī Igaunijas gaisa telpas pārkāpums</w:t>
      </w:r>
      <w:r w:rsidRPr="00594463">
        <w:rPr>
          <w:color w:val="000000"/>
        </w:rPr>
        <w:t xml:space="preserve"> vērtējam</w:t>
      </w:r>
      <w:r w:rsidRPr="00594463" w:rsidR="00532B49">
        <w:rPr>
          <w:color w:val="000000"/>
        </w:rPr>
        <w:t>i</w:t>
      </w:r>
      <w:r w:rsidRPr="00594463">
        <w:rPr>
          <w:color w:val="000000"/>
        </w:rPr>
        <w:t xml:space="preserve"> kā eskalācija pret citas valsts suverēnu teritoriju, kā arī kārtējais pārbaudījums visai noteikumos balstītajai starptautiskajai kārtībai. </w:t>
      </w:r>
    </w:p>
    <w:p w:rsidRPr="00594463" w:rsidR="00AB48C9" w:rsidP="005B3FF0" w:rsidRDefault="00B933E2" w14:paraId="54D1376F" w14:textId="52570385">
      <w:pPr>
        <w:spacing w:before="120" w:after="120"/>
        <w:jc w:val="both"/>
        <w:rPr>
          <w:color w:val="000000"/>
        </w:rPr>
      </w:pPr>
      <w:r w:rsidRPr="00594463">
        <w:rPr>
          <w:color w:val="000000"/>
        </w:rPr>
        <w:t>Krievij</w:t>
      </w:r>
      <w:r w:rsidR="000501AC">
        <w:rPr>
          <w:color w:val="000000"/>
        </w:rPr>
        <w:t xml:space="preserve">u </w:t>
      </w:r>
      <w:r w:rsidR="008957BA">
        <w:rPr>
          <w:color w:val="000000"/>
        </w:rPr>
        <w:t>nevar apturēt</w:t>
      </w:r>
      <w:r w:rsidRPr="00594463">
        <w:rPr>
          <w:color w:val="000000"/>
        </w:rPr>
        <w:t xml:space="preserve"> bez nemainīga spiediena pret </w:t>
      </w:r>
      <w:r w:rsidR="000501AC">
        <w:rPr>
          <w:color w:val="000000"/>
        </w:rPr>
        <w:t>to</w:t>
      </w:r>
      <w:r w:rsidRPr="00594463" w:rsidR="000501AC">
        <w:rPr>
          <w:color w:val="000000"/>
        </w:rPr>
        <w:t xml:space="preserve"> </w:t>
      </w:r>
      <w:r w:rsidRPr="00594463">
        <w:rPr>
          <w:color w:val="000000"/>
        </w:rPr>
        <w:t xml:space="preserve">un tās agresijas atbalstītājiem. Sankcijas un tarifi, kā arī tiešie un sekundārie ierobežojošie pasākumi pret Krievijas līdzzinātajiem ir efektīvi instrumenti Krievijas ekonomikas un peļņas no nozīmīgiem resursiem mazināšanai un militāri industriālā sektora stiprināšanās novēršanai. Kritiski svarīgi, lai kolektīvs spiediens pret Krieviju tiek īstenots arī turpmāk. </w:t>
      </w:r>
      <w:r w:rsidRPr="00594463" w:rsidR="00B659B6">
        <w:rPr>
          <w:color w:val="000000"/>
        </w:rPr>
        <w:t>ES</w:t>
      </w:r>
      <w:r w:rsidRPr="00594463">
        <w:rPr>
          <w:color w:val="000000"/>
        </w:rPr>
        <w:t xml:space="preserve"> 19.</w:t>
      </w:r>
      <w:r w:rsidRPr="00594463" w:rsidR="006C46CB">
        <w:rPr>
          <w:color w:val="000000"/>
        </w:rPr>
        <w:t> </w:t>
      </w:r>
      <w:r w:rsidRPr="00594463">
        <w:rPr>
          <w:color w:val="000000"/>
        </w:rPr>
        <w:t>sankciju kārta</w:t>
      </w:r>
      <w:r w:rsidRPr="00594463" w:rsidR="00B659B6">
        <w:rPr>
          <w:color w:val="000000"/>
        </w:rPr>
        <w:t>s</w:t>
      </w:r>
      <w:r w:rsidRPr="00594463" w:rsidR="00AB48C9">
        <w:rPr>
          <w:color w:val="000000"/>
        </w:rPr>
        <w:t xml:space="preserve"> </w:t>
      </w:r>
      <w:r w:rsidRPr="00594463" w:rsidR="00B659B6">
        <w:rPr>
          <w:color w:val="000000"/>
        </w:rPr>
        <w:t xml:space="preserve">pret Krieviju </w:t>
      </w:r>
      <w:r w:rsidRPr="00594463" w:rsidR="00AB48C9">
        <w:rPr>
          <w:color w:val="000000"/>
        </w:rPr>
        <w:t>priekšlikums</w:t>
      </w:r>
      <w:r w:rsidRPr="00594463" w:rsidR="00B659B6">
        <w:rPr>
          <w:color w:val="000000"/>
        </w:rPr>
        <w:t xml:space="preserve"> cita starpā paredz tālāk</w:t>
      </w:r>
      <w:r w:rsidRPr="00594463">
        <w:rPr>
          <w:color w:val="000000"/>
        </w:rPr>
        <w:t xml:space="preserve"> ierobežot Krievijas enerģētik</w:t>
      </w:r>
      <w:r w:rsidRPr="00594463" w:rsidR="00B659B6">
        <w:rPr>
          <w:color w:val="000000"/>
        </w:rPr>
        <w:t>as</w:t>
      </w:r>
      <w:r w:rsidRPr="00594463">
        <w:rPr>
          <w:color w:val="000000"/>
        </w:rPr>
        <w:t xml:space="preserve"> </w:t>
      </w:r>
      <w:r w:rsidRPr="00594463" w:rsidR="00B659B6">
        <w:rPr>
          <w:color w:val="000000"/>
        </w:rPr>
        <w:t xml:space="preserve">sektoru, nosakot liegumu Krievijas </w:t>
      </w:r>
      <w:r w:rsidR="00F92381">
        <w:rPr>
          <w:color w:val="000000"/>
        </w:rPr>
        <w:t>sa</w:t>
      </w:r>
      <w:r w:rsidRPr="00594463" w:rsidR="00B659B6">
        <w:rPr>
          <w:color w:val="000000"/>
        </w:rPr>
        <w:t>šķidrinātās dabas gāzes importam ES, kam pilnībā jāstājas spēkā līdz 2027. gada 1. janvārim</w:t>
      </w:r>
      <w:r w:rsidRPr="00594463" w:rsidR="00665062">
        <w:rPr>
          <w:color w:val="000000"/>
        </w:rPr>
        <w:t>,</w:t>
      </w:r>
      <w:r w:rsidRPr="00594463" w:rsidR="00B659B6">
        <w:rPr>
          <w:color w:val="000000"/>
        </w:rPr>
        <w:t xml:space="preserve"> un paplašinot </w:t>
      </w:r>
      <w:r w:rsidR="00F92381">
        <w:rPr>
          <w:color w:val="000000"/>
        </w:rPr>
        <w:t>sa</w:t>
      </w:r>
      <w:r w:rsidRPr="00594463" w:rsidR="00B659B6">
        <w:rPr>
          <w:color w:val="000000"/>
        </w:rPr>
        <w:t xml:space="preserve">šķidrinātās propāna gāzes importa liegumu, kā arī nosakot sankcijas pret papildus “ēnu flotes” kuģiem un ar to saistītām personām. Ar 19. sankciju kārtu paredzēts vērsties </w:t>
      </w:r>
      <w:r w:rsidRPr="00594463" w:rsidR="00AB48C9">
        <w:rPr>
          <w:color w:val="000000"/>
        </w:rPr>
        <w:t xml:space="preserve">arī </w:t>
      </w:r>
      <w:r w:rsidRPr="00594463" w:rsidR="00B659B6">
        <w:rPr>
          <w:color w:val="000000"/>
        </w:rPr>
        <w:t xml:space="preserve">pret Krievijas finanšu sektoru, paplašinot aizliegumus pret Krievijā reģistrētām finanšu iestādēm un paplašinot darījumu aizliegumus trešo valstu kredītiestādēm, finanšu iestādēm un kriptoaktīvu pakalpojumu sniedzējiem. </w:t>
      </w:r>
      <w:r w:rsidRPr="00376160" w:rsidR="00376160">
        <w:rPr>
          <w:color w:val="000000"/>
        </w:rPr>
        <w:t>Tāpat tiek paredzēti ierobežojoši pasākumi, lai turpinātu</w:t>
      </w:r>
      <w:r w:rsidRPr="00376160" w:rsidR="00376160">
        <w:rPr>
          <w:color w:val="000000"/>
        </w:rPr>
        <w:t xml:space="preserve"> </w:t>
      </w:r>
      <w:r w:rsidRPr="00594463" w:rsidR="00B659B6">
        <w:rPr>
          <w:color w:val="000000"/>
        </w:rPr>
        <w:t xml:space="preserve">vērsties pret </w:t>
      </w:r>
      <w:r w:rsidRPr="00594463">
        <w:rPr>
          <w:color w:val="000000"/>
        </w:rPr>
        <w:t xml:space="preserve">sankciju apiešanu trešajās valstīs. </w:t>
      </w:r>
    </w:p>
    <w:p w:rsidR="00B933E2" w:rsidP="005B3FF0" w:rsidRDefault="00B933E2" w14:paraId="5604E750" w14:textId="2FEB9CD1">
      <w:pPr>
        <w:spacing w:before="120" w:after="120"/>
        <w:jc w:val="both"/>
        <w:rPr>
          <w:color w:val="000000"/>
        </w:rPr>
      </w:pPr>
      <w:r w:rsidRPr="00594463">
        <w:rPr>
          <w:color w:val="000000"/>
        </w:rPr>
        <w:lastRenderedPageBreak/>
        <w:t xml:space="preserve">ASV aicinājumi tālākam spiedienam pret Krieviju arī sniedz papildu stimulu ambiciozākai kolektīvai rīcībai pret agresoru. Jāīsteno spiediens </w:t>
      </w:r>
      <w:r w:rsidR="00C63C25">
        <w:rPr>
          <w:color w:val="000000"/>
        </w:rPr>
        <w:t xml:space="preserve">gan </w:t>
      </w:r>
      <w:r w:rsidRPr="00594463">
        <w:rPr>
          <w:color w:val="000000"/>
        </w:rPr>
        <w:t xml:space="preserve">uz </w:t>
      </w:r>
      <w:r w:rsidR="00C63C25">
        <w:rPr>
          <w:color w:val="000000"/>
        </w:rPr>
        <w:t xml:space="preserve">trešajām </w:t>
      </w:r>
      <w:r w:rsidRPr="00594463">
        <w:rPr>
          <w:color w:val="000000"/>
        </w:rPr>
        <w:t>valstīm, kas sadarbojas ar Krieviju</w:t>
      </w:r>
      <w:r w:rsidRPr="00594463" w:rsidR="003E01A9">
        <w:rPr>
          <w:color w:val="000000"/>
        </w:rPr>
        <w:t>,</w:t>
      </w:r>
      <w:r w:rsidRPr="00594463">
        <w:rPr>
          <w:color w:val="000000"/>
        </w:rPr>
        <w:t xml:space="preserve"> un valstīm, kas </w:t>
      </w:r>
      <w:r w:rsidRPr="00594463" w:rsidR="00AB48C9">
        <w:rPr>
          <w:color w:val="000000"/>
        </w:rPr>
        <w:t xml:space="preserve">palīdz </w:t>
      </w:r>
      <w:r w:rsidRPr="00594463">
        <w:rPr>
          <w:color w:val="000000"/>
        </w:rPr>
        <w:t>Krievij</w:t>
      </w:r>
      <w:r w:rsidRPr="00594463" w:rsidR="00AB48C9">
        <w:rPr>
          <w:color w:val="000000"/>
        </w:rPr>
        <w:t>ai</w:t>
      </w:r>
      <w:r w:rsidRPr="00594463">
        <w:rPr>
          <w:color w:val="000000"/>
        </w:rPr>
        <w:t xml:space="preserve"> ES sankciju apiešanā</w:t>
      </w:r>
      <w:r w:rsidR="00C63C25">
        <w:rPr>
          <w:color w:val="000000"/>
        </w:rPr>
        <w:t>, gan arī jāīsteno pasākumi, kas neļautu apiet sankcijas ES reģistrētiem uzņēmumiem vai to struktūrām Krievijā</w:t>
      </w:r>
      <w:r w:rsidRPr="00594463">
        <w:rPr>
          <w:color w:val="000000"/>
        </w:rPr>
        <w:t>.</w:t>
      </w:r>
    </w:p>
    <w:p w:rsidR="0065639E" w:rsidP="00C63C25" w:rsidRDefault="00C63C25" w14:paraId="77C564B8" w14:textId="76380C64">
      <w:pPr>
        <w:spacing w:before="120" w:after="120"/>
        <w:jc w:val="both"/>
        <w:rPr>
          <w:color w:val="000000"/>
        </w:rPr>
      </w:pPr>
      <w:r>
        <w:rPr>
          <w:color w:val="000000"/>
        </w:rPr>
        <w:t>Patlaban Ukraina tērē aptuveni 60% no sava budžeta kara izdevumu finansēšanai,</w:t>
      </w:r>
      <w:r w:rsidR="001E54BD">
        <w:rPr>
          <w:color w:val="000000"/>
        </w:rPr>
        <w:t xml:space="preserve"> </w:t>
      </w:r>
      <w:r>
        <w:rPr>
          <w:color w:val="000000"/>
        </w:rPr>
        <w:t>tāpēc sabiedroto finansiālais atbalsts tai ir ļoti nozīmīgs instruments</w:t>
      </w:r>
      <w:r w:rsidR="000501AC">
        <w:rPr>
          <w:color w:val="000000"/>
        </w:rPr>
        <w:t>.</w:t>
      </w:r>
      <w:r>
        <w:rPr>
          <w:color w:val="000000"/>
        </w:rPr>
        <w:t xml:space="preserve"> </w:t>
      </w:r>
      <w:r w:rsidRPr="00702947" w:rsidR="005744C8">
        <w:rPr>
          <w:color w:val="000000"/>
        </w:rPr>
        <w:t>Saskaņā ar aktuālāk</w:t>
      </w:r>
      <w:r w:rsidR="0065639E">
        <w:rPr>
          <w:color w:val="000000"/>
        </w:rPr>
        <w:t>ajām</w:t>
      </w:r>
      <w:r w:rsidRPr="00702947" w:rsidR="005744C8">
        <w:rPr>
          <w:color w:val="000000"/>
        </w:rPr>
        <w:t xml:space="preserve"> aplēs</w:t>
      </w:r>
      <w:r w:rsidR="0065639E">
        <w:rPr>
          <w:color w:val="000000"/>
        </w:rPr>
        <w:t>ēm</w:t>
      </w:r>
      <w:r w:rsidDel="005744C8" w:rsidR="005744C8">
        <w:rPr>
          <w:color w:val="000000"/>
        </w:rPr>
        <w:t xml:space="preserve"> </w:t>
      </w:r>
      <w:r>
        <w:rPr>
          <w:color w:val="000000"/>
        </w:rPr>
        <w:t>2025.</w:t>
      </w:r>
      <w:r w:rsidR="001E54BD">
        <w:rPr>
          <w:color w:val="000000"/>
        </w:rPr>
        <w:t> </w:t>
      </w:r>
      <w:r>
        <w:rPr>
          <w:color w:val="000000"/>
        </w:rPr>
        <w:t xml:space="preserve">gadā </w:t>
      </w:r>
      <w:r w:rsidRPr="00D75EC0">
        <w:rPr>
          <w:color w:val="000000"/>
        </w:rPr>
        <w:t>Ukrainas ārējās finansēšanas vajadzīb</w:t>
      </w:r>
      <w:r w:rsidR="005744C8">
        <w:rPr>
          <w:color w:val="000000"/>
        </w:rPr>
        <w:t>ām</w:t>
      </w:r>
      <w:r w:rsidRPr="0065639E" w:rsidR="0065639E">
        <w:rPr>
          <w:color w:val="000000"/>
        </w:rPr>
        <w:t xml:space="preserve"> </w:t>
      </w:r>
      <w:r w:rsidR="0065639E">
        <w:rPr>
          <w:color w:val="000000"/>
        </w:rPr>
        <w:t>joprojām</w:t>
      </w:r>
      <w:r w:rsidRPr="00D75EC0" w:rsidR="0065639E">
        <w:rPr>
          <w:color w:val="000000"/>
        </w:rPr>
        <w:t xml:space="preserve"> </w:t>
      </w:r>
      <w:r w:rsidR="0065639E">
        <w:rPr>
          <w:color w:val="000000"/>
        </w:rPr>
        <w:t>iztrūkst</w:t>
      </w:r>
      <w:r w:rsidRPr="00D75EC0" w:rsidR="0065639E">
        <w:rPr>
          <w:color w:val="000000"/>
        </w:rPr>
        <w:t xml:space="preserve"> aptuveni 8,7 </w:t>
      </w:r>
      <w:r w:rsidR="0065639E">
        <w:rPr>
          <w:color w:val="000000"/>
        </w:rPr>
        <w:t>mljrd</w:t>
      </w:r>
      <w:r>
        <w:rPr>
          <w:color w:val="000000"/>
        </w:rPr>
        <w:t xml:space="preserve">. USD. </w:t>
      </w:r>
      <w:r w:rsidRPr="00F14B29" w:rsidR="00F14B29">
        <w:rPr>
          <w:color w:val="000000"/>
        </w:rPr>
        <w:t>Notiek sarunas par</w:t>
      </w:r>
      <w:r w:rsidR="0065639E">
        <w:rPr>
          <w:color w:val="000000"/>
        </w:rPr>
        <w:t xml:space="preserve"> ES atbalstu Ukrainai</w:t>
      </w:r>
      <w:r w:rsidRPr="00F14B29" w:rsidR="00F14B29">
        <w:rPr>
          <w:color w:val="000000"/>
        </w:rPr>
        <w:t xml:space="preserve"> 2026.-2027.</w:t>
      </w:r>
      <w:r w:rsidR="00061B4A">
        <w:rPr>
          <w:color w:val="000000"/>
        </w:rPr>
        <w:t> </w:t>
      </w:r>
      <w:r w:rsidRPr="00F14B29" w:rsidR="00F14B29">
        <w:rPr>
          <w:color w:val="000000"/>
        </w:rPr>
        <w:t>gada</w:t>
      </w:r>
      <w:r w:rsidR="0065639E">
        <w:rPr>
          <w:color w:val="000000"/>
        </w:rPr>
        <w:t>m</w:t>
      </w:r>
      <w:r w:rsidRPr="00F14B29" w:rsidR="00F14B29">
        <w:rPr>
          <w:color w:val="000000"/>
        </w:rPr>
        <w:t xml:space="preserve">, lai nosegtu Ukrainas vajadzības līdz nākamajam ES Daudzgadu budžetam </w:t>
      </w:r>
      <w:r w:rsidR="0065639E">
        <w:rPr>
          <w:color w:val="000000"/>
        </w:rPr>
        <w:t>(</w:t>
      </w:r>
      <w:r w:rsidRPr="00F14B29" w:rsidR="00F14B29">
        <w:rPr>
          <w:color w:val="000000"/>
        </w:rPr>
        <w:t>2028.-20</w:t>
      </w:r>
      <w:r w:rsidR="0065639E">
        <w:rPr>
          <w:color w:val="000000"/>
        </w:rPr>
        <w:t>34</w:t>
      </w:r>
      <w:r w:rsidRPr="00F14B29" w:rsidR="00F14B29">
        <w:rPr>
          <w:color w:val="000000"/>
        </w:rPr>
        <w:t>.</w:t>
      </w:r>
      <w:r w:rsidR="00061B4A">
        <w:rPr>
          <w:color w:val="000000"/>
        </w:rPr>
        <w:t> </w:t>
      </w:r>
      <w:r w:rsidRPr="00F14B29" w:rsidR="00F14B29">
        <w:rPr>
          <w:color w:val="000000"/>
        </w:rPr>
        <w:t>gadam</w:t>
      </w:r>
      <w:r w:rsidR="0065639E">
        <w:rPr>
          <w:color w:val="000000"/>
        </w:rPr>
        <w:t>)</w:t>
      </w:r>
      <w:r w:rsidRPr="00F14B29" w:rsidR="00F14B29">
        <w:rPr>
          <w:color w:val="000000"/>
        </w:rPr>
        <w:t xml:space="preserve">, kurā tiek plānots </w:t>
      </w:r>
      <w:r w:rsidR="0065639E">
        <w:rPr>
          <w:color w:val="000000"/>
        </w:rPr>
        <w:t xml:space="preserve">ilgtermiņa </w:t>
      </w:r>
      <w:r w:rsidRPr="00F14B29" w:rsidR="00F14B29">
        <w:rPr>
          <w:color w:val="000000"/>
        </w:rPr>
        <w:t>finansējums Ukraina</w:t>
      </w:r>
      <w:r w:rsidR="0065639E">
        <w:rPr>
          <w:color w:val="000000"/>
        </w:rPr>
        <w:t>i</w:t>
      </w:r>
      <w:r w:rsidRPr="00F14B29" w:rsidR="00F14B29">
        <w:rPr>
          <w:color w:val="000000"/>
        </w:rPr>
        <w:t xml:space="preserve">. </w:t>
      </w:r>
    </w:p>
    <w:p w:rsidR="002E5588" w:rsidP="00C63C25" w:rsidRDefault="002E5588" w14:paraId="2A674C02" w14:textId="3537648E">
      <w:pPr>
        <w:spacing w:before="120" w:after="120"/>
        <w:jc w:val="both"/>
        <w:rPr>
          <w:color w:val="000000"/>
        </w:rPr>
      </w:pPr>
      <w:r w:rsidRPr="00702947">
        <w:rPr>
          <w:color w:val="000000"/>
        </w:rPr>
        <w:t>Ņemot vērā aplēses, ka finansējuma vajadzības saglabāsies ļoti augstas, Ukrainas valdība pašreiz diskutē ar S</w:t>
      </w:r>
      <w:r w:rsidR="00061B4A">
        <w:rPr>
          <w:color w:val="000000"/>
        </w:rPr>
        <w:t xml:space="preserve">tarptautisko </w:t>
      </w:r>
      <w:r w:rsidRPr="00702947">
        <w:rPr>
          <w:color w:val="000000"/>
        </w:rPr>
        <w:t>V</w:t>
      </w:r>
      <w:r w:rsidR="00061B4A">
        <w:rPr>
          <w:color w:val="000000"/>
        </w:rPr>
        <w:t xml:space="preserve">alūtas </w:t>
      </w:r>
      <w:r w:rsidRPr="00702947">
        <w:rPr>
          <w:color w:val="000000"/>
        </w:rPr>
        <w:t>F</w:t>
      </w:r>
      <w:r w:rsidR="00061B4A">
        <w:rPr>
          <w:color w:val="000000"/>
        </w:rPr>
        <w:t>ondu (SVF)</w:t>
      </w:r>
      <w:r w:rsidRPr="00702947">
        <w:rPr>
          <w:color w:val="000000"/>
        </w:rPr>
        <w:t xml:space="preserve"> par tās ekonomikas </w:t>
      </w:r>
      <w:r w:rsidR="0065639E">
        <w:rPr>
          <w:color w:val="000000"/>
        </w:rPr>
        <w:t>prognozēm</w:t>
      </w:r>
      <w:r w:rsidRPr="00702947">
        <w:rPr>
          <w:color w:val="000000"/>
        </w:rPr>
        <w:t xml:space="preserve"> un ir pieprasījusi jaunu SVF programmu.</w:t>
      </w:r>
      <w:r w:rsidR="00F94257">
        <w:rPr>
          <w:color w:val="000000"/>
        </w:rPr>
        <w:t xml:space="preserve"> </w:t>
      </w:r>
      <w:r w:rsidRPr="00702947">
        <w:rPr>
          <w:color w:val="000000"/>
        </w:rPr>
        <w:t>Augstās finansējuma vajadzības aktualizē jautājumu par nepieciešamību izmantot Krievijas Centrālās Bankas (CBR) aktīvus Ukrainas fiskālās situācijas stabilizēšanai un valsts atjaunošanai.</w:t>
      </w:r>
    </w:p>
    <w:p w:rsidR="00C12C00" w:rsidP="005B3FF0" w:rsidRDefault="00B933E2" w14:paraId="305AB9B3" w14:textId="2392E637">
      <w:pPr>
        <w:spacing w:before="120" w:after="120"/>
        <w:jc w:val="both"/>
        <w:rPr>
          <w:color w:val="000000"/>
        </w:rPr>
      </w:pPr>
      <w:r w:rsidRPr="00594463">
        <w:rPr>
          <w:color w:val="000000"/>
        </w:rPr>
        <w:t>2025.</w:t>
      </w:r>
      <w:r w:rsidRPr="00594463" w:rsidR="006C46CB">
        <w:rPr>
          <w:color w:val="000000"/>
        </w:rPr>
        <w:t> </w:t>
      </w:r>
      <w:r w:rsidRPr="00594463">
        <w:rPr>
          <w:color w:val="000000"/>
        </w:rPr>
        <w:t>gada 10.</w:t>
      </w:r>
      <w:r w:rsidRPr="00594463" w:rsidR="006C46CB">
        <w:rPr>
          <w:color w:val="000000"/>
        </w:rPr>
        <w:t> </w:t>
      </w:r>
      <w:r w:rsidRPr="00594463">
        <w:rPr>
          <w:color w:val="000000"/>
        </w:rPr>
        <w:t xml:space="preserve">septembra uzrunā </w:t>
      </w:r>
      <w:r w:rsidRPr="00594463" w:rsidR="00C64B49">
        <w:rPr>
          <w:color w:val="000000"/>
        </w:rPr>
        <w:t>par stāvokli ES</w:t>
      </w:r>
      <w:r w:rsidRPr="00594463">
        <w:rPr>
          <w:color w:val="000000"/>
        </w:rPr>
        <w:t xml:space="preserve"> Eiropas Komisijas</w:t>
      </w:r>
      <w:r w:rsidRPr="00594463" w:rsidR="006C46CB">
        <w:rPr>
          <w:color w:val="000000"/>
        </w:rPr>
        <w:t xml:space="preserve"> (turpmāk – EK)</w:t>
      </w:r>
      <w:r w:rsidRPr="00594463">
        <w:rPr>
          <w:color w:val="000000"/>
        </w:rPr>
        <w:t xml:space="preserve"> priekšsēdētāja minēja, ka </w:t>
      </w:r>
      <w:r w:rsidR="00C63C25">
        <w:rPr>
          <w:color w:val="000000"/>
        </w:rPr>
        <w:t xml:space="preserve">EK gatavo priekšlikumu, kas ļautu izmantot </w:t>
      </w:r>
      <w:r w:rsidR="00060E31">
        <w:rPr>
          <w:color w:val="000000"/>
        </w:rPr>
        <w:t>Krievijas Centrālās bankas (</w:t>
      </w:r>
      <w:r w:rsidR="00C63C25">
        <w:rPr>
          <w:color w:val="000000"/>
        </w:rPr>
        <w:t>CBR</w:t>
      </w:r>
      <w:r w:rsidR="00060E31">
        <w:rPr>
          <w:color w:val="000000"/>
        </w:rPr>
        <w:t>)</w:t>
      </w:r>
      <w:r w:rsidR="00C63C25">
        <w:rPr>
          <w:color w:val="000000"/>
        </w:rPr>
        <w:t xml:space="preserve"> iesaldētos aktīvus Ukrainas vajadzībām, izmantojot</w:t>
      </w:r>
      <w:r w:rsidRPr="00657AF3" w:rsidR="00C63C25">
        <w:rPr>
          <w:color w:val="000000"/>
        </w:rPr>
        <w:t xml:space="preserve"> </w:t>
      </w:r>
      <w:r w:rsidR="00C63C25">
        <w:rPr>
          <w:color w:val="000000"/>
        </w:rPr>
        <w:t xml:space="preserve">īpaši izveidotu un starptautiskajām tiesību normām atbilstošu </w:t>
      </w:r>
      <w:r w:rsidRPr="00594463" w:rsidR="00C63C25">
        <w:rPr>
          <w:color w:val="000000"/>
        </w:rPr>
        <w:t>Reparāciju aizdevuma (</w:t>
      </w:r>
      <w:r w:rsidRPr="00594463" w:rsidR="00C63C25">
        <w:rPr>
          <w:i/>
          <w:iCs/>
          <w:color w:val="000000"/>
        </w:rPr>
        <w:t>Reparations Loan</w:t>
      </w:r>
      <w:r w:rsidRPr="00594463" w:rsidR="00C63C25">
        <w:rPr>
          <w:iCs/>
          <w:color w:val="000000"/>
        </w:rPr>
        <w:t>)</w:t>
      </w:r>
      <w:r w:rsidRPr="00594463" w:rsidR="00C63C25">
        <w:rPr>
          <w:color w:val="000000"/>
        </w:rPr>
        <w:t xml:space="preserve"> instrumentu</w:t>
      </w:r>
      <w:r w:rsidRPr="00594463">
        <w:rPr>
          <w:color w:val="000000"/>
        </w:rPr>
        <w:t xml:space="preserve">. </w:t>
      </w:r>
    </w:p>
    <w:p w:rsidR="00B1083D" w:rsidP="00B67BBD" w:rsidRDefault="00E95B5F" w14:paraId="7A9AF08F" w14:textId="33898D9D">
      <w:pPr>
        <w:spacing w:before="120" w:after="120"/>
        <w:jc w:val="both"/>
        <w:rPr>
          <w:color w:val="000000"/>
        </w:rPr>
      </w:pPr>
      <w:r>
        <w:rPr>
          <w:color w:val="000000"/>
        </w:rPr>
        <w:t xml:space="preserve">2025. gada 25. septembrī </w:t>
      </w:r>
      <w:r w:rsidR="00B67BBD">
        <w:rPr>
          <w:color w:val="000000"/>
        </w:rPr>
        <w:t xml:space="preserve">EK </w:t>
      </w:r>
      <w:r>
        <w:rPr>
          <w:color w:val="000000"/>
        </w:rPr>
        <w:t>izplatī</w:t>
      </w:r>
      <w:r w:rsidR="00B67BBD">
        <w:rPr>
          <w:color w:val="000000"/>
        </w:rPr>
        <w:t>ja</w:t>
      </w:r>
      <w:r>
        <w:rPr>
          <w:color w:val="000000"/>
        </w:rPr>
        <w:t xml:space="preserve"> nepapīr</w:t>
      </w:r>
      <w:r w:rsidR="00B67BBD">
        <w:rPr>
          <w:color w:val="000000"/>
        </w:rPr>
        <w:t>u</w:t>
      </w:r>
      <w:r>
        <w:rPr>
          <w:color w:val="000000"/>
        </w:rPr>
        <w:t xml:space="preserve"> par Reparāciju aizdevumu, </w:t>
      </w:r>
      <w:r w:rsidR="00B67BBD">
        <w:rPr>
          <w:color w:val="000000"/>
        </w:rPr>
        <w:t>minot</w:t>
      </w:r>
      <w:r>
        <w:rPr>
          <w:color w:val="000000"/>
        </w:rPr>
        <w:t xml:space="preserve">, ka </w:t>
      </w:r>
      <w:r>
        <w:rPr>
          <w:i/>
          <w:iCs/>
          <w:color w:val="000000"/>
        </w:rPr>
        <w:t xml:space="preserve">Euroclear </w:t>
      </w:r>
      <w:r>
        <w:rPr>
          <w:color w:val="000000"/>
        </w:rPr>
        <w:t xml:space="preserve">iesaldētie CBR </w:t>
      </w:r>
      <w:r w:rsidR="00B67BBD">
        <w:rPr>
          <w:color w:val="000000"/>
        </w:rPr>
        <w:t>aktīvi (nauda)</w:t>
      </w:r>
      <w:r>
        <w:rPr>
          <w:color w:val="000000"/>
        </w:rPr>
        <w:t xml:space="preserve"> varētu tikt aizdoti ES, nepiemērojot procentu likmi. Šo aizdevumu </w:t>
      </w:r>
      <w:r w:rsidR="00B67BBD">
        <w:rPr>
          <w:color w:val="000000"/>
        </w:rPr>
        <w:t xml:space="preserve">atsevišķi </w:t>
      </w:r>
      <w:r>
        <w:rPr>
          <w:color w:val="000000"/>
        </w:rPr>
        <w:t>garantētu ES dalībvalstis, tā nodrošinot aizdevuma atmaksu</w:t>
      </w:r>
      <w:r w:rsidR="00B67BBD">
        <w:rPr>
          <w:color w:val="000000"/>
        </w:rPr>
        <w:t xml:space="preserve"> </w:t>
      </w:r>
      <w:r w:rsidR="00B67BBD">
        <w:rPr>
          <w:i/>
          <w:iCs/>
          <w:color w:val="000000"/>
        </w:rPr>
        <w:t>Euroclear</w:t>
      </w:r>
      <w:r>
        <w:rPr>
          <w:color w:val="000000"/>
        </w:rPr>
        <w:t xml:space="preserve">, ja pret Krieviju </w:t>
      </w:r>
      <w:r w:rsidR="005B21B9">
        <w:rPr>
          <w:color w:val="000000"/>
        </w:rPr>
        <w:t xml:space="preserve">noteiktās </w:t>
      </w:r>
      <w:r>
        <w:rPr>
          <w:color w:val="000000"/>
        </w:rPr>
        <w:t>sankcijas ti</w:t>
      </w:r>
      <w:r w:rsidR="00B67BBD">
        <w:rPr>
          <w:color w:val="000000"/>
        </w:rPr>
        <w:t>k</w:t>
      </w:r>
      <w:r w:rsidR="00885679">
        <w:rPr>
          <w:color w:val="000000"/>
        </w:rPr>
        <w:t>tu</w:t>
      </w:r>
      <w:r>
        <w:rPr>
          <w:color w:val="000000"/>
        </w:rPr>
        <w:t xml:space="preserve"> atceltas un Krievija </w:t>
      </w:r>
      <w:r w:rsidR="00B67BBD">
        <w:rPr>
          <w:color w:val="000000"/>
        </w:rPr>
        <w:t>nesamaksā</w:t>
      </w:r>
      <w:r w:rsidR="00885679">
        <w:rPr>
          <w:color w:val="000000"/>
        </w:rPr>
        <w:t>tu</w:t>
      </w:r>
      <w:r w:rsidR="00B67BBD">
        <w:rPr>
          <w:color w:val="000000"/>
        </w:rPr>
        <w:t xml:space="preserve"> </w:t>
      </w:r>
      <w:r>
        <w:rPr>
          <w:color w:val="000000"/>
        </w:rPr>
        <w:t>kompens</w:t>
      </w:r>
      <w:r w:rsidR="00B67BBD">
        <w:rPr>
          <w:color w:val="000000"/>
        </w:rPr>
        <w:t>āciju par</w:t>
      </w:r>
      <w:r>
        <w:rPr>
          <w:color w:val="000000"/>
        </w:rPr>
        <w:t xml:space="preserve"> Ukrainai nodarīt</w:t>
      </w:r>
      <w:r w:rsidR="00B67BBD">
        <w:rPr>
          <w:color w:val="000000"/>
        </w:rPr>
        <w:t>ajiem</w:t>
      </w:r>
      <w:r>
        <w:rPr>
          <w:color w:val="000000"/>
        </w:rPr>
        <w:t xml:space="preserve"> zaudējum</w:t>
      </w:r>
      <w:r w:rsidR="00B67BBD">
        <w:rPr>
          <w:color w:val="000000"/>
        </w:rPr>
        <w:t>iem</w:t>
      </w:r>
      <w:r>
        <w:rPr>
          <w:color w:val="000000"/>
        </w:rPr>
        <w:t xml:space="preserve">. </w:t>
      </w:r>
      <w:r w:rsidR="00B67BBD">
        <w:rPr>
          <w:color w:val="000000"/>
        </w:rPr>
        <w:t>P</w:t>
      </w:r>
      <w:r w:rsidR="00B1083D">
        <w:rPr>
          <w:color w:val="000000"/>
        </w:rPr>
        <w:t xml:space="preserve">amatojoties uz Līguma par </w:t>
      </w:r>
      <w:r w:rsidR="00885679">
        <w:rPr>
          <w:color w:val="000000"/>
        </w:rPr>
        <w:t>ES</w:t>
      </w:r>
      <w:r w:rsidR="00B1083D">
        <w:rPr>
          <w:color w:val="000000"/>
        </w:rPr>
        <w:t xml:space="preserve"> darbību 215. pantu</w:t>
      </w:r>
      <w:r w:rsidR="00B67BBD">
        <w:rPr>
          <w:color w:val="000000"/>
        </w:rPr>
        <w:t xml:space="preserve">, </w:t>
      </w:r>
      <w:r w:rsidR="00B67BBD">
        <w:rPr>
          <w:i/>
          <w:iCs/>
          <w:color w:val="000000"/>
        </w:rPr>
        <w:t xml:space="preserve">Euroclear </w:t>
      </w:r>
      <w:r w:rsidR="00B67BBD">
        <w:rPr>
          <w:color w:val="000000"/>
        </w:rPr>
        <w:t>aizdevuma līguma nosacījumi ar ES varētu tikt iekļauti Regulā</w:t>
      </w:r>
      <w:r w:rsidR="00B1083D">
        <w:rPr>
          <w:color w:val="000000"/>
        </w:rPr>
        <w:t xml:space="preserve">. </w:t>
      </w:r>
      <w:r w:rsidR="00B67BBD">
        <w:rPr>
          <w:color w:val="000000"/>
        </w:rPr>
        <w:t>Plānotā a</w:t>
      </w:r>
      <w:r w:rsidRPr="00B1083D" w:rsidR="00B1083D">
        <w:rPr>
          <w:color w:val="000000"/>
        </w:rPr>
        <w:t>izdevuma apmērs varētu būt 185 mljrd.</w:t>
      </w:r>
      <w:r w:rsidR="00885679">
        <w:rPr>
          <w:color w:val="000000"/>
        </w:rPr>
        <w:t xml:space="preserve"> EUR</w:t>
      </w:r>
      <w:r w:rsidRPr="00B1083D" w:rsidR="00B1083D">
        <w:rPr>
          <w:color w:val="000000"/>
        </w:rPr>
        <w:t xml:space="preserve">, no kuriem </w:t>
      </w:r>
      <w:r w:rsidR="002E668A">
        <w:rPr>
          <w:color w:val="000000"/>
        </w:rPr>
        <w:t xml:space="preserve">G7 </w:t>
      </w:r>
      <w:r w:rsidRPr="00B5421D" w:rsidR="00C804C3">
        <w:t>ārkārtas ieņēmumu paātrināšanas (</w:t>
      </w:r>
      <w:r w:rsidRPr="00B5421D" w:rsidR="00C804C3">
        <w:rPr>
          <w:i/>
        </w:rPr>
        <w:t>Extraordinary Revenue Acceleration</w:t>
      </w:r>
      <w:r w:rsidRPr="00B5421D" w:rsidR="00C804C3">
        <w:t xml:space="preserve">) </w:t>
      </w:r>
      <w:r w:rsidRPr="00B1083D" w:rsidR="00B1083D">
        <w:rPr>
          <w:color w:val="000000"/>
        </w:rPr>
        <w:t>aizdevum</w:t>
      </w:r>
      <w:r w:rsidR="00B1083D">
        <w:rPr>
          <w:color w:val="000000"/>
        </w:rPr>
        <w:t>a atmaksai novirzītu</w:t>
      </w:r>
      <w:r w:rsidRPr="00B1083D" w:rsidR="00B1083D">
        <w:rPr>
          <w:color w:val="000000"/>
        </w:rPr>
        <w:t xml:space="preserve"> 45 mljrd.</w:t>
      </w:r>
      <w:r w:rsidR="00885679">
        <w:rPr>
          <w:color w:val="000000"/>
        </w:rPr>
        <w:t xml:space="preserve"> EUR.</w:t>
      </w:r>
      <w:r w:rsidRPr="00B1083D" w:rsidR="00B1083D">
        <w:rPr>
          <w:color w:val="000000"/>
        </w:rPr>
        <w:t xml:space="preserve"> </w:t>
      </w:r>
      <w:r w:rsidR="00C804C3">
        <w:rPr>
          <w:color w:val="000000"/>
        </w:rPr>
        <w:t>Reparāciju aizdevums</w:t>
      </w:r>
      <w:r w:rsidRPr="00B1083D" w:rsidR="00B1083D">
        <w:rPr>
          <w:color w:val="000000"/>
        </w:rPr>
        <w:t xml:space="preserve"> no </w:t>
      </w:r>
      <w:r w:rsidRPr="00C12C00" w:rsidR="00B1083D">
        <w:rPr>
          <w:i/>
          <w:iCs/>
          <w:color w:val="000000"/>
        </w:rPr>
        <w:t>Euroclear</w:t>
      </w:r>
      <w:r w:rsidRPr="00B1083D" w:rsidR="00B1083D">
        <w:rPr>
          <w:color w:val="000000"/>
        </w:rPr>
        <w:t xml:space="preserve"> varētu tikt izmaksāts daļās, </w:t>
      </w:r>
      <w:r w:rsidR="00357469">
        <w:rPr>
          <w:color w:val="000000"/>
        </w:rPr>
        <w:t>kas t</w:t>
      </w:r>
      <w:r w:rsidR="00885679">
        <w:rPr>
          <w:color w:val="000000"/>
        </w:rPr>
        <w:t>ostarp</w:t>
      </w:r>
      <w:r w:rsidRPr="00B1083D" w:rsidR="00B1083D">
        <w:rPr>
          <w:color w:val="000000"/>
        </w:rPr>
        <w:t xml:space="preserve"> tiktu novirzīta</w:t>
      </w:r>
      <w:r w:rsidR="00357469">
        <w:rPr>
          <w:color w:val="000000"/>
        </w:rPr>
        <w:t>s</w:t>
      </w:r>
      <w:r w:rsidRPr="00B1083D" w:rsidR="00B1083D">
        <w:rPr>
          <w:color w:val="000000"/>
        </w:rPr>
        <w:t xml:space="preserve"> ES SAFE </w:t>
      </w:r>
      <w:r w:rsidR="00885679">
        <w:rPr>
          <w:color w:val="000000"/>
        </w:rPr>
        <w:t>(</w:t>
      </w:r>
      <w:r w:rsidRPr="00594463" w:rsidR="00885679">
        <w:rPr>
          <w:rFonts w:eastAsia="Calibri"/>
          <w:i/>
          <w:iCs/>
        </w:rPr>
        <w:t>Security Action For Europe</w:t>
      </w:r>
      <w:r w:rsidRPr="00C12C00" w:rsidR="00885679">
        <w:rPr>
          <w:rFonts w:eastAsia="Calibri"/>
        </w:rPr>
        <w:t>)</w:t>
      </w:r>
      <w:r w:rsidRPr="00885679" w:rsidR="00885679">
        <w:rPr>
          <w:color w:val="000000"/>
        </w:rPr>
        <w:t xml:space="preserve"> </w:t>
      </w:r>
      <w:r w:rsidR="00885679">
        <w:rPr>
          <w:color w:val="000000"/>
        </w:rPr>
        <w:t>instrumentam</w:t>
      </w:r>
      <w:r w:rsidR="00357469">
        <w:rPr>
          <w:color w:val="000000"/>
        </w:rPr>
        <w:t xml:space="preserve"> un</w:t>
      </w:r>
      <w:r w:rsidRPr="00B1083D" w:rsidR="00B1083D">
        <w:rPr>
          <w:color w:val="000000"/>
        </w:rPr>
        <w:t xml:space="preserve"> budžeta vajadzībām.</w:t>
      </w:r>
      <w:r w:rsidR="00B67BBD">
        <w:rPr>
          <w:color w:val="000000"/>
        </w:rPr>
        <w:t xml:space="preserve"> </w:t>
      </w:r>
      <w:r w:rsidRPr="00594463" w:rsidR="00B933E2">
        <w:rPr>
          <w:color w:val="000000"/>
        </w:rPr>
        <w:t>CBR iesaldētie aktīvi tik</w:t>
      </w:r>
      <w:r w:rsidR="00C63C25">
        <w:rPr>
          <w:color w:val="000000"/>
        </w:rPr>
        <w:t>tu</w:t>
      </w:r>
      <w:r w:rsidRPr="00594463" w:rsidR="00B933E2">
        <w:rPr>
          <w:color w:val="000000"/>
        </w:rPr>
        <w:t xml:space="preserve"> atgriezti Krievijai tikai tad, </w:t>
      </w:r>
      <w:r w:rsidR="00F2256E">
        <w:rPr>
          <w:color w:val="000000"/>
        </w:rPr>
        <w:t>ja</w:t>
      </w:r>
      <w:r w:rsidRPr="00594463" w:rsidR="00F2256E">
        <w:rPr>
          <w:color w:val="000000"/>
        </w:rPr>
        <w:t xml:space="preserve"> </w:t>
      </w:r>
      <w:r w:rsidRPr="00594463" w:rsidR="00B933E2">
        <w:rPr>
          <w:color w:val="000000"/>
        </w:rPr>
        <w:t>Krievija samaksāt</w:t>
      </w:r>
      <w:r w:rsidR="007D136C">
        <w:rPr>
          <w:color w:val="000000"/>
        </w:rPr>
        <w:t>u</w:t>
      </w:r>
      <w:r w:rsidRPr="00594463" w:rsidR="00B933E2">
        <w:rPr>
          <w:color w:val="000000"/>
        </w:rPr>
        <w:t xml:space="preserve"> Ukrainai </w:t>
      </w:r>
      <w:r w:rsidR="00F2256E">
        <w:rPr>
          <w:color w:val="000000"/>
        </w:rPr>
        <w:t xml:space="preserve">kompensāciju </w:t>
      </w:r>
      <w:r w:rsidRPr="00594463" w:rsidR="00B933E2">
        <w:rPr>
          <w:color w:val="000000"/>
        </w:rPr>
        <w:t xml:space="preserve">par karā </w:t>
      </w:r>
      <w:r w:rsidR="00F2256E">
        <w:rPr>
          <w:color w:val="000000"/>
        </w:rPr>
        <w:t>nodarītajiem</w:t>
      </w:r>
      <w:r w:rsidRPr="00594463" w:rsidR="00F2256E">
        <w:rPr>
          <w:color w:val="000000"/>
        </w:rPr>
        <w:t xml:space="preserve"> </w:t>
      </w:r>
      <w:r w:rsidRPr="00594463" w:rsidR="00B933E2">
        <w:rPr>
          <w:color w:val="000000"/>
        </w:rPr>
        <w:t xml:space="preserve">zaudējumiem. </w:t>
      </w:r>
      <w:r w:rsidR="00B67BBD">
        <w:rPr>
          <w:color w:val="000000"/>
        </w:rPr>
        <w:t>Lai nodrošinātos, ka sankcijas pret Krieviju netiek atceltas bez Krievijas kompensācij</w:t>
      </w:r>
      <w:r w:rsidR="00F2256E">
        <w:rPr>
          <w:color w:val="000000"/>
        </w:rPr>
        <w:t>u samaksas Ukrainai</w:t>
      </w:r>
      <w:r w:rsidR="00B67BBD">
        <w:rPr>
          <w:color w:val="000000"/>
        </w:rPr>
        <w:t xml:space="preserve">, EK rosina </w:t>
      </w:r>
      <w:r w:rsidR="00F2256E">
        <w:rPr>
          <w:color w:val="000000"/>
        </w:rPr>
        <w:t xml:space="preserve">sankciju pagarināšanai </w:t>
      </w:r>
      <w:r w:rsidR="00B67BBD">
        <w:rPr>
          <w:color w:val="000000"/>
        </w:rPr>
        <w:t xml:space="preserve">piemērot Līguma par </w:t>
      </w:r>
      <w:r w:rsidR="00885679">
        <w:rPr>
          <w:color w:val="000000"/>
        </w:rPr>
        <w:t>ES</w:t>
      </w:r>
      <w:r w:rsidR="00B67BBD">
        <w:rPr>
          <w:color w:val="000000"/>
        </w:rPr>
        <w:t xml:space="preserve"> 32. panta otro punktu jeb </w:t>
      </w:r>
      <w:r w:rsidRPr="00885679" w:rsidR="00885679">
        <w:rPr>
          <w:color w:val="000000"/>
        </w:rPr>
        <w:t>kvalificēt</w:t>
      </w:r>
      <w:r w:rsidR="00885679">
        <w:rPr>
          <w:color w:val="000000"/>
        </w:rPr>
        <w:t>o</w:t>
      </w:r>
      <w:r w:rsidRPr="00885679" w:rsidR="00885679">
        <w:rPr>
          <w:color w:val="000000"/>
        </w:rPr>
        <w:t xml:space="preserve"> balsu vairākum</w:t>
      </w:r>
      <w:r w:rsidR="00885679">
        <w:rPr>
          <w:color w:val="000000"/>
        </w:rPr>
        <w:t>u</w:t>
      </w:r>
      <w:r w:rsidRPr="00885679" w:rsidDel="00885679" w:rsidR="00885679">
        <w:rPr>
          <w:color w:val="000000"/>
        </w:rPr>
        <w:t xml:space="preserve"> </w:t>
      </w:r>
      <w:r w:rsidR="00B67BBD">
        <w:rPr>
          <w:color w:val="000000"/>
        </w:rPr>
        <w:t>(QMV).</w:t>
      </w:r>
    </w:p>
    <w:p w:rsidRPr="00594463" w:rsidR="00E337C5" w:rsidP="005B3FF0" w:rsidRDefault="00B933E2" w14:paraId="53E35BF2" w14:textId="0F062A8C">
      <w:pPr>
        <w:spacing w:before="120" w:after="120"/>
        <w:jc w:val="both"/>
        <w:rPr>
          <w:color w:val="000000"/>
        </w:rPr>
      </w:pPr>
      <w:r w:rsidRPr="00594463">
        <w:rPr>
          <w:color w:val="000000"/>
        </w:rPr>
        <w:t xml:space="preserve">Piedāvātais mehānisms varētu noņemt spiedienu no Beļģijas klīringa iestādes </w:t>
      </w:r>
      <w:r w:rsidRPr="00594463">
        <w:rPr>
          <w:i/>
          <w:iCs/>
          <w:color w:val="000000"/>
        </w:rPr>
        <w:t>Euroclear</w:t>
      </w:r>
      <w:r w:rsidRPr="00594463">
        <w:rPr>
          <w:color w:val="000000"/>
        </w:rPr>
        <w:t>, kur atrodas lielākā daļa iesaldēt</w:t>
      </w:r>
      <w:r w:rsidRPr="00594463" w:rsidR="005B3B3B">
        <w:rPr>
          <w:color w:val="000000"/>
        </w:rPr>
        <w:t>o</w:t>
      </w:r>
      <w:r w:rsidRPr="00594463">
        <w:rPr>
          <w:color w:val="000000"/>
        </w:rPr>
        <w:t xml:space="preserve"> CBR aktīv</w:t>
      </w:r>
      <w:r w:rsidRPr="00594463" w:rsidR="005B3B3B">
        <w:rPr>
          <w:color w:val="000000"/>
        </w:rPr>
        <w:t>u</w:t>
      </w:r>
      <w:r w:rsidRPr="00594463">
        <w:rPr>
          <w:color w:val="000000"/>
        </w:rPr>
        <w:t xml:space="preserve">, kā arī mazināt Beļģijas, Vācijas, Francijas un citu valstu pretestību CBR aktīvu izmantošanai Ukrainas vajadzībām. </w:t>
      </w:r>
      <w:r w:rsidR="00E337C5">
        <w:rPr>
          <w:color w:val="000000"/>
        </w:rPr>
        <w:t xml:space="preserve">Zināms, ka arī G7 valstis strādā pie </w:t>
      </w:r>
      <w:r w:rsidRPr="00E074CD" w:rsidR="001E54BD">
        <w:rPr>
          <w:color w:val="000000"/>
        </w:rPr>
        <w:t>instrumenta</w:t>
      </w:r>
      <w:r w:rsidR="00E337C5">
        <w:rPr>
          <w:color w:val="000000"/>
        </w:rPr>
        <w:t>, kas ļautu izmantot Ukrainas vajadzībām to jurisdikcijās iesaldētos Krievijas aktīvus.</w:t>
      </w:r>
    </w:p>
    <w:p w:rsidRPr="00594463" w:rsidR="00532B49" w:rsidP="00532B49" w:rsidRDefault="005B3B3B" w14:paraId="6CFAE62B" w14:textId="7D5D4726">
      <w:pPr>
        <w:spacing w:before="120" w:after="120"/>
        <w:jc w:val="both"/>
        <w:rPr>
          <w:color w:val="000000" w:themeColor="text1"/>
        </w:rPr>
      </w:pPr>
      <w:r w:rsidRPr="00594463">
        <w:rPr>
          <w:color w:val="000000"/>
        </w:rPr>
        <w:t xml:space="preserve">Tiek </w:t>
      </w:r>
      <w:r w:rsidRPr="00594463" w:rsidR="00532B49">
        <w:rPr>
          <w:color w:val="000000"/>
        </w:rPr>
        <w:t xml:space="preserve">turpināti </w:t>
      </w:r>
      <w:r w:rsidRPr="00594463">
        <w:rPr>
          <w:color w:val="000000"/>
        </w:rPr>
        <w:t>vairāki pasākumi Ukrainas aizsardzības spēju stiprināšanai.</w:t>
      </w:r>
      <w:r w:rsidR="0065639E">
        <w:rPr>
          <w:color w:val="000000"/>
        </w:rPr>
        <w:t xml:space="preserve"> </w:t>
      </w:r>
      <w:r w:rsidRPr="00594463" w:rsidR="00532B49">
        <w:rPr>
          <w:color w:val="000000"/>
        </w:rPr>
        <w:t>Š. g. jūlijā NATO uzsāka jaunu</w:t>
      </w:r>
      <w:r w:rsidRPr="00594463" w:rsidR="006217D4">
        <w:rPr>
          <w:color w:val="000000"/>
        </w:rPr>
        <w:t xml:space="preserve"> </w:t>
      </w:r>
      <w:r w:rsidRPr="00594463" w:rsidR="00532B49">
        <w:rPr>
          <w:color w:val="000000"/>
        </w:rPr>
        <w:t>iniciatīvu kritiski nepieciešamā militārā ekipējuma Ukrainai nodrošināšanai (</w:t>
      </w:r>
      <w:r w:rsidRPr="00594463" w:rsidR="00532B49">
        <w:rPr>
          <w:i/>
          <w:color w:val="000000"/>
        </w:rPr>
        <w:t>NATO Prioritized Ukraine Requirements List, PURL</w:t>
      </w:r>
      <w:r w:rsidRPr="00594463" w:rsidR="00532B49">
        <w:rPr>
          <w:color w:val="000000"/>
        </w:rPr>
        <w:t xml:space="preserve">), lai efektīvāk un ātrāk sniegtu </w:t>
      </w:r>
      <w:r w:rsidRPr="00594463" w:rsidR="00532B49">
        <w:rPr>
          <w:color w:val="000000"/>
        </w:rPr>
        <w:lastRenderedPageBreak/>
        <w:t xml:space="preserve">militāro atbalstu Ukrainai cīņā pret Krievijas agresijas karu. Latvija piedalās iniciatīvā, sniedzot iemaksu 5 </w:t>
      </w:r>
      <w:r w:rsidRPr="00594463" w:rsidR="001E759D">
        <w:rPr>
          <w:color w:val="000000"/>
        </w:rPr>
        <w:t xml:space="preserve">milj. EUR </w:t>
      </w:r>
      <w:r w:rsidRPr="00594463" w:rsidR="00532B49">
        <w:rPr>
          <w:color w:val="000000"/>
        </w:rPr>
        <w:t>apmērā.</w:t>
      </w:r>
    </w:p>
    <w:p w:rsidRPr="00594463" w:rsidR="00532B49" w:rsidP="005B3FF0" w:rsidRDefault="00532B49" w14:paraId="48B39FFC" w14:textId="7A4CEAAC">
      <w:pPr>
        <w:spacing w:before="120" w:after="120"/>
        <w:jc w:val="both"/>
        <w:rPr>
          <w:rFonts w:eastAsiaTheme="minorHAnsi"/>
          <w:color w:val="000000"/>
        </w:rPr>
      </w:pPr>
      <w:r w:rsidRPr="00594463">
        <w:rPr>
          <w:color w:val="000000"/>
        </w:rPr>
        <w:t>Š. g. 4. septembrī Francijas un Apvienotās Karalistes vadībā izveidotās Labas gribas koalīcijas valstis (šobrīd vairāk nekā 30, t. sk., Latvija) paziņoja, ka noslēdzies plānošanas darbs pie visaptverošām drošības garantijām Ukrainai pēc vienošanās par uguns pārtraukšanu vai kara noslēgumu. Turpinās darbs pie drošības garantiju iestenošai nepieciešamā politiskā ietvara. Arī Latvija izvērtē iespēju sniegt savu ieguldījumu drošības garantiju īstenošanā.</w:t>
      </w:r>
    </w:p>
    <w:p w:rsidRPr="00594463" w:rsidR="00995509" w:rsidP="005B3FF0" w:rsidRDefault="00995509" w14:paraId="3D884C3D" w14:textId="1E0EC84A">
      <w:pPr>
        <w:spacing w:before="120" w:after="120"/>
        <w:jc w:val="both"/>
        <w:rPr>
          <w:rFonts w:eastAsiaTheme="minorHAnsi"/>
          <w:color w:val="000000"/>
        </w:rPr>
      </w:pPr>
      <w:r w:rsidRPr="00594463">
        <w:rPr>
          <w:rFonts w:eastAsiaTheme="minorHAnsi"/>
          <w:color w:val="000000"/>
        </w:rPr>
        <w:t xml:space="preserve">Ukrainas un Eiropas </w:t>
      </w:r>
      <w:r w:rsidRPr="00594463" w:rsidR="001E759D">
        <w:rPr>
          <w:rFonts w:eastAsiaTheme="minorHAnsi"/>
          <w:color w:val="000000"/>
        </w:rPr>
        <w:t xml:space="preserve">ilgtermiņa </w:t>
      </w:r>
      <w:r w:rsidRPr="00594463">
        <w:rPr>
          <w:rFonts w:eastAsiaTheme="minorHAnsi"/>
          <w:color w:val="000000"/>
        </w:rPr>
        <w:t>drošības neatņemama sastāvdaļa ir starptautiskās tiesiskās kārtības atgriešana un Krievijas atbildības nodrošināšana, tāpēc ir nepieciešams visaptverošs ES atbalsts Īpašajam tribunālam par agresijas noziegumu pret Ukrainu. Tas ietvertu arī trešo valstu aicināšanu pievienoties tribunālam, lai stiprinātu tā starptautisko leģitimitāti un rīcībspēju.</w:t>
      </w:r>
    </w:p>
    <w:p w:rsidR="00461610" w:rsidP="005B3FF0" w:rsidRDefault="00461610" w14:paraId="7E4504F6" w14:textId="77777777">
      <w:pPr>
        <w:spacing w:before="120" w:after="120"/>
        <w:jc w:val="both"/>
        <w:rPr>
          <w:u w:val="single"/>
        </w:rPr>
      </w:pPr>
    </w:p>
    <w:p w:rsidRPr="00594463" w:rsidR="00B933E2" w:rsidP="005B3FF0" w:rsidRDefault="00B933E2" w14:paraId="245D8C98" w14:textId="1CE7A8D7">
      <w:pPr>
        <w:spacing w:before="120" w:after="120"/>
        <w:jc w:val="both"/>
        <w:rPr>
          <w:u w:val="single"/>
        </w:rPr>
      </w:pPr>
      <w:r w:rsidRPr="00594463">
        <w:rPr>
          <w:u w:val="single"/>
        </w:rPr>
        <w:t>Latvijas nostāja</w:t>
      </w:r>
      <w:r w:rsidRPr="00594463">
        <w:rPr>
          <w:rStyle w:val="FootnoteReference"/>
        </w:rPr>
        <w:footnoteReference w:id="4"/>
      </w:r>
    </w:p>
    <w:p w:rsidRPr="00594463" w:rsidR="00B933E2" w:rsidP="005B3FF0" w:rsidRDefault="00B933E2" w14:paraId="33E7563F" w14:textId="77777777">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594463">
        <w:rPr>
          <w:rFonts w:ascii="Times New Roman" w:hAnsi="Times New Roman" w:cs="Times New Roman"/>
          <w:sz w:val="24"/>
          <w:szCs w:val="24"/>
        </w:rPr>
        <w:t>Cieša sabiedroto un transatlantiskā vienotība šobrīd ir kritiski svarīga. Lai sekmētu miera procesu, ir jāuztur spiediens, tostarp sankcijas, pret Krieviju un jāsniedz visaptverošs atbalsts Ukrainai.</w:t>
      </w:r>
    </w:p>
    <w:p w:rsidRPr="00594463" w:rsidR="000871BC" w:rsidP="00975741" w:rsidRDefault="00B933E2" w14:paraId="75F10535" w14:textId="2C2FECB7">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594463">
        <w:rPr>
          <w:rFonts w:ascii="Times New Roman" w:hAnsi="Times New Roman" w:cs="Times New Roman"/>
          <w:sz w:val="24"/>
          <w:szCs w:val="24"/>
        </w:rPr>
        <w:t>Būtiski, ka Ukraina piedalās visos lēmumos par Ukrainas nākotni un Eiropa – visos lēmumos par Eiropas drošību.</w:t>
      </w:r>
    </w:p>
    <w:p w:rsidRPr="00594463" w:rsidR="000871BC" w:rsidP="00A72C66" w:rsidRDefault="000871BC" w14:paraId="4FCECCB4" w14:textId="1E945DB0">
      <w:pPr>
        <w:pStyle w:val="ListParagraph"/>
        <w:numPr>
          <w:ilvl w:val="0"/>
          <w:numId w:val="39"/>
        </w:numPr>
        <w:spacing w:before="120" w:after="120" w:line="240" w:lineRule="auto"/>
        <w:ind w:left="714" w:hanging="357"/>
        <w:contextualSpacing w:val="false"/>
        <w:jc w:val="both"/>
        <w:rPr>
          <w:rFonts w:ascii="Times New Roman" w:hAnsi="Times New Roman" w:cs="Times New Roman"/>
          <w:b/>
          <w:bCs/>
          <w:sz w:val="24"/>
          <w:szCs w:val="24"/>
        </w:rPr>
      </w:pPr>
      <w:r w:rsidRPr="00594463">
        <w:rPr>
          <w:rFonts w:ascii="Times New Roman" w:hAnsi="Times New Roman" w:cs="Times New Roman"/>
          <w:sz w:val="24"/>
          <w:szCs w:val="24"/>
        </w:rPr>
        <w:t>Gan drošības garantijas, gan lielāks militārais atbalsts Ukrainai ir kritiski nozīmīgs.</w:t>
      </w:r>
    </w:p>
    <w:p w:rsidRPr="00594463" w:rsidR="000871BC" w:rsidP="00A72C66" w:rsidRDefault="000871BC" w14:paraId="4598E6E5" w14:textId="6C51023F">
      <w:pPr>
        <w:pStyle w:val="ListParagraph"/>
        <w:numPr>
          <w:ilvl w:val="0"/>
          <w:numId w:val="39"/>
        </w:numPr>
        <w:spacing w:before="120" w:after="120" w:line="240" w:lineRule="auto"/>
        <w:ind w:left="714" w:hanging="357"/>
        <w:contextualSpacing w:val="false"/>
        <w:jc w:val="both"/>
        <w:rPr>
          <w:rFonts w:ascii="Times New Roman" w:hAnsi="Times New Roman" w:cs="Times New Roman"/>
          <w:i/>
          <w:sz w:val="24"/>
          <w:szCs w:val="24"/>
          <w:u w:val="single"/>
        </w:rPr>
      </w:pPr>
      <w:r w:rsidRPr="00594463">
        <w:rPr>
          <w:rFonts w:ascii="Times New Roman" w:hAnsi="Times New Roman" w:cs="Times New Roman"/>
          <w:sz w:val="24"/>
          <w:szCs w:val="24"/>
        </w:rPr>
        <w:t>Novērtējam Labas gribas koalīcijā panākto vienošanos par drošības garantijām Ukrainai. Jāturpina darbs pie politiskā ietvara.</w:t>
      </w:r>
    </w:p>
    <w:p w:rsidR="00B933E2" w:rsidP="005B3FF0" w:rsidRDefault="00B933E2" w14:paraId="74A08D49" w14:textId="64679E59">
      <w:pPr>
        <w:pStyle w:val="ListParagraph"/>
        <w:numPr>
          <w:ilvl w:val="0"/>
          <w:numId w:val="39"/>
        </w:numPr>
        <w:spacing w:before="120" w:after="120" w:line="240" w:lineRule="auto"/>
        <w:contextualSpacing w:val="false"/>
        <w:jc w:val="both"/>
        <w:rPr>
          <w:rFonts w:ascii="Times New Roman" w:hAnsi="Times New Roman" w:cs="Times New Roman"/>
          <w:sz w:val="24"/>
          <w:szCs w:val="24"/>
        </w:rPr>
      </w:pPr>
      <w:bookmarkStart w:id="2" w:name="_Hlk208405623"/>
      <w:r w:rsidRPr="00594463">
        <w:rPr>
          <w:rFonts w:ascii="Times New Roman" w:hAnsi="Times New Roman" w:cs="Times New Roman"/>
          <w:sz w:val="24"/>
          <w:szCs w:val="24"/>
        </w:rPr>
        <w:t xml:space="preserve">Turpināsim iestāties par spēcīgu sankciju un tarifu spiedienu uz Krieviju un tās </w:t>
      </w:r>
      <w:r w:rsidR="00531666">
        <w:rPr>
          <w:rFonts w:ascii="Times New Roman" w:hAnsi="Times New Roman" w:cs="Times New Roman"/>
          <w:sz w:val="24"/>
          <w:szCs w:val="24"/>
        </w:rPr>
        <w:t>atbalstītājiem</w:t>
      </w:r>
      <w:r w:rsidR="00376160">
        <w:rPr>
          <w:rFonts w:ascii="Times New Roman" w:hAnsi="Times New Roman" w:cs="Times New Roman"/>
          <w:sz w:val="24"/>
          <w:szCs w:val="24"/>
        </w:rPr>
        <w:t>.</w:t>
      </w:r>
      <w:r w:rsidRPr="00594463">
        <w:rPr>
          <w:rFonts w:ascii="Times New Roman" w:hAnsi="Times New Roman" w:cs="Times New Roman"/>
          <w:sz w:val="24"/>
          <w:szCs w:val="24"/>
        </w:rPr>
        <w:t xml:space="preserve"> </w:t>
      </w:r>
      <w:r w:rsidR="00376160">
        <w:rPr>
          <w:rFonts w:ascii="Times New Roman" w:hAnsi="Times New Roman" w:cs="Times New Roman"/>
          <w:sz w:val="24"/>
          <w:szCs w:val="24"/>
        </w:rPr>
        <w:t>Attiecīgi</w:t>
      </w:r>
      <w:r w:rsidRPr="00594463">
        <w:rPr>
          <w:rFonts w:ascii="Times New Roman" w:hAnsi="Times New Roman" w:cs="Times New Roman"/>
          <w:sz w:val="24"/>
          <w:szCs w:val="24"/>
        </w:rPr>
        <w:t xml:space="preserve"> pēc iespējas ātrāk </w:t>
      </w:r>
      <w:r w:rsidR="00376160">
        <w:rPr>
          <w:rFonts w:ascii="Times New Roman" w:hAnsi="Times New Roman" w:cs="Times New Roman"/>
          <w:sz w:val="24"/>
          <w:szCs w:val="24"/>
        </w:rPr>
        <w:t>jā</w:t>
      </w:r>
      <w:r w:rsidRPr="00594463">
        <w:rPr>
          <w:rFonts w:ascii="Times New Roman" w:hAnsi="Times New Roman" w:cs="Times New Roman"/>
          <w:sz w:val="24"/>
          <w:szCs w:val="24"/>
        </w:rPr>
        <w:t>apstiprin</w:t>
      </w:r>
      <w:r w:rsidR="00376160">
        <w:rPr>
          <w:rFonts w:ascii="Times New Roman" w:hAnsi="Times New Roman" w:cs="Times New Roman"/>
          <w:sz w:val="24"/>
          <w:szCs w:val="24"/>
        </w:rPr>
        <w:t>a</w:t>
      </w:r>
      <w:r w:rsidRPr="00594463">
        <w:rPr>
          <w:rFonts w:ascii="Times New Roman" w:hAnsi="Times New Roman" w:cs="Times New Roman"/>
          <w:sz w:val="24"/>
          <w:szCs w:val="24"/>
        </w:rPr>
        <w:t xml:space="preserve"> spēcīg</w:t>
      </w:r>
      <w:r w:rsidR="00376160">
        <w:rPr>
          <w:rFonts w:ascii="Times New Roman" w:hAnsi="Times New Roman" w:cs="Times New Roman"/>
          <w:sz w:val="24"/>
          <w:szCs w:val="24"/>
        </w:rPr>
        <w:t>a</w:t>
      </w:r>
      <w:r w:rsidRPr="00594463">
        <w:rPr>
          <w:rFonts w:ascii="Times New Roman" w:hAnsi="Times New Roman" w:cs="Times New Roman"/>
          <w:sz w:val="24"/>
          <w:szCs w:val="24"/>
        </w:rPr>
        <w:t xml:space="preserve"> ES sankciju </w:t>
      </w:r>
      <w:r w:rsidRPr="00594463" w:rsidR="000871BC">
        <w:rPr>
          <w:rFonts w:ascii="Times New Roman" w:hAnsi="Times New Roman" w:cs="Times New Roman"/>
          <w:sz w:val="24"/>
          <w:szCs w:val="24"/>
        </w:rPr>
        <w:t>19. </w:t>
      </w:r>
      <w:r w:rsidRPr="00594463">
        <w:rPr>
          <w:rFonts w:ascii="Times New Roman" w:hAnsi="Times New Roman" w:cs="Times New Roman"/>
          <w:sz w:val="24"/>
          <w:szCs w:val="24"/>
        </w:rPr>
        <w:t>kārt</w:t>
      </w:r>
      <w:r w:rsidR="00376160">
        <w:rPr>
          <w:rFonts w:ascii="Times New Roman" w:hAnsi="Times New Roman" w:cs="Times New Roman"/>
          <w:sz w:val="24"/>
          <w:szCs w:val="24"/>
        </w:rPr>
        <w:t>a</w:t>
      </w:r>
      <w:r w:rsidRPr="00594463">
        <w:rPr>
          <w:rFonts w:ascii="Times New Roman" w:hAnsi="Times New Roman" w:cs="Times New Roman"/>
          <w:sz w:val="24"/>
          <w:szCs w:val="24"/>
        </w:rPr>
        <w:t xml:space="preserve"> pret Krieviju. Jāmazina Krievijas spēja gan ekonomiski, gan militāri </w:t>
      </w:r>
      <w:r w:rsidR="00531666">
        <w:rPr>
          <w:rFonts w:ascii="Times New Roman" w:hAnsi="Times New Roman" w:cs="Times New Roman"/>
          <w:sz w:val="24"/>
          <w:szCs w:val="24"/>
        </w:rPr>
        <w:t>turpināt agresiju</w:t>
      </w:r>
      <w:bookmarkEnd w:id="2"/>
      <w:r w:rsidRPr="00594463">
        <w:rPr>
          <w:rFonts w:ascii="Times New Roman" w:hAnsi="Times New Roman" w:cs="Times New Roman"/>
          <w:sz w:val="24"/>
          <w:szCs w:val="24"/>
        </w:rPr>
        <w:t>.</w:t>
      </w:r>
    </w:p>
    <w:p w:rsidRPr="00594463" w:rsidR="008957BA" w:rsidP="005B3FF0" w:rsidRDefault="008957BA" w14:paraId="4F2B4D20" w14:textId="180A9839">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Pr>
          <w:rFonts w:ascii="Times New Roman" w:hAnsi="Times New Roman" w:cs="Times New Roman"/>
          <w:sz w:val="24"/>
          <w:szCs w:val="24"/>
        </w:rPr>
        <w:t>Atbalstām ES finanšu sankciju tvēruma salāgošanu ar m</w:t>
      </w:r>
      <w:r w:rsidRPr="00D621EA">
        <w:rPr>
          <w:rFonts w:ascii="Times New Roman" w:hAnsi="Times New Roman" w:cs="Times New Roman"/>
          <w:sz w:val="24"/>
          <w:szCs w:val="24"/>
        </w:rPr>
        <w:t>ūsu partner</w:t>
      </w:r>
      <w:r w:rsidR="0028223A">
        <w:rPr>
          <w:rFonts w:ascii="Times New Roman" w:hAnsi="Times New Roman" w:cs="Times New Roman"/>
          <w:sz w:val="24"/>
          <w:szCs w:val="24"/>
        </w:rPr>
        <w:t>a</w:t>
      </w:r>
      <w:r>
        <w:rPr>
          <w:rFonts w:ascii="Times New Roman" w:hAnsi="Times New Roman" w:cs="Times New Roman"/>
          <w:sz w:val="24"/>
          <w:szCs w:val="24"/>
        </w:rPr>
        <w:t xml:space="preserve"> – </w:t>
      </w:r>
      <w:r w:rsidRPr="00D621EA">
        <w:rPr>
          <w:rFonts w:ascii="Times New Roman" w:hAnsi="Times New Roman" w:cs="Times New Roman"/>
          <w:sz w:val="24"/>
          <w:szCs w:val="24"/>
        </w:rPr>
        <w:t>ASV</w:t>
      </w:r>
      <w:r>
        <w:rPr>
          <w:rFonts w:ascii="Times New Roman" w:hAnsi="Times New Roman" w:cs="Times New Roman"/>
          <w:sz w:val="24"/>
          <w:szCs w:val="24"/>
        </w:rPr>
        <w:t xml:space="preserve"> – </w:t>
      </w:r>
      <w:r w:rsidR="0028223A">
        <w:rPr>
          <w:rFonts w:ascii="Times New Roman" w:hAnsi="Times New Roman" w:cs="Times New Roman"/>
          <w:sz w:val="24"/>
          <w:szCs w:val="24"/>
        </w:rPr>
        <w:t>noteiktajām finanšu sankcijām</w:t>
      </w:r>
      <w:r w:rsidRPr="00D621EA">
        <w:rPr>
          <w:rFonts w:ascii="Times New Roman" w:hAnsi="Times New Roman" w:cs="Times New Roman"/>
          <w:sz w:val="24"/>
          <w:szCs w:val="24"/>
        </w:rPr>
        <w:t xml:space="preserve">. Attiecīgi sankciju režīmu salāgošana un </w:t>
      </w:r>
      <w:r w:rsidRPr="00AA0179">
        <w:rPr>
          <w:rFonts w:ascii="Times New Roman" w:hAnsi="Times New Roman" w:cs="Times New Roman"/>
          <w:i/>
          <w:iCs/>
          <w:sz w:val="24"/>
          <w:szCs w:val="24"/>
        </w:rPr>
        <w:t>Gazprombank</w:t>
      </w:r>
      <w:r w:rsidRPr="00D621EA">
        <w:rPr>
          <w:rFonts w:ascii="Times New Roman" w:hAnsi="Times New Roman" w:cs="Times New Roman"/>
          <w:sz w:val="24"/>
          <w:szCs w:val="24"/>
        </w:rPr>
        <w:t xml:space="preserve"> iekļaušana sankciju  tvērumā ir mērķis, uz kuru ES līmenī jāturpina tiekties</w:t>
      </w:r>
      <w:r>
        <w:rPr>
          <w:rFonts w:ascii="Times New Roman" w:hAnsi="Times New Roman" w:cs="Times New Roman"/>
          <w:sz w:val="24"/>
          <w:szCs w:val="24"/>
        </w:rPr>
        <w:t>.</w:t>
      </w:r>
    </w:p>
    <w:p w:rsidRPr="00594463" w:rsidR="00B933E2" w:rsidP="005B3FF0" w:rsidRDefault="005F0171" w14:paraId="4E591BDC" w14:textId="2FEE6B1A">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5F0171">
        <w:rPr>
          <w:rFonts w:ascii="Times New Roman" w:hAnsi="Times New Roman" w:cs="Times New Roman"/>
          <w:sz w:val="24"/>
          <w:szCs w:val="24"/>
        </w:rPr>
        <w:t>Krievija nav uzticams un godprātīgs energoresursu piegādātājs, kas energoresursu piegādes un atkarību no tiem izmanto politiskiem un militāriem mērķiem, finansējot agresijas karu pret Ukrainu</w:t>
      </w:r>
      <w:r w:rsidRPr="00594463" w:rsidR="00B933E2">
        <w:rPr>
          <w:rFonts w:ascii="Times New Roman" w:hAnsi="Times New Roman" w:cs="Times New Roman"/>
          <w:sz w:val="24"/>
          <w:szCs w:val="24"/>
        </w:rPr>
        <w:t xml:space="preserve">. </w:t>
      </w:r>
    </w:p>
    <w:p w:rsidRPr="00594463" w:rsidR="00B933E2" w:rsidP="005B3FF0" w:rsidRDefault="00B933E2" w14:paraId="4B8EA7F4" w14:textId="11A51EF2">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594463">
        <w:rPr>
          <w:rFonts w:ascii="Times New Roman" w:hAnsi="Times New Roman" w:cs="Times New Roman"/>
          <w:sz w:val="24"/>
          <w:szCs w:val="24"/>
        </w:rPr>
        <w:t xml:space="preserve">Atbalstām </w:t>
      </w:r>
      <w:r w:rsidRPr="0020777B">
        <w:rPr>
          <w:rFonts w:ascii="Times New Roman" w:hAnsi="Times New Roman" w:cs="Times New Roman"/>
          <w:i/>
          <w:iCs/>
          <w:sz w:val="24"/>
          <w:szCs w:val="24"/>
        </w:rPr>
        <w:t>RePowerEU</w:t>
      </w:r>
      <w:r w:rsidRPr="00594463">
        <w:rPr>
          <w:rFonts w:ascii="Times New Roman" w:hAnsi="Times New Roman" w:cs="Times New Roman"/>
          <w:sz w:val="24"/>
          <w:szCs w:val="24"/>
        </w:rPr>
        <w:t xml:space="preserve"> </w:t>
      </w:r>
      <w:r w:rsidR="007A7E1C">
        <w:rPr>
          <w:rFonts w:ascii="Times New Roman" w:hAnsi="Times New Roman" w:cs="Times New Roman"/>
          <w:sz w:val="24"/>
          <w:szCs w:val="24"/>
        </w:rPr>
        <w:t>ceļa kartes par pilnīgu atteikšanos no Krievijas naftas un gāzes importa līdz 2027.</w:t>
      </w:r>
      <w:r w:rsidR="009C3F04">
        <w:rPr>
          <w:rFonts w:ascii="Times New Roman" w:hAnsi="Times New Roman" w:cs="Times New Roman"/>
          <w:sz w:val="24"/>
          <w:szCs w:val="24"/>
        </w:rPr>
        <w:t> </w:t>
      </w:r>
      <w:r w:rsidR="007A7E1C">
        <w:rPr>
          <w:rFonts w:ascii="Times New Roman" w:hAnsi="Times New Roman" w:cs="Times New Roman"/>
          <w:sz w:val="24"/>
          <w:szCs w:val="24"/>
        </w:rPr>
        <w:t>gadam</w:t>
      </w:r>
      <w:r w:rsidRPr="00594463">
        <w:rPr>
          <w:rFonts w:ascii="Times New Roman" w:hAnsi="Times New Roman" w:cs="Times New Roman"/>
          <w:sz w:val="24"/>
          <w:szCs w:val="24"/>
        </w:rPr>
        <w:t xml:space="preserve"> ieviešanu pēc iespējas ātrāk. </w:t>
      </w:r>
    </w:p>
    <w:p w:rsidR="00B933E2" w:rsidP="005B3FF0" w:rsidRDefault="00B933E2" w14:paraId="3ACE1E19" w14:textId="7F6F37F3">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594463">
        <w:rPr>
          <w:rFonts w:ascii="Times New Roman" w:hAnsi="Times New Roman" w:cs="Times New Roman"/>
          <w:sz w:val="24"/>
          <w:szCs w:val="24"/>
        </w:rPr>
        <w:lastRenderedPageBreak/>
        <w:t>Jāpaplašina un jāstiprina sankcijas pret trešo valstu subjektiem, kas atbalsta Krieviju tās agresijas karā pret Ukrainu un ES un partneru sankciju apiešanā.</w:t>
      </w:r>
    </w:p>
    <w:p w:rsidRPr="00594463" w:rsidR="008957BA" w:rsidP="005B3FF0" w:rsidRDefault="008957BA" w14:paraId="68C25D63" w14:textId="03857F67">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A7726E">
        <w:rPr>
          <w:rFonts w:ascii="Times New Roman" w:hAnsi="Times New Roman" w:cs="Times New Roman"/>
          <w:sz w:val="24"/>
          <w:szCs w:val="24"/>
        </w:rPr>
        <w:t xml:space="preserve">ES līmenī jāmeklē koordinēti risinājumi, lai ES reģistrēti uzņēmumi </w:t>
      </w:r>
      <w:r w:rsidRPr="00131F0E">
        <w:rPr>
          <w:rFonts w:ascii="Times New Roman" w:hAnsi="Times New Roman" w:cs="Times New Roman"/>
          <w:color w:val="000000"/>
          <w:sz w:val="24"/>
          <w:szCs w:val="24"/>
        </w:rPr>
        <w:t>pārtrauktu ES sankciju apiešanu, tādejādi nodrošinot ES līmenī atbilstošu sankciju risku pārvaldību. Tas attiecināms arī uz ES finanšu sektoru un tā Krievijas struktūrvienībām</w:t>
      </w:r>
    </w:p>
    <w:p w:rsidRPr="00594463" w:rsidR="00B933E2" w:rsidP="005B3FF0" w:rsidRDefault="008957BA" w14:paraId="1065727C" w14:textId="3620BCDF">
      <w:pPr>
        <w:pStyle w:val="NoSpacing"/>
        <w:numPr>
          <w:ilvl w:val="0"/>
          <w:numId w:val="39"/>
        </w:numPr>
        <w:spacing w:before="120" w:after="120"/>
        <w:jc w:val="both"/>
        <w:rPr>
          <w:rFonts w:ascii="Times New Roman" w:hAnsi="Times New Roman"/>
          <w:bCs/>
          <w:sz w:val="24"/>
          <w:szCs w:val="24"/>
        </w:rPr>
      </w:pPr>
      <w:bookmarkStart w:id="3" w:name="_Hlk207019731"/>
      <w:r>
        <w:rPr>
          <w:rFonts w:ascii="Times New Roman" w:hAnsi="Times New Roman"/>
          <w:bCs/>
          <w:sz w:val="24"/>
          <w:szCs w:val="24"/>
        </w:rPr>
        <w:t>Jānodrošina</w:t>
      </w:r>
      <w:r w:rsidRPr="00594463" w:rsidR="00B933E2">
        <w:rPr>
          <w:rFonts w:ascii="Times New Roman" w:hAnsi="Times New Roman"/>
          <w:bCs/>
          <w:sz w:val="24"/>
          <w:szCs w:val="24"/>
        </w:rPr>
        <w:t xml:space="preserve"> juridisks risinājums Krievijas Centrālās Bankas iesaldēto aktīvu izmantošanai Ukrainas vajadzībām.</w:t>
      </w:r>
      <w:bookmarkEnd w:id="3"/>
    </w:p>
    <w:p w:rsidRPr="00594463" w:rsidR="00B933E2" w:rsidP="00461E6E" w:rsidRDefault="00B933E2" w14:paraId="1EE5CAE0" w14:textId="0BED9CA6">
      <w:pPr>
        <w:pStyle w:val="ListParagraph"/>
        <w:numPr>
          <w:ilvl w:val="0"/>
          <w:numId w:val="39"/>
        </w:numPr>
        <w:spacing w:before="120" w:after="120" w:line="240" w:lineRule="auto"/>
        <w:contextualSpacing w:val="false"/>
        <w:jc w:val="both"/>
        <w:rPr>
          <w:rFonts w:ascii="Times New Roman" w:hAnsi="Times New Roman" w:cs="Times New Roman" w:eastAsiaTheme="minorHAnsi"/>
          <w:bCs/>
          <w:sz w:val="24"/>
          <w:szCs w:val="24"/>
        </w:rPr>
      </w:pPr>
      <w:r w:rsidRPr="00594463">
        <w:rPr>
          <w:rFonts w:ascii="Times New Roman" w:hAnsi="Times New Roman" w:cs="Times New Roman"/>
          <w:bCs/>
          <w:sz w:val="24"/>
          <w:szCs w:val="24"/>
        </w:rPr>
        <w:t xml:space="preserve">Jādemonstrē nemainīgs atbalsts Ukrainas eirointegrācijai, kas ir </w:t>
      </w:r>
      <w:r w:rsidRPr="00594463">
        <w:rPr>
          <w:rFonts w:ascii="Times New Roman" w:hAnsi="Times New Roman" w:cs="Times New Roman" w:eastAsiaTheme="minorHAnsi"/>
          <w:bCs/>
          <w:sz w:val="24"/>
          <w:szCs w:val="24"/>
        </w:rPr>
        <w:t>būtiska daļa no ES drošības garantijām Ukrainai.</w:t>
      </w:r>
    </w:p>
    <w:p w:rsidRPr="00594463" w:rsidR="00461E6E" w:rsidP="00461E6E" w:rsidRDefault="00461E6E" w14:paraId="359F34EB" w14:textId="6BDB43C0">
      <w:pPr>
        <w:pStyle w:val="ListParagraph"/>
        <w:numPr>
          <w:ilvl w:val="0"/>
          <w:numId w:val="39"/>
        </w:numPr>
        <w:spacing w:before="120" w:after="120" w:line="240" w:lineRule="auto"/>
        <w:ind w:left="714" w:hanging="357"/>
        <w:contextualSpacing w:val="false"/>
        <w:jc w:val="both"/>
        <w:rPr>
          <w:rFonts w:ascii="Times New Roman" w:hAnsi="Times New Roman" w:cs="Times New Roman" w:eastAsiaTheme="minorHAnsi"/>
          <w:bCs/>
          <w:sz w:val="24"/>
          <w:szCs w:val="24"/>
        </w:rPr>
      </w:pPr>
      <w:r w:rsidRPr="00594463">
        <w:rPr>
          <w:rFonts w:ascii="Times New Roman" w:hAnsi="Times New Roman" w:cs="Times New Roman" w:eastAsiaTheme="minorHAnsi"/>
          <w:bCs/>
          <w:sz w:val="24"/>
          <w:szCs w:val="24"/>
        </w:rPr>
        <w:t>Jāturpina veikt daudzpusējas diplomātijas pasākumi, lai stiprinātu Īpašā tribunāla efektivitāti, jo arī tas veido Ukrainas un ES ilgtermiņa drošību.</w:t>
      </w:r>
    </w:p>
    <w:p w:rsidR="00461610" w:rsidP="005B3FF0" w:rsidRDefault="00461610" w14:paraId="1D172B5F" w14:textId="77777777">
      <w:pPr>
        <w:spacing w:before="120" w:after="120"/>
        <w:jc w:val="both"/>
        <w:rPr>
          <w:b/>
          <w:bCs/>
        </w:rPr>
      </w:pPr>
      <w:bookmarkStart w:id="4" w:name="_Hlk156913990"/>
    </w:p>
    <w:p w:rsidRPr="00594463" w:rsidR="00364C58" w:rsidP="005B3FF0" w:rsidRDefault="000F112E" w14:paraId="76813D42" w14:textId="2549D904">
      <w:pPr>
        <w:spacing w:before="120" w:after="120"/>
        <w:jc w:val="both"/>
        <w:rPr>
          <w:b/>
          <w:bCs/>
        </w:rPr>
      </w:pPr>
      <w:r w:rsidRPr="00594463">
        <w:rPr>
          <w:b/>
          <w:bCs/>
        </w:rPr>
        <w:t>Drošība un aizsardzība</w:t>
      </w:r>
    </w:p>
    <w:p w:rsidRPr="00594463" w:rsidR="00A77920" w:rsidP="005B3FF0" w:rsidRDefault="00A77920" w14:paraId="68BDD50A" w14:textId="3708774E">
      <w:pPr>
        <w:spacing w:before="120" w:after="120"/>
        <w:jc w:val="both"/>
        <w:rPr>
          <w:bCs/>
        </w:rPr>
      </w:pPr>
      <w:r w:rsidRPr="00594463">
        <w:rPr>
          <w:bCs/>
        </w:rPr>
        <w:t xml:space="preserve">Drošības situāciju Eiroatlantiskā telpā, jo īpaši Austrumu flangā, būtiski ietekmē Krievijas agresija pret Ukrainu. Šāds apdraudējuma līmenis saglabāsies arī ilgtermiņā, kas saistīts gan ar </w:t>
      </w:r>
      <w:r w:rsidRPr="00594463" w:rsidR="004351BA">
        <w:rPr>
          <w:bCs/>
        </w:rPr>
        <w:t xml:space="preserve">Krievijas </w:t>
      </w:r>
      <w:r w:rsidRPr="00594463">
        <w:rPr>
          <w:bCs/>
        </w:rPr>
        <w:t>ekonomikas teju pilnīgu pārveidi par kara ekonomiku un arvien pieaugošajiem resursiem bruņotajiem spēkiem, gan agresīvo retoriku.</w:t>
      </w:r>
    </w:p>
    <w:p w:rsidRPr="00594463" w:rsidR="00A77920" w:rsidP="005B3FF0" w:rsidRDefault="006217D4" w14:paraId="55A2C5C9" w14:textId="6D82B095">
      <w:pPr>
        <w:spacing w:before="120" w:after="120"/>
        <w:jc w:val="both"/>
        <w:rPr>
          <w:bCs/>
        </w:rPr>
      </w:pPr>
      <w:r w:rsidRPr="00594463">
        <w:rPr>
          <w:bCs/>
        </w:rPr>
        <w:t>N</w:t>
      </w:r>
      <w:r w:rsidRPr="00594463" w:rsidR="00A77920">
        <w:rPr>
          <w:bCs/>
        </w:rPr>
        <w:t>esenie incidenti</w:t>
      </w:r>
      <w:r w:rsidRPr="00594463" w:rsidR="00A77920">
        <w:rPr>
          <w:rStyle w:val="FootnoteReference"/>
          <w:bCs/>
        </w:rPr>
        <w:footnoteReference w:id="5"/>
      </w:r>
      <w:r w:rsidRPr="00594463" w:rsidR="00A77920">
        <w:rPr>
          <w:bCs/>
        </w:rPr>
        <w:t xml:space="preserve"> apliecina Krievijas gatavību turpināt </w:t>
      </w:r>
      <w:r w:rsidRPr="00594463" w:rsidR="00532B49">
        <w:rPr>
          <w:bCs/>
        </w:rPr>
        <w:t xml:space="preserve">arī </w:t>
      </w:r>
      <w:r w:rsidRPr="00594463" w:rsidR="00A77920">
        <w:rPr>
          <w:bCs/>
        </w:rPr>
        <w:t xml:space="preserve">tās hibrīdo apdraudējumu pret ES un NATO dalībvalstīm, pastiprinot tās centienus ietekmēt gan demokrātiskos procesus, gan </w:t>
      </w:r>
      <w:r w:rsidRPr="00594463" w:rsidR="004351BA">
        <w:rPr>
          <w:bCs/>
        </w:rPr>
        <w:t xml:space="preserve">samazināt </w:t>
      </w:r>
      <w:r w:rsidRPr="00594463" w:rsidR="00A77920">
        <w:rPr>
          <w:bCs/>
        </w:rPr>
        <w:t xml:space="preserve">sabiedrības uzticību pastāvošajām valdībām un valsts struktūrām. </w:t>
      </w:r>
      <w:r w:rsidRPr="00594463">
        <w:rPr>
          <w:bCs/>
        </w:rPr>
        <w:t>ES un NATO i</w:t>
      </w:r>
      <w:r w:rsidRPr="00594463" w:rsidR="00A77920">
        <w:rPr>
          <w:bCs/>
        </w:rPr>
        <w:t>zlēmīgā un skaidrā rīcība šo starpgadījumu kontekstā ir pierādījums ES un NATO spējai pretoties, atturēt un novērst dažād</w:t>
      </w:r>
      <w:r w:rsidRPr="00594463">
        <w:rPr>
          <w:bCs/>
        </w:rPr>
        <w:t>us</w:t>
      </w:r>
      <w:r w:rsidRPr="00594463" w:rsidR="00A77920">
        <w:rPr>
          <w:bCs/>
        </w:rPr>
        <w:t xml:space="preserve"> hibrīdos apdraudējumus.</w:t>
      </w:r>
    </w:p>
    <w:p w:rsidRPr="00594463" w:rsidR="00A77920" w:rsidP="005B3FF0" w:rsidRDefault="00A77920" w14:paraId="608A9219" w14:textId="72D7B5D2">
      <w:pPr>
        <w:spacing w:before="120" w:after="120"/>
        <w:jc w:val="both"/>
      </w:pPr>
      <w:r w:rsidRPr="00594463">
        <w:t>Atbildot uz drošības izaicinājumiem, EK š.</w:t>
      </w:r>
      <w:r w:rsidRPr="00594463" w:rsidR="003B5210">
        <w:t> </w:t>
      </w:r>
      <w:r w:rsidRPr="00594463">
        <w:t xml:space="preserve">g. martā publicēja Balto grāmatu par aizsardzības gatavības sasniegšanu turpmākajos </w:t>
      </w:r>
      <w:r w:rsidRPr="00594463" w:rsidR="003E01A9">
        <w:t xml:space="preserve">piecos </w:t>
      </w:r>
      <w:r w:rsidRPr="00594463">
        <w:t xml:space="preserve">gados un norādīja uz investīciju vajadzībām, lai novērstu būtiskus spēju iztrūkumus un veidotu spēcīgu aizsardzības industriju. Latvijas prioritātes ir austrumu robežas stiprināšana, militārā mobilitāte un Latvijas aizsardzības industrijas attīstība. </w:t>
      </w:r>
    </w:p>
    <w:p w:rsidRPr="00594463" w:rsidR="00A77920" w:rsidP="005B3FF0" w:rsidRDefault="00A77920" w14:paraId="3F13C05E" w14:textId="50C0CAB9">
      <w:pPr>
        <w:spacing w:before="120" w:after="120"/>
        <w:jc w:val="both"/>
        <w:rPr>
          <w:u w:val="single"/>
        </w:rPr>
      </w:pPr>
      <w:r w:rsidRPr="00594463">
        <w:rPr>
          <w:color w:val="212529"/>
          <w:shd w:val="clear" w:color="auto" w:fill="FFFFFF"/>
        </w:rPr>
        <w:t>EK š.</w:t>
      </w:r>
      <w:r w:rsidRPr="00594463" w:rsidR="003B5210">
        <w:rPr>
          <w:color w:val="212529"/>
          <w:shd w:val="clear" w:color="auto" w:fill="FFFFFF"/>
        </w:rPr>
        <w:t> </w:t>
      </w:r>
      <w:r w:rsidRPr="00594463">
        <w:rPr>
          <w:color w:val="212529"/>
          <w:shd w:val="clear" w:color="auto" w:fill="FFFFFF"/>
        </w:rPr>
        <w:t xml:space="preserve">g. martā publicētais Gatavības 2030 </w:t>
      </w:r>
      <w:r w:rsidRPr="00594463">
        <w:rPr>
          <w:i/>
          <w:iCs/>
          <w:color w:val="212529"/>
          <w:shd w:val="clear" w:color="auto" w:fill="FFFFFF"/>
        </w:rPr>
        <w:t>(Readiness 2030</w:t>
      </w:r>
      <w:r w:rsidRPr="00594463">
        <w:rPr>
          <w:color w:val="212529"/>
          <w:shd w:val="clear" w:color="auto" w:fill="FFFFFF"/>
        </w:rPr>
        <w:t xml:space="preserve"> / </w:t>
      </w:r>
      <w:r w:rsidRPr="00594463">
        <w:rPr>
          <w:i/>
          <w:iCs/>
          <w:color w:val="212529"/>
          <w:shd w:val="clear" w:color="auto" w:fill="FFFFFF"/>
        </w:rPr>
        <w:t>R</w:t>
      </w:r>
      <w:r w:rsidRPr="00594463">
        <w:rPr>
          <w:i/>
          <w:iCs/>
          <w:color w:val="000000"/>
          <w:shd w:val="clear" w:color="auto" w:fill="FFFFFF"/>
        </w:rPr>
        <w:t>e</w:t>
      </w:r>
      <w:r w:rsidRPr="00594463">
        <w:rPr>
          <w:i/>
          <w:iCs/>
          <w:color w:val="212529"/>
          <w:shd w:val="clear" w:color="auto" w:fill="FFFFFF"/>
        </w:rPr>
        <w:t>ARM Europe</w:t>
      </w:r>
      <w:r w:rsidRPr="00594463">
        <w:rPr>
          <w:color w:val="212529"/>
          <w:shd w:val="clear" w:color="auto" w:fill="FFFFFF"/>
        </w:rPr>
        <w:t xml:space="preserve">) plāns </w:t>
      </w:r>
      <w:r w:rsidRPr="00594463">
        <w:rPr>
          <w:color w:val="000000"/>
        </w:rPr>
        <w:t xml:space="preserve">paredz </w:t>
      </w:r>
      <w:r w:rsidRPr="00594463">
        <w:t xml:space="preserve">mobilizēt resursus līdz 800 </w:t>
      </w:r>
      <w:r w:rsidRPr="00594463" w:rsidR="003B5210">
        <w:t xml:space="preserve">mljrd. </w:t>
      </w:r>
      <w:r w:rsidRPr="00594463">
        <w:t>EUR. EK</w:t>
      </w:r>
      <w:r w:rsidRPr="00594463" w:rsidR="009C28EF">
        <w:t xml:space="preserve">, pēc </w:t>
      </w:r>
      <w:r w:rsidRPr="00594463" w:rsidR="00E30998">
        <w:t>ES līderu diskusijas neformālajā Eiropadomē,</w:t>
      </w:r>
      <w:r w:rsidRPr="00594463">
        <w:t xml:space="preserve"> </w:t>
      </w:r>
      <w:r w:rsidRPr="00594463" w:rsidR="00975741">
        <w:t xml:space="preserve">plāno </w:t>
      </w:r>
      <w:r w:rsidRPr="00594463">
        <w:t>prezentē</w:t>
      </w:r>
      <w:r w:rsidRPr="00594463" w:rsidR="00532B49">
        <w:t>t</w:t>
      </w:r>
      <w:r w:rsidRPr="00594463">
        <w:t xml:space="preserve"> Gatavības 2030 ceļa</w:t>
      </w:r>
      <w:r w:rsidRPr="00594463" w:rsidR="003B5210">
        <w:t xml:space="preserve"> </w:t>
      </w:r>
      <w:r w:rsidRPr="00594463">
        <w:t>karti.</w:t>
      </w:r>
    </w:p>
    <w:p w:rsidRPr="00594463" w:rsidR="00A77920" w:rsidP="005B3FF0" w:rsidRDefault="00A77920" w14:paraId="73C7B694" w14:textId="429ABBDA">
      <w:pPr>
        <w:spacing w:before="120" w:after="120"/>
        <w:jc w:val="both"/>
        <w:rPr>
          <w:rFonts w:eastAsia="Calibri"/>
        </w:rPr>
      </w:pPr>
      <w:r w:rsidRPr="00594463">
        <w:rPr>
          <w:rFonts w:eastAsia="Calibri"/>
        </w:rPr>
        <w:t>Š</w:t>
      </w:r>
      <w:r w:rsidRPr="00594463" w:rsidR="00E30998">
        <w:rPr>
          <w:rFonts w:eastAsia="Calibri"/>
        </w:rPr>
        <w:t>ogad tika i</w:t>
      </w:r>
      <w:r w:rsidRPr="00594463">
        <w:rPr>
          <w:rFonts w:eastAsia="Calibri"/>
        </w:rPr>
        <w:t>zveidot</w:t>
      </w:r>
      <w:r w:rsidRPr="00594463" w:rsidR="00E30998">
        <w:rPr>
          <w:rFonts w:eastAsia="Calibri"/>
        </w:rPr>
        <w:t>s</w:t>
      </w:r>
      <w:r w:rsidRPr="00594463">
        <w:rPr>
          <w:rFonts w:eastAsia="Calibri"/>
        </w:rPr>
        <w:t xml:space="preserve"> jaun</w:t>
      </w:r>
      <w:r w:rsidRPr="00594463" w:rsidR="00E30998">
        <w:rPr>
          <w:rFonts w:eastAsia="Calibri"/>
        </w:rPr>
        <w:t>s ES</w:t>
      </w:r>
      <w:r w:rsidRPr="00594463">
        <w:rPr>
          <w:rFonts w:eastAsia="Calibri"/>
        </w:rPr>
        <w:t xml:space="preserve"> finanšu instrument</w:t>
      </w:r>
      <w:r w:rsidRPr="00594463" w:rsidR="00E30998">
        <w:rPr>
          <w:rFonts w:eastAsia="Calibri"/>
        </w:rPr>
        <w:t>s</w:t>
      </w:r>
      <w:r w:rsidRPr="00594463">
        <w:rPr>
          <w:rFonts w:eastAsia="Calibri"/>
        </w:rPr>
        <w:t xml:space="preserve"> SAFE (</w:t>
      </w:r>
      <w:r w:rsidRPr="00594463">
        <w:rPr>
          <w:rFonts w:eastAsia="Calibri"/>
          <w:i/>
          <w:iCs/>
        </w:rPr>
        <w:t>Security Action For Europe</w:t>
      </w:r>
      <w:r w:rsidRPr="00594463">
        <w:rPr>
          <w:rFonts w:eastAsia="Calibri"/>
        </w:rPr>
        <w:t xml:space="preserve">) 150 mljrd. EUR apmērā, lai piešķirtu aizdevumus dalībvalstīm ieguldījumiem ES aizsardzības spēju palielināšanai. EK ir pieņēmusi lēmumu par provizorisku finansējuma </w:t>
      </w:r>
      <w:r w:rsidR="00020671">
        <w:rPr>
          <w:rFonts w:eastAsia="Calibri"/>
        </w:rPr>
        <w:t>pieejamību</w:t>
      </w:r>
      <w:r w:rsidRPr="00594463" w:rsidR="00020671">
        <w:rPr>
          <w:rFonts w:eastAsia="Calibri"/>
        </w:rPr>
        <w:t xml:space="preserve"> </w:t>
      </w:r>
      <w:r w:rsidRPr="00594463">
        <w:rPr>
          <w:rFonts w:eastAsia="Calibri"/>
        </w:rPr>
        <w:t xml:space="preserve">Latvijai 5,68 </w:t>
      </w:r>
      <w:r w:rsidRPr="00594463" w:rsidR="003B5210">
        <w:rPr>
          <w:rFonts w:eastAsia="Calibri"/>
        </w:rPr>
        <w:t xml:space="preserve">mljrd. </w:t>
      </w:r>
      <w:r w:rsidRPr="00594463">
        <w:rPr>
          <w:rFonts w:eastAsia="Calibri"/>
        </w:rPr>
        <w:t xml:space="preserve">EUR apmērā. </w:t>
      </w:r>
      <w:r w:rsidRPr="00594463" w:rsidR="00E30998">
        <w:rPr>
          <w:rFonts w:eastAsia="Calibri"/>
        </w:rPr>
        <w:t>L</w:t>
      </w:r>
      <w:r w:rsidRPr="00594463">
        <w:rPr>
          <w:rFonts w:eastAsia="Calibri"/>
        </w:rPr>
        <w:t xml:space="preserve">īdz novembra beigām </w:t>
      </w:r>
      <w:r w:rsidRPr="00594463" w:rsidR="00E30998">
        <w:rPr>
          <w:rFonts w:eastAsia="Calibri"/>
        </w:rPr>
        <w:t>Latvijai un citām dalībvalstīm jā</w:t>
      </w:r>
      <w:r w:rsidRPr="00594463">
        <w:rPr>
          <w:rFonts w:eastAsia="Calibri"/>
        </w:rPr>
        <w:t>iesnie</w:t>
      </w:r>
      <w:r w:rsidRPr="00594463" w:rsidR="00E30998">
        <w:rPr>
          <w:rFonts w:eastAsia="Calibri"/>
        </w:rPr>
        <w:t>dz</w:t>
      </w:r>
      <w:r w:rsidRPr="00594463">
        <w:rPr>
          <w:rFonts w:eastAsia="Calibri"/>
        </w:rPr>
        <w:t xml:space="preserve"> detalizētus spēju attīstības projektus ar investīciju plāniem.</w:t>
      </w:r>
      <w:r w:rsidR="00020671">
        <w:rPr>
          <w:rFonts w:eastAsia="Calibri"/>
        </w:rPr>
        <w:t xml:space="preserve"> </w:t>
      </w:r>
      <w:r w:rsidRPr="007A0CFF" w:rsidR="00020671">
        <w:rPr>
          <w:rFonts w:eastAsia="Calibri"/>
        </w:rPr>
        <w:t>Iepirkumi, ko veic viena dalībvalsts</w:t>
      </w:r>
      <w:r w:rsidRPr="00DC1FFE" w:rsidR="00020671">
        <w:rPr>
          <w:rFonts w:eastAsia="Calibri"/>
        </w:rPr>
        <w:t>, var saņemt </w:t>
      </w:r>
      <w:r w:rsidRPr="007A0CFF" w:rsidR="00020671">
        <w:rPr>
          <w:rFonts w:eastAsia="Calibri"/>
        </w:rPr>
        <w:t>finansiālu atbalstu</w:t>
      </w:r>
      <w:r w:rsidRPr="00DC1FFE" w:rsidR="00020671">
        <w:rPr>
          <w:rFonts w:eastAsia="Calibri"/>
        </w:rPr>
        <w:t>, </w:t>
      </w:r>
      <w:r w:rsidRPr="007A0CFF" w:rsidR="00020671">
        <w:rPr>
          <w:rFonts w:eastAsia="Calibri"/>
        </w:rPr>
        <w:t>ja līgums ir parakstīts ne vēlāk kā 12 mēnešus pēc tam</w:t>
      </w:r>
      <w:r w:rsidRPr="00DC1FFE" w:rsidR="00020671">
        <w:rPr>
          <w:rFonts w:eastAsia="Calibri"/>
        </w:rPr>
        <w:t xml:space="preserve">, kad </w:t>
      </w:r>
      <w:r w:rsidR="00020671">
        <w:rPr>
          <w:rFonts w:eastAsia="Calibri"/>
        </w:rPr>
        <w:t xml:space="preserve">SAFE regula </w:t>
      </w:r>
      <w:r w:rsidRPr="00DC1FFE" w:rsidR="00020671">
        <w:rPr>
          <w:rFonts w:eastAsia="Calibri"/>
        </w:rPr>
        <w:t>stājas spēkā</w:t>
      </w:r>
      <w:r w:rsidR="00020671">
        <w:rPr>
          <w:rFonts w:eastAsia="Calibri"/>
        </w:rPr>
        <w:t>, t. i.</w:t>
      </w:r>
      <w:r w:rsidRPr="007A0CFF" w:rsidR="00020671">
        <w:rPr>
          <w:rFonts w:eastAsia="Calibri"/>
        </w:rPr>
        <w:t xml:space="preserve"> </w:t>
      </w:r>
      <w:r w:rsidRPr="00594463" w:rsidR="00020671">
        <w:rPr>
          <w:rFonts w:eastAsia="Calibri"/>
        </w:rPr>
        <w:t>līdz 2026. gada maija beigām</w:t>
      </w:r>
      <w:r w:rsidR="00020671">
        <w:rPr>
          <w:rFonts w:eastAsia="Calibri"/>
        </w:rPr>
        <w:t>.</w:t>
      </w:r>
      <w:r w:rsidRPr="00594463">
        <w:rPr>
          <w:rFonts w:eastAsia="Calibri"/>
        </w:rPr>
        <w:t xml:space="preserve"> </w:t>
      </w:r>
      <w:r w:rsidRPr="00594463">
        <w:rPr>
          <w:rFonts w:eastAsia="Calibri"/>
        </w:rPr>
        <w:lastRenderedPageBreak/>
        <w:t xml:space="preserve">Vienlaikus </w:t>
      </w:r>
      <w:r w:rsidR="00020671">
        <w:rPr>
          <w:rFonts w:eastAsia="Calibri"/>
        </w:rPr>
        <w:t xml:space="preserve">individuāliem iepirkumiem arī nepieciešams </w:t>
      </w:r>
      <w:r w:rsidRPr="00594463">
        <w:rPr>
          <w:rFonts w:eastAsia="Calibri"/>
        </w:rPr>
        <w:t>pierādīt, ka aktīvi ir veikti visi vajadzīgie pasākumi, lai attiecinātu līguma priekšrocības uz vismaz vēl vienu dalībvalsti vai partnervalsti</w:t>
      </w:r>
      <w:r w:rsidR="00020671">
        <w:rPr>
          <w:rFonts w:eastAsia="Calibri"/>
        </w:rPr>
        <w:t>, bet tas nav rezultējies panākumā</w:t>
      </w:r>
      <w:r w:rsidRPr="00594463">
        <w:rPr>
          <w:rFonts w:eastAsia="Calibri"/>
        </w:rPr>
        <w:t xml:space="preserve">. </w:t>
      </w:r>
    </w:p>
    <w:p w:rsidRPr="00594463" w:rsidR="00A77920" w:rsidP="005B3FF0" w:rsidRDefault="00E30998" w14:paraId="4FB44333" w14:textId="6102E48A">
      <w:pPr>
        <w:spacing w:before="120" w:after="120"/>
        <w:jc w:val="both"/>
        <w:rPr>
          <w:rFonts w:eastAsia="Calibri"/>
        </w:rPr>
      </w:pPr>
      <w:r w:rsidRPr="00594463">
        <w:rPr>
          <w:rFonts w:eastAsia="Calibri"/>
        </w:rPr>
        <w:t>Turpinās ES valstu sarunas</w:t>
      </w:r>
      <w:r w:rsidRPr="00594463" w:rsidR="005B3FF0">
        <w:rPr>
          <w:rFonts w:eastAsia="Calibri"/>
        </w:rPr>
        <w:t xml:space="preserve"> p</w:t>
      </w:r>
      <w:r w:rsidRPr="00594463">
        <w:rPr>
          <w:rFonts w:eastAsia="Calibri"/>
        </w:rPr>
        <w:t>ar</w:t>
      </w:r>
      <w:r w:rsidRPr="00594463" w:rsidR="00A77920">
        <w:rPr>
          <w:rFonts w:eastAsia="Calibri"/>
        </w:rPr>
        <w:t xml:space="preserve"> Eiropas Aizsardzības Industrijas Programm</w:t>
      </w:r>
      <w:r w:rsidRPr="00594463">
        <w:rPr>
          <w:rFonts w:eastAsia="Calibri"/>
        </w:rPr>
        <w:t>u</w:t>
      </w:r>
      <w:r w:rsidRPr="00594463" w:rsidR="00A77920">
        <w:rPr>
          <w:rFonts w:eastAsia="Calibri"/>
        </w:rPr>
        <w:t xml:space="preserve"> (</w:t>
      </w:r>
      <w:r w:rsidRPr="00594463" w:rsidR="00A77920">
        <w:rPr>
          <w:rFonts w:eastAsia="Calibri"/>
          <w:i/>
          <w:iCs/>
        </w:rPr>
        <w:t>European Defence Industry Programme</w:t>
      </w:r>
      <w:r w:rsidRPr="00594463" w:rsidR="005B3FF0">
        <w:rPr>
          <w:rFonts w:eastAsia="Calibri"/>
          <w:i/>
          <w:iCs/>
        </w:rPr>
        <w:t xml:space="preserve"> – EDIP</w:t>
      </w:r>
      <w:r w:rsidRPr="00594463" w:rsidR="00A77920">
        <w:rPr>
          <w:rFonts w:eastAsia="Calibri"/>
        </w:rPr>
        <w:t>)</w:t>
      </w:r>
      <w:r w:rsidRPr="00594463" w:rsidR="0016722E">
        <w:rPr>
          <w:rFonts w:eastAsia="Calibri"/>
        </w:rPr>
        <w:t>.</w:t>
      </w:r>
      <w:r w:rsidRPr="00594463" w:rsidR="005B3FF0">
        <w:rPr>
          <w:rFonts w:eastAsia="Calibri"/>
        </w:rPr>
        <w:t xml:space="preserve"> </w:t>
      </w:r>
      <w:r w:rsidRPr="00594463" w:rsidR="0016722E">
        <w:rPr>
          <w:rFonts w:eastAsia="Calibri"/>
        </w:rPr>
        <w:t>EDIP dotu iespēju</w:t>
      </w:r>
      <w:r w:rsidRPr="00594463" w:rsidR="00A77920">
        <w:rPr>
          <w:rFonts w:eastAsia="Calibri"/>
        </w:rPr>
        <w:t xml:space="preserve"> īstenot Eiropas kopējo interešu aizsardzības projektus ar sākotnējo budžetu 2025.-2027. gadam 1,5 </w:t>
      </w:r>
      <w:r w:rsidRPr="00594463" w:rsidR="003B5210">
        <w:rPr>
          <w:rFonts w:eastAsia="Calibri"/>
        </w:rPr>
        <w:t xml:space="preserve">mljrd. </w:t>
      </w:r>
      <w:r w:rsidRPr="00594463" w:rsidR="00A77920">
        <w:rPr>
          <w:rFonts w:eastAsia="Calibri"/>
        </w:rPr>
        <w:t xml:space="preserve">EUR apmērā. EDIP noteiks, ka 65% iepirkumu par ES aizdevumu naudu tiks izlietoti </w:t>
      </w:r>
      <w:r w:rsidRPr="00594463">
        <w:rPr>
          <w:rFonts w:eastAsia="Calibri"/>
        </w:rPr>
        <w:t xml:space="preserve">ES </w:t>
      </w:r>
      <w:r w:rsidRPr="00594463" w:rsidR="00A77920">
        <w:rPr>
          <w:rFonts w:eastAsia="Calibri"/>
        </w:rPr>
        <w:t>iekšējā tirgū. Būtiski, ka EDIP instrumenta finansējumu drīkstēs izmantot infrastruktūras izbūvei, tostarp robežas stiprināšanai.</w:t>
      </w:r>
    </w:p>
    <w:p w:rsidRPr="00594463" w:rsidR="00A77920" w:rsidP="005B3FF0" w:rsidRDefault="00A77920" w14:paraId="5182EA0C" w14:textId="0FB1BEC0">
      <w:pPr>
        <w:spacing w:before="120" w:after="120"/>
        <w:jc w:val="both"/>
        <w:rPr>
          <w:rFonts w:eastAsia="Calibri"/>
        </w:rPr>
      </w:pPr>
      <w:r w:rsidRPr="00594463">
        <w:rPr>
          <w:rFonts w:eastAsia="Calibri"/>
        </w:rPr>
        <w:t>Š.</w:t>
      </w:r>
      <w:r w:rsidRPr="00594463" w:rsidR="005B3FF0">
        <w:rPr>
          <w:rFonts w:eastAsia="Calibri"/>
        </w:rPr>
        <w:t> </w:t>
      </w:r>
      <w:r w:rsidRPr="00594463">
        <w:rPr>
          <w:rFonts w:eastAsia="Calibri"/>
        </w:rPr>
        <w:t>g. 17. jūnijā EK prezentēja Aizsardzības omnibusa pakotni (t.</w:t>
      </w:r>
      <w:r w:rsidRPr="00594463" w:rsidR="005B3FF0">
        <w:rPr>
          <w:rFonts w:eastAsia="Calibri"/>
        </w:rPr>
        <w:t> </w:t>
      </w:r>
      <w:r w:rsidRPr="00594463">
        <w:rPr>
          <w:rFonts w:eastAsia="Calibri"/>
        </w:rPr>
        <w:t xml:space="preserve">i. tiesību aktu pakotni), lai mazinātu slogu un palielinātu ES procesu skaidrību aizsardzības un drošības nozarei. Pakotne paredz iepirkumu, transfēru regulējumu pārskatīšanu, kā arī Eiropas Aizsardzības Fonda (EAF) noteikumu un procedūru. </w:t>
      </w:r>
      <w:r w:rsidRPr="00594463" w:rsidR="00E30998">
        <w:rPr>
          <w:rFonts w:eastAsia="Calibri"/>
        </w:rPr>
        <w:t>Pēc dalībvalstu vienošanās, pakotne tiks nodota apstiprināšanai Eiropas</w:t>
      </w:r>
      <w:r w:rsidRPr="00594463">
        <w:rPr>
          <w:rFonts w:eastAsia="Calibri"/>
        </w:rPr>
        <w:t xml:space="preserve"> Parlament</w:t>
      </w:r>
      <w:r w:rsidRPr="00594463" w:rsidR="00E30998">
        <w:rPr>
          <w:rFonts w:eastAsia="Calibri"/>
        </w:rPr>
        <w:t>ā</w:t>
      </w:r>
      <w:r w:rsidRPr="00594463">
        <w:rPr>
          <w:rFonts w:eastAsia="Calibri"/>
        </w:rPr>
        <w:t xml:space="preserve">. </w:t>
      </w:r>
    </w:p>
    <w:p w:rsidRPr="00594463" w:rsidR="00A72C66" w:rsidP="00354536" w:rsidRDefault="00354536" w14:paraId="550745B9" w14:textId="5055D47F">
      <w:pPr>
        <w:jc w:val="both"/>
      </w:pPr>
      <w:r w:rsidRPr="00594463">
        <w:t>Reaģējot uz pieaugošo ģeopolitisko nenoteiktību un ievērojot pastāvošos izaicinājums</w:t>
      </w:r>
      <w:r w:rsidRPr="00594463" w:rsidR="0069316C">
        <w:t>,</w:t>
      </w:r>
      <w:r w:rsidRPr="00594463">
        <w:t xml:space="preserve"> š. g. 26. martā EK nāca klajā ar Kopīgo paziņojumu par Eiropas gatavības savienības stratēģiju (turpmāk – Stratēģija). Stratēģija aptver </w:t>
      </w:r>
      <w:r w:rsidRPr="00594463" w:rsidR="00AD14B8">
        <w:t xml:space="preserve">septiņus </w:t>
      </w:r>
      <w:r w:rsidRPr="00594463">
        <w:t xml:space="preserve">tematiskos blokus un paredz 30 darbību ieviešanu līdz 2027. gadam. Tās izstrādē izmantota visaptveroša pieeja — </w:t>
      </w:r>
      <w:r w:rsidRPr="00594463" w:rsidR="00C51D7F">
        <w:t>rodot atbildes rīcību uz visu identificēto apdraudējumu veidiem</w:t>
      </w:r>
      <w:r w:rsidRPr="00594463">
        <w:t xml:space="preserve">, iesaistot visus pārvaldības līmeņus (vietējo, reģionālo, valsts un ES), kā arī stiprinot visas sabiedrības līdzdalību. Sagatavotībai, noturībai un krīžu pārvaldībai ir horizontāla dimensija, kas </w:t>
      </w:r>
      <w:r w:rsidRPr="00594463" w:rsidR="00C51D7F">
        <w:t>iekļaujama t.</w:t>
      </w:r>
      <w:r w:rsidRPr="00594463" w:rsidR="00532B49">
        <w:t> </w:t>
      </w:r>
      <w:r w:rsidRPr="00594463" w:rsidR="00C51D7F">
        <w:t xml:space="preserve">s. </w:t>
      </w:r>
      <w:r w:rsidRPr="00594463">
        <w:t>“gatavības pēc dizaina kultūras” katrā jaunā likumdošanas iniciatīvā. EK turpmākie soļi saistīti ar krājumu pārvaldības mehānismu un prognozēšanas un plānošanas spēju attīstīšanu, kā arī sabiedrības sagatavotības stiprināšanu. Vienlaikus EK pievērš uzmanību noturības un aizsardzības ilgtermiņa finansēšanai, lai ES noturības darbības nedublētu un papildinātu dalībvalstīm nepieciešamo NATO aizsardzības izdevumu un spēju mērķu</w:t>
      </w:r>
      <w:r w:rsidRPr="00594463" w:rsidR="006C10BF">
        <w:t>s</w:t>
      </w:r>
      <w:r w:rsidRPr="00594463">
        <w:t>. Tiek pievērsta uzmanība</w:t>
      </w:r>
      <w:r w:rsidR="002F4808">
        <w:t>,</w:t>
      </w:r>
      <w:r w:rsidRPr="00594463">
        <w:t xml:space="preserve"> lai ES nepieciešamajām noturības un aizsardzības darbībām būtu stabils finansējums arī pēc 2028.-2034. g</w:t>
      </w:r>
      <w:r w:rsidRPr="00594463" w:rsidR="003731A4">
        <w:t>ada ES daudzgadu finanšu shēmas</w:t>
      </w:r>
      <w:r w:rsidRPr="00594463">
        <w:t xml:space="preserve"> un SAFE darbības laika.</w:t>
      </w:r>
    </w:p>
    <w:p w:rsidRPr="00594463" w:rsidR="00D10A5C" w:rsidP="005B3FF0" w:rsidRDefault="00D10A5C" w14:paraId="6958E4FE" w14:textId="07A415C7">
      <w:pPr>
        <w:spacing w:before="120" w:after="120"/>
        <w:jc w:val="both"/>
        <w:rPr>
          <w:bCs/>
          <w:u w:val="single"/>
        </w:rPr>
      </w:pPr>
      <w:r w:rsidRPr="00594463">
        <w:rPr>
          <w:bCs/>
          <w:i/>
          <w:iCs/>
          <w:u w:val="single"/>
        </w:rPr>
        <w:t>Ekonomiskā</w:t>
      </w:r>
      <w:r w:rsidRPr="00594463">
        <w:rPr>
          <w:bCs/>
          <w:u w:val="single"/>
        </w:rPr>
        <w:t xml:space="preserve"> </w:t>
      </w:r>
      <w:r w:rsidRPr="00594463">
        <w:rPr>
          <w:bCs/>
          <w:i/>
          <w:iCs/>
          <w:u w:val="single"/>
        </w:rPr>
        <w:t>drošība</w:t>
      </w:r>
    </w:p>
    <w:p w:rsidRPr="00594463" w:rsidR="00FC7F6F" w:rsidP="005B3FF0" w:rsidRDefault="00FC7F6F" w14:paraId="6AEE14F8" w14:textId="3D480193">
      <w:pPr>
        <w:spacing w:before="120" w:after="120"/>
        <w:jc w:val="both"/>
        <w:rPr>
          <w:bCs/>
        </w:rPr>
      </w:pPr>
      <w:r w:rsidRPr="00594463">
        <w:rPr>
          <w:bCs/>
        </w:rPr>
        <w:t>Ekonomikas attīstības tendences un pieaugošā ģeopolitiskā spriedze kombinācijā ar nepieredzēti ātru tehnoloģiju attīstību liek rīkoties izlēmīgi, lai nodrošinātu ekonomisko noturību un veicinātu izaugsmi.</w:t>
      </w:r>
      <w:r w:rsidRPr="00594463" w:rsidR="00D10A5C">
        <w:rPr>
          <w:bCs/>
        </w:rPr>
        <w:t xml:space="preserve"> </w:t>
      </w:r>
      <w:r w:rsidRPr="00594463">
        <w:rPr>
          <w:bCs/>
        </w:rPr>
        <w:t>Kopš Eiropas Ekonomiskās drošības stratēģijas publicēšanas 2023.</w:t>
      </w:r>
      <w:r w:rsidRPr="00594463" w:rsidR="00D10A5C">
        <w:rPr>
          <w:bCs/>
        </w:rPr>
        <w:t> </w:t>
      </w:r>
      <w:r w:rsidRPr="00594463">
        <w:rPr>
          <w:bCs/>
        </w:rPr>
        <w:t xml:space="preserve">gada jūnijā </w:t>
      </w:r>
      <w:r w:rsidRPr="00594463" w:rsidR="00A72C66">
        <w:rPr>
          <w:bCs/>
        </w:rPr>
        <w:t>EK</w:t>
      </w:r>
      <w:r w:rsidRPr="00594463">
        <w:rPr>
          <w:bCs/>
        </w:rPr>
        <w:t xml:space="preserve"> kopā ar dalībvalstīm strādā dažādās jomās, iedzīvinot stratēģijā izvirzītos mērķus: eksporta kont</w:t>
      </w:r>
      <w:r w:rsidR="002F4808">
        <w:rPr>
          <w:bCs/>
        </w:rPr>
        <w:t>r</w:t>
      </w:r>
      <w:r w:rsidRPr="00594463">
        <w:rPr>
          <w:bCs/>
        </w:rPr>
        <w:t>oles stiprināšana (</w:t>
      </w:r>
      <w:r w:rsidRPr="00594463" w:rsidR="00AD14B8">
        <w:rPr>
          <w:bCs/>
        </w:rPr>
        <w:t xml:space="preserve">š. g. </w:t>
      </w:r>
      <w:r w:rsidRPr="00594463">
        <w:rPr>
          <w:bCs/>
        </w:rPr>
        <w:t>8.</w:t>
      </w:r>
      <w:r w:rsidRPr="00594463" w:rsidR="00D10A5C">
        <w:rPr>
          <w:bCs/>
        </w:rPr>
        <w:t> </w:t>
      </w:r>
      <w:r w:rsidRPr="00594463">
        <w:rPr>
          <w:bCs/>
        </w:rPr>
        <w:t>septembrī</w:t>
      </w:r>
      <w:r w:rsidRPr="00594463" w:rsidR="00AD14B8">
        <w:rPr>
          <w:bCs/>
        </w:rPr>
        <w:t xml:space="preserve"> EK</w:t>
      </w:r>
      <w:r w:rsidRPr="00594463">
        <w:rPr>
          <w:bCs/>
        </w:rPr>
        <w:t xml:space="preserve"> nāc</w:t>
      </w:r>
      <w:r w:rsidRPr="00594463" w:rsidR="00AD14B8">
        <w:rPr>
          <w:bCs/>
        </w:rPr>
        <w:t>a</w:t>
      </w:r>
      <w:r w:rsidRPr="00594463">
        <w:rPr>
          <w:bCs/>
        </w:rPr>
        <w:t xml:space="preserve"> klajā </w:t>
      </w:r>
      <w:r w:rsidRPr="00594463" w:rsidR="00AD14B8">
        <w:rPr>
          <w:bCs/>
        </w:rPr>
        <w:t xml:space="preserve">ar </w:t>
      </w:r>
      <w:r w:rsidRPr="00594463">
        <w:rPr>
          <w:bCs/>
        </w:rPr>
        <w:t>priekšlikum</w:t>
      </w:r>
      <w:r w:rsidRPr="00594463" w:rsidR="00AD14B8">
        <w:rPr>
          <w:bCs/>
        </w:rPr>
        <w:t>u</w:t>
      </w:r>
      <w:r w:rsidRPr="00594463">
        <w:rPr>
          <w:bCs/>
        </w:rPr>
        <w:t xml:space="preserve"> par vienotas eksporta kontroles sarakstu divējāda lietojuma precēm), tiek analizētas ekonomiskās atkarības, padziļināti izvērtēti riski kritiskajās tehnoloģijās, pārskatīta ārvalstu tiešo ieguldījumu ES izvērtēšana. Daudz fokusētāks darbs uzsākts arī izejošo ieguldījumu jomā, piemēram, lai novērtētu zināšanu vai tehnoloģiju aizplūšanas ietekmi.</w:t>
      </w:r>
    </w:p>
    <w:p w:rsidRPr="00594463" w:rsidR="00DF7512" w:rsidP="005B3FF0" w:rsidRDefault="006231BD" w14:paraId="64B102B1" w14:textId="7899F7E3">
      <w:pPr>
        <w:spacing w:before="120" w:after="120"/>
        <w:jc w:val="both"/>
        <w:rPr>
          <w:bCs/>
          <w:i/>
          <w:iCs/>
          <w:u w:val="single"/>
        </w:rPr>
      </w:pPr>
      <w:r w:rsidRPr="00594463">
        <w:rPr>
          <w:bCs/>
          <w:i/>
          <w:iCs/>
          <w:u w:val="single"/>
        </w:rPr>
        <w:t>Migrācija</w:t>
      </w:r>
    </w:p>
    <w:p w:rsidRPr="00594463" w:rsidR="006231BD" w:rsidP="005B3FF0" w:rsidRDefault="006231BD" w14:paraId="768504F0" w14:textId="77777777">
      <w:pPr>
        <w:spacing w:before="120" w:after="120"/>
        <w:jc w:val="both"/>
        <w:rPr>
          <w:bCs/>
        </w:rPr>
      </w:pPr>
      <w:r w:rsidRPr="00594463">
        <w:rPr>
          <w:bCs/>
        </w:rPr>
        <w:t>Pagājušajā gadā pieņemtais Migrācijas un patvēruma pakts ir būtiski pārveidojis migrācijas, patvēruma un robežu pārvaldību ES ietvaros. Joprojām dalībvalstu ietvaros turpinās pakta ieviešana, ko ir plānots pabeigt līdz nākamā gada jūnijam.</w:t>
      </w:r>
    </w:p>
    <w:p w:rsidRPr="00594463" w:rsidR="006231BD" w:rsidP="005B3FF0" w:rsidRDefault="006231BD" w14:paraId="681B56B5" w14:textId="6A438549">
      <w:pPr>
        <w:spacing w:before="120" w:after="120"/>
        <w:jc w:val="both"/>
        <w:rPr>
          <w:bCs/>
        </w:rPr>
      </w:pPr>
      <w:r w:rsidRPr="00594463">
        <w:rPr>
          <w:bCs/>
        </w:rPr>
        <w:lastRenderedPageBreak/>
        <w:t xml:space="preserve">Atgriešana saglabājas kā viena no galvenajām ES prioritātēm. Ņemot vērā režīma maiņu Sīrijā, </w:t>
      </w:r>
      <w:r w:rsidRPr="00594463" w:rsidR="00F2102A">
        <w:rPr>
          <w:bCs/>
        </w:rPr>
        <w:t xml:space="preserve">notiek </w:t>
      </w:r>
      <w:r w:rsidRPr="00594463">
        <w:rPr>
          <w:bCs/>
        </w:rPr>
        <w:t xml:space="preserve">aktīvs dialogs ar ES, lai operatīvi koordinētu Sīrijas bēgļu </w:t>
      </w:r>
      <w:r w:rsidRPr="00594463" w:rsidR="003C0E00">
        <w:rPr>
          <w:bCs/>
        </w:rPr>
        <w:t xml:space="preserve">lielā </w:t>
      </w:r>
      <w:r w:rsidRPr="00594463">
        <w:rPr>
          <w:bCs/>
        </w:rPr>
        <w:t xml:space="preserve">daudzuma atgriešanu. Bez tā, šogad EK nāca klajā ar jaunu atgriešanas regulas priekšlikumu, kura mērķis ir atvieglot atgriešanas procedūras un mazināt birokrātisko slogu, tādējādi veicinot migrantu atgriešanu izcelsmes valstīs. Partnerības ar trešajām valstīm ir devušas būtisku ieguldījumu neregulārās migrācijas spiediena mazināšanā. </w:t>
      </w:r>
    </w:p>
    <w:p w:rsidRPr="00594463" w:rsidR="006231BD" w:rsidP="005B3FF0" w:rsidRDefault="006231BD" w14:paraId="7BDA50C4" w14:textId="47D8C713">
      <w:pPr>
        <w:spacing w:before="120" w:after="120"/>
        <w:jc w:val="both"/>
        <w:rPr>
          <w:bCs/>
        </w:rPr>
      </w:pPr>
      <w:r w:rsidRPr="00594463">
        <w:rPr>
          <w:bCs/>
        </w:rPr>
        <w:t>Statusa nolīgumi ar Rietumbalkānu valstīm, tai skaitā šogad parakstītais ar Bosniju un Hercegovinu, ir palīdzējuši būtiski mazināt neregulārās migrācijas apjomus reģionā (</w:t>
      </w:r>
      <w:r w:rsidRPr="00594463" w:rsidR="00BE4933">
        <w:rPr>
          <w:bCs/>
        </w:rPr>
        <w:t xml:space="preserve">šķērsošanas gadījumu </w:t>
      </w:r>
      <w:r w:rsidRPr="00594463">
        <w:rPr>
          <w:bCs/>
        </w:rPr>
        <w:t>skaits aktīvākajos punktos samazinājies vairāk par 50% salīdzinājumā ar 2024.</w:t>
      </w:r>
      <w:r w:rsidRPr="00594463" w:rsidR="00B933E2">
        <w:rPr>
          <w:bCs/>
        </w:rPr>
        <w:t> </w:t>
      </w:r>
      <w:r w:rsidRPr="00594463">
        <w:rPr>
          <w:bCs/>
        </w:rPr>
        <w:t xml:space="preserve">gadu). Arī migrantu plūsmas no Turcijas uz Eiropu šogad samazinājušās, tostarp uz Grieķiju. Samazinājušies arī patvēruma pieprasījumi no Turcijas. Tomēr nepieciešams </w:t>
      </w:r>
      <w:r w:rsidRPr="00594463">
        <w:rPr>
          <w:bCs/>
          <w:i/>
          <w:iCs/>
        </w:rPr>
        <w:t>Frontex</w:t>
      </w:r>
      <w:r w:rsidRPr="00594463">
        <w:rPr>
          <w:bCs/>
        </w:rPr>
        <w:t xml:space="preserve"> sadarbības līgums ar Turciju, lai gūtu labāku pārskatu pār situāciju. Uz doto brīdi viskritiskākā situācija ir ar Lībiju, no kurienes ir būtiski pieaudzis Vidusjūras šķērso</w:t>
      </w:r>
      <w:r w:rsidRPr="00594463" w:rsidR="00B933E2">
        <w:rPr>
          <w:bCs/>
        </w:rPr>
        <w:t>šanas gadījumu</w:t>
      </w:r>
      <w:r w:rsidRPr="00594463">
        <w:rPr>
          <w:bCs/>
        </w:rPr>
        <w:t xml:space="preserve"> skaits uz Itāliju un Grieķiju. Trauslās </w:t>
      </w:r>
      <w:r w:rsidRPr="00594463" w:rsidR="002A1592">
        <w:rPr>
          <w:bCs/>
        </w:rPr>
        <w:t xml:space="preserve">Lībijas </w:t>
      </w:r>
      <w:r w:rsidRPr="00594463" w:rsidR="00B80FA2">
        <w:rPr>
          <w:bCs/>
        </w:rPr>
        <w:t>iekš</w:t>
      </w:r>
      <w:r w:rsidRPr="00594463">
        <w:rPr>
          <w:bCs/>
        </w:rPr>
        <w:t>politiskās situācijas dēļ sadarbībai ar ES ir ierobežoti rezultāti.</w:t>
      </w:r>
    </w:p>
    <w:p w:rsidRPr="00594463" w:rsidR="006231BD" w:rsidP="005B3FF0" w:rsidRDefault="006231BD" w14:paraId="01596871" w14:textId="6259EE3B">
      <w:pPr>
        <w:spacing w:before="120" w:after="120"/>
        <w:jc w:val="both"/>
        <w:rPr>
          <w:bCs/>
        </w:rPr>
      </w:pPr>
      <w:r w:rsidRPr="00594463">
        <w:rPr>
          <w:bCs/>
        </w:rPr>
        <w:t>Aktīva sadarbība cīņā ar cilvēku kontrabandu notiek ar vairākām migrantu izcelsmes un tranzīta valstīm. Kā aktuāla problēma saglabājas Baltkrievijas un Krievijas īstenotā migrācijas instrumentalizācija, kas joprojām rada spiedienu uz ES austrumu robežas. Bažas raisa arī vasarā sāktie lidojumi starp Minsku un Bengazi (Lībija).</w:t>
      </w:r>
    </w:p>
    <w:bookmarkEnd w:id="1"/>
    <w:bookmarkEnd w:id="4"/>
    <w:p w:rsidR="00461610" w:rsidP="00B74490" w:rsidRDefault="00461610" w14:paraId="680404E8" w14:textId="77777777">
      <w:pPr>
        <w:rPr>
          <w:u w:val="single"/>
        </w:rPr>
      </w:pPr>
    </w:p>
    <w:p w:rsidRPr="00594463" w:rsidR="00FC7F6F" w:rsidP="00B74490" w:rsidRDefault="00FF18F4" w14:paraId="0AD2D9A5" w14:textId="0733C472">
      <w:pPr>
        <w:rPr>
          <w:rFonts w:eastAsiaTheme="minorHAnsi"/>
          <w:lang w:eastAsia="lv-LV"/>
        </w:rPr>
      </w:pPr>
      <w:r w:rsidRPr="00594463">
        <w:rPr>
          <w:u w:val="single"/>
        </w:rPr>
        <w:t>Latvijas nostāja</w:t>
      </w:r>
      <w:r w:rsidRPr="00594463" w:rsidR="001C2511">
        <w:rPr>
          <w:rStyle w:val="FootnoteReference"/>
        </w:rPr>
        <w:footnoteReference w:id="6"/>
      </w:r>
      <w:r w:rsidRPr="00594463" w:rsidR="00AF2E3C">
        <w:rPr>
          <w:vertAlign w:val="superscript"/>
        </w:rPr>
        <w:t>,</w:t>
      </w:r>
      <w:r w:rsidRPr="00594463" w:rsidR="001C2511">
        <w:rPr>
          <w:rStyle w:val="FootnoteReference"/>
        </w:rPr>
        <w:footnoteReference w:id="7"/>
      </w:r>
      <w:r w:rsidRPr="00594463" w:rsidR="006C10BF">
        <w:rPr>
          <w:vertAlign w:val="superscript"/>
        </w:rPr>
        <w:t>,</w:t>
      </w:r>
      <w:r w:rsidRPr="00594463" w:rsidR="006C10BF">
        <w:rPr>
          <w:rStyle w:val="FootnoteReference"/>
        </w:rPr>
        <w:footnoteReference w:id="8"/>
      </w:r>
      <w:r w:rsidRPr="00594463" w:rsidR="00163BA7">
        <w:rPr>
          <w:vertAlign w:val="superscript"/>
        </w:rPr>
        <w:t>,</w:t>
      </w:r>
      <w:r w:rsidRPr="00594463" w:rsidR="00163BA7">
        <w:rPr>
          <w:rStyle w:val="FootnoteReference"/>
        </w:rPr>
        <w:footnoteReference w:id="9"/>
      </w:r>
      <w:r w:rsidRPr="00594463" w:rsidR="00163BA7">
        <w:rPr>
          <w:vertAlign w:val="superscript"/>
        </w:rPr>
        <w:t>,</w:t>
      </w:r>
      <w:r w:rsidRPr="00594463" w:rsidR="00163BA7">
        <w:rPr>
          <w:rStyle w:val="FootnoteReference"/>
        </w:rPr>
        <w:footnoteReference w:id="10"/>
      </w:r>
      <w:r w:rsidRPr="00594463" w:rsidR="00163BA7">
        <w:rPr>
          <w:vertAlign w:val="superscript"/>
        </w:rPr>
        <w:t>,</w:t>
      </w:r>
      <w:r w:rsidRPr="00594463" w:rsidR="00163BA7">
        <w:rPr>
          <w:rStyle w:val="FootnoteReference"/>
        </w:rPr>
        <w:footnoteReference w:id="11"/>
      </w:r>
    </w:p>
    <w:p w:rsidRPr="00594463" w:rsidR="0016722E" w:rsidP="00A72C66" w:rsidRDefault="0016722E" w14:paraId="2FD4F146" w14:textId="3B4FACC5">
      <w:pPr>
        <w:spacing w:before="120" w:after="120"/>
        <w:jc w:val="both"/>
        <w:rPr>
          <w:i/>
          <w:iCs/>
          <w:u w:val="single"/>
        </w:rPr>
      </w:pPr>
      <w:r w:rsidRPr="00594463">
        <w:rPr>
          <w:i/>
          <w:iCs/>
          <w:u w:val="single"/>
        </w:rPr>
        <w:t>Drošība, aizsardzība un noturība</w:t>
      </w:r>
    </w:p>
    <w:p w:rsidRPr="00594463" w:rsidR="00A77920" w:rsidP="005B3FF0" w:rsidRDefault="00A77920" w14:paraId="0E1ABDDD" w14:textId="008D59D3">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594463">
        <w:rPr>
          <w:rFonts w:ascii="Times New Roman" w:hAnsi="Times New Roman" w:cs="Times New Roman"/>
          <w:sz w:val="24"/>
          <w:szCs w:val="24"/>
        </w:rPr>
        <w:t xml:space="preserve">Latvija atbalsta arvien pieaugošu Eiropas lomu savas drošības stiprināšanā, kas ietver gan finansējumu aizsardzības industrijas attīstībai, gan </w:t>
      </w:r>
      <w:r w:rsidRPr="00594463" w:rsidR="00163BA7">
        <w:rPr>
          <w:rFonts w:ascii="Times New Roman" w:hAnsi="Times New Roman" w:cs="Times New Roman"/>
          <w:sz w:val="24"/>
          <w:szCs w:val="24"/>
        </w:rPr>
        <w:t xml:space="preserve">ES iekšējās drošības veicināšanai, tai skaitā </w:t>
      </w:r>
      <w:r w:rsidRPr="00594463">
        <w:rPr>
          <w:rFonts w:ascii="Times New Roman" w:hAnsi="Times New Roman" w:cs="Times New Roman"/>
          <w:sz w:val="24"/>
          <w:szCs w:val="24"/>
        </w:rPr>
        <w:t>ES ārējās robežas stiprināšan</w:t>
      </w:r>
      <w:r w:rsidRPr="00594463" w:rsidR="00354536">
        <w:rPr>
          <w:rFonts w:ascii="Times New Roman" w:hAnsi="Times New Roman" w:cs="Times New Roman"/>
          <w:sz w:val="24"/>
          <w:szCs w:val="24"/>
        </w:rPr>
        <w:t>ā</w:t>
      </w:r>
      <w:r w:rsidRPr="00594463">
        <w:rPr>
          <w:rFonts w:ascii="Times New Roman" w:hAnsi="Times New Roman" w:cs="Times New Roman"/>
          <w:sz w:val="24"/>
          <w:szCs w:val="24"/>
        </w:rPr>
        <w:t>.</w:t>
      </w:r>
    </w:p>
    <w:p w:rsidRPr="00594463" w:rsidR="00A77920" w:rsidP="005B3FF0" w:rsidRDefault="00A77920" w14:paraId="32F28AF2" w14:textId="77777777">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594463">
        <w:rPr>
          <w:rFonts w:ascii="Times New Roman" w:hAnsi="Times New Roman" w:cs="Times New Roman"/>
          <w:sz w:val="24"/>
          <w:szCs w:val="24"/>
        </w:rPr>
        <w:t>Sagaidām EK prezidentes ziņojumu par Gatavības 2030 ceļa karti, kas sekmētu strauju ES aizsardzības tehnoloģiskās un industriālās bāzes attīstību, kā arī spēju celšanu.</w:t>
      </w:r>
    </w:p>
    <w:p w:rsidRPr="00594463" w:rsidR="00A77920" w:rsidP="005B3FF0" w:rsidRDefault="00A77920" w14:paraId="1DC94094" w14:textId="77777777">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594463">
        <w:rPr>
          <w:rFonts w:ascii="Times New Roman" w:hAnsi="Times New Roman" w:cs="Times New Roman"/>
          <w:sz w:val="24"/>
          <w:szCs w:val="24"/>
        </w:rPr>
        <w:lastRenderedPageBreak/>
        <w:t>Novērtējam, ka sasniegta SAFE programmas operacionalitāte, kā arī virzība ar EDIP regulu un omnibusu pakotnēm.</w:t>
      </w:r>
    </w:p>
    <w:p w:rsidRPr="00594463" w:rsidR="00A77920" w:rsidP="005B3FF0" w:rsidRDefault="00A77920" w14:paraId="4CBF3F5D" w14:textId="3D4422F7">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594463">
        <w:rPr>
          <w:rFonts w:ascii="Times New Roman" w:hAnsi="Times New Roman" w:cs="Times New Roman"/>
          <w:sz w:val="24"/>
          <w:szCs w:val="24"/>
        </w:rPr>
        <w:t xml:space="preserve">10. septembra Polijas </w:t>
      </w:r>
      <w:r w:rsidRPr="00594463" w:rsidR="006C10BF">
        <w:rPr>
          <w:rFonts w:ascii="Times New Roman" w:hAnsi="Times New Roman" w:cs="Times New Roman"/>
          <w:sz w:val="24"/>
          <w:szCs w:val="24"/>
        </w:rPr>
        <w:t xml:space="preserve">un 19. septembra Igaunijas </w:t>
      </w:r>
      <w:r w:rsidRPr="00594463">
        <w:rPr>
          <w:rFonts w:ascii="Times New Roman" w:hAnsi="Times New Roman" w:cs="Times New Roman"/>
          <w:sz w:val="24"/>
          <w:szCs w:val="24"/>
        </w:rPr>
        <w:t>gaisa telpas pārkāpumi apliecina ES austrumu robežas stiprināšanas svarīgumu visai ES.</w:t>
      </w:r>
    </w:p>
    <w:p w:rsidRPr="00594463" w:rsidR="0016722E" w:rsidP="0016722E" w:rsidRDefault="00A77920" w14:paraId="406B92FD" w14:textId="26B52C95">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594463">
        <w:rPr>
          <w:rFonts w:ascii="Times New Roman" w:hAnsi="Times New Roman" w:cs="Times New Roman"/>
          <w:sz w:val="24"/>
          <w:szCs w:val="24"/>
        </w:rPr>
        <w:t>Latvija atbalsta centienus panākt iespējami ciešu NATO un ES sadarbību hibrīdo apdraudējumu novēršanai, uzsverot nepieciešamību stiprināt kopējo izpratni par pastāvošajiem hibrīdajiem apdraudējumiem, kā arī norādot uz to novēršanai nepieciešamo līdzekļu atvēlēšanas nozīmi.</w:t>
      </w:r>
    </w:p>
    <w:p w:rsidRPr="00594463" w:rsidR="006C10BF" w:rsidP="006C10BF" w:rsidRDefault="006C10BF" w14:paraId="16966502" w14:textId="36BF3011">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594463">
        <w:rPr>
          <w:rFonts w:ascii="Times New Roman" w:hAnsi="Times New Roman" w:cs="Times New Roman"/>
          <w:sz w:val="24"/>
          <w:szCs w:val="24"/>
        </w:rPr>
        <w:t xml:space="preserve">Atbalstām </w:t>
      </w:r>
      <w:r w:rsidRPr="00594463">
        <w:rPr>
          <w:rFonts w:ascii="Times New Roman" w:hAnsi="Times New Roman" w:cs="Times New Roman"/>
          <w:iCs/>
          <w:sz w:val="24"/>
          <w:szCs w:val="24"/>
        </w:rPr>
        <w:t xml:space="preserve">ES līmeņa minimālo gatavības prasību izstrādi katrai kritiski svarīgai funkcijai. </w:t>
      </w:r>
      <w:r w:rsidRPr="00594463">
        <w:rPr>
          <w:rFonts w:ascii="Times New Roman" w:hAnsi="Times New Roman" w:cs="Times New Roman"/>
          <w:bCs/>
          <w:sz w:val="24"/>
          <w:szCs w:val="24"/>
        </w:rPr>
        <w:t xml:space="preserve">Būtiski nodrošināt, lai ES un NATO minimālās gatavības prasības ir savstarpēji sinhronizētas un standartizētas, tā novēršot noturības centienu dublēšanos. Papildus tam, aicinām pilnveidot ES un NATO sadarbību plānošanas jautājumos, lai ES noturībai atvēlētie resursi pēc iespējas papildinātu NATO aizsardzības izdevumu un spēju mērķus, kas ir būtiski arī ES. </w:t>
      </w:r>
    </w:p>
    <w:p w:rsidRPr="00594463" w:rsidR="006C10BF" w:rsidP="006C10BF" w:rsidRDefault="006C10BF" w14:paraId="0F7C26AD" w14:textId="19125829">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594463">
        <w:rPr>
          <w:rFonts w:ascii="Times New Roman" w:hAnsi="Times New Roman" w:cs="Times New Roman"/>
          <w:sz w:val="24"/>
          <w:szCs w:val="24"/>
        </w:rPr>
        <w:t>Sagaidām praktiskus soļus pilsoniskās sabiedrības</w:t>
      </w:r>
      <w:r w:rsidR="008F5F9B">
        <w:rPr>
          <w:rFonts w:ascii="Times New Roman" w:hAnsi="Times New Roman" w:cs="Times New Roman"/>
          <w:sz w:val="24"/>
          <w:szCs w:val="24"/>
        </w:rPr>
        <w:t xml:space="preserve"> </w:t>
      </w:r>
      <w:r w:rsidRPr="00594463">
        <w:rPr>
          <w:rFonts w:ascii="Times New Roman" w:hAnsi="Times New Roman" w:cs="Times New Roman"/>
          <w:sz w:val="24"/>
          <w:szCs w:val="24"/>
        </w:rPr>
        <w:t>sagatavotībā pret dažādiem riskiem sasniegšanā, kas ir daļa no būtiskās "visas sabiedrības iekļaušanas pieejas", tā sasniedzot noturību indivīdu līmenī un nostiprinot rīcību "no apakšas uz augšu".</w:t>
      </w:r>
    </w:p>
    <w:p w:rsidRPr="00594463" w:rsidR="0016722E" w:rsidP="00A72C66" w:rsidRDefault="0016722E" w14:paraId="0103E606" w14:textId="7AA3C9CB">
      <w:pPr>
        <w:spacing w:before="120" w:after="120"/>
        <w:jc w:val="both"/>
        <w:rPr>
          <w:i/>
          <w:iCs/>
          <w:u w:val="single"/>
        </w:rPr>
      </w:pPr>
      <w:r w:rsidRPr="00594463">
        <w:rPr>
          <w:i/>
          <w:iCs/>
          <w:u w:val="single"/>
        </w:rPr>
        <w:t>Ekonomiskā drošība</w:t>
      </w:r>
    </w:p>
    <w:p w:rsidRPr="00594463" w:rsidR="00FC7F6F" w:rsidP="005B3FF0" w:rsidRDefault="00FC7F6F" w14:paraId="6B91A95D" w14:textId="06410A37">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594463">
        <w:rPr>
          <w:rFonts w:ascii="Times New Roman" w:hAnsi="Times New Roman" w:cs="Times New Roman"/>
          <w:sz w:val="24"/>
          <w:szCs w:val="24"/>
        </w:rPr>
        <w:t xml:space="preserve">Latvijai būtiski visi trīs ekonomiskās drošības pīlāri: </w:t>
      </w:r>
    </w:p>
    <w:p w:rsidRPr="00594463" w:rsidR="00FC7F6F" w:rsidP="005B3FF0" w:rsidRDefault="00FC7F6F" w14:paraId="07E07386" w14:textId="2894D09F">
      <w:pPr>
        <w:pStyle w:val="ListParagraph"/>
        <w:spacing w:before="120" w:after="120" w:line="240" w:lineRule="auto"/>
        <w:contextualSpacing w:val="false"/>
        <w:jc w:val="both"/>
        <w:rPr>
          <w:rFonts w:ascii="Times New Roman" w:hAnsi="Times New Roman" w:cs="Times New Roman"/>
          <w:sz w:val="24"/>
          <w:szCs w:val="24"/>
        </w:rPr>
      </w:pPr>
      <w:r w:rsidRPr="00594463">
        <w:rPr>
          <w:rFonts w:ascii="Times New Roman" w:hAnsi="Times New Roman" w:cs="Times New Roman"/>
          <w:sz w:val="24"/>
          <w:szCs w:val="24"/>
        </w:rPr>
        <w:t xml:space="preserve">1) veicināt – investīciju veicināšana </w:t>
      </w:r>
      <w:r w:rsidR="004B2371">
        <w:rPr>
          <w:rFonts w:ascii="Times New Roman" w:hAnsi="Times New Roman" w:cs="Times New Roman"/>
          <w:sz w:val="24"/>
          <w:szCs w:val="24"/>
        </w:rPr>
        <w:t xml:space="preserve">konkurētspējīgās </w:t>
      </w:r>
      <w:r w:rsidRPr="00594463">
        <w:rPr>
          <w:rFonts w:ascii="Times New Roman" w:hAnsi="Times New Roman" w:cs="Times New Roman"/>
          <w:sz w:val="24"/>
          <w:szCs w:val="24"/>
        </w:rPr>
        <w:t xml:space="preserve">ES kritisko uzņēmumu tehnoloģijās, mazinot administratīvo slogu dažādu atļauju saņemšanai; </w:t>
      </w:r>
    </w:p>
    <w:p w:rsidRPr="00594463" w:rsidR="00FC7F6F" w:rsidP="005B3FF0" w:rsidRDefault="00FC7F6F" w14:paraId="0393714E" w14:textId="40032B49">
      <w:pPr>
        <w:pStyle w:val="ListParagraph"/>
        <w:spacing w:before="120" w:after="120" w:line="240" w:lineRule="auto"/>
        <w:contextualSpacing w:val="false"/>
        <w:jc w:val="both"/>
        <w:rPr>
          <w:rFonts w:ascii="Times New Roman" w:hAnsi="Times New Roman" w:cs="Times New Roman"/>
          <w:sz w:val="24"/>
          <w:szCs w:val="24"/>
        </w:rPr>
      </w:pPr>
      <w:r w:rsidRPr="00594463">
        <w:rPr>
          <w:rFonts w:ascii="Times New Roman" w:hAnsi="Times New Roman" w:cs="Times New Roman"/>
          <w:sz w:val="24"/>
          <w:szCs w:val="24"/>
        </w:rPr>
        <w:t xml:space="preserve">2) partnerības – palielināt </w:t>
      </w:r>
      <w:r w:rsidR="004B2371">
        <w:rPr>
          <w:rFonts w:ascii="Times New Roman" w:hAnsi="Times New Roman" w:cs="Times New Roman"/>
          <w:sz w:val="24"/>
          <w:szCs w:val="24"/>
        </w:rPr>
        <w:t>sadarbību</w:t>
      </w:r>
      <w:r w:rsidRPr="00594463" w:rsidR="004B2371">
        <w:rPr>
          <w:rFonts w:ascii="Times New Roman" w:hAnsi="Times New Roman" w:cs="Times New Roman"/>
          <w:sz w:val="24"/>
          <w:szCs w:val="24"/>
        </w:rPr>
        <w:t xml:space="preserve"> </w:t>
      </w:r>
      <w:r w:rsidRPr="00594463">
        <w:rPr>
          <w:rFonts w:ascii="Times New Roman" w:hAnsi="Times New Roman" w:cs="Times New Roman"/>
          <w:sz w:val="24"/>
          <w:szCs w:val="24"/>
        </w:rPr>
        <w:t xml:space="preserve">ar līdzīgi domājošiem partneriem un uz noteikumiem balstītu kārtību. Jāstiprina piegāžu ķēdes, mazinot ievainojamības riskus. </w:t>
      </w:r>
      <w:r w:rsidRPr="00D47AC0">
        <w:rPr>
          <w:rFonts w:ascii="Times New Roman" w:hAnsi="Times New Roman" w:cs="Times New Roman"/>
          <w:sz w:val="24"/>
          <w:szCs w:val="24"/>
        </w:rPr>
        <w:t>Jāslēdz tirdzniecības nolīgumi un partnerības, lai</w:t>
      </w:r>
      <w:r w:rsidRPr="00D47AC0" w:rsidR="004B2371">
        <w:rPr>
          <w:rFonts w:ascii="Times New Roman" w:hAnsi="Times New Roman" w:cs="Times New Roman"/>
          <w:sz w:val="24"/>
          <w:szCs w:val="24"/>
        </w:rPr>
        <w:t>, aizstāvot Latvijas intereses,</w:t>
      </w:r>
      <w:r w:rsidRPr="00D47AC0">
        <w:rPr>
          <w:rFonts w:ascii="Times New Roman" w:hAnsi="Times New Roman" w:cs="Times New Roman"/>
          <w:sz w:val="24"/>
          <w:szCs w:val="24"/>
        </w:rPr>
        <w:t xml:space="preserve"> virzītu </w:t>
      </w:r>
      <w:r w:rsidRPr="00D47AC0" w:rsidR="004B2371">
        <w:rPr>
          <w:rFonts w:ascii="Times New Roman" w:hAnsi="Times New Roman" w:cs="Times New Roman"/>
          <w:sz w:val="24"/>
          <w:szCs w:val="24"/>
        </w:rPr>
        <w:t xml:space="preserve">arī </w:t>
      </w:r>
      <w:r w:rsidRPr="00D47AC0">
        <w:rPr>
          <w:rFonts w:ascii="Times New Roman" w:hAnsi="Times New Roman" w:cs="Times New Roman"/>
          <w:sz w:val="24"/>
          <w:szCs w:val="24"/>
        </w:rPr>
        <w:t>ES ģeopolitiskās intereses</w:t>
      </w:r>
      <w:r w:rsidRPr="00594463">
        <w:rPr>
          <w:rFonts w:ascii="Times New Roman" w:hAnsi="Times New Roman" w:cs="Times New Roman"/>
          <w:sz w:val="24"/>
          <w:szCs w:val="24"/>
        </w:rPr>
        <w:t>;</w:t>
      </w:r>
    </w:p>
    <w:p w:rsidRPr="00594463" w:rsidR="0016722E" w:rsidP="0016722E" w:rsidRDefault="00FC7F6F" w14:paraId="0F44DFF5" w14:textId="54A07845">
      <w:pPr>
        <w:pStyle w:val="ListParagraph"/>
        <w:spacing w:before="120" w:after="120" w:line="240" w:lineRule="auto"/>
        <w:contextualSpacing w:val="false"/>
        <w:jc w:val="both"/>
        <w:rPr>
          <w:rFonts w:ascii="Times New Roman" w:hAnsi="Times New Roman" w:cs="Times New Roman"/>
          <w:sz w:val="24"/>
          <w:szCs w:val="24"/>
        </w:rPr>
      </w:pPr>
      <w:r w:rsidRPr="00594463">
        <w:rPr>
          <w:rFonts w:ascii="Times New Roman" w:hAnsi="Times New Roman" w:cs="Times New Roman"/>
          <w:sz w:val="24"/>
          <w:szCs w:val="24"/>
        </w:rPr>
        <w:t xml:space="preserve">3) aizsargāt – jāturpina virzīties ar līdzsvarotu pieeju. Ņemot vērā ģeopolitisko situāciju, </w:t>
      </w:r>
      <w:r w:rsidRPr="00D47AC0">
        <w:rPr>
          <w:rFonts w:ascii="Times New Roman" w:hAnsi="Times New Roman" w:cs="Times New Roman"/>
          <w:sz w:val="24"/>
          <w:szCs w:val="24"/>
        </w:rPr>
        <w:t>Latvijas ekonomiskā drošība ir saistīta ar ekonomisko atkarību mazināšanu, īpaši no Krievijas</w:t>
      </w:r>
      <w:r w:rsidRPr="00594463">
        <w:rPr>
          <w:rFonts w:ascii="Times New Roman" w:hAnsi="Times New Roman" w:cs="Times New Roman"/>
          <w:sz w:val="24"/>
          <w:szCs w:val="24"/>
        </w:rPr>
        <w:t>. Atzinīgi vērtējam ES ievedmuitas tarifu paaugstināšanu Krievijas un Baltkrievijas precēm. Jāturpina mazināt Krievijas iespējas gūt ekonomisku labumu no tirdzniecības ar ES.</w:t>
      </w:r>
    </w:p>
    <w:p w:rsidRPr="00594463" w:rsidR="006C10BF" w:rsidP="006C10BF" w:rsidRDefault="006C10BF" w14:paraId="04E5AF43" w14:textId="67777E0C">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594463">
        <w:rPr>
          <w:rFonts w:ascii="Times New Roman" w:hAnsi="Times New Roman" w:cs="Times New Roman"/>
          <w:bCs/>
          <w:sz w:val="24"/>
          <w:szCs w:val="24"/>
        </w:rPr>
        <w:t xml:space="preserve">Lai </w:t>
      </w:r>
      <w:r w:rsidRPr="00594463">
        <w:rPr>
          <w:rFonts w:ascii="Times New Roman" w:hAnsi="Times New Roman" w:cs="Times New Roman"/>
          <w:sz w:val="24"/>
          <w:szCs w:val="24"/>
        </w:rPr>
        <w:t xml:space="preserve">mazinātu ekonomikas un citu risku ievainojamību, nepieciešams pastiprināt darbu pie materiāltehnisko rezervju plānošanas, </w:t>
      </w:r>
      <w:r w:rsidRPr="00D47AC0">
        <w:rPr>
          <w:rFonts w:ascii="Times New Roman" w:hAnsi="Times New Roman" w:cs="Times New Roman"/>
          <w:sz w:val="24"/>
          <w:szCs w:val="24"/>
        </w:rPr>
        <w:t>īpaši uzsverot reģionālo un ES līmeņa sadarbību.</w:t>
      </w:r>
      <w:r w:rsidRPr="00594463">
        <w:rPr>
          <w:rFonts w:ascii="Times New Roman" w:hAnsi="Times New Roman" w:cs="Times New Roman"/>
          <w:sz w:val="24"/>
          <w:szCs w:val="24"/>
        </w:rPr>
        <w:t xml:space="preserve"> Tāpat nozīmīgi ir zinātnisko inovāciju risinājumi, lai stiprinātu kritiski svarīgu resursu autonomiju, tam nodrošinot atbilstošu finansējumu. </w:t>
      </w:r>
    </w:p>
    <w:p w:rsidRPr="00594463" w:rsidR="0016722E" w:rsidP="00A72C66" w:rsidRDefault="0016722E" w14:paraId="14FBF30A" w14:textId="788174D7">
      <w:pPr>
        <w:spacing w:before="120" w:after="120"/>
        <w:jc w:val="both"/>
        <w:rPr>
          <w:i/>
          <w:iCs/>
          <w:u w:val="single"/>
        </w:rPr>
      </w:pPr>
      <w:r w:rsidRPr="00594463">
        <w:rPr>
          <w:i/>
          <w:iCs/>
          <w:u w:val="single"/>
        </w:rPr>
        <w:t>Migrācija</w:t>
      </w:r>
    </w:p>
    <w:p w:rsidRPr="00594463" w:rsidR="006231BD" w:rsidP="00866A28" w:rsidRDefault="006231BD" w14:paraId="2C3B9236" w14:textId="786E1555">
      <w:pPr>
        <w:numPr>
          <w:ilvl w:val="0"/>
          <w:numId w:val="39"/>
        </w:numPr>
        <w:spacing w:before="120" w:after="120"/>
        <w:jc w:val="both"/>
        <w:rPr>
          <w:bCs/>
        </w:rPr>
      </w:pPr>
      <w:r w:rsidRPr="00594463">
        <w:rPr>
          <w:bCs/>
        </w:rPr>
        <w:t>Migrācijas pakta ieviešana un esošā tiesiskā ietvara pareiza piemērošana ir prioritāra pilnvērtīgas migrācijas pārvaldības nodrošināšanā.</w:t>
      </w:r>
    </w:p>
    <w:p w:rsidRPr="00594463" w:rsidR="006231BD" w:rsidP="00866A28" w:rsidRDefault="006231BD" w14:paraId="0464E5BB" w14:textId="323549A1">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594463">
        <w:rPr>
          <w:rFonts w:ascii="Times New Roman" w:hAnsi="Times New Roman" w:cs="Times New Roman"/>
          <w:sz w:val="24"/>
          <w:szCs w:val="24"/>
        </w:rPr>
        <w:t>Iestājamies par efektīvāku atgriešanas politiku sadarbībā ar trešajām valstīm, kā arī atgriešanas iekšējās dimensijas izaicinājumu efektīvu un kopīgu risināšanu.</w:t>
      </w:r>
    </w:p>
    <w:p w:rsidRPr="00594463" w:rsidR="006231BD" w:rsidP="00866A28" w:rsidRDefault="006231BD" w14:paraId="2DCDEEAF" w14:textId="415660C2">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594463">
        <w:rPr>
          <w:rFonts w:ascii="Times New Roman" w:hAnsi="Times New Roman" w:cs="Times New Roman"/>
          <w:sz w:val="24"/>
          <w:szCs w:val="24"/>
        </w:rPr>
        <w:lastRenderedPageBreak/>
        <w:t>Atbalstām sadarbības paplašināšanu ar trešajām valstīm, lai rastu jaunus risinājumus migrācijas pārvaldībai.</w:t>
      </w:r>
    </w:p>
    <w:p w:rsidRPr="00594463" w:rsidR="006231BD" w:rsidP="00866A28" w:rsidRDefault="006231BD" w14:paraId="71A05A22" w14:textId="36D73BFB">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594463">
        <w:rPr>
          <w:rFonts w:ascii="Times New Roman" w:hAnsi="Times New Roman" w:cs="Times New Roman"/>
          <w:sz w:val="24"/>
          <w:szCs w:val="24"/>
        </w:rPr>
        <w:t xml:space="preserve">Migrantu instrumentalizācija turpina radīt drošības izaicinājumus dalībvalstīm, kas robežojas ar Krieviju un Baltkrieviju. Pastāvot šo hibrīddraudu eskalācijas riskiem, ir </w:t>
      </w:r>
      <w:r w:rsidRPr="00594463" w:rsidR="00354536">
        <w:rPr>
          <w:rFonts w:ascii="Times New Roman" w:hAnsi="Times New Roman" w:cs="Times New Roman"/>
          <w:sz w:val="24"/>
          <w:szCs w:val="24"/>
        </w:rPr>
        <w:t xml:space="preserve">būtiski turpināt </w:t>
      </w:r>
      <w:r w:rsidRPr="00594463">
        <w:rPr>
          <w:rFonts w:ascii="Times New Roman" w:hAnsi="Times New Roman" w:cs="Times New Roman"/>
          <w:sz w:val="24"/>
          <w:szCs w:val="24"/>
        </w:rPr>
        <w:t>ES ārējās austrumu robežas stiprināšan</w:t>
      </w:r>
      <w:r w:rsidRPr="00594463" w:rsidR="00354536">
        <w:rPr>
          <w:rFonts w:ascii="Times New Roman" w:hAnsi="Times New Roman" w:cs="Times New Roman"/>
          <w:sz w:val="24"/>
          <w:szCs w:val="24"/>
        </w:rPr>
        <w:t>u</w:t>
      </w:r>
      <w:r w:rsidRPr="00594463">
        <w:rPr>
          <w:rFonts w:ascii="Times New Roman" w:hAnsi="Times New Roman" w:cs="Times New Roman"/>
          <w:sz w:val="24"/>
          <w:szCs w:val="24"/>
        </w:rPr>
        <w:t>.</w:t>
      </w:r>
    </w:p>
    <w:p w:rsidRPr="00061B4A" w:rsidR="00B924FD" w:rsidP="003E0281" w:rsidRDefault="00B924FD" w14:paraId="322CB954" w14:textId="77777777">
      <w:pPr>
        <w:spacing w:before="120" w:after="120"/>
        <w:jc w:val="both"/>
        <w:rPr>
          <w:b/>
          <w:bCs/>
          <w:sz w:val="16"/>
          <w:szCs w:val="16"/>
          <w:highlight w:val="yellow"/>
        </w:rPr>
      </w:pPr>
    </w:p>
    <w:p w:rsidRPr="00061B4A" w:rsidR="009C1217" w:rsidP="00AB108B" w:rsidRDefault="009C1217" w14:paraId="5C9F5473" w14:textId="77777777">
      <w:pPr>
        <w:rPr>
          <w:sz w:val="16"/>
          <w:szCs w:val="16"/>
        </w:rPr>
      </w:pPr>
    </w:p>
    <w:p w:rsidRPr="0020777B" w:rsidR="004C1BD0" w:rsidP="00FA304E" w:rsidRDefault="00E03950" w14:paraId="61DEFA6B" w14:textId="4B8B3896">
      <w:pPr>
        <w:tabs>
          <w:tab w:val="left" w:pos="7088"/>
        </w:tabs>
        <w:spacing w:before="120" w:after="120"/>
        <w:jc w:val="both"/>
        <w:rPr>
          <w:bCs/>
          <w:kern w:val="1"/>
          <w:lang w:eastAsia="ar-SA"/>
        </w:rPr>
      </w:pPr>
      <w:r>
        <w:t>Ā</w:t>
      </w:r>
      <w:r w:rsidRPr="0020777B" w:rsidR="007139CA">
        <w:t>rlietu ministre</w:t>
      </w:r>
      <w:r w:rsidRPr="0020777B" w:rsidR="000911CE">
        <w:rPr>
          <w:bCs/>
          <w:kern w:val="1"/>
          <w:lang w:eastAsia="ar-SA"/>
        </w:rPr>
        <w:tab/>
      </w:r>
      <w:r w:rsidR="009F3DD5">
        <w:rPr>
          <w:bCs/>
          <w:kern w:val="1"/>
          <w:lang w:eastAsia="ar-SA"/>
        </w:rPr>
        <w:t xml:space="preserve">       B. Braže</w:t>
      </w:r>
    </w:p>
    <w:p w:rsidR="0065160F" w:rsidP="00FA304E" w:rsidRDefault="0065160F" w14:paraId="0C0B50ED" w14:textId="68CFD44B">
      <w:pPr>
        <w:tabs>
          <w:tab w:val="left" w:pos="7088"/>
        </w:tabs>
        <w:spacing w:before="120" w:after="120"/>
        <w:ind w:right="-113"/>
        <w:jc w:val="both"/>
        <w:rPr>
          <w:bCs/>
          <w:kern w:val="1"/>
          <w:sz w:val="16"/>
          <w:szCs w:val="16"/>
          <w:lang w:eastAsia="ar-SA"/>
        </w:rPr>
      </w:pPr>
    </w:p>
    <w:p w:rsidR="00461610" w:rsidP="00FA304E" w:rsidRDefault="00461610" w14:paraId="08101FE2" w14:textId="77777777">
      <w:pPr>
        <w:tabs>
          <w:tab w:val="left" w:pos="7088"/>
        </w:tabs>
        <w:spacing w:before="120" w:after="120"/>
        <w:ind w:right="-113"/>
        <w:jc w:val="both"/>
        <w:rPr>
          <w:bCs/>
          <w:kern w:val="1"/>
          <w:sz w:val="16"/>
          <w:szCs w:val="16"/>
          <w:lang w:eastAsia="ar-SA"/>
        </w:rPr>
      </w:pPr>
    </w:p>
    <w:p w:rsidRPr="00594463" w:rsidR="00256A39" w:rsidP="00FA304E" w:rsidRDefault="007B299A" w14:paraId="2EBD0D57" w14:textId="70BB23EA">
      <w:pPr>
        <w:tabs>
          <w:tab w:val="left" w:pos="7088"/>
        </w:tabs>
        <w:spacing w:before="120" w:after="120"/>
        <w:ind w:right="-113"/>
        <w:jc w:val="both"/>
        <w:rPr>
          <w:bCs/>
          <w:kern w:val="1"/>
          <w:lang w:eastAsia="ar-SA"/>
        </w:rPr>
      </w:pPr>
      <w:r w:rsidRPr="0020777B">
        <w:rPr>
          <w:bCs/>
          <w:kern w:val="1"/>
          <w:lang w:eastAsia="ar-SA"/>
        </w:rPr>
        <w:t xml:space="preserve">Vīza: </w:t>
      </w:r>
      <w:r w:rsidRPr="0020777B" w:rsidR="009766E5">
        <w:rPr>
          <w:bCs/>
          <w:kern w:val="1"/>
          <w:lang w:eastAsia="ar-SA"/>
        </w:rPr>
        <w:t>valsts sekretār</w:t>
      </w:r>
      <w:r w:rsidRPr="0020777B" w:rsidR="0075273A">
        <w:rPr>
          <w:bCs/>
          <w:kern w:val="1"/>
          <w:lang w:eastAsia="ar-SA"/>
        </w:rPr>
        <w:t>s</w:t>
      </w:r>
      <w:r w:rsidRPr="0020777B" w:rsidR="00B00DC6">
        <w:rPr>
          <w:bCs/>
          <w:kern w:val="1"/>
          <w:lang w:eastAsia="ar-SA"/>
        </w:rPr>
        <w:tab/>
      </w:r>
      <w:r w:rsidRPr="0020777B" w:rsidR="0075273A">
        <w:rPr>
          <w:bCs/>
          <w:kern w:val="1"/>
          <w:lang w:eastAsia="ar-SA"/>
        </w:rPr>
        <w:t>A</w:t>
      </w:r>
      <w:r w:rsidRPr="0020777B" w:rsidR="00F87621">
        <w:rPr>
          <w:bCs/>
          <w:kern w:val="1"/>
          <w:lang w:eastAsia="ar-SA"/>
        </w:rPr>
        <w:t xml:space="preserve">. </w:t>
      </w:r>
      <w:r w:rsidRPr="0020777B" w:rsidR="0075273A">
        <w:rPr>
          <w:bCs/>
          <w:kern w:val="1"/>
          <w:lang w:eastAsia="ar-SA"/>
        </w:rPr>
        <w:t>Viļumsons</w:t>
      </w:r>
    </w:p>
    <w:p w:rsidR="009766E5" w:rsidP="000E5A28" w:rsidRDefault="009766E5" w14:paraId="018FFD17" w14:textId="0DB0F4A5">
      <w:pPr>
        <w:spacing w:before="120" w:after="120"/>
        <w:contextualSpacing/>
        <w:rPr>
          <w:sz w:val="16"/>
          <w:szCs w:val="16"/>
        </w:rPr>
      </w:pPr>
    </w:p>
    <w:p w:rsidR="00924F51" w:rsidP="000E5A28" w:rsidRDefault="00924F51" w14:paraId="58A6134A" w14:textId="41DD0015">
      <w:pPr>
        <w:spacing w:before="120" w:after="120"/>
        <w:contextualSpacing/>
        <w:rPr>
          <w:sz w:val="16"/>
          <w:szCs w:val="16"/>
        </w:rPr>
      </w:pPr>
    </w:p>
    <w:p w:rsidRPr="00061B4A" w:rsidR="00461610" w:rsidP="000E5A28" w:rsidRDefault="00461610" w14:paraId="5658FD25" w14:textId="77777777">
      <w:pPr>
        <w:spacing w:before="120" w:after="120"/>
        <w:contextualSpacing/>
        <w:rPr>
          <w:sz w:val="16"/>
          <w:szCs w:val="16"/>
        </w:rPr>
      </w:pPr>
    </w:p>
    <w:p w:rsidRPr="00594463" w:rsidR="00805F70" w:rsidP="00805F70" w:rsidRDefault="00805F70" w14:paraId="0208853D" w14:textId="77777777">
      <w:pPr>
        <w:suppressAutoHyphens/>
        <w:spacing w:before="120"/>
        <w:contextualSpacing/>
        <w:rPr>
          <w:sz w:val="20"/>
        </w:rPr>
      </w:pPr>
      <w:r w:rsidRPr="00594463">
        <w:rPr>
          <w:sz w:val="20"/>
        </w:rPr>
        <w:t>A. E. Maļinovska, 67016446</w:t>
      </w:r>
    </w:p>
    <w:p w:rsidRPr="00594463" w:rsidR="00282E27" w:rsidP="00061B4A" w:rsidRDefault="0065639E" w14:paraId="5C64C009" w14:textId="526F1F99">
      <w:pPr>
        <w:suppressAutoHyphens/>
        <w:spacing w:before="120"/>
        <w:contextualSpacing/>
        <w:rPr>
          <w:sz w:val="20"/>
        </w:rPr>
      </w:pPr>
      <w:r w:rsidRPr="00E03950">
        <w:rPr>
          <w:sz w:val="20"/>
        </w:rPr>
        <w:t>aliseeliza.malinovska@mfa.gov.lv</w:t>
      </w:r>
      <w:r>
        <w:rPr>
          <w:sz w:val="20"/>
        </w:rPr>
        <w:t xml:space="preserve"> </w:t>
      </w:r>
    </w:p>
    <w:sectPr w:rsidRPr="00594463" w:rsidR="00282E27" w:rsidSect="00145AAF">
      <w:footerReference r:id="rId8" w:type="default"/>
      <w:pgSz w:w="12240" w:h="15840"/>
      <w:pgMar w:top="964" w:right="1758" w:bottom="1276"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51575" w14:textId="77777777" w:rsidR="00140790" w:rsidRDefault="00140790" w:rsidP="00160121">
      <w:r>
        <w:separator/>
      </w:r>
    </w:p>
  </w:endnote>
  <w:endnote w:type="continuationSeparator" w:id="0">
    <w:p w14:paraId="2243D862" w14:textId="77777777" w:rsidR="00140790" w:rsidRDefault="00140790" w:rsidP="00160121">
      <w:r>
        <w:continuationSeparator/>
      </w:r>
    </w:p>
  </w:endnote>
  <w:endnote w:type="continuationNotice" w:id="1">
    <w:p w14:paraId="2EE3ACBA" w14:textId="77777777" w:rsidR="00140790" w:rsidRDefault="001407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599851"/>
      <w:docPartObj>
        <w:docPartGallery w:val="Page Numbers (Bottom of Page)"/>
        <w:docPartUnique/>
      </w:docPartObj>
    </w:sdtPr>
    <w:sdtEndPr>
      <w:rPr>
        <w:noProof/>
      </w:rPr>
    </w:sdtEndPr>
    <w:sdtContent>
      <w:p w14:paraId="629FC3A7" w14:textId="77777777" w:rsidR="0001294F" w:rsidRDefault="0001294F" w:rsidP="00145AAF">
        <w:pPr>
          <w:keepNext/>
          <w:keepLines/>
          <w:suppressAutoHyphens/>
          <w:jc w:val="both"/>
          <w:outlineLvl w:val="2"/>
        </w:pPr>
      </w:p>
      <w:p w14:paraId="49BA3E8E" w14:textId="529E0690" w:rsidR="00DF23F1" w:rsidRPr="00DF23F1" w:rsidRDefault="00A00ADC" w:rsidP="00145AAF">
        <w:pPr>
          <w:keepNext/>
          <w:keepLines/>
          <w:suppressAutoHyphens/>
          <w:jc w:val="both"/>
          <w:outlineLvl w:val="2"/>
          <w:rPr>
            <w:bCs/>
            <w:sz w:val="20"/>
            <w:szCs w:val="20"/>
          </w:rPr>
        </w:pPr>
        <w:r w:rsidRPr="00C43550">
          <w:rPr>
            <w:sz w:val="20"/>
            <w:szCs w:val="20"/>
          </w:rPr>
          <w:t>AMzino_</w:t>
        </w:r>
        <w:r w:rsidR="00E04B27" w:rsidRPr="00A72C66">
          <w:rPr>
            <w:sz w:val="20"/>
            <w:szCs w:val="20"/>
          </w:rPr>
          <w:t>2</w:t>
        </w:r>
        <w:r w:rsidR="00A52A75">
          <w:rPr>
            <w:sz w:val="20"/>
            <w:szCs w:val="20"/>
          </w:rPr>
          <w:t>6</w:t>
        </w:r>
        <w:r w:rsidR="00560A2A" w:rsidRPr="00A72C66">
          <w:rPr>
            <w:sz w:val="20"/>
            <w:szCs w:val="20"/>
          </w:rPr>
          <w:t>0</w:t>
        </w:r>
        <w:r w:rsidR="00282E27" w:rsidRPr="00A72C66">
          <w:rPr>
            <w:sz w:val="20"/>
            <w:szCs w:val="20"/>
          </w:rPr>
          <w:t>9</w:t>
        </w:r>
        <w:r w:rsidR="00BD4C17" w:rsidRPr="00A72C66">
          <w:rPr>
            <w:sz w:val="20"/>
            <w:szCs w:val="20"/>
          </w:rPr>
          <w:t>25</w:t>
        </w:r>
        <w:r w:rsidRPr="00C43550">
          <w:rPr>
            <w:sz w:val="20"/>
            <w:szCs w:val="20"/>
          </w:rPr>
          <w:t>;</w:t>
        </w:r>
        <w:r w:rsidR="00B534FB" w:rsidRPr="001024AC">
          <w:rPr>
            <w:bCs/>
            <w:sz w:val="20"/>
            <w:szCs w:val="20"/>
          </w:rPr>
          <w:t xml:space="preserve"> </w:t>
        </w:r>
        <w:r w:rsidR="00253336" w:rsidRPr="00253336">
          <w:rPr>
            <w:bCs/>
            <w:sz w:val="20"/>
            <w:szCs w:val="20"/>
          </w:rPr>
          <w:t>Informatīvais ziņojums</w:t>
        </w:r>
        <w:r w:rsidR="00253336">
          <w:rPr>
            <w:bCs/>
            <w:sz w:val="20"/>
            <w:szCs w:val="20"/>
          </w:rPr>
          <w:t xml:space="preserve"> </w:t>
        </w:r>
        <w:r w:rsidR="009675F0" w:rsidRPr="009675F0">
          <w:rPr>
            <w:bCs/>
            <w:sz w:val="20"/>
            <w:szCs w:val="20"/>
          </w:rPr>
          <w:t>“</w:t>
        </w:r>
        <w:r w:rsidR="00BD4C17" w:rsidRPr="00BD4C17">
          <w:rPr>
            <w:bCs/>
            <w:sz w:val="20"/>
            <w:szCs w:val="20"/>
          </w:rPr>
          <w:t xml:space="preserve">Par 2025. gada </w:t>
        </w:r>
        <w:r w:rsidR="00282E27">
          <w:rPr>
            <w:bCs/>
            <w:sz w:val="20"/>
            <w:szCs w:val="20"/>
          </w:rPr>
          <w:t>1</w:t>
        </w:r>
        <w:r w:rsidR="00BD4C17" w:rsidRPr="00BD4C17">
          <w:rPr>
            <w:bCs/>
            <w:sz w:val="20"/>
            <w:szCs w:val="20"/>
          </w:rPr>
          <w:t xml:space="preserve">.-2. </w:t>
        </w:r>
        <w:r w:rsidR="0069086C">
          <w:rPr>
            <w:bCs/>
            <w:sz w:val="20"/>
            <w:szCs w:val="20"/>
          </w:rPr>
          <w:t>oktobra</w:t>
        </w:r>
        <w:r w:rsidR="00BD4C17" w:rsidRPr="00BD4C17">
          <w:rPr>
            <w:bCs/>
            <w:sz w:val="20"/>
            <w:szCs w:val="20"/>
          </w:rPr>
          <w:t xml:space="preserve"> </w:t>
        </w:r>
        <w:r w:rsidR="00282E27" w:rsidRPr="00282E27">
          <w:rPr>
            <w:bCs/>
            <w:sz w:val="20"/>
            <w:szCs w:val="20"/>
          </w:rPr>
          <w:t>neformālajā Eiropadomē</w:t>
        </w:r>
        <w:r w:rsidR="00C723DC">
          <w:rPr>
            <w:bCs/>
            <w:sz w:val="20"/>
            <w:szCs w:val="20"/>
          </w:rPr>
          <w:t xml:space="preserve"> un </w:t>
        </w:r>
        <w:r w:rsidR="00C723DC" w:rsidRPr="00282E27">
          <w:rPr>
            <w:bCs/>
            <w:sz w:val="20"/>
            <w:szCs w:val="20"/>
          </w:rPr>
          <w:t>Eiropas politiskās kopienas sanāksmē</w:t>
        </w:r>
        <w:r w:rsidR="00282E27" w:rsidRPr="00282E27">
          <w:rPr>
            <w:bCs/>
            <w:sz w:val="20"/>
            <w:szCs w:val="20"/>
          </w:rPr>
          <w:t xml:space="preserve"> izskatāmajiem jautājumiem</w:t>
        </w:r>
        <w:r w:rsidR="009675F0" w:rsidRPr="009675F0">
          <w:rPr>
            <w:bCs/>
            <w:sz w:val="20"/>
            <w:szCs w:val="20"/>
          </w:rPr>
          <w:t>”</w:t>
        </w:r>
      </w:p>
      <w:p w14:paraId="08FEAED9" w14:textId="4D27EF1D" w:rsidR="00160121" w:rsidRDefault="00A3363C" w:rsidP="005B3FF0">
        <w:pPr>
          <w:keepNext/>
          <w:keepLines/>
          <w:suppressAutoHyphens/>
          <w:spacing w:before="200"/>
          <w:jc w:val="center"/>
          <w:outlineLvl w:val="2"/>
        </w:pPr>
        <w:r>
          <w:fldChar w:fldCharType="begin"/>
        </w:r>
        <w:r>
          <w:instrText xml:space="preserve"> PAGE   \* MERGEFORMAT </w:instrText>
        </w:r>
        <w:r>
          <w:fldChar w:fldCharType="separate"/>
        </w:r>
        <w:r w:rsidR="009E285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EF9F9" w14:textId="77777777" w:rsidR="00140790" w:rsidRDefault="00140790" w:rsidP="00160121">
      <w:r>
        <w:separator/>
      </w:r>
    </w:p>
  </w:footnote>
  <w:footnote w:type="continuationSeparator" w:id="0">
    <w:p w14:paraId="350A95D3" w14:textId="77777777" w:rsidR="00140790" w:rsidRDefault="00140790" w:rsidP="00160121">
      <w:r>
        <w:continuationSeparator/>
      </w:r>
    </w:p>
  </w:footnote>
  <w:footnote w:type="continuationNotice" w:id="1">
    <w:p w14:paraId="3419ABF0" w14:textId="77777777" w:rsidR="00140790" w:rsidRDefault="00140790"/>
  </w:footnote>
  <w:footnote w:id="2">
    <w:p w14:paraId="10DEEBE8" w14:textId="08478FE5" w:rsidR="00594463" w:rsidRDefault="00594463" w:rsidP="0020777B">
      <w:pPr>
        <w:pStyle w:val="FootnoteText"/>
        <w:jc w:val="both"/>
      </w:pPr>
      <w:r>
        <w:rPr>
          <w:rStyle w:val="FootnoteReference"/>
        </w:rPr>
        <w:footnoteRef/>
      </w:r>
      <w:r>
        <w:t xml:space="preserve"> Informatīvā ziņojuma sagatavošanas laikā nav pieejami darba dokumenti par EPK apaļā galda diskusiju tēmām, kas iezīmētu precīzāku diskusijas tvērumu.</w:t>
      </w:r>
    </w:p>
  </w:footnote>
  <w:footnote w:id="3">
    <w:p w14:paraId="7A2C9AA5" w14:textId="77777777" w:rsidR="00D01FEA" w:rsidRDefault="00D01FEA" w:rsidP="00D01FEA">
      <w:pPr>
        <w:pStyle w:val="FootnoteText"/>
        <w:jc w:val="both"/>
      </w:pPr>
      <w:r>
        <w:rPr>
          <w:rStyle w:val="FootnoteReference"/>
        </w:rPr>
        <w:footnoteRef/>
      </w:r>
      <w:r>
        <w:t xml:space="preserve"> </w:t>
      </w:r>
      <w:r w:rsidRPr="00770BB4">
        <w:t>Albānija, Andora, Apvienotā Karaliste, Armēnija, Azerbaidžāna, Bosnija un Hercegovina, Gruzija, Islande, Kosova, Lihtenšteina, Melnkalne, Moldova, Monako, Norvēģija, Sanmarīno, Serbija, Šveice, Turcija, Ukraina un Ziemeļmaķedonija.</w:t>
      </w:r>
    </w:p>
  </w:footnote>
  <w:footnote w:id="4">
    <w:p w14:paraId="78C008F2" w14:textId="22D34896" w:rsidR="0001294F" w:rsidRDefault="00B933E2" w:rsidP="00B933E2">
      <w:pPr>
        <w:pStyle w:val="FootnoteText"/>
        <w:jc w:val="both"/>
      </w:pPr>
      <w:r>
        <w:rPr>
          <w:rStyle w:val="FootnoteReference"/>
        </w:rPr>
        <w:footnoteRef/>
      </w:r>
      <w:r>
        <w:t xml:space="preserve"> </w:t>
      </w:r>
      <w:r w:rsidR="00706068">
        <w:t xml:space="preserve">Nacionālā </w:t>
      </w:r>
      <w:r w:rsidRPr="00D17347">
        <w:t>pozīcija Nr.</w:t>
      </w:r>
      <w:r w:rsidR="0001294F">
        <w:t xml:space="preserve"> </w:t>
      </w:r>
      <w:r w:rsidRPr="00D17347">
        <w:t>1 “Par 2025.</w:t>
      </w:r>
      <w:r w:rsidR="001E759D">
        <w:t xml:space="preserve"> </w:t>
      </w:r>
      <w:r w:rsidRPr="00D17347">
        <w:t>gada 26.-27.</w:t>
      </w:r>
      <w:r w:rsidR="001E759D">
        <w:t xml:space="preserve"> </w:t>
      </w:r>
      <w:r w:rsidRPr="00D17347">
        <w:t>jūnija Eiropadomē izskatāmajiem jautājumiem”</w:t>
      </w:r>
      <w:r w:rsidR="00706068" w:rsidRPr="00706068">
        <w:t xml:space="preserve"> </w:t>
      </w:r>
      <w:r w:rsidR="00706068" w:rsidRPr="002E408F">
        <w:t>apstiprināta Ministru kabinetā 202</w:t>
      </w:r>
      <w:r w:rsidR="0001294F">
        <w:t>5</w:t>
      </w:r>
      <w:r w:rsidR="00706068" w:rsidRPr="002E408F">
        <w:t>. gada 1</w:t>
      </w:r>
      <w:r w:rsidR="0001294F">
        <w:t>7</w:t>
      </w:r>
      <w:r w:rsidR="00706068" w:rsidRPr="002E408F">
        <w:t xml:space="preserve">. </w:t>
      </w:r>
      <w:r w:rsidR="0001294F">
        <w:t>jūnijā</w:t>
      </w:r>
      <w:r w:rsidR="00706068" w:rsidRPr="002E408F">
        <w:t xml:space="preserve"> un </w:t>
      </w:r>
      <w:r w:rsidR="00706068" w:rsidRPr="002E408F">
        <w:rPr>
          <w:iCs/>
        </w:rPr>
        <w:t>Saeimas Eiropas lietu komisijā</w:t>
      </w:r>
      <w:r w:rsidR="00706068">
        <w:rPr>
          <w:iCs/>
        </w:rPr>
        <w:t xml:space="preserve"> </w:t>
      </w:r>
      <w:r w:rsidR="0001294F">
        <w:rPr>
          <w:iCs/>
        </w:rPr>
        <w:t>20.</w:t>
      </w:r>
      <w:r w:rsidR="00706068" w:rsidRPr="002E408F">
        <w:rPr>
          <w:iCs/>
        </w:rPr>
        <w:t> </w:t>
      </w:r>
      <w:r w:rsidR="0001294F">
        <w:rPr>
          <w:iCs/>
        </w:rPr>
        <w:t>jūnijā</w:t>
      </w:r>
      <w:r w:rsidRPr="00D17347">
        <w:t>.</w:t>
      </w:r>
    </w:p>
  </w:footnote>
  <w:footnote w:id="5">
    <w:p w14:paraId="2659A521" w14:textId="196C654D" w:rsidR="00A77920" w:rsidRDefault="00A77920" w:rsidP="00A77920">
      <w:pPr>
        <w:pStyle w:val="FootnoteText"/>
        <w:jc w:val="both"/>
      </w:pPr>
      <w:r>
        <w:rPr>
          <w:rStyle w:val="FootnoteReference"/>
        </w:rPr>
        <w:footnoteRef/>
      </w:r>
      <w:r>
        <w:t xml:space="preserve"> 2025.</w:t>
      </w:r>
      <w:r w:rsidR="004351BA">
        <w:t xml:space="preserve"> </w:t>
      </w:r>
      <w:r>
        <w:t>gada 10.</w:t>
      </w:r>
      <w:r w:rsidR="004351BA">
        <w:t xml:space="preserve"> </w:t>
      </w:r>
      <w:r>
        <w:t>septembr</w:t>
      </w:r>
      <w:r w:rsidR="004B13BB">
        <w:t>a</w:t>
      </w:r>
      <w:r>
        <w:t xml:space="preserve"> rītā notikušais incidents ar daudzskaitlīgu Krievijas uzbrukumdronu ielidošanu Polijas gaisa telpā, kā arī 17.</w:t>
      </w:r>
      <w:r w:rsidR="004351BA">
        <w:t xml:space="preserve"> </w:t>
      </w:r>
      <w:r>
        <w:t>septembrī Lietuvas iestāžu veiktā Krievijas specdienestu koordinētā sabotāžas tīkla atklāšana un aizdomās turamo apcietināšana.</w:t>
      </w:r>
    </w:p>
  </w:footnote>
  <w:footnote w:id="6">
    <w:p w14:paraId="61F0B833" w14:textId="7AECA50C" w:rsidR="001C2511" w:rsidRPr="00F83683" w:rsidRDefault="001C2511" w:rsidP="0020777B">
      <w:pPr>
        <w:pStyle w:val="FootnoteText"/>
        <w:jc w:val="both"/>
      </w:pPr>
      <w:r w:rsidRPr="00F83683">
        <w:rPr>
          <w:rStyle w:val="FootnoteReference"/>
        </w:rPr>
        <w:footnoteRef/>
      </w:r>
      <w:r w:rsidRPr="00F83683">
        <w:t xml:space="preserve"> Nacionālā pozīcija Nr. 1 “Par 2025.</w:t>
      </w:r>
      <w:r w:rsidR="001D64CA" w:rsidRPr="00F83683">
        <w:t xml:space="preserve"> </w:t>
      </w:r>
      <w:r w:rsidRPr="00F83683">
        <w:t>gada 26.-27.</w:t>
      </w:r>
      <w:r w:rsidR="001D64CA" w:rsidRPr="00F83683">
        <w:t xml:space="preserve"> </w:t>
      </w:r>
      <w:r w:rsidRPr="00F83683">
        <w:t xml:space="preserve">jūnija Eiropadomē izskatāmajiem jautājumiem” </w:t>
      </w:r>
      <w:r w:rsidRPr="00594463">
        <w:t>apstiprināta Ministru kabinetā 2025. gada 17. jūnijā</w:t>
      </w:r>
      <w:r w:rsidRPr="00F83683">
        <w:t xml:space="preserve"> un </w:t>
      </w:r>
      <w:r w:rsidRPr="00F83683">
        <w:rPr>
          <w:iCs/>
        </w:rPr>
        <w:t>Saeimas Eiropas lietu komisijā 20. jūnijā</w:t>
      </w:r>
      <w:r w:rsidRPr="00F83683">
        <w:t xml:space="preserve">. </w:t>
      </w:r>
    </w:p>
  </w:footnote>
  <w:footnote w:id="7">
    <w:p w14:paraId="695CFDE4" w14:textId="6704DCA6" w:rsidR="001C2511" w:rsidRPr="00F83683" w:rsidRDefault="001C2511" w:rsidP="0020777B">
      <w:pPr>
        <w:pStyle w:val="FootnoteText"/>
        <w:jc w:val="both"/>
      </w:pPr>
      <w:r w:rsidRPr="00F83683">
        <w:rPr>
          <w:rStyle w:val="FootnoteReference"/>
        </w:rPr>
        <w:footnoteRef/>
      </w:r>
      <w:r w:rsidR="00F83683" w:rsidRPr="00F83683">
        <w:t xml:space="preserve"> </w:t>
      </w:r>
      <w:r w:rsidRPr="00F83683">
        <w:t xml:space="preserve">Nacionālā pozīcija Nr. 1 </w:t>
      </w:r>
      <w:r w:rsidR="00F83683" w:rsidRPr="00F83683">
        <w:t>“P</w:t>
      </w:r>
      <w:r w:rsidRPr="00F83683">
        <w:t xml:space="preserve">ar 2025. gada 20.-21. marta Eiropadomē izskatāmajiem jautājumiem” apstiprināta Ministru kabinetā 2025. gada 18. martā un Saeimas Eiropas lietu komisijā 19. martā. </w:t>
      </w:r>
    </w:p>
  </w:footnote>
  <w:footnote w:id="8">
    <w:p w14:paraId="29B15E3C" w14:textId="3306786B" w:rsidR="006C10BF" w:rsidRPr="0020777B" w:rsidRDefault="006C10BF" w:rsidP="001D64CA">
      <w:pPr>
        <w:jc w:val="both"/>
        <w:rPr>
          <w:b/>
          <w:sz w:val="20"/>
          <w:szCs w:val="20"/>
        </w:rPr>
      </w:pPr>
      <w:r w:rsidRPr="0020777B">
        <w:rPr>
          <w:rStyle w:val="FootnoteReference"/>
          <w:sz w:val="20"/>
          <w:szCs w:val="20"/>
        </w:rPr>
        <w:footnoteRef/>
      </w:r>
      <w:r w:rsidRPr="0020777B">
        <w:rPr>
          <w:sz w:val="20"/>
          <w:szCs w:val="20"/>
        </w:rPr>
        <w:t xml:space="preserve"> </w:t>
      </w:r>
      <w:r w:rsidRPr="00F83683">
        <w:rPr>
          <w:sz w:val="20"/>
          <w:szCs w:val="20"/>
        </w:rPr>
        <w:t xml:space="preserve">Nacionālā pozīcija Nr. 1 “Par Kopīgo paziņojumu Eiropas Parlamentam, Eiropadomei, Padomei, Eiropas Ekonomikas un sociālo lietu komitejai un Reģionu komitejai par Eiropas gatavības savienības stratēģiju” apstiprināta Ministru kabinetā 2025. gada 20. maijā un </w:t>
      </w:r>
      <w:r w:rsidRPr="00F83683">
        <w:rPr>
          <w:iCs/>
          <w:sz w:val="20"/>
          <w:szCs w:val="20"/>
        </w:rPr>
        <w:t>Saeimas Eiropas lietu komisijā 11. jūnijā</w:t>
      </w:r>
      <w:r w:rsidRPr="00F83683">
        <w:rPr>
          <w:sz w:val="20"/>
          <w:szCs w:val="20"/>
        </w:rPr>
        <w:t>.</w:t>
      </w:r>
      <w:r w:rsidRPr="0020777B">
        <w:rPr>
          <w:sz w:val="20"/>
          <w:szCs w:val="20"/>
        </w:rPr>
        <w:t xml:space="preserve"> </w:t>
      </w:r>
    </w:p>
  </w:footnote>
  <w:footnote w:id="9">
    <w:p w14:paraId="2701762F" w14:textId="1A467611" w:rsidR="00163BA7" w:rsidRPr="00F83683" w:rsidRDefault="00163BA7" w:rsidP="0020777B">
      <w:pPr>
        <w:pStyle w:val="FootnoteText"/>
        <w:jc w:val="both"/>
      </w:pPr>
      <w:r w:rsidRPr="00F83683">
        <w:rPr>
          <w:rStyle w:val="FootnoteReference"/>
        </w:rPr>
        <w:footnoteRef/>
      </w:r>
      <w:r w:rsidRPr="00F83683">
        <w:t xml:space="preserve"> Nacionālā pozīcija Nr. 1 par Komisijas paziņojumu Eiropas Parlamentam, Padomei, Eiropas Ekonomikas un sociālo lietu komitejai un Reģionu komitejai par Eiropas iekšējās drošības stratēģiju – ProtectEU apstiprināta Ministru kabinetā 2025. gada 10.jūnijā un Saeimas Eiropa</w:t>
      </w:r>
      <w:r w:rsidRPr="00594463">
        <w:t>s lietu komisijā 11.j</w:t>
      </w:r>
      <w:r w:rsidRPr="00F83683">
        <w:t>ūnijā.</w:t>
      </w:r>
    </w:p>
  </w:footnote>
  <w:footnote w:id="10">
    <w:p w14:paraId="7E1FB25A" w14:textId="0E8F1182" w:rsidR="00163BA7" w:rsidRPr="00594463" w:rsidRDefault="00163BA7" w:rsidP="0020777B">
      <w:pPr>
        <w:pStyle w:val="FootnoteText"/>
        <w:jc w:val="both"/>
      </w:pPr>
      <w:r w:rsidRPr="00F83683">
        <w:rPr>
          <w:rStyle w:val="FootnoteReference"/>
        </w:rPr>
        <w:footnoteRef/>
      </w:r>
      <w:r w:rsidRPr="00F83683">
        <w:t xml:space="preserve"> Nacionālā pozīcija Nr.</w:t>
      </w:r>
      <w:r w:rsidR="00F83683">
        <w:t xml:space="preserve"> </w:t>
      </w:r>
      <w:r w:rsidRPr="00F83683">
        <w:t>2 par Migrācijas un patvēruma pakta pakotni apstiprināta 2024. gada 6. februāra Ministru kabineta sēdē un saskaņota ar Saeimas Eiropas lietu komisiju 7.</w:t>
      </w:r>
      <w:r w:rsidRPr="00594463">
        <w:t xml:space="preserve"> februārī.</w:t>
      </w:r>
    </w:p>
  </w:footnote>
  <w:footnote w:id="11">
    <w:p w14:paraId="210A1943" w14:textId="1B1E0507" w:rsidR="00163BA7" w:rsidRDefault="00163BA7" w:rsidP="0020777B">
      <w:pPr>
        <w:pStyle w:val="FootnoteText"/>
        <w:jc w:val="both"/>
      </w:pPr>
      <w:r w:rsidRPr="00F83683">
        <w:rPr>
          <w:rStyle w:val="FootnoteReference"/>
        </w:rPr>
        <w:footnoteRef/>
      </w:r>
      <w:r w:rsidRPr="00F83683">
        <w:t xml:space="preserve"> Nacionālā pozīcija Nr. 1 par priekšlikumu Eiropas Parlamenta un Padomes Regulai, ar ko izveido kopēju sistēmu to trešo valstu valstspiederīgo atgriešanai, kuri nelikumīgi uzturas Savienībā, un atceļ Eiropas Parlamenta un Padomes Direktīvu 2008/115/EK, Padomes Direktīvu 2001/40/EK un Padomes Lē</w:t>
      </w:r>
      <w:r w:rsidRPr="00594463">
        <w:t>mumu 2004/191/EK apstiprināta 2025.</w:t>
      </w:r>
      <w:r w:rsidR="00F83683">
        <w:t xml:space="preserve"> </w:t>
      </w:r>
      <w:r w:rsidRPr="00F83683">
        <w:t>gada 13.</w:t>
      </w:r>
      <w:r w:rsidR="00F83683">
        <w:t xml:space="preserve"> </w:t>
      </w:r>
      <w:r w:rsidRPr="00F83683">
        <w:t>maija Ministru kabineta sēdē un saskaņota ar Saeimas Eiropas lietu komisiju 16.</w:t>
      </w:r>
      <w:r w:rsidR="00F83683">
        <w:t xml:space="preserve"> </w:t>
      </w:r>
      <w:r w:rsidRPr="00F83683">
        <w:t>maijā.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1D6C"/>
    <w:multiLevelType w:val="hybridMultilevel"/>
    <w:tmpl w:val="FBFC86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66148F"/>
    <w:multiLevelType w:val="hybridMultilevel"/>
    <w:tmpl w:val="E7125C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C51176"/>
    <w:multiLevelType w:val="hybridMultilevel"/>
    <w:tmpl w:val="228CC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E02586"/>
    <w:multiLevelType w:val="hybridMultilevel"/>
    <w:tmpl w:val="999EEC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1C0827"/>
    <w:multiLevelType w:val="hybridMultilevel"/>
    <w:tmpl w:val="4AF64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B46B4B"/>
    <w:multiLevelType w:val="hybridMultilevel"/>
    <w:tmpl w:val="27100B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6BC6A62"/>
    <w:multiLevelType w:val="hybridMultilevel"/>
    <w:tmpl w:val="220819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C9E7D80"/>
    <w:multiLevelType w:val="hybridMultilevel"/>
    <w:tmpl w:val="CE02C3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CEE1E93"/>
    <w:multiLevelType w:val="hybridMultilevel"/>
    <w:tmpl w:val="4B4ACC9C"/>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9" w15:restartNumberingAfterBreak="0">
    <w:nsid w:val="1CFB7159"/>
    <w:multiLevelType w:val="hybridMultilevel"/>
    <w:tmpl w:val="64F2FC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E1B3BB3"/>
    <w:multiLevelType w:val="hybridMultilevel"/>
    <w:tmpl w:val="EFC601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B20233"/>
    <w:multiLevelType w:val="hybridMultilevel"/>
    <w:tmpl w:val="0E4E18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75F107A"/>
    <w:multiLevelType w:val="hybridMultilevel"/>
    <w:tmpl w:val="A09C12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646735"/>
    <w:multiLevelType w:val="hybridMultilevel"/>
    <w:tmpl w:val="117C1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4C1438"/>
    <w:multiLevelType w:val="hybridMultilevel"/>
    <w:tmpl w:val="5F5CBB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A5408E7"/>
    <w:multiLevelType w:val="hybridMultilevel"/>
    <w:tmpl w:val="60F40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D276B21"/>
    <w:multiLevelType w:val="hybridMultilevel"/>
    <w:tmpl w:val="18E420E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602215B"/>
    <w:multiLevelType w:val="hybridMultilevel"/>
    <w:tmpl w:val="FC1ECC6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36104287"/>
    <w:multiLevelType w:val="hybridMultilevel"/>
    <w:tmpl w:val="CE90F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7422B64"/>
    <w:multiLevelType w:val="hybridMultilevel"/>
    <w:tmpl w:val="0F047034"/>
    <w:lvl w:ilvl="0" w:tplc="A29E27C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39552AAB"/>
    <w:multiLevelType w:val="hybridMultilevel"/>
    <w:tmpl w:val="49768CE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47332757"/>
    <w:multiLevelType w:val="hybridMultilevel"/>
    <w:tmpl w:val="B77A38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7875698"/>
    <w:multiLevelType w:val="hybridMultilevel"/>
    <w:tmpl w:val="875EA6D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3" w15:restartNumberingAfterBreak="0">
    <w:nsid w:val="49046199"/>
    <w:multiLevelType w:val="hybridMultilevel"/>
    <w:tmpl w:val="1010AF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B866B4"/>
    <w:multiLevelType w:val="hybridMultilevel"/>
    <w:tmpl w:val="2968D2DA"/>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25" w15:restartNumberingAfterBreak="0">
    <w:nsid w:val="49E40278"/>
    <w:multiLevelType w:val="hybridMultilevel"/>
    <w:tmpl w:val="6944DCB4"/>
    <w:lvl w:ilvl="0" w:tplc="272AD366">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4DDE0AA1"/>
    <w:multiLevelType w:val="hybridMultilevel"/>
    <w:tmpl w:val="7B969A8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519A5513"/>
    <w:multiLevelType w:val="hybridMultilevel"/>
    <w:tmpl w:val="280EE3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39C52BD"/>
    <w:multiLevelType w:val="hybridMultilevel"/>
    <w:tmpl w:val="E3F255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C34B5C"/>
    <w:multiLevelType w:val="hybridMultilevel"/>
    <w:tmpl w:val="2FB46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7CD2074"/>
    <w:multiLevelType w:val="hybridMultilevel"/>
    <w:tmpl w:val="7F4C010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57D42431"/>
    <w:multiLevelType w:val="hybridMultilevel"/>
    <w:tmpl w:val="4BE881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8981695"/>
    <w:multiLevelType w:val="hybridMultilevel"/>
    <w:tmpl w:val="F9A48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2AA5953"/>
    <w:multiLevelType w:val="hybridMultilevel"/>
    <w:tmpl w:val="30BE4D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63F15CAB"/>
    <w:multiLevelType w:val="hybridMultilevel"/>
    <w:tmpl w:val="C0C496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4A85ED6"/>
    <w:multiLevelType w:val="hybridMultilevel"/>
    <w:tmpl w:val="0838BAD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6A0B65F0"/>
    <w:multiLevelType w:val="hybridMultilevel"/>
    <w:tmpl w:val="F51E3540"/>
    <w:lvl w:ilvl="0" w:tplc="C14AC634">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6C2C1244"/>
    <w:multiLevelType w:val="hybridMultilevel"/>
    <w:tmpl w:val="014614EE"/>
    <w:lvl w:ilvl="0" w:tplc="37C4BFA8">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1627BFB"/>
    <w:multiLevelType w:val="hybridMultilevel"/>
    <w:tmpl w:val="DFF8A97A"/>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9" w15:restartNumberingAfterBreak="0">
    <w:nsid w:val="723776F5"/>
    <w:multiLevelType w:val="hybridMultilevel"/>
    <w:tmpl w:val="C62065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AE61261"/>
    <w:multiLevelType w:val="hybridMultilevel"/>
    <w:tmpl w:val="89E22F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BD020BF"/>
    <w:multiLevelType w:val="multilevel"/>
    <w:tmpl w:val="D7C2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B63887"/>
    <w:multiLevelType w:val="hybridMultilevel"/>
    <w:tmpl w:val="9CFE2D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EFF5957"/>
    <w:multiLevelType w:val="hybridMultilevel"/>
    <w:tmpl w:val="5022B2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2"/>
  </w:num>
  <w:num w:numId="2">
    <w:abstractNumId w:val="5"/>
  </w:num>
  <w:num w:numId="3">
    <w:abstractNumId w:val="16"/>
  </w:num>
  <w:num w:numId="4">
    <w:abstractNumId w:val="1"/>
  </w:num>
  <w:num w:numId="5">
    <w:abstractNumId w:val="35"/>
  </w:num>
  <w:num w:numId="6">
    <w:abstractNumId w:val="30"/>
  </w:num>
  <w:num w:numId="7">
    <w:abstractNumId w:val="17"/>
  </w:num>
  <w:num w:numId="8">
    <w:abstractNumId w:val="33"/>
  </w:num>
  <w:num w:numId="9">
    <w:abstractNumId w:val="38"/>
  </w:num>
  <w:num w:numId="10">
    <w:abstractNumId w:val="26"/>
  </w:num>
  <w:num w:numId="11">
    <w:abstractNumId w:val="21"/>
  </w:num>
  <w:num w:numId="12">
    <w:abstractNumId w:val="11"/>
  </w:num>
  <w:num w:numId="13">
    <w:abstractNumId w:val="7"/>
  </w:num>
  <w:num w:numId="14">
    <w:abstractNumId w:val="37"/>
  </w:num>
  <w:num w:numId="15">
    <w:abstractNumId w:val="20"/>
  </w:num>
  <w:num w:numId="16">
    <w:abstractNumId w:val="43"/>
  </w:num>
  <w:num w:numId="17">
    <w:abstractNumId w:val="36"/>
  </w:num>
  <w:num w:numId="18">
    <w:abstractNumId w:val="8"/>
  </w:num>
  <w:num w:numId="19">
    <w:abstractNumId w:val="24"/>
  </w:num>
  <w:num w:numId="20">
    <w:abstractNumId w:val="34"/>
  </w:num>
  <w:num w:numId="21">
    <w:abstractNumId w:val="0"/>
  </w:num>
  <w:num w:numId="22">
    <w:abstractNumId w:val="10"/>
  </w:num>
  <w:num w:numId="23">
    <w:abstractNumId w:val="28"/>
  </w:num>
  <w:num w:numId="24">
    <w:abstractNumId w:val="4"/>
  </w:num>
  <w:num w:numId="25">
    <w:abstractNumId w:val="29"/>
  </w:num>
  <w:num w:numId="26">
    <w:abstractNumId w:val="15"/>
  </w:num>
  <w:num w:numId="27">
    <w:abstractNumId w:val="2"/>
  </w:num>
  <w:num w:numId="28">
    <w:abstractNumId w:val="12"/>
  </w:num>
  <w:num w:numId="29">
    <w:abstractNumId w:val="3"/>
  </w:num>
  <w:num w:numId="30">
    <w:abstractNumId w:val="41"/>
  </w:num>
  <w:num w:numId="31">
    <w:abstractNumId w:val="4"/>
  </w:num>
  <w:num w:numId="32">
    <w:abstractNumId w:val="9"/>
  </w:num>
  <w:num w:numId="33">
    <w:abstractNumId w:val="13"/>
  </w:num>
  <w:num w:numId="34">
    <w:abstractNumId w:val="23"/>
  </w:num>
  <w:num w:numId="35">
    <w:abstractNumId w:val="32"/>
  </w:num>
  <w:num w:numId="36">
    <w:abstractNumId w:val="19"/>
  </w:num>
  <w:num w:numId="37">
    <w:abstractNumId w:val="25"/>
  </w:num>
  <w:num w:numId="38">
    <w:abstractNumId w:val="18"/>
  </w:num>
  <w:num w:numId="39">
    <w:abstractNumId w:val="14"/>
  </w:num>
  <w:num w:numId="40">
    <w:abstractNumId w:val="31"/>
  </w:num>
  <w:num w:numId="41">
    <w:abstractNumId w:val="42"/>
  </w:num>
  <w:num w:numId="42">
    <w:abstractNumId w:val="40"/>
  </w:num>
  <w:num w:numId="43">
    <w:abstractNumId w:val="42"/>
    <w:lvlOverride w:ilvl="0"/>
    <w:lvlOverride w:ilvl="1">
      <w:startOverride w:val="1"/>
    </w:lvlOverride>
    <w:lvlOverride w:ilvl="2"/>
    <w:lvlOverride w:ilvl="3"/>
    <w:lvlOverride w:ilvl="4"/>
    <w:lvlOverride w:ilvl="5"/>
    <w:lvlOverride w:ilvl="6"/>
    <w:lvlOverride w:ilvl="7"/>
    <w:lvlOverride w:ilvl="8"/>
  </w:num>
  <w:num w:numId="44">
    <w:abstractNumId w:val="39"/>
  </w:num>
  <w:num w:numId="45">
    <w:abstractNumId w:val="27"/>
  </w:num>
  <w:num w:numId="46">
    <w:abstractNumId w:val="6"/>
  </w:num>
  <w:num w:numId="47">
    <w:abstractNumId w:val="14"/>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activeWritingStyle w:appName="MSWord" w:lang="fr-FR" w:vendorID="64" w:dllVersion="6" w:nlCheck="1" w:checkStyle="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6D4"/>
    <w:rsid w:val="000040AB"/>
    <w:rsid w:val="000041CB"/>
    <w:rsid w:val="00010E4B"/>
    <w:rsid w:val="00011E86"/>
    <w:rsid w:val="0001294F"/>
    <w:rsid w:val="00013010"/>
    <w:rsid w:val="0001538B"/>
    <w:rsid w:val="00020671"/>
    <w:rsid w:val="00033096"/>
    <w:rsid w:val="000334F2"/>
    <w:rsid w:val="00033F3D"/>
    <w:rsid w:val="00034437"/>
    <w:rsid w:val="000346BA"/>
    <w:rsid w:val="000420C6"/>
    <w:rsid w:val="000501AC"/>
    <w:rsid w:val="000537DC"/>
    <w:rsid w:val="0005696A"/>
    <w:rsid w:val="00057222"/>
    <w:rsid w:val="00060E31"/>
    <w:rsid w:val="00061B4A"/>
    <w:rsid w:val="00072670"/>
    <w:rsid w:val="00072C49"/>
    <w:rsid w:val="00072ED1"/>
    <w:rsid w:val="00074FEA"/>
    <w:rsid w:val="000859AF"/>
    <w:rsid w:val="000871BC"/>
    <w:rsid w:val="00087874"/>
    <w:rsid w:val="000908B4"/>
    <w:rsid w:val="00090CB4"/>
    <w:rsid w:val="000911CE"/>
    <w:rsid w:val="0009550F"/>
    <w:rsid w:val="00097E67"/>
    <w:rsid w:val="000A0CCA"/>
    <w:rsid w:val="000A10AA"/>
    <w:rsid w:val="000C23AD"/>
    <w:rsid w:val="000C2AE9"/>
    <w:rsid w:val="000C5B11"/>
    <w:rsid w:val="000C603C"/>
    <w:rsid w:val="000D4ABF"/>
    <w:rsid w:val="000D6957"/>
    <w:rsid w:val="000E55E5"/>
    <w:rsid w:val="000E5A28"/>
    <w:rsid w:val="000E7519"/>
    <w:rsid w:val="000F112E"/>
    <w:rsid w:val="000F2503"/>
    <w:rsid w:val="000F2685"/>
    <w:rsid w:val="000F35BC"/>
    <w:rsid w:val="001013AA"/>
    <w:rsid w:val="001018C8"/>
    <w:rsid w:val="00102B94"/>
    <w:rsid w:val="001042A6"/>
    <w:rsid w:val="00107B85"/>
    <w:rsid w:val="001111EF"/>
    <w:rsid w:val="001130FD"/>
    <w:rsid w:val="0011334C"/>
    <w:rsid w:val="00122846"/>
    <w:rsid w:val="001256BF"/>
    <w:rsid w:val="00125A63"/>
    <w:rsid w:val="00127FC8"/>
    <w:rsid w:val="001316E3"/>
    <w:rsid w:val="00131B3A"/>
    <w:rsid w:val="00132C44"/>
    <w:rsid w:val="001338E7"/>
    <w:rsid w:val="00134DAD"/>
    <w:rsid w:val="00140790"/>
    <w:rsid w:val="00142977"/>
    <w:rsid w:val="001441BC"/>
    <w:rsid w:val="00144BCA"/>
    <w:rsid w:val="00145AAF"/>
    <w:rsid w:val="00146122"/>
    <w:rsid w:val="00146309"/>
    <w:rsid w:val="00150183"/>
    <w:rsid w:val="00154F58"/>
    <w:rsid w:val="00155012"/>
    <w:rsid w:val="00155A8E"/>
    <w:rsid w:val="00160121"/>
    <w:rsid w:val="0016227D"/>
    <w:rsid w:val="00163BA7"/>
    <w:rsid w:val="00165774"/>
    <w:rsid w:val="00165E36"/>
    <w:rsid w:val="0016633E"/>
    <w:rsid w:val="0016722E"/>
    <w:rsid w:val="00170014"/>
    <w:rsid w:val="00173E94"/>
    <w:rsid w:val="001746D4"/>
    <w:rsid w:val="00177B0C"/>
    <w:rsid w:val="00185146"/>
    <w:rsid w:val="00185323"/>
    <w:rsid w:val="00185CAD"/>
    <w:rsid w:val="001878C3"/>
    <w:rsid w:val="00195DCA"/>
    <w:rsid w:val="00196078"/>
    <w:rsid w:val="001A2535"/>
    <w:rsid w:val="001A4C0A"/>
    <w:rsid w:val="001A6F68"/>
    <w:rsid w:val="001B1B88"/>
    <w:rsid w:val="001B30FD"/>
    <w:rsid w:val="001B59DE"/>
    <w:rsid w:val="001B6C54"/>
    <w:rsid w:val="001C0974"/>
    <w:rsid w:val="001C120A"/>
    <w:rsid w:val="001C21D0"/>
    <w:rsid w:val="001C2511"/>
    <w:rsid w:val="001C36D5"/>
    <w:rsid w:val="001D28FE"/>
    <w:rsid w:val="001D4C95"/>
    <w:rsid w:val="001D4E73"/>
    <w:rsid w:val="001D5A89"/>
    <w:rsid w:val="001D5C71"/>
    <w:rsid w:val="001D64CA"/>
    <w:rsid w:val="001E4A79"/>
    <w:rsid w:val="001E54BD"/>
    <w:rsid w:val="001E6EE3"/>
    <w:rsid w:val="001E759D"/>
    <w:rsid w:val="001F085D"/>
    <w:rsid w:val="001F18E0"/>
    <w:rsid w:val="001F3C2F"/>
    <w:rsid w:val="001F4C0D"/>
    <w:rsid w:val="00204A0D"/>
    <w:rsid w:val="00205626"/>
    <w:rsid w:val="00206063"/>
    <w:rsid w:val="0020698D"/>
    <w:rsid w:val="0020777B"/>
    <w:rsid w:val="0020784E"/>
    <w:rsid w:val="0021381A"/>
    <w:rsid w:val="00214FEE"/>
    <w:rsid w:val="00217174"/>
    <w:rsid w:val="0021721B"/>
    <w:rsid w:val="00221DD5"/>
    <w:rsid w:val="002225D1"/>
    <w:rsid w:val="00224BA0"/>
    <w:rsid w:val="00225790"/>
    <w:rsid w:val="002265E4"/>
    <w:rsid w:val="00231474"/>
    <w:rsid w:val="002450BA"/>
    <w:rsid w:val="002457BF"/>
    <w:rsid w:val="00246D55"/>
    <w:rsid w:val="0024719F"/>
    <w:rsid w:val="00250A41"/>
    <w:rsid w:val="002530A8"/>
    <w:rsid w:val="00253336"/>
    <w:rsid w:val="002555AA"/>
    <w:rsid w:val="0025561F"/>
    <w:rsid w:val="00256A39"/>
    <w:rsid w:val="002576EF"/>
    <w:rsid w:val="00262523"/>
    <w:rsid w:val="00262972"/>
    <w:rsid w:val="0026480C"/>
    <w:rsid w:val="0026550A"/>
    <w:rsid w:val="00271F19"/>
    <w:rsid w:val="00277E30"/>
    <w:rsid w:val="00281C97"/>
    <w:rsid w:val="0028223A"/>
    <w:rsid w:val="00282E27"/>
    <w:rsid w:val="002858AD"/>
    <w:rsid w:val="00286D17"/>
    <w:rsid w:val="002920FA"/>
    <w:rsid w:val="002932A6"/>
    <w:rsid w:val="00293847"/>
    <w:rsid w:val="0029576E"/>
    <w:rsid w:val="002A1592"/>
    <w:rsid w:val="002A4346"/>
    <w:rsid w:val="002A46DE"/>
    <w:rsid w:val="002B47BF"/>
    <w:rsid w:val="002B4B6D"/>
    <w:rsid w:val="002B6FFC"/>
    <w:rsid w:val="002C3DA6"/>
    <w:rsid w:val="002C7188"/>
    <w:rsid w:val="002D1FCF"/>
    <w:rsid w:val="002E5588"/>
    <w:rsid w:val="002E668A"/>
    <w:rsid w:val="002E7B38"/>
    <w:rsid w:val="002F0D77"/>
    <w:rsid w:val="002F1E20"/>
    <w:rsid w:val="002F2069"/>
    <w:rsid w:val="002F2372"/>
    <w:rsid w:val="002F4808"/>
    <w:rsid w:val="002F562D"/>
    <w:rsid w:val="002F5AC0"/>
    <w:rsid w:val="003002D8"/>
    <w:rsid w:val="0030287B"/>
    <w:rsid w:val="00305125"/>
    <w:rsid w:val="00310BD0"/>
    <w:rsid w:val="0031123B"/>
    <w:rsid w:val="003120E2"/>
    <w:rsid w:val="00313B4C"/>
    <w:rsid w:val="00315305"/>
    <w:rsid w:val="00316867"/>
    <w:rsid w:val="003171F2"/>
    <w:rsid w:val="0032204F"/>
    <w:rsid w:val="003329CB"/>
    <w:rsid w:val="0033404F"/>
    <w:rsid w:val="00337445"/>
    <w:rsid w:val="003432E7"/>
    <w:rsid w:val="00350076"/>
    <w:rsid w:val="0035161F"/>
    <w:rsid w:val="00351975"/>
    <w:rsid w:val="00352919"/>
    <w:rsid w:val="003533FD"/>
    <w:rsid w:val="00353BC4"/>
    <w:rsid w:val="00354536"/>
    <w:rsid w:val="003560EF"/>
    <w:rsid w:val="00357469"/>
    <w:rsid w:val="00360F73"/>
    <w:rsid w:val="00364C58"/>
    <w:rsid w:val="00367C4E"/>
    <w:rsid w:val="00370B96"/>
    <w:rsid w:val="003710E3"/>
    <w:rsid w:val="00371ECE"/>
    <w:rsid w:val="003731A4"/>
    <w:rsid w:val="00375CC3"/>
    <w:rsid w:val="00376160"/>
    <w:rsid w:val="00385DE2"/>
    <w:rsid w:val="00385F1E"/>
    <w:rsid w:val="00386571"/>
    <w:rsid w:val="00386B13"/>
    <w:rsid w:val="00392473"/>
    <w:rsid w:val="0039555A"/>
    <w:rsid w:val="003966E9"/>
    <w:rsid w:val="00397ACC"/>
    <w:rsid w:val="003A090C"/>
    <w:rsid w:val="003A5BE7"/>
    <w:rsid w:val="003A6EA2"/>
    <w:rsid w:val="003B5210"/>
    <w:rsid w:val="003B59A6"/>
    <w:rsid w:val="003B77CB"/>
    <w:rsid w:val="003C0E00"/>
    <w:rsid w:val="003C3EC4"/>
    <w:rsid w:val="003C669B"/>
    <w:rsid w:val="003D3B1C"/>
    <w:rsid w:val="003D3B89"/>
    <w:rsid w:val="003D4436"/>
    <w:rsid w:val="003D5463"/>
    <w:rsid w:val="003D5987"/>
    <w:rsid w:val="003E01A9"/>
    <w:rsid w:val="003E0281"/>
    <w:rsid w:val="003E222F"/>
    <w:rsid w:val="003E5853"/>
    <w:rsid w:val="003E7DFE"/>
    <w:rsid w:val="003F0B46"/>
    <w:rsid w:val="003F1268"/>
    <w:rsid w:val="003F5828"/>
    <w:rsid w:val="00402126"/>
    <w:rsid w:val="004032C1"/>
    <w:rsid w:val="00415D4B"/>
    <w:rsid w:val="00416EB0"/>
    <w:rsid w:val="004201BC"/>
    <w:rsid w:val="00423BAC"/>
    <w:rsid w:val="00427416"/>
    <w:rsid w:val="004351BA"/>
    <w:rsid w:val="00436DB6"/>
    <w:rsid w:val="0044121B"/>
    <w:rsid w:val="004445D2"/>
    <w:rsid w:val="00444F5C"/>
    <w:rsid w:val="00445EE9"/>
    <w:rsid w:val="00451C07"/>
    <w:rsid w:val="00452C14"/>
    <w:rsid w:val="00453172"/>
    <w:rsid w:val="00453C4A"/>
    <w:rsid w:val="00454DA5"/>
    <w:rsid w:val="0045658F"/>
    <w:rsid w:val="00461610"/>
    <w:rsid w:val="00461E6E"/>
    <w:rsid w:val="00465A8A"/>
    <w:rsid w:val="0046651A"/>
    <w:rsid w:val="0046660F"/>
    <w:rsid w:val="00467238"/>
    <w:rsid w:val="0047213E"/>
    <w:rsid w:val="004721FD"/>
    <w:rsid w:val="00475AD6"/>
    <w:rsid w:val="00484BA7"/>
    <w:rsid w:val="00485C7B"/>
    <w:rsid w:val="00493A17"/>
    <w:rsid w:val="00493C20"/>
    <w:rsid w:val="004A182E"/>
    <w:rsid w:val="004A238D"/>
    <w:rsid w:val="004B1055"/>
    <w:rsid w:val="004B13BB"/>
    <w:rsid w:val="004B2036"/>
    <w:rsid w:val="004B2371"/>
    <w:rsid w:val="004B30CA"/>
    <w:rsid w:val="004B6736"/>
    <w:rsid w:val="004B7DB7"/>
    <w:rsid w:val="004C06EC"/>
    <w:rsid w:val="004C1BD0"/>
    <w:rsid w:val="004C28C9"/>
    <w:rsid w:val="004D573A"/>
    <w:rsid w:val="004D6431"/>
    <w:rsid w:val="004E2967"/>
    <w:rsid w:val="004E4A44"/>
    <w:rsid w:val="004E5AA1"/>
    <w:rsid w:val="004E7B9B"/>
    <w:rsid w:val="004F0A29"/>
    <w:rsid w:val="004F2F1D"/>
    <w:rsid w:val="004F74AC"/>
    <w:rsid w:val="005008BF"/>
    <w:rsid w:val="005155A4"/>
    <w:rsid w:val="00515CB5"/>
    <w:rsid w:val="005178D2"/>
    <w:rsid w:val="00522C14"/>
    <w:rsid w:val="00522E99"/>
    <w:rsid w:val="005259F2"/>
    <w:rsid w:val="005270F7"/>
    <w:rsid w:val="005306A5"/>
    <w:rsid w:val="00531666"/>
    <w:rsid w:val="00532B49"/>
    <w:rsid w:val="00534952"/>
    <w:rsid w:val="00540FAD"/>
    <w:rsid w:val="00547829"/>
    <w:rsid w:val="00560951"/>
    <w:rsid w:val="00560A2A"/>
    <w:rsid w:val="00562BF2"/>
    <w:rsid w:val="00563E92"/>
    <w:rsid w:val="00564491"/>
    <w:rsid w:val="00566315"/>
    <w:rsid w:val="005709E2"/>
    <w:rsid w:val="00573104"/>
    <w:rsid w:val="005744C8"/>
    <w:rsid w:val="005762A7"/>
    <w:rsid w:val="00580AF0"/>
    <w:rsid w:val="00581374"/>
    <w:rsid w:val="00584944"/>
    <w:rsid w:val="00584F25"/>
    <w:rsid w:val="005850AB"/>
    <w:rsid w:val="00586262"/>
    <w:rsid w:val="00587E50"/>
    <w:rsid w:val="005937E9"/>
    <w:rsid w:val="00594463"/>
    <w:rsid w:val="005A0C50"/>
    <w:rsid w:val="005A529D"/>
    <w:rsid w:val="005A54F8"/>
    <w:rsid w:val="005A5D53"/>
    <w:rsid w:val="005A60B9"/>
    <w:rsid w:val="005A6F26"/>
    <w:rsid w:val="005B0B2B"/>
    <w:rsid w:val="005B21B9"/>
    <w:rsid w:val="005B3B3B"/>
    <w:rsid w:val="005B3FF0"/>
    <w:rsid w:val="005B53A2"/>
    <w:rsid w:val="005B7152"/>
    <w:rsid w:val="005C4DA3"/>
    <w:rsid w:val="005C7DE3"/>
    <w:rsid w:val="005D59E6"/>
    <w:rsid w:val="005D6E33"/>
    <w:rsid w:val="005D7404"/>
    <w:rsid w:val="005D7C92"/>
    <w:rsid w:val="005E0476"/>
    <w:rsid w:val="005E0A39"/>
    <w:rsid w:val="005E0CA4"/>
    <w:rsid w:val="005E1701"/>
    <w:rsid w:val="005E1E32"/>
    <w:rsid w:val="005E414E"/>
    <w:rsid w:val="005E4420"/>
    <w:rsid w:val="005E7814"/>
    <w:rsid w:val="005F0171"/>
    <w:rsid w:val="005F3025"/>
    <w:rsid w:val="005F48A6"/>
    <w:rsid w:val="005F74C7"/>
    <w:rsid w:val="006005CC"/>
    <w:rsid w:val="006012A1"/>
    <w:rsid w:val="00602386"/>
    <w:rsid w:val="00603FA7"/>
    <w:rsid w:val="00607AC7"/>
    <w:rsid w:val="00607BDC"/>
    <w:rsid w:val="00611C4A"/>
    <w:rsid w:val="00611DAA"/>
    <w:rsid w:val="0061209C"/>
    <w:rsid w:val="00614DAD"/>
    <w:rsid w:val="00616DB3"/>
    <w:rsid w:val="006217D4"/>
    <w:rsid w:val="00621C17"/>
    <w:rsid w:val="006231BD"/>
    <w:rsid w:val="006231F1"/>
    <w:rsid w:val="0062790D"/>
    <w:rsid w:val="00631087"/>
    <w:rsid w:val="00632C40"/>
    <w:rsid w:val="006333F6"/>
    <w:rsid w:val="00636F99"/>
    <w:rsid w:val="00637C08"/>
    <w:rsid w:val="00643701"/>
    <w:rsid w:val="006450F9"/>
    <w:rsid w:val="00645297"/>
    <w:rsid w:val="0064640F"/>
    <w:rsid w:val="00647467"/>
    <w:rsid w:val="00647751"/>
    <w:rsid w:val="00651442"/>
    <w:rsid w:val="0065160F"/>
    <w:rsid w:val="0065245A"/>
    <w:rsid w:val="0065392A"/>
    <w:rsid w:val="00654E85"/>
    <w:rsid w:val="0065639E"/>
    <w:rsid w:val="0066113E"/>
    <w:rsid w:val="00664465"/>
    <w:rsid w:val="00665062"/>
    <w:rsid w:val="00665294"/>
    <w:rsid w:val="006655D6"/>
    <w:rsid w:val="00666DFC"/>
    <w:rsid w:val="006703AD"/>
    <w:rsid w:val="00670CCE"/>
    <w:rsid w:val="00676302"/>
    <w:rsid w:val="00685AD9"/>
    <w:rsid w:val="0069086C"/>
    <w:rsid w:val="00692AF4"/>
    <w:rsid w:val="0069316C"/>
    <w:rsid w:val="006942A2"/>
    <w:rsid w:val="006962BF"/>
    <w:rsid w:val="0069685F"/>
    <w:rsid w:val="006972F9"/>
    <w:rsid w:val="0069753C"/>
    <w:rsid w:val="00697985"/>
    <w:rsid w:val="006A2358"/>
    <w:rsid w:val="006A2A4F"/>
    <w:rsid w:val="006A3957"/>
    <w:rsid w:val="006A522E"/>
    <w:rsid w:val="006A663C"/>
    <w:rsid w:val="006A6A97"/>
    <w:rsid w:val="006A7DC4"/>
    <w:rsid w:val="006B02D3"/>
    <w:rsid w:val="006B0600"/>
    <w:rsid w:val="006B1790"/>
    <w:rsid w:val="006B36E8"/>
    <w:rsid w:val="006B3D72"/>
    <w:rsid w:val="006B65A1"/>
    <w:rsid w:val="006B7B7C"/>
    <w:rsid w:val="006C0AF8"/>
    <w:rsid w:val="006C10BF"/>
    <w:rsid w:val="006C16D3"/>
    <w:rsid w:val="006C29C5"/>
    <w:rsid w:val="006C46CB"/>
    <w:rsid w:val="006C5082"/>
    <w:rsid w:val="006D580B"/>
    <w:rsid w:val="006E3350"/>
    <w:rsid w:val="006E6767"/>
    <w:rsid w:val="006F0AA4"/>
    <w:rsid w:val="006F10C6"/>
    <w:rsid w:val="006F2278"/>
    <w:rsid w:val="006F5791"/>
    <w:rsid w:val="006F6CAD"/>
    <w:rsid w:val="006F71E8"/>
    <w:rsid w:val="00702F9D"/>
    <w:rsid w:val="00704A4A"/>
    <w:rsid w:val="00705338"/>
    <w:rsid w:val="00705E81"/>
    <w:rsid w:val="00706068"/>
    <w:rsid w:val="0070607A"/>
    <w:rsid w:val="00710EDD"/>
    <w:rsid w:val="007139CA"/>
    <w:rsid w:val="00716465"/>
    <w:rsid w:val="007260D3"/>
    <w:rsid w:val="0073008C"/>
    <w:rsid w:val="0073057F"/>
    <w:rsid w:val="00730977"/>
    <w:rsid w:val="00732581"/>
    <w:rsid w:val="00734A67"/>
    <w:rsid w:val="00737B00"/>
    <w:rsid w:val="00740147"/>
    <w:rsid w:val="00740DAC"/>
    <w:rsid w:val="00741600"/>
    <w:rsid w:val="007433DD"/>
    <w:rsid w:val="007461EE"/>
    <w:rsid w:val="00750F50"/>
    <w:rsid w:val="0075273A"/>
    <w:rsid w:val="00754741"/>
    <w:rsid w:val="00755817"/>
    <w:rsid w:val="00755EFD"/>
    <w:rsid w:val="00756B72"/>
    <w:rsid w:val="0076012B"/>
    <w:rsid w:val="00761964"/>
    <w:rsid w:val="00762322"/>
    <w:rsid w:val="0076292C"/>
    <w:rsid w:val="007630B7"/>
    <w:rsid w:val="00765DA6"/>
    <w:rsid w:val="00766197"/>
    <w:rsid w:val="007661CA"/>
    <w:rsid w:val="00767BCF"/>
    <w:rsid w:val="00772268"/>
    <w:rsid w:val="0077242F"/>
    <w:rsid w:val="00773D30"/>
    <w:rsid w:val="00780476"/>
    <w:rsid w:val="007827C2"/>
    <w:rsid w:val="00792619"/>
    <w:rsid w:val="00793E91"/>
    <w:rsid w:val="00794C92"/>
    <w:rsid w:val="00795FE8"/>
    <w:rsid w:val="00796254"/>
    <w:rsid w:val="007A1F5A"/>
    <w:rsid w:val="007A28E1"/>
    <w:rsid w:val="007A3C9E"/>
    <w:rsid w:val="007A4FE2"/>
    <w:rsid w:val="007A7E1C"/>
    <w:rsid w:val="007B299A"/>
    <w:rsid w:val="007B52EA"/>
    <w:rsid w:val="007B7FBB"/>
    <w:rsid w:val="007C0973"/>
    <w:rsid w:val="007C23CA"/>
    <w:rsid w:val="007C42E6"/>
    <w:rsid w:val="007D136C"/>
    <w:rsid w:val="007D260B"/>
    <w:rsid w:val="007E0871"/>
    <w:rsid w:val="007E3A26"/>
    <w:rsid w:val="007E5AC5"/>
    <w:rsid w:val="007E6607"/>
    <w:rsid w:val="007F499D"/>
    <w:rsid w:val="007F5BE5"/>
    <w:rsid w:val="007F6408"/>
    <w:rsid w:val="007F68F2"/>
    <w:rsid w:val="008005E5"/>
    <w:rsid w:val="0080173A"/>
    <w:rsid w:val="008032E9"/>
    <w:rsid w:val="008034FE"/>
    <w:rsid w:val="0080445B"/>
    <w:rsid w:val="00805F70"/>
    <w:rsid w:val="008062ED"/>
    <w:rsid w:val="00807832"/>
    <w:rsid w:val="008141D3"/>
    <w:rsid w:val="00815867"/>
    <w:rsid w:val="008166FB"/>
    <w:rsid w:val="008214AB"/>
    <w:rsid w:val="00823D99"/>
    <w:rsid w:val="00825944"/>
    <w:rsid w:val="00826794"/>
    <w:rsid w:val="00831B9C"/>
    <w:rsid w:val="00832B44"/>
    <w:rsid w:val="00833FEC"/>
    <w:rsid w:val="008361EB"/>
    <w:rsid w:val="008415CB"/>
    <w:rsid w:val="0084624D"/>
    <w:rsid w:val="00846D0B"/>
    <w:rsid w:val="00850C44"/>
    <w:rsid w:val="008516B3"/>
    <w:rsid w:val="00854404"/>
    <w:rsid w:val="0085509A"/>
    <w:rsid w:val="00860868"/>
    <w:rsid w:val="00860D95"/>
    <w:rsid w:val="00860FD5"/>
    <w:rsid w:val="008612AA"/>
    <w:rsid w:val="0086344F"/>
    <w:rsid w:val="008638DA"/>
    <w:rsid w:val="00866A28"/>
    <w:rsid w:val="0086762B"/>
    <w:rsid w:val="00870796"/>
    <w:rsid w:val="008711C3"/>
    <w:rsid w:val="008725C6"/>
    <w:rsid w:val="008730AD"/>
    <w:rsid w:val="0087374D"/>
    <w:rsid w:val="00875212"/>
    <w:rsid w:val="008769B9"/>
    <w:rsid w:val="00877DE6"/>
    <w:rsid w:val="0088152D"/>
    <w:rsid w:val="00883DC3"/>
    <w:rsid w:val="00885679"/>
    <w:rsid w:val="00887932"/>
    <w:rsid w:val="00893688"/>
    <w:rsid w:val="00894D13"/>
    <w:rsid w:val="008957BA"/>
    <w:rsid w:val="00896058"/>
    <w:rsid w:val="00896DB0"/>
    <w:rsid w:val="008979E6"/>
    <w:rsid w:val="008A062B"/>
    <w:rsid w:val="008A2B70"/>
    <w:rsid w:val="008A30B9"/>
    <w:rsid w:val="008A4941"/>
    <w:rsid w:val="008B3DC5"/>
    <w:rsid w:val="008B4411"/>
    <w:rsid w:val="008B534C"/>
    <w:rsid w:val="008B6771"/>
    <w:rsid w:val="008C0B97"/>
    <w:rsid w:val="008C46FA"/>
    <w:rsid w:val="008D6289"/>
    <w:rsid w:val="008D717F"/>
    <w:rsid w:val="008D7B39"/>
    <w:rsid w:val="008E1A47"/>
    <w:rsid w:val="008E1A95"/>
    <w:rsid w:val="008E42EA"/>
    <w:rsid w:val="008E6093"/>
    <w:rsid w:val="008E7500"/>
    <w:rsid w:val="008F15C3"/>
    <w:rsid w:val="008F4D3A"/>
    <w:rsid w:val="008F5F9B"/>
    <w:rsid w:val="008F711D"/>
    <w:rsid w:val="00900DCC"/>
    <w:rsid w:val="00901246"/>
    <w:rsid w:val="00903C15"/>
    <w:rsid w:val="00907290"/>
    <w:rsid w:val="0091349E"/>
    <w:rsid w:val="00913718"/>
    <w:rsid w:val="0091686F"/>
    <w:rsid w:val="009237DB"/>
    <w:rsid w:val="00924F51"/>
    <w:rsid w:val="00927121"/>
    <w:rsid w:val="00932BB8"/>
    <w:rsid w:val="00943098"/>
    <w:rsid w:val="0094320F"/>
    <w:rsid w:val="00946344"/>
    <w:rsid w:val="00954DBB"/>
    <w:rsid w:val="00957914"/>
    <w:rsid w:val="00961E15"/>
    <w:rsid w:val="00962742"/>
    <w:rsid w:val="009675F0"/>
    <w:rsid w:val="00973B6D"/>
    <w:rsid w:val="00974847"/>
    <w:rsid w:val="009755AD"/>
    <w:rsid w:val="00975741"/>
    <w:rsid w:val="009766E5"/>
    <w:rsid w:val="00977124"/>
    <w:rsid w:val="0098080A"/>
    <w:rsid w:val="009826E5"/>
    <w:rsid w:val="00984CEE"/>
    <w:rsid w:val="009850CB"/>
    <w:rsid w:val="009870A9"/>
    <w:rsid w:val="009870B1"/>
    <w:rsid w:val="00987AE3"/>
    <w:rsid w:val="00990838"/>
    <w:rsid w:val="00995509"/>
    <w:rsid w:val="0099556C"/>
    <w:rsid w:val="00995F71"/>
    <w:rsid w:val="00997485"/>
    <w:rsid w:val="009A1032"/>
    <w:rsid w:val="009A4B84"/>
    <w:rsid w:val="009A4F5E"/>
    <w:rsid w:val="009B4EC4"/>
    <w:rsid w:val="009B66D5"/>
    <w:rsid w:val="009C1217"/>
    <w:rsid w:val="009C2020"/>
    <w:rsid w:val="009C2546"/>
    <w:rsid w:val="009C28EF"/>
    <w:rsid w:val="009C2DFC"/>
    <w:rsid w:val="009C3F04"/>
    <w:rsid w:val="009C4040"/>
    <w:rsid w:val="009C48BA"/>
    <w:rsid w:val="009D2A78"/>
    <w:rsid w:val="009D5E19"/>
    <w:rsid w:val="009D6CC6"/>
    <w:rsid w:val="009E0852"/>
    <w:rsid w:val="009E1DDE"/>
    <w:rsid w:val="009E285D"/>
    <w:rsid w:val="009E5CBD"/>
    <w:rsid w:val="009E64ED"/>
    <w:rsid w:val="009E7DCC"/>
    <w:rsid w:val="009F3DD5"/>
    <w:rsid w:val="009F41CA"/>
    <w:rsid w:val="009F5167"/>
    <w:rsid w:val="009F7445"/>
    <w:rsid w:val="00A00ADC"/>
    <w:rsid w:val="00A03186"/>
    <w:rsid w:val="00A0331B"/>
    <w:rsid w:val="00A03B66"/>
    <w:rsid w:val="00A1149D"/>
    <w:rsid w:val="00A14252"/>
    <w:rsid w:val="00A1639C"/>
    <w:rsid w:val="00A238E9"/>
    <w:rsid w:val="00A24211"/>
    <w:rsid w:val="00A24E6C"/>
    <w:rsid w:val="00A3363C"/>
    <w:rsid w:val="00A35934"/>
    <w:rsid w:val="00A35A9A"/>
    <w:rsid w:val="00A37171"/>
    <w:rsid w:val="00A40EA8"/>
    <w:rsid w:val="00A41068"/>
    <w:rsid w:val="00A455CF"/>
    <w:rsid w:val="00A51295"/>
    <w:rsid w:val="00A518A9"/>
    <w:rsid w:val="00A52093"/>
    <w:rsid w:val="00A52A75"/>
    <w:rsid w:val="00A63784"/>
    <w:rsid w:val="00A654B0"/>
    <w:rsid w:val="00A72C66"/>
    <w:rsid w:val="00A76A1D"/>
    <w:rsid w:val="00A7760B"/>
    <w:rsid w:val="00A77920"/>
    <w:rsid w:val="00A947D5"/>
    <w:rsid w:val="00A95202"/>
    <w:rsid w:val="00AA0179"/>
    <w:rsid w:val="00AA1F38"/>
    <w:rsid w:val="00AA3F7B"/>
    <w:rsid w:val="00AA478D"/>
    <w:rsid w:val="00AB108B"/>
    <w:rsid w:val="00AB48C9"/>
    <w:rsid w:val="00AB7533"/>
    <w:rsid w:val="00AB7725"/>
    <w:rsid w:val="00AC6288"/>
    <w:rsid w:val="00AD14B8"/>
    <w:rsid w:val="00AD1648"/>
    <w:rsid w:val="00AD55AD"/>
    <w:rsid w:val="00AD7A92"/>
    <w:rsid w:val="00AE2A4D"/>
    <w:rsid w:val="00AE32B2"/>
    <w:rsid w:val="00AE46D7"/>
    <w:rsid w:val="00AF2E3C"/>
    <w:rsid w:val="00AF442A"/>
    <w:rsid w:val="00B00DC6"/>
    <w:rsid w:val="00B01518"/>
    <w:rsid w:val="00B023D7"/>
    <w:rsid w:val="00B025EB"/>
    <w:rsid w:val="00B02949"/>
    <w:rsid w:val="00B02C52"/>
    <w:rsid w:val="00B039E0"/>
    <w:rsid w:val="00B078B1"/>
    <w:rsid w:val="00B1083D"/>
    <w:rsid w:val="00B13C3A"/>
    <w:rsid w:val="00B1496A"/>
    <w:rsid w:val="00B17BE6"/>
    <w:rsid w:val="00B21DAF"/>
    <w:rsid w:val="00B2626C"/>
    <w:rsid w:val="00B35775"/>
    <w:rsid w:val="00B405DB"/>
    <w:rsid w:val="00B46552"/>
    <w:rsid w:val="00B534FB"/>
    <w:rsid w:val="00B53CB1"/>
    <w:rsid w:val="00B54D36"/>
    <w:rsid w:val="00B556FC"/>
    <w:rsid w:val="00B56D46"/>
    <w:rsid w:val="00B63E57"/>
    <w:rsid w:val="00B64628"/>
    <w:rsid w:val="00B659B6"/>
    <w:rsid w:val="00B67BBD"/>
    <w:rsid w:val="00B73DC3"/>
    <w:rsid w:val="00B7406E"/>
    <w:rsid w:val="00B74490"/>
    <w:rsid w:val="00B75DBF"/>
    <w:rsid w:val="00B80FA2"/>
    <w:rsid w:val="00B83578"/>
    <w:rsid w:val="00B87C9E"/>
    <w:rsid w:val="00B924FD"/>
    <w:rsid w:val="00B933E2"/>
    <w:rsid w:val="00B93D55"/>
    <w:rsid w:val="00B944C0"/>
    <w:rsid w:val="00B957C8"/>
    <w:rsid w:val="00B96CC1"/>
    <w:rsid w:val="00BA5EFB"/>
    <w:rsid w:val="00BB3CD0"/>
    <w:rsid w:val="00BB3CE5"/>
    <w:rsid w:val="00BB44D5"/>
    <w:rsid w:val="00BB4945"/>
    <w:rsid w:val="00BB6DAC"/>
    <w:rsid w:val="00BC0144"/>
    <w:rsid w:val="00BC02D3"/>
    <w:rsid w:val="00BC0FFF"/>
    <w:rsid w:val="00BC4331"/>
    <w:rsid w:val="00BC5761"/>
    <w:rsid w:val="00BC58B1"/>
    <w:rsid w:val="00BD0320"/>
    <w:rsid w:val="00BD2958"/>
    <w:rsid w:val="00BD2A3D"/>
    <w:rsid w:val="00BD4C17"/>
    <w:rsid w:val="00BE1009"/>
    <w:rsid w:val="00BE17F1"/>
    <w:rsid w:val="00BE207A"/>
    <w:rsid w:val="00BE44C8"/>
    <w:rsid w:val="00BE4933"/>
    <w:rsid w:val="00BE766E"/>
    <w:rsid w:val="00BF120A"/>
    <w:rsid w:val="00BF2C28"/>
    <w:rsid w:val="00BF6E99"/>
    <w:rsid w:val="00BF73AD"/>
    <w:rsid w:val="00BF77A7"/>
    <w:rsid w:val="00C0765B"/>
    <w:rsid w:val="00C11E69"/>
    <w:rsid w:val="00C12C00"/>
    <w:rsid w:val="00C236E7"/>
    <w:rsid w:val="00C24442"/>
    <w:rsid w:val="00C24736"/>
    <w:rsid w:val="00C26D93"/>
    <w:rsid w:val="00C27A7B"/>
    <w:rsid w:val="00C30778"/>
    <w:rsid w:val="00C34F9E"/>
    <w:rsid w:val="00C420F5"/>
    <w:rsid w:val="00C43550"/>
    <w:rsid w:val="00C462C0"/>
    <w:rsid w:val="00C463D9"/>
    <w:rsid w:val="00C4724E"/>
    <w:rsid w:val="00C51D7F"/>
    <w:rsid w:val="00C53D4D"/>
    <w:rsid w:val="00C5693E"/>
    <w:rsid w:val="00C63C25"/>
    <w:rsid w:val="00C64B49"/>
    <w:rsid w:val="00C650F9"/>
    <w:rsid w:val="00C723DC"/>
    <w:rsid w:val="00C73878"/>
    <w:rsid w:val="00C764D8"/>
    <w:rsid w:val="00C77744"/>
    <w:rsid w:val="00C804C3"/>
    <w:rsid w:val="00C85CAB"/>
    <w:rsid w:val="00C85F6F"/>
    <w:rsid w:val="00C86C3A"/>
    <w:rsid w:val="00C87769"/>
    <w:rsid w:val="00C877BB"/>
    <w:rsid w:val="00C91892"/>
    <w:rsid w:val="00C954CF"/>
    <w:rsid w:val="00C96719"/>
    <w:rsid w:val="00C97B08"/>
    <w:rsid w:val="00CA2436"/>
    <w:rsid w:val="00CA265B"/>
    <w:rsid w:val="00CA3735"/>
    <w:rsid w:val="00CA5BCA"/>
    <w:rsid w:val="00CA6296"/>
    <w:rsid w:val="00CB09F5"/>
    <w:rsid w:val="00CB1876"/>
    <w:rsid w:val="00CB1F3C"/>
    <w:rsid w:val="00CC022C"/>
    <w:rsid w:val="00CC46D1"/>
    <w:rsid w:val="00CC5D3D"/>
    <w:rsid w:val="00CC7182"/>
    <w:rsid w:val="00CD1F1C"/>
    <w:rsid w:val="00CD2839"/>
    <w:rsid w:val="00CE3E4C"/>
    <w:rsid w:val="00CE437A"/>
    <w:rsid w:val="00CE51A6"/>
    <w:rsid w:val="00CF128D"/>
    <w:rsid w:val="00CF2CCD"/>
    <w:rsid w:val="00D01FEA"/>
    <w:rsid w:val="00D04494"/>
    <w:rsid w:val="00D056AF"/>
    <w:rsid w:val="00D06D2A"/>
    <w:rsid w:val="00D07257"/>
    <w:rsid w:val="00D100B3"/>
    <w:rsid w:val="00D10A5C"/>
    <w:rsid w:val="00D16938"/>
    <w:rsid w:val="00D32743"/>
    <w:rsid w:val="00D333DB"/>
    <w:rsid w:val="00D37AF0"/>
    <w:rsid w:val="00D40DB1"/>
    <w:rsid w:val="00D41613"/>
    <w:rsid w:val="00D43C32"/>
    <w:rsid w:val="00D47AC0"/>
    <w:rsid w:val="00D54945"/>
    <w:rsid w:val="00D61047"/>
    <w:rsid w:val="00D64F71"/>
    <w:rsid w:val="00D70101"/>
    <w:rsid w:val="00D70C8D"/>
    <w:rsid w:val="00D74F7D"/>
    <w:rsid w:val="00D803C0"/>
    <w:rsid w:val="00D82E49"/>
    <w:rsid w:val="00D85435"/>
    <w:rsid w:val="00D874E8"/>
    <w:rsid w:val="00D9029D"/>
    <w:rsid w:val="00D92595"/>
    <w:rsid w:val="00D946F9"/>
    <w:rsid w:val="00D95C9D"/>
    <w:rsid w:val="00D97BAD"/>
    <w:rsid w:val="00D97FC8"/>
    <w:rsid w:val="00DA0AAF"/>
    <w:rsid w:val="00DA2DFB"/>
    <w:rsid w:val="00DA4F02"/>
    <w:rsid w:val="00DA5B44"/>
    <w:rsid w:val="00DA6184"/>
    <w:rsid w:val="00DB2929"/>
    <w:rsid w:val="00DB47DA"/>
    <w:rsid w:val="00DB765B"/>
    <w:rsid w:val="00DB7BF5"/>
    <w:rsid w:val="00DC39FF"/>
    <w:rsid w:val="00DC4E9B"/>
    <w:rsid w:val="00DD2DF5"/>
    <w:rsid w:val="00DD326F"/>
    <w:rsid w:val="00DD55A0"/>
    <w:rsid w:val="00DD5812"/>
    <w:rsid w:val="00DE340F"/>
    <w:rsid w:val="00DF0969"/>
    <w:rsid w:val="00DF1E89"/>
    <w:rsid w:val="00DF23F1"/>
    <w:rsid w:val="00DF4BBC"/>
    <w:rsid w:val="00DF4CFC"/>
    <w:rsid w:val="00DF7512"/>
    <w:rsid w:val="00E03950"/>
    <w:rsid w:val="00E03B23"/>
    <w:rsid w:val="00E03B8B"/>
    <w:rsid w:val="00E04B27"/>
    <w:rsid w:val="00E0648A"/>
    <w:rsid w:val="00E074CD"/>
    <w:rsid w:val="00E07D31"/>
    <w:rsid w:val="00E11579"/>
    <w:rsid w:val="00E14B2D"/>
    <w:rsid w:val="00E1657A"/>
    <w:rsid w:val="00E17601"/>
    <w:rsid w:val="00E17DD4"/>
    <w:rsid w:val="00E21AB4"/>
    <w:rsid w:val="00E23030"/>
    <w:rsid w:val="00E256E4"/>
    <w:rsid w:val="00E30998"/>
    <w:rsid w:val="00E337C5"/>
    <w:rsid w:val="00E3393D"/>
    <w:rsid w:val="00E3550D"/>
    <w:rsid w:val="00E35BB0"/>
    <w:rsid w:val="00E36384"/>
    <w:rsid w:val="00E36964"/>
    <w:rsid w:val="00E521D4"/>
    <w:rsid w:val="00E56F62"/>
    <w:rsid w:val="00E600DA"/>
    <w:rsid w:val="00E61A29"/>
    <w:rsid w:val="00E61F60"/>
    <w:rsid w:val="00E655E6"/>
    <w:rsid w:val="00E65F8F"/>
    <w:rsid w:val="00E76915"/>
    <w:rsid w:val="00E7692A"/>
    <w:rsid w:val="00E770AF"/>
    <w:rsid w:val="00E77D32"/>
    <w:rsid w:val="00E80AF9"/>
    <w:rsid w:val="00E85427"/>
    <w:rsid w:val="00E927E6"/>
    <w:rsid w:val="00E936F7"/>
    <w:rsid w:val="00E949CE"/>
    <w:rsid w:val="00E95B5F"/>
    <w:rsid w:val="00EA0F85"/>
    <w:rsid w:val="00EA7D09"/>
    <w:rsid w:val="00EB09F0"/>
    <w:rsid w:val="00EB1AC8"/>
    <w:rsid w:val="00EB527D"/>
    <w:rsid w:val="00EB5399"/>
    <w:rsid w:val="00EB60ED"/>
    <w:rsid w:val="00EB7A03"/>
    <w:rsid w:val="00EC180A"/>
    <w:rsid w:val="00EC1B4F"/>
    <w:rsid w:val="00EC1F7D"/>
    <w:rsid w:val="00EC4F5E"/>
    <w:rsid w:val="00EC6A78"/>
    <w:rsid w:val="00ED4870"/>
    <w:rsid w:val="00ED48C0"/>
    <w:rsid w:val="00ED637E"/>
    <w:rsid w:val="00EE1049"/>
    <w:rsid w:val="00EE231F"/>
    <w:rsid w:val="00EF0AF1"/>
    <w:rsid w:val="00EF1BFF"/>
    <w:rsid w:val="00EF673A"/>
    <w:rsid w:val="00EF74C1"/>
    <w:rsid w:val="00F03B71"/>
    <w:rsid w:val="00F07945"/>
    <w:rsid w:val="00F14B29"/>
    <w:rsid w:val="00F14E9B"/>
    <w:rsid w:val="00F1708E"/>
    <w:rsid w:val="00F17A0A"/>
    <w:rsid w:val="00F17FE1"/>
    <w:rsid w:val="00F20510"/>
    <w:rsid w:val="00F20BE7"/>
    <w:rsid w:val="00F2102A"/>
    <w:rsid w:val="00F2256E"/>
    <w:rsid w:val="00F23BD2"/>
    <w:rsid w:val="00F24011"/>
    <w:rsid w:val="00F25BC2"/>
    <w:rsid w:val="00F27146"/>
    <w:rsid w:val="00F309F4"/>
    <w:rsid w:val="00F3333A"/>
    <w:rsid w:val="00F344AA"/>
    <w:rsid w:val="00F34A70"/>
    <w:rsid w:val="00F35E1D"/>
    <w:rsid w:val="00F360A4"/>
    <w:rsid w:val="00F37763"/>
    <w:rsid w:val="00F44C91"/>
    <w:rsid w:val="00F44FFF"/>
    <w:rsid w:val="00F4637D"/>
    <w:rsid w:val="00F50090"/>
    <w:rsid w:val="00F50320"/>
    <w:rsid w:val="00F5415F"/>
    <w:rsid w:val="00F553A4"/>
    <w:rsid w:val="00F62A41"/>
    <w:rsid w:val="00F632A6"/>
    <w:rsid w:val="00F64D1A"/>
    <w:rsid w:val="00F706C5"/>
    <w:rsid w:val="00F71362"/>
    <w:rsid w:val="00F75675"/>
    <w:rsid w:val="00F7583A"/>
    <w:rsid w:val="00F76A3E"/>
    <w:rsid w:val="00F8090E"/>
    <w:rsid w:val="00F80DA8"/>
    <w:rsid w:val="00F81E8C"/>
    <w:rsid w:val="00F8289F"/>
    <w:rsid w:val="00F83683"/>
    <w:rsid w:val="00F84129"/>
    <w:rsid w:val="00F85D4C"/>
    <w:rsid w:val="00F87621"/>
    <w:rsid w:val="00F91344"/>
    <w:rsid w:val="00F92381"/>
    <w:rsid w:val="00F92C0A"/>
    <w:rsid w:val="00F94257"/>
    <w:rsid w:val="00F9588E"/>
    <w:rsid w:val="00F97ED1"/>
    <w:rsid w:val="00FA04BC"/>
    <w:rsid w:val="00FA304E"/>
    <w:rsid w:val="00FB0463"/>
    <w:rsid w:val="00FB5D99"/>
    <w:rsid w:val="00FB6670"/>
    <w:rsid w:val="00FB791A"/>
    <w:rsid w:val="00FC0996"/>
    <w:rsid w:val="00FC5471"/>
    <w:rsid w:val="00FC5FE4"/>
    <w:rsid w:val="00FC7F6F"/>
    <w:rsid w:val="00FD33C8"/>
    <w:rsid w:val="00FD61DE"/>
    <w:rsid w:val="00FD636A"/>
    <w:rsid w:val="00FE14E2"/>
    <w:rsid w:val="00FE6EB4"/>
    <w:rsid w:val="00FF0C4C"/>
    <w:rsid w:val="00FF18F4"/>
    <w:rsid w:val="00FF32F3"/>
    <w:rsid w:val="00FF3BF8"/>
    <w:rsid w:val="00FF4916"/>
    <w:rsid w:val="00FF49E5"/>
    <w:rsid w:val="00FF5D60"/>
    <w:rsid w:val="00FF647C"/>
    <w:rsid w:val="00FF7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0E6B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4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IFCL - List Paragraph Char,List Paragraph12 Char,2 Char"/>
    <w:link w:val="ListParagraph"/>
    <w:uiPriority w:val="34"/>
    <w:qFormat/>
    <w:locked/>
    <w:rsid w:val="00074FEA"/>
    <w:rPr>
      <w:rFonts w:ascii="Calibri" w:eastAsia="Calibri" w:hAnsi="Calibri" w:cs="Calibri"/>
    </w:rPr>
  </w:style>
  <w:style w:type="paragraph" w:styleId="ListParagraph">
    <w:name w:val="List Paragraph"/>
    <w:aliases w:val="Numbered Para 1,Dot pt,No Spacing1,List Paragraph Char Char Char,Indicator Text,List Paragraph1,Bullet 1,Bullet Points,MAIN CONTENT,IFCL - List Paragraph,List Paragraph12,OBC Bullet,F5 List Paragraph,Colorful List - Accent 11,Bullet Sty,2"/>
    <w:basedOn w:val="Normal"/>
    <w:link w:val="ListParagraphChar"/>
    <w:uiPriority w:val="34"/>
    <w:qFormat/>
    <w:rsid w:val="00074FEA"/>
    <w:pPr>
      <w:spacing w:after="200" w:line="276" w:lineRule="auto"/>
      <w:ind w:left="720"/>
      <w:contextualSpacing/>
    </w:pPr>
    <w:rPr>
      <w:rFonts w:ascii="Calibri" w:eastAsia="Calibri" w:hAnsi="Calibri" w:cs="Calibri"/>
      <w:sz w:val="22"/>
      <w:szCs w:val="22"/>
    </w:rPr>
  </w:style>
  <w:style w:type="character" w:styleId="Hyperlink">
    <w:name w:val="Hyperlink"/>
    <w:basedOn w:val="DefaultParagraphFont"/>
    <w:uiPriority w:val="99"/>
    <w:unhideWhenUsed/>
    <w:rsid w:val="006B0600"/>
    <w:rPr>
      <w:color w:val="0563C1" w:themeColor="hyperlink"/>
      <w:u w:val="single"/>
    </w:rPr>
  </w:style>
  <w:style w:type="paragraph" w:styleId="Header">
    <w:name w:val="header"/>
    <w:basedOn w:val="Normal"/>
    <w:link w:val="HeaderChar"/>
    <w:uiPriority w:val="99"/>
    <w:unhideWhenUsed/>
    <w:rsid w:val="00160121"/>
    <w:pPr>
      <w:tabs>
        <w:tab w:val="center" w:pos="4153"/>
        <w:tab w:val="right" w:pos="8306"/>
      </w:tabs>
    </w:pPr>
  </w:style>
  <w:style w:type="character" w:customStyle="1" w:styleId="HeaderChar">
    <w:name w:val="Header Char"/>
    <w:basedOn w:val="DefaultParagraphFont"/>
    <w:link w:val="Header"/>
    <w:uiPriority w:val="99"/>
    <w:rsid w:val="001601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0121"/>
    <w:pPr>
      <w:tabs>
        <w:tab w:val="center" w:pos="4153"/>
        <w:tab w:val="right" w:pos="8306"/>
      </w:tabs>
    </w:pPr>
  </w:style>
  <w:style w:type="character" w:customStyle="1" w:styleId="FooterChar">
    <w:name w:val="Footer Char"/>
    <w:basedOn w:val="DefaultParagraphFont"/>
    <w:link w:val="Footer"/>
    <w:uiPriority w:val="99"/>
    <w:rsid w:val="001601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A4C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0A"/>
    <w:rPr>
      <w:rFonts w:ascii="Segoe UI" w:eastAsia="Times New Roman" w:hAnsi="Segoe UI" w:cs="Segoe UI"/>
      <w:sz w:val="18"/>
      <w:szCs w:val="18"/>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o"/>
    <w:basedOn w:val="Normal"/>
    <w:link w:val="FootnoteTextChar"/>
    <w:uiPriority w:val="99"/>
    <w:unhideWhenUsed/>
    <w:qFormat/>
    <w:rsid w:val="00F92C0A"/>
    <w:rPr>
      <w:sz w:val="20"/>
      <w:szCs w:val="20"/>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o Char"/>
    <w:basedOn w:val="DefaultParagraphFont"/>
    <w:link w:val="FootnoteText"/>
    <w:uiPriority w:val="99"/>
    <w:qFormat/>
    <w:rsid w:val="00F92C0A"/>
    <w:rPr>
      <w:rFonts w:ascii="Times New Roman" w:eastAsia="Times New Roman" w:hAnsi="Times New Roman" w:cs="Times New Roman"/>
      <w:sz w:val="20"/>
      <w:szCs w:val="20"/>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F92C0A"/>
    <w:rPr>
      <w:vertAlign w:val="superscript"/>
    </w:rPr>
  </w:style>
  <w:style w:type="character" w:styleId="Emphasis">
    <w:name w:val="Emphasis"/>
    <w:basedOn w:val="DefaultParagraphFont"/>
    <w:uiPriority w:val="20"/>
    <w:qFormat/>
    <w:rsid w:val="00177B0C"/>
    <w:rPr>
      <w:i/>
      <w:iCs/>
    </w:rPr>
  </w:style>
  <w:style w:type="character" w:styleId="Strong">
    <w:name w:val="Strong"/>
    <w:basedOn w:val="DefaultParagraphFont"/>
    <w:uiPriority w:val="22"/>
    <w:qFormat/>
    <w:rsid w:val="00177B0C"/>
    <w:rPr>
      <w:b/>
      <w:bCs/>
    </w:rPr>
  </w:style>
  <w:style w:type="paragraph" w:customStyle="1" w:styleId="normalweb">
    <w:name w:val="normalweb"/>
    <w:basedOn w:val="Normal"/>
    <w:rsid w:val="00177B0C"/>
    <w:pPr>
      <w:spacing w:before="100" w:beforeAutospacing="1" w:after="100" w:afterAutospacing="1"/>
    </w:pPr>
    <w:rPr>
      <w:lang w:eastAsia="lv-LV"/>
    </w:rPr>
  </w:style>
  <w:style w:type="character" w:styleId="CommentReference">
    <w:name w:val="annotation reference"/>
    <w:basedOn w:val="DefaultParagraphFont"/>
    <w:uiPriority w:val="99"/>
    <w:unhideWhenUsed/>
    <w:rsid w:val="00B93D55"/>
    <w:rPr>
      <w:sz w:val="16"/>
      <w:szCs w:val="16"/>
    </w:rPr>
  </w:style>
  <w:style w:type="paragraph" w:styleId="CommentText">
    <w:name w:val="annotation text"/>
    <w:basedOn w:val="Normal"/>
    <w:link w:val="CommentTextChar"/>
    <w:uiPriority w:val="99"/>
    <w:unhideWhenUsed/>
    <w:rsid w:val="00B93D55"/>
    <w:rPr>
      <w:sz w:val="20"/>
      <w:szCs w:val="20"/>
    </w:rPr>
  </w:style>
  <w:style w:type="character" w:customStyle="1" w:styleId="CommentTextChar">
    <w:name w:val="Comment Text Char"/>
    <w:basedOn w:val="DefaultParagraphFont"/>
    <w:link w:val="CommentText"/>
    <w:uiPriority w:val="99"/>
    <w:rsid w:val="00B93D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3D55"/>
    <w:rPr>
      <w:b/>
      <w:bCs/>
    </w:rPr>
  </w:style>
  <w:style w:type="character" w:customStyle="1" w:styleId="CommentSubjectChar">
    <w:name w:val="Comment Subject Char"/>
    <w:basedOn w:val="CommentTextChar"/>
    <w:link w:val="CommentSubject"/>
    <w:uiPriority w:val="99"/>
    <w:semiHidden/>
    <w:rsid w:val="00B93D55"/>
    <w:rPr>
      <w:rFonts w:ascii="Times New Roman" w:eastAsia="Times New Roman" w:hAnsi="Times New Roman" w:cs="Times New Roman"/>
      <w:b/>
      <w:bCs/>
      <w:sz w:val="20"/>
      <w:szCs w:val="20"/>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A947D5"/>
    <w:pPr>
      <w:spacing w:after="160" w:line="240" w:lineRule="exact"/>
    </w:pPr>
    <w:rPr>
      <w:rFonts w:asciiTheme="minorHAnsi" w:eastAsiaTheme="minorHAnsi" w:hAnsiTheme="minorHAnsi" w:cstheme="minorBidi"/>
      <w:sz w:val="22"/>
      <w:szCs w:val="22"/>
      <w:vertAlign w:val="superscript"/>
    </w:rPr>
  </w:style>
  <w:style w:type="paragraph" w:styleId="NoSpacing">
    <w:name w:val="No Spacing"/>
    <w:aliases w:val="My style,TĒZES,Studiju darbs"/>
    <w:basedOn w:val="Normal"/>
    <w:link w:val="NoSpacingChar"/>
    <w:uiPriority w:val="1"/>
    <w:qFormat/>
    <w:rsid w:val="00A947D5"/>
    <w:rPr>
      <w:rFonts w:ascii="Calibri" w:eastAsiaTheme="minorHAnsi" w:hAnsi="Calibri"/>
      <w:sz w:val="22"/>
      <w:szCs w:val="22"/>
    </w:rPr>
  </w:style>
  <w:style w:type="character" w:customStyle="1" w:styleId="NoSpacingChar">
    <w:name w:val="No Spacing Char"/>
    <w:aliases w:val="My style Char,TĒZES Char,Studiju darbs Char"/>
    <w:link w:val="NoSpacing"/>
    <w:uiPriority w:val="1"/>
    <w:locked/>
    <w:rsid w:val="00A947D5"/>
    <w:rPr>
      <w:rFonts w:ascii="Calibri" w:hAnsi="Calibri" w:cs="Times New Roman"/>
    </w:rPr>
  </w:style>
  <w:style w:type="paragraph" w:customStyle="1" w:styleId="infosubtitile">
    <w:name w:val="info subtitile"/>
    <w:basedOn w:val="Normal"/>
    <w:qFormat/>
    <w:rsid w:val="0026550A"/>
    <w:pPr>
      <w:spacing w:before="240" w:after="120"/>
    </w:pPr>
    <w:rPr>
      <w:rFonts w:eastAsia="Calibri"/>
      <w:b/>
      <w:color w:val="000000" w:themeColor="text1"/>
    </w:rPr>
  </w:style>
  <w:style w:type="character" w:styleId="UnresolvedMention">
    <w:name w:val="Unresolved Mention"/>
    <w:basedOn w:val="DefaultParagraphFont"/>
    <w:uiPriority w:val="99"/>
    <w:semiHidden/>
    <w:unhideWhenUsed/>
    <w:rsid w:val="0065639E"/>
    <w:rPr>
      <w:color w:val="605E5C"/>
      <w:shd w:val="clear" w:color="auto" w:fill="E1DFDD"/>
    </w:rPr>
  </w:style>
  <w:style w:type="paragraph" w:styleId="Revision">
    <w:name w:val="Revision"/>
    <w:hidden/>
    <w:uiPriority w:val="99"/>
    <w:semiHidden/>
    <w:rsid w:val="00C11E6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1779">
      <w:bodyDiv w:val="1"/>
      <w:marLeft w:val="0"/>
      <w:marRight w:val="0"/>
      <w:marTop w:val="0"/>
      <w:marBottom w:val="0"/>
      <w:divBdr>
        <w:top w:val="none" w:sz="0" w:space="0" w:color="auto"/>
        <w:left w:val="none" w:sz="0" w:space="0" w:color="auto"/>
        <w:bottom w:val="none" w:sz="0" w:space="0" w:color="auto"/>
        <w:right w:val="none" w:sz="0" w:space="0" w:color="auto"/>
      </w:divBdr>
    </w:div>
    <w:div w:id="108817405">
      <w:bodyDiv w:val="1"/>
      <w:marLeft w:val="0"/>
      <w:marRight w:val="0"/>
      <w:marTop w:val="0"/>
      <w:marBottom w:val="0"/>
      <w:divBdr>
        <w:top w:val="none" w:sz="0" w:space="0" w:color="auto"/>
        <w:left w:val="none" w:sz="0" w:space="0" w:color="auto"/>
        <w:bottom w:val="none" w:sz="0" w:space="0" w:color="auto"/>
        <w:right w:val="none" w:sz="0" w:space="0" w:color="auto"/>
      </w:divBdr>
    </w:div>
    <w:div w:id="142817587">
      <w:bodyDiv w:val="1"/>
      <w:marLeft w:val="0"/>
      <w:marRight w:val="0"/>
      <w:marTop w:val="0"/>
      <w:marBottom w:val="0"/>
      <w:divBdr>
        <w:top w:val="none" w:sz="0" w:space="0" w:color="auto"/>
        <w:left w:val="none" w:sz="0" w:space="0" w:color="auto"/>
        <w:bottom w:val="none" w:sz="0" w:space="0" w:color="auto"/>
        <w:right w:val="none" w:sz="0" w:space="0" w:color="auto"/>
      </w:divBdr>
    </w:div>
    <w:div w:id="207572990">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284969493">
      <w:bodyDiv w:val="1"/>
      <w:marLeft w:val="0"/>
      <w:marRight w:val="0"/>
      <w:marTop w:val="0"/>
      <w:marBottom w:val="0"/>
      <w:divBdr>
        <w:top w:val="none" w:sz="0" w:space="0" w:color="auto"/>
        <w:left w:val="none" w:sz="0" w:space="0" w:color="auto"/>
        <w:bottom w:val="none" w:sz="0" w:space="0" w:color="auto"/>
        <w:right w:val="none" w:sz="0" w:space="0" w:color="auto"/>
      </w:divBdr>
    </w:div>
    <w:div w:id="303855345">
      <w:bodyDiv w:val="1"/>
      <w:marLeft w:val="0"/>
      <w:marRight w:val="0"/>
      <w:marTop w:val="0"/>
      <w:marBottom w:val="0"/>
      <w:divBdr>
        <w:top w:val="none" w:sz="0" w:space="0" w:color="auto"/>
        <w:left w:val="none" w:sz="0" w:space="0" w:color="auto"/>
        <w:bottom w:val="none" w:sz="0" w:space="0" w:color="auto"/>
        <w:right w:val="none" w:sz="0" w:space="0" w:color="auto"/>
      </w:divBdr>
    </w:div>
    <w:div w:id="369689527">
      <w:bodyDiv w:val="1"/>
      <w:marLeft w:val="0"/>
      <w:marRight w:val="0"/>
      <w:marTop w:val="0"/>
      <w:marBottom w:val="0"/>
      <w:divBdr>
        <w:top w:val="none" w:sz="0" w:space="0" w:color="auto"/>
        <w:left w:val="none" w:sz="0" w:space="0" w:color="auto"/>
        <w:bottom w:val="none" w:sz="0" w:space="0" w:color="auto"/>
        <w:right w:val="none" w:sz="0" w:space="0" w:color="auto"/>
      </w:divBdr>
    </w:div>
    <w:div w:id="408380434">
      <w:bodyDiv w:val="1"/>
      <w:marLeft w:val="0"/>
      <w:marRight w:val="0"/>
      <w:marTop w:val="0"/>
      <w:marBottom w:val="0"/>
      <w:divBdr>
        <w:top w:val="none" w:sz="0" w:space="0" w:color="auto"/>
        <w:left w:val="none" w:sz="0" w:space="0" w:color="auto"/>
        <w:bottom w:val="none" w:sz="0" w:space="0" w:color="auto"/>
        <w:right w:val="none" w:sz="0" w:space="0" w:color="auto"/>
      </w:divBdr>
    </w:div>
    <w:div w:id="420949111">
      <w:bodyDiv w:val="1"/>
      <w:marLeft w:val="0"/>
      <w:marRight w:val="0"/>
      <w:marTop w:val="0"/>
      <w:marBottom w:val="0"/>
      <w:divBdr>
        <w:top w:val="none" w:sz="0" w:space="0" w:color="auto"/>
        <w:left w:val="none" w:sz="0" w:space="0" w:color="auto"/>
        <w:bottom w:val="none" w:sz="0" w:space="0" w:color="auto"/>
        <w:right w:val="none" w:sz="0" w:space="0" w:color="auto"/>
      </w:divBdr>
    </w:div>
    <w:div w:id="421413925">
      <w:bodyDiv w:val="1"/>
      <w:marLeft w:val="0"/>
      <w:marRight w:val="0"/>
      <w:marTop w:val="0"/>
      <w:marBottom w:val="0"/>
      <w:divBdr>
        <w:top w:val="none" w:sz="0" w:space="0" w:color="auto"/>
        <w:left w:val="none" w:sz="0" w:space="0" w:color="auto"/>
        <w:bottom w:val="none" w:sz="0" w:space="0" w:color="auto"/>
        <w:right w:val="none" w:sz="0" w:space="0" w:color="auto"/>
      </w:divBdr>
    </w:div>
    <w:div w:id="429742995">
      <w:bodyDiv w:val="1"/>
      <w:marLeft w:val="0"/>
      <w:marRight w:val="0"/>
      <w:marTop w:val="0"/>
      <w:marBottom w:val="0"/>
      <w:divBdr>
        <w:top w:val="none" w:sz="0" w:space="0" w:color="auto"/>
        <w:left w:val="none" w:sz="0" w:space="0" w:color="auto"/>
        <w:bottom w:val="none" w:sz="0" w:space="0" w:color="auto"/>
        <w:right w:val="none" w:sz="0" w:space="0" w:color="auto"/>
      </w:divBdr>
    </w:div>
    <w:div w:id="432945395">
      <w:bodyDiv w:val="1"/>
      <w:marLeft w:val="0"/>
      <w:marRight w:val="0"/>
      <w:marTop w:val="0"/>
      <w:marBottom w:val="0"/>
      <w:divBdr>
        <w:top w:val="none" w:sz="0" w:space="0" w:color="auto"/>
        <w:left w:val="none" w:sz="0" w:space="0" w:color="auto"/>
        <w:bottom w:val="none" w:sz="0" w:space="0" w:color="auto"/>
        <w:right w:val="none" w:sz="0" w:space="0" w:color="auto"/>
      </w:divBdr>
    </w:div>
    <w:div w:id="535653536">
      <w:bodyDiv w:val="1"/>
      <w:marLeft w:val="0"/>
      <w:marRight w:val="0"/>
      <w:marTop w:val="0"/>
      <w:marBottom w:val="0"/>
      <w:divBdr>
        <w:top w:val="none" w:sz="0" w:space="0" w:color="auto"/>
        <w:left w:val="none" w:sz="0" w:space="0" w:color="auto"/>
        <w:bottom w:val="none" w:sz="0" w:space="0" w:color="auto"/>
        <w:right w:val="none" w:sz="0" w:space="0" w:color="auto"/>
      </w:divBdr>
    </w:div>
    <w:div w:id="610743883">
      <w:bodyDiv w:val="1"/>
      <w:marLeft w:val="0"/>
      <w:marRight w:val="0"/>
      <w:marTop w:val="0"/>
      <w:marBottom w:val="0"/>
      <w:divBdr>
        <w:top w:val="none" w:sz="0" w:space="0" w:color="auto"/>
        <w:left w:val="none" w:sz="0" w:space="0" w:color="auto"/>
        <w:bottom w:val="none" w:sz="0" w:space="0" w:color="auto"/>
        <w:right w:val="none" w:sz="0" w:space="0" w:color="auto"/>
      </w:divBdr>
    </w:div>
    <w:div w:id="626931445">
      <w:bodyDiv w:val="1"/>
      <w:marLeft w:val="0"/>
      <w:marRight w:val="0"/>
      <w:marTop w:val="0"/>
      <w:marBottom w:val="0"/>
      <w:divBdr>
        <w:top w:val="none" w:sz="0" w:space="0" w:color="auto"/>
        <w:left w:val="none" w:sz="0" w:space="0" w:color="auto"/>
        <w:bottom w:val="none" w:sz="0" w:space="0" w:color="auto"/>
        <w:right w:val="none" w:sz="0" w:space="0" w:color="auto"/>
      </w:divBdr>
    </w:div>
    <w:div w:id="644042745">
      <w:bodyDiv w:val="1"/>
      <w:marLeft w:val="0"/>
      <w:marRight w:val="0"/>
      <w:marTop w:val="0"/>
      <w:marBottom w:val="0"/>
      <w:divBdr>
        <w:top w:val="none" w:sz="0" w:space="0" w:color="auto"/>
        <w:left w:val="none" w:sz="0" w:space="0" w:color="auto"/>
        <w:bottom w:val="none" w:sz="0" w:space="0" w:color="auto"/>
        <w:right w:val="none" w:sz="0" w:space="0" w:color="auto"/>
      </w:divBdr>
    </w:div>
    <w:div w:id="657850922">
      <w:bodyDiv w:val="1"/>
      <w:marLeft w:val="0"/>
      <w:marRight w:val="0"/>
      <w:marTop w:val="0"/>
      <w:marBottom w:val="0"/>
      <w:divBdr>
        <w:top w:val="none" w:sz="0" w:space="0" w:color="auto"/>
        <w:left w:val="none" w:sz="0" w:space="0" w:color="auto"/>
        <w:bottom w:val="none" w:sz="0" w:space="0" w:color="auto"/>
        <w:right w:val="none" w:sz="0" w:space="0" w:color="auto"/>
      </w:divBdr>
    </w:div>
    <w:div w:id="691760375">
      <w:bodyDiv w:val="1"/>
      <w:marLeft w:val="0"/>
      <w:marRight w:val="0"/>
      <w:marTop w:val="0"/>
      <w:marBottom w:val="0"/>
      <w:divBdr>
        <w:top w:val="none" w:sz="0" w:space="0" w:color="auto"/>
        <w:left w:val="none" w:sz="0" w:space="0" w:color="auto"/>
        <w:bottom w:val="none" w:sz="0" w:space="0" w:color="auto"/>
        <w:right w:val="none" w:sz="0" w:space="0" w:color="auto"/>
      </w:divBdr>
    </w:div>
    <w:div w:id="705760778">
      <w:bodyDiv w:val="1"/>
      <w:marLeft w:val="0"/>
      <w:marRight w:val="0"/>
      <w:marTop w:val="0"/>
      <w:marBottom w:val="0"/>
      <w:divBdr>
        <w:top w:val="none" w:sz="0" w:space="0" w:color="auto"/>
        <w:left w:val="none" w:sz="0" w:space="0" w:color="auto"/>
        <w:bottom w:val="none" w:sz="0" w:space="0" w:color="auto"/>
        <w:right w:val="none" w:sz="0" w:space="0" w:color="auto"/>
      </w:divBdr>
    </w:div>
    <w:div w:id="723800409">
      <w:bodyDiv w:val="1"/>
      <w:marLeft w:val="0"/>
      <w:marRight w:val="0"/>
      <w:marTop w:val="0"/>
      <w:marBottom w:val="0"/>
      <w:divBdr>
        <w:top w:val="none" w:sz="0" w:space="0" w:color="auto"/>
        <w:left w:val="none" w:sz="0" w:space="0" w:color="auto"/>
        <w:bottom w:val="none" w:sz="0" w:space="0" w:color="auto"/>
        <w:right w:val="none" w:sz="0" w:space="0" w:color="auto"/>
      </w:divBdr>
    </w:div>
    <w:div w:id="732587366">
      <w:bodyDiv w:val="1"/>
      <w:marLeft w:val="0"/>
      <w:marRight w:val="0"/>
      <w:marTop w:val="0"/>
      <w:marBottom w:val="0"/>
      <w:divBdr>
        <w:top w:val="none" w:sz="0" w:space="0" w:color="auto"/>
        <w:left w:val="none" w:sz="0" w:space="0" w:color="auto"/>
        <w:bottom w:val="none" w:sz="0" w:space="0" w:color="auto"/>
        <w:right w:val="none" w:sz="0" w:space="0" w:color="auto"/>
      </w:divBdr>
    </w:div>
    <w:div w:id="771434254">
      <w:bodyDiv w:val="1"/>
      <w:marLeft w:val="0"/>
      <w:marRight w:val="0"/>
      <w:marTop w:val="0"/>
      <w:marBottom w:val="0"/>
      <w:divBdr>
        <w:top w:val="none" w:sz="0" w:space="0" w:color="auto"/>
        <w:left w:val="none" w:sz="0" w:space="0" w:color="auto"/>
        <w:bottom w:val="none" w:sz="0" w:space="0" w:color="auto"/>
        <w:right w:val="none" w:sz="0" w:space="0" w:color="auto"/>
      </w:divBdr>
    </w:div>
    <w:div w:id="856499490">
      <w:bodyDiv w:val="1"/>
      <w:marLeft w:val="0"/>
      <w:marRight w:val="0"/>
      <w:marTop w:val="0"/>
      <w:marBottom w:val="0"/>
      <w:divBdr>
        <w:top w:val="none" w:sz="0" w:space="0" w:color="auto"/>
        <w:left w:val="none" w:sz="0" w:space="0" w:color="auto"/>
        <w:bottom w:val="none" w:sz="0" w:space="0" w:color="auto"/>
        <w:right w:val="none" w:sz="0" w:space="0" w:color="auto"/>
      </w:divBdr>
    </w:div>
    <w:div w:id="873889624">
      <w:bodyDiv w:val="1"/>
      <w:marLeft w:val="0"/>
      <w:marRight w:val="0"/>
      <w:marTop w:val="0"/>
      <w:marBottom w:val="0"/>
      <w:divBdr>
        <w:top w:val="none" w:sz="0" w:space="0" w:color="auto"/>
        <w:left w:val="none" w:sz="0" w:space="0" w:color="auto"/>
        <w:bottom w:val="none" w:sz="0" w:space="0" w:color="auto"/>
        <w:right w:val="none" w:sz="0" w:space="0" w:color="auto"/>
      </w:divBdr>
    </w:div>
    <w:div w:id="996498277">
      <w:bodyDiv w:val="1"/>
      <w:marLeft w:val="0"/>
      <w:marRight w:val="0"/>
      <w:marTop w:val="0"/>
      <w:marBottom w:val="0"/>
      <w:divBdr>
        <w:top w:val="none" w:sz="0" w:space="0" w:color="auto"/>
        <w:left w:val="none" w:sz="0" w:space="0" w:color="auto"/>
        <w:bottom w:val="none" w:sz="0" w:space="0" w:color="auto"/>
        <w:right w:val="none" w:sz="0" w:space="0" w:color="auto"/>
      </w:divBdr>
    </w:div>
    <w:div w:id="1031806777">
      <w:bodyDiv w:val="1"/>
      <w:marLeft w:val="0"/>
      <w:marRight w:val="0"/>
      <w:marTop w:val="0"/>
      <w:marBottom w:val="0"/>
      <w:divBdr>
        <w:top w:val="none" w:sz="0" w:space="0" w:color="auto"/>
        <w:left w:val="none" w:sz="0" w:space="0" w:color="auto"/>
        <w:bottom w:val="none" w:sz="0" w:space="0" w:color="auto"/>
        <w:right w:val="none" w:sz="0" w:space="0" w:color="auto"/>
      </w:divBdr>
    </w:div>
    <w:div w:id="1036928620">
      <w:bodyDiv w:val="1"/>
      <w:marLeft w:val="0"/>
      <w:marRight w:val="0"/>
      <w:marTop w:val="0"/>
      <w:marBottom w:val="0"/>
      <w:divBdr>
        <w:top w:val="none" w:sz="0" w:space="0" w:color="auto"/>
        <w:left w:val="none" w:sz="0" w:space="0" w:color="auto"/>
        <w:bottom w:val="none" w:sz="0" w:space="0" w:color="auto"/>
        <w:right w:val="none" w:sz="0" w:space="0" w:color="auto"/>
      </w:divBdr>
    </w:div>
    <w:div w:id="1087656304">
      <w:bodyDiv w:val="1"/>
      <w:marLeft w:val="0"/>
      <w:marRight w:val="0"/>
      <w:marTop w:val="0"/>
      <w:marBottom w:val="0"/>
      <w:divBdr>
        <w:top w:val="none" w:sz="0" w:space="0" w:color="auto"/>
        <w:left w:val="none" w:sz="0" w:space="0" w:color="auto"/>
        <w:bottom w:val="none" w:sz="0" w:space="0" w:color="auto"/>
        <w:right w:val="none" w:sz="0" w:space="0" w:color="auto"/>
      </w:divBdr>
    </w:div>
    <w:div w:id="1094713618">
      <w:bodyDiv w:val="1"/>
      <w:marLeft w:val="0"/>
      <w:marRight w:val="0"/>
      <w:marTop w:val="0"/>
      <w:marBottom w:val="0"/>
      <w:divBdr>
        <w:top w:val="none" w:sz="0" w:space="0" w:color="auto"/>
        <w:left w:val="none" w:sz="0" w:space="0" w:color="auto"/>
        <w:bottom w:val="none" w:sz="0" w:space="0" w:color="auto"/>
        <w:right w:val="none" w:sz="0" w:space="0" w:color="auto"/>
      </w:divBdr>
    </w:div>
    <w:div w:id="1135953537">
      <w:bodyDiv w:val="1"/>
      <w:marLeft w:val="0"/>
      <w:marRight w:val="0"/>
      <w:marTop w:val="0"/>
      <w:marBottom w:val="0"/>
      <w:divBdr>
        <w:top w:val="none" w:sz="0" w:space="0" w:color="auto"/>
        <w:left w:val="none" w:sz="0" w:space="0" w:color="auto"/>
        <w:bottom w:val="none" w:sz="0" w:space="0" w:color="auto"/>
        <w:right w:val="none" w:sz="0" w:space="0" w:color="auto"/>
      </w:divBdr>
    </w:div>
    <w:div w:id="1145271155">
      <w:bodyDiv w:val="1"/>
      <w:marLeft w:val="0"/>
      <w:marRight w:val="0"/>
      <w:marTop w:val="0"/>
      <w:marBottom w:val="0"/>
      <w:divBdr>
        <w:top w:val="none" w:sz="0" w:space="0" w:color="auto"/>
        <w:left w:val="none" w:sz="0" w:space="0" w:color="auto"/>
        <w:bottom w:val="none" w:sz="0" w:space="0" w:color="auto"/>
        <w:right w:val="none" w:sz="0" w:space="0" w:color="auto"/>
      </w:divBdr>
    </w:div>
    <w:div w:id="1344013670">
      <w:bodyDiv w:val="1"/>
      <w:marLeft w:val="0"/>
      <w:marRight w:val="0"/>
      <w:marTop w:val="0"/>
      <w:marBottom w:val="0"/>
      <w:divBdr>
        <w:top w:val="none" w:sz="0" w:space="0" w:color="auto"/>
        <w:left w:val="none" w:sz="0" w:space="0" w:color="auto"/>
        <w:bottom w:val="none" w:sz="0" w:space="0" w:color="auto"/>
        <w:right w:val="none" w:sz="0" w:space="0" w:color="auto"/>
      </w:divBdr>
    </w:div>
    <w:div w:id="1371493040">
      <w:bodyDiv w:val="1"/>
      <w:marLeft w:val="0"/>
      <w:marRight w:val="0"/>
      <w:marTop w:val="0"/>
      <w:marBottom w:val="0"/>
      <w:divBdr>
        <w:top w:val="none" w:sz="0" w:space="0" w:color="auto"/>
        <w:left w:val="none" w:sz="0" w:space="0" w:color="auto"/>
        <w:bottom w:val="none" w:sz="0" w:space="0" w:color="auto"/>
        <w:right w:val="none" w:sz="0" w:space="0" w:color="auto"/>
      </w:divBdr>
    </w:div>
    <w:div w:id="1476292400">
      <w:bodyDiv w:val="1"/>
      <w:marLeft w:val="0"/>
      <w:marRight w:val="0"/>
      <w:marTop w:val="0"/>
      <w:marBottom w:val="0"/>
      <w:divBdr>
        <w:top w:val="none" w:sz="0" w:space="0" w:color="auto"/>
        <w:left w:val="none" w:sz="0" w:space="0" w:color="auto"/>
        <w:bottom w:val="none" w:sz="0" w:space="0" w:color="auto"/>
        <w:right w:val="none" w:sz="0" w:space="0" w:color="auto"/>
      </w:divBdr>
      <w:divsChild>
        <w:div w:id="129397100">
          <w:marLeft w:val="0"/>
          <w:marRight w:val="0"/>
          <w:marTop w:val="0"/>
          <w:marBottom w:val="0"/>
          <w:divBdr>
            <w:top w:val="none" w:sz="0" w:space="0" w:color="auto"/>
            <w:left w:val="none" w:sz="0" w:space="0" w:color="auto"/>
            <w:bottom w:val="none" w:sz="0" w:space="0" w:color="auto"/>
            <w:right w:val="none" w:sz="0" w:space="0" w:color="auto"/>
          </w:divBdr>
          <w:divsChild>
            <w:div w:id="440999174">
              <w:marLeft w:val="0"/>
              <w:marRight w:val="0"/>
              <w:marTop w:val="0"/>
              <w:marBottom w:val="450"/>
              <w:divBdr>
                <w:top w:val="none" w:sz="0" w:space="0" w:color="auto"/>
                <w:left w:val="none" w:sz="0" w:space="0" w:color="auto"/>
                <w:bottom w:val="none" w:sz="0" w:space="0" w:color="auto"/>
                <w:right w:val="none" w:sz="0" w:space="0" w:color="auto"/>
              </w:divBdr>
              <w:divsChild>
                <w:div w:id="1855001181">
                  <w:marLeft w:val="0"/>
                  <w:marRight w:val="0"/>
                  <w:marTop w:val="0"/>
                  <w:marBottom w:val="0"/>
                  <w:divBdr>
                    <w:top w:val="none" w:sz="0" w:space="0" w:color="auto"/>
                    <w:left w:val="none" w:sz="0" w:space="0" w:color="auto"/>
                    <w:bottom w:val="none" w:sz="0" w:space="0" w:color="auto"/>
                    <w:right w:val="none" w:sz="0" w:space="0" w:color="auto"/>
                  </w:divBdr>
                  <w:divsChild>
                    <w:div w:id="830684454">
                      <w:marLeft w:val="0"/>
                      <w:marRight w:val="0"/>
                      <w:marTop w:val="0"/>
                      <w:marBottom w:val="0"/>
                      <w:divBdr>
                        <w:top w:val="none" w:sz="0" w:space="0" w:color="auto"/>
                        <w:left w:val="none" w:sz="0" w:space="0" w:color="auto"/>
                        <w:bottom w:val="none" w:sz="0" w:space="0" w:color="auto"/>
                        <w:right w:val="none" w:sz="0" w:space="0" w:color="auto"/>
                      </w:divBdr>
                      <w:divsChild>
                        <w:div w:id="52429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132355">
      <w:bodyDiv w:val="1"/>
      <w:marLeft w:val="0"/>
      <w:marRight w:val="0"/>
      <w:marTop w:val="0"/>
      <w:marBottom w:val="0"/>
      <w:divBdr>
        <w:top w:val="none" w:sz="0" w:space="0" w:color="auto"/>
        <w:left w:val="none" w:sz="0" w:space="0" w:color="auto"/>
        <w:bottom w:val="none" w:sz="0" w:space="0" w:color="auto"/>
        <w:right w:val="none" w:sz="0" w:space="0" w:color="auto"/>
      </w:divBdr>
    </w:div>
    <w:div w:id="1549144383">
      <w:bodyDiv w:val="1"/>
      <w:marLeft w:val="0"/>
      <w:marRight w:val="0"/>
      <w:marTop w:val="0"/>
      <w:marBottom w:val="0"/>
      <w:divBdr>
        <w:top w:val="none" w:sz="0" w:space="0" w:color="auto"/>
        <w:left w:val="none" w:sz="0" w:space="0" w:color="auto"/>
        <w:bottom w:val="none" w:sz="0" w:space="0" w:color="auto"/>
        <w:right w:val="none" w:sz="0" w:space="0" w:color="auto"/>
      </w:divBdr>
    </w:div>
    <w:div w:id="1578632758">
      <w:bodyDiv w:val="1"/>
      <w:marLeft w:val="0"/>
      <w:marRight w:val="0"/>
      <w:marTop w:val="0"/>
      <w:marBottom w:val="0"/>
      <w:divBdr>
        <w:top w:val="none" w:sz="0" w:space="0" w:color="auto"/>
        <w:left w:val="none" w:sz="0" w:space="0" w:color="auto"/>
        <w:bottom w:val="none" w:sz="0" w:space="0" w:color="auto"/>
        <w:right w:val="none" w:sz="0" w:space="0" w:color="auto"/>
      </w:divBdr>
    </w:div>
    <w:div w:id="1610771033">
      <w:bodyDiv w:val="1"/>
      <w:marLeft w:val="0"/>
      <w:marRight w:val="0"/>
      <w:marTop w:val="0"/>
      <w:marBottom w:val="0"/>
      <w:divBdr>
        <w:top w:val="none" w:sz="0" w:space="0" w:color="auto"/>
        <w:left w:val="none" w:sz="0" w:space="0" w:color="auto"/>
        <w:bottom w:val="none" w:sz="0" w:space="0" w:color="auto"/>
        <w:right w:val="none" w:sz="0" w:space="0" w:color="auto"/>
      </w:divBdr>
    </w:div>
    <w:div w:id="1640261258">
      <w:bodyDiv w:val="1"/>
      <w:marLeft w:val="0"/>
      <w:marRight w:val="0"/>
      <w:marTop w:val="0"/>
      <w:marBottom w:val="0"/>
      <w:divBdr>
        <w:top w:val="none" w:sz="0" w:space="0" w:color="auto"/>
        <w:left w:val="none" w:sz="0" w:space="0" w:color="auto"/>
        <w:bottom w:val="none" w:sz="0" w:space="0" w:color="auto"/>
        <w:right w:val="none" w:sz="0" w:space="0" w:color="auto"/>
      </w:divBdr>
    </w:div>
    <w:div w:id="1666859055">
      <w:bodyDiv w:val="1"/>
      <w:marLeft w:val="0"/>
      <w:marRight w:val="0"/>
      <w:marTop w:val="0"/>
      <w:marBottom w:val="0"/>
      <w:divBdr>
        <w:top w:val="none" w:sz="0" w:space="0" w:color="auto"/>
        <w:left w:val="none" w:sz="0" w:space="0" w:color="auto"/>
        <w:bottom w:val="none" w:sz="0" w:space="0" w:color="auto"/>
        <w:right w:val="none" w:sz="0" w:space="0" w:color="auto"/>
      </w:divBdr>
    </w:div>
    <w:div w:id="1816029001">
      <w:bodyDiv w:val="1"/>
      <w:marLeft w:val="0"/>
      <w:marRight w:val="0"/>
      <w:marTop w:val="0"/>
      <w:marBottom w:val="0"/>
      <w:divBdr>
        <w:top w:val="none" w:sz="0" w:space="0" w:color="auto"/>
        <w:left w:val="none" w:sz="0" w:space="0" w:color="auto"/>
        <w:bottom w:val="none" w:sz="0" w:space="0" w:color="auto"/>
        <w:right w:val="none" w:sz="0" w:space="0" w:color="auto"/>
      </w:divBdr>
    </w:div>
    <w:div w:id="1827822039">
      <w:bodyDiv w:val="1"/>
      <w:marLeft w:val="0"/>
      <w:marRight w:val="0"/>
      <w:marTop w:val="0"/>
      <w:marBottom w:val="0"/>
      <w:divBdr>
        <w:top w:val="none" w:sz="0" w:space="0" w:color="auto"/>
        <w:left w:val="none" w:sz="0" w:space="0" w:color="auto"/>
        <w:bottom w:val="none" w:sz="0" w:space="0" w:color="auto"/>
        <w:right w:val="none" w:sz="0" w:space="0" w:color="auto"/>
      </w:divBdr>
    </w:div>
    <w:div w:id="1869174055">
      <w:bodyDiv w:val="1"/>
      <w:marLeft w:val="0"/>
      <w:marRight w:val="0"/>
      <w:marTop w:val="0"/>
      <w:marBottom w:val="0"/>
      <w:divBdr>
        <w:top w:val="none" w:sz="0" w:space="0" w:color="auto"/>
        <w:left w:val="none" w:sz="0" w:space="0" w:color="auto"/>
        <w:bottom w:val="none" w:sz="0" w:space="0" w:color="auto"/>
        <w:right w:val="none" w:sz="0" w:space="0" w:color="auto"/>
      </w:divBdr>
    </w:div>
    <w:div w:id="2031562434">
      <w:bodyDiv w:val="1"/>
      <w:marLeft w:val="0"/>
      <w:marRight w:val="0"/>
      <w:marTop w:val="0"/>
      <w:marBottom w:val="0"/>
      <w:divBdr>
        <w:top w:val="none" w:sz="0" w:space="0" w:color="auto"/>
        <w:left w:val="none" w:sz="0" w:space="0" w:color="auto"/>
        <w:bottom w:val="none" w:sz="0" w:space="0" w:color="auto"/>
        <w:right w:val="none" w:sz="0" w:space="0" w:color="auto"/>
      </w:divBdr>
    </w:div>
    <w:div w:id="2053186222">
      <w:bodyDiv w:val="1"/>
      <w:marLeft w:val="0"/>
      <w:marRight w:val="0"/>
      <w:marTop w:val="0"/>
      <w:marBottom w:val="0"/>
      <w:divBdr>
        <w:top w:val="none" w:sz="0" w:space="0" w:color="auto"/>
        <w:left w:val="none" w:sz="0" w:space="0" w:color="auto"/>
        <w:bottom w:val="none" w:sz="0" w:space="0" w:color="auto"/>
        <w:right w:val="none" w:sz="0" w:space="0" w:color="auto"/>
      </w:divBdr>
    </w:div>
    <w:div w:id="2085830700">
      <w:bodyDiv w:val="1"/>
      <w:marLeft w:val="0"/>
      <w:marRight w:val="0"/>
      <w:marTop w:val="0"/>
      <w:marBottom w:val="0"/>
      <w:divBdr>
        <w:top w:val="none" w:sz="0" w:space="0" w:color="auto"/>
        <w:left w:val="none" w:sz="0" w:space="0" w:color="auto"/>
        <w:bottom w:val="none" w:sz="0" w:space="0" w:color="auto"/>
        <w:right w:val="none" w:sz="0" w:space="0" w:color="auto"/>
      </w:divBdr>
    </w:div>
    <w:div w:id="214454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CD529C7E-D6F6-40EE-BACC-11E627568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12669</Words>
  <Characters>7222</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2025-09-26T09:54:00Z</dcterms:created>
  <dcterms:modified xsi:type="dcterms:W3CDTF">2025-09-26T13:39:00Z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68" name="DISCesvisMeetingDate">
    <vt:lpwstr>2025-10-01</vt:lpwstr>
  </property>
  <property fmtid="{D5CDD505-2E9C-101B-9397-08002B2CF9AE}" pid="69" name="DISCesvisAdditionalMakers">
    <vt:lpwstr>Trešā sekretāre Alise Elīza Maļinovska</vt:lpwstr>
  </property>
  <property fmtid="{D5CDD505-2E9C-101B-9397-08002B2CF9AE}" pid="70" name="DIScgiUrl">
    <vt:lpwstr>https://lim.esvis.gov.lv/cs/idcplg</vt:lpwstr>
  </property>
  <property fmtid="{D5CDD505-2E9C-101B-9397-08002B2CF9AE}" pid="71" name="DISdDocName">
    <vt:lpwstr>L572396</vt:lpwstr>
  </property>
  <property fmtid="{D5CDD505-2E9C-101B-9397-08002B2CF9AE}" pid="72" name="DISCesvisAdditionalTutors">
    <vt:lpwstr>Vecākā eksperte Aija Vēja, Trešā sekretāre Alise Elīza Maļinovska, Padomniece Solvita Apala</vt:lpwstr>
  </property>
  <property fmtid="{D5CDD505-2E9C-101B-9397-08002B2CF9AE}" pid="73" name="DISCesvisSigner">
    <vt:lpwstr>Ārlietu ministre Baiba Braže</vt:lpwstr>
  </property>
  <property fmtid="{D5CDD505-2E9C-101B-9397-08002B2CF9AE}" pid="74" name="DISCesvisSafetyLevel">
    <vt:lpwstr>Vispārpieejams</vt:lpwstr>
  </property>
  <property fmtid="{D5CDD505-2E9C-101B-9397-08002B2CF9AE}" pid="75" name="DISTaskPaneUrl">
    <vt:lpwstr>https://lim.esvis.gov.lv/cs/idcplg?ClientControlled=DocMan&amp;coreContentOnly=1&amp;WebdavRequest=1&amp;IdcService=DOC_INFO&amp;dID=659918</vt:lpwstr>
  </property>
  <property fmtid="{D5CDD505-2E9C-101B-9397-08002B2CF9AE}" pid="76" name="DISCesvisTitle">
    <vt:lpwstr>Informatīvais ziņojums "Par 2025. gada 1.-2. oktobra neformālajā Eiropadomē un Eiropas politiskās kopienas sanāksmē izskatāmajiem jautājumiem"</vt:lpwstr>
  </property>
  <property fmtid="{D5CDD505-2E9C-101B-9397-08002B2CF9AE}" pid="77" name="DISCesvisMinistryOfMinister">
    <vt:lpwstr>wwTemplateNP_MinistryOfMinister(Ārlietu,)</vt:lpwstr>
  </property>
  <property fmtid="{D5CDD505-2E9C-101B-9397-08002B2CF9AE}" pid="78" name="DISCesvisAuthor">
    <vt:lpwstr>Ārlietu ministrija</vt:lpwstr>
  </property>
  <property fmtid="{D5CDD505-2E9C-101B-9397-08002B2CF9AE}" pid="79" name="DISCesvisMainMaker">
    <vt:lpwstr>Trešā sekretāre Alise Elīza Maļinovska</vt:lpwstr>
  </property>
  <property fmtid="{D5CDD505-2E9C-101B-9397-08002B2CF9AE}" pid="80" name="DISCesvisAdditionalTutorsMail">
    <vt:lpwstr>aija.veja@mfa.gov.lv, AliseEliza.Malinovska@mfa.gov.lv, solvita.apala@mfa.gov.lv</vt:lpwstr>
  </property>
  <property fmtid="{D5CDD505-2E9C-101B-9397-08002B2CF9AE}" pid="81" name="DISCesvisAdditionalTutorsPhone">
    <vt:lpwstr>67016487, 67016446, +37167016209</vt:lpwstr>
  </property>
  <property fmtid="{D5CDD505-2E9C-101B-9397-08002B2CF9AE}" pid="82" name="DISidcName">
    <vt:lpwstr>1020404016200</vt:lpwstr>
  </property>
  <property fmtid="{D5CDD505-2E9C-101B-9397-08002B2CF9AE}" pid="83" name="DISProperties">
    <vt:lpwstr>DISCesvisMeetingDate,DISCesvisAdditionalMakers,DIScgiUrl,DISdDocName,DISCesvisAdditionalTutors,DISCesvisAnnotation,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84" name="DISCesvisAdditionalMakersMail">
    <vt:lpwstr>AliseEliza.Malinovska@mfa.gov.lv</vt:lpwstr>
  </property>
  <property fmtid="{D5CDD505-2E9C-101B-9397-08002B2CF9AE}" pid="85" name="DISdUser">
    <vt:lpwstr>weblogic</vt:lpwstr>
  </property>
  <property fmtid="{D5CDD505-2E9C-101B-9397-08002B2CF9AE}" pid="86" name="DISdID">
    <vt:lpwstr>659918</vt:lpwstr>
  </property>
  <property fmtid="{D5CDD505-2E9C-101B-9397-08002B2CF9AE}" pid="87" name="DISCesvisAdditionalMakersPhone">
    <vt:lpwstr>67016446</vt:lpwstr>
  </property>
  <property fmtid="{D5CDD505-2E9C-101B-9397-08002B2CF9AE}" pid="88" name="DISCesvisMainMakerOrgUnitTitle">
    <vt:lpwstr>Pastāvīgo pārstāvju komitejas II daļas sagatavošanas nodaļa (COREPER II)</vt:lpwstr>
  </property>
  <property fmtid="{D5CDD505-2E9C-101B-9397-08002B2CF9AE}" pid="89" name="DISCesvisAnnotation">
    <vt:lpwstr>Informatīvā ziņojuma atkārtota augšupielāde, lai novērstu problēmu, ka informācijas sistēmu kļūdas dēļ VK/ MK saņem arī dokumentu darba versijas. Informatīvā ziņojuma saskaņojumus skatīt pie ESVIS informatīvā ziņojuma L571965.</vt:lpwstr>
  </property>
</Properties>
</file>