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E0273" w14:textId="2E2B8427" w:rsidR="00D9459B" w:rsidRPr="00D9459B" w:rsidRDefault="00D9459B" w:rsidP="00D9459B">
      <w:pPr>
        <w:jc w:val="right"/>
        <w:rPr>
          <w:rFonts w:ascii="Times New Roman" w:hAnsi="Times New Roman" w:cs="Times New Roman"/>
          <w:sz w:val="24"/>
          <w:szCs w:val="24"/>
        </w:rPr>
      </w:pPr>
      <w:r w:rsidRPr="00D9459B">
        <w:rPr>
          <w:rFonts w:ascii="Times New Roman" w:hAnsi="Times New Roman" w:cs="Times New Roman"/>
          <w:sz w:val="24"/>
          <w:szCs w:val="24"/>
        </w:rPr>
        <w:t>3.pielikums</w:t>
      </w:r>
    </w:p>
    <w:p w14:paraId="29629948" w14:textId="27F378CC" w:rsidR="007E7B4D" w:rsidRPr="007E7B4D" w:rsidRDefault="007E7B4D" w:rsidP="007E7B4D">
      <w:pPr>
        <w:jc w:val="center"/>
        <w:rPr>
          <w:rFonts w:ascii="Times New Roman" w:hAnsi="Times New Roman" w:cs="Times New Roman"/>
          <w:b/>
          <w:bCs/>
          <w:sz w:val="28"/>
          <w:szCs w:val="28"/>
        </w:rPr>
      </w:pPr>
      <w:r w:rsidRPr="007E7B4D">
        <w:rPr>
          <w:rFonts w:ascii="Times New Roman" w:hAnsi="Times New Roman" w:cs="Times New Roman"/>
          <w:b/>
          <w:bCs/>
          <w:sz w:val="28"/>
          <w:szCs w:val="28"/>
        </w:rPr>
        <w:t>Tālākās darbības scenāriji un izvērtējums par scenāriju ietekmi uz labvēlīga aizsardzības stāvokļa nodrošināšanu, tautsaimniecību un SEG emisiju piesaisti</w:t>
      </w:r>
    </w:p>
    <w:p w14:paraId="6426CE25" w14:textId="77777777" w:rsidR="007E7B4D" w:rsidRDefault="007E7B4D" w:rsidP="001732B6">
      <w:pPr>
        <w:jc w:val="both"/>
        <w:rPr>
          <w:rFonts w:ascii="Times New Roman" w:hAnsi="Times New Roman" w:cs="Times New Roman"/>
          <w:sz w:val="24"/>
          <w:szCs w:val="24"/>
        </w:rPr>
      </w:pPr>
    </w:p>
    <w:p w14:paraId="099310C1" w14:textId="7FA5D55D" w:rsidR="001732B6" w:rsidRPr="0088058C"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 xml:space="preserve">Atbilstoši Uzraudzības grupas saskaņotajam darba uzdevumam, 2021. – 2022. gadā </w:t>
      </w:r>
      <w:r w:rsidR="00EF5470">
        <w:rPr>
          <w:rFonts w:ascii="Times New Roman" w:hAnsi="Times New Roman" w:cs="Times New Roman"/>
          <w:sz w:val="24"/>
          <w:szCs w:val="24"/>
        </w:rPr>
        <w:t xml:space="preserve">tika </w:t>
      </w:r>
      <w:r w:rsidRPr="0088058C">
        <w:rPr>
          <w:rFonts w:ascii="Times New Roman" w:hAnsi="Times New Roman" w:cs="Times New Roman"/>
          <w:sz w:val="24"/>
          <w:szCs w:val="24"/>
        </w:rPr>
        <w:t>veikts šo scenāriju</w:t>
      </w:r>
      <w:r w:rsidR="00FF0B53">
        <w:rPr>
          <w:rFonts w:ascii="Times New Roman" w:hAnsi="Times New Roman" w:cs="Times New Roman"/>
          <w:sz w:val="24"/>
          <w:szCs w:val="24"/>
        </w:rPr>
        <w:t xml:space="preserve"> (skat.2.pielikumu)</w:t>
      </w:r>
      <w:r w:rsidRPr="0088058C">
        <w:rPr>
          <w:rFonts w:ascii="Times New Roman" w:hAnsi="Times New Roman" w:cs="Times New Roman"/>
          <w:sz w:val="24"/>
          <w:szCs w:val="24"/>
        </w:rPr>
        <w:t xml:space="preserve"> izvērtējums par to ietekmi uz tautsaimniecību, biotopu aizsardzības un labvēlīga aizsardzības stāvokļa nodrošināšanai nepieciešamo apsaimniekošanas pasākumu veikšanu un tautsaimniecības nozaru attīstības interešu sabalansēšanu īstermiņā (10 gadi) un ilgtermiņā (30 gadi). Šī izvērtējuma laikā </w:t>
      </w:r>
      <w:r w:rsidR="00FA4487">
        <w:rPr>
          <w:rFonts w:ascii="Times New Roman" w:hAnsi="Times New Roman" w:cs="Times New Roman"/>
          <w:sz w:val="24"/>
          <w:szCs w:val="24"/>
        </w:rPr>
        <w:t xml:space="preserve">tika </w:t>
      </w:r>
      <w:r w:rsidRPr="0088058C">
        <w:rPr>
          <w:rFonts w:ascii="Times New Roman" w:hAnsi="Times New Roman" w:cs="Times New Roman"/>
          <w:sz w:val="24"/>
          <w:szCs w:val="24"/>
        </w:rPr>
        <w:t>novērtētas koksnes resursu pieejamības izmaiņas un tās ietekme uz iespējamo darbavietu zudumu meža nozarē. Tāpat vērtēti alternatīvi koksnes resursu piegādes avoti, meža tīrās tagadnes vērtības izmaiņas, kā arī veiktas aplēses par nepieciešamo kompensāciju apjomu par papildus saimnieciskās darbības ierobežojumiem  atbilstoši esošajam normatīvajam regulējumam</w:t>
      </w:r>
      <w:r w:rsidRPr="0088058C">
        <w:rPr>
          <w:rStyle w:val="FootnoteReference"/>
          <w:rFonts w:ascii="Times New Roman" w:hAnsi="Times New Roman" w:cs="Times New Roman"/>
          <w:sz w:val="24"/>
          <w:szCs w:val="24"/>
        </w:rPr>
        <w:footnoteReference w:id="1"/>
      </w:r>
      <w:r w:rsidRPr="0088058C">
        <w:rPr>
          <w:rFonts w:ascii="Times New Roman" w:hAnsi="Times New Roman" w:cs="Times New Roman"/>
          <w:sz w:val="24"/>
          <w:szCs w:val="24"/>
        </w:rPr>
        <w:t xml:space="preserve">. </w:t>
      </w:r>
      <w:r>
        <w:rPr>
          <w:rFonts w:ascii="Times New Roman" w:hAnsi="Times New Roman" w:cs="Times New Roman"/>
          <w:sz w:val="24"/>
          <w:szCs w:val="24"/>
        </w:rPr>
        <w:t>Scenāriju izvērtējumu</w:t>
      </w:r>
      <w:r w:rsidR="003E193C">
        <w:rPr>
          <w:rFonts w:ascii="Times New Roman" w:hAnsi="Times New Roman" w:cs="Times New Roman"/>
          <w:sz w:val="24"/>
          <w:szCs w:val="24"/>
        </w:rPr>
        <w:t>,</w:t>
      </w:r>
      <w:r>
        <w:rPr>
          <w:rFonts w:ascii="Times New Roman" w:hAnsi="Times New Roman" w:cs="Times New Roman"/>
          <w:sz w:val="24"/>
          <w:szCs w:val="24"/>
        </w:rPr>
        <w:t xml:space="preserve"> atbilstoši Uzraudzības grupā saskaņotajam darba uzdevumam</w:t>
      </w:r>
      <w:r w:rsidR="003E193C">
        <w:rPr>
          <w:rFonts w:ascii="Times New Roman" w:hAnsi="Times New Roman" w:cs="Times New Roman"/>
          <w:sz w:val="24"/>
          <w:szCs w:val="24"/>
        </w:rPr>
        <w:t>,</w:t>
      </w:r>
      <w:r>
        <w:rPr>
          <w:rFonts w:ascii="Times New Roman" w:hAnsi="Times New Roman" w:cs="Times New Roman"/>
          <w:sz w:val="24"/>
          <w:szCs w:val="24"/>
        </w:rPr>
        <w:t xml:space="preserve"> attiecībā uz koksnes resursu pieejamību un siltumnīcas efekta gāzu emisiju piesaisti veica </w:t>
      </w:r>
      <w:r w:rsidRPr="003F02A9">
        <w:rPr>
          <w:rFonts w:ascii="Times New Roman" w:hAnsi="Times New Roman" w:cs="Times New Roman"/>
          <w:sz w:val="24"/>
          <w:szCs w:val="24"/>
        </w:rPr>
        <w:t>Latvijas Valsts mežzinātnes institūt</w:t>
      </w:r>
      <w:r>
        <w:rPr>
          <w:rFonts w:ascii="Times New Roman" w:hAnsi="Times New Roman" w:cs="Times New Roman"/>
          <w:sz w:val="24"/>
          <w:szCs w:val="24"/>
        </w:rPr>
        <w:t>s</w:t>
      </w:r>
      <w:r w:rsidRPr="003F02A9">
        <w:rPr>
          <w:rFonts w:ascii="Times New Roman" w:hAnsi="Times New Roman" w:cs="Times New Roman"/>
          <w:sz w:val="24"/>
          <w:szCs w:val="24"/>
        </w:rPr>
        <w:t xml:space="preserve"> </w:t>
      </w:r>
      <w:r>
        <w:rPr>
          <w:rFonts w:ascii="Times New Roman" w:hAnsi="Times New Roman" w:cs="Times New Roman"/>
          <w:sz w:val="24"/>
          <w:szCs w:val="24"/>
        </w:rPr>
        <w:t>“Silava”.</w:t>
      </w:r>
      <w:r w:rsidR="007F25F1">
        <w:rPr>
          <w:rFonts w:ascii="Times New Roman" w:hAnsi="Times New Roman" w:cs="Times New Roman"/>
          <w:sz w:val="24"/>
          <w:szCs w:val="24"/>
        </w:rPr>
        <w:t xml:space="preserve"> </w:t>
      </w:r>
      <w:r w:rsidRPr="0088058C">
        <w:rPr>
          <w:rFonts w:ascii="Times New Roman" w:hAnsi="Times New Roman" w:cs="Times New Roman"/>
          <w:sz w:val="24"/>
          <w:szCs w:val="24"/>
        </w:rPr>
        <w:t xml:space="preserve">Papildus </w:t>
      </w:r>
      <w:r w:rsidR="007F25F1">
        <w:rPr>
          <w:rFonts w:ascii="Times New Roman" w:hAnsi="Times New Roman" w:cs="Times New Roman"/>
          <w:sz w:val="24"/>
          <w:szCs w:val="24"/>
        </w:rPr>
        <w:t xml:space="preserve">tika </w:t>
      </w:r>
      <w:r w:rsidRPr="0088058C">
        <w:rPr>
          <w:rFonts w:ascii="Times New Roman" w:hAnsi="Times New Roman" w:cs="Times New Roman"/>
          <w:sz w:val="24"/>
          <w:szCs w:val="24"/>
        </w:rPr>
        <w:t xml:space="preserve">vērtēta </w:t>
      </w:r>
      <w:r w:rsidR="007F25F1">
        <w:rPr>
          <w:rFonts w:ascii="Times New Roman" w:hAnsi="Times New Roman" w:cs="Times New Roman"/>
          <w:sz w:val="24"/>
          <w:szCs w:val="24"/>
        </w:rPr>
        <w:t xml:space="preserve">arī </w:t>
      </w:r>
      <w:r w:rsidRPr="0088058C">
        <w:rPr>
          <w:rFonts w:ascii="Times New Roman" w:hAnsi="Times New Roman" w:cs="Times New Roman"/>
          <w:sz w:val="24"/>
          <w:szCs w:val="24"/>
        </w:rPr>
        <w:t xml:space="preserve">eventuālo aizsargājamo teritoriju platību pieauguma ietekme uz siltumnīcas efekta gāzu emisiju piesaistes mērķu izpildi.  </w:t>
      </w:r>
    </w:p>
    <w:p w14:paraId="69F67129" w14:textId="49B595DD" w:rsidR="001732B6" w:rsidRPr="0088058C"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Kopsavilkums</w:t>
      </w:r>
      <w:r w:rsidR="00E1658B">
        <w:rPr>
          <w:rFonts w:ascii="Times New Roman" w:hAnsi="Times New Roman" w:cs="Times New Roman"/>
          <w:sz w:val="24"/>
          <w:szCs w:val="24"/>
        </w:rPr>
        <w:t xml:space="preserve"> par scenāriju izvērtējumu</w:t>
      </w:r>
      <w:r w:rsidRPr="0088058C">
        <w:rPr>
          <w:rFonts w:ascii="Times New Roman" w:hAnsi="Times New Roman" w:cs="Times New Roman"/>
          <w:sz w:val="24"/>
          <w:szCs w:val="24"/>
        </w:rPr>
        <w:t>:</w:t>
      </w:r>
    </w:p>
    <w:p w14:paraId="2E6022D0" w14:textId="77777777" w:rsidR="001732B6" w:rsidRPr="0088058C" w:rsidRDefault="001732B6" w:rsidP="001732B6">
      <w:pPr>
        <w:pStyle w:val="ListParagraph"/>
        <w:numPr>
          <w:ilvl w:val="0"/>
          <w:numId w:val="1"/>
        </w:numPr>
        <w:jc w:val="both"/>
        <w:rPr>
          <w:rFonts w:ascii="Times New Roman" w:hAnsi="Times New Roman" w:cs="Times New Roman"/>
          <w:sz w:val="24"/>
          <w:szCs w:val="24"/>
        </w:rPr>
      </w:pPr>
      <w:r w:rsidRPr="0088058C">
        <w:rPr>
          <w:rFonts w:ascii="Times New Roman" w:hAnsi="Times New Roman" w:cs="Times New Roman"/>
          <w:sz w:val="24"/>
          <w:szCs w:val="24"/>
        </w:rPr>
        <w:t>Koksnes resursu pieejamības izmaiņas – prognozētais likvīdais koksnes apjoms jeb no meža izvesto apaļo sortimentu apjoms pirmajos  desmit  gados potenciāli  ietekmētajā  mežu  platībā  Latvijā salīdzinājumā  ar  bāzes scenāriju atkarībā no scenārija samazināsies no 0,73 milj.m</w:t>
      </w:r>
      <w:r w:rsidRPr="0088058C">
        <w:rPr>
          <w:rFonts w:ascii="Times New Roman" w:hAnsi="Times New Roman" w:cs="Times New Roman"/>
          <w:sz w:val="24"/>
          <w:szCs w:val="24"/>
          <w:vertAlign w:val="superscript"/>
        </w:rPr>
        <w:t>3</w:t>
      </w:r>
      <w:r w:rsidRPr="0088058C">
        <w:rPr>
          <w:rFonts w:ascii="Times New Roman" w:hAnsi="Times New Roman" w:cs="Times New Roman"/>
          <w:sz w:val="24"/>
          <w:szCs w:val="24"/>
        </w:rPr>
        <w:t>gadā līdz 2,44 milj.m</w:t>
      </w:r>
      <w:r w:rsidRPr="0088058C">
        <w:rPr>
          <w:rFonts w:ascii="Times New Roman" w:hAnsi="Times New Roman" w:cs="Times New Roman"/>
          <w:sz w:val="24"/>
          <w:szCs w:val="24"/>
          <w:vertAlign w:val="superscript"/>
        </w:rPr>
        <w:t>3</w:t>
      </w:r>
      <w:r w:rsidRPr="0088058C">
        <w:rPr>
          <w:rFonts w:ascii="Times New Roman" w:hAnsi="Times New Roman" w:cs="Times New Roman"/>
          <w:sz w:val="24"/>
          <w:szCs w:val="24"/>
        </w:rPr>
        <w:t>gadā (par 5.6% - 19%, salīdzinot ar 2021. gadu).</w:t>
      </w:r>
    </w:p>
    <w:p w14:paraId="39245523" w14:textId="77777777" w:rsidR="001732B6" w:rsidRPr="0088058C" w:rsidRDefault="001732B6" w:rsidP="001732B6">
      <w:pPr>
        <w:pStyle w:val="ListParagraph"/>
        <w:numPr>
          <w:ilvl w:val="0"/>
          <w:numId w:val="1"/>
        </w:numPr>
        <w:jc w:val="both"/>
        <w:rPr>
          <w:rFonts w:ascii="Times New Roman" w:hAnsi="Times New Roman" w:cs="Times New Roman"/>
          <w:sz w:val="24"/>
          <w:szCs w:val="24"/>
        </w:rPr>
      </w:pPr>
      <w:r w:rsidRPr="0088058C">
        <w:rPr>
          <w:rFonts w:ascii="Times New Roman" w:hAnsi="Times New Roman" w:cs="Times New Roman"/>
          <w:sz w:val="24"/>
          <w:szCs w:val="24"/>
        </w:rPr>
        <w:t>Iespējamais darba vietu samazinājums – atkarībā no scenārija- tiek prognozēts 2000 – 7500 darba vietas, pie nosacījuma, ja koksnes resursu pieejamības samazinājums netiek kompensēts.</w:t>
      </w:r>
    </w:p>
    <w:p w14:paraId="41E2F5CF" w14:textId="77777777" w:rsidR="001732B6" w:rsidRPr="0088058C" w:rsidRDefault="001732B6" w:rsidP="001732B6">
      <w:pPr>
        <w:pStyle w:val="ListParagraph"/>
        <w:numPr>
          <w:ilvl w:val="0"/>
          <w:numId w:val="1"/>
        </w:numPr>
        <w:jc w:val="both"/>
        <w:rPr>
          <w:rFonts w:ascii="Times New Roman" w:hAnsi="Times New Roman" w:cs="Times New Roman"/>
          <w:sz w:val="24"/>
          <w:szCs w:val="24"/>
        </w:rPr>
      </w:pPr>
      <w:r w:rsidRPr="0088058C">
        <w:rPr>
          <w:rFonts w:ascii="Times New Roman" w:hAnsi="Times New Roman" w:cs="Times New Roman"/>
          <w:sz w:val="24"/>
          <w:szCs w:val="24"/>
        </w:rPr>
        <w:t xml:space="preserve">Iespējamā koksnes resursu  pieejamības kompensācija – sākotnējais pieņēmums –par koksnes ievešanu no Krievijas, Baltkrievijas, ģeopolitisku apsvērumu dēļ nav izmantojams. </w:t>
      </w:r>
    </w:p>
    <w:p w14:paraId="3AFCD4BA" w14:textId="77777777" w:rsidR="001732B6" w:rsidRPr="0088058C" w:rsidRDefault="001732B6" w:rsidP="001732B6">
      <w:pPr>
        <w:pStyle w:val="ListParagraph"/>
        <w:numPr>
          <w:ilvl w:val="0"/>
          <w:numId w:val="1"/>
        </w:numPr>
        <w:jc w:val="both"/>
        <w:rPr>
          <w:rFonts w:ascii="Times New Roman" w:hAnsi="Times New Roman" w:cs="Times New Roman"/>
          <w:sz w:val="24"/>
          <w:szCs w:val="24"/>
        </w:rPr>
      </w:pPr>
      <w:r w:rsidRPr="0088058C">
        <w:rPr>
          <w:rFonts w:ascii="Times New Roman" w:hAnsi="Times New Roman" w:cs="Times New Roman"/>
          <w:sz w:val="24"/>
          <w:szCs w:val="24"/>
        </w:rPr>
        <w:t xml:space="preserve">Izveidojot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teritorijas tikai pārkāpumu procedūrā 2019/2304 minētajiem meža biotopiem, tīrā tagadnes vērtība tiek lēsta 1,84 miljardi eiro apmērā. Meža tīrās tagadnes vērtība atkarībā no vērtētā scenārija samazinās līdz 0.3 – 1.4 miljardiem eiro, pie diskonta likmes 4.58%, salīdzinot ar bāzes vērtību. Jāņem vērā, ka tīrā tagadnes vērtība rēķināta tikai koksnes resursiem. </w:t>
      </w:r>
    </w:p>
    <w:p w14:paraId="1079A4D6" w14:textId="77777777" w:rsidR="001732B6" w:rsidRPr="0088058C" w:rsidRDefault="001732B6" w:rsidP="001732B6">
      <w:pPr>
        <w:pStyle w:val="ListParagraph"/>
        <w:numPr>
          <w:ilvl w:val="0"/>
          <w:numId w:val="1"/>
        </w:numPr>
        <w:jc w:val="both"/>
        <w:rPr>
          <w:rFonts w:ascii="Times New Roman" w:hAnsi="Times New Roman" w:cs="Times New Roman"/>
          <w:sz w:val="24"/>
          <w:szCs w:val="24"/>
        </w:rPr>
      </w:pPr>
      <w:r w:rsidRPr="0088058C">
        <w:rPr>
          <w:rFonts w:ascii="Times New Roman" w:hAnsi="Times New Roman" w:cs="Times New Roman"/>
          <w:sz w:val="24"/>
          <w:szCs w:val="24"/>
        </w:rPr>
        <w:t xml:space="preserve">Ja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teritorijas pārkāpumu procedūrā 2019/2304 minētajiem meža biotopiem veidotu tikai uz privātā īpašumā esošām zemēm, pie esošā normatīvā regulējuma kompensācijām par saimnieciskās darbības ierobežojumiem </w:t>
      </w:r>
      <w:r w:rsidRPr="0088058C">
        <w:rPr>
          <w:rFonts w:ascii="Times New Roman" w:hAnsi="Times New Roman" w:cs="Times New Roman"/>
          <w:i/>
          <w:iCs/>
          <w:sz w:val="24"/>
          <w:szCs w:val="24"/>
        </w:rPr>
        <w:t>Natura 2000</w:t>
      </w:r>
      <w:r w:rsidRPr="0088058C">
        <w:rPr>
          <w:rFonts w:ascii="Times New Roman" w:hAnsi="Times New Roman" w:cs="Times New Roman"/>
          <w:sz w:val="24"/>
          <w:szCs w:val="24"/>
        </w:rPr>
        <w:t xml:space="preserve"> teritorijās papildus esošajam apjomam nepieciešami vēl 3.6 miljoni eiro / </w:t>
      </w:r>
      <w:r w:rsidRPr="0088058C">
        <w:rPr>
          <w:rFonts w:ascii="Times New Roman" w:hAnsi="Times New Roman" w:cs="Times New Roman"/>
          <w:sz w:val="24"/>
          <w:szCs w:val="24"/>
        </w:rPr>
        <w:lastRenderedPageBreak/>
        <w:t>gadā, sasniedzot aptuveni 8 milj. eiro/gadā. Atkarībā no scenārija kompensācijām nepieciešamais finansējums palielinās vēl par 10.98 milj. – 27 milj. eiro/gadā. Pie esošajām likmēm nevienā no scenārijiem kompensāciju likmes nenosedz zaudēto tīro tagadnes vērtību.</w:t>
      </w:r>
    </w:p>
    <w:p w14:paraId="25B5613D" w14:textId="32149F69" w:rsidR="001732B6" w:rsidRDefault="0082149E" w:rsidP="001732B6">
      <w:pPr>
        <w:jc w:val="both"/>
        <w:rPr>
          <w:rFonts w:ascii="Times New Roman" w:hAnsi="Times New Roman" w:cs="Times New Roman"/>
          <w:sz w:val="24"/>
          <w:szCs w:val="24"/>
        </w:rPr>
      </w:pPr>
      <w:r>
        <w:rPr>
          <w:rFonts w:ascii="Times New Roman" w:hAnsi="Times New Roman" w:cs="Times New Roman"/>
          <w:sz w:val="24"/>
          <w:szCs w:val="24"/>
        </w:rPr>
        <w:t>Būtiski ņemt vērā, ka v</w:t>
      </w:r>
      <w:r w:rsidR="001732B6" w:rsidRPr="0088058C">
        <w:rPr>
          <w:rFonts w:ascii="Times New Roman" w:hAnsi="Times New Roman" w:cs="Times New Roman"/>
          <w:sz w:val="24"/>
          <w:szCs w:val="24"/>
        </w:rPr>
        <w:t>eiktais izvērtējums modelēja tikai koksnes ieguvei pieejamās platības</w:t>
      </w:r>
      <w:r w:rsidR="001732B6">
        <w:rPr>
          <w:rFonts w:ascii="Times New Roman" w:hAnsi="Times New Roman" w:cs="Times New Roman"/>
          <w:sz w:val="24"/>
          <w:szCs w:val="24"/>
        </w:rPr>
        <w:t>,</w:t>
      </w:r>
      <w:r w:rsidR="001732B6" w:rsidRPr="0088058C">
        <w:rPr>
          <w:rFonts w:ascii="Times New Roman" w:hAnsi="Times New Roman" w:cs="Times New Roman"/>
          <w:sz w:val="24"/>
          <w:szCs w:val="24"/>
        </w:rPr>
        <w:t xml:space="preserve"> to izmaiņas</w:t>
      </w:r>
      <w:r w:rsidR="001732B6">
        <w:rPr>
          <w:rFonts w:ascii="Times New Roman" w:hAnsi="Times New Roman" w:cs="Times New Roman"/>
          <w:sz w:val="24"/>
          <w:szCs w:val="24"/>
        </w:rPr>
        <w:t xml:space="preserve"> un saistītās izmaiņas kokrūpniecībā</w:t>
      </w:r>
      <w:r w:rsidR="001732B6" w:rsidRPr="0088058C">
        <w:rPr>
          <w:rFonts w:ascii="Times New Roman" w:hAnsi="Times New Roman" w:cs="Times New Roman"/>
          <w:sz w:val="24"/>
          <w:szCs w:val="24"/>
        </w:rPr>
        <w:t xml:space="preserve">, </w:t>
      </w:r>
      <w:r w:rsidR="001732B6">
        <w:rPr>
          <w:rFonts w:ascii="Times New Roman" w:hAnsi="Times New Roman" w:cs="Times New Roman"/>
          <w:sz w:val="24"/>
          <w:szCs w:val="24"/>
        </w:rPr>
        <w:t xml:space="preserve">ņemot vērā pastāvošās normatīvo aktu prasības un mežsaimniecisko praksi, </w:t>
      </w:r>
      <w:r w:rsidR="001732B6" w:rsidRPr="0088058C">
        <w:rPr>
          <w:rFonts w:ascii="Times New Roman" w:hAnsi="Times New Roman" w:cs="Times New Roman"/>
          <w:sz w:val="24"/>
          <w:szCs w:val="24"/>
        </w:rPr>
        <w:t>bet neņēma vērā citus mežsaimniecības attīstības virzienus, piem., augstvērtīgāku mežaudžu audzēšanu, intensīvāku mežkopību</w:t>
      </w:r>
      <w:r w:rsidR="001732B6">
        <w:rPr>
          <w:rFonts w:ascii="Times New Roman" w:hAnsi="Times New Roman" w:cs="Times New Roman"/>
          <w:sz w:val="24"/>
          <w:szCs w:val="24"/>
        </w:rPr>
        <w:t>, starpnozaru darbinieku migrāciju, tehnoloģiju attīstību</w:t>
      </w:r>
      <w:r w:rsidR="001732B6" w:rsidRPr="0088058C">
        <w:rPr>
          <w:rFonts w:ascii="Times New Roman" w:hAnsi="Times New Roman" w:cs="Times New Roman"/>
          <w:sz w:val="24"/>
          <w:szCs w:val="24"/>
        </w:rPr>
        <w:t>,</w:t>
      </w:r>
      <w:r w:rsidR="001732B6">
        <w:rPr>
          <w:rFonts w:ascii="Times New Roman" w:hAnsi="Times New Roman" w:cs="Times New Roman"/>
          <w:sz w:val="24"/>
          <w:szCs w:val="24"/>
        </w:rPr>
        <w:t xml:space="preserve"> strukturālas izmaiņas meža nozarē</w:t>
      </w:r>
      <w:r w:rsidR="001732B6" w:rsidRPr="0088058C">
        <w:rPr>
          <w:rFonts w:ascii="Times New Roman" w:hAnsi="Times New Roman" w:cs="Times New Roman"/>
          <w:sz w:val="24"/>
          <w:szCs w:val="24"/>
        </w:rPr>
        <w:t xml:space="preserve"> u.t.t., kas neatkarīgi no biotopu aizsardzībai veidoto ĪADT platības pieauguma ietekmē mežsaimniecību, nodarbinātību un meža tīro tagadnes vērtību. Tāpat jāņem vērā, ka koksnes resursu pieejamību būtiski ietekmē arī ar biotopu saglabāšanu nesaistīti apstākļi (piem., mizgrauzis – ārkārtas situācijas risks, energokrīze, nepieciešamie pasākumi klimata mērķu sasniegšanai, ilgtspējas kritēriji meža biomasai u.tml.)</w:t>
      </w:r>
      <w:r w:rsidR="001732B6">
        <w:rPr>
          <w:rFonts w:ascii="Times New Roman" w:hAnsi="Times New Roman" w:cs="Times New Roman"/>
          <w:sz w:val="24"/>
          <w:szCs w:val="24"/>
        </w:rPr>
        <w:t xml:space="preserve">. </w:t>
      </w:r>
    </w:p>
    <w:p w14:paraId="3A601D2E" w14:textId="438CA4A8" w:rsidR="001732B6" w:rsidRPr="0088058C"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 xml:space="preserve">Paralēli iepriekšminētajam izvērtējumam, Silava 2020.-2022. gadā ir veikusi arī citus Meža attīstības fonda finansētus pētījumus ar līdzīgiem </w:t>
      </w:r>
      <w:r w:rsidR="005340AD">
        <w:rPr>
          <w:rFonts w:ascii="Times New Roman" w:hAnsi="Times New Roman" w:cs="Times New Roman"/>
          <w:sz w:val="24"/>
          <w:szCs w:val="24"/>
        </w:rPr>
        <w:t xml:space="preserve">izvērtējamajiem </w:t>
      </w:r>
      <w:r w:rsidRPr="0088058C">
        <w:rPr>
          <w:rFonts w:ascii="Times New Roman" w:hAnsi="Times New Roman" w:cs="Times New Roman"/>
          <w:sz w:val="24"/>
          <w:szCs w:val="24"/>
        </w:rPr>
        <w:t xml:space="preserve">scenārijiem un izejas parametriem, piemēram:   </w:t>
      </w:r>
    </w:p>
    <w:p w14:paraId="144C3426" w14:textId="77777777" w:rsidR="001732B6" w:rsidRPr="0088058C"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1)“Klimata scenāriju sociālekonomiskās ietekmes aprēķini” (2022.gads, Silava)</w:t>
      </w:r>
      <w:r w:rsidRPr="0088058C">
        <w:rPr>
          <w:rStyle w:val="FootnoteReference"/>
          <w:rFonts w:ascii="Times New Roman" w:hAnsi="Times New Roman" w:cs="Times New Roman"/>
          <w:sz w:val="24"/>
          <w:szCs w:val="24"/>
        </w:rPr>
        <w:footnoteReference w:id="2"/>
      </w:r>
      <w:r w:rsidRPr="0088058C">
        <w:rPr>
          <w:rFonts w:ascii="Times New Roman" w:hAnsi="Times New Roman" w:cs="Times New Roman"/>
          <w:sz w:val="24"/>
          <w:szCs w:val="24"/>
        </w:rPr>
        <w:t xml:space="preserve"> </w:t>
      </w:r>
      <w:r w:rsidRPr="0088058C" w:rsidDel="005321B4">
        <w:rPr>
          <w:rStyle w:val="FootnoteReference"/>
          <w:rFonts w:ascii="Times New Roman" w:hAnsi="Times New Roman" w:cs="Times New Roman"/>
          <w:sz w:val="24"/>
          <w:szCs w:val="24"/>
        </w:rPr>
        <w:t xml:space="preserve"> </w:t>
      </w:r>
      <w:r w:rsidRPr="0088058C">
        <w:rPr>
          <w:rFonts w:ascii="Times New Roman" w:hAnsi="Times New Roman" w:cs="Times New Roman"/>
          <w:sz w:val="24"/>
          <w:szCs w:val="24"/>
        </w:rPr>
        <w:t xml:space="preserve">(salīdzināti kopā 7 scenāriji, tai skaitā ikdienišķais scenārijs); </w:t>
      </w:r>
    </w:p>
    <w:p w14:paraId="4A793F64" w14:textId="77777777" w:rsidR="001732B6" w:rsidRPr="0088058C"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2)”Priekšlikumi Latvijas meža resursu vērtības un apsaimniekošanas efektivitātes paaugstināšanai ilgtermiņā un atbalsts mežsaimniecības stratēģiskās ietekmes uz vidi novērtējumam” (2020.gads Silava)</w:t>
      </w:r>
      <w:r w:rsidRPr="0088058C">
        <w:rPr>
          <w:rStyle w:val="FootnoteReference"/>
          <w:rFonts w:ascii="Times New Roman" w:hAnsi="Times New Roman" w:cs="Times New Roman"/>
          <w:sz w:val="24"/>
          <w:szCs w:val="24"/>
        </w:rPr>
        <w:footnoteReference w:id="3"/>
      </w:r>
      <w:r w:rsidRPr="0088058C">
        <w:rPr>
          <w:rFonts w:ascii="Times New Roman" w:hAnsi="Times New Roman" w:cs="Times New Roman"/>
          <w:sz w:val="24"/>
          <w:szCs w:val="24"/>
        </w:rPr>
        <w:t xml:space="preserve"> (salīdzināti 3 scenāriji, tai skaitā ikdienišķais); </w:t>
      </w:r>
    </w:p>
    <w:p w14:paraId="2881B1E7" w14:textId="77777777" w:rsidR="001732B6" w:rsidRPr="0088058C"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3)</w:t>
      </w:r>
      <w:r w:rsidRPr="0088058C">
        <w:rPr>
          <w:rFonts w:ascii="Times New Roman" w:hAnsi="Times New Roman" w:cs="Times New Roman"/>
        </w:rPr>
        <w:t>”</w:t>
      </w:r>
      <w:r w:rsidRPr="0088058C">
        <w:rPr>
          <w:rFonts w:ascii="Times New Roman" w:hAnsi="Times New Roman" w:cs="Times New Roman"/>
          <w:sz w:val="24"/>
          <w:szCs w:val="24"/>
        </w:rPr>
        <w:t>Latvijai piemērotākā mežsaimniecības attīstības scenārija izvērtēšana iespējamā Eiropas līmeņa zemes izmantošanas, zemes izmantošanas maiņas un mežsaimniecības sektora siltumnīcefekta gāzu emisiju un piesaistes uzskaites regulējuma pārskatīšana” (2022.gads Silava)</w:t>
      </w:r>
      <w:r w:rsidRPr="0088058C">
        <w:rPr>
          <w:rStyle w:val="FootnoteReference"/>
          <w:rFonts w:ascii="Times New Roman" w:hAnsi="Times New Roman" w:cs="Times New Roman"/>
          <w:sz w:val="24"/>
          <w:szCs w:val="24"/>
        </w:rPr>
        <w:footnoteReference w:id="4"/>
      </w:r>
      <w:r w:rsidRPr="0088058C">
        <w:rPr>
          <w:rFonts w:ascii="Times New Roman" w:hAnsi="Times New Roman" w:cs="Times New Roman"/>
          <w:sz w:val="24"/>
          <w:szCs w:val="24"/>
        </w:rPr>
        <w:t xml:space="preserve"> (salīdzināti 2 scenāriji un 5 apakšscenāriji, tai skaitā ikdienišķais);</w:t>
      </w:r>
    </w:p>
    <w:p w14:paraId="1292A4D7" w14:textId="77777777" w:rsidR="001732B6" w:rsidRPr="0088058C"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4)”Latvijas mežu resursu ilgtermiņa izmaiņas Eiropas zaļās vienošanās kursa ietekmē” (202</w:t>
      </w:r>
      <w:r>
        <w:rPr>
          <w:rFonts w:ascii="Times New Roman" w:hAnsi="Times New Roman" w:cs="Times New Roman"/>
          <w:sz w:val="24"/>
          <w:szCs w:val="24"/>
        </w:rPr>
        <w:t>1</w:t>
      </w:r>
      <w:r w:rsidRPr="0088058C">
        <w:rPr>
          <w:rFonts w:ascii="Times New Roman" w:hAnsi="Times New Roman" w:cs="Times New Roman"/>
          <w:sz w:val="24"/>
          <w:szCs w:val="24"/>
        </w:rPr>
        <w:t>.gads Silava)</w:t>
      </w:r>
      <w:r w:rsidRPr="0088058C">
        <w:rPr>
          <w:rStyle w:val="FootnoteReference"/>
          <w:rFonts w:ascii="Times New Roman" w:hAnsi="Times New Roman" w:cs="Times New Roman"/>
          <w:sz w:val="24"/>
          <w:szCs w:val="24"/>
        </w:rPr>
        <w:footnoteReference w:id="5"/>
      </w:r>
      <w:r w:rsidRPr="0088058C">
        <w:rPr>
          <w:rFonts w:ascii="Times New Roman" w:hAnsi="Times New Roman" w:cs="Times New Roman"/>
          <w:sz w:val="24"/>
          <w:szCs w:val="24"/>
        </w:rPr>
        <w:t xml:space="preserve"> (salīdzināti 4 scenāriji, tai skaitā ikdienišķais). </w:t>
      </w:r>
    </w:p>
    <w:p w14:paraId="0C2C0C00" w14:textId="3842ED8D" w:rsidR="006766B9" w:rsidRDefault="005340AD" w:rsidP="001732B6">
      <w:pPr>
        <w:jc w:val="both"/>
        <w:rPr>
          <w:rFonts w:ascii="Times New Roman" w:hAnsi="Times New Roman" w:cs="Times New Roman"/>
          <w:sz w:val="24"/>
          <w:szCs w:val="24"/>
        </w:rPr>
      </w:pPr>
      <w:r>
        <w:rPr>
          <w:rFonts w:ascii="Times New Roman" w:hAnsi="Times New Roman" w:cs="Times New Roman"/>
          <w:sz w:val="24"/>
          <w:szCs w:val="24"/>
        </w:rPr>
        <w:t>Iepriekšminētajos</w:t>
      </w:r>
      <w:r w:rsidRPr="0088058C">
        <w:rPr>
          <w:rFonts w:ascii="Times New Roman" w:hAnsi="Times New Roman" w:cs="Times New Roman"/>
          <w:sz w:val="24"/>
          <w:szCs w:val="24"/>
        </w:rPr>
        <w:t xml:space="preserve"> </w:t>
      </w:r>
      <w:r w:rsidR="001732B6" w:rsidRPr="0088058C">
        <w:rPr>
          <w:rFonts w:ascii="Times New Roman" w:hAnsi="Times New Roman" w:cs="Times New Roman"/>
          <w:sz w:val="24"/>
          <w:szCs w:val="24"/>
        </w:rPr>
        <w:t xml:space="preserve">pētījumos </w:t>
      </w:r>
      <w:r>
        <w:rPr>
          <w:rFonts w:ascii="Times New Roman" w:hAnsi="Times New Roman" w:cs="Times New Roman"/>
          <w:sz w:val="24"/>
          <w:szCs w:val="24"/>
        </w:rPr>
        <w:t xml:space="preserve">tika </w:t>
      </w:r>
      <w:r w:rsidR="001732B6" w:rsidRPr="0088058C">
        <w:rPr>
          <w:rFonts w:ascii="Times New Roman" w:hAnsi="Times New Roman" w:cs="Times New Roman"/>
          <w:sz w:val="24"/>
          <w:szCs w:val="24"/>
        </w:rPr>
        <w:t>salīdzināti 7 dažādi scenāriji</w:t>
      </w:r>
      <w:r w:rsidR="001732B6" w:rsidRPr="0088058C">
        <w:rPr>
          <w:rStyle w:val="FootnoteReference"/>
          <w:rFonts w:ascii="Times New Roman" w:hAnsi="Times New Roman" w:cs="Times New Roman"/>
          <w:sz w:val="24"/>
          <w:szCs w:val="24"/>
        </w:rPr>
        <w:footnoteReference w:id="6"/>
      </w:r>
      <w:r w:rsidR="001732B6" w:rsidRPr="0088058C">
        <w:rPr>
          <w:rFonts w:ascii="Times New Roman" w:hAnsi="Times New Roman" w:cs="Times New Roman"/>
          <w:sz w:val="24"/>
          <w:szCs w:val="24"/>
        </w:rPr>
        <w:t xml:space="preserve">, tai skaitā </w:t>
      </w:r>
      <w:r w:rsidR="001732B6" w:rsidRPr="0088058C">
        <w:rPr>
          <w:rFonts w:ascii="Times New Roman" w:hAnsi="Times New Roman" w:cs="Times New Roman"/>
          <w:sz w:val="24"/>
          <w:szCs w:val="24"/>
          <w:u w:val="single"/>
        </w:rPr>
        <w:t>ikdienišķais</w:t>
      </w:r>
      <w:r w:rsidR="001732B6" w:rsidRPr="0088058C">
        <w:rPr>
          <w:rFonts w:ascii="Times New Roman" w:hAnsi="Times New Roman" w:cs="Times New Roman"/>
          <w:sz w:val="24"/>
          <w:szCs w:val="24"/>
        </w:rPr>
        <w:t xml:space="preserve"> (meža resursu modelēšana veikta atbilstoši 2021. gadā piekoptai mežsaimniecības praksei, meža īpašnieku uzvedībai un normatīvajam regulējumam. Šajā </w:t>
      </w:r>
      <w:r w:rsidR="005704A6">
        <w:rPr>
          <w:rFonts w:ascii="Times New Roman" w:hAnsi="Times New Roman" w:cs="Times New Roman"/>
          <w:sz w:val="24"/>
          <w:szCs w:val="24"/>
        </w:rPr>
        <w:t>ikdienišķajā</w:t>
      </w:r>
      <w:r w:rsidR="006F2891">
        <w:rPr>
          <w:rFonts w:ascii="Times New Roman" w:hAnsi="Times New Roman" w:cs="Times New Roman"/>
          <w:sz w:val="24"/>
          <w:szCs w:val="24"/>
        </w:rPr>
        <w:t xml:space="preserve"> </w:t>
      </w:r>
      <w:r w:rsidR="001732B6" w:rsidRPr="0088058C">
        <w:rPr>
          <w:rFonts w:ascii="Times New Roman" w:hAnsi="Times New Roman" w:cs="Times New Roman"/>
          <w:sz w:val="24"/>
          <w:szCs w:val="24"/>
        </w:rPr>
        <w:t xml:space="preserve">scenārijā netiek modelēta saimnieciskās darbības ierobežojumu maiņa un meža platību palielināšanās vai samazināšanās) un </w:t>
      </w:r>
      <w:r w:rsidR="001732B6" w:rsidRPr="0088058C">
        <w:rPr>
          <w:rFonts w:ascii="Times New Roman" w:hAnsi="Times New Roman" w:cs="Times New Roman"/>
          <w:sz w:val="24"/>
          <w:szCs w:val="24"/>
          <w:u w:val="single"/>
        </w:rPr>
        <w:t>ZD30 scenārijs</w:t>
      </w:r>
      <w:r w:rsidR="001732B6" w:rsidRPr="0088058C">
        <w:rPr>
          <w:rFonts w:ascii="Times New Roman" w:hAnsi="Times New Roman" w:cs="Times New Roman"/>
          <w:sz w:val="24"/>
          <w:szCs w:val="24"/>
        </w:rPr>
        <w:t xml:space="preserve"> (atbilstoši ES Bioloģiskās </w:t>
      </w:r>
      <w:r w:rsidR="001732B6" w:rsidRPr="0088058C">
        <w:rPr>
          <w:rFonts w:ascii="Times New Roman" w:hAnsi="Times New Roman" w:cs="Times New Roman"/>
          <w:sz w:val="24"/>
          <w:szCs w:val="24"/>
        </w:rPr>
        <w:lastRenderedPageBreak/>
        <w:t xml:space="preserve">daudzveidības stratēģijas 2030. gadam (turpmāk - BDS) mērķim par aizsargāto platību palielināšanu līdz 30% kopējās ES teritorijas). Pētījumu ietvaros ES BDS aizsargāto platību palielināšanas mērķa sasniegšana modelēta tikai un vienīgi uz meža zemēm, neņemot vērā citas zemes un sauszemes ūdeņu platības, kuru aizsardzība arī sniedz ieguldījumu ES BDS mērķa sasniegšanā. Kā secināts pētījumos, nevienā no izvērtētajiem parametriem (koksnes resursu ieguvei pieejamās platības, nocirstais likvīdais apjoms, nodarbinātība mežsaimniecībā) ZD30 scenārijs neuzrāda būtisku šo parametru samazinājumu. </w:t>
      </w:r>
      <w:r w:rsidR="000476CB">
        <w:rPr>
          <w:rFonts w:ascii="Times New Roman" w:hAnsi="Times New Roman" w:cs="Times New Roman"/>
          <w:sz w:val="24"/>
          <w:szCs w:val="24"/>
        </w:rPr>
        <w:t>Turklāt</w:t>
      </w:r>
      <w:r w:rsidR="00BC3756" w:rsidRPr="00BC3756">
        <w:rPr>
          <w:rFonts w:ascii="Times New Roman" w:hAnsi="Times New Roman" w:cs="Times New Roman"/>
          <w:sz w:val="24"/>
          <w:szCs w:val="24"/>
        </w:rPr>
        <w:t xml:space="preserve"> pētījumā “Klimata scenāriju sociālekonomiskās ietekmes aprēķini”  ir secināts, ka, pat 30% kopējās meža platības iekļaušana vienotā ES aizsargāto teritoriju tīklā būtiski neietekmēs koksnes ieguvei pieejamās platības un nocirsto likvīdo koksnes krāju.</w:t>
      </w:r>
    </w:p>
    <w:p w14:paraId="1ECA8F3E" w14:textId="53AC0F25" w:rsidR="001732B6" w:rsidRDefault="001732B6" w:rsidP="001732B6">
      <w:pPr>
        <w:jc w:val="both"/>
        <w:rPr>
          <w:rStyle w:val="cf01"/>
          <w:rFonts w:ascii="Times New Roman" w:hAnsi="Times New Roman" w:cs="Times New Roman"/>
          <w:sz w:val="24"/>
          <w:szCs w:val="24"/>
        </w:rPr>
      </w:pPr>
      <w:r w:rsidRPr="0088058C">
        <w:rPr>
          <w:rFonts w:ascii="Times New Roman" w:hAnsi="Times New Roman" w:cs="Times New Roman"/>
          <w:sz w:val="24"/>
          <w:szCs w:val="24"/>
        </w:rPr>
        <w:t xml:space="preserve">Kā viens no būtiskākajiem secinājumiem </w:t>
      </w:r>
      <w:r w:rsidR="006766B9">
        <w:rPr>
          <w:rFonts w:ascii="Times New Roman" w:hAnsi="Times New Roman" w:cs="Times New Roman"/>
          <w:sz w:val="24"/>
          <w:szCs w:val="24"/>
        </w:rPr>
        <w:t xml:space="preserve">šajos pētījumos </w:t>
      </w:r>
      <w:r w:rsidRPr="0088058C">
        <w:rPr>
          <w:rFonts w:ascii="Times New Roman" w:hAnsi="Times New Roman" w:cs="Times New Roman"/>
          <w:sz w:val="24"/>
          <w:szCs w:val="24"/>
        </w:rPr>
        <w:t xml:space="preserve">ir, ka </w:t>
      </w:r>
      <w:r w:rsidRPr="0088058C">
        <w:rPr>
          <w:rStyle w:val="cf01"/>
          <w:rFonts w:ascii="Times New Roman" w:hAnsi="Times New Roman" w:cs="Times New Roman"/>
          <w:sz w:val="24"/>
          <w:szCs w:val="24"/>
        </w:rPr>
        <w:t xml:space="preserve">palielinot platības, kurās ir aizliegta vai ierobežota mežsaimnieciskā darbība, visticamāk, palielināsies bioloģiskā daudzveidība, bet oglekļa piesaiste tiks palielināta tikai īstermiņā. Taču, lai ilgtermiņā palielinātu oglekļa piesaisti mežā, ir jāpalielina saimniecisko mežu produktivitāte (meža ieaudzēšana ar augstvērtīgu stādāmo materiālu, meliorējot pārmitros mežus un saimniekojot mežos atbilstoši mežzinātnieku rekomendācijām, proti, veiktas savlaicīgākas un intensīvākas kopšanas cirtes jaunākās audzēs un īsāks aprites periods).  </w:t>
      </w:r>
    </w:p>
    <w:p w14:paraId="5BE60DC5" w14:textId="1BD205D4" w:rsidR="001732B6" w:rsidRPr="00EB52D6" w:rsidRDefault="002F1CF6" w:rsidP="001732B6">
      <w:pPr>
        <w:jc w:val="both"/>
        <w:rPr>
          <w:rStyle w:val="cf01"/>
          <w:rFonts w:ascii="Times New Roman" w:hAnsi="Times New Roman" w:cs="Times New Roman"/>
          <w:sz w:val="24"/>
          <w:szCs w:val="24"/>
          <w:u w:val="single"/>
        </w:rPr>
      </w:pPr>
      <w:r>
        <w:rPr>
          <w:rStyle w:val="cf01"/>
          <w:rFonts w:ascii="Times New Roman" w:hAnsi="Times New Roman" w:cs="Times New Roman"/>
          <w:sz w:val="24"/>
          <w:szCs w:val="24"/>
        </w:rPr>
        <w:t>Būtiski atzīmēt, ka</w:t>
      </w:r>
      <w:r w:rsidR="001732B6" w:rsidRPr="001A638F">
        <w:rPr>
          <w:rStyle w:val="cf01"/>
          <w:rFonts w:ascii="Times New Roman" w:hAnsi="Times New Roman" w:cs="Times New Roman"/>
          <w:sz w:val="24"/>
          <w:szCs w:val="24"/>
        </w:rPr>
        <w:t xml:space="preserve"> 2023.gad</w:t>
      </w:r>
      <w:r w:rsidR="001732B6">
        <w:rPr>
          <w:rStyle w:val="cf01"/>
          <w:rFonts w:ascii="Times New Roman" w:hAnsi="Times New Roman" w:cs="Times New Roman"/>
          <w:sz w:val="24"/>
          <w:szCs w:val="24"/>
        </w:rPr>
        <w:t>ā Silavas</w:t>
      </w:r>
      <w:r w:rsidR="001732B6" w:rsidRPr="001A638F">
        <w:rPr>
          <w:rStyle w:val="cf01"/>
          <w:rFonts w:ascii="Times New Roman" w:hAnsi="Times New Roman" w:cs="Times New Roman"/>
          <w:sz w:val="24"/>
          <w:szCs w:val="24"/>
        </w:rPr>
        <w:t xml:space="preserve"> pētījumā “Vadlīniju dabai tuvai mežsaimniecībai projekta izstrāde atbilstoši Latvijas apstākļiem”</w:t>
      </w:r>
      <w:r w:rsidR="001732B6">
        <w:rPr>
          <w:rStyle w:val="FootnoteReference"/>
          <w:rFonts w:ascii="Times New Roman" w:hAnsi="Times New Roman" w:cs="Times New Roman"/>
          <w:sz w:val="24"/>
          <w:szCs w:val="24"/>
        </w:rPr>
        <w:footnoteReference w:id="7"/>
      </w:r>
      <w:r w:rsidR="001732B6" w:rsidRPr="001A638F">
        <w:rPr>
          <w:rStyle w:val="cf01"/>
          <w:rFonts w:ascii="Times New Roman" w:hAnsi="Times New Roman" w:cs="Times New Roman"/>
          <w:sz w:val="24"/>
          <w:szCs w:val="24"/>
        </w:rPr>
        <w:t xml:space="preserve"> ir minēts, ka “</w:t>
      </w:r>
      <w:r w:rsidR="001732B6" w:rsidRPr="000B15D4">
        <w:rPr>
          <w:rStyle w:val="cf01"/>
          <w:rFonts w:ascii="Times New Roman" w:hAnsi="Times New Roman" w:cs="Times New Roman"/>
          <w:b/>
          <w:bCs/>
          <w:sz w:val="24"/>
          <w:szCs w:val="24"/>
        </w:rPr>
        <w:t>Nodarbinātības izmaiņas</w:t>
      </w:r>
      <w:r w:rsidR="001732B6" w:rsidRPr="001A638F">
        <w:rPr>
          <w:rStyle w:val="cf01"/>
          <w:rFonts w:ascii="Times New Roman" w:hAnsi="Times New Roman" w:cs="Times New Roman"/>
          <w:sz w:val="24"/>
          <w:szCs w:val="24"/>
        </w:rPr>
        <w:t xml:space="preserve"> kokapstrādes nozarē un mēbeļu ražošanā, lai gan </w:t>
      </w:r>
      <w:r w:rsidR="001732B6" w:rsidRPr="000B15D4">
        <w:rPr>
          <w:rStyle w:val="cf01"/>
          <w:rFonts w:ascii="Times New Roman" w:hAnsi="Times New Roman" w:cs="Times New Roman"/>
          <w:b/>
          <w:bCs/>
          <w:sz w:val="24"/>
          <w:szCs w:val="24"/>
        </w:rPr>
        <w:t>ir cieši saistītas, bet nav proporcionāli atkarīgas no mežsaimniecības</w:t>
      </w:r>
      <w:r w:rsidR="001732B6" w:rsidRPr="001A638F">
        <w:rPr>
          <w:rStyle w:val="cf01"/>
          <w:rFonts w:ascii="Times New Roman" w:hAnsi="Times New Roman" w:cs="Times New Roman"/>
          <w:sz w:val="24"/>
          <w:szCs w:val="24"/>
        </w:rPr>
        <w:t xml:space="preserve"> (nocirstās koksnes apjoma) izmaiņām. Lai korekti vērtētu nodarbinātības izmaiņas kokapstrādes nozarē, būtu nepieciešams daudz plašāks ekonomisks pētījums, kurā būtu jāaplūko ne tikai mežsaimniecības izmaiņas, bet arī koksnes importa-eksporta izmaiņas, un jāvērtē kokapstrādes uzņēmumu uzvedības ekonomika.” </w:t>
      </w:r>
      <w:r w:rsidR="001732B6">
        <w:rPr>
          <w:rStyle w:val="cf01"/>
          <w:rFonts w:ascii="Times New Roman" w:hAnsi="Times New Roman" w:cs="Times New Roman"/>
          <w:sz w:val="24"/>
          <w:szCs w:val="24"/>
        </w:rPr>
        <w:t>P</w:t>
      </w:r>
      <w:r w:rsidR="001732B6" w:rsidRPr="001A638F">
        <w:rPr>
          <w:rStyle w:val="cf01"/>
          <w:rFonts w:ascii="Times New Roman" w:hAnsi="Times New Roman" w:cs="Times New Roman"/>
          <w:sz w:val="24"/>
          <w:szCs w:val="24"/>
        </w:rPr>
        <w:t xml:space="preserve">ētījumā </w:t>
      </w:r>
      <w:r w:rsidR="001732B6">
        <w:rPr>
          <w:rStyle w:val="cf01"/>
          <w:rFonts w:ascii="Times New Roman" w:hAnsi="Times New Roman" w:cs="Times New Roman"/>
          <w:sz w:val="24"/>
          <w:szCs w:val="24"/>
        </w:rPr>
        <w:t>ir arī minēts</w:t>
      </w:r>
      <w:r w:rsidR="001732B6" w:rsidRPr="001A638F">
        <w:rPr>
          <w:rStyle w:val="cf01"/>
          <w:rFonts w:ascii="Times New Roman" w:hAnsi="Times New Roman" w:cs="Times New Roman"/>
          <w:sz w:val="24"/>
          <w:szCs w:val="24"/>
        </w:rPr>
        <w:t>, ka “Visos šajos (mežsaimniecības) darbos tiek modelēts, ka ar laiku ikdienišķas mežsaimniecības scenārijā nodarbinātība nedaudz samazinās. Tāda tendence ir tādēļ, ka šī brīža mežsaimniecība, jo īpaši valsts mežos, veicina ražīgāku audžu veidošanos, kas samazina modelēto platību, ko nocērt galvenajā cirtē (proporcionāli samazinās arī pameža zāģēšanas nodarbinātība) un resnāku koku zāģēšana paaugstina ražīgumu.”</w:t>
      </w:r>
      <w:r w:rsidR="001732B6">
        <w:rPr>
          <w:rStyle w:val="cf01"/>
          <w:rFonts w:ascii="Times New Roman" w:hAnsi="Times New Roman" w:cs="Times New Roman"/>
          <w:sz w:val="24"/>
          <w:szCs w:val="24"/>
        </w:rPr>
        <w:t xml:space="preserve">  Pētījumā minēto tendenci apstiprina arī bukletā “Meža nozare skaitļos un faktos, 2023.gads” iekļautā informācija par darba ņēmēju skaitu meža nozarē. 2006. gadā meža nozarē</w:t>
      </w:r>
      <w:r w:rsidR="001732B6">
        <w:rPr>
          <w:rStyle w:val="FootnoteReference"/>
          <w:rFonts w:ascii="Times New Roman" w:hAnsi="Times New Roman" w:cs="Times New Roman"/>
          <w:sz w:val="24"/>
          <w:szCs w:val="24"/>
        </w:rPr>
        <w:footnoteReference w:id="8"/>
      </w:r>
      <w:r w:rsidR="001732B6">
        <w:rPr>
          <w:rStyle w:val="cf01"/>
          <w:rFonts w:ascii="Times New Roman" w:hAnsi="Times New Roman" w:cs="Times New Roman"/>
          <w:sz w:val="24"/>
          <w:szCs w:val="24"/>
        </w:rPr>
        <w:t xml:space="preserve"> bija nodarbināti 73 tūkstoši cilvēku, savukārt 2023. gadā 40 tūkstoši cilvēku. </w:t>
      </w:r>
      <w:r w:rsidR="001732B6" w:rsidRPr="00EB52D6">
        <w:rPr>
          <w:rStyle w:val="cf01"/>
          <w:rFonts w:ascii="Times New Roman" w:hAnsi="Times New Roman" w:cs="Times New Roman"/>
          <w:sz w:val="24"/>
          <w:szCs w:val="24"/>
          <w:u w:val="single"/>
        </w:rPr>
        <w:t>Līdz ar to var secināt, ka darba vietu zudumam nav konstatējama tieša korelācija ar jaunu ĪADT izveidi.</w:t>
      </w:r>
    </w:p>
    <w:p w14:paraId="23AB2D03" w14:textId="77777777" w:rsidR="001732B6" w:rsidRDefault="001732B6" w:rsidP="001732B6">
      <w:pPr>
        <w:jc w:val="both"/>
        <w:rPr>
          <w:rStyle w:val="cf01"/>
          <w:rFonts w:ascii="Times New Roman" w:hAnsi="Times New Roman" w:cs="Times New Roman"/>
          <w:sz w:val="24"/>
          <w:szCs w:val="24"/>
        </w:rPr>
      </w:pPr>
    </w:p>
    <w:p w14:paraId="78EA9BE3" w14:textId="65F5BEC1" w:rsidR="001732B6" w:rsidRPr="0088058C" w:rsidRDefault="00A436EF" w:rsidP="001732B6">
      <w:pPr>
        <w:jc w:val="both"/>
        <w:rPr>
          <w:rFonts w:ascii="Times New Roman" w:hAnsi="Times New Roman" w:cs="Times New Roman"/>
          <w:sz w:val="24"/>
          <w:szCs w:val="24"/>
        </w:rPr>
      </w:pPr>
      <w:r>
        <w:rPr>
          <w:rFonts w:ascii="Times New Roman" w:hAnsi="Times New Roman" w:cs="Times New Roman"/>
          <w:sz w:val="24"/>
          <w:szCs w:val="24"/>
        </w:rPr>
        <w:lastRenderedPageBreak/>
        <w:t>Savukārt i</w:t>
      </w:r>
      <w:r w:rsidR="001732B6" w:rsidRPr="311AC12C">
        <w:rPr>
          <w:rFonts w:ascii="Times New Roman" w:hAnsi="Times New Roman" w:cs="Times New Roman"/>
          <w:sz w:val="24"/>
          <w:szCs w:val="24"/>
        </w:rPr>
        <w:t xml:space="preserve">zvērtējot ietekmi uz SEG emisijām, </w:t>
      </w:r>
      <w:r w:rsidR="001732B6">
        <w:rPr>
          <w:rFonts w:ascii="Times New Roman" w:hAnsi="Times New Roman" w:cs="Times New Roman"/>
          <w:sz w:val="24"/>
          <w:szCs w:val="24"/>
        </w:rPr>
        <w:t xml:space="preserve">kartēšanas Uzraudzības grupas saskaņotā darba uzdevuma </w:t>
      </w:r>
      <w:r w:rsidR="001732B6" w:rsidRPr="311AC12C">
        <w:rPr>
          <w:rFonts w:ascii="Times New Roman" w:hAnsi="Times New Roman" w:cs="Times New Roman"/>
          <w:sz w:val="24"/>
          <w:szCs w:val="24"/>
        </w:rPr>
        <w:t>Pētījumā secināts, ka ietekmes uz SEG emisijām novērtējums jāveic visai valsts teritorijai, jo tikai saimnieciskās darbības ierobežojumu ietekmētās platības iekļaušana aprēķinā neatspoguļo emisiju pārnesi un rada maldīgu priekšstatu par SEG emisiju samazinājumu. Ražošanas pārneses ietekme uz SEG emisijām atkarīga no tā, cik lielas papildus emisijas rada, piemēram, kūdras augšņu īpatsvars un atmežojamā platība, pārnesot ražošanu. Mežizstrādes pārneses gadījumā emisiju izmaiņas atkarīgas no tā, vai saimnieciskajai darbībai pieejamajos mežos īsteno kompensējošus pasākumus – zinātniski pamatotas ilgtspējīgas mežsaimniecības principus. Saimnieciskās darbības ierobežojumi rada īslaicīgu SEG emisiju samazinājumu ārpus meža zemēm, transformējot aramzemes par zālājiem, kā arī ilglaicīgu, vidēji līdz 2050.gadam, SEG emisiju samazinājumu meža zemēs. Taču šis samazinājums ir šķietams, jo to kompensē ražošanas pārneses radītās emisijas.</w:t>
      </w:r>
    </w:p>
    <w:p w14:paraId="5B6B3E76" w14:textId="77777777" w:rsidR="001732B6" w:rsidRDefault="001732B6" w:rsidP="001732B6">
      <w:pPr>
        <w:jc w:val="both"/>
        <w:rPr>
          <w:rFonts w:ascii="Times New Roman" w:hAnsi="Times New Roman" w:cs="Times New Roman"/>
          <w:sz w:val="24"/>
          <w:szCs w:val="24"/>
        </w:rPr>
      </w:pPr>
      <w:r w:rsidRPr="0088058C">
        <w:rPr>
          <w:rFonts w:ascii="Times New Roman" w:hAnsi="Times New Roman" w:cs="Times New Roman"/>
          <w:sz w:val="24"/>
          <w:szCs w:val="24"/>
        </w:rPr>
        <w:t>Ilgtermiņā, pēc 2050.gada, SEG emisijas meža zemēs pieaug, pārsniedzot SEG emisijas bāzes scenārijā, tomēr arī šo palielinājumu var kompensēt ar ražošanas pārnesi, ja mežā īsteno ilgtspējīgas mežsaimniecības praksi. Plānoto darbību ietekme uz 2050.gada klimata mērķu īstenošanu kopumā ir negatīva, jo samazinās tādu mežu īpatsvars, kuros ar mežsaimnieciskām darbībām var palielināt CO2 piesaisti, tomēr faktisko ietekmi var prognozēt, tikai veicot ietekmes novērtējumu visas valsts mērogā.</w:t>
      </w:r>
    </w:p>
    <w:p w14:paraId="33868650" w14:textId="77777777" w:rsidR="009A6E7F" w:rsidRDefault="009A6E7F" w:rsidP="001732B6">
      <w:pPr>
        <w:jc w:val="both"/>
        <w:rPr>
          <w:rFonts w:ascii="Times New Roman" w:hAnsi="Times New Roman" w:cs="Times New Roman"/>
          <w:sz w:val="24"/>
          <w:szCs w:val="24"/>
        </w:rPr>
      </w:pPr>
    </w:p>
    <w:p w14:paraId="3C481D65" w14:textId="39D7B702" w:rsidR="001732B6" w:rsidRPr="0088058C" w:rsidRDefault="001C7945" w:rsidP="001732B6">
      <w:pPr>
        <w:jc w:val="both"/>
        <w:rPr>
          <w:rFonts w:ascii="Times New Roman" w:hAnsi="Times New Roman" w:cs="Times New Roman"/>
          <w:sz w:val="24"/>
          <w:szCs w:val="24"/>
        </w:rPr>
      </w:pPr>
      <w:r>
        <w:rPr>
          <w:rFonts w:ascii="Times New Roman" w:hAnsi="Times New Roman" w:cs="Times New Roman"/>
          <w:sz w:val="24"/>
          <w:szCs w:val="24"/>
        </w:rPr>
        <w:t xml:space="preserve">Būtiski </w:t>
      </w:r>
      <w:r w:rsidR="001732B6" w:rsidRPr="2549618C">
        <w:rPr>
          <w:rFonts w:ascii="Times New Roman" w:hAnsi="Times New Roman" w:cs="Times New Roman"/>
          <w:sz w:val="24"/>
          <w:szCs w:val="24"/>
        </w:rPr>
        <w:t>atzīmē</w:t>
      </w:r>
      <w:r w:rsidR="009F13E0">
        <w:rPr>
          <w:rFonts w:ascii="Times New Roman" w:hAnsi="Times New Roman" w:cs="Times New Roman"/>
          <w:sz w:val="24"/>
          <w:szCs w:val="24"/>
        </w:rPr>
        <w:t>t</w:t>
      </w:r>
      <w:r w:rsidR="001732B6" w:rsidRPr="2549618C">
        <w:rPr>
          <w:rFonts w:ascii="Times New Roman" w:hAnsi="Times New Roman" w:cs="Times New Roman"/>
          <w:sz w:val="24"/>
          <w:szCs w:val="24"/>
        </w:rPr>
        <w:t xml:space="preserve">, ka biotopu kartēšanas rezultātu apkopošanas un analīzes, kā arī informatīvā ziņojuma gatavošanas laikā notikušas būtiskas izmaiņas normatīvajā regulējumā, kā arī straujas izmaiņas attiecībā uz atjaunīgo energoresursu izmantošanas veicināšanu, kas nav ietvertas Uzraudzības grupas saskaņotajā darba uzdevumā. </w:t>
      </w:r>
    </w:p>
    <w:p w14:paraId="5BD2318F" w14:textId="77777777" w:rsidR="00323E5B" w:rsidRDefault="001732B6" w:rsidP="001732B6">
      <w:pPr>
        <w:jc w:val="both"/>
        <w:rPr>
          <w:rFonts w:ascii="Times New Roman" w:eastAsia="Times New Roman" w:hAnsi="Times New Roman" w:cs="Times New Roman"/>
          <w:sz w:val="24"/>
          <w:szCs w:val="24"/>
        </w:rPr>
      </w:pPr>
      <w:r w:rsidRPr="2549618C">
        <w:rPr>
          <w:rFonts w:ascii="Times New Roman" w:hAnsi="Times New Roman" w:cs="Times New Roman"/>
          <w:sz w:val="24"/>
          <w:szCs w:val="24"/>
        </w:rPr>
        <w:t>Tā</w:t>
      </w:r>
      <w:r>
        <w:rPr>
          <w:rFonts w:ascii="Times New Roman" w:hAnsi="Times New Roman" w:cs="Times New Roman"/>
          <w:sz w:val="24"/>
          <w:szCs w:val="24"/>
        </w:rPr>
        <w:t xml:space="preserve">, piemēram, ir </w:t>
      </w:r>
      <w:r w:rsidRPr="2549618C">
        <w:rPr>
          <w:rFonts w:ascii="Times New Roman" w:hAnsi="Times New Roman" w:cs="Times New Roman"/>
          <w:sz w:val="24"/>
          <w:szCs w:val="24"/>
        </w:rPr>
        <w:t xml:space="preserve">pieņemtas vairākas ES direktīvas, kas veicina un paātrina atjaunīgo energoresursu izmantošanas veicināšanu, nosakot gan paātrinātus termiņus šādu projektu īstenošanas atļauju procedūrām, gan to, ka šādi projekti nosakāmi par sevišķi svarīgām sabiedrības interesēm </w:t>
      </w:r>
      <w:r w:rsidRPr="000E155A">
        <w:rPr>
          <w:rFonts w:ascii="Times New Roman" w:eastAsia="Times New Roman" w:hAnsi="Times New Roman" w:cs="Times New Roman"/>
          <w:sz w:val="24"/>
          <w:szCs w:val="24"/>
        </w:rPr>
        <w:t xml:space="preserve">Direktīvas 92/43/EEK 6. panta 4. punkta kontekstā. </w:t>
      </w:r>
    </w:p>
    <w:p w14:paraId="7C4E0FC2" w14:textId="23E303F9" w:rsidR="00497AD5" w:rsidRPr="00430B1F" w:rsidRDefault="00497AD5" w:rsidP="00497AD5">
      <w:pPr>
        <w:jc w:val="both"/>
        <w:rPr>
          <w:rFonts w:ascii="Times New Roman" w:eastAsia="Times New Roman" w:hAnsi="Times New Roman" w:cs="Times New Roman"/>
          <w:sz w:val="24"/>
          <w:szCs w:val="24"/>
        </w:rPr>
      </w:pPr>
      <w:r w:rsidRPr="00430B1F">
        <w:rPr>
          <w:rFonts w:ascii="Times New Roman" w:eastAsia="Times New Roman" w:hAnsi="Times New Roman" w:cs="Times New Roman"/>
          <w:sz w:val="24"/>
          <w:szCs w:val="24"/>
        </w:rPr>
        <w:t>Arī 2018.gada 11.decembr</w:t>
      </w:r>
      <w:r w:rsidR="00095339" w:rsidRPr="00430B1F">
        <w:rPr>
          <w:rFonts w:ascii="Times New Roman" w:eastAsia="Times New Roman" w:hAnsi="Times New Roman" w:cs="Times New Roman"/>
          <w:sz w:val="24"/>
          <w:szCs w:val="24"/>
        </w:rPr>
        <w:t>ī pieņemtā</w:t>
      </w:r>
      <w:r w:rsidR="007135D0" w:rsidRPr="00430B1F">
        <w:rPr>
          <w:rFonts w:ascii="Times New Roman" w:eastAsia="Times New Roman" w:hAnsi="Times New Roman" w:cs="Times New Roman"/>
          <w:sz w:val="24"/>
          <w:szCs w:val="24"/>
        </w:rPr>
        <w:t>s</w:t>
      </w:r>
      <w:r w:rsidRPr="00430B1F">
        <w:rPr>
          <w:rFonts w:ascii="Times New Roman" w:eastAsia="Times New Roman" w:hAnsi="Times New Roman" w:cs="Times New Roman"/>
          <w:sz w:val="24"/>
          <w:szCs w:val="24"/>
        </w:rPr>
        <w:t> </w:t>
      </w:r>
      <w:hyperlink r:id="rId7" w:anchor="tocId32" w:tgtFrame="_blank" w:history="1">
        <w:r w:rsidRPr="00430B1F">
          <w:rPr>
            <w:rStyle w:val="Hyperlink"/>
            <w:rFonts w:ascii="Times New Roman" w:eastAsia="Times New Roman" w:hAnsi="Times New Roman" w:cs="Times New Roman"/>
            <w:color w:val="auto"/>
            <w:sz w:val="24"/>
            <w:szCs w:val="24"/>
          </w:rPr>
          <w:t>direktīvas (ES) 2018/2001</w:t>
        </w:r>
      </w:hyperlink>
      <w:r w:rsidRPr="00430B1F">
        <w:rPr>
          <w:rFonts w:ascii="Times New Roman" w:eastAsia="Times New Roman" w:hAnsi="Times New Roman" w:cs="Times New Roman"/>
          <w:sz w:val="24"/>
          <w:szCs w:val="24"/>
        </w:rPr>
        <w:t> 29.panta 1.punkts noteic, ka no biodegvielām, bioloģiskajiem šķidrajiem kurināmajiem un biomasas kurināmajiem/degvielām iegūtai enerģijai ir jāatbilst ilgtspējas un siltumnīcefekta gāzu emisiju ietaupījuma kritērijiem</w:t>
      </w:r>
      <w:r w:rsidR="002F5A39" w:rsidRPr="00430B1F">
        <w:rPr>
          <w:rFonts w:ascii="Times New Roman" w:eastAsia="Times New Roman" w:hAnsi="Times New Roman" w:cs="Times New Roman"/>
          <w:sz w:val="24"/>
          <w:szCs w:val="24"/>
        </w:rPr>
        <w:t xml:space="preserve">. </w:t>
      </w:r>
      <w:r w:rsidR="004A000B" w:rsidRPr="00430B1F">
        <w:rPr>
          <w:rFonts w:ascii="Times New Roman" w:eastAsia="Times New Roman" w:hAnsi="Times New Roman" w:cs="Times New Roman"/>
          <w:sz w:val="24"/>
          <w:szCs w:val="24"/>
        </w:rPr>
        <w:t>S</w:t>
      </w:r>
      <w:r w:rsidR="002F5A39" w:rsidRPr="00430B1F">
        <w:rPr>
          <w:rFonts w:ascii="Times New Roman" w:eastAsia="Times New Roman" w:hAnsi="Times New Roman" w:cs="Times New Roman"/>
          <w:sz w:val="24"/>
          <w:szCs w:val="24"/>
        </w:rPr>
        <w:t>avukārt</w:t>
      </w:r>
      <w:r w:rsidR="00A57E94" w:rsidRPr="00430B1F">
        <w:rPr>
          <w:rFonts w:ascii="Times New Roman" w:eastAsia="Times New Roman" w:hAnsi="Times New Roman" w:cs="Times New Roman"/>
          <w:sz w:val="24"/>
          <w:szCs w:val="24"/>
        </w:rPr>
        <w:t xml:space="preserve"> Eiropas k</w:t>
      </w:r>
      <w:r w:rsidRPr="00430B1F">
        <w:rPr>
          <w:rFonts w:ascii="Times New Roman" w:eastAsia="Times New Roman" w:hAnsi="Times New Roman" w:cs="Times New Roman"/>
          <w:sz w:val="24"/>
          <w:szCs w:val="24"/>
        </w:rPr>
        <w:t>omisijas 2018.gada 19.decembra īstenošanas </w:t>
      </w:r>
      <w:hyperlink r:id="rId8" w:tgtFrame="_blank" w:history="1">
        <w:r w:rsidRPr="00430B1F">
          <w:rPr>
            <w:rStyle w:val="Hyperlink"/>
            <w:rFonts w:ascii="Times New Roman" w:eastAsia="Times New Roman" w:hAnsi="Times New Roman" w:cs="Times New Roman"/>
            <w:color w:val="auto"/>
            <w:sz w:val="24"/>
            <w:szCs w:val="24"/>
          </w:rPr>
          <w:t>regulas (ES) 2018/2066</w:t>
        </w:r>
      </w:hyperlink>
      <w:r w:rsidRPr="00430B1F">
        <w:rPr>
          <w:rFonts w:ascii="Times New Roman" w:eastAsia="Times New Roman" w:hAnsi="Times New Roman" w:cs="Times New Roman"/>
          <w:sz w:val="24"/>
          <w:szCs w:val="24"/>
        </w:rPr>
        <w:t> 38.pantā ir noteikts, ka biomasas CO2 emisijas faktors ir “0” tikai</w:t>
      </w:r>
      <w:r w:rsidR="00A57E94" w:rsidRPr="00430B1F">
        <w:rPr>
          <w:rFonts w:ascii="Times New Roman" w:eastAsia="Times New Roman" w:hAnsi="Times New Roman" w:cs="Times New Roman"/>
          <w:sz w:val="24"/>
          <w:szCs w:val="24"/>
        </w:rPr>
        <w:t xml:space="preserve"> tad</w:t>
      </w:r>
      <w:r w:rsidRPr="00430B1F">
        <w:rPr>
          <w:rFonts w:ascii="Times New Roman" w:eastAsia="Times New Roman" w:hAnsi="Times New Roman" w:cs="Times New Roman"/>
          <w:sz w:val="24"/>
          <w:szCs w:val="24"/>
        </w:rPr>
        <w:t>, ja izmantotais kurināmais atbilst </w:t>
      </w:r>
      <w:hyperlink r:id="rId9" w:anchor="tocId32" w:tgtFrame="_blank" w:history="1">
        <w:r w:rsidRPr="00430B1F">
          <w:rPr>
            <w:rStyle w:val="Hyperlink"/>
            <w:rFonts w:ascii="Times New Roman" w:eastAsia="Times New Roman" w:hAnsi="Times New Roman" w:cs="Times New Roman"/>
            <w:color w:val="auto"/>
            <w:sz w:val="24"/>
            <w:szCs w:val="24"/>
          </w:rPr>
          <w:t>direktīvā (ES) 2018/2001</w:t>
        </w:r>
      </w:hyperlink>
      <w:r w:rsidRPr="00430B1F">
        <w:rPr>
          <w:rFonts w:ascii="Times New Roman" w:eastAsia="Times New Roman" w:hAnsi="Times New Roman" w:cs="Times New Roman"/>
          <w:sz w:val="24"/>
          <w:szCs w:val="24"/>
        </w:rPr>
        <w:t> noteiktajiem ilgtspējas un siltumnīcefekta gāzu emisiju ietaupījumu kritērijiem.</w:t>
      </w:r>
    </w:p>
    <w:p w14:paraId="359C6E14" w14:textId="1B166EB0" w:rsidR="001732B6" w:rsidRPr="00D97F68" w:rsidRDefault="00CF447F" w:rsidP="001732B6">
      <w:pPr>
        <w:jc w:val="both"/>
        <w:rPr>
          <w:rFonts w:ascii="Times New Roman" w:hAnsi="Times New Roman" w:cs="Times New Roman"/>
          <w:sz w:val="24"/>
          <w:szCs w:val="24"/>
        </w:rPr>
      </w:pPr>
      <w:r>
        <w:rPr>
          <w:rFonts w:ascii="Times New Roman" w:eastAsia="Times New Roman" w:hAnsi="Times New Roman" w:cs="Times New Roman"/>
          <w:sz w:val="24"/>
          <w:szCs w:val="24"/>
        </w:rPr>
        <w:t>Būtiski ir pieminēt</w:t>
      </w:r>
      <w:r w:rsidR="001732B6" w:rsidRPr="000E155A">
        <w:rPr>
          <w:rFonts w:ascii="Times New Roman" w:eastAsia="Times New Roman" w:hAnsi="Times New Roman" w:cs="Times New Roman"/>
          <w:sz w:val="24"/>
          <w:szCs w:val="24"/>
        </w:rPr>
        <w:t xml:space="preserve">, ka neviena no </w:t>
      </w:r>
      <w:r w:rsidR="001732B6" w:rsidRPr="00D97F68">
        <w:rPr>
          <w:rFonts w:ascii="Times New Roman" w:eastAsia="Times New Roman" w:hAnsi="Times New Roman" w:cs="Times New Roman"/>
          <w:sz w:val="24"/>
          <w:szCs w:val="24"/>
        </w:rPr>
        <w:t xml:space="preserve">ES direktīvām, kas vērstas uz </w:t>
      </w:r>
      <w:r w:rsidR="001732B6" w:rsidRPr="00D97F68">
        <w:rPr>
          <w:rFonts w:ascii="Times New Roman" w:hAnsi="Times New Roman" w:cs="Times New Roman"/>
          <w:sz w:val="24"/>
          <w:szCs w:val="24"/>
        </w:rPr>
        <w:t xml:space="preserve">atjaunīgo energoresursu izmantošanas veicināšanu, neatceļ ES dabas direktīvu prasības, tai skaitā prasības nodrošināt labvēlīgu aizsardzības stāvokli ES nozīmes biotopiem vai prasības veidot ĪADT ES nozīmes biotopu aizsardzībai. </w:t>
      </w:r>
    </w:p>
    <w:p w14:paraId="4D37CC8E" w14:textId="2068EA1C" w:rsidR="001732B6" w:rsidRPr="00B7484A" w:rsidRDefault="00542113" w:rsidP="001732B6">
      <w:pPr>
        <w:spacing w:after="0" w:line="240" w:lineRule="auto"/>
        <w:jc w:val="both"/>
        <w:rPr>
          <w:rFonts w:ascii="Times New Roman" w:hAnsi="Times New Roman" w:cs="Times New Roman"/>
          <w:color w:val="212529"/>
          <w:sz w:val="24"/>
          <w:szCs w:val="24"/>
        </w:rPr>
      </w:pPr>
      <w:r w:rsidRPr="00D6217F">
        <w:rPr>
          <w:rFonts w:ascii="Times New Roman" w:eastAsia="Times New Roman" w:hAnsi="Times New Roman" w:cs="Times New Roman"/>
          <w:sz w:val="24"/>
          <w:szCs w:val="24"/>
        </w:rPr>
        <w:lastRenderedPageBreak/>
        <w:t>Tā piemēram</w:t>
      </w:r>
      <w:r w:rsidR="001732B6">
        <w:rPr>
          <w:rFonts w:ascii="Times New Roman" w:eastAsia="Times New Roman" w:hAnsi="Times New Roman" w:cs="Times New Roman"/>
          <w:sz w:val="24"/>
          <w:szCs w:val="24"/>
        </w:rPr>
        <w:t xml:space="preserve">, </w:t>
      </w:r>
      <w:r w:rsidR="001732B6" w:rsidRPr="00B1119B">
        <w:rPr>
          <w:rFonts w:ascii="Times New Roman" w:eastAsia="Times New Roman" w:hAnsi="Times New Roman" w:cs="Times New Roman"/>
          <w:sz w:val="24"/>
          <w:szCs w:val="24"/>
        </w:rPr>
        <w:t xml:space="preserve">2024.gada </w:t>
      </w:r>
      <w:r w:rsidR="005B53F9">
        <w:rPr>
          <w:rFonts w:ascii="Times New Roman" w:eastAsia="Times New Roman" w:hAnsi="Times New Roman" w:cs="Times New Roman"/>
          <w:sz w:val="24"/>
          <w:szCs w:val="24"/>
        </w:rPr>
        <w:t>18.augustā</w:t>
      </w:r>
      <w:r w:rsidR="001732B6" w:rsidRPr="00B1119B">
        <w:rPr>
          <w:rFonts w:ascii="Times New Roman" w:eastAsia="Times New Roman" w:hAnsi="Times New Roman" w:cs="Times New Roman"/>
          <w:sz w:val="24"/>
          <w:szCs w:val="24"/>
        </w:rPr>
        <w:t xml:space="preserve">  </w:t>
      </w:r>
      <w:r w:rsidR="001732B6">
        <w:rPr>
          <w:rFonts w:ascii="Times New Roman" w:eastAsia="Times New Roman" w:hAnsi="Times New Roman" w:cs="Times New Roman"/>
          <w:sz w:val="24"/>
          <w:szCs w:val="24"/>
        </w:rPr>
        <w:t>stājās spēkā</w:t>
      </w:r>
      <w:r w:rsidR="001732B6" w:rsidRPr="00B1119B">
        <w:rPr>
          <w:rFonts w:ascii="Times New Roman" w:eastAsia="Times New Roman" w:hAnsi="Times New Roman" w:cs="Times New Roman"/>
          <w:sz w:val="24"/>
          <w:szCs w:val="24"/>
        </w:rPr>
        <w:t xml:space="preserve"> Dabas atjaunošanas regula</w:t>
      </w:r>
      <w:r w:rsidR="001732B6" w:rsidRPr="00B1119B">
        <w:rPr>
          <w:rStyle w:val="FootnoteReference"/>
          <w:rFonts w:ascii="Times New Roman" w:eastAsia="Times New Roman" w:hAnsi="Times New Roman" w:cs="Times New Roman"/>
          <w:sz w:val="24"/>
          <w:szCs w:val="24"/>
        </w:rPr>
        <w:footnoteReference w:id="9"/>
      </w:r>
      <w:r w:rsidR="001732B6" w:rsidRPr="00B1119B">
        <w:rPr>
          <w:rFonts w:ascii="Times New Roman" w:eastAsia="Times New Roman" w:hAnsi="Times New Roman" w:cs="Times New Roman"/>
          <w:sz w:val="24"/>
          <w:szCs w:val="24"/>
        </w:rPr>
        <w:t xml:space="preserve">, kas </w:t>
      </w:r>
      <w:r w:rsidR="001732B6" w:rsidRPr="00B1119B">
        <w:rPr>
          <w:rFonts w:ascii="Times New Roman" w:hAnsi="Times New Roman" w:cs="Times New Roman"/>
          <w:sz w:val="24"/>
          <w:szCs w:val="24"/>
        </w:rPr>
        <w:t xml:space="preserve">ir </w:t>
      </w:r>
      <w:r w:rsidR="001732B6" w:rsidRPr="00B7484A">
        <w:rPr>
          <w:rFonts w:ascii="Times New Roman" w:hAnsi="Times New Roman" w:cs="Times New Roman"/>
          <w:color w:val="212529"/>
          <w:sz w:val="24"/>
          <w:szCs w:val="24"/>
        </w:rPr>
        <w:t>daļa no Eiropas Zaļā kursa un nosaka konkrētus mērķus un pasākumus, lai atjaunotu degradētās ekosistēmas un uzlabotu bioloģisko daudzveidību. </w:t>
      </w:r>
    </w:p>
    <w:p w14:paraId="70AF54E0" w14:textId="77777777" w:rsidR="001732B6" w:rsidRPr="00B7484A" w:rsidRDefault="001732B6" w:rsidP="001732B6">
      <w:pPr>
        <w:pStyle w:val="NormalWeb"/>
        <w:shd w:val="clear" w:color="auto" w:fill="FFFFFF"/>
        <w:spacing w:before="0" w:beforeAutospacing="0" w:after="0" w:afterAutospacing="0"/>
        <w:jc w:val="both"/>
        <w:rPr>
          <w:color w:val="212529"/>
        </w:rPr>
      </w:pPr>
      <w:r w:rsidRPr="00B7484A">
        <w:rPr>
          <w:color w:val="212529"/>
        </w:rPr>
        <w:t>Dabas atjaunošanas regulas pamatprincips ir atjaunot to, kas ir sliktā stāvoklī un nepasliktināt to, kas ir labā stāvoklī, vienlaikus ņemot vērā dalībvalstu nacionālās īpatnības. Regula paredz līdz 2030. gadam atjaunot vismaz 20 % ES sauszemes un jūras teritoriju (neatkarīgi no dabas aizsargājamo teritoriju apmēriem):  </w:t>
      </w:r>
    </w:p>
    <w:p w14:paraId="115807CB" w14:textId="77777777" w:rsidR="001732B6" w:rsidRPr="00B7484A" w:rsidRDefault="001732B6" w:rsidP="001732B6">
      <w:pPr>
        <w:pStyle w:val="NormalWeb"/>
        <w:numPr>
          <w:ilvl w:val="0"/>
          <w:numId w:val="2"/>
        </w:numPr>
        <w:shd w:val="clear" w:color="auto" w:fill="FFFFFF"/>
        <w:spacing w:before="0" w:beforeAutospacing="0" w:after="0" w:afterAutospacing="0"/>
        <w:jc w:val="both"/>
        <w:rPr>
          <w:color w:val="212529"/>
        </w:rPr>
      </w:pPr>
      <w:r w:rsidRPr="00B7484A">
        <w:rPr>
          <w:rStyle w:val="Strong"/>
          <w:color w:val="212529"/>
        </w:rPr>
        <w:t>Ekosistēmu atjaunošanu</w:t>
      </w:r>
      <w:r w:rsidRPr="00B7484A">
        <w:rPr>
          <w:color w:val="212529"/>
        </w:rPr>
        <w:t>: atjaunot vismaz 20% no ES sauszemes un jūras teritorijām līdz 2030. gadam; </w:t>
      </w:r>
    </w:p>
    <w:p w14:paraId="792FB84E" w14:textId="77777777" w:rsidR="001732B6" w:rsidRPr="00B7484A" w:rsidRDefault="001732B6" w:rsidP="001732B6">
      <w:pPr>
        <w:pStyle w:val="NormalWeb"/>
        <w:numPr>
          <w:ilvl w:val="0"/>
          <w:numId w:val="3"/>
        </w:numPr>
        <w:shd w:val="clear" w:color="auto" w:fill="FFFFFF"/>
        <w:spacing w:before="0" w:beforeAutospacing="0" w:after="0" w:afterAutospacing="0"/>
        <w:jc w:val="both"/>
        <w:rPr>
          <w:color w:val="212529"/>
        </w:rPr>
      </w:pPr>
      <w:r w:rsidRPr="00B7484A">
        <w:rPr>
          <w:rStyle w:val="Strong"/>
          <w:color w:val="212529"/>
        </w:rPr>
        <w:t>Bioloģiskās daudzveidības uzlabošanu</w:t>
      </w:r>
      <w:r w:rsidRPr="00B7484A">
        <w:rPr>
          <w:color w:val="212529"/>
        </w:rPr>
        <w:t>: veicināt sugu un biotopu labvēlīgu aizsardzības stāvokli; </w:t>
      </w:r>
    </w:p>
    <w:p w14:paraId="36BE8611" w14:textId="77777777" w:rsidR="001732B6" w:rsidRPr="00B7484A" w:rsidRDefault="001732B6" w:rsidP="001732B6">
      <w:pPr>
        <w:pStyle w:val="NormalWeb"/>
        <w:numPr>
          <w:ilvl w:val="0"/>
          <w:numId w:val="4"/>
        </w:numPr>
        <w:shd w:val="clear" w:color="auto" w:fill="FFFFFF"/>
        <w:spacing w:before="0" w:beforeAutospacing="0" w:after="0" w:afterAutospacing="0"/>
        <w:jc w:val="both"/>
        <w:rPr>
          <w:color w:val="212529"/>
        </w:rPr>
      </w:pPr>
      <w:r w:rsidRPr="00B7484A">
        <w:rPr>
          <w:rStyle w:val="Strong"/>
          <w:color w:val="212529"/>
        </w:rPr>
        <w:t>Pilsētu zaļās teritorijas</w:t>
      </w:r>
      <w:r w:rsidRPr="00B7484A">
        <w:rPr>
          <w:color w:val="212529"/>
        </w:rPr>
        <w:t>: palielināt zaļās zonas pilsētās, lai mazinātu karstuma salu efektu un veicinātu rekreācijas iespējas; </w:t>
      </w:r>
    </w:p>
    <w:p w14:paraId="462A0C39" w14:textId="77777777" w:rsidR="001732B6" w:rsidRPr="00B7484A" w:rsidRDefault="001732B6" w:rsidP="001732B6">
      <w:pPr>
        <w:pStyle w:val="NormalWeb"/>
        <w:numPr>
          <w:ilvl w:val="0"/>
          <w:numId w:val="5"/>
        </w:numPr>
        <w:shd w:val="clear" w:color="auto" w:fill="FFFFFF"/>
        <w:spacing w:before="0" w:beforeAutospacing="0" w:after="0" w:afterAutospacing="0"/>
        <w:jc w:val="both"/>
        <w:rPr>
          <w:color w:val="212529"/>
        </w:rPr>
      </w:pPr>
      <w:r w:rsidRPr="00B7484A">
        <w:rPr>
          <w:rStyle w:val="Strong"/>
          <w:color w:val="212529"/>
        </w:rPr>
        <w:t>Ilgtspējīgu lauksaimniecību</w:t>
      </w:r>
      <w:r w:rsidRPr="00B7484A">
        <w:rPr>
          <w:color w:val="212529"/>
        </w:rPr>
        <w:t>: veicināt ilgtspējīgas lauksaimniecības prakses, kas palīdzēs saglabāt un atjaunot dabas resursus. </w:t>
      </w:r>
    </w:p>
    <w:p w14:paraId="5623BC93" w14:textId="77777777" w:rsidR="001732B6" w:rsidRPr="00B7484A" w:rsidRDefault="001732B6" w:rsidP="001732B6">
      <w:pPr>
        <w:pStyle w:val="NormalWeb"/>
        <w:shd w:val="clear" w:color="auto" w:fill="FFFFFF"/>
        <w:spacing w:before="0" w:beforeAutospacing="0" w:after="0" w:afterAutospacing="0"/>
        <w:jc w:val="both"/>
        <w:rPr>
          <w:color w:val="212529"/>
        </w:rPr>
      </w:pPr>
      <w:r w:rsidRPr="00B7484A">
        <w:rPr>
          <w:color w:val="212529"/>
        </w:rPr>
        <w:t>Regulā ietverti jau iepriekš citos dokumentos noteiktie nosacījumi un tā nosaka zināmus pienākumus arī neaizsargājamās teritorijās, taču neparedz jaunu aizsargājamo platību palielināšanu.  </w:t>
      </w:r>
    </w:p>
    <w:p w14:paraId="34063363" w14:textId="77777777" w:rsidR="001732B6" w:rsidRPr="00B7484A" w:rsidRDefault="001732B6" w:rsidP="001732B6">
      <w:pPr>
        <w:pStyle w:val="NormalWeb"/>
        <w:shd w:val="clear" w:color="auto" w:fill="FFFFFF"/>
        <w:spacing w:before="0" w:beforeAutospacing="0" w:after="0" w:afterAutospacing="0"/>
        <w:jc w:val="both"/>
        <w:rPr>
          <w:color w:val="212529"/>
        </w:rPr>
      </w:pPr>
      <w:r w:rsidRPr="00B7484A">
        <w:rPr>
          <w:color w:val="212529"/>
        </w:rPr>
        <w:t xml:space="preserve">Lai nodrošinātu, ka dabas atjaunošana notiek mērķtiecīgi un sistemātiski, Latvijai būs jāizstrādā nacionālais atjaunošanas plāns, kas noteiks kā tiks sasniegti regulā noteiktie mērķi, tai skaitā, kādi dabas atjaunošanas pasākumi, kādā apmērā un kur tiks veikti. Nacionālā dabas atjaunošanas plāna izstrādē būs jāiesaistās visām nozarēm un nozaru ministrijām. Plāni jāizstrādā divu gadu laikā kopš regulas stāšanās spēkā – t.i. līdz 2026. gada vidum, nosakot konkrētus mērķus un uzdevumus. </w:t>
      </w:r>
    </w:p>
    <w:p w14:paraId="6CEE2A97" w14:textId="77777777" w:rsidR="001732B6" w:rsidRPr="0088058C" w:rsidRDefault="001732B6" w:rsidP="001732B6">
      <w:pPr>
        <w:jc w:val="both"/>
        <w:rPr>
          <w:rFonts w:ascii="Times New Roman" w:hAnsi="Times New Roman" w:cs="Times New Roman"/>
          <w:sz w:val="24"/>
          <w:szCs w:val="24"/>
        </w:rPr>
      </w:pPr>
    </w:p>
    <w:p w14:paraId="16E7AC80" w14:textId="77777777" w:rsidR="008B6632" w:rsidRDefault="008B6632" w:rsidP="001732B6">
      <w:pPr>
        <w:jc w:val="both"/>
        <w:rPr>
          <w:rFonts w:ascii="Times New Roman" w:hAnsi="Times New Roman" w:cs="Times New Roman"/>
          <w:sz w:val="24"/>
          <w:szCs w:val="24"/>
        </w:rPr>
      </w:pPr>
    </w:p>
    <w:p w14:paraId="07E4C397" w14:textId="5164AADD" w:rsidR="001732B6" w:rsidRPr="0088058C" w:rsidRDefault="008B6632" w:rsidP="001732B6">
      <w:pPr>
        <w:jc w:val="both"/>
        <w:rPr>
          <w:rFonts w:ascii="Times New Roman" w:hAnsi="Times New Roman" w:cs="Times New Roman"/>
          <w:sz w:val="24"/>
          <w:szCs w:val="24"/>
        </w:rPr>
      </w:pPr>
      <w:r>
        <w:rPr>
          <w:rFonts w:ascii="Times New Roman" w:hAnsi="Times New Roman" w:cs="Times New Roman"/>
          <w:sz w:val="24"/>
          <w:szCs w:val="24"/>
        </w:rPr>
        <w:t>Papildus iepriekšminētajam, i</w:t>
      </w:r>
      <w:r w:rsidR="001732B6">
        <w:rPr>
          <w:rFonts w:ascii="Times New Roman" w:hAnsi="Times New Roman" w:cs="Times New Roman"/>
          <w:sz w:val="24"/>
          <w:szCs w:val="24"/>
        </w:rPr>
        <w:t xml:space="preserve">nformatīvā ziņojuma projekta skaņošanas laikā </w:t>
      </w:r>
      <w:r>
        <w:rPr>
          <w:rFonts w:ascii="Times New Roman" w:hAnsi="Times New Roman" w:cs="Times New Roman"/>
          <w:sz w:val="24"/>
          <w:szCs w:val="24"/>
        </w:rPr>
        <w:t xml:space="preserve">tika </w:t>
      </w:r>
      <w:r w:rsidR="001732B6">
        <w:rPr>
          <w:rFonts w:ascii="Times New Roman" w:hAnsi="Times New Roman" w:cs="Times New Roman"/>
          <w:sz w:val="24"/>
          <w:szCs w:val="24"/>
        </w:rPr>
        <w:t xml:space="preserve">saņemti iebildumi, ka sociāli-ekonomiskās ietekmes vērtēšanai būtu jābalstās uz konkrētiem jaunu ĪADT veidošanas priekšlikumiem.  </w:t>
      </w:r>
    </w:p>
    <w:p w14:paraId="6E303E83" w14:textId="287FE27C" w:rsidR="001732B6" w:rsidRPr="0088058C" w:rsidRDefault="008408F3" w:rsidP="001732B6">
      <w:pPr>
        <w:jc w:val="both"/>
        <w:rPr>
          <w:rFonts w:ascii="Times New Roman" w:hAnsi="Times New Roman" w:cs="Times New Roman"/>
          <w:sz w:val="24"/>
          <w:szCs w:val="24"/>
        </w:rPr>
      </w:pPr>
      <w:r>
        <w:rPr>
          <w:rFonts w:ascii="Times New Roman" w:hAnsi="Times New Roman" w:cs="Times New Roman"/>
          <w:sz w:val="24"/>
          <w:szCs w:val="24"/>
        </w:rPr>
        <w:t>Šeit būtiski ņ</w:t>
      </w:r>
      <w:r w:rsidR="001732B6" w:rsidRPr="6DE018BB">
        <w:rPr>
          <w:rFonts w:ascii="Times New Roman" w:hAnsi="Times New Roman" w:cs="Times New Roman"/>
          <w:sz w:val="24"/>
          <w:szCs w:val="24"/>
        </w:rPr>
        <w:t xml:space="preserve">emt vērā, ka ĪADT veidošana notiek atbilstoši likuma “Par īpaši aizsargājamām dabas teritorijām” noteiktajai procedūrai, kas  </w:t>
      </w:r>
      <w:r w:rsidR="00E60D70">
        <w:rPr>
          <w:rFonts w:ascii="Times New Roman" w:hAnsi="Times New Roman" w:cs="Times New Roman"/>
          <w:sz w:val="24"/>
          <w:szCs w:val="24"/>
        </w:rPr>
        <w:t>ietver</w:t>
      </w:r>
      <w:r w:rsidR="00E60D70" w:rsidRPr="6DE018BB">
        <w:rPr>
          <w:rFonts w:ascii="Times New Roman" w:hAnsi="Times New Roman" w:cs="Times New Roman"/>
          <w:sz w:val="24"/>
          <w:szCs w:val="24"/>
        </w:rPr>
        <w:t xml:space="preserve"> </w:t>
      </w:r>
      <w:r w:rsidR="001732B6" w:rsidRPr="6DE018BB">
        <w:rPr>
          <w:rFonts w:ascii="Times New Roman" w:hAnsi="Times New Roman" w:cs="Times New Roman"/>
          <w:sz w:val="24"/>
          <w:szCs w:val="24"/>
        </w:rPr>
        <w:t xml:space="preserve">zemes īpašnieku un pašvaldību informēšanu, </w:t>
      </w:r>
      <w:r w:rsidR="00E60D70">
        <w:rPr>
          <w:rFonts w:ascii="Times New Roman" w:hAnsi="Times New Roman" w:cs="Times New Roman"/>
          <w:sz w:val="24"/>
          <w:szCs w:val="24"/>
        </w:rPr>
        <w:t xml:space="preserve">tādējādi </w:t>
      </w:r>
      <w:r w:rsidR="00FC54E5">
        <w:rPr>
          <w:rFonts w:ascii="Times New Roman" w:hAnsi="Times New Roman" w:cs="Times New Roman"/>
          <w:sz w:val="24"/>
          <w:szCs w:val="24"/>
        </w:rPr>
        <w:t>informatīvā ziņojuma saskaņošanas s</w:t>
      </w:r>
      <w:r w:rsidR="001732B6" w:rsidRPr="6DE018BB">
        <w:rPr>
          <w:rFonts w:ascii="Times New Roman" w:hAnsi="Times New Roman" w:cs="Times New Roman"/>
          <w:sz w:val="24"/>
          <w:szCs w:val="24"/>
        </w:rPr>
        <w:t xml:space="preserve">tadijā ir priekšlaicīgi norādīt konkrētas teritorijas un platības ar precīziem aprobežojumiem, kuras </w:t>
      </w:r>
      <w:r w:rsidR="00E70C55">
        <w:rPr>
          <w:rFonts w:ascii="Times New Roman" w:hAnsi="Times New Roman" w:cs="Times New Roman"/>
          <w:sz w:val="24"/>
          <w:szCs w:val="24"/>
        </w:rPr>
        <w:t xml:space="preserve">provizoriski </w:t>
      </w:r>
      <w:r w:rsidR="001732B6" w:rsidRPr="6DE018BB">
        <w:rPr>
          <w:rFonts w:ascii="Times New Roman" w:hAnsi="Times New Roman" w:cs="Times New Roman"/>
          <w:sz w:val="24"/>
          <w:szCs w:val="24"/>
        </w:rPr>
        <w:t>varētu tikt virzītas tālāk kā  ĪADT priekšlikumi. Papildus jāņem vērā, ka liela daļa konstatēto biotopu ir izkaisīti pa visu Latviju mazos nogabalos/platībās, līdz ar to gan procesuāli, gan tehniski sarežģīti patlaban noteikt potenciālo ĪADT detalizētas robežas.</w:t>
      </w:r>
    </w:p>
    <w:p w14:paraId="4BDB0C71" w14:textId="4E977A81" w:rsidR="001732B6" w:rsidRPr="0088058C" w:rsidRDefault="001732B6" w:rsidP="001732B6">
      <w:pPr>
        <w:jc w:val="both"/>
        <w:rPr>
          <w:rFonts w:ascii="Times New Roman" w:hAnsi="Times New Roman" w:cs="Times New Roman"/>
          <w:sz w:val="24"/>
          <w:szCs w:val="24"/>
        </w:rPr>
      </w:pPr>
      <w:r w:rsidRPr="4D1E0530">
        <w:rPr>
          <w:rFonts w:ascii="Times New Roman" w:hAnsi="Times New Roman" w:cs="Times New Roman"/>
          <w:sz w:val="24"/>
          <w:szCs w:val="24"/>
        </w:rPr>
        <w:t>Turklāt šādu indikatīvu teritoriju robežu norādīšanai ir ļoti lieli riski, jo līdzšinējā VARAM pieredze liecina, ka, arī zinot plānoto ĪADT robežas, mežsaimnieciskā darbība tiek turpināta</w:t>
      </w:r>
      <w:r w:rsidR="00EB5429">
        <w:rPr>
          <w:rFonts w:ascii="Times New Roman" w:hAnsi="Times New Roman" w:cs="Times New Roman"/>
          <w:sz w:val="24"/>
          <w:szCs w:val="24"/>
        </w:rPr>
        <w:t xml:space="preserve"> vai pat </w:t>
      </w:r>
      <w:r w:rsidRPr="4D1E0530">
        <w:rPr>
          <w:rFonts w:ascii="Times New Roman" w:hAnsi="Times New Roman" w:cs="Times New Roman"/>
          <w:sz w:val="24"/>
          <w:szCs w:val="24"/>
        </w:rPr>
        <w:t xml:space="preserve">intensificēta. </w:t>
      </w:r>
    </w:p>
    <w:p w14:paraId="2D7937C6" w14:textId="77777777" w:rsidR="001732B6" w:rsidRPr="0088058C" w:rsidRDefault="001732B6" w:rsidP="001732B6">
      <w:pPr>
        <w:jc w:val="both"/>
        <w:rPr>
          <w:rFonts w:ascii="Times New Roman" w:hAnsi="Times New Roman" w:cs="Times New Roman"/>
          <w:sz w:val="24"/>
          <w:szCs w:val="24"/>
        </w:rPr>
      </w:pPr>
      <w:r w:rsidRPr="4D1E0530">
        <w:rPr>
          <w:rFonts w:ascii="Times New Roman" w:hAnsi="Times New Roman" w:cs="Times New Roman"/>
          <w:sz w:val="24"/>
          <w:szCs w:val="24"/>
        </w:rPr>
        <w:t xml:space="preserve">Tajā pašā laikā, ja ES nozīmes biotopu labvēlīga aizsardzības statusa nodrošināšanai nepieciešama ĪADT veidošana (vai gadījumos, kad ES nozīmes biotopu aizsardzībai tiek veidota jauna Natura 2000 teritorija), būtu nepieciešams noteikt pagaidu </w:t>
      </w:r>
      <w:r w:rsidRPr="4D1E0530">
        <w:rPr>
          <w:rFonts w:ascii="Times New Roman" w:hAnsi="Times New Roman" w:cs="Times New Roman"/>
          <w:sz w:val="24"/>
          <w:szCs w:val="24"/>
        </w:rPr>
        <w:lastRenderedPageBreak/>
        <w:t>aizsardzības statusu līdz ĪADT izveidošanai, lai ĪADT veidošanas procesa laikā netiktu apzināti iznīcināti ES nozīmes biotopi. Pagaidu aizsardzības periodā būtu jānosaka pienākums ievērot attiecīgajai ĪADT kategorijai noteiktos ierobežojumus (vai  aizliegums bojāt vai iznīcināt ES nozīmes biotopus), vienlaikus paredzot kompensācijas par šo periodu.   </w:t>
      </w:r>
    </w:p>
    <w:p w14:paraId="424DEFD2" w14:textId="77777777" w:rsidR="00424A7B" w:rsidRDefault="00424A7B"/>
    <w:p w14:paraId="62C29F8E" w14:textId="77777777" w:rsidR="004F3A79" w:rsidRPr="004F3A79" w:rsidRDefault="004F3A79" w:rsidP="004F3A79"/>
    <w:p w14:paraId="65E82C40" w14:textId="77777777" w:rsidR="004F3A79" w:rsidRPr="004F3A79" w:rsidRDefault="004F3A79" w:rsidP="004F3A79"/>
    <w:p w14:paraId="07BDF1C8" w14:textId="77777777" w:rsidR="004F3A79" w:rsidRPr="004F3A79" w:rsidRDefault="004F3A79" w:rsidP="004F3A79"/>
    <w:p w14:paraId="6B1B96B0" w14:textId="77777777" w:rsidR="004F3A79" w:rsidRPr="004F3A79" w:rsidRDefault="004F3A79" w:rsidP="004F3A79"/>
    <w:p w14:paraId="2EFE944F" w14:textId="77777777" w:rsidR="004F3A79" w:rsidRDefault="004F3A79" w:rsidP="004F3A79"/>
    <w:p w14:paraId="6131D162" w14:textId="77777777" w:rsidR="004F3A79" w:rsidRPr="004F3A79" w:rsidRDefault="004F3A79" w:rsidP="004F3A79"/>
    <w:sectPr w:rsidR="004F3A79" w:rsidRPr="004F3A7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6DE04" w14:textId="77777777" w:rsidR="007A56DD" w:rsidRDefault="007A56DD" w:rsidP="001732B6">
      <w:pPr>
        <w:spacing w:after="0" w:line="240" w:lineRule="auto"/>
      </w:pPr>
      <w:r>
        <w:separator/>
      </w:r>
    </w:p>
  </w:endnote>
  <w:endnote w:type="continuationSeparator" w:id="0">
    <w:p w14:paraId="77E8BE69" w14:textId="77777777" w:rsidR="007A56DD" w:rsidRDefault="007A56DD" w:rsidP="0017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381814"/>
      <w:docPartObj>
        <w:docPartGallery w:val="Page Numbers (Bottom of Page)"/>
        <w:docPartUnique/>
      </w:docPartObj>
    </w:sdtPr>
    <w:sdtEndPr>
      <w:rPr>
        <w:noProof/>
      </w:rPr>
    </w:sdtEndPr>
    <w:sdtContent>
      <w:p w14:paraId="057BFA5C" w14:textId="4F17730E" w:rsidR="001732B6" w:rsidRDefault="001732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D7841B" w14:textId="77777777" w:rsidR="001732B6" w:rsidRDefault="00173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28868" w14:textId="77777777" w:rsidR="007A56DD" w:rsidRDefault="007A56DD" w:rsidP="001732B6">
      <w:pPr>
        <w:spacing w:after="0" w:line="240" w:lineRule="auto"/>
      </w:pPr>
      <w:r>
        <w:separator/>
      </w:r>
    </w:p>
  </w:footnote>
  <w:footnote w:type="continuationSeparator" w:id="0">
    <w:p w14:paraId="0F9A708C" w14:textId="77777777" w:rsidR="007A56DD" w:rsidRDefault="007A56DD" w:rsidP="001732B6">
      <w:pPr>
        <w:spacing w:after="0" w:line="240" w:lineRule="auto"/>
      </w:pPr>
      <w:r>
        <w:continuationSeparator/>
      </w:r>
    </w:p>
  </w:footnote>
  <w:footnote w:id="1">
    <w:p w14:paraId="019B1457" w14:textId="77777777" w:rsidR="001732B6" w:rsidRPr="0088058C" w:rsidRDefault="001732B6" w:rsidP="001732B6">
      <w:pPr>
        <w:pStyle w:val="FootnoteText"/>
      </w:pPr>
      <w:r w:rsidRPr="0088058C">
        <w:rPr>
          <w:rStyle w:val="FootnoteReference"/>
          <w:rFonts w:eastAsiaTheme="majorEastAsia"/>
        </w:rPr>
        <w:footnoteRef/>
      </w:r>
      <w:r w:rsidRPr="0088058C">
        <w:t xml:space="preserve"> Likums “Par kompensāciju par saimnieciskās darbības ierobežojumiem aizsargājamās teritorijās”</w:t>
      </w:r>
    </w:p>
  </w:footnote>
  <w:footnote w:id="2">
    <w:p w14:paraId="35680727" w14:textId="77777777" w:rsidR="001732B6" w:rsidRPr="0088058C" w:rsidRDefault="001732B6" w:rsidP="001732B6">
      <w:pPr>
        <w:pStyle w:val="FootnoteText"/>
        <w:ind w:left="0" w:right="0"/>
      </w:pPr>
      <w:r w:rsidRPr="0088058C">
        <w:rPr>
          <w:rStyle w:val="FootnoteReference"/>
          <w:rFonts w:eastAsiaTheme="majorEastAsia"/>
        </w:rPr>
        <w:footnoteRef/>
      </w:r>
      <w:r w:rsidRPr="0088058C">
        <w:t xml:space="preserve">https://www.silava.lv/petnieciba/petijumu-arhivs/klimata-scenariju-socialekonomiskas-ietekmes-aprekini  </w:t>
      </w:r>
    </w:p>
  </w:footnote>
  <w:footnote w:id="3">
    <w:p w14:paraId="72E729D3" w14:textId="77777777" w:rsidR="001732B6" w:rsidRPr="0088058C" w:rsidRDefault="001732B6" w:rsidP="001732B6">
      <w:pPr>
        <w:pStyle w:val="FootnoteText"/>
        <w:ind w:left="0" w:right="0"/>
      </w:pPr>
      <w:r w:rsidRPr="0088058C">
        <w:t xml:space="preserve"> </w:t>
      </w:r>
      <w:r w:rsidRPr="0088058C">
        <w:rPr>
          <w:rStyle w:val="FootnoteReference"/>
          <w:rFonts w:eastAsiaTheme="majorEastAsia"/>
        </w:rPr>
        <w:footnoteRef/>
      </w:r>
      <w:r w:rsidRPr="0088058C">
        <w:t>https://www.lbtu.lv/sites/default/files/files/projects/MAF_20-00S0MF10-000064_G_%C5%A0%C5%86epsts.pdf</w:t>
      </w:r>
    </w:p>
  </w:footnote>
  <w:footnote w:id="4">
    <w:p w14:paraId="293C73F9" w14:textId="77777777" w:rsidR="001732B6" w:rsidRPr="0088058C" w:rsidRDefault="001732B6" w:rsidP="001732B6">
      <w:pPr>
        <w:pStyle w:val="FootnoteText"/>
        <w:ind w:left="0" w:right="0"/>
      </w:pPr>
      <w:r w:rsidRPr="0088058C">
        <w:rPr>
          <w:rStyle w:val="FootnoteReference"/>
          <w:rFonts w:eastAsiaTheme="majorEastAsia"/>
        </w:rPr>
        <w:footnoteRef/>
      </w:r>
      <w:r w:rsidRPr="0088058C">
        <w:t xml:space="preserve"> https://www.lbtu.lv/sites/default/files/files/projects/2022-MAF-ZIZIMM.pdf</w:t>
      </w:r>
    </w:p>
  </w:footnote>
  <w:footnote w:id="5">
    <w:p w14:paraId="0F39D5BA" w14:textId="77777777" w:rsidR="001732B6" w:rsidRPr="0088058C" w:rsidRDefault="001732B6" w:rsidP="001732B6">
      <w:pPr>
        <w:pStyle w:val="FootnoteText"/>
        <w:ind w:left="0" w:right="0"/>
      </w:pPr>
      <w:r w:rsidRPr="0088058C">
        <w:rPr>
          <w:rStyle w:val="FootnoteReference"/>
          <w:rFonts w:eastAsiaTheme="majorEastAsia"/>
        </w:rPr>
        <w:footnoteRef/>
      </w:r>
      <w:r w:rsidRPr="0088058C">
        <w:t>https://www.lbtu.lv/sites/default/files/files/projects/2021_Snepsts_MAF_Zala_vienosanas.pdf</w:t>
      </w:r>
    </w:p>
  </w:footnote>
  <w:footnote w:id="6">
    <w:p w14:paraId="38C8F1E0" w14:textId="77777777" w:rsidR="001732B6" w:rsidRPr="0088058C" w:rsidRDefault="001732B6" w:rsidP="001732B6">
      <w:pPr>
        <w:pStyle w:val="FootnoteText"/>
        <w:ind w:left="0" w:right="0"/>
      </w:pPr>
      <w:r w:rsidRPr="0088058C">
        <w:rPr>
          <w:rStyle w:val="FootnoteReference"/>
          <w:rFonts w:eastAsiaTheme="majorEastAsia"/>
        </w:rPr>
        <w:footnoteRef/>
      </w:r>
      <w:r w:rsidRPr="0088058C">
        <w:t xml:space="preserve"> Katram no scenārijiem ir savi, atšķirīgi</w:t>
      </w:r>
      <w:r>
        <w:t>,</w:t>
      </w:r>
      <w:r w:rsidRPr="0088058C">
        <w:t xml:space="preserve"> sākotnējie uzstādījumi</w:t>
      </w:r>
      <w:r>
        <w:t xml:space="preserve"> un līd zar to arī secinājumi</w:t>
      </w:r>
    </w:p>
  </w:footnote>
  <w:footnote w:id="7">
    <w:p w14:paraId="0FF3E5C9" w14:textId="77777777" w:rsidR="001732B6" w:rsidRDefault="001732B6" w:rsidP="001732B6">
      <w:pPr>
        <w:pStyle w:val="FootnoteText"/>
      </w:pPr>
      <w:r>
        <w:rPr>
          <w:rStyle w:val="FootnoteReference"/>
          <w:rFonts w:eastAsiaTheme="majorEastAsia"/>
        </w:rPr>
        <w:footnoteRef/>
      </w:r>
      <w:r w:rsidRPr="00786A4B">
        <w:t>https://www.silava.lv/images/Petijumi/2023-MAF-Vadliniju-dabai-tuvai-mezsaimniecibai-izstrade/2023-MAF-Vadliniju-dabai-tuvai-mezsaimniecibai-izstrade-Parskats.pdf</w:t>
      </w:r>
    </w:p>
  </w:footnote>
  <w:footnote w:id="8">
    <w:p w14:paraId="1AC30778" w14:textId="77777777" w:rsidR="001732B6" w:rsidRDefault="001732B6" w:rsidP="001732B6">
      <w:pPr>
        <w:pStyle w:val="FootnoteText"/>
      </w:pPr>
      <w:r>
        <w:rPr>
          <w:rStyle w:val="FootnoteReference"/>
          <w:rFonts w:eastAsiaTheme="majorEastAsia"/>
        </w:rPr>
        <w:footnoteRef/>
      </w:r>
      <w:r>
        <w:t xml:space="preserve"> Mežsaimniecība un mežizstrāde (NACE 02), koksnes un koka izstrādājumu ražošana (NACE 16) un mēbeļu ražošana (NACE 31)</w:t>
      </w:r>
    </w:p>
  </w:footnote>
  <w:footnote w:id="9">
    <w:p w14:paraId="470249F4" w14:textId="77777777" w:rsidR="001732B6" w:rsidRDefault="001732B6" w:rsidP="001732B6">
      <w:pPr>
        <w:pStyle w:val="FootnoteText"/>
      </w:pPr>
      <w:r>
        <w:rPr>
          <w:rStyle w:val="FootnoteReference"/>
          <w:rFonts w:eastAsiaTheme="majorEastAsia"/>
        </w:rPr>
        <w:footnoteRef/>
      </w:r>
      <w:r>
        <w:t xml:space="preserve"> Eiropas Parlamenta un Padomes regula</w:t>
      </w:r>
      <w:r w:rsidRPr="00437E6E">
        <w:t xml:space="preserve"> (ES) 2024/1991 (2024. gada 24. jūnijs) par dabas atjaunošanu un ar ko groza Regulu (ES) 2022/869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5A105B"/>
    <w:multiLevelType w:val="multilevel"/>
    <w:tmpl w:val="3952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643364"/>
    <w:multiLevelType w:val="multilevel"/>
    <w:tmpl w:val="9AF0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983D82"/>
    <w:multiLevelType w:val="hybridMultilevel"/>
    <w:tmpl w:val="1E04ED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5DC79F9"/>
    <w:multiLevelType w:val="multilevel"/>
    <w:tmpl w:val="1902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B420A5"/>
    <w:multiLevelType w:val="multilevel"/>
    <w:tmpl w:val="4130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36388D"/>
    <w:multiLevelType w:val="multilevel"/>
    <w:tmpl w:val="743C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097016">
    <w:abstractNumId w:val="2"/>
  </w:num>
  <w:num w:numId="2" w16cid:durableId="105079202">
    <w:abstractNumId w:val="5"/>
  </w:num>
  <w:num w:numId="3" w16cid:durableId="905140248">
    <w:abstractNumId w:val="0"/>
  </w:num>
  <w:num w:numId="4" w16cid:durableId="2017031028">
    <w:abstractNumId w:val="1"/>
  </w:num>
  <w:num w:numId="5" w16cid:durableId="530650021">
    <w:abstractNumId w:val="4"/>
  </w:num>
  <w:num w:numId="6" w16cid:durableId="712192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39"/>
    <w:rsid w:val="000476CB"/>
    <w:rsid w:val="00095339"/>
    <w:rsid w:val="000B15D4"/>
    <w:rsid w:val="00127B8D"/>
    <w:rsid w:val="001732B6"/>
    <w:rsid w:val="001C7945"/>
    <w:rsid w:val="002135FA"/>
    <w:rsid w:val="002E1F13"/>
    <w:rsid w:val="002F1CF6"/>
    <w:rsid w:val="002F5A39"/>
    <w:rsid w:val="00323E5B"/>
    <w:rsid w:val="003C6FBF"/>
    <w:rsid w:val="003E193C"/>
    <w:rsid w:val="00424A7B"/>
    <w:rsid w:val="00424E42"/>
    <w:rsid w:val="00430B1F"/>
    <w:rsid w:val="00497AD5"/>
    <w:rsid w:val="004A000B"/>
    <w:rsid w:val="004F3A79"/>
    <w:rsid w:val="005340AD"/>
    <w:rsid w:val="00542113"/>
    <w:rsid w:val="005704A6"/>
    <w:rsid w:val="005B53F9"/>
    <w:rsid w:val="006766B9"/>
    <w:rsid w:val="006F2891"/>
    <w:rsid w:val="007135D0"/>
    <w:rsid w:val="00783DE5"/>
    <w:rsid w:val="007A56DD"/>
    <w:rsid w:val="007E7B4D"/>
    <w:rsid w:val="007F1FBA"/>
    <w:rsid w:val="007F25F1"/>
    <w:rsid w:val="0082149E"/>
    <w:rsid w:val="0082158E"/>
    <w:rsid w:val="00822ECB"/>
    <w:rsid w:val="008408F3"/>
    <w:rsid w:val="00884A06"/>
    <w:rsid w:val="00895842"/>
    <w:rsid w:val="008B6632"/>
    <w:rsid w:val="009A6E7F"/>
    <w:rsid w:val="009F13E0"/>
    <w:rsid w:val="00A436EF"/>
    <w:rsid w:val="00A57E94"/>
    <w:rsid w:val="00AF3D1D"/>
    <w:rsid w:val="00B12E29"/>
    <w:rsid w:val="00B80D0A"/>
    <w:rsid w:val="00B87394"/>
    <w:rsid w:val="00BC3756"/>
    <w:rsid w:val="00CF447F"/>
    <w:rsid w:val="00D237FD"/>
    <w:rsid w:val="00D6217F"/>
    <w:rsid w:val="00D7077D"/>
    <w:rsid w:val="00D80BE4"/>
    <w:rsid w:val="00D9459B"/>
    <w:rsid w:val="00D97F68"/>
    <w:rsid w:val="00E1658B"/>
    <w:rsid w:val="00E56D18"/>
    <w:rsid w:val="00E60D70"/>
    <w:rsid w:val="00E70C55"/>
    <w:rsid w:val="00EA0F50"/>
    <w:rsid w:val="00EB5429"/>
    <w:rsid w:val="00EF5470"/>
    <w:rsid w:val="00EF7A54"/>
    <w:rsid w:val="00F57639"/>
    <w:rsid w:val="00F817AD"/>
    <w:rsid w:val="00FA4487"/>
    <w:rsid w:val="00FB4406"/>
    <w:rsid w:val="00FC54E5"/>
    <w:rsid w:val="00FF0B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3B093"/>
  <w15:chartTrackingRefBased/>
  <w15:docId w15:val="{0978FBAB-FA45-41F9-9F74-4D87FDEA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2B6"/>
  </w:style>
  <w:style w:type="paragraph" w:styleId="Heading1">
    <w:name w:val="heading 1"/>
    <w:basedOn w:val="Normal"/>
    <w:next w:val="Normal"/>
    <w:link w:val="Heading1Char"/>
    <w:uiPriority w:val="9"/>
    <w:qFormat/>
    <w:rsid w:val="00F57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639"/>
    <w:rPr>
      <w:rFonts w:eastAsiaTheme="majorEastAsia" w:cstheme="majorBidi"/>
      <w:color w:val="272727" w:themeColor="text1" w:themeTint="D8"/>
    </w:rPr>
  </w:style>
  <w:style w:type="paragraph" w:styleId="Title">
    <w:name w:val="Title"/>
    <w:basedOn w:val="Normal"/>
    <w:next w:val="Normal"/>
    <w:link w:val="TitleChar"/>
    <w:uiPriority w:val="10"/>
    <w:qFormat/>
    <w:rsid w:val="00F57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639"/>
    <w:pPr>
      <w:spacing w:before="160"/>
      <w:jc w:val="center"/>
    </w:pPr>
    <w:rPr>
      <w:i/>
      <w:iCs/>
      <w:color w:val="404040" w:themeColor="text1" w:themeTint="BF"/>
    </w:rPr>
  </w:style>
  <w:style w:type="character" w:customStyle="1" w:styleId="QuoteChar">
    <w:name w:val="Quote Char"/>
    <w:basedOn w:val="DefaultParagraphFont"/>
    <w:link w:val="Quote"/>
    <w:uiPriority w:val="29"/>
    <w:rsid w:val="00F57639"/>
    <w:rPr>
      <w:i/>
      <w:iCs/>
      <w:color w:val="404040" w:themeColor="text1" w:themeTint="BF"/>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00F57639"/>
    <w:pPr>
      <w:ind w:left="720"/>
      <w:contextualSpacing/>
    </w:pPr>
  </w:style>
  <w:style w:type="character" w:styleId="IntenseEmphasis">
    <w:name w:val="Intense Emphasis"/>
    <w:basedOn w:val="DefaultParagraphFont"/>
    <w:uiPriority w:val="21"/>
    <w:qFormat/>
    <w:rsid w:val="00F57639"/>
    <w:rPr>
      <w:i/>
      <w:iCs/>
      <w:color w:val="0F4761" w:themeColor="accent1" w:themeShade="BF"/>
    </w:rPr>
  </w:style>
  <w:style w:type="paragraph" w:styleId="IntenseQuote">
    <w:name w:val="Intense Quote"/>
    <w:basedOn w:val="Normal"/>
    <w:next w:val="Normal"/>
    <w:link w:val="IntenseQuoteChar"/>
    <w:uiPriority w:val="30"/>
    <w:qFormat/>
    <w:rsid w:val="00F57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639"/>
    <w:rPr>
      <w:i/>
      <w:iCs/>
      <w:color w:val="0F4761" w:themeColor="accent1" w:themeShade="BF"/>
    </w:rPr>
  </w:style>
  <w:style w:type="character" w:styleId="IntenseReference">
    <w:name w:val="Intense Reference"/>
    <w:basedOn w:val="DefaultParagraphFont"/>
    <w:uiPriority w:val="32"/>
    <w:qFormat/>
    <w:rsid w:val="00F57639"/>
    <w:rPr>
      <w:b/>
      <w:bCs/>
      <w:smallCaps/>
      <w:color w:val="0F4761" w:themeColor="accent1" w:themeShade="BF"/>
      <w:spacing w:val="5"/>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1732B6"/>
  </w:style>
  <w:style w:type="character" w:customStyle="1" w:styleId="FootnoteTextChar">
    <w:name w:val="Footnote Text Char"/>
    <w:aliases w:val="Footnote Char,Fußnote Char"/>
    <w:basedOn w:val="DefaultParagraphFont"/>
    <w:link w:val="FootnoteText"/>
    <w:uiPriority w:val="99"/>
    <w:semiHidden/>
    <w:locked/>
    <w:rsid w:val="001732B6"/>
    <w:rPr>
      <w:rFonts w:ascii="Times New Roman" w:eastAsia="Times New Roman" w:hAnsi="Times New Roman" w:cs="Times New Roman"/>
      <w:sz w:val="20"/>
      <w:szCs w:val="20"/>
    </w:rPr>
  </w:style>
  <w:style w:type="paragraph" w:styleId="FootnoteText">
    <w:name w:val="footnote text"/>
    <w:aliases w:val="Footnote,Fußnote"/>
    <w:basedOn w:val="Normal"/>
    <w:link w:val="FootnoteTextChar"/>
    <w:uiPriority w:val="99"/>
    <w:semiHidden/>
    <w:unhideWhenUsed/>
    <w:rsid w:val="001732B6"/>
    <w:pPr>
      <w:spacing w:after="120" w:line="240" w:lineRule="auto"/>
      <w:ind w:left="624" w:right="567"/>
      <w:jc w:val="both"/>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1732B6"/>
    <w:rPr>
      <w:sz w:val="20"/>
      <w:szCs w:val="20"/>
    </w:rPr>
  </w:style>
  <w:style w:type="character" w:styleId="FootnoteReference">
    <w:name w:val="footnote reference"/>
    <w:aliases w:val="Footnote symbol"/>
    <w:uiPriority w:val="99"/>
    <w:semiHidden/>
    <w:unhideWhenUsed/>
    <w:rsid w:val="001732B6"/>
    <w:rPr>
      <w:vertAlign w:val="superscript"/>
    </w:rPr>
  </w:style>
  <w:style w:type="character" w:customStyle="1" w:styleId="cf01">
    <w:name w:val="cf01"/>
    <w:basedOn w:val="DefaultParagraphFont"/>
    <w:rsid w:val="001732B6"/>
    <w:rPr>
      <w:rFonts w:ascii="Segoe UI" w:hAnsi="Segoe UI" w:cs="Segoe UI" w:hint="default"/>
      <w:sz w:val="18"/>
      <w:szCs w:val="18"/>
    </w:rPr>
  </w:style>
  <w:style w:type="paragraph" w:styleId="NormalWeb">
    <w:name w:val="Normal (Web)"/>
    <w:basedOn w:val="Normal"/>
    <w:uiPriority w:val="99"/>
    <w:semiHidden/>
    <w:unhideWhenUsed/>
    <w:rsid w:val="001732B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1732B6"/>
    <w:rPr>
      <w:b/>
      <w:bCs/>
    </w:rPr>
  </w:style>
  <w:style w:type="paragraph" w:styleId="Header">
    <w:name w:val="header"/>
    <w:basedOn w:val="Normal"/>
    <w:link w:val="HeaderChar"/>
    <w:uiPriority w:val="99"/>
    <w:unhideWhenUsed/>
    <w:rsid w:val="001732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732B6"/>
  </w:style>
  <w:style w:type="paragraph" w:styleId="Footer">
    <w:name w:val="footer"/>
    <w:basedOn w:val="Normal"/>
    <w:link w:val="FooterChar"/>
    <w:uiPriority w:val="99"/>
    <w:unhideWhenUsed/>
    <w:rsid w:val="001732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32B6"/>
  </w:style>
  <w:style w:type="character" w:styleId="Hyperlink">
    <w:name w:val="Hyperlink"/>
    <w:basedOn w:val="DefaultParagraphFont"/>
    <w:uiPriority w:val="99"/>
    <w:unhideWhenUsed/>
    <w:rsid w:val="00497AD5"/>
    <w:rPr>
      <w:color w:val="467886" w:themeColor="hyperlink"/>
      <w:u w:val="single"/>
    </w:rPr>
  </w:style>
  <w:style w:type="character" w:styleId="UnresolvedMention">
    <w:name w:val="Unresolved Mention"/>
    <w:basedOn w:val="DefaultParagraphFont"/>
    <w:uiPriority w:val="99"/>
    <w:semiHidden/>
    <w:unhideWhenUsed/>
    <w:rsid w:val="00497AD5"/>
    <w:rPr>
      <w:color w:val="605E5C"/>
      <w:shd w:val="clear" w:color="auto" w:fill="E1DFDD"/>
    </w:rPr>
  </w:style>
  <w:style w:type="character" w:styleId="CommentReference">
    <w:name w:val="annotation reference"/>
    <w:basedOn w:val="DefaultParagraphFont"/>
    <w:uiPriority w:val="99"/>
    <w:semiHidden/>
    <w:unhideWhenUsed/>
    <w:rsid w:val="004F3A79"/>
    <w:rPr>
      <w:sz w:val="16"/>
      <w:szCs w:val="16"/>
    </w:rPr>
  </w:style>
  <w:style w:type="paragraph" w:styleId="CommentText">
    <w:name w:val="annotation text"/>
    <w:basedOn w:val="Normal"/>
    <w:link w:val="CommentTextChar"/>
    <w:uiPriority w:val="99"/>
    <w:unhideWhenUsed/>
    <w:rsid w:val="004F3A79"/>
    <w:pPr>
      <w:spacing w:line="240" w:lineRule="auto"/>
    </w:pPr>
    <w:rPr>
      <w:sz w:val="20"/>
      <w:szCs w:val="20"/>
    </w:rPr>
  </w:style>
  <w:style w:type="character" w:customStyle="1" w:styleId="CommentTextChar">
    <w:name w:val="Comment Text Char"/>
    <w:basedOn w:val="DefaultParagraphFont"/>
    <w:link w:val="CommentText"/>
    <w:uiPriority w:val="99"/>
    <w:rsid w:val="004F3A79"/>
    <w:rPr>
      <w:sz w:val="20"/>
      <w:szCs w:val="20"/>
    </w:rPr>
  </w:style>
  <w:style w:type="paragraph" w:styleId="Revision">
    <w:name w:val="Revision"/>
    <w:hidden/>
    <w:uiPriority w:val="99"/>
    <w:semiHidden/>
    <w:rsid w:val="00EF5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5301212">
      <w:bodyDiv w:val="1"/>
      <w:marLeft w:val="0"/>
      <w:marRight w:val="0"/>
      <w:marTop w:val="0"/>
      <w:marBottom w:val="0"/>
      <w:divBdr>
        <w:top w:val="none" w:sz="0" w:space="0" w:color="auto"/>
        <w:left w:val="none" w:sz="0" w:space="0" w:color="auto"/>
        <w:bottom w:val="none" w:sz="0" w:space="0" w:color="auto"/>
        <w:right w:val="none" w:sz="0" w:space="0" w:color="auto"/>
      </w:divBdr>
    </w:div>
    <w:div w:id="116667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02018R2066-20220828" TargetMode="External"/><Relationship Id="rId3" Type="http://schemas.openxmlformats.org/officeDocument/2006/relationships/settings" Target="settings.xml"/><Relationship Id="rId7" Type="http://schemas.openxmlformats.org/officeDocument/2006/relationships/hyperlink" Target="https://eur-lex.europa.eu/legal-content/lv/TXT/?uri=CELEX%3A02018L2001-202206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ur-lex.europa.eu/legal-content/lv/TXT/?uri=CELEX%3A02018L2001-20220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9536</Words>
  <Characters>5437</Characters>
  <Application>Microsoft Office Word</Application>
  <DocSecurity>0</DocSecurity>
  <Lines>45</Lines>
  <Paragraphs>29</Paragraphs>
  <ScaleCrop>false</ScaleCrop>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Brice</dc:creator>
  <cp:keywords/>
  <dc:description/>
  <cp:lastModifiedBy>Zane Brice</cp:lastModifiedBy>
  <cp:revision>61</cp:revision>
  <dcterms:created xsi:type="dcterms:W3CDTF">2024-10-07T08:08:00Z</dcterms:created>
  <dcterms:modified xsi:type="dcterms:W3CDTF">2024-10-07T20:22:00Z</dcterms:modified>
</cp:coreProperties>
</file>